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p>
    <w:p>
      <w:pPr>
        <w:adjustRightInd/>
        <w:spacing w:line="360" w:lineRule="auto"/>
        <w:jc w:val="center"/>
        <w:rPr>
          <w:rFonts w:hint="eastAsia" w:ascii="仿宋" w:hAnsi="仿宋" w:eastAsia="仿宋" w:cs="仿宋"/>
          <w:b/>
          <w:sz w:val="44"/>
          <w:szCs w:val="44"/>
        </w:rPr>
      </w:pPr>
    </w:p>
    <w:p>
      <w:pPr>
        <w:spacing w:line="360" w:lineRule="auto"/>
        <w:jc w:val="center"/>
        <w:rPr>
          <w:rFonts w:hint="eastAsia" w:ascii="仿宋" w:hAnsi="仿宋" w:eastAsia="仿宋" w:cs="仿宋"/>
          <w:b/>
          <w:sz w:val="44"/>
          <w:szCs w:val="44"/>
        </w:rPr>
      </w:pPr>
    </w:p>
    <w:p>
      <w:pPr>
        <w:adjustRightInd/>
        <w:spacing w:line="360" w:lineRule="auto"/>
        <w:jc w:val="center"/>
        <w:rPr>
          <w:rFonts w:hint="eastAsia" w:ascii="仿宋" w:hAnsi="仿宋" w:eastAsia="仿宋" w:cs="仿宋"/>
          <w:b/>
          <w:sz w:val="48"/>
          <w:szCs w:val="48"/>
        </w:rPr>
      </w:pPr>
    </w:p>
    <w:p>
      <w:pPr>
        <w:adjustRightInd/>
        <w:spacing w:line="360" w:lineRule="auto"/>
        <w:jc w:val="center"/>
        <w:rPr>
          <w:rFonts w:hint="eastAsia" w:ascii="仿宋" w:hAnsi="仿宋" w:eastAsia="仿宋" w:cs="仿宋"/>
          <w:sz w:val="48"/>
          <w:szCs w:val="48"/>
        </w:rPr>
      </w:pPr>
      <w:r>
        <w:rPr>
          <w:rFonts w:hint="eastAsia" w:ascii="仿宋" w:hAnsi="仿宋" w:eastAsia="仿宋" w:cs="仿宋"/>
          <w:sz w:val="48"/>
          <w:szCs w:val="48"/>
        </w:rPr>
        <w:t>杭州市临安区门户网站升级改造项目</w:t>
      </w:r>
    </w:p>
    <w:p>
      <w:pPr>
        <w:adjustRightInd/>
        <w:spacing w:line="360" w:lineRule="auto"/>
        <w:jc w:val="center"/>
        <w:rPr>
          <w:rFonts w:hint="eastAsia" w:ascii="仿宋" w:hAnsi="仿宋" w:eastAsia="仿宋" w:cs="仿宋"/>
          <w:sz w:val="48"/>
          <w:szCs w:val="48"/>
        </w:rPr>
      </w:pPr>
      <w:r>
        <w:rPr>
          <w:rFonts w:hint="eastAsia" w:ascii="仿宋" w:hAnsi="仿宋" w:eastAsia="仿宋" w:cs="仿宋"/>
          <w:sz w:val="48"/>
          <w:szCs w:val="48"/>
        </w:rPr>
        <w:t xml:space="preserve">招标文件 </w:t>
      </w:r>
    </w:p>
    <w:p>
      <w:pPr>
        <w:adjustRightInd/>
        <w:spacing w:line="360" w:lineRule="auto"/>
        <w:jc w:val="center"/>
        <w:rPr>
          <w:rFonts w:hint="eastAsia" w:ascii="仿宋" w:hAnsi="仿宋" w:eastAsia="仿宋" w:cs="仿宋"/>
          <w:b/>
          <w:sz w:val="44"/>
          <w:szCs w:val="44"/>
          <w:highlight w:val="none"/>
        </w:rPr>
      </w:pPr>
      <w:r>
        <w:rPr>
          <w:rFonts w:hint="eastAsia" w:ascii="仿宋" w:hAnsi="仿宋" w:eastAsia="仿宋" w:cs="仿宋"/>
          <w:b/>
          <w:sz w:val="44"/>
          <w:szCs w:val="44"/>
        </w:rPr>
        <w:t xml:space="preserve"> （电</w:t>
      </w:r>
      <w:r>
        <w:rPr>
          <w:rFonts w:hint="eastAsia" w:ascii="仿宋" w:hAnsi="仿宋" w:eastAsia="仿宋" w:cs="仿宋"/>
          <w:b/>
          <w:sz w:val="44"/>
          <w:szCs w:val="44"/>
          <w:highlight w:val="none"/>
        </w:rPr>
        <w:t>子招投标）</w:t>
      </w:r>
    </w:p>
    <w:p>
      <w:pPr>
        <w:snapToGrid w:val="0"/>
        <w:spacing w:line="360" w:lineRule="auto"/>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编号:（采购编号</w:t>
      </w:r>
      <w:r>
        <w:rPr>
          <w:rFonts w:hint="eastAsia" w:ascii="仿宋" w:hAnsi="仿宋" w:eastAsia="仿宋" w:cs="仿宋"/>
          <w:sz w:val="30"/>
          <w:szCs w:val="30"/>
          <w:highlight w:val="none"/>
          <w:lang w:val="en-US" w:eastAsia="zh-CN"/>
        </w:rPr>
        <w:t>LZC-GK-2022-10068</w:t>
      </w:r>
      <w:r>
        <w:rPr>
          <w:rFonts w:hint="eastAsia" w:ascii="仿宋" w:hAnsi="仿宋" w:eastAsia="仿宋" w:cs="仿宋"/>
          <w:sz w:val="30"/>
          <w:szCs w:val="30"/>
          <w:highlight w:val="none"/>
        </w:rPr>
        <w:t>）</w:t>
      </w:r>
    </w:p>
    <w:p>
      <w:pPr>
        <w:adjustRightInd/>
        <w:spacing w:line="360" w:lineRule="auto"/>
        <w:rPr>
          <w:rFonts w:hint="eastAsia" w:ascii="仿宋" w:hAnsi="仿宋" w:eastAsia="仿宋" w:cs="仿宋"/>
          <w:sz w:val="28"/>
          <w:szCs w:val="20"/>
        </w:rPr>
      </w:pPr>
    </w:p>
    <w:p>
      <w:pPr>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 xml:space="preserve"> </w:t>
      </w:r>
    </w:p>
    <w:p>
      <w:pPr>
        <w:spacing w:line="360" w:lineRule="auto"/>
        <w:jc w:val="center"/>
        <w:rPr>
          <w:rFonts w:hint="eastAsia" w:ascii="仿宋" w:hAnsi="仿宋" w:eastAsia="仿宋" w:cs="仿宋"/>
          <w:b/>
          <w:sz w:val="44"/>
          <w:szCs w:val="44"/>
        </w:rPr>
      </w:pPr>
    </w:p>
    <w:p>
      <w:pPr>
        <w:spacing w:line="360" w:lineRule="auto"/>
        <w:jc w:val="center"/>
        <w:rPr>
          <w:rFonts w:hint="eastAsia" w:ascii="仿宋" w:hAnsi="仿宋" w:eastAsia="仿宋" w:cs="仿宋"/>
          <w:sz w:val="24"/>
        </w:rPr>
      </w:pPr>
    </w:p>
    <w:p>
      <w:pPr>
        <w:spacing w:line="360" w:lineRule="auto"/>
        <w:jc w:val="center"/>
        <w:rPr>
          <w:rFonts w:hint="eastAsia" w:ascii="仿宋" w:hAnsi="仿宋" w:eastAsia="仿宋" w:cs="仿宋"/>
          <w:sz w:val="24"/>
        </w:rPr>
      </w:pPr>
    </w:p>
    <w:p>
      <w:pPr>
        <w:spacing w:line="360" w:lineRule="auto"/>
        <w:rPr>
          <w:rFonts w:hint="eastAsia" w:ascii="仿宋" w:hAnsi="仿宋" w:eastAsia="仿宋" w:cs="仿宋"/>
          <w:sz w:val="32"/>
          <w:szCs w:val="32"/>
        </w:rPr>
      </w:pPr>
    </w:p>
    <w:p>
      <w:pPr>
        <w:snapToGrid w:val="0"/>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杭州市临安区数据资源管理局</w:t>
      </w:r>
    </w:p>
    <w:p>
      <w:pPr>
        <w:snapToGrid w:val="0"/>
        <w:spacing w:line="360" w:lineRule="auto"/>
        <w:jc w:val="center"/>
        <w:rPr>
          <w:rFonts w:hint="eastAsia" w:ascii="仿宋" w:hAnsi="仿宋" w:eastAsia="仿宋" w:cs="仿宋"/>
          <w:bCs/>
          <w:sz w:val="32"/>
          <w:szCs w:val="32"/>
          <w:lang w:val="en-US" w:eastAsia="zh-CN"/>
        </w:rPr>
      </w:pPr>
      <w:r>
        <w:rPr>
          <w:rFonts w:hint="eastAsia" w:ascii="仿宋" w:hAnsi="仿宋" w:eastAsia="仿宋" w:cs="仿宋"/>
          <w:bCs/>
          <w:sz w:val="32"/>
          <w:szCs w:val="32"/>
        </w:rPr>
        <w:t>杭州市公共资源交易中心</w:t>
      </w:r>
      <w:r>
        <w:rPr>
          <w:rFonts w:hint="eastAsia" w:ascii="仿宋" w:hAnsi="仿宋" w:eastAsia="仿宋" w:cs="仿宋"/>
          <w:bCs/>
          <w:sz w:val="32"/>
          <w:szCs w:val="32"/>
          <w:lang w:eastAsia="zh-CN"/>
        </w:rPr>
        <w:t>临安分中心</w:t>
      </w:r>
    </w:p>
    <w:p>
      <w:pPr>
        <w:snapToGrid w:val="0"/>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二〇二</w:t>
      </w:r>
      <w:r>
        <w:rPr>
          <w:rFonts w:hint="eastAsia" w:ascii="仿宋" w:hAnsi="仿宋" w:eastAsia="仿宋" w:cs="仿宋"/>
          <w:bCs/>
          <w:sz w:val="32"/>
          <w:szCs w:val="32"/>
          <w:lang w:eastAsia="zh-CN"/>
        </w:rPr>
        <w:t>二</w:t>
      </w:r>
      <w:r>
        <w:rPr>
          <w:rFonts w:hint="eastAsia" w:ascii="仿宋" w:hAnsi="仿宋" w:eastAsia="仿宋" w:cs="仿宋"/>
          <w:bCs/>
          <w:sz w:val="32"/>
          <w:szCs w:val="32"/>
        </w:rPr>
        <w:t>年</w:t>
      </w:r>
      <w:r>
        <w:rPr>
          <w:rFonts w:hint="eastAsia" w:ascii="仿宋" w:hAnsi="仿宋" w:eastAsia="仿宋" w:cs="仿宋"/>
          <w:bCs/>
          <w:sz w:val="32"/>
          <w:szCs w:val="32"/>
          <w:lang w:eastAsia="zh-CN"/>
        </w:rPr>
        <w:t>十</w:t>
      </w:r>
      <w:r>
        <w:rPr>
          <w:rFonts w:hint="eastAsia" w:ascii="仿宋" w:hAnsi="仿宋" w:eastAsia="仿宋" w:cs="仿宋"/>
          <w:bCs/>
          <w:sz w:val="32"/>
          <w:szCs w:val="32"/>
        </w:rPr>
        <w:t>月</w:t>
      </w:r>
      <w:r>
        <w:rPr>
          <w:rFonts w:hint="eastAsia" w:ascii="仿宋" w:hAnsi="仿宋" w:eastAsia="仿宋" w:cs="仿宋"/>
          <w:bCs/>
          <w:sz w:val="32"/>
          <w:szCs w:val="32"/>
          <w:lang w:eastAsia="zh-CN"/>
        </w:rPr>
        <w:t>十七</w:t>
      </w:r>
      <w:r>
        <w:rPr>
          <w:rFonts w:hint="eastAsia" w:ascii="仿宋" w:hAnsi="仿宋" w:eastAsia="仿宋" w:cs="仿宋"/>
          <w:bCs/>
          <w:sz w:val="32"/>
          <w:szCs w:val="32"/>
        </w:rPr>
        <w:t>日</w:t>
      </w:r>
    </w:p>
    <w:p>
      <w:pPr>
        <w:spacing w:line="360" w:lineRule="auto"/>
        <w:jc w:val="center"/>
        <w:rPr>
          <w:rFonts w:hint="eastAsia" w:ascii="仿宋" w:hAnsi="仿宋" w:eastAsia="仿宋" w:cs="仿宋"/>
          <w:sz w:val="24"/>
        </w:rPr>
      </w:pPr>
      <w:r>
        <w:rPr>
          <w:rFonts w:hint="eastAsia" w:ascii="仿宋" w:hAnsi="仿宋" w:eastAsia="仿宋" w:cs="仿宋"/>
          <w:sz w:val="24"/>
        </w:rPr>
        <w:br w:type="page"/>
      </w:r>
      <w:bookmarkStart w:id="0" w:name="_Hlt67893495"/>
      <w:bookmarkEnd w:id="0"/>
    </w:p>
    <w:p>
      <w:pPr>
        <w:pStyle w:val="634"/>
        <w:rPr>
          <w:rFonts w:hint="eastAsia" w:ascii="仿宋" w:hAnsi="仿宋" w:eastAsia="仿宋" w:cs="仿宋"/>
        </w:rPr>
      </w:pPr>
    </w:p>
    <w:p>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  录</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第一部分      招标公告</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第二部分      投标人须知</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第三部分      采购需求</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第四部分      评标办法</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第五部分      拟签订的合同文本</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第六部分      应提交的有关格式范例</w:t>
      </w:r>
    </w:p>
    <w:p>
      <w:pPr>
        <w:spacing w:line="360" w:lineRule="auto"/>
        <w:ind w:firstLine="549" w:firstLineChars="229"/>
        <w:rPr>
          <w:rFonts w:hint="eastAsia" w:ascii="仿宋" w:hAnsi="仿宋" w:eastAsia="仿宋" w:cs="仿宋"/>
          <w:sz w:val="24"/>
        </w:rPr>
      </w:pPr>
      <w:bookmarkStart w:id="1" w:name="_Hlt91233176"/>
      <w:bookmarkEnd w:id="1"/>
      <w:bookmarkStart w:id="2" w:name="_Toc91899869"/>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rPr>
          <w:rFonts w:hint="eastAsia" w:ascii="仿宋" w:hAnsi="仿宋" w:eastAsia="仿宋" w:cs="仿宋"/>
          <w:sz w:val="24"/>
        </w:rPr>
      </w:pPr>
    </w:p>
    <w:p>
      <w:pPr>
        <w:adjustRightInd/>
        <w:spacing w:line="360" w:lineRule="auto"/>
        <w:jc w:val="center"/>
        <w:outlineLvl w:val="0"/>
        <w:rPr>
          <w:rFonts w:hint="eastAsia" w:ascii="仿宋" w:hAnsi="仿宋" w:eastAsia="仿宋" w:cs="仿宋"/>
          <w:b/>
          <w:sz w:val="36"/>
          <w:szCs w:val="20"/>
        </w:rPr>
      </w:pPr>
      <w:bookmarkStart w:id="3" w:name="第一部分"/>
      <w:r>
        <w:rPr>
          <w:rFonts w:hint="eastAsia" w:ascii="仿宋" w:hAnsi="仿宋" w:eastAsia="仿宋" w:cs="仿宋"/>
          <w:b/>
          <w:sz w:val="36"/>
          <w:szCs w:val="36"/>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仿宋" w:hAnsi="仿宋" w:eastAsia="仿宋" w:cs="仿宋"/>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rPr>
      </w:pPr>
      <w:r>
        <w:rPr>
          <w:rFonts w:hint="eastAsia" w:ascii="仿宋" w:hAnsi="仿宋" w:eastAsia="仿宋" w:cs="仿宋"/>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rPr>
        <w:t>杭州市</w:t>
      </w:r>
      <w:r>
        <w:rPr>
          <w:rFonts w:hint="eastAsia" w:ascii="仿宋" w:hAnsi="仿宋" w:eastAsia="仿宋" w:cs="仿宋"/>
          <w:sz w:val="24"/>
          <w:highlight w:val="none"/>
        </w:rPr>
        <w:t>临安区门户网站升级改造项目招标项目的潜在投标人应在政采云平台（</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"https://www.zcygov.cn/）获取（下载）招标文件，并于2021年" </w:instrText>
      </w:r>
      <w:r>
        <w:rPr>
          <w:rFonts w:hint="eastAsia" w:ascii="仿宋" w:hAnsi="仿宋" w:eastAsia="仿宋" w:cs="仿宋"/>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w:t>
      </w:r>
      <w:r>
        <w:rPr>
          <w:rFonts w:hint="eastAsia" w:ascii="仿宋" w:hAnsi="仿宋" w:eastAsia="仿宋" w:cs="仿宋"/>
          <w:sz w:val="24"/>
          <w:highlight w:val="none"/>
          <w:u w:val="single"/>
        </w:rPr>
        <w:t>202</w:t>
      </w:r>
      <w:r>
        <w:rPr>
          <w:rFonts w:hint="eastAsia" w:ascii="仿宋" w:hAnsi="仿宋" w:eastAsia="仿宋" w:cs="仿宋"/>
          <w:sz w:val="24"/>
          <w:highlight w:val="none"/>
          <w:u w:val="single"/>
          <w:lang w:val="en-US" w:eastAsia="zh-CN"/>
        </w:rPr>
        <w:t>2</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11</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8</w:t>
      </w:r>
      <w:r>
        <w:rPr>
          <w:rFonts w:hint="eastAsia" w:ascii="仿宋" w:hAnsi="仿宋" w:eastAsia="仿宋" w:cs="仿宋"/>
          <w:sz w:val="24"/>
          <w:highlight w:val="none"/>
          <w:u w:val="single"/>
        </w:rPr>
        <w:t>日</w:t>
      </w:r>
      <w:r>
        <w:rPr>
          <w:rFonts w:hint="eastAsia" w:ascii="仿宋" w:hAnsi="仿宋" w:eastAsia="仿宋" w:cs="仿宋"/>
          <w:sz w:val="24"/>
          <w:highlight w:val="none"/>
          <w:u w:val="single"/>
          <w:lang w:val="en-US" w:eastAsia="zh-CN"/>
        </w:rPr>
        <w:t>13</w:t>
      </w:r>
      <w:r>
        <w:rPr>
          <w:rFonts w:hint="eastAsia" w:ascii="仿宋" w:hAnsi="仿宋" w:eastAsia="仿宋" w:cs="仿宋"/>
          <w:sz w:val="24"/>
          <w:highlight w:val="none"/>
          <w:u w:val="single"/>
        </w:rPr>
        <w:t>点</w:t>
      </w:r>
      <w:r>
        <w:rPr>
          <w:rFonts w:hint="eastAsia" w:ascii="仿宋" w:hAnsi="仿宋" w:eastAsia="仿宋" w:cs="仿宋"/>
          <w:sz w:val="24"/>
          <w:highlight w:val="none"/>
          <w:u w:val="single"/>
          <w:lang w:val="en-US" w:eastAsia="zh-CN"/>
        </w:rPr>
        <w:t>30</w:t>
      </w:r>
      <w:r>
        <w:rPr>
          <w:rFonts w:hint="eastAsia" w:ascii="仿宋" w:hAnsi="仿宋" w:eastAsia="仿宋" w:cs="仿宋"/>
          <w:sz w:val="24"/>
          <w:highlight w:val="none"/>
          <w:u w:val="single"/>
        </w:rPr>
        <w:t>分</w:t>
      </w:r>
      <w:r>
        <w:rPr>
          <w:rFonts w:hint="eastAsia" w:ascii="仿宋" w:hAnsi="仿宋" w:eastAsia="仿宋" w:cs="仿宋"/>
          <w:bCs/>
          <w:sz w:val="24"/>
          <w:highlight w:val="none"/>
          <w:u w:val="single"/>
        </w:rPr>
        <w:t>00秒</w:t>
      </w:r>
      <w:r>
        <w:rPr>
          <w:rFonts w:hint="eastAsia" w:ascii="仿宋" w:hAnsi="仿宋" w:eastAsia="仿宋" w:cs="仿宋"/>
          <w:bCs/>
          <w:sz w:val="24"/>
          <w:highlight w:val="none"/>
          <w:u w:val="single"/>
        </w:rPr>
        <w:fldChar w:fldCharType="end"/>
      </w:r>
      <w:r>
        <w:rPr>
          <w:rFonts w:hint="eastAsia" w:ascii="仿宋" w:hAnsi="仿宋" w:eastAsia="仿宋" w:cs="仿宋"/>
          <w:bCs/>
          <w:sz w:val="24"/>
          <w:highlight w:val="none"/>
        </w:rPr>
        <w:t>（北京时间）前</w:t>
      </w:r>
      <w:r>
        <w:rPr>
          <w:rFonts w:hint="eastAsia" w:ascii="仿宋" w:hAnsi="仿宋" w:eastAsia="仿宋" w:cs="仿宋"/>
          <w:sz w:val="24"/>
          <w:highlight w:val="none"/>
        </w:rPr>
        <w:t>递交（上传）投标文件。</w:t>
      </w:r>
    </w:p>
    <w:p>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 xml:space="preserve">一、项目基本情况                                            </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项目编号：</w:t>
      </w:r>
      <w:r>
        <w:rPr>
          <w:rFonts w:hint="eastAsia" w:ascii="仿宋" w:hAnsi="仿宋" w:eastAsia="仿宋" w:cs="仿宋"/>
          <w:b w:val="0"/>
          <w:bCs/>
          <w:sz w:val="24"/>
          <w:highlight w:val="none"/>
          <w:lang w:val="en-US" w:eastAsia="zh-CN"/>
        </w:rPr>
        <w:t>LZC-GK-2022-10068</w:t>
      </w:r>
      <w:bookmarkStart w:id="536" w:name="_GoBack"/>
      <w:bookmarkEnd w:id="536"/>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 xml:space="preserve"> 项目名称：</w:t>
      </w:r>
      <w:r>
        <w:rPr>
          <w:rFonts w:hint="eastAsia" w:ascii="仿宋" w:hAnsi="仿宋" w:eastAsia="仿宋" w:cs="仿宋"/>
          <w:b w:val="0"/>
          <w:bCs/>
          <w:sz w:val="24"/>
          <w:highlight w:val="none"/>
        </w:rPr>
        <w:t>杭州市临安区门户网站升级改造项目</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 xml:space="preserve"> 预算金额（元）：</w:t>
      </w:r>
      <w:r>
        <w:rPr>
          <w:rFonts w:hint="eastAsia" w:ascii="仿宋" w:hAnsi="仿宋" w:eastAsia="仿宋" w:cs="仿宋"/>
          <w:b/>
          <w:sz w:val="24"/>
          <w:highlight w:val="none"/>
          <w:lang w:val="en-US" w:eastAsia="zh-CN"/>
        </w:rPr>
        <w:t>1200000</w:t>
      </w:r>
      <w:r>
        <w:rPr>
          <w:rFonts w:hint="eastAsia" w:ascii="仿宋" w:hAnsi="仿宋" w:eastAsia="仿宋" w:cs="仿宋"/>
          <w:sz w:val="24"/>
          <w:highlight w:val="none"/>
        </w:rPr>
        <w:t xml:space="preserve">  </w:t>
      </w:r>
    </w:p>
    <w:p>
      <w:pPr>
        <w:spacing w:line="360" w:lineRule="auto"/>
        <w:ind w:firstLine="480"/>
        <w:rPr>
          <w:rFonts w:hint="eastAsia" w:ascii="仿宋" w:hAnsi="仿宋" w:eastAsia="仿宋" w:cs="仿宋"/>
          <w:sz w:val="24"/>
          <w:highlight w:val="none"/>
        </w:rPr>
      </w:pPr>
      <w:r>
        <w:rPr>
          <w:rFonts w:hint="eastAsia" w:ascii="仿宋" w:hAnsi="仿宋" w:eastAsia="仿宋" w:cs="仿宋"/>
          <w:b/>
          <w:sz w:val="24"/>
          <w:highlight w:val="none"/>
        </w:rPr>
        <w:t>最高限价（元）：</w:t>
      </w:r>
      <w:r>
        <w:rPr>
          <w:rFonts w:hint="eastAsia" w:ascii="仿宋" w:hAnsi="仿宋" w:eastAsia="仿宋" w:cs="仿宋"/>
          <w:b/>
          <w:sz w:val="24"/>
          <w:highlight w:val="none"/>
          <w:lang w:val="en-US" w:eastAsia="zh-CN"/>
        </w:rPr>
        <w:t>1200000</w:t>
      </w:r>
      <w:r>
        <w:rPr>
          <w:rFonts w:hint="eastAsia" w:ascii="仿宋" w:hAnsi="仿宋" w:eastAsia="仿宋" w:cs="仿宋"/>
          <w:sz w:val="24"/>
          <w:highlight w:val="none"/>
        </w:rPr>
        <w:t xml:space="preserve">  </w:t>
      </w:r>
    </w:p>
    <w:p>
      <w:pPr>
        <w:pStyle w:val="16"/>
        <w:spacing w:line="360" w:lineRule="auto"/>
        <w:ind w:firstLine="480"/>
        <w:rPr>
          <w:rFonts w:hint="eastAsia"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 w:val="0"/>
          <w:bCs/>
          <w:color w:val="auto"/>
          <w:sz w:val="24"/>
          <w:highlight w:val="none"/>
        </w:rPr>
        <w:t>通过门户网站的升级改造，完善杭州市临安区门户网站的建设与维护。从而促进各级政府部门依法行政，提高社会管理和公共服务水平，保障公众知情权、参与权和监督权，加强政府自身建设和推进行政管理体制改革。及时准确地发布政府信息，搭建与公众互动交流平台，拓宽社情民意的表达渠道，着重为公众和企业提供在线办事服务、公益性便民服务。同时优化政府信息管理、信息发布的平台能力，切实提高我区门户网站服务水平，提升我区在全省门户网站工作中的考核成绩</w:t>
      </w:r>
      <w:r>
        <w:rPr>
          <w:rFonts w:hint="eastAsia" w:ascii="仿宋" w:hAnsi="仿宋" w:eastAsia="仿宋" w:cs="仿宋"/>
          <w:b w:val="0"/>
          <w:bCs/>
          <w:snapToGrid/>
          <w:color w:val="auto"/>
          <w:kern w:val="2"/>
          <w:sz w:val="24"/>
          <w:szCs w:val="24"/>
          <w:highlight w:val="none"/>
        </w:rPr>
        <w:t>。详见招标文件第三部分采购需求。</w:t>
      </w:r>
    </w:p>
    <w:p>
      <w:pPr>
        <w:pStyle w:val="128"/>
        <w:ind w:firstLine="482"/>
        <w:outlineLvl w:val="2"/>
        <w:rPr>
          <w:rFonts w:hint="eastAsia" w:ascii="仿宋" w:hAnsi="仿宋" w:eastAsia="仿宋" w:cs="仿宋"/>
          <w:highlight w:val="none"/>
        </w:rPr>
      </w:pPr>
      <w:r>
        <w:rPr>
          <w:rFonts w:hint="eastAsia" w:ascii="仿宋" w:hAnsi="仿宋" w:eastAsia="仿宋" w:cs="仿宋"/>
          <w:b/>
          <w:highlight w:val="none"/>
        </w:rPr>
        <w:t>合同履约期限：</w:t>
      </w:r>
      <w:r>
        <w:rPr>
          <w:rFonts w:hint="eastAsia" w:ascii="仿宋" w:hAnsi="仿宋" w:eastAsia="仿宋" w:cs="仿宋"/>
          <w:b/>
          <w:highlight w:val="none"/>
          <w:lang w:val="zh-CN"/>
        </w:rPr>
        <w:t>总工期为</w:t>
      </w:r>
      <w:r>
        <w:rPr>
          <w:rFonts w:hint="eastAsia" w:ascii="仿宋" w:hAnsi="仿宋" w:eastAsia="仿宋" w:cs="仿宋"/>
          <w:b/>
          <w:highlight w:val="none"/>
        </w:rPr>
        <w:t>4</w:t>
      </w:r>
      <w:r>
        <w:rPr>
          <w:rFonts w:hint="eastAsia" w:ascii="仿宋" w:hAnsi="仿宋" w:eastAsia="仿宋" w:cs="仿宋"/>
          <w:b/>
          <w:highlight w:val="none"/>
          <w:lang w:val="zh-CN"/>
        </w:rPr>
        <w:t>个月，其中建设工期为</w:t>
      </w:r>
      <w:r>
        <w:rPr>
          <w:rFonts w:hint="eastAsia" w:ascii="仿宋" w:hAnsi="仿宋" w:eastAsia="仿宋" w:cs="仿宋"/>
          <w:b/>
          <w:highlight w:val="none"/>
        </w:rPr>
        <w:t>1</w:t>
      </w:r>
      <w:r>
        <w:rPr>
          <w:rFonts w:hint="eastAsia" w:ascii="仿宋" w:hAnsi="仿宋" w:eastAsia="仿宋" w:cs="仿宋"/>
          <w:b/>
          <w:highlight w:val="none"/>
          <w:lang w:val="zh-CN"/>
        </w:rPr>
        <w:t>个月，试运行3个月。</w:t>
      </w:r>
    </w:p>
    <w:p>
      <w:pPr>
        <w:pStyle w:val="16"/>
        <w:spacing w:line="360" w:lineRule="auto"/>
        <w:ind w:firstLine="480"/>
        <w:rPr>
          <w:rFonts w:hint="eastAsia" w:ascii="仿宋" w:hAnsi="仿宋" w:eastAsia="仿宋" w:cs="仿宋"/>
          <w:b/>
          <w:color w:val="auto"/>
        </w:rPr>
      </w:pPr>
      <w:r>
        <w:rPr>
          <w:rFonts w:hint="eastAsia" w:ascii="仿宋" w:hAnsi="仿宋" w:eastAsia="仿宋" w:cs="仿宋"/>
          <w:b/>
          <w:color w:val="auto"/>
          <w:sz w:val="24"/>
        </w:rPr>
        <w:t>本项目接受联合体投标：：</w:t>
      </w:r>
      <w:sdt>
        <w:sdtPr>
          <w:rPr>
            <w:rFonts w:hint="eastAsia" w:ascii="仿宋" w:hAnsi="仿宋" w:eastAsia="仿宋" w:cs="仿宋"/>
            <w:color w:val="auto"/>
            <w:kern w:val="0"/>
            <w:sz w:val="24"/>
          </w:rPr>
          <w:id w:val="-441836950"/>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b/>
          <w:color w:val="auto"/>
          <w:sz w:val="24"/>
        </w:rPr>
        <w:t>是；</w:t>
      </w:r>
      <w:sdt>
        <w:sdtPr>
          <w:rPr>
            <w:rFonts w:hint="eastAsia" w:ascii="仿宋" w:hAnsi="仿宋" w:eastAsia="仿宋" w:cs="仿宋"/>
            <w:color w:val="auto"/>
            <w:kern w:val="0"/>
            <w:sz w:val="24"/>
          </w:rPr>
          <w:id w:val="-1591624199"/>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b/>
          <w:color w:val="auto"/>
          <w:sz w:val="24"/>
        </w:rPr>
        <w:t>否</w:t>
      </w:r>
      <w:r>
        <w:rPr>
          <w:rFonts w:hint="eastAsia" w:ascii="仿宋" w:hAnsi="仿宋" w:eastAsia="仿宋" w:cs="仿宋"/>
          <w:color w:val="auto"/>
          <w:kern w:val="0"/>
          <w:sz w:val="24"/>
        </w:rPr>
        <w:t>。</w:t>
      </w:r>
    </w:p>
    <w:p>
      <w:pPr>
        <w:spacing w:line="360" w:lineRule="auto"/>
        <w:rPr>
          <w:rFonts w:hint="eastAsia" w:ascii="仿宋" w:hAnsi="仿宋" w:eastAsia="仿宋" w:cs="仿宋"/>
          <w:b/>
          <w:sz w:val="24"/>
        </w:rPr>
      </w:pPr>
      <w:r>
        <w:rPr>
          <w:rFonts w:hint="eastAsia" w:ascii="仿宋" w:hAnsi="仿宋" w:eastAsia="仿宋" w:cs="仿宋"/>
          <w:b/>
          <w:sz w:val="24"/>
        </w:rPr>
        <w:t>二、申请人的资格要求：</w:t>
      </w:r>
    </w:p>
    <w:p>
      <w:pPr>
        <w:spacing w:line="360" w:lineRule="auto"/>
        <w:ind w:firstLine="48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 xml:space="preserve">    2.</w:t>
      </w:r>
      <w:r>
        <w:rPr>
          <w:rFonts w:hint="eastAsia" w:ascii="仿宋" w:hAnsi="仿宋" w:eastAsia="仿宋" w:cs="仿宋"/>
        </w:rPr>
        <w:t xml:space="preserve"> </w:t>
      </w:r>
      <w:r>
        <w:rPr>
          <w:rFonts w:hint="eastAsia" w:ascii="仿宋" w:hAnsi="仿宋" w:eastAsia="仿宋" w:cs="仿宋"/>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3.落实政府采购政策需满足的资格要求：</w:t>
      </w:r>
    </w:p>
    <w:p>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192861692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无</w:t>
      </w:r>
      <w:r>
        <w:rPr>
          <w:rFonts w:hint="eastAsia" w:ascii="仿宋" w:hAnsi="仿宋" w:eastAsia="仿宋" w:cs="仿宋"/>
          <w:snapToGrid w:val="0"/>
          <w:kern w:val="28"/>
          <w:sz w:val="24"/>
          <w:szCs w:val="20"/>
        </w:rPr>
        <w:t>（注：不得限制大中型企业与小微企业组成联合体参与投标）；</w:t>
      </w:r>
    </w:p>
    <w:p>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1024704304"/>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专</w:t>
      </w:r>
      <w:r>
        <w:rPr>
          <w:rFonts w:hint="eastAsia" w:ascii="仿宋" w:hAnsi="仿宋" w:eastAsia="仿宋" w:cs="仿宋"/>
          <w:sz w:val="24"/>
        </w:rPr>
        <w:t>门面向中小企业</w:t>
      </w:r>
    </w:p>
    <w:p>
      <w:pPr>
        <w:spacing w:line="360" w:lineRule="auto"/>
        <w:ind w:firstLine="897" w:firstLineChars="374"/>
        <w:rPr>
          <w:rFonts w:hint="eastAsia" w:ascii="仿宋" w:hAnsi="仿宋" w:eastAsia="仿宋" w:cs="仿宋"/>
          <w:sz w:val="24"/>
        </w:rPr>
      </w:pPr>
      <w:sdt>
        <w:sdtPr>
          <w:rPr>
            <w:rFonts w:hint="eastAsia" w:ascii="仿宋" w:hAnsi="仿宋" w:eastAsia="仿宋" w:cs="仿宋"/>
            <w:kern w:val="0"/>
            <w:sz w:val="24"/>
          </w:rPr>
          <w:id w:val="-333685401"/>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sz w:val="24"/>
        </w:rPr>
        <w:t>服务全部由符合政策要求的中小企业承接，提供中小企业声明函；</w:t>
      </w:r>
    </w:p>
    <w:p>
      <w:pPr>
        <w:spacing w:line="360" w:lineRule="auto"/>
        <w:ind w:firstLine="897" w:firstLineChars="374"/>
        <w:rPr>
          <w:rFonts w:hint="eastAsia" w:ascii="仿宋" w:hAnsi="仿宋" w:eastAsia="仿宋" w:cs="仿宋"/>
        </w:rPr>
      </w:pPr>
      <w:sdt>
        <w:sdtPr>
          <w:rPr>
            <w:rFonts w:hint="eastAsia" w:ascii="仿宋" w:hAnsi="仿宋" w:eastAsia="仿宋" w:cs="仿宋"/>
            <w:kern w:val="0"/>
            <w:sz w:val="24"/>
          </w:rPr>
          <w:id w:val="-214102535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szCs w:val="24"/>
              <w:lang w:val="en-US" w:eastAsia="zh-CN" w:bidi="ar-SA"/>
            </w:rPr>
            <w:t>☐</w:t>
          </w:r>
        </w:sdtContent>
      </w:sdt>
      <w:r>
        <w:rPr>
          <w:rFonts w:hint="eastAsia" w:ascii="仿宋" w:hAnsi="仿宋" w:eastAsia="仿宋" w:cs="仿宋"/>
          <w:sz w:val="24"/>
        </w:rPr>
        <w:t>服务全部由符合政策要求的小微企业承接，提供中小企业声明函；</w:t>
      </w:r>
    </w:p>
    <w:p>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198560779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要求以联合体形式参加，提供联合协议和中小企业声明函，联合协议中中小企业合同金额应当达到</w:t>
      </w:r>
      <w:r>
        <w:rPr>
          <w:rFonts w:hint="eastAsia" w:ascii="仿宋" w:hAnsi="仿宋" w:eastAsia="仿宋" w:cs="仿宋"/>
          <w:sz w:val="24"/>
          <w:u w:val="single"/>
        </w:rPr>
        <w:t xml:space="preserve">  </w:t>
      </w:r>
      <w:r>
        <w:rPr>
          <w:rFonts w:hint="eastAsia" w:ascii="仿宋" w:hAnsi="仿宋" w:eastAsia="仿宋" w:cs="仿宋"/>
          <w:sz w:val="24"/>
        </w:rPr>
        <w:t>%，小微企业合同金额应当达到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3463064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要求合同分包，提供分包意向协议和中小企业声明函，分包意向协议中中小企业合同金额应当达到达到</w:t>
      </w:r>
      <w:r>
        <w:rPr>
          <w:rFonts w:hint="eastAsia" w:ascii="仿宋" w:hAnsi="仿宋" w:eastAsia="仿宋" w:cs="仿宋"/>
          <w:sz w:val="24"/>
          <w:u w:val="single"/>
        </w:rPr>
        <w:t xml:space="preserve">  </w:t>
      </w:r>
      <w:r>
        <w:rPr>
          <w:rFonts w:hint="eastAsia" w:ascii="仿宋" w:hAnsi="仿宋" w:eastAsia="仿宋" w:cs="仿宋"/>
          <w:sz w:val="24"/>
        </w:rPr>
        <w:t>% ，小微企业合同金额应当达到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 ;</w:t>
      </w:r>
      <w:r>
        <w:rPr>
          <w:rFonts w:hint="eastAsia" w:ascii="仿宋" w:hAnsi="仿宋" w:eastAsia="仿宋" w:cs="仿宋"/>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4.本项目的特定资格要求：无；</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 w:hAnsi="仿宋" w:eastAsia="仿宋" w:cs="仿宋"/>
          <w:b/>
          <w:sz w:val="24"/>
          <w:highlight w:val="none"/>
        </w:rPr>
      </w:pPr>
      <w:r>
        <w:rPr>
          <w:rFonts w:hint="eastAsia" w:ascii="仿宋" w:hAnsi="仿宋" w:eastAsia="仿宋" w:cs="仿宋"/>
          <w:b/>
          <w:sz w:val="24"/>
        </w:rPr>
        <w:t xml:space="preserve">三、获取招标文件 </w:t>
      </w:r>
    </w:p>
    <w:p>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时间：</w:t>
      </w:r>
      <w:r>
        <w:rPr>
          <w:rFonts w:hint="eastAsia" w:ascii="仿宋" w:hAnsi="仿宋" w:eastAsia="仿宋" w:cs="仿宋"/>
          <w:sz w:val="24"/>
          <w:highlight w:val="none"/>
        </w:rPr>
        <w:t>/至</w:t>
      </w:r>
      <w:r>
        <w:rPr>
          <w:rFonts w:hint="eastAsia" w:ascii="仿宋" w:hAnsi="仿宋" w:eastAsia="仿宋" w:cs="仿宋"/>
          <w:sz w:val="24"/>
          <w:highlight w:val="none"/>
          <w:u w:val="single"/>
        </w:rPr>
        <w:t>202</w:t>
      </w:r>
      <w:r>
        <w:rPr>
          <w:rFonts w:hint="eastAsia" w:ascii="仿宋" w:hAnsi="仿宋" w:eastAsia="仿宋" w:cs="仿宋"/>
          <w:sz w:val="24"/>
          <w:highlight w:val="none"/>
          <w:u w:val="single"/>
          <w:lang w:val="en-US" w:eastAsia="zh-CN"/>
        </w:rPr>
        <w:t>2</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11</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8</w:t>
      </w:r>
      <w:r>
        <w:rPr>
          <w:rFonts w:hint="eastAsia" w:ascii="仿宋" w:hAnsi="仿宋" w:eastAsia="仿宋" w:cs="仿宋"/>
          <w:sz w:val="24"/>
          <w:highlight w:val="none"/>
          <w:u w:val="single"/>
        </w:rPr>
        <w:t>日</w:t>
      </w:r>
      <w:r>
        <w:rPr>
          <w:rFonts w:hint="eastAsia" w:ascii="仿宋" w:hAnsi="仿宋" w:eastAsia="仿宋" w:cs="仿宋"/>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地点（网址）：</w:t>
      </w:r>
      <w:r>
        <w:rPr>
          <w:rFonts w:hint="eastAsia" w:ascii="仿宋" w:hAnsi="仿宋" w:eastAsia="仿宋" w:cs="仿宋"/>
          <w:sz w:val="24"/>
          <w:highlight w:val="none"/>
        </w:rPr>
        <w:t xml:space="preserve">政采云平台（https://www.zcygov.cn/） </w:t>
      </w:r>
    </w:p>
    <w:p>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方式：</w:t>
      </w:r>
      <w:r>
        <w:rPr>
          <w:rFonts w:hint="eastAsia" w:ascii="仿宋" w:hAnsi="仿宋" w:eastAsia="仿宋" w:cs="仿宋"/>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售价（元）：</w:t>
      </w:r>
      <w:r>
        <w:rPr>
          <w:rFonts w:hint="eastAsia" w:ascii="仿宋" w:hAnsi="仿宋" w:eastAsia="仿宋" w:cs="仿宋"/>
          <w:sz w:val="24"/>
          <w:highlight w:val="none"/>
        </w:rPr>
        <w:t xml:space="preserve">0 </w:t>
      </w:r>
      <w:r>
        <w:rPr>
          <w:rFonts w:hint="eastAsia" w:ascii="仿宋" w:hAnsi="仿宋" w:eastAsia="仿宋" w:cs="仿宋"/>
          <w:sz w:val="24"/>
          <w:highlight w:val="none"/>
        </w:rPr>
        <w:tab/>
      </w:r>
    </w:p>
    <w:p>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四、提交投标文件截止时间、开标时间和地点</w:t>
      </w:r>
    </w:p>
    <w:p>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提交投标文件截止时间：</w:t>
      </w:r>
      <w:r>
        <w:rPr>
          <w:rFonts w:hint="eastAsia" w:ascii="仿宋" w:hAnsi="仿宋" w:eastAsia="仿宋" w:cs="仿宋"/>
          <w:sz w:val="24"/>
          <w:highlight w:val="none"/>
          <w:u w:val="single"/>
        </w:rPr>
        <w:t xml:space="preserve"> 202</w:t>
      </w:r>
      <w:r>
        <w:rPr>
          <w:rFonts w:hint="eastAsia" w:ascii="仿宋" w:hAnsi="仿宋" w:eastAsia="仿宋" w:cs="仿宋"/>
          <w:sz w:val="24"/>
          <w:highlight w:val="none"/>
          <w:u w:val="single"/>
          <w:lang w:val="en-US" w:eastAsia="zh-CN"/>
        </w:rPr>
        <w:t>2</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11</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8</w:t>
      </w:r>
      <w:r>
        <w:rPr>
          <w:rFonts w:hint="eastAsia" w:ascii="仿宋" w:hAnsi="仿宋" w:eastAsia="仿宋" w:cs="仿宋"/>
          <w:sz w:val="24"/>
          <w:highlight w:val="none"/>
          <w:u w:val="single"/>
        </w:rPr>
        <w:t>日</w:t>
      </w:r>
      <w:r>
        <w:rPr>
          <w:rFonts w:hint="eastAsia" w:ascii="仿宋" w:hAnsi="仿宋" w:eastAsia="仿宋" w:cs="仿宋"/>
          <w:sz w:val="24"/>
          <w:highlight w:val="none"/>
          <w:u w:val="single"/>
          <w:lang w:val="en-US" w:eastAsia="zh-CN"/>
        </w:rPr>
        <w:t>13</w:t>
      </w:r>
      <w:r>
        <w:rPr>
          <w:rFonts w:hint="eastAsia" w:ascii="仿宋" w:hAnsi="仿宋" w:eastAsia="仿宋" w:cs="仿宋"/>
          <w:sz w:val="24"/>
          <w:highlight w:val="none"/>
          <w:u w:val="single"/>
        </w:rPr>
        <w:t>点</w:t>
      </w:r>
      <w:r>
        <w:rPr>
          <w:rFonts w:hint="eastAsia" w:ascii="仿宋" w:hAnsi="仿宋" w:eastAsia="仿宋" w:cs="仿宋"/>
          <w:sz w:val="24"/>
          <w:highlight w:val="none"/>
          <w:u w:val="single"/>
          <w:lang w:val="en-US" w:eastAsia="zh-CN"/>
        </w:rPr>
        <w:t>30</w:t>
      </w:r>
      <w:r>
        <w:rPr>
          <w:rFonts w:hint="eastAsia" w:ascii="仿宋" w:hAnsi="仿宋" w:eastAsia="仿宋" w:cs="仿宋"/>
          <w:sz w:val="24"/>
          <w:highlight w:val="none"/>
          <w:u w:val="single"/>
        </w:rPr>
        <w:t>分</w:t>
      </w:r>
      <w:r>
        <w:rPr>
          <w:rFonts w:hint="eastAsia" w:ascii="仿宋" w:hAnsi="仿宋" w:eastAsia="仿宋" w:cs="仿宋"/>
          <w:bCs/>
          <w:sz w:val="24"/>
          <w:highlight w:val="none"/>
          <w:u w:val="single"/>
        </w:rPr>
        <w:t xml:space="preserve"> </w:t>
      </w:r>
      <w:r>
        <w:rPr>
          <w:rFonts w:hint="eastAsia" w:ascii="仿宋" w:hAnsi="仿宋" w:eastAsia="仿宋" w:cs="仿宋"/>
          <w:sz w:val="24"/>
          <w:highlight w:val="none"/>
        </w:rPr>
        <w:t>（北京时间）</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投标地点（网址）：</w:t>
      </w:r>
      <w:r>
        <w:rPr>
          <w:rFonts w:hint="eastAsia" w:ascii="仿宋" w:hAnsi="仿宋" w:eastAsia="仿宋" w:cs="仿宋"/>
          <w:sz w:val="24"/>
          <w:highlight w:val="none"/>
        </w:rPr>
        <w:t xml:space="preserve">政采云平台（https://www.zcygov.cn/） </w:t>
      </w:r>
    </w:p>
    <w:p>
      <w:pPr>
        <w:spacing w:line="360" w:lineRule="auto"/>
        <w:ind w:firstLine="482" w:firstLineChars="200"/>
        <w:rPr>
          <w:rFonts w:hint="eastAsia" w:ascii="仿宋" w:hAnsi="仿宋" w:eastAsia="仿宋" w:cs="仿宋"/>
          <w:bCs/>
          <w:sz w:val="24"/>
          <w:highlight w:val="none"/>
          <w:u w:val="single"/>
        </w:rPr>
      </w:pPr>
      <w:r>
        <w:rPr>
          <w:rFonts w:hint="eastAsia" w:ascii="仿宋" w:hAnsi="仿宋" w:eastAsia="仿宋" w:cs="仿宋"/>
          <w:b/>
          <w:sz w:val="24"/>
          <w:highlight w:val="none"/>
        </w:rPr>
        <w:t>开标时间：</w:t>
      </w:r>
      <w:r>
        <w:rPr>
          <w:rFonts w:hint="eastAsia" w:ascii="仿宋" w:hAnsi="仿宋" w:eastAsia="仿宋" w:cs="仿宋"/>
          <w:sz w:val="24"/>
          <w:highlight w:val="none"/>
          <w:u w:val="single"/>
        </w:rPr>
        <w:t>202</w:t>
      </w:r>
      <w:r>
        <w:rPr>
          <w:rFonts w:hint="eastAsia" w:ascii="仿宋" w:hAnsi="仿宋" w:eastAsia="仿宋" w:cs="仿宋"/>
          <w:sz w:val="24"/>
          <w:highlight w:val="none"/>
          <w:u w:val="single"/>
          <w:lang w:val="en-US" w:eastAsia="zh-CN"/>
        </w:rPr>
        <w:t>2</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11</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8</w:t>
      </w:r>
      <w:r>
        <w:rPr>
          <w:rFonts w:hint="eastAsia" w:ascii="仿宋" w:hAnsi="仿宋" w:eastAsia="仿宋" w:cs="仿宋"/>
          <w:sz w:val="24"/>
          <w:highlight w:val="none"/>
          <w:u w:val="single"/>
        </w:rPr>
        <w:t>日</w:t>
      </w:r>
      <w:r>
        <w:rPr>
          <w:rFonts w:hint="eastAsia" w:ascii="仿宋" w:hAnsi="仿宋" w:eastAsia="仿宋" w:cs="仿宋"/>
          <w:sz w:val="24"/>
          <w:highlight w:val="none"/>
          <w:u w:val="single"/>
          <w:lang w:val="en-US" w:eastAsia="zh-CN"/>
        </w:rPr>
        <w:t>13</w:t>
      </w:r>
      <w:r>
        <w:rPr>
          <w:rFonts w:hint="eastAsia" w:ascii="仿宋" w:hAnsi="仿宋" w:eastAsia="仿宋" w:cs="仿宋"/>
          <w:sz w:val="24"/>
          <w:highlight w:val="none"/>
          <w:u w:val="single"/>
        </w:rPr>
        <w:t>点</w:t>
      </w:r>
      <w:r>
        <w:rPr>
          <w:rFonts w:hint="eastAsia" w:ascii="仿宋" w:hAnsi="仿宋" w:eastAsia="仿宋" w:cs="仿宋"/>
          <w:sz w:val="24"/>
          <w:highlight w:val="none"/>
          <w:u w:val="single"/>
          <w:lang w:val="en-US" w:eastAsia="zh-CN"/>
        </w:rPr>
        <w:t>30</w:t>
      </w:r>
      <w:r>
        <w:rPr>
          <w:rFonts w:hint="eastAsia" w:ascii="仿宋" w:hAnsi="仿宋" w:eastAsia="仿宋" w:cs="仿宋"/>
          <w:sz w:val="24"/>
          <w:highlight w:val="none"/>
          <w:u w:val="single"/>
        </w:rPr>
        <w:t>分</w:t>
      </w:r>
      <w:r>
        <w:rPr>
          <w:rFonts w:hint="eastAsia" w:ascii="仿宋" w:hAnsi="仿宋" w:eastAsia="仿宋" w:cs="仿宋"/>
          <w:bCs/>
          <w:sz w:val="24"/>
          <w:highlight w:val="none"/>
          <w:u w:val="single"/>
        </w:rPr>
        <w:t xml:space="preserve"> </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开标地点（网址）：</w:t>
      </w:r>
      <w:r>
        <w:rPr>
          <w:rFonts w:hint="eastAsia" w:ascii="仿宋" w:hAnsi="仿宋" w:eastAsia="仿宋" w:cs="仿宋"/>
          <w:sz w:val="24"/>
        </w:rPr>
        <w:t>政采云平台（https://www.zcygov.cn/）</w:t>
      </w:r>
    </w:p>
    <w:p>
      <w:pPr>
        <w:spacing w:line="360" w:lineRule="auto"/>
        <w:rPr>
          <w:rFonts w:hint="eastAsia" w:ascii="仿宋" w:hAnsi="仿宋" w:eastAsia="仿宋" w:cs="仿宋"/>
          <w:sz w:val="24"/>
        </w:rPr>
      </w:pPr>
      <w:r>
        <w:rPr>
          <w:rFonts w:hint="eastAsia" w:ascii="仿宋" w:hAnsi="仿宋" w:eastAsia="仿宋" w:cs="仿宋"/>
          <w:b/>
          <w:sz w:val="24"/>
        </w:rPr>
        <w:t xml:space="preserve">五、公告期限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自本公告发布之日起5个工作日。</w:t>
      </w:r>
    </w:p>
    <w:p>
      <w:pPr>
        <w:spacing w:line="360" w:lineRule="auto"/>
        <w:rPr>
          <w:rFonts w:hint="eastAsia" w:ascii="仿宋" w:hAnsi="仿宋" w:eastAsia="仿宋" w:cs="仿宋"/>
          <w:b/>
          <w:sz w:val="24"/>
        </w:rPr>
      </w:pPr>
      <w:r>
        <w:rPr>
          <w:rFonts w:hint="eastAsia" w:ascii="仿宋" w:hAnsi="仿宋" w:eastAsia="仿宋" w:cs="仿宋"/>
          <w:b/>
          <w:sz w:val="24"/>
        </w:rPr>
        <w:t>六、其他补充事宜</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仿宋" w:hAnsi="仿宋" w:eastAsia="仿宋" w:cs="仿宋"/>
          <w:b/>
          <w:sz w:val="24"/>
        </w:rPr>
      </w:pPr>
      <w:r>
        <w:rPr>
          <w:rFonts w:hint="eastAsia" w:ascii="仿宋" w:hAnsi="仿宋" w:eastAsia="仿宋" w:cs="仿宋"/>
          <w:b/>
          <w:sz w:val="24"/>
        </w:rPr>
        <w:t>七、对本次采购提出询问、质疑、投诉，请按以下方式联系</w:t>
      </w:r>
    </w:p>
    <w:p>
      <w:pPr>
        <w:spacing w:line="360" w:lineRule="auto"/>
        <w:rPr>
          <w:rFonts w:hint="eastAsia" w:ascii="仿宋" w:hAnsi="仿宋" w:eastAsia="仿宋" w:cs="仿宋"/>
          <w:sz w:val="24"/>
        </w:rPr>
      </w:pPr>
      <w:r>
        <w:rPr>
          <w:rFonts w:hint="eastAsia" w:ascii="仿宋" w:hAnsi="仿宋" w:eastAsia="仿宋" w:cs="仿宋"/>
          <w:sz w:val="24"/>
        </w:rPr>
        <w:t xml:space="preserve">    1.采购人信息</w:t>
      </w:r>
    </w:p>
    <w:p>
      <w:pPr>
        <w:spacing w:line="360" w:lineRule="auto"/>
        <w:rPr>
          <w:rFonts w:hint="eastAsia" w:ascii="仿宋" w:hAnsi="仿宋" w:eastAsia="仿宋" w:cs="仿宋"/>
          <w:sz w:val="24"/>
        </w:rPr>
      </w:pPr>
      <w:r>
        <w:rPr>
          <w:rFonts w:hint="eastAsia" w:ascii="仿宋" w:hAnsi="仿宋" w:eastAsia="仿宋" w:cs="仿宋"/>
          <w:sz w:val="24"/>
        </w:rPr>
        <w:t xml:space="preserve">    名    称：杭州市临安区数据资源管理局 </w:t>
      </w:r>
    </w:p>
    <w:p>
      <w:pPr>
        <w:spacing w:line="360" w:lineRule="auto"/>
        <w:rPr>
          <w:rFonts w:hint="eastAsia" w:ascii="仿宋" w:hAnsi="仿宋" w:eastAsia="仿宋" w:cs="仿宋"/>
          <w:sz w:val="24"/>
        </w:rPr>
      </w:pPr>
      <w:r>
        <w:rPr>
          <w:rFonts w:hint="eastAsia" w:ascii="仿宋" w:hAnsi="仿宋" w:eastAsia="仿宋" w:cs="仿宋"/>
          <w:sz w:val="24"/>
        </w:rPr>
        <w:t xml:space="preserve">    地    址：临安区市民中心2号楼4楼       </w:t>
      </w:r>
    </w:p>
    <w:p>
      <w:pPr>
        <w:spacing w:line="360" w:lineRule="auto"/>
        <w:ind w:firstLine="480"/>
        <w:rPr>
          <w:rFonts w:hint="eastAsia" w:ascii="仿宋" w:hAnsi="仿宋" w:eastAsia="仿宋" w:cs="仿宋"/>
          <w:sz w:val="24"/>
        </w:rPr>
      </w:pPr>
      <w:r>
        <w:rPr>
          <w:rFonts w:hint="eastAsia" w:ascii="仿宋" w:hAnsi="仿宋" w:eastAsia="仿宋" w:cs="仿宋"/>
          <w:sz w:val="24"/>
        </w:rPr>
        <w:t>传    真： /</w:t>
      </w:r>
    </w:p>
    <w:p>
      <w:pPr>
        <w:spacing w:line="360" w:lineRule="auto"/>
        <w:ind w:firstLine="480"/>
        <w:rPr>
          <w:rFonts w:hint="eastAsia" w:ascii="仿宋" w:hAnsi="仿宋" w:eastAsia="仿宋" w:cs="仿宋"/>
          <w:sz w:val="24"/>
        </w:rPr>
      </w:pPr>
      <w:r>
        <w:rPr>
          <w:rFonts w:hint="eastAsia" w:ascii="仿宋" w:hAnsi="仿宋" w:eastAsia="仿宋" w:cs="仿宋"/>
          <w:sz w:val="24"/>
        </w:rPr>
        <w:t xml:space="preserve">项目联系人（询问）：蒋雨婕  </w:t>
      </w:r>
    </w:p>
    <w:p>
      <w:pPr>
        <w:spacing w:line="360" w:lineRule="auto"/>
        <w:rPr>
          <w:rFonts w:hint="eastAsia" w:ascii="仿宋" w:hAnsi="仿宋" w:eastAsia="仿宋" w:cs="仿宋"/>
          <w:sz w:val="24"/>
        </w:rPr>
      </w:pPr>
      <w:r>
        <w:rPr>
          <w:rFonts w:hint="eastAsia" w:ascii="仿宋" w:hAnsi="仿宋" w:eastAsia="仿宋" w:cs="仿宋"/>
          <w:sz w:val="24"/>
        </w:rPr>
        <w:t xml:space="preserve">    项目联系方式（询问）：0571-58606722 </w:t>
      </w:r>
    </w:p>
    <w:p>
      <w:pPr>
        <w:spacing w:line="360" w:lineRule="auto"/>
        <w:rPr>
          <w:rFonts w:hint="eastAsia" w:ascii="仿宋" w:hAnsi="仿宋" w:eastAsia="仿宋" w:cs="仿宋"/>
          <w:sz w:val="24"/>
        </w:rPr>
      </w:pPr>
      <w:r>
        <w:rPr>
          <w:rFonts w:hint="eastAsia" w:ascii="仿宋" w:hAnsi="仿宋" w:eastAsia="仿宋" w:cs="仿宋"/>
          <w:sz w:val="24"/>
        </w:rPr>
        <w:t xml:space="preserve">    质疑联系人：方先生 </w:t>
      </w:r>
    </w:p>
    <w:p>
      <w:pPr>
        <w:spacing w:line="360" w:lineRule="auto"/>
        <w:rPr>
          <w:rFonts w:hint="eastAsia" w:ascii="仿宋" w:hAnsi="仿宋" w:eastAsia="仿宋" w:cs="仿宋"/>
          <w:sz w:val="24"/>
        </w:rPr>
      </w:pPr>
      <w:r>
        <w:rPr>
          <w:rFonts w:hint="eastAsia" w:ascii="仿宋" w:hAnsi="仿宋" w:eastAsia="仿宋" w:cs="仿宋"/>
          <w:sz w:val="24"/>
        </w:rPr>
        <w:t xml:space="preserve">    质疑联系方式：0571-63700016 </w:t>
      </w:r>
    </w:p>
    <w:p>
      <w:pPr>
        <w:spacing w:line="360" w:lineRule="auto"/>
        <w:rPr>
          <w:rFonts w:hint="eastAsia" w:ascii="仿宋" w:hAnsi="仿宋" w:eastAsia="仿宋" w:cs="仿宋"/>
          <w:sz w:val="24"/>
        </w:rPr>
      </w:pPr>
      <w:r>
        <w:rPr>
          <w:rFonts w:hint="eastAsia" w:ascii="仿宋" w:hAnsi="仿宋" w:eastAsia="仿宋" w:cs="仿宋"/>
          <w:sz w:val="24"/>
        </w:rPr>
        <w:t xml:space="preserve">    2.采购代理机构信息            </w:t>
      </w:r>
    </w:p>
    <w:p>
      <w:pPr>
        <w:spacing w:line="360" w:lineRule="auto"/>
        <w:ind w:firstLine="480"/>
        <w:rPr>
          <w:rFonts w:hint="eastAsia" w:ascii="仿宋" w:hAnsi="仿宋" w:eastAsia="仿宋" w:cs="仿宋"/>
          <w:sz w:val="24"/>
        </w:rPr>
      </w:pPr>
      <w:r>
        <w:rPr>
          <w:rFonts w:hint="eastAsia" w:ascii="仿宋" w:hAnsi="仿宋" w:eastAsia="仿宋" w:cs="仿宋"/>
          <w:sz w:val="24"/>
        </w:rPr>
        <w:t>名    称：杭州市公共资源交易中心</w:t>
      </w:r>
      <w:r>
        <w:rPr>
          <w:rFonts w:hint="eastAsia" w:ascii="仿宋" w:hAnsi="仿宋" w:eastAsia="仿宋" w:cs="仿宋"/>
          <w:sz w:val="24"/>
          <w:lang w:eastAsia="zh-CN"/>
        </w:rPr>
        <w:t>临安分中心</w:t>
      </w:r>
    </w:p>
    <w:p>
      <w:pPr>
        <w:spacing w:line="360" w:lineRule="auto"/>
        <w:ind w:firstLine="480"/>
        <w:rPr>
          <w:rFonts w:hint="eastAsia"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lang w:eastAsia="zh-CN"/>
        </w:rPr>
        <w:t>浙江省杭州市临安区锦北街道科技大道</w:t>
      </w:r>
      <w:r>
        <w:rPr>
          <w:rFonts w:hint="eastAsia" w:ascii="仿宋" w:hAnsi="仿宋" w:eastAsia="仿宋" w:cs="仿宋"/>
          <w:sz w:val="24"/>
          <w:lang w:val="en-US" w:eastAsia="zh-CN"/>
        </w:rPr>
        <w:t>4398号市民中心4楼</w:t>
      </w:r>
    </w:p>
    <w:p>
      <w:pPr>
        <w:spacing w:line="360" w:lineRule="auto"/>
        <w:rPr>
          <w:rFonts w:hint="eastAsia" w:ascii="仿宋" w:hAnsi="仿宋" w:eastAsia="仿宋" w:cs="仿宋"/>
          <w:sz w:val="24"/>
        </w:rPr>
      </w:pPr>
      <w:r>
        <w:rPr>
          <w:rFonts w:hint="eastAsia" w:ascii="仿宋" w:hAnsi="仿宋" w:eastAsia="仿宋" w:cs="仿宋"/>
          <w:sz w:val="24"/>
        </w:rPr>
        <w:t xml:space="preserve">    传    真：</w:t>
      </w:r>
      <w:r>
        <w:rPr>
          <w:rFonts w:hint="eastAsia" w:ascii="仿宋" w:hAnsi="仿宋" w:eastAsia="仿宋" w:cs="仿宋"/>
          <w:sz w:val="24"/>
          <w:lang w:val="en-US" w:eastAsia="zh-CN"/>
        </w:rPr>
        <w:t>0571-23616016</w:t>
      </w: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    项目联系人（询问）：</w:t>
      </w:r>
      <w:r>
        <w:rPr>
          <w:rFonts w:hint="eastAsia" w:ascii="仿宋" w:hAnsi="仿宋" w:eastAsia="仿宋" w:cs="仿宋"/>
          <w:sz w:val="24"/>
          <w:lang w:eastAsia="zh-CN"/>
        </w:rPr>
        <w:t>杨颖</w:t>
      </w: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    项目联系方式（询问）：</w:t>
      </w:r>
      <w:r>
        <w:rPr>
          <w:rFonts w:hint="eastAsia" w:ascii="仿宋" w:hAnsi="仿宋" w:eastAsia="仿宋" w:cs="仿宋"/>
          <w:sz w:val="24"/>
          <w:lang w:val="en-US" w:eastAsia="zh-CN"/>
        </w:rPr>
        <w:t>0571-23616011</w:t>
      </w:r>
    </w:p>
    <w:p>
      <w:pPr>
        <w:spacing w:line="360" w:lineRule="auto"/>
        <w:rPr>
          <w:rFonts w:hint="eastAsia" w:ascii="仿宋" w:hAnsi="仿宋" w:eastAsia="仿宋" w:cs="仿宋"/>
          <w:sz w:val="24"/>
        </w:rPr>
      </w:pPr>
      <w:r>
        <w:rPr>
          <w:rFonts w:hint="eastAsia" w:ascii="仿宋" w:hAnsi="仿宋" w:eastAsia="仿宋" w:cs="仿宋"/>
          <w:sz w:val="24"/>
        </w:rPr>
        <w:t xml:space="preserve">    质疑联系人：</w:t>
      </w:r>
      <w:r>
        <w:rPr>
          <w:rFonts w:hint="eastAsia" w:ascii="仿宋" w:hAnsi="仿宋" w:eastAsia="仿宋" w:cs="仿宋"/>
          <w:sz w:val="24"/>
          <w:lang w:eastAsia="zh-CN"/>
        </w:rPr>
        <w:t>王晖</w:t>
      </w: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    质疑联系方式：0571-</w:t>
      </w:r>
      <w:r>
        <w:rPr>
          <w:rFonts w:hint="eastAsia" w:ascii="仿宋" w:hAnsi="仿宋" w:eastAsia="仿宋" w:cs="仿宋"/>
          <w:sz w:val="24"/>
          <w:lang w:val="en-US" w:eastAsia="zh-CN"/>
        </w:rPr>
        <w:t>23616016</w:t>
      </w:r>
    </w:p>
    <w:p>
      <w:pPr>
        <w:spacing w:line="360" w:lineRule="auto"/>
        <w:rPr>
          <w:rFonts w:hint="eastAsia" w:ascii="仿宋" w:hAnsi="仿宋" w:eastAsia="仿宋" w:cs="仿宋"/>
          <w:sz w:val="24"/>
        </w:rPr>
      </w:pPr>
      <w:r>
        <w:rPr>
          <w:rFonts w:hint="eastAsia" w:ascii="仿宋" w:hAnsi="仿宋" w:eastAsia="仿宋" w:cs="仿宋"/>
          <w:sz w:val="24"/>
        </w:rPr>
        <w:t xml:space="preserve">    3.同级政府采购监督管理部门            </w:t>
      </w:r>
    </w:p>
    <w:p>
      <w:pPr>
        <w:spacing w:line="360" w:lineRule="auto"/>
        <w:rPr>
          <w:rFonts w:hint="eastAsia" w:ascii="仿宋" w:hAnsi="仿宋" w:eastAsia="仿宋" w:cs="仿宋"/>
          <w:sz w:val="24"/>
        </w:rPr>
      </w:pPr>
      <w:r>
        <w:rPr>
          <w:rFonts w:hint="eastAsia" w:ascii="仿宋" w:hAnsi="仿宋" w:eastAsia="仿宋" w:cs="仿宋"/>
          <w:sz w:val="24"/>
        </w:rPr>
        <w:t xml:space="preserve">    名    称：杭州市临安区财政局政府采购监督管理科 </w:t>
      </w:r>
    </w:p>
    <w:p>
      <w:pPr>
        <w:spacing w:line="360" w:lineRule="auto"/>
        <w:rPr>
          <w:rFonts w:hint="eastAsia" w:ascii="仿宋" w:hAnsi="仿宋" w:eastAsia="仿宋" w:cs="仿宋"/>
          <w:sz w:val="24"/>
        </w:rPr>
      </w:pPr>
      <w:r>
        <w:rPr>
          <w:rFonts w:hint="eastAsia" w:ascii="仿宋" w:hAnsi="仿宋" w:eastAsia="仿宋" w:cs="仿宋"/>
          <w:sz w:val="24"/>
        </w:rPr>
        <w:t xml:space="preserve">    地    址：浙江</w:t>
      </w:r>
      <w:r>
        <w:rPr>
          <w:rFonts w:hint="eastAsia" w:ascii="仿宋" w:hAnsi="仿宋" w:eastAsia="仿宋" w:cs="仿宋"/>
          <w:sz w:val="24"/>
          <w:lang w:eastAsia="zh-CN"/>
        </w:rPr>
        <w:t>省杭州市临安区锦北街道科技大道</w:t>
      </w:r>
      <w:r>
        <w:rPr>
          <w:rFonts w:hint="eastAsia" w:ascii="仿宋" w:hAnsi="仿宋" w:eastAsia="仿宋" w:cs="仿宋"/>
          <w:sz w:val="24"/>
          <w:lang w:val="en-US" w:eastAsia="zh-CN"/>
        </w:rPr>
        <w:t>4398号4号楼11楼</w:t>
      </w:r>
      <w:r>
        <w:rPr>
          <w:rFonts w:hint="eastAsia" w:ascii="仿宋" w:hAnsi="仿宋" w:eastAsia="仿宋" w:cs="仿宋"/>
          <w:sz w:val="24"/>
        </w:rPr>
        <w:t xml:space="preserve"> </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 xml:space="preserve">  传    真： 0571-63722886</w:t>
      </w:r>
    </w:p>
    <w:p>
      <w:pPr>
        <w:spacing w:line="360" w:lineRule="auto"/>
        <w:rPr>
          <w:rFonts w:hint="eastAsia" w:ascii="仿宋" w:hAnsi="仿宋" w:eastAsia="仿宋" w:cs="仿宋"/>
          <w:sz w:val="24"/>
        </w:rPr>
      </w:pPr>
      <w:r>
        <w:rPr>
          <w:rFonts w:hint="eastAsia" w:ascii="仿宋" w:hAnsi="仿宋" w:eastAsia="仿宋" w:cs="仿宋"/>
          <w:sz w:val="24"/>
        </w:rPr>
        <w:t xml:space="preserve">    联系人 ：喻先生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监督投诉电话：0571-61073953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CA问题联系电话（人工）：汇信CA 400-888-4636；天谷CA 400-087-8198。</w:t>
      </w:r>
    </w:p>
    <w:p>
      <w:pPr>
        <w:pStyle w:val="32"/>
        <w:spacing w:line="360" w:lineRule="auto"/>
        <w:rPr>
          <w:rFonts w:hint="eastAsia" w:ascii="仿宋" w:hAnsi="仿宋" w:eastAsia="仿宋" w:cs="仿宋"/>
          <w:b/>
          <w:sz w:val="36"/>
          <w:szCs w:val="20"/>
        </w:rPr>
      </w:pPr>
      <w:r>
        <w:rPr>
          <w:rFonts w:hint="eastAsia" w:ascii="仿宋" w:hAnsi="仿宋" w:eastAsia="仿宋" w:cs="仿宋"/>
          <w:sz w:val="24"/>
        </w:rPr>
        <w:t xml:space="preserve">                        </w:t>
      </w:r>
      <w:r>
        <w:rPr>
          <w:rFonts w:hint="eastAsia" w:ascii="仿宋" w:hAnsi="仿宋" w:eastAsia="仿宋" w:cs="仿宋"/>
          <w:b/>
          <w:sz w:val="36"/>
          <w:szCs w:val="20"/>
        </w:rPr>
        <w:t>第二部分</w:t>
      </w:r>
      <w:bookmarkEnd w:id="8"/>
      <w:r>
        <w:rPr>
          <w:rFonts w:hint="eastAsia" w:ascii="仿宋" w:hAnsi="仿宋" w:eastAsia="仿宋" w:cs="仿宋"/>
          <w:b/>
          <w:sz w:val="36"/>
          <w:szCs w:val="20"/>
        </w:rPr>
        <w:t xml:space="preserve"> 投标人须知</w:t>
      </w:r>
      <w:bookmarkEnd w:id="9"/>
    </w:p>
    <w:p>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hint="eastAsia" w:ascii="仿宋" w:hAnsi="仿宋" w:eastAsia="仿宋" w:cs="仿宋"/>
                <w:b/>
                <w:sz w:val="24"/>
              </w:rPr>
            </w:pPr>
            <w:r>
              <w:rPr>
                <w:rFonts w:hint="eastAsia" w:ascii="仿宋" w:hAnsi="仿宋" w:eastAsia="仿宋" w:cs="仿宋"/>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lang w:val="en-US"/>
              </w:rPr>
            </w:pPr>
            <w:r>
              <w:rPr>
                <w:rFonts w:hint="eastAsia" w:ascii="仿宋" w:hAnsi="仿宋" w:eastAsia="仿宋" w:cs="仿宋"/>
                <w:kern w:val="0"/>
                <w:sz w:val="24"/>
              </w:rPr>
              <w:t>标的：</w:t>
            </w:r>
            <w:r>
              <w:rPr>
                <w:rFonts w:hint="eastAsia" w:ascii="仿宋" w:hAnsi="仿宋" w:eastAsia="仿宋" w:cs="仿宋"/>
                <w:b/>
                <w:bCs/>
                <w:kern w:val="0"/>
                <w:sz w:val="24"/>
                <w:u w:val="single"/>
              </w:rPr>
              <w:t>临安区门户网站升级改造</w:t>
            </w:r>
            <w:r>
              <w:rPr>
                <w:rFonts w:hint="eastAsia" w:ascii="仿宋" w:hAnsi="仿宋" w:eastAsia="仿宋" w:cs="仿宋"/>
                <w:kern w:val="0"/>
                <w:sz w:val="24"/>
              </w:rPr>
              <w:t>，属于</w:t>
            </w:r>
            <w:r>
              <w:rPr>
                <w:rFonts w:hint="eastAsia" w:ascii="仿宋" w:hAnsi="仿宋" w:eastAsia="仿宋" w:cs="仿宋"/>
                <w:b/>
                <w:bCs/>
                <w:kern w:val="0"/>
                <w:sz w:val="24"/>
                <w:u w:val="single"/>
                <w:lang w:eastAsia="zh-CN"/>
              </w:rPr>
              <w:t>软件和信息技术服务业</w:t>
            </w:r>
            <w:r>
              <w:rPr>
                <w:rFonts w:hint="eastAsia" w:ascii="仿宋" w:hAnsi="仿宋" w:eastAsia="仿宋" w:cs="仿宋"/>
                <w:kern w:val="0"/>
                <w:sz w:val="24"/>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kern w:val="0"/>
                <w:sz w:val="24"/>
              </w:rPr>
            </w:pPr>
            <w:sdt>
              <w:sdtPr>
                <w:rPr>
                  <w:rFonts w:hint="eastAsia" w:ascii="仿宋" w:hAnsi="仿宋" w:eastAsia="仿宋" w:cs="仿宋"/>
                  <w:kern w:val="0"/>
                  <w:sz w:val="24"/>
                </w:rPr>
                <w:id w:val="-1828425707"/>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本项目不允许采购进口产品。</w:t>
            </w:r>
          </w:p>
          <w:p>
            <w:pPr>
              <w:spacing w:line="360" w:lineRule="auto"/>
              <w:rPr>
                <w:rFonts w:hint="eastAsia" w:ascii="仿宋" w:hAnsi="仿宋" w:eastAsia="仿宋" w:cs="仿宋"/>
              </w:rPr>
            </w:pPr>
            <w:sdt>
              <w:sdtPr>
                <w:rPr>
                  <w:rFonts w:hint="eastAsia" w:ascii="仿宋" w:hAnsi="仿宋" w:eastAsia="仿宋" w:cs="仿宋"/>
                  <w:kern w:val="0"/>
                  <w:sz w:val="24"/>
                </w:rPr>
                <w:id w:val="-5285282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可以就</w:t>
            </w:r>
            <w:r>
              <w:rPr>
                <w:rFonts w:hint="eastAsia" w:ascii="仿宋" w:hAnsi="仿宋" w:eastAsia="仿宋" w:cs="仿宋"/>
                <w:sz w:val="24"/>
                <w:u w:val="single"/>
              </w:rPr>
              <w:t xml:space="preserve">    </w:t>
            </w:r>
            <w:r>
              <w:rPr>
                <w:rFonts w:hint="eastAsia" w:ascii="仿宋" w:hAnsi="仿宋" w:eastAsia="仿宋" w:cs="仿宋"/>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rPr>
            </w:pPr>
            <w:sdt>
              <w:sdtPr>
                <w:rPr>
                  <w:rFonts w:hint="eastAsia" w:ascii="仿宋" w:hAnsi="仿宋" w:eastAsia="仿宋" w:cs="仿宋"/>
                  <w:kern w:val="0"/>
                  <w:sz w:val="24"/>
                </w:rPr>
                <w:id w:val="-1477286927"/>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szCs w:val="24"/>
                    <w:lang w:val="en-US" w:eastAsia="zh-CN" w:bidi="ar-SA"/>
                  </w:rPr>
                  <w:t>☐</w:t>
                </w:r>
              </w:sdtContent>
            </w:sdt>
            <w:r>
              <w:rPr>
                <w:rFonts w:hint="eastAsia" w:ascii="仿宋" w:hAnsi="仿宋" w:eastAsia="仿宋" w:cs="仿宋"/>
                <w:kern w:val="0"/>
                <w:sz w:val="24"/>
              </w:rPr>
              <w:t xml:space="preserve"> A</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rPr>
              <w:t>工作分包。</w:t>
            </w:r>
            <w:sdt>
              <w:sdtPr>
                <w:rPr>
                  <w:rFonts w:hint="eastAsia" w:ascii="仿宋" w:hAnsi="仿宋" w:eastAsia="仿宋" w:cs="仿宋"/>
                  <w:kern w:val="0"/>
                  <w:sz w:val="24"/>
                </w:rPr>
                <w:id w:val="-1276331357"/>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 xml:space="preserve"> B</w:t>
            </w:r>
            <w:r>
              <w:rPr>
                <w:rFonts w:hint="eastAsia" w:ascii="仿宋" w:hAnsi="仿宋" w:eastAsia="仿宋" w:cs="仿宋"/>
                <w:sz w:val="24"/>
              </w:rPr>
              <w:t>不同意分包。</w:t>
            </w:r>
          </w:p>
          <w:p>
            <w:pPr>
              <w:spacing w:line="360" w:lineRule="auto"/>
              <w:rPr>
                <w:rFonts w:hint="eastAsia" w:ascii="仿宋" w:hAnsi="仿宋" w:eastAsia="仿宋" w:cs="仿宋"/>
                <w:sz w:val="24"/>
              </w:rPr>
            </w:pPr>
            <w:r>
              <w:rPr>
                <w:rFonts w:hint="eastAsia" w:ascii="仿宋" w:hAnsi="仿宋" w:eastAsia="仿宋" w:cs="仿宋"/>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rPr>
            </w:pPr>
            <w:sdt>
              <w:sdtPr>
                <w:rPr>
                  <w:rFonts w:hint="eastAsia" w:ascii="仿宋" w:hAnsi="仿宋" w:eastAsia="仿宋" w:cs="仿宋"/>
                  <w:kern w:val="0"/>
                  <w:sz w:val="24"/>
                </w:rPr>
                <w:id w:val="-21296641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A</w:t>
            </w:r>
            <w:r>
              <w:rPr>
                <w:rFonts w:hint="eastAsia" w:ascii="仿宋" w:hAnsi="仿宋" w:eastAsia="仿宋" w:cs="仿宋"/>
                <w:sz w:val="24"/>
              </w:rPr>
              <w:t>不组织。</w:t>
            </w:r>
          </w:p>
          <w:p>
            <w:pPr>
              <w:spacing w:line="360" w:lineRule="auto"/>
              <w:rPr>
                <w:rFonts w:hint="eastAsia" w:ascii="仿宋" w:hAnsi="仿宋" w:eastAsia="仿宋" w:cs="仿宋"/>
                <w:sz w:val="24"/>
                <w:szCs w:val="20"/>
              </w:rPr>
            </w:pPr>
            <w:sdt>
              <w:sdtPr>
                <w:rPr>
                  <w:rFonts w:hint="eastAsia" w:ascii="仿宋" w:hAnsi="仿宋" w:eastAsia="仿宋" w:cs="仿宋"/>
                  <w:kern w:val="0"/>
                  <w:sz w:val="24"/>
                </w:rPr>
                <w:id w:val="-99980297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rPr>
            </w:pPr>
            <w:sdt>
              <w:sdtPr>
                <w:rPr>
                  <w:rFonts w:hint="eastAsia" w:ascii="仿宋" w:hAnsi="仿宋" w:eastAsia="仿宋" w:cs="仿宋"/>
                  <w:kern w:val="0"/>
                  <w:sz w:val="24"/>
                </w:rPr>
                <w:id w:val="-163994648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A</w:t>
            </w:r>
            <w:r>
              <w:rPr>
                <w:rFonts w:hint="eastAsia" w:ascii="仿宋" w:hAnsi="仿宋" w:eastAsia="仿宋" w:cs="仿宋"/>
                <w:sz w:val="24"/>
              </w:rPr>
              <w:t>不要求提供。</w:t>
            </w:r>
          </w:p>
          <w:p>
            <w:pPr>
              <w:spacing w:line="360" w:lineRule="auto"/>
              <w:rPr>
                <w:rFonts w:hint="eastAsia" w:ascii="仿宋" w:hAnsi="仿宋" w:eastAsia="仿宋" w:cs="仿宋"/>
                <w:kern w:val="0"/>
                <w:sz w:val="24"/>
              </w:rPr>
            </w:pPr>
            <w:sdt>
              <w:sdtPr>
                <w:rPr>
                  <w:rFonts w:hint="eastAsia" w:ascii="仿宋" w:hAnsi="仿宋" w:eastAsia="仿宋" w:cs="仿宋"/>
                  <w:kern w:val="0"/>
                  <w:sz w:val="24"/>
                </w:rPr>
                <w:id w:val="102683198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B要求提供，</w:t>
            </w:r>
          </w:p>
          <w:p>
            <w:pPr>
              <w:spacing w:line="360" w:lineRule="auto"/>
              <w:rPr>
                <w:rFonts w:hint="eastAsia"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napToGrid w:val="0"/>
                <w:kern w:val="28"/>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pPr>
              <w:spacing w:line="360" w:lineRule="auto"/>
              <w:rPr>
                <w:rFonts w:hint="eastAsia"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pPr>
              <w:spacing w:line="360" w:lineRule="auto"/>
              <w:rPr>
                <w:rFonts w:hint="eastAsia"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pPr>
              <w:spacing w:line="360" w:lineRule="auto"/>
              <w:rPr>
                <w:rFonts w:hint="eastAsia" w:ascii="仿宋" w:hAnsi="仿宋" w:eastAsia="仿宋" w:cs="仿宋"/>
                <w:kern w:val="0"/>
                <w:sz w:val="24"/>
              </w:rPr>
            </w:pPr>
            <w:r>
              <w:rPr>
                <w:rFonts w:hint="eastAsia" w:ascii="仿宋" w:hAnsi="仿宋" w:eastAsia="仿宋" w:cs="仿宋"/>
                <w:kern w:val="0"/>
                <w:sz w:val="24"/>
              </w:rPr>
              <w:t>（4）是否需要随样品提交检测报告：</w:t>
            </w:r>
            <w:sdt>
              <w:sdtPr>
                <w:rPr>
                  <w:rFonts w:hint="eastAsia" w:ascii="仿宋" w:hAnsi="仿宋" w:eastAsia="仿宋" w:cs="仿宋"/>
                  <w:kern w:val="0"/>
                  <w:sz w:val="24"/>
                </w:rPr>
                <w:id w:val="1303421454"/>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否；</w:t>
            </w:r>
            <w:sdt>
              <w:sdtPr>
                <w:rPr>
                  <w:rFonts w:hint="eastAsia" w:ascii="仿宋" w:hAnsi="仿宋" w:eastAsia="仿宋" w:cs="仿宋"/>
                  <w:kern w:val="0"/>
                  <w:sz w:val="24"/>
                </w:rPr>
                <w:id w:val="162172843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pPr>
              <w:spacing w:line="360" w:lineRule="auto"/>
              <w:rPr>
                <w:rFonts w:hint="eastAsia"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pPr>
              <w:spacing w:line="360" w:lineRule="auto"/>
              <w:rPr>
                <w:rFonts w:hint="eastAsia" w:ascii="仿宋" w:hAnsi="仿宋" w:eastAsia="仿宋" w:cs="仿宋"/>
                <w:sz w:val="24"/>
              </w:rPr>
            </w:pPr>
            <w:r>
              <w:rPr>
                <w:rFonts w:hint="eastAsia" w:ascii="仿宋" w:hAnsi="仿宋" w:eastAsia="仿宋" w:cs="仿宋"/>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hint="eastAsia" w:ascii="仿宋" w:hAnsi="仿宋" w:eastAsia="仿宋" w:cs="仿宋"/>
                <w:b/>
                <w:sz w:val="24"/>
              </w:rPr>
            </w:pPr>
            <w:r>
              <w:rPr>
                <w:rFonts w:hint="eastAsia" w:ascii="仿宋" w:hAnsi="仿宋" w:eastAsia="仿宋" w:cs="仿宋"/>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Cs/>
                <w:sz w:val="24"/>
              </w:rPr>
            </w:pPr>
            <w:r>
              <w:rPr>
                <w:rFonts w:hint="eastAsia" w:ascii="仿宋" w:hAnsi="仿宋" w:eastAsia="仿宋" w:cs="仿宋"/>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rPr>
            </w:pPr>
            <w:sdt>
              <w:sdtPr>
                <w:rPr>
                  <w:rFonts w:hint="eastAsia" w:ascii="仿宋" w:hAnsi="仿宋" w:eastAsia="仿宋" w:cs="仿宋"/>
                  <w:kern w:val="0"/>
                  <w:sz w:val="24"/>
                </w:rPr>
                <w:id w:val="-185934854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A</w:t>
            </w:r>
            <w:r>
              <w:rPr>
                <w:rFonts w:hint="eastAsia" w:ascii="仿宋" w:hAnsi="仿宋" w:eastAsia="仿宋" w:cs="仿宋"/>
                <w:sz w:val="24"/>
              </w:rPr>
              <w:t>不组织。</w:t>
            </w:r>
          </w:p>
          <w:p>
            <w:pPr>
              <w:spacing w:line="360" w:lineRule="auto"/>
              <w:rPr>
                <w:rFonts w:hint="eastAsia" w:ascii="仿宋" w:hAnsi="仿宋" w:eastAsia="仿宋" w:cs="仿宋"/>
                <w:kern w:val="0"/>
                <w:sz w:val="24"/>
              </w:rPr>
            </w:pPr>
            <w:sdt>
              <w:sdtPr>
                <w:rPr>
                  <w:rFonts w:hint="eastAsia" w:ascii="仿宋" w:hAnsi="仿宋" w:eastAsia="仿宋" w:cs="仿宋"/>
                  <w:kern w:val="0"/>
                  <w:sz w:val="24"/>
                </w:rPr>
                <w:id w:val="1174071719"/>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（2）方案讲解演示可选择以下其中一种方式：</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方式一：政采云平台在线讲解演示。政采云平台在线讲解需投标人根据政采云平台操作要求做好准备工作，提前完善软硬件配置环境。</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方式二：交易中心现场讲解演示。现场讲解地点为</w:t>
            </w:r>
            <w:r>
              <w:rPr>
                <w:rFonts w:hint="eastAsia" w:ascii="仿宋" w:hAnsi="仿宋" w:eastAsia="仿宋" w:cs="仿宋"/>
                <w:sz w:val="24"/>
                <w:u w:val="single"/>
              </w:rPr>
              <w:t xml:space="preserve">    </w:t>
            </w:r>
            <w:r>
              <w:rPr>
                <w:rFonts w:hint="eastAsia" w:ascii="仿宋" w:hAnsi="仿宋" w:eastAsia="仿宋" w:cs="仿宋"/>
                <w:kern w:val="0"/>
                <w:sz w:val="24"/>
              </w:rPr>
              <w:t>，讲解演示所用电脑等设备由投标人自备。现场讲解演示人员进场时提供讲解人员名单（加盖公章或授权代表签名）及身份证明，否则不得讲解演示。</w:t>
            </w:r>
          </w:p>
          <w:p>
            <w:pPr>
              <w:snapToGrid w:val="0"/>
              <w:spacing w:line="360" w:lineRule="auto"/>
              <w:rPr>
                <w:rFonts w:hint="eastAsia" w:ascii="仿宋" w:hAnsi="仿宋" w:eastAsia="仿宋" w:cs="仿宋"/>
                <w:b/>
                <w:kern w:val="0"/>
                <w:sz w:val="24"/>
                <w:lang w:val="zh-CN"/>
              </w:rPr>
            </w:pPr>
            <w:r>
              <w:rPr>
                <w:rFonts w:hint="eastAsia" w:ascii="仿宋" w:hAnsi="仿宋" w:eastAsia="仿宋" w:cs="仿宋"/>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（1）资格证明文件：见招标文件第二部分11.1。</w:t>
            </w:r>
          </w:p>
          <w:p>
            <w:pPr>
              <w:spacing w:line="360" w:lineRule="auto"/>
              <w:rPr>
                <w:rFonts w:hint="eastAsia" w:ascii="仿宋" w:hAnsi="仿宋" w:eastAsia="仿宋" w:cs="仿宋"/>
                <w:snapToGrid w:val="0"/>
                <w:kern w:val="0"/>
                <w:szCs w:val="21"/>
              </w:rPr>
            </w:pPr>
            <w:r>
              <w:rPr>
                <w:rFonts w:hint="eastAsia" w:ascii="仿宋" w:hAnsi="仿宋" w:eastAsia="仿宋" w:cs="仿宋"/>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rPr>
            </w:pPr>
            <w:r>
              <w:rPr>
                <w:rFonts w:hint="eastAsia" w:ascii="仿宋" w:hAnsi="仿宋" w:eastAsia="仿宋" w:cs="仿宋"/>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仿宋" w:hAnsi="仿宋" w:eastAsia="仿宋" w:cs="仿宋"/>
                <w:b/>
                <w:kern w:val="0"/>
                <w:sz w:val="24"/>
                <w:lang w:val="zh-CN"/>
              </w:rPr>
            </w:pPr>
            <w:r>
              <w:rPr>
                <w:rFonts w:hint="eastAsia" w:ascii="仿宋" w:hAnsi="仿宋" w:eastAsia="仿宋" w:cs="仿宋"/>
                <w:kern w:val="0"/>
                <w:sz w:val="24"/>
                <w:lang w:val="zh-CN"/>
              </w:rPr>
              <w:t>有关本项目实施所需的所有费用（含税费）均计入报价。</w:t>
            </w:r>
            <w:r>
              <w:rPr>
                <w:rFonts w:hint="eastAsia" w:ascii="仿宋" w:hAnsi="仿宋" w:eastAsia="仿宋" w:cs="仿宋"/>
                <w:sz w:val="24"/>
              </w:rPr>
              <w:t>开标一览表（报价表）是报价的唯一载体</w:t>
            </w:r>
            <w:r>
              <w:rPr>
                <w:rFonts w:hint="eastAsia" w:ascii="仿宋" w:hAnsi="仿宋" w:eastAsia="仿宋" w:cs="仿宋"/>
                <w:kern w:val="0"/>
                <w:sz w:val="24"/>
                <w:lang w:val="zh-CN"/>
              </w:rPr>
              <w:t>。投标文件中价格全部采用人民币报价。招标文件未列明，而投标人认为必需的费用也需列入报价。</w:t>
            </w:r>
            <w:r>
              <w:rPr>
                <w:rFonts w:hint="eastAsia" w:ascii="仿宋" w:hAnsi="仿宋" w:eastAsia="仿宋" w:cs="仿宋"/>
                <w:b/>
                <w:kern w:val="0"/>
                <w:sz w:val="24"/>
                <w:lang w:val="zh-CN"/>
              </w:rPr>
              <w:t>提醒：验收时检测费用由采购人承担，不包含在投标总价中。</w:t>
            </w:r>
          </w:p>
          <w:p>
            <w:pPr>
              <w:snapToGrid w:val="0"/>
              <w:spacing w:line="360" w:lineRule="auto"/>
              <w:jc w:val="left"/>
              <w:rPr>
                <w:rFonts w:hint="eastAsia"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pPr>
              <w:snapToGrid w:val="0"/>
              <w:spacing w:line="360" w:lineRule="auto"/>
              <w:ind w:firstLine="241" w:firstLineChars="100"/>
              <w:jc w:val="left"/>
              <w:rPr>
                <w:rFonts w:hint="eastAsia" w:ascii="仿宋" w:hAnsi="仿宋" w:eastAsia="仿宋" w:cs="仿宋"/>
                <w:b/>
                <w:kern w:val="0"/>
                <w:sz w:val="24"/>
                <w:lang w:val="zh-CN"/>
              </w:rPr>
            </w:pPr>
            <w:r>
              <w:rPr>
                <w:rFonts w:hint="eastAsia" w:ascii="仿宋" w:hAnsi="仿宋" w:eastAsia="仿宋" w:cs="仿宋"/>
                <w:b/>
                <w:kern w:val="0"/>
                <w:sz w:val="24"/>
                <w:lang w:val="zh-CN"/>
              </w:rPr>
              <w:t>投标文件出现不是唯一的、有选择性投标报价的；</w:t>
            </w:r>
          </w:p>
          <w:p>
            <w:pPr>
              <w:snapToGrid w:val="0"/>
              <w:spacing w:line="360" w:lineRule="auto"/>
              <w:ind w:firstLine="241" w:firstLineChars="100"/>
              <w:jc w:val="left"/>
              <w:rPr>
                <w:rFonts w:hint="eastAsia" w:ascii="仿宋" w:hAnsi="仿宋" w:eastAsia="仿宋" w:cs="仿宋"/>
                <w:kern w:val="0"/>
                <w:sz w:val="24"/>
                <w:lang w:val="zh-CN"/>
              </w:rPr>
            </w:pPr>
            <w:r>
              <w:rPr>
                <w:rFonts w:hint="eastAsia" w:ascii="仿宋" w:hAnsi="仿宋" w:eastAsia="仿宋" w:cs="仿宋"/>
                <w:b/>
                <w:kern w:val="0"/>
                <w:sz w:val="24"/>
                <w:lang w:val="zh-CN"/>
              </w:rPr>
              <w:t>投标报价超过招标文件中规定的预算金额或者最高限价的;</w:t>
            </w:r>
          </w:p>
          <w:p>
            <w:pPr>
              <w:spacing w:line="360" w:lineRule="auto"/>
              <w:ind w:firstLine="241" w:firstLineChars="100"/>
              <w:rPr>
                <w:rFonts w:hint="eastAsia" w:ascii="仿宋" w:hAnsi="仿宋" w:eastAsia="仿宋" w:cs="仿宋"/>
                <w:b/>
                <w:sz w:val="24"/>
              </w:rPr>
            </w:pPr>
            <w:r>
              <w:rPr>
                <w:rFonts w:hint="eastAsia" w:ascii="仿宋" w:hAnsi="仿宋" w:eastAsia="仿宋" w:cs="仿宋"/>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pPr>
              <w:spacing w:line="360" w:lineRule="auto"/>
              <w:ind w:firstLine="241" w:firstLineChars="100"/>
              <w:rPr>
                <w:rFonts w:hint="eastAsia" w:ascii="仿宋" w:hAnsi="仿宋" w:eastAsia="仿宋" w:cs="仿宋"/>
                <w:sz w:val="24"/>
              </w:rPr>
            </w:pPr>
            <w:r>
              <w:rPr>
                <w:rFonts w:hint="eastAsia" w:ascii="仿宋" w:hAnsi="仿宋" w:eastAsia="仿宋" w:cs="仿宋"/>
                <w:b/>
                <w:kern w:val="0"/>
                <w:sz w:val="24"/>
              </w:rPr>
              <w:t>投标人对根据修正原则修正后的报价不确认的</w:t>
            </w:r>
            <w:r>
              <w:rPr>
                <w:rFonts w:hint="eastAsia" w:ascii="仿宋" w:hAnsi="仿宋" w:eastAsia="仿宋" w:cs="仿宋"/>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 w:hAnsi="仿宋" w:eastAsia="仿宋" w:cs="仿宋"/>
                <w:sz w:val="24"/>
              </w:rPr>
            </w:pPr>
            <w:r>
              <w:rPr>
                <w:rFonts w:hint="eastAsia" w:ascii="仿宋" w:hAnsi="仿宋" w:eastAsia="仿宋" w:cs="仿宋"/>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rPr>
                <w:rFonts w:hint="eastAsia" w:ascii="仿宋" w:hAnsi="仿宋" w:eastAsia="仿宋" w:cs="仿宋"/>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hint="eastAsia" w:ascii="仿宋" w:hAnsi="仿宋" w:eastAsia="仿宋" w:cs="仿宋"/>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hint="eastAsia" w:ascii="仿宋" w:hAnsi="仿宋" w:eastAsia="仿宋" w:cs="仿宋"/>
                <w:kern w:val="28"/>
                <w:sz w:val="24"/>
              </w:rPr>
            </w:pPr>
            <w:r>
              <w:rPr>
                <w:rFonts w:hint="eastAsia" w:ascii="仿宋" w:hAnsi="仿宋" w:eastAsia="仿宋" w:cs="仿宋"/>
                <w:kern w:val="28"/>
                <w:sz w:val="24"/>
                <w:szCs w:val="24"/>
              </w:rPr>
              <w:t>备份投标文件送达地点：</w:t>
            </w:r>
            <w:r>
              <w:rPr>
                <w:rFonts w:hint="eastAsia" w:ascii="仿宋" w:hAnsi="仿宋" w:eastAsia="仿宋" w:cs="仿宋"/>
                <w:kern w:val="28"/>
                <w:sz w:val="24"/>
                <w:szCs w:val="24"/>
                <w:u w:val="single"/>
              </w:rPr>
              <w:t>杭州市</w:t>
            </w:r>
            <w:r>
              <w:rPr>
                <w:rFonts w:hint="eastAsia" w:ascii="仿宋" w:hAnsi="仿宋" w:eastAsia="仿宋" w:cs="仿宋"/>
                <w:kern w:val="28"/>
                <w:sz w:val="24"/>
                <w:szCs w:val="24"/>
                <w:u w:val="single"/>
                <w:lang w:eastAsia="zh-CN"/>
              </w:rPr>
              <w:t>临安区锦北街道科技大道</w:t>
            </w:r>
            <w:r>
              <w:rPr>
                <w:rFonts w:hint="eastAsia" w:ascii="仿宋" w:hAnsi="仿宋" w:eastAsia="仿宋" w:cs="仿宋"/>
                <w:kern w:val="28"/>
                <w:sz w:val="24"/>
                <w:szCs w:val="24"/>
                <w:u w:val="single"/>
                <w:lang w:val="en-US" w:eastAsia="zh-CN"/>
              </w:rPr>
              <w:t>4398号市民中心B座B448室</w:t>
            </w:r>
            <w:r>
              <w:rPr>
                <w:rFonts w:hint="eastAsia" w:ascii="仿宋" w:hAnsi="仿宋" w:eastAsia="仿宋" w:cs="仿宋"/>
                <w:kern w:val="28"/>
                <w:sz w:val="24"/>
                <w:szCs w:val="24"/>
                <w:u w:val="single"/>
              </w:rPr>
              <w:t>（杭州市公共资源交易中心</w:t>
            </w:r>
            <w:r>
              <w:rPr>
                <w:rFonts w:hint="eastAsia" w:ascii="仿宋" w:hAnsi="仿宋" w:eastAsia="仿宋" w:cs="仿宋"/>
                <w:kern w:val="28"/>
                <w:sz w:val="24"/>
                <w:szCs w:val="24"/>
                <w:u w:val="single"/>
                <w:lang w:eastAsia="zh-CN"/>
              </w:rPr>
              <w:t>临安分中心</w:t>
            </w:r>
            <w:r>
              <w:rPr>
                <w:rFonts w:hint="eastAsia" w:ascii="仿宋" w:hAnsi="仿宋" w:eastAsia="仿宋" w:cs="仿宋"/>
                <w:kern w:val="28"/>
                <w:sz w:val="24"/>
                <w:szCs w:val="24"/>
                <w:u w:val="single"/>
              </w:rPr>
              <w:t>政府采购</w:t>
            </w:r>
            <w:r>
              <w:rPr>
                <w:rFonts w:hint="eastAsia" w:ascii="仿宋" w:hAnsi="仿宋" w:eastAsia="仿宋" w:cs="仿宋"/>
                <w:kern w:val="28"/>
                <w:sz w:val="24"/>
                <w:szCs w:val="24"/>
                <w:u w:val="single"/>
                <w:lang w:eastAsia="zh-CN"/>
              </w:rPr>
              <w:t>科</w:t>
            </w:r>
            <w:r>
              <w:rPr>
                <w:rFonts w:hint="eastAsia" w:ascii="仿宋" w:hAnsi="仿宋" w:eastAsia="仿宋" w:cs="仿宋"/>
                <w:kern w:val="28"/>
                <w:sz w:val="24"/>
                <w:szCs w:val="24"/>
                <w:u w:val="single"/>
              </w:rPr>
              <w:t>） ；备份投标文件签收人员联系电话：0571-</w:t>
            </w:r>
            <w:r>
              <w:rPr>
                <w:rFonts w:hint="eastAsia" w:ascii="仿宋" w:hAnsi="仿宋" w:eastAsia="仿宋" w:cs="仿宋"/>
                <w:kern w:val="28"/>
                <w:sz w:val="24"/>
                <w:szCs w:val="24"/>
                <w:u w:val="single"/>
                <w:lang w:val="en-US" w:eastAsia="zh-CN"/>
              </w:rPr>
              <w:t>23616011</w:t>
            </w:r>
            <w:r>
              <w:rPr>
                <w:rFonts w:hint="eastAsia" w:ascii="仿宋" w:hAnsi="仿宋" w:eastAsia="仿宋" w:cs="仿宋"/>
                <w:kern w:val="28"/>
                <w:sz w:val="24"/>
                <w:szCs w:val="24"/>
                <w:u w:val="single"/>
              </w:rPr>
              <w:t>。</w:t>
            </w:r>
            <w:r>
              <w:rPr>
                <w:rFonts w:hint="eastAsia" w:ascii="仿宋" w:hAnsi="仿宋" w:eastAsia="仿宋" w:cs="仿宋"/>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napToGrid w:val="0"/>
                <w:kern w:val="28"/>
                <w:sz w:val="24"/>
              </w:rPr>
            </w:pPr>
            <w:r>
              <w:rPr>
                <w:rFonts w:hint="eastAsia" w:ascii="仿宋" w:hAnsi="仿宋" w:eastAsia="仿宋" w:cs="仿宋"/>
                <w:snapToGrid w:val="0"/>
                <w:kern w:val="28"/>
                <w:sz w:val="24"/>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sz w:val="24"/>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napToGrid w:val="0"/>
                <w:kern w:val="28"/>
                <w:sz w:val="24"/>
              </w:rPr>
            </w:pPr>
            <w:sdt>
              <w:sdtPr>
                <w:rPr>
                  <w:rFonts w:hint="eastAsia" w:ascii="仿宋" w:hAnsi="仿宋" w:eastAsia="仿宋" w:cs="仿宋"/>
                  <w:kern w:val="0"/>
                  <w:sz w:val="24"/>
                </w:rPr>
                <w:id w:val="-181633666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napToGrid w:val="0"/>
                <w:kern w:val="28"/>
                <w:sz w:val="24"/>
              </w:rPr>
              <w:t>联合体投标的，联合体各方均需按招标文件第四部分评标标准要求提供资信证明文件，否则视为不符合相关要求。</w:t>
            </w:r>
          </w:p>
          <w:p>
            <w:pPr>
              <w:spacing w:line="360" w:lineRule="auto"/>
              <w:rPr>
                <w:rFonts w:hint="eastAsia" w:ascii="仿宋" w:hAnsi="仿宋" w:eastAsia="仿宋" w:cs="仿宋"/>
                <w:snapToGrid w:val="0"/>
                <w:kern w:val="28"/>
                <w:sz w:val="24"/>
              </w:rPr>
            </w:pPr>
            <w:sdt>
              <w:sdtPr>
                <w:rPr>
                  <w:rFonts w:hint="eastAsia" w:ascii="仿宋" w:hAnsi="仿宋" w:eastAsia="仿宋" w:cs="仿宋"/>
                  <w:kern w:val="0"/>
                  <w:sz w:val="24"/>
                </w:rPr>
                <w:id w:val="-232311894"/>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snapToGrid w:val="0"/>
                <w:kern w:val="28"/>
                <w:sz w:val="24"/>
              </w:rPr>
              <w:t>联合体投标的，联合体中有一方或者联合体成员根据分工按招标文件第四部分评标标准要求提供资信证明文件的，视为符合了相关要求。</w:t>
            </w:r>
          </w:p>
        </w:tc>
      </w:tr>
    </w:tbl>
    <w:p>
      <w:pPr>
        <w:snapToGrid w:val="0"/>
        <w:spacing w:line="360" w:lineRule="auto"/>
        <w:jc w:val="center"/>
        <w:rPr>
          <w:rFonts w:hint="eastAsia" w:ascii="仿宋" w:hAnsi="仿宋" w:eastAsia="仿宋" w:cs="仿宋"/>
          <w:b/>
          <w:sz w:val="32"/>
          <w:szCs w:val="20"/>
        </w:rPr>
      </w:pPr>
    </w:p>
    <w:bookmarkEnd w:id="10"/>
    <w:p>
      <w:pPr>
        <w:adjustRightInd/>
        <w:spacing w:line="360" w:lineRule="auto"/>
        <w:ind w:firstLine="3845" w:firstLineChars="1197"/>
        <w:outlineLvl w:val="0"/>
        <w:rPr>
          <w:rFonts w:hint="eastAsia" w:ascii="仿宋" w:hAnsi="仿宋" w:eastAsia="仿宋" w:cs="仿宋"/>
          <w:b/>
          <w:sz w:val="32"/>
          <w:szCs w:val="20"/>
        </w:rPr>
      </w:pPr>
      <w:bookmarkStart w:id="11" w:name="第三部分"/>
      <w:bookmarkStart w:id="12" w:name="_Toc164416483"/>
      <w:r>
        <w:rPr>
          <w:rFonts w:hint="eastAsia" w:ascii="仿宋" w:hAnsi="仿宋" w:eastAsia="仿宋" w:cs="仿宋"/>
          <w:b/>
          <w:sz w:val="32"/>
          <w:szCs w:val="20"/>
        </w:rPr>
        <w:t>一、总则</w:t>
      </w:r>
    </w:p>
    <w:p>
      <w:pPr>
        <w:snapToGrid w:val="0"/>
        <w:spacing w:line="360" w:lineRule="auto"/>
        <w:ind w:firstLine="361" w:firstLineChars="150"/>
        <w:jc w:val="left"/>
        <w:outlineLvl w:val="1"/>
        <w:rPr>
          <w:rFonts w:hint="eastAsia" w:ascii="仿宋" w:hAnsi="仿宋" w:eastAsia="仿宋" w:cs="仿宋"/>
          <w:b/>
          <w:sz w:val="24"/>
        </w:rPr>
      </w:pPr>
      <w:r>
        <w:rPr>
          <w:rFonts w:hint="eastAsia" w:ascii="仿宋" w:hAnsi="仿宋" w:eastAsia="仿宋" w:cs="仿宋"/>
          <w:b/>
          <w:sz w:val="24"/>
        </w:rPr>
        <w:t>1. 适用范围</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sz w:val="24"/>
        </w:rPr>
      </w:pPr>
      <w:r>
        <w:rPr>
          <w:rFonts w:hint="eastAsia" w:ascii="仿宋" w:hAnsi="仿宋" w:eastAsia="仿宋" w:cs="仿宋"/>
          <w:b/>
          <w:sz w:val="24"/>
        </w:rPr>
        <w:t xml:space="preserve">   2.定义</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 “采购人”系指招标公告中载明的本项目的采购人。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2.2 “采购机构”系指招标公告中载明的本项目的采购机构。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2.3 “投标人”系指是指响应招标、参加投标竞争的法人、其他组织或者自然人。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2.7 “▲” 系指实质性要求条款，“</w:t>
      </w:r>
      <w:sdt>
        <w:sdtPr>
          <w:rPr>
            <w:rFonts w:hint="eastAsia" w:ascii="仿宋" w:hAnsi="仿宋" w:eastAsia="仿宋" w:cs="仿宋"/>
            <w:kern w:val="0"/>
            <w:sz w:val="24"/>
          </w:rPr>
          <w:id w:val="51297023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sz w:val="24"/>
        </w:rPr>
        <w:t>” 系指适用本项目的要求，“</w:t>
      </w:r>
      <w:sdt>
        <w:sdtPr>
          <w:rPr>
            <w:rFonts w:hint="eastAsia" w:ascii="仿宋" w:hAnsi="仿宋" w:eastAsia="仿宋" w:cs="仿宋"/>
            <w:kern w:val="0"/>
            <w:sz w:val="24"/>
          </w:rPr>
          <w:id w:val="40488885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系指不适用本项目的要求。</w:t>
      </w:r>
    </w:p>
    <w:p>
      <w:pPr>
        <w:spacing w:line="360" w:lineRule="auto"/>
        <w:ind w:firstLine="241" w:firstLineChars="100"/>
        <w:rPr>
          <w:rFonts w:hint="eastAsia" w:ascii="仿宋" w:hAnsi="仿宋" w:eastAsia="仿宋" w:cs="仿宋"/>
          <w:b/>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仿宋" w:hAnsi="仿宋" w:eastAsia="仿宋" w:cs="仿宋"/>
          <w:kern w:val="0"/>
          <w:sz w:val="24"/>
        </w:rPr>
        <w:t>优先采购向我国企业转让技术、与我国企业签订消化吸收再创新方案的供应商的进口产品</w:t>
      </w:r>
      <w:r>
        <w:rPr>
          <w:rFonts w:hint="eastAsia" w:ascii="仿宋" w:hAnsi="仿宋" w:eastAsia="仿宋" w:cs="仿宋"/>
          <w:sz w:val="24"/>
        </w:rPr>
        <w:t>。</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3.2 支持绿色发展</w:t>
      </w:r>
    </w:p>
    <w:p>
      <w:pPr>
        <w:spacing w:line="360" w:lineRule="auto"/>
        <w:ind w:firstLine="480" w:firstLineChars="200"/>
        <w:rPr>
          <w:rFonts w:hint="eastAsia"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3.3支持中小企业发展</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3.3.3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3.4.1 采购人优先采购被认定为首台套产品和“制造精品”的自主创新产品。</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6</w:t>
      </w:r>
      <w:r>
        <w:rPr>
          <w:rFonts w:hint="eastAsia" w:ascii="仿宋" w:hAnsi="仿宋" w:eastAsia="仿宋" w:cs="仿宋"/>
          <w:sz w:val="24"/>
        </w:rPr>
        <w:t>平等对待内外资企业和符合条件的破产重整企业</w:t>
      </w:r>
    </w:p>
    <w:p>
      <w:pPr>
        <w:spacing w:line="360" w:lineRule="auto"/>
        <w:ind w:firstLine="240" w:firstLineChars="100"/>
        <w:rPr>
          <w:rFonts w:hint="eastAsia" w:ascii="仿宋" w:hAnsi="仿宋" w:eastAsia="仿宋" w:cs="仿宋"/>
          <w:b/>
          <w:sz w:val="24"/>
        </w:rPr>
      </w:pPr>
      <w:r>
        <w:rPr>
          <w:rFonts w:hint="eastAsia" w:ascii="仿宋" w:hAnsi="仿宋" w:eastAsia="仿宋" w:cs="仿宋"/>
          <w:sz w:val="24"/>
        </w:rPr>
        <w:t>平等对待内外资企业和符合条件的破产重整企业，切实保障企业公平竞争，平等维护企业的合法利益。</w:t>
      </w:r>
      <w:r>
        <w:rPr>
          <w:rFonts w:hint="eastAsia" w:ascii="仿宋" w:hAnsi="仿宋" w:eastAsia="仿宋" w:cs="仿宋"/>
          <w:sz w:val="24"/>
        </w:rPr>
        <w:cr/>
      </w:r>
      <w:r>
        <w:rPr>
          <w:rFonts w:hint="eastAsia" w:ascii="仿宋" w:hAnsi="仿宋" w:eastAsia="仿宋" w:cs="仿宋"/>
          <w:b/>
          <w:sz w:val="24"/>
        </w:rPr>
        <w:t>4. 询问、质疑、投诉</w:t>
      </w:r>
    </w:p>
    <w:p>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4.1供应商询问</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4.2供应商质疑</w:t>
      </w:r>
    </w:p>
    <w:p>
      <w:pPr>
        <w:pStyle w:val="32"/>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6"/>
        <w:spacing w:line="360" w:lineRule="auto"/>
        <w:ind w:firstLine="480" w:firstLineChars="200"/>
        <w:rPr>
          <w:rFonts w:hint="eastAsia" w:ascii="仿宋" w:hAnsi="仿宋" w:eastAsia="仿宋" w:cs="仿宋"/>
          <w:snapToGrid/>
          <w:color w:val="auto"/>
          <w:kern w:val="2"/>
          <w:sz w:val="24"/>
        </w:rPr>
      </w:pPr>
      <w:r>
        <w:rPr>
          <w:rFonts w:hint="eastAsia" w:ascii="仿宋" w:hAnsi="仿宋" w:eastAsia="仿宋" w:cs="仿宋"/>
          <w:snapToGrid/>
          <w:color w:val="auto"/>
          <w:kern w:val="2"/>
          <w:sz w:val="24"/>
        </w:rPr>
        <w:t>4.2.2.1对招标文件提出质疑的，质疑期限为供应商获得招标文件之日或者招标文件公告期限届满之日起计算。</w:t>
      </w:r>
    </w:p>
    <w:p>
      <w:pPr>
        <w:pStyle w:val="32"/>
        <w:spacing w:line="360" w:lineRule="auto"/>
        <w:ind w:left="479" w:leftChars="228"/>
        <w:rPr>
          <w:rFonts w:hint="eastAsia" w:ascii="仿宋" w:hAnsi="仿宋" w:eastAsia="仿宋" w:cs="仿宋"/>
          <w:sz w:val="24"/>
        </w:rPr>
      </w:pPr>
      <w:r>
        <w:rPr>
          <w:rFonts w:hint="eastAsia" w:ascii="仿宋" w:hAnsi="仿宋" w:eastAsia="仿宋" w:cs="仿宋"/>
          <w:sz w:val="24"/>
        </w:rPr>
        <w:t>4.2.2.2对采购过程提出质疑的，质疑期限为各采购程序环节结束之日起计算。4.2.2.3对采购结果提出质疑的，质疑期限自采购结果公告期限届满之日起计算。</w:t>
      </w:r>
    </w:p>
    <w:p>
      <w:pPr>
        <w:pStyle w:val="32"/>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pPr>
        <w:pStyle w:val="32"/>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4.2.3.1供应商的姓名或者名称、地址、邮编、联系人及联系电话；</w:t>
      </w:r>
    </w:p>
    <w:p>
      <w:pPr>
        <w:pStyle w:val="32"/>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4.2.3.2质疑项目的名称、编号；</w:t>
      </w:r>
    </w:p>
    <w:p>
      <w:pPr>
        <w:pStyle w:val="32"/>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4.2.3.3具体、明确的质疑事项和与质疑事项相关的请求；</w:t>
      </w:r>
    </w:p>
    <w:p>
      <w:pPr>
        <w:pStyle w:val="32"/>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4.2.3.4事实依据；</w:t>
      </w:r>
    </w:p>
    <w:p>
      <w:pPr>
        <w:pStyle w:val="32"/>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4.2.3.5必要的法律依据；</w:t>
      </w:r>
    </w:p>
    <w:p>
      <w:pPr>
        <w:pStyle w:val="32"/>
        <w:spacing w:line="360" w:lineRule="auto"/>
        <w:ind w:firstLine="960" w:firstLineChars="400"/>
        <w:rPr>
          <w:rFonts w:hint="eastAsia" w:ascii="仿宋" w:hAnsi="仿宋" w:eastAsia="仿宋" w:cs="仿宋"/>
          <w:kern w:val="0"/>
          <w:sz w:val="24"/>
          <w:lang w:val="zh-CN"/>
        </w:rPr>
      </w:pPr>
      <w:r>
        <w:rPr>
          <w:rFonts w:hint="eastAsia" w:ascii="仿宋" w:hAnsi="仿宋" w:eastAsia="仿宋" w:cs="仿宋"/>
          <w:kern w:val="0"/>
          <w:sz w:val="24"/>
          <w:lang w:val="zh-CN"/>
        </w:rPr>
        <w:t>4.2.3.6提出质疑的日期。</w:t>
      </w:r>
    </w:p>
    <w:p>
      <w:pPr>
        <w:pStyle w:val="886"/>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质疑函范本及制作说明详见附件2。</w:t>
      </w:r>
    </w:p>
    <w:p>
      <w:pPr>
        <w:pStyle w:val="886"/>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4.2.4对同一采购程序环节的质疑，供应商须在法定质疑期内一次性提出。</w:t>
      </w:r>
    </w:p>
    <w:p>
      <w:pPr>
        <w:pStyle w:val="886"/>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zh-CN"/>
        </w:rPr>
        <w:t>4.2</w:t>
      </w:r>
      <w:r>
        <w:rPr>
          <w:rFonts w:hint="eastAsia" w:ascii="仿宋" w:hAnsi="仿宋" w:eastAsia="仿宋" w:cs="仿宋"/>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zh-CN"/>
        </w:rPr>
        <w:t>4.2</w:t>
      </w:r>
      <w:r>
        <w:rPr>
          <w:rFonts w:hint="eastAsia" w:ascii="仿宋" w:hAnsi="仿宋" w:eastAsia="仿宋" w:cs="仿宋"/>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rFonts w:hint="eastAsia" w:ascii="仿宋" w:hAnsi="仿宋" w:eastAsia="仿宋" w:cs="仿宋"/>
          <w:lang w:val="zh-CN"/>
        </w:rPr>
      </w:pPr>
      <w:r>
        <w:rPr>
          <w:rFonts w:hint="eastAsia" w:ascii="仿宋" w:hAnsi="仿宋" w:eastAsia="仿宋" w:cs="仿宋"/>
          <w:lang w:val="zh-CN"/>
        </w:rPr>
        <w:t>4.3供应商投诉</w:t>
      </w:r>
    </w:p>
    <w:p>
      <w:pPr>
        <w:pStyle w:val="886"/>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4.3.1质疑供应商对采购人、采购机构的答复不满意或者采购人、采购机构未在规定的时间内作出答复的，可以在答复期满后十五个工作日内向同级政府采购监督管理部门提出投诉。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4.3.3供应商投诉应当有明确的请求和必要的证明材料。</w:t>
      </w:r>
    </w:p>
    <w:p>
      <w:pPr>
        <w:pStyle w:val="886"/>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4.3.5 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投诉书范本及制作说明详见附件3。</w:t>
      </w:r>
    </w:p>
    <w:p>
      <w:pPr>
        <w:pStyle w:val="886"/>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4.4在线质疑、投诉。</w:t>
      </w:r>
    </w:p>
    <w:p>
      <w:pPr>
        <w:pStyle w:val="886"/>
        <w:shd w:val="clear" w:color="auto" w:fill="FFFFFF"/>
        <w:snapToGrid w:val="0"/>
        <w:spacing w:after="240" w:afterAutospacing="0" w:line="360" w:lineRule="auto"/>
        <w:ind w:firstLine="480" w:firstLineChars="200"/>
        <w:contextualSpacing/>
        <w:rPr>
          <w:rFonts w:hint="eastAsia" w:ascii="仿宋" w:hAnsi="仿宋" w:eastAsia="仿宋" w:cs="仿宋"/>
        </w:rPr>
      </w:pPr>
      <w:r>
        <w:rPr>
          <w:rFonts w:hint="eastAsia" w:ascii="仿宋" w:hAnsi="仿宋" w:eastAsia="仿宋" w:cs="仿宋"/>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128"/>
        <w:snapToGrid w:val="0"/>
        <w:spacing w:before="0"/>
        <w:ind w:firstLine="360"/>
        <w:rPr>
          <w:rFonts w:hint="eastAsia" w:ascii="仿宋" w:hAnsi="仿宋" w:eastAsia="仿宋" w:cs="仿宋"/>
          <w:sz w:val="18"/>
          <w:szCs w:val="18"/>
        </w:rPr>
      </w:pP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 xml:space="preserve">      二、招标文件的构成、澄清、修改</w:t>
      </w:r>
    </w:p>
    <w:p>
      <w:pPr>
        <w:pStyle w:val="32"/>
        <w:spacing w:line="360" w:lineRule="auto"/>
        <w:rPr>
          <w:rFonts w:hint="eastAsia" w:ascii="仿宋" w:hAnsi="仿宋" w:eastAsia="仿宋" w:cs="仿宋"/>
          <w:b/>
          <w:sz w:val="24"/>
          <w:szCs w:val="24"/>
        </w:rPr>
      </w:pPr>
      <w:r>
        <w:rPr>
          <w:rFonts w:hint="eastAsia" w:ascii="仿宋" w:hAnsi="仿宋" w:eastAsia="仿宋" w:cs="仿宋"/>
          <w:b/>
          <w:sz w:val="24"/>
          <w:szCs w:val="24"/>
        </w:rPr>
        <w:t>5．招标文件的构成</w:t>
      </w:r>
    </w:p>
    <w:p>
      <w:pPr>
        <w:pStyle w:val="32"/>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pPr>
        <w:pStyle w:val="32"/>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5.1.1招标公告；</w:t>
      </w:r>
    </w:p>
    <w:p>
      <w:pPr>
        <w:pStyle w:val="32"/>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5.1.2投标人须知；</w:t>
      </w:r>
    </w:p>
    <w:p>
      <w:pPr>
        <w:pStyle w:val="32"/>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5.1.3采购需求；</w:t>
      </w:r>
    </w:p>
    <w:p>
      <w:pPr>
        <w:pStyle w:val="32"/>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5.1.4评标办法；</w:t>
      </w:r>
    </w:p>
    <w:p>
      <w:pPr>
        <w:pStyle w:val="32"/>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5.1.5拟签订的合同文本；</w:t>
      </w:r>
    </w:p>
    <w:p>
      <w:pPr>
        <w:pStyle w:val="32"/>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pPr>
        <w:pStyle w:val="32"/>
        <w:spacing w:line="360" w:lineRule="auto"/>
        <w:rPr>
          <w:rFonts w:hint="eastAsia" w:ascii="仿宋" w:hAnsi="仿宋" w:eastAsia="仿宋" w:cs="仿宋"/>
          <w:b/>
          <w:sz w:val="24"/>
          <w:szCs w:val="24"/>
        </w:rPr>
      </w:pPr>
      <w:r>
        <w:rPr>
          <w:rFonts w:hint="eastAsia" w:ascii="仿宋" w:hAnsi="仿宋" w:eastAsia="仿宋" w:cs="仿宋"/>
          <w:b/>
          <w:sz w:val="24"/>
          <w:szCs w:val="24"/>
        </w:rPr>
        <w:t>6. 招标文件的澄清、修改</w:t>
      </w:r>
    </w:p>
    <w:p>
      <w:pPr>
        <w:pStyle w:val="128"/>
        <w:snapToGrid w:val="0"/>
        <w:spacing w:before="0"/>
        <w:ind w:firstLine="480"/>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6.1已获取招标文件的潜在投标人，若有问题需要澄清，应于投标截止时间前，以书面形式向采购机构提出。</w:t>
      </w:r>
    </w:p>
    <w:p>
      <w:pPr>
        <w:pStyle w:val="128"/>
        <w:snapToGrid w:val="0"/>
        <w:spacing w:before="0"/>
        <w:ind w:firstLine="480"/>
        <w:rPr>
          <w:rFonts w:hint="eastAsia" w:ascii="仿宋" w:hAnsi="仿宋" w:eastAsia="仿宋" w:cs="仿宋"/>
        </w:rPr>
      </w:pPr>
      <w:r>
        <w:rPr>
          <w:rFonts w:hint="eastAsia" w:ascii="仿宋" w:hAnsi="仿宋" w:eastAsia="仿宋" w:cs="仿宋"/>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rFonts w:hint="eastAsia" w:ascii="仿宋" w:hAnsi="仿宋" w:eastAsia="仿宋" w:cs="仿宋"/>
          <w:sz w:val="18"/>
          <w:szCs w:val="18"/>
          <w:lang w:val="en-US"/>
        </w:rPr>
      </w:pPr>
      <w:r>
        <w:rPr>
          <w:rFonts w:hint="eastAsia" w:ascii="仿宋" w:hAnsi="仿宋" w:eastAsia="仿宋" w:cs="仿宋"/>
          <w:szCs w:val="24"/>
          <w:lang w:val="en-US"/>
        </w:rPr>
        <w:t xml:space="preserve">    </w:t>
      </w:r>
    </w:p>
    <w:p>
      <w:pPr>
        <w:adjustRightInd/>
        <w:spacing w:line="360" w:lineRule="auto"/>
        <w:jc w:val="center"/>
        <w:outlineLvl w:val="0"/>
        <w:rPr>
          <w:rFonts w:hint="eastAsia" w:ascii="仿宋" w:hAnsi="仿宋" w:eastAsia="仿宋" w:cs="仿宋"/>
          <w:b/>
          <w:sz w:val="30"/>
          <w:szCs w:val="20"/>
        </w:rPr>
      </w:pPr>
      <w:r>
        <w:rPr>
          <w:rFonts w:hint="eastAsia" w:ascii="仿宋" w:hAnsi="仿宋" w:eastAsia="仿宋" w:cs="仿宋"/>
          <w:b/>
          <w:sz w:val="30"/>
          <w:szCs w:val="20"/>
        </w:rPr>
        <w:t>三、投标</w:t>
      </w:r>
    </w:p>
    <w:p>
      <w:pPr>
        <w:pStyle w:val="32"/>
        <w:spacing w:line="360" w:lineRule="auto"/>
        <w:rPr>
          <w:rFonts w:hint="eastAsia" w:ascii="仿宋" w:hAnsi="仿宋" w:eastAsia="仿宋" w:cs="仿宋"/>
          <w:b/>
          <w:sz w:val="24"/>
          <w:szCs w:val="24"/>
        </w:rPr>
      </w:pPr>
      <w:r>
        <w:rPr>
          <w:rFonts w:hint="eastAsia" w:ascii="仿宋" w:hAnsi="仿宋" w:eastAsia="仿宋" w:cs="仿宋"/>
          <w:b/>
          <w:sz w:val="24"/>
          <w:szCs w:val="24"/>
        </w:rPr>
        <w:t>7. 招标文件的获取</w:t>
      </w:r>
    </w:p>
    <w:p>
      <w:pPr>
        <w:spacing w:line="360" w:lineRule="auto"/>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pPr>
        <w:pStyle w:val="32"/>
        <w:spacing w:line="360" w:lineRule="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pPr>
        <w:pStyle w:val="32"/>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pPr>
        <w:pStyle w:val="32"/>
        <w:spacing w:line="360" w:lineRule="auto"/>
        <w:rPr>
          <w:rFonts w:hint="eastAsia" w:ascii="仿宋" w:hAnsi="仿宋" w:eastAsia="仿宋" w:cs="仿宋"/>
          <w:b/>
          <w:szCs w:val="24"/>
        </w:rPr>
      </w:pPr>
      <w:r>
        <w:rPr>
          <w:rFonts w:hint="eastAsia" w:ascii="仿宋" w:hAnsi="仿宋" w:eastAsia="仿宋" w:cs="仿宋"/>
          <w:b/>
          <w:kern w:val="28"/>
          <w:sz w:val="24"/>
          <w:szCs w:val="24"/>
        </w:rPr>
        <w:t>9.投标保证金</w:t>
      </w:r>
    </w:p>
    <w:p>
      <w:pPr>
        <w:pStyle w:val="16"/>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pPr>
        <w:pStyle w:val="32"/>
        <w:spacing w:line="360" w:lineRule="auto"/>
        <w:rPr>
          <w:rFonts w:hint="eastAsia" w:ascii="仿宋" w:hAnsi="仿宋" w:eastAsia="仿宋" w:cs="仿宋"/>
          <w:b/>
          <w:sz w:val="24"/>
          <w:szCs w:val="24"/>
        </w:rPr>
      </w:pPr>
      <w:r>
        <w:rPr>
          <w:rFonts w:hint="eastAsia" w:ascii="仿宋" w:hAnsi="仿宋" w:eastAsia="仿宋" w:cs="仿宋"/>
          <w:b/>
          <w:sz w:val="24"/>
          <w:szCs w:val="24"/>
        </w:rPr>
        <w:t>10. 投标文件的语言</w:t>
      </w:r>
    </w:p>
    <w:p>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pPr>
        <w:pStyle w:val="32"/>
        <w:spacing w:line="360" w:lineRule="auto"/>
        <w:rPr>
          <w:rFonts w:hint="eastAsia" w:ascii="仿宋" w:hAnsi="仿宋" w:eastAsia="仿宋" w:cs="仿宋"/>
          <w:b/>
          <w:sz w:val="24"/>
          <w:szCs w:val="24"/>
        </w:rPr>
      </w:pPr>
      <w:r>
        <w:rPr>
          <w:rFonts w:hint="eastAsia" w:ascii="仿宋" w:hAnsi="仿宋" w:eastAsia="仿宋" w:cs="仿宋"/>
          <w:b/>
          <w:sz w:val="24"/>
          <w:szCs w:val="24"/>
        </w:rPr>
        <w:t>11. 投标文件的组成</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11.1.1符合参加政府采购活动应当具备的一般条件的承诺函；</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11.1.2</w:t>
      </w:r>
      <w:r>
        <w:rPr>
          <w:rFonts w:hint="eastAsia" w:ascii="仿宋" w:hAnsi="仿宋" w:eastAsia="仿宋" w:cs="仿宋"/>
          <w:snapToGrid w:val="0"/>
          <w:kern w:val="28"/>
          <w:sz w:val="24"/>
          <w:szCs w:val="20"/>
        </w:rPr>
        <w:t>联合协议（如果有)；</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11.1.3落实政府采购政策需满足的资格要求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11.1.4本项目的特定资格要求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pPr>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11.2.1投标函；</w:t>
      </w:r>
      <w:r>
        <w:rPr>
          <w:rFonts w:hint="eastAsia" w:ascii="仿宋" w:hAnsi="仿宋" w:eastAsia="仿宋" w:cs="仿宋"/>
          <w:sz w:val="24"/>
          <w:lang w:val="zh-CN"/>
        </w:rPr>
        <w:t xml:space="preserve"> </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11.2.3分包意向协议</w:t>
      </w:r>
      <w:r>
        <w:rPr>
          <w:rFonts w:hint="eastAsia" w:ascii="仿宋" w:hAnsi="仿宋" w:eastAsia="仿宋" w:cs="仿宋"/>
          <w:snapToGrid w:val="0"/>
          <w:kern w:val="28"/>
          <w:sz w:val="24"/>
          <w:szCs w:val="20"/>
        </w:rPr>
        <w:t>（如果有)</w:t>
      </w:r>
      <w:r>
        <w:rPr>
          <w:rFonts w:hint="eastAsia" w:ascii="仿宋" w:hAnsi="仿宋" w:eastAsia="仿宋" w:cs="仿宋"/>
          <w:sz w:val="24"/>
        </w:rPr>
        <w:t>；</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11.2.4符合性审查资料；</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11.2.5评标标准相应的商务技术资料；</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11.2.6投标标的清单；</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11.2.7商务技术偏离表；</w:t>
      </w:r>
    </w:p>
    <w:p>
      <w:pPr>
        <w:snapToGrid w:val="0"/>
        <w:spacing w:line="360" w:lineRule="auto"/>
        <w:ind w:firstLine="960" w:firstLineChars="4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snapToGrid w:val="0"/>
        <w:spacing w:line="360" w:lineRule="auto"/>
        <w:ind w:firstLine="480" w:firstLineChars="200"/>
        <w:rPr>
          <w:rFonts w:hint="eastAsia"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r>
        <w:rPr>
          <w:rFonts w:hint="eastAsia" w:ascii="仿宋" w:hAnsi="仿宋" w:eastAsia="仿宋" w:cs="仿宋"/>
          <w:sz w:val="24"/>
        </w:rPr>
        <w:t xml:space="preserve"> </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11.3.1开标一览表（报价表）；</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11.3.2中小企业声明函。</w:t>
      </w:r>
    </w:p>
    <w:p>
      <w:pPr>
        <w:spacing w:line="360" w:lineRule="auto"/>
        <w:ind w:firstLine="723" w:firstLineChars="300"/>
        <w:rPr>
          <w:rFonts w:hint="eastAsia" w:ascii="仿宋" w:hAnsi="仿宋" w:eastAsia="仿宋" w:cs="仿宋"/>
          <w:b/>
          <w:sz w:val="24"/>
        </w:rPr>
      </w:pPr>
      <w:r>
        <w:rPr>
          <w:rFonts w:hint="eastAsia" w:ascii="仿宋" w:hAnsi="仿宋" w:eastAsia="仿宋" w:cs="仿宋"/>
          <w:b/>
          <w:sz w:val="24"/>
        </w:rPr>
        <w:t>投标文件含有采购人不能接受的附加条件的，投标无效；</w:t>
      </w:r>
    </w:p>
    <w:p>
      <w:pPr>
        <w:spacing w:line="360" w:lineRule="auto"/>
        <w:ind w:firstLine="723" w:firstLineChars="300"/>
        <w:rPr>
          <w:rFonts w:hint="eastAsia" w:ascii="仿宋" w:hAnsi="仿宋" w:eastAsia="仿宋" w:cs="仿宋"/>
          <w:b/>
          <w:sz w:val="24"/>
          <w:szCs w:val="21"/>
        </w:rPr>
      </w:pPr>
      <w:r>
        <w:rPr>
          <w:rFonts w:hint="eastAsia" w:ascii="仿宋" w:hAnsi="仿宋" w:eastAsia="仿宋" w:cs="仿宋"/>
          <w:b/>
          <w:sz w:val="24"/>
        </w:rPr>
        <w:t>投标人提供虚假材料投标的，投标无效。</w:t>
      </w:r>
    </w:p>
    <w:p>
      <w:pPr>
        <w:pStyle w:val="128"/>
        <w:snapToGrid w:val="0"/>
        <w:spacing w:before="0"/>
        <w:ind w:firstLine="0" w:firstLineChars="0"/>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sz w:val="24"/>
        </w:rPr>
      </w:pPr>
      <w:r>
        <w:rPr>
          <w:rFonts w:hint="eastAsia" w:ascii="仿宋" w:hAnsi="仿宋" w:eastAsia="仿宋" w:cs="仿宋"/>
          <w:b/>
          <w:sz w:val="24"/>
        </w:rPr>
        <w:t>13.投标文件的签署、盖章</w:t>
      </w:r>
    </w:p>
    <w:p>
      <w:pPr>
        <w:pStyle w:val="128"/>
        <w:snapToGrid w:val="0"/>
        <w:spacing w:before="0"/>
        <w:ind w:firstLine="480"/>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pPr>
        <w:pStyle w:val="128"/>
        <w:snapToGrid w:val="0"/>
        <w:spacing w:before="0"/>
        <w:ind w:firstLine="480"/>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hint="eastAsia" w:ascii="仿宋" w:hAnsi="仿宋" w:eastAsia="仿宋" w:cs="仿宋"/>
          <w:szCs w:val="24"/>
        </w:rPr>
      </w:pPr>
      <w:r>
        <w:rPr>
          <w:rFonts w:hint="eastAsia" w:ascii="仿宋" w:hAnsi="仿宋" w:eastAsia="仿宋" w:cs="仿宋"/>
        </w:rPr>
        <w:t>13.3招标文件对投标文件签署、盖章的要求适用于电子签名。</w:t>
      </w:r>
    </w:p>
    <w:p>
      <w:pPr>
        <w:pStyle w:val="128"/>
        <w:spacing w:before="0"/>
        <w:ind w:firstLine="0" w:firstLineChars="0"/>
        <w:rPr>
          <w:rFonts w:hint="eastAsia" w:ascii="仿宋" w:hAnsi="仿宋" w:eastAsia="仿宋" w:cs="仿宋"/>
          <w:b/>
          <w:szCs w:val="24"/>
        </w:rPr>
      </w:pPr>
      <w:r>
        <w:rPr>
          <w:rFonts w:hint="eastAsia" w:ascii="仿宋" w:hAnsi="仿宋" w:eastAsia="仿宋" w:cs="仿宋"/>
          <w:b/>
          <w:szCs w:val="24"/>
        </w:rPr>
        <w:t>14. 投标文件的提交、补充、修改、撤回</w:t>
      </w:r>
    </w:p>
    <w:p>
      <w:pPr>
        <w:pStyle w:val="128"/>
        <w:ind w:firstLine="480"/>
        <w:rPr>
          <w:rFonts w:hint="eastAsia"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hint="eastAsia" w:ascii="仿宋" w:hAnsi="仿宋" w:eastAsia="仿宋" w:cs="仿宋"/>
          <w:szCs w:val="24"/>
        </w:rPr>
      </w:pPr>
      <w:r>
        <w:rPr>
          <w:rFonts w:hint="eastAsia" w:ascii="仿宋" w:hAnsi="仿宋" w:eastAsia="仿宋" w:cs="仿宋"/>
          <w:szCs w:val="24"/>
        </w:rPr>
        <w:t>14.3采购人、采购机构可以视情况延长投标文件提交的截止时间。在上述情况下，采购机构与投标人以前在投标截止期方面的全部权利、责任和义务，将适用于延长至新的投标截止期。</w:t>
      </w:r>
    </w:p>
    <w:p>
      <w:pPr>
        <w:pStyle w:val="32"/>
        <w:spacing w:line="360" w:lineRule="auto"/>
        <w:rPr>
          <w:rFonts w:hint="eastAsia" w:ascii="仿宋" w:hAnsi="仿宋" w:eastAsia="仿宋" w:cs="仿宋"/>
          <w:b/>
          <w:sz w:val="24"/>
          <w:szCs w:val="24"/>
        </w:rPr>
      </w:pPr>
      <w:r>
        <w:rPr>
          <w:rFonts w:hint="eastAsia" w:ascii="仿宋" w:hAnsi="仿宋" w:eastAsia="仿宋" w:cs="仿宋"/>
          <w:b/>
          <w:sz w:val="24"/>
          <w:szCs w:val="24"/>
        </w:rPr>
        <w:t>15.备份投标文件</w:t>
      </w:r>
    </w:p>
    <w:p>
      <w:pPr>
        <w:pStyle w:val="32"/>
        <w:spacing w:line="360" w:lineRule="auto"/>
        <w:ind w:firstLine="360" w:firstLineChars="150"/>
        <w:rPr>
          <w:rFonts w:hint="eastAsia"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rPr>
        <w:t>但采购人、采购机构不强制或变相强制投标人提交备份投标文件。</w:t>
      </w:r>
    </w:p>
    <w:p>
      <w:pPr>
        <w:pStyle w:val="32"/>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szCs w:val="24"/>
        </w:rPr>
        <w:t>15.2备份投标文件须在“政采云投标客户端”制作生成，并储存在</w:t>
      </w:r>
      <w:r>
        <w:rPr>
          <w:rFonts w:hint="eastAsia" w:ascii="仿宋" w:hAnsi="仿宋" w:eastAsia="仿宋" w:cs="仿宋"/>
          <w:sz w:val="24"/>
        </w:rPr>
        <w:t>DVD光盘</w:t>
      </w:r>
      <w:r>
        <w:rPr>
          <w:rFonts w:hint="eastAsia" w:ascii="仿宋" w:hAnsi="仿宋" w:eastAsia="仿宋" w:cs="仿宋"/>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pPr>
        <w:pStyle w:val="32"/>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15.3直接提交备份投标文件的，投标人应于投标截止时间前在招标公告中载明的开标地点将备份投标文件提交给采购机构，采购机构将拒绝接受逾期送达的备份投标文件。</w:t>
      </w:r>
    </w:p>
    <w:p>
      <w:pPr>
        <w:pStyle w:val="32"/>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sz w:val="24"/>
          <w:szCs w:val="24"/>
        </w:rPr>
        <w:t>招标文件第二部分投标人须知前附表规定的备份投标文件送达地点；</w:t>
      </w:r>
      <w:r>
        <w:rPr>
          <w:rFonts w:hint="eastAsia" w:ascii="仿宋" w:hAnsi="仿宋" w:eastAsia="仿宋" w:cs="仿宋"/>
          <w:sz w:val="24"/>
          <w:szCs w:val="24"/>
        </w:rPr>
        <w:t>送达时间以签收人签收时间为准。采购机构将拒绝接受逾期送达的备份投标文件。邮寄过程中，电子备份投标文件发生泄露、遗失、损坏或延期送达等情况的，由投标人自行负责。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hint="eastAsia" w:ascii="仿宋" w:hAnsi="仿宋" w:eastAsia="仿宋" w:cs="仿宋"/>
          <w:b/>
          <w:sz w:val="24"/>
          <w:szCs w:val="24"/>
        </w:rPr>
      </w:pPr>
      <w:r>
        <w:rPr>
          <w:rFonts w:hint="eastAsia" w:ascii="仿宋" w:hAnsi="仿宋" w:eastAsia="仿宋" w:cs="仿宋"/>
          <w:b/>
          <w:sz w:val="24"/>
          <w:szCs w:val="24"/>
        </w:rPr>
        <w:t>15.5投标人仅提交备份投标文件，未在电子交易平台传输递交投标文件的，投标无效。</w:t>
      </w:r>
    </w:p>
    <w:p>
      <w:pPr>
        <w:pStyle w:val="128"/>
        <w:spacing w:before="0"/>
        <w:ind w:firstLine="0" w:firstLineChars="0"/>
        <w:rPr>
          <w:rFonts w:hint="eastAsia" w:ascii="仿宋" w:hAnsi="仿宋" w:eastAsia="仿宋" w:cs="仿宋"/>
          <w:b/>
          <w:szCs w:val="24"/>
        </w:rPr>
      </w:pPr>
      <w:r>
        <w:rPr>
          <w:rFonts w:hint="eastAsia" w:ascii="仿宋" w:hAnsi="仿宋" w:eastAsia="仿宋" w:cs="仿宋"/>
          <w:b/>
          <w:szCs w:val="24"/>
        </w:rPr>
        <w:t>16.投标文件的无效处理</w:t>
      </w:r>
    </w:p>
    <w:p>
      <w:pPr>
        <w:pStyle w:val="24"/>
        <w:spacing w:line="360" w:lineRule="auto"/>
        <w:ind w:firstLine="360" w:firstLineChars="150"/>
        <w:rPr>
          <w:rFonts w:hint="eastAsia" w:ascii="仿宋" w:hAnsi="仿宋" w:eastAsia="仿宋" w:cs="仿宋"/>
          <w:szCs w:val="21"/>
        </w:rPr>
      </w:pPr>
      <w:r>
        <w:rPr>
          <w:rFonts w:hint="eastAsia" w:ascii="仿宋" w:hAnsi="仿宋" w:eastAsia="仿宋" w:cs="仿宋"/>
          <w:szCs w:val="21"/>
        </w:rPr>
        <w:t>有招标文件第四部分4.2规定的情形之一的，投标无效：</w:t>
      </w:r>
    </w:p>
    <w:p>
      <w:pPr>
        <w:pStyle w:val="128"/>
        <w:spacing w:before="0"/>
        <w:ind w:firstLine="0" w:firstLineChars="0"/>
        <w:rPr>
          <w:rFonts w:hint="eastAsia" w:ascii="仿宋" w:hAnsi="仿宋" w:eastAsia="仿宋" w:cs="仿宋"/>
          <w:b/>
          <w:szCs w:val="24"/>
        </w:rPr>
      </w:pPr>
      <w:r>
        <w:rPr>
          <w:rFonts w:hint="eastAsia" w:ascii="仿宋" w:hAnsi="仿宋" w:eastAsia="仿宋" w:cs="仿宋"/>
          <w:b/>
          <w:szCs w:val="24"/>
        </w:rPr>
        <w:t>17.投标有效期</w:t>
      </w:r>
    </w:p>
    <w:p>
      <w:pPr>
        <w:spacing w:line="360" w:lineRule="auto"/>
        <w:ind w:firstLine="480" w:firstLineChars="200"/>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pPr>
        <w:pStyle w:val="128"/>
        <w:spacing w:before="0"/>
        <w:ind w:firstLine="480"/>
        <w:rPr>
          <w:rFonts w:hint="eastAsia" w:ascii="仿宋" w:hAnsi="仿宋" w:eastAsia="仿宋" w:cs="仿宋"/>
        </w:rPr>
      </w:pPr>
      <w:r>
        <w:rPr>
          <w:rFonts w:hint="eastAsia" w:ascii="仿宋" w:hAnsi="仿宋" w:eastAsia="仿宋" w:cs="仿宋"/>
        </w:rPr>
        <w:t>17.2投标文件合格投递后，自投标截止日期起，在投标有效期内有效。</w:t>
      </w:r>
    </w:p>
    <w:p>
      <w:pPr>
        <w:pStyle w:val="128"/>
        <w:spacing w:before="0"/>
        <w:ind w:firstLine="480"/>
        <w:rPr>
          <w:rFonts w:hint="eastAsia" w:ascii="仿宋" w:hAnsi="仿宋" w:eastAsia="仿宋" w:cs="仿宋"/>
        </w:rPr>
      </w:pPr>
      <w:r>
        <w:rPr>
          <w:rFonts w:hint="eastAsia" w:ascii="仿宋" w:hAnsi="仿宋" w:eastAsia="仿宋" w:cs="仿宋"/>
        </w:rPr>
        <w:t>17.3在原定投标有效期满之前，如果出现特殊情况，采购机构可以以书面形式通知投标人延长投标有效期。投标人同意延长的，不得要求或被允许修改其投标文件，投标人拒绝延长的，其投标无效。</w:t>
      </w:r>
    </w:p>
    <w:p>
      <w:pPr>
        <w:pStyle w:val="128"/>
        <w:spacing w:before="0"/>
        <w:ind w:firstLine="643"/>
        <w:rPr>
          <w:rFonts w:hint="eastAsia" w:ascii="仿宋" w:hAnsi="仿宋" w:eastAsia="仿宋" w:cs="仿宋"/>
          <w:b/>
          <w:sz w:val="32"/>
        </w:rPr>
      </w:pPr>
    </w:p>
    <w:p>
      <w:pPr>
        <w:pStyle w:val="128"/>
        <w:spacing w:before="0"/>
        <w:ind w:firstLine="1928" w:firstLineChars="600"/>
        <w:rPr>
          <w:rFonts w:hint="eastAsia" w:ascii="仿宋" w:hAnsi="仿宋" w:eastAsia="仿宋" w:cs="仿宋"/>
          <w:b/>
          <w:sz w:val="32"/>
        </w:rPr>
      </w:pPr>
      <w:r>
        <w:rPr>
          <w:rFonts w:hint="eastAsia" w:ascii="仿宋" w:hAnsi="仿宋" w:eastAsia="仿宋" w:cs="仿宋"/>
          <w:b/>
          <w:sz w:val="32"/>
        </w:rPr>
        <w:t>四、开标、资格审查与信用信息查询</w:t>
      </w:r>
    </w:p>
    <w:p>
      <w:pPr>
        <w:pStyle w:val="554"/>
        <w:spacing w:before="0" w:line="360" w:lineRule="auto"/>
        <w:ind w:left="0" w:firstLine="241" w:firstLineChars="100"/>
        <w:contextualSpacing/>
        <w:rPr>
          <w:rFonts w:hint="eastAsia"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pPr>
        <w:pStyle w:val="554"/>
        <w:spacing w:before="0" w:line="360" w:lineRule="auto"/>
        <w:ind w:left="0" w:firstLine="480" w:firstLineChars="200"/>
        <w:contextualSpacing/>
        <w:rPr>
          <w:rFonts w:hint="eastAsia" w:ascii="仿宋" w:hAnsi="仿宋" w:eastAsia="仿宋" w:cs="仿宋"/>
          <w:sz w:val="24"/>
        </w:rPr>
      </w:pPr>
      <w:r>
        <w:rPr>
          <w:rFonts w:hint="eastAsia" w:ascii="仿宋" w:hAnsi="仿宋" w:eastAsia="仿宋" w:cs="仿宋"/>
          <w:sz w:val="24"/>
        </w:rPr>
        <w:t>18.1采购机构按照招标文件规定的时间通过电子交易平台组织开标，所有投标人均应当准时在线参加。投标人不足3家的，不得开标。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hint="eastAsia" w:ascii="仿宋" w:hAnsi="仿宋" w:eastAsia="仿宋" w:cs="仿宋"/>
          <w:sz w:val="24"/>
        </w:rPr>
      </w:pPr>
      <w:r>
        <w:rPr>
          <w:rFonts w:hint="eastAsia" w:ascii="仿宋" w:hAnsi="仿宋" w:eastAsia="仿宋" w:cs="仿宋"/>
          <w:sz w:val="24"/>
        </w:rPr>
        <w:t>　18.2开标时，电子交易平台按开标时间自动提取所有投标文件。采购机构依托电子交易平台发起开始解密指令，投标人按照平台提示和招标文件的规定在半小时内完成在线解密。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hint="eastAsia"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 w:hAnsi="仿宋" w:eastAsia="仿宋" w:cs="仿宋"/>
          <w:b/>
          <w:sz w:val="24"/>
          <w:szCs w:val="20"/>
        </w:rPr>
      </w:pPr>
      <w:r>
        <w:rPr>
          <w:rFonts w:hint="eastAsia" w:ascii="仿宋" w:hAnsi="仿宋" w:eastAsia="仿宋" w:cs="仿宋"/>
          <w:b/>
          <w:sz w:val="24"/>
          <w:szCs w:val="20"/>
        </w:rPr>
        <w:t>　19、资格审查</w:t>
      </w:r>
    </w:p>
    <w:p>
      <w:pPr>
        <w:pStyle w:val="128"/>
        <w:spacing w:before="0"/>
        <w:ind w:firstLine="480"/>
        <w:rPr>
          <w:rFonts w:hint="eastAsia" w:ascii="仿宋" w:hAnsi="仿宋" w:eastAsia="仿宋" w:cs="仿宋"/>
          <w:kern w:val="0"/>
          <w:szCs w:val="24"/>
        </w:rPr>
      </w:pPr>
      <w:r>
        <w:rPr>
          <w:rFonts w:hint="eastAsia" w:ascii="仿宋" w:hAnsi="仿宋" w:eastAsia="仿宋" w:cs="仿宋"/>
          <w:kern w:val="0"/>
          <w:szCs w:val="24"/>
        </w:rPr>
        <w:t>19.1开标后，采购人或采购机构将依法对投标人的资格进行审查。</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采购人或采购机构依据法律法规和招标文件的规定，对投标人的资格进行审查。</w:t>
      </w:r>
    </w:p>
    <w:p>
      <w:pPr>
        <w:pStyle w:val="128"/>
        <w:spacing w:before="0"/>
        <w:ind w:firstLine="480"/>
        <w:rPr>
          <w:rFonts w:hint="eastAsia" w:ascii="仿宋" w:hAnsi="仿宋" w:eastAsia="仿宋" w:cs="仿宋"/>
        </w:rPr>
      </w:pPr>
      <w:r>
        <w:rPr>
          <w:rFonts w:hint="eastAsia" w:ascii="仿宋" w:hAnsi="仿宋" w:eastAsia="仿宋" w:cs="仿宋"/>
          <w:kern w:val="0"/>
          <w:szCs w:val="24"/>
        </w:rPr>
        <w:t>19.3投标人未按照招标文件要求提供与</w:t>
      </w:r>
      <w:r>
        <w:rPr>
          <w:rFonts w:hint="eastAsia" w:ascii="仿宋" w:hAnsi="仿宋" w:eastAsia="仿宋" w:cs="仿宋"/>
        </w:rPr>
        <w:t>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pPr>
        <w:pStyle w:val="128"/>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4对未通过资格审查的投标人，采购人或采购机构告知其未通过的原因。</w:t>
      </w:r>
    </w:p>
    <w:p>
      <w:pPr>
        <w:pStyle w:val="128"/>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pPr>
        <w:pStyle w:val="128"/>
        <w:spacing w:before="0"/>
        <w:ind w:firstLine="0" w:firstLineChars="0"/>
        <w:rPr>
          <w:rFonts w:hint="eastAsia" w:ascii="仿宋" w:hAnsi="仿宋" w:eastAsia="仿宋" w:cs="仿宋"/>
          <w:b/>
          <w:szCs w:val="24"/>
        </w:rPr>
      </w:pPr>
      <w:r>
        <w:rPr>
          <w:rFonts w:hint="eastAsia" w:ascii="仿宋" w:hAnsi="仿宋" w:eastAsia="仿宋" w:cs="仿宋"/>
          <w:b/>
          <w:szCs w:val="24"/>
        </w:rPr>
        <w:t>20、信用信息查询</w:t>
      </w:r>
    </w:p>
    <w:p>
      <w:pPr>
        <w:pStyle w:val="128"/>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20.1信用信息查询渠道及截止时间：采购机构将在资格审查时通过“信用中国”网站(www.creditchina.gov.cn)、中国政府采购网(www.ccgp.gov.cn)渠道查询投标人接受资格时的信用记录。</w:t>
      </w:r>
    </w:p>
    <w:p>
      <w:pPr>
        <w:pStyle w:val="128"/>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hint="eastAsia"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pPr>
        <w:pStyle w:val="128"/>
        <w:spacing w:before="0"/>
        <w:ind w:firstLine="0" w:firstLineChars="0"/>
        <w:rPr>
          <w:rFonts w:hint="eastAsia" w:ascii="仿宋" w:hAnsi="仿宋" w:eastAsia="仿宋" w:cs="仿宋"/>
          <w:kern w:val="0"/>
          <w:szCs w:val="24"/>
        </w:rPr>
      </w:pPr>
    </w:p>
    <w:p>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五、评标</w:t>
      </w:r>
    </w:p>
    <w:p>
      <w:pPr>
        <w:spacing w:line="360" w:lineRule="auto"/>
        <w:rPr>
          <w:rFonts w:hint="eastAsia" w:ascii="仿宋" w:hAnsi="仿宋" w:eastAsia="仿宋" w:cs="仿宋"/>
          <w:b/>
          <w:sz w:val="24"/>
        </w:rPr>
      </w:pPr>
      <w:bookmarkStart w:id="13" w:name="_Toc91899903"/>
      <w:r>
        <w:rPr>
          <w:rFonts w:hint="eastAsia" w:ascii="仿宋" w:hAnsi="仿宋" w:eastAsia="仿宋" w:cs="仿宋"/>
          <w:b/>
          <w:sz w:val="24"/>
        </w:rPr>
        <w:t>21.</w:t>
      </w:r>
      <w:r>
        <w:rPr>
          <w:rFonts w:hint="eastAsia" w:ascii="仿宋" w:hAnsi="仿宋" w:eastAsia="仿宋" w:cs="仿宋"/>
        </w:rPr>
        <w:t xml:space="preserve"> </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pPr>
        <w:spacing w:line="360" w:lineRule="auto"/>
        <w:rPr>
          <w:rFonts w:hint="eastAsia" w:ascii="仿宋" w:hAnsi="仿宋" w:eastAsia="仿宋" w:cs="仿宋"/>
          <w:b/>
          <w:sz w:val="24"/>
        </w:rPr>
      </w:pPr>
    </w:p>
    <w:p>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六、定 标</w:t>
      </w:r>
    </w:p>
    <w:p>
      <w:pPr>
        <w:pStyle w:val="24"/>
        <w:spacing w:line="360" w:lineRule="auto"/>
        <w:ind w:left="479" w:hanging="479" w:hangingChars="199"/>
        <w:rPr>
          <w:rFonts w:hint="eastAsia" w:ascii="仿宋" w:hAnsi="仿宋" w:eastAsia="仿宋" w:cs="仿宋"/>
          <w:b/>
        </w:rPr>
      </w:pPr>
      <w:r>
        <w:rPr>
          <w:rFonts w:hint="eastAsia" w:ascii="仿宋" w:hAnsi="仿宋" w:eastAsia="仿宋" w:cs="仿宋"/>
          <w:b/>
        </w:rPr>
        <w:t>22. 确定中标供应商</w:t>
      </w:r>
    </w:p>
    <w:p>
      <w:pPr>
        <w:pStyle w:val="128"/>
        <w:snapToGrid w:val="0"/>
        <w:spacing w:before="0"/>
        <w:ind w:firstLine="480"/>
        <w:rPr>
          <w:rFonts w:hint="eastAsia" w:ascii="仿宋" w:hAnsi="仿宋" w:eastAsia="仿宋" w:cs="仿宋"/>
          <w:b/>
          <w:szCs w:val="24"/>
        </w:rPr>
      </w:pPr>
      <w:r>
        <w:rPr>
          <w:rFonts w:hint="eastAsia" w:ascii="仿宋" w:hAnsi="仿宋" w:eastAsia="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8"/>
        <w:snapToGrid w:val="0"/>
        <w:spacing w:before="0"/>
        <w:ind w:firstLine="0" w:firstLineChars="0"/>
        <w:rPr>
          <w:rFonts w:hint="eastAsia" w:ascii="仿宋" w:hAnsi="仿宋" w:eastAsia="仿宋" w:cs="仿宋"/>
          <w:b/>
          <w:szCs w:val="24"/>
        </w:rPr>
      </w:pPr>
      <w:r>
        <w:rPr>
          <w:rFonts w:hint="eastAsia" w:ascii="仿宋" w:hAnsi="仿宋" w:eastAsia="仿宋" w:cs="仿宋"/>
          <w:b/>
          <w:szCs w:val="24"/>
        </w:rPr>
        <w:t>23. 中标通知与中标结果公告</w:t>
      </w:r>
    </w:p>
    <w:p>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仿宋" w:hAnsi="仿宋" w:eastAsia="仿宋" w:cs="仿宋"/>
          <w:sz w:val="24"/>
        </w:rPr>
        <w:t>资格审查情况、评审专家抽取规则、符合性审查情况、</w:t>
      </w:r>
      <w:bookmarkEnd w:id="14"/>
      <w:r>
        <w:rPr>
          <w:rFonts w:hint="eastAsia" w:ascii="仿宋" w:hAnsi="仿宋" w:eastAsia="仿宋" w:cs="仿宋"/>
          <w:sz w:val="24"/>
        </w:rPr>
        <w:t>未中标情况说明、中标公告期限以及评审专家名单、评分汇总及明细。</w:t>
      </w:r>
    </w:p>
    <w:p>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23.3公告期限为1个工作日。</w:t>
      </w:r>
    </w:p>
    <w:p>
      <w:pPr>
        <w:snapToGrid w:val="0"/>
        <w:spacing w:line="360" w:lineRule="auto"/>
        <w:ind w:left="120" w:leftChars="57" w:firstLine="482" w:firstLineChars="150"/>
        <w:jc w:val="center"/>
        <w:rPr>
          <w:rFonts w:hint="eastAsia" w:ascii="仿宋" w:hAnsi="仿宋" w:eastAsia="仿宋" w:cs="仿宋"/>
          <w:b/>
          <w:sz w:val="32"/>
        </w:rPr>
      </w:pPr>
    </w:p>
    <w:p>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七、合同授予</w:t>
      </w:r>
    </w:p>
    <w:p>
      <w:pPr>
        <w:pStyle w:val="24"/>
        <w:spacing w:line="360" w:lineRule="auto"/>
        <w:ind w:left="479" w:hanging="479" w:hangingChars="199"/>
        <w:rPr>
          <w:rFonts w:hint="eastAsia"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pPr>
        <w:pStyle w:val="24"/>
        <w:spacing w:line="360" w:lineRule="auto"/>
        <w:ind w:left="479" w:hanging="479" w:hangingChars="199"/>
        <w:rPr>
          <w:rFonts w:hint="eastAsia" w:ascii="仿宋" w:hAnsi="仿宋" w:eastAsia="仿宋" w:cs="仿宋"/>
          <w:b/>
        </w:rPr>
      </w:pPr>
      <w:r>
        <w:rPr>
          <w:rFonts w:hint="eastAsia" w:ascii="仿宋" w:hAnsi="仿宋" w:eastAsia="仿宋" w:cs="仿宋"/>
          <w:b/>
        </w:rPr>
        <w:t>25. 合同的签订</w:t>
      </w:r>
    </w:p>
    <w:p>
      <w:pPr>
        <w:widowControl/>
        <w:shd w:val="clear" w:color="auto" w:fill="FFFFFF"/>
        <w:spacing w:line="360" w:lineRule="auto"/>
        <w:ind w:firstLine="480"/>
        <w:jc w:val="left"/>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hint="eastAsia"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hint="eastAsia"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pPr>
        <w:pStyle w:val="128"/>
        <w:snapToGrid w:val="0"/>
        <w:spacing w:before="0"/>
        <w:ind w:firstLine="480"/>
        <w:rPr>
          <w:rFonts w:hint="eastAsia"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hint="eastAsia" w:ascii="仿宋" w:hAnsi="仿宋" w:eastAsia="仿宋" w:cs="仿宋"/>
        </w:rPr>
      </w:pPr>
      <w:r>
        <w:rPr>
          <w:rFonts w:hint="eastAsia" w:ascii="仿宋" w:hAnsi="仿宋" w:eastAsia="仿宋" w:cs="仿宋"/>
        </w:rPr>
        <w:t>25.5采购合同由采购人与中标供应商根据招标文件、投标文件等内容通过政府采购电子交易平台在线签订，自动备案。</w:t>
      </w:r>
    </w:p>
    <w:p>
      <w:pPr>
        <w:pStyle w:val="24"/>
        <w:spacing w:line="360" w:lineRule="auto"/>
        <w:ind w:left="479" w:hanging="479" w:hangingChars="199"/>
        <w:rPr>
          <w:rFonts w:hint="eastAsia" w:ascii="仿宋" w:hAnsi="仿宋" w:eastAsia="仿宋" w:cs="仿宋"/>
          <w:b/>
        </w:rPr>
      </w:pPr>
      <w:r>
        <w:rPr>
          <w:rFonts w:hint="eastAsia" w:ascii="仿宋" w:hAnsi="仿宋" w:eastAsia="仿宋" w:cs="仿宋"/>
          <w:b/>
        </w:rPr>
        <w:t>26. 履约保证金</w:t>
      </w:r>
    </w:p>
    <w:p>
      <w:pPr>
        <w:tabs>
          <w:tab w:val="left" w:pos="0"/>
        </w:tabs>
        <w:spacing w:line="360" w:lineRule="auto"/>
        <w:ind w:firstLine="482"/>
        <w:rPr>
          <w:rFonts w:hint="eastAsia" w:ascii="仿宋" w:hAnsi="仿宋" w:eastAsia="仿宋" w:cs="仿宋"/>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pPr>
        <w:tabs>
          <w:tab w:val="left" w:pos="0"/>
        </w:tabs>
        <w:spacing w:line="360" w:lineRule="auto"/>
        <w:ind w:firstLine="482"/>
        <w:rPr>
          <w:rFonts w:hint="eastAsia" w:ascii="仿宋" w:hAnsi="仿宋" w:eastAsia="仿宋" w:cs="仿宋"/>
          <w:sz w:val="24"/>
          <w:szCs w:val="20"/>
        </w:rPr>
      </w:pPr>
      <w:r>
        <w:rPr>
          <w:rFonts w:hint="eastAsia" w:ascii="仿宋" w:hAnsi="仿宋" w:eastAsia="仿宋" w:cs="仿宋"/>
          <w:sz w:val="24"/>
          <w:szCs w:val="20"/>
        </w:rPr>
        <w:t>政府采购货物和服务项目中，采购单位可根据杭州市政府采购网公布的供应商履约评价情况减免履约保证金。供应商履约验收评价总分为100分的，采购单位应当免收履约保证金。</w:t>
      </w:r>
    </w:p>
    <w:p>
      <w:pPr>
        <w:pStyle w:val="4"/>
        <w:ind w:left="0" w:firstLine="480" w:firstLineChars="200"/>
        <w:rPr>
          <w:rFonts w:hint="eastAsia" w:ascii="仿宋" w:hAnsi="仿宋" w:eastAsia="仿宋" w:cs="仿宋"/>
          <w:lang w:val="en-US"/>
        </w:rPr>
      </w:pPr>
      <w:r>
        <w:rPr>
          <w:rFonts w:hint="eastAsia" w:ascii="仿宋" w:hAnsi="仿宋" w:eastAsia="仿宋" w:cs="仿宋"/>
          <w:b w:val="0"/>
          <w:bCs w:val="0"/>
          <w:snapToGrid w:val="0"/>
          <w:kern w:val="28"/>
          <w:sz w:val="24"/>
        </w:rPr>
        <w:t>供应商</w:t>
      </w:r>
      <w:r>
        <w:rPr>
          <w:rFonts w:hint="eastAsia" w:ascii="仿宋" w:hAnsi="仿宋" w:eastAsia="仿宋" w:cs="仿宋"/>
          <w:b w:val="0"/>
          <w:bCs w:val="0"/>
          <w:snapToGrid w:val="0"/>
          <w:kern w:val="28"/>
          <w:sz w:val="24"/>
          <w:lang w:val="en-US"/>
        </w:rPr>
        <w:t>可</w:t>
      </w:r>
      <w:r>
        <w:rPr>
          <w:rFonts w:hint="eastAsia" w:ascii="仿宋" w:hAnsi="仿宋" w:eastAsia="仿宋" w:cs="仿宋"/>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 w:hAnsi="仿宋" w:eastAsia="仿宋" w:cs="仿宋"/>
          <w:b/>
          <w:sz w:val="32"/>
        </w:rPr>
      </w:pPr>
    </w:p>
    <w:p>
      <w:pPr>
        <w:snapToGrid w:val="0"/>
        <w:spacing w:line="360" w:lineRule="auto"/>
        <w:ind w:firstLine="3357" w:firstLineChars="1045"/>
        <w:rPr>
          <w:rFonts w:hint="eastAsia" w:ascii="仿宋" w:hAnsi="仿宋" w:eastAsia="仿宋" w:cs="仿宋"/>
          <w:b/>
          <w:sz w:val="24"/>
        </w:rPr>
      </w:pPr>
      <w:r>
        <w:rPr>
          <w:rFonts w:hint="eastAsia" w:ascii="仿宋" w:hAnsi="仿宋" w:eastAsia="仿宋" w:cs="仿宋"/>
          <w:b/>
          <w:sz w:val="32"/>
        </w:rPr>
        <w:t>八、电子交易活动的中止</w:t>
      </w:r>
    </w:p>
    <w:p>
      <w:pPr>
        <w:pStyle w:val="128"/>
        <w:snapToGrid w:val="0"/>
        <w:spacing w:before="0"/>
        <w:ind w:firstLine="0" w:firstLineChars="0"/>
        <w:rPr>
          <w:rFonts w:hint="eastAsia" w:ascii="仿宋" w:hAnsi="仿宋" w:eastAsia="仿宋" w:cs="仿宋"/>
        </w:rPr>
      </w:pPr>
      <w:r>
        <w:rPr>
          <w:rFonts w:hint="eastAsia" w:ascii="仿宋" w:hAnsi="仿宋" w:eastAsia="仿宋" w:cs="仿宋"/>
        </w:rPr>
        <w:t>2</w:t>
      </w:r>
      <w:r>
        <w:rPr>
          <w:rFonts w:hint="eastAsia" w:ascii="仿宋" w:hAnsi="仿宋" w:eastAsia="仿宋" w:cs="仿宋"/>
          <w:b/>
          <w:szCs w:val="24"/>
        </w:rPr>
        <w:t>7. 电子交易活动的中止。</w:t>
      </w:r>
      <w:r>
        <w:rPr>
          <w:rFonts w:hint="eastAsia" w:ascii="仿宋" w:hAnsi="仿宋" w:eastAsia="仿宋" w:cs="仿宋"/>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hint="eastAsia" w:ascii="仿宋" w:hAnsi="仿宋" w:eastAsia="仿宋" w:cs="仿宋"/>
        </w:rPr>
      </w:pPr>
      <w:r>
        <w:rPr>
          <w:rFonts w:hint="eastAsia" w:ascii="仿宋" w:hAnsi="仿宋" w:eastAsia="仿宋" w:cs="仿宋"/>
        </w:rPr>
        <w:t xml:space="preserve">27.1电子交易平台发生故障而无法登录访问的； </w:t>
      </w:r>
    </w:p>
    <w:p>
      <w:pPr>
        <w:pStyle w:val="128"/>
        <w:snapToGrid w:val="0"/>
        <w:spacing w:before="0"/>
        <w:ind w:firstLine="480"/>
        <w:rPr>
          <w:rFonts w:hint="eastAsia" w:ascii="仿宋" w:hAnsi="仿宋" w:eastAsia="仿宋" w:cs="仿宋"/>
        </w:rPr>
      </w:pPr>
      <w:r>
        <w:rPr>
          <w:rFonts w:hint="eastAsia" w:ascii="仿宋" w:hAnsi="仿宋" w:eastAsia="仿宋" w:cs="仿宋"/>
        </w:rPr>
        <w:t>27.2电子交易平台应用或数据库出现错误，不能进行正常操作的；</w:t>
      </w:r>
    </w:p>
    <w:p>
      <w:pPr>
        <w:pStyle w:val="128"/>
        <w:snapToGrid w:val="0"/>
        <w:spacing w:before="0"/>
        <w:ind w:firstLine="480"/>
        <w:rPr>
          <w:rFonts w:hint="eastAsia" w:ascii="仿宋" w:hAnsi="仿宋" w:eastAsia="仿宋" w:cs="仿宋"/>
        </w:rPr>
      </w:pPr>
      <w:r>
        <w:rPr>
          <w:rFonts w:hint="eastAsia" w:ascii="仿宋" w:hAnsi="仿宋" w:eastAsia="仿宋" w:cs="仿宋"/>
        </w:rPr>
        <w:t>27.3电子交易平台发现严重安全漏洞，有潜在泄密危险的；</w:t>
      </w:r>
    </w:p>
    <w:p>
      <w:pPr>
        <w:pStyle w:val="128"/>
        <w:snapToGrid w:val="0"/>
        <w:spacing w:before="0"/>
        <w:ind w:firstLine="480"/>
        <w:rPr>
          <w:rFonts w:hint="eastAsia" w:ascii="仿宋" w:hAnsi="仿宋" w:eastAsia="仿宋" w:cs="仿宋"/>
        </w:rPr>
      </w:pPr>
      <w:r>
        <w:rPr>
          <w:rFonts w:hint="eastAsia" w:ascii="仿宋" w:hAnsi="仿宋" w:eastAsia="仿宋" w:cs="仿宋"/>
        </w:rPr>
        <w:t xml:space="preserve">27.4病毒发作导致不能进行正常操作的； </w:t>
      </w:r>
    </w:p>
    <w:p>
      <w:pPr>
        <w:pStyle w:val="128"/>
        <w:snapToGrid w:val="0"/>
        <w:spacing w:before="0"/>
        <w:ind w:firstLine="480"/>
        <w:rPr>
          <w:rFonts w:hint="eastAsia" w:ascii="仿宋" w:hAnsi="仿宋" w:eastAsia="仿宋" w:cs="仿宋"/>
        </w:rPr>
      </w:pPr>
      <w:r>
        <w:rPr>
          <w:rFonts w:hint="eastAsia" w:ascii="仿宋" w:hAnsi="仿宋" w:eastAsia="仿宋" w:cs="仿宋"/>
        </w:rPr>
        <w:t>27.5其他无法保证电子交易的公平、公正和安全的情况。</w:t>
      </w:r>
    </w:p>
    <w:p>
      <w:pPr>
        <w:pStyle w:val="128"/>
        <w:snapToGrid w:val="0"/>
        <w:spacing w:before="0"/>
        <w:ind w:firstLine="0" w:firstLineChars="0"/>
        <w:rPr>
          <w:rFonts w:hint="eastAsia" w:ascii="仿宋" w:hAnsi="仿宋" w:eastAsia="仿宋" w:cs="仿宋"/>
        </w:rPr>
      </w:pPr>
      <w:r>
        <w:rPr>
          <w:rFonts w:hint="eastAsia" w:ascii="仿宋" w:hAnsi="仿宋" w:eastAsia="仿宋" w:cs="仿宋"/>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仿宋" w:hAnsi="仿宋" w:eastAsia="仿宋" w:cs="仿宋"/>
          <w:sz w:val="24"/>
        </w:rPr>
      </w:pPr>
    </w:p>
    <w:p>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九、验收</w:t>
      </w:r>
    </w:p>
    <w:p>
      <w:pPr>
        <w:pStyle w:val="24"/>
        <w:spacing w:line="360" w:lineRule="auto"/>
        <w:ind w:firstLine="0" w:firstLineChars="0"/>
        <w:rPr>
          <w:rFonts w:hint="eastAsia" w:ascii="仿宋" w:hAnsi="仿宋" w:eastAsia="仿宋" w:cs="仿宋"/>
          <w:b/>
        </w:rPr>
      </w:pPr>
      <w:r>
        <w:rPr>
          <w:rFonts w:hint="eastAsia" w:ascii="仿宋" w:hAnsi="仿宋" w:eastAsia="仿宋" w:cs="仿宋"/>
          <w:b/>
        </w:rPr>
        <w:t>29.验收</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sz w:val="18"/>
          <w:szCs w:val="18"/>
        </w:rPr>
      </w:pPr>
      <w:r>
        <w:rPr>
          <w:rFonts w:hint="eastAsia" w:ascii="仿宋" w:hAnsi="仿宋" w:eastAsia="仿宋" w:cs="仿宋"/>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hint="eastAsia" w:ascii="仿宋" w:hAnsi="仿宋" w:eastAsia="仿宋" w:cs="仿宋"/>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30295"/>
      <w:bookmarkEnd w:id="15"/>
      <w:bookmarkStart w:id="16" w:name="_Hlt68072990"/>
      <w:bookmarkEnd w:id="16"/>
      <w:bookmarkStart w:id="17" w:name="_Hlt68073093"/>
      <w:bookmarkEnd w:id="17"/>
      <w:bookmarkStart w:id="18" w:name="_Hlt68403820"/>
      <w:bookmarkEnd w:id="18"/>
      <w:bookmarkStart w:id="19" w:name="_Hlt74707468"/>
      <w:bookmarkEnd w:id="19"/>
      <w:bookmarkStart w:id="20" w:name="_Hlt75236290"/>
      <w:bookmarkEnd w:id="20"/>
      <w:bookmarkStart w:id="21" w:name="_Hlt74729768"/>
      <w:bookmarkEnd w:id="21"/>
      <w:bookmarkStart w:id="22" w:name="_Hlt75236101"/>
      <w:bookmarkEnd w:id="22"/>
      <w:bookmarkStart w:id="23" w:name="_Hlt68072998"/>
      <w:bookmarkEnd w:id="23"/>
      <w:bookmarkStart w:id="24" w:name="_Hlt68057669"/>
      <w:bookmarkEnd w:id="24"/>
      <w:bookmarkStart w:id="25" w:name="_Hlt75236011"/>
      <w:bookmarkEnd w:id="25"/>
      <w:bookmarkStart w:id="26" w:name="_Hlt74714665"/>
      <w:bookmarkEnd w:id="26"/>
    </w:p>
    <w:bookmarkEnd w:id="11"/>
    <w:bookmarkEnd w:id="12"/>
    <w:p>
      <w:pPr>
        <w:spacing w:line="360" w:lineRule="auto"/>
        <w:jc w:val="center"/>
        <w:outlineLvl w:val="0"/>
        <w:rPr>
          <w:rFonts w:hint="eastAsia" w:ascii="仿宋" w:hAnsi="仿宋" w:eastAsia="仿宋" w:cs="仿宋"/>
          <w:b/>
          <w:sz w:val="36"/>
          <w:szCs w:val="36"/>
        </w:rPr>
      </w:pPr>
      <w:bookmarkStart w:id="27" w:name="第四部分"/>
      <w:r>
        <w:rPr>
          <w:rFonts w:hint="eastAsia" w:ascii="仿宋" w:hAnsi="仿宋" w:eastAsia="仿宋" w:cs="仿宋"/>
          <w:b/>
          <w:sz w:val="36"/>
          <w:szCs w:val="36"/>
        </w:rPr>
        <w:t>第三部分   采购需求</w:t>
      </w:r>
    </w:p>
    <w:p>
      <w:pPr>
        <w:pStyle w:val="3"/>
        <w:pageBreakBefore w:val="0"/>
        <w:numPr>
          <w:ilvl w:val="0"/>
          <w:numId w:val="0"/>
        </w:numPr>
        <w:tabs>
          <w:tab w:val="left" w:pos="420"/>
          <w:tab w:val="clear" w:pos="432"/>
        </w:tabs>
        <w:kinsoku/>
        <w:wordWrap/>
        <w:overflowPunct/>
        <w:topLinePunct w:val="0"/>
        <w:autoSpaceDE/>
        <w:autoSpaceDN/>
        <w:bidi w:val="0"/>
        <w:adjustRightInd/>
        <w:snapToGrid/>
        <w:spacing w:line="400" w:lineRule="exact"/>
        <w:ind w:leftChars="0"/>
        <w:rPr>
          <w:rFonts w:hint="eastAsia" w:ascii="仿宋" w:hAnsi="仿宋" w:eastAsia="仿宋" w:cs="仿宋"/>
          <w:sz w:val="24"/>
          <w:szCs w:val="24"/>
        </w:rPr>
      </w:pPr>
      <w:bookmarkStart w:id="28" w:name="_Toc7264"/>
      <w:r>
        <w:rPr>
          <w:rFonts w:hint="eastAsia" w:ascii="仿宋" w:hAnsi="仿宋" w:eastAsia="仿宋" w:cs="仿宋"/>
          <w:sz w:val="24"/>
          <w:szCs w:val="24"/>
          <w:lang w:eastAsia="zh-CN"/>
        </w:rPr>
        <w:t>一、</w:t>
      </w:r>
      <w:r>
        <w:rPr>
          <w:rFonts w:hint="eastAsia" w:ascii="仿宋" w:hAnsi="仿宋" w:eastAsia="仿宋" w:cs="仿宋"/>
          <w:sz w:val="24"/>
          <w:szCs w:val="24"/>
        </w:rPr>
        <w:t>现状</w:t>
      </w:r>
      <w:bookmarkEnd w:id="28"/>
    </w:p>
    <w:p>
      <w:pPr>
        <w:pageBreakBefore w:val="0"/>
        <w:kinsoku/>
        <w:wordWrap/>
        <w:overflowPunct/>
        <w:topLinePunct w:val="0"/>
        <w:autoSpaceDE/>
        <w:autoSpaceDN/>
        <w:bidi w:val="0"/>
        <w:adjustRightInd/>
        <w:snapToGrid/>
        <w:spacing w:line="400" w:lineRule="exact"/>
        <w:ind w:firstLine="420"/>
        <w:rPr>
          <w:rFonts w:hint="eastAsia" w:ascii="仿宋" w:hAnsi="仿宋" w:eastAsia="仿宋" w:cs="仿宋"/>
          <w:sz w:val="24"/>
          <w:szCs w:val="24"/>
        </w:rPr>
      </w:pPr>
      <w:r>
        <w:rPr>
          <w:rFonts w:hint="eastAsia" w:ascii="仿宋" w:hAnsi="仿宋" w:eastAsia="仿宋" w:cs="仿宋"/>
          <w:sz w:val="24"/>
          <w:szCs w:val="24"/>
        </w:rPr>
        <w:t>杭州市临安区门户网站于2017年下半年基于浙江省政府网站集约化管理平台完成系统迁移。网站现有首页、魅力临安、政府信息公开、网上办事、政民互动、便民服务、站群导航七大板块，并设有45家政府信息公开单位专栏和4个子网站。随着国办、省市对政府网站工作情况考核力度、强度的不断加强，在杭州市临安区门户网站的日常运行中显现出了越来越多的问题。</w:t>
      </w:r>
    </w:p>
    <w:p>
      <w:pPr>
        <w:pStyle w:val="3"/>
        <w:pageBreakBefore w:val="0"/>
        <w:numPr>
          <w:ilvl w:val="0"/>
          <w:numId w:val="0"/>
        </w:numPr>
        <w:tabs>
          <w:tab w:val="left" w:pos="420"/>
          <w:tab w:val="clear" w:pos="432"/>
        </w:tabs>
        <w:kinsoku/>
        <w:wordWrap/>
        <w:overflowPunct/>
        <w:topLinePunct w:val="0"/>
        <w:autoSpaceDE/>
        <w:autoSpaceDN/>
        <w:bidi w:val="0"/>
        <w:adjustRightInd/>
        <w:snapToGrid/>
        <w:spacing w:line="400" w:lineRule="exact"/>
        <w:ind w:leftChars="0"/>
        <w:rPr>
          <w:rFonts w:hint="eastAsia" w:ascii="仿宋" w:hAnsi="仿宋" w:eastAsia="仿宋" w:cs="仿宋"/>
          <w:sz w:val="24"/>
          <w:szCs w:val="24"/>
        </w:rPr>
      </w:pPr>
      <w:r>
        <w:rPr>
          <w:rFonts w:hint="eastAsia" w:ascii="仿宋" w:hAnsi="仿宋" w:eastAsia="仿宋" w:cs="仿宋"/>
          <w:sz w:val="24"/>
          <w:szCs w:val="24"/>
          <w:lang w:eastAsia="zh-CN"/>
        </w:rPr>
        <w:t>二、</w:t>
      </w:r>
      <w:r>
        <w:rPr>
          <w:rFonts w:hint="eastAsia" w:ascii="仿宋" w:hAnsi="仿宋" w:eastAsia="仿宋" w:cs="仿宋"/>
          <w:sz w:val="24"/>
          <w:szCs w:val="24"/>
        </w:rPr>
        <w:t>建设需求</w:t>
      </w:r>
    </w:p>
    <w:p>
      <w:pPr>
        <w:pStyle w:val="4"/>
        <w:pageBreakBefore w:val="0"/>
        <w:numPr>
          <w:ilvl w:val="1"/>
          <w:numId w:val="0"/>
        </w:numPr>
        <w:kinsoku/>
        <w:wordWrap/>
        <w:overflowPunct/>
        <w:topLinePunct w:val="0"/>
        <w:autoSpaceDE/>
        <w:autoSpaceDN/>
        <w:bidi w:val="0"/>
        <w:adjustRightInd/>
        <w:snapToGrid/>
        <w:spacing w:line="400" w:lineRule="exact"/>
        <w:ind w:leftChars="0"/>
        <w:rPr>
          <w:rFonts w:hint="eastAsia" w:ascii="仿宋" w:hAnsi="仿宋" w:eastAsia="仿宋" w:cs="仿宋"/>
          <w:sz w:val="24"/>
          <w:szCs w:val="24"/>
        </w:rPr>
      </w:pPr>
      <w:bookmarkStart w:id="29" w:name="_Toc6226"/>
      <w:r>
        <w:rPr>
          <w:rFonts w:hint="eastAsia" w:ascii="仿宋" w:hAnsi="仿宋" w:eastAsia="仿宋" w:cs="仿宋"/>
          <w:sz w:val="24"/>
          <w:szCs w:val="24"/>
          <w:lang w:val="en-US" w:eastAsia="zh-CN"/>
        </w:rPr>
        <w:t>1、</w:t>
      </w:r>
      <w:r>
        <w:rPr>
          <w:rFonts w:hint="eastAsia" w:ascii="仿宋" w:hAnsi="仿宋" w:eastAsia="仿宋" w:cs="仿宋"/>
          <w:sz w:val="24"/>
          <w:szCs w:val="24"/>
        </w:rPr>
        <w:t>业务需求</w:t>
      </w:r>
      <w:bookmarkEnd w:id="29"/>
    </w:p>
    <w:p>
      <w:pPr>
        <w:pageBreakBefore w:val="0"/>
        <w:kinsoku/>
        <w:wordWrap/>
        <w:overflowPunct/>
        <w:topLinePunct w:val="0"/>
        <w:autoSpaceDE/>
        <w:autoSpaceDN/>
        <w:bidi w:val="0"/>
        <w:adjustRightInd/>
        <w:snapToGrid/>
        <w:spacing w:line="400" w:lineRule="exact"/>
        <w:ind w:firstLine="420"/>
        <w:rPr>
          <w:rFonts w:hint="eastAsia" w:ascii="仿宋" w:hAnsi="仿宋" w:eastAsia="仿宋" w:cs="仿宋"/>
          <w:sz w:val="24"/>
          <w:szCs w:val="24"/>
        </w:rPr>
      </w:pPr>
      <w:r>
        <w:rPr>
          <w:rFonts w:hint="eastAsia" w:ascii="仿宋" w:hAnsi="仿宋" w:eastAsia="仿宋" w:cs="仿宋"/>
          <w:sz w:val="24"/>
          <w:szCs w:val="24"/>
        </w:rPr>
        <w:t>通过门户网站的升级改造，完善杭州市临安区门户网站的建设与维护。从而促进各级政府部门依法行政，提高社会管理和公共服务水平，保障公众知情权、参与权和监督权，加强政府自身建设和推进行政管理体制改革。及时准确地发布政府信息，搭建与公众互动交流平台，拓宽社情民意的表达渠道，着重为公众和企业提供在线办事服务、公益性便民服务。同时优化政府信息管理、信息发布的平台能力，切实提高我区门户网站服务水平，提升我区在全省门户网站工作中的考核成绩。</w:t>
      </w:r>
    </w:p>
    <w:p>
      <w:pPr>
        <w:pStyle w:val="4"/>
        <w:pageBreakBefore w:val="0"/>
        <w:numPr>
          <w:ilvl w:val="1"/>
          <w:numId w:val="0"/>
        </w:numPr>
        <w:kinsoku/>
        <w:wordWrap/>
        <w:overflowPunct/>
        <w:topLinePunct w:val="0"/>
        <w:autoSpaceDE/>
        <w:autoSpaceDN/>
        <w:bidi w:val="0"/>
        <w:adjustRightInd/>
        <w:snapToGrid/>
        <w:spacing w:line="400" w:lineRule="exact"/>
        <w:ind w:leftChars="0"/>
        <w:rPr>
          <w:rFonts w:hint="eastAsia" w:ascii="仿宋" w:hAnsi="仿宋" w:eastAsia="仿宋" w:cs="仿宋"/>
          <w:sz w:val="24"/>
          <w:szCs w:val="24"/>
          <w:lang w:eastAsia="zh-Hans"/>
        </w:rPr>
      </w:pPr>
      <w:bookmarkStart w:id="30" w:name="_Toc4827"/>
      <w:r>
        <w:rPr>
          <w:rFonts w:hint="eastAsia" w:ascii="仿宋" w:hAnsi="仿宋" w:eastAsia="仿宋" w:cs="仿宋"/>
          <w:sz w:val="24"/>
          <w:szCs w:val="24"/>
          <w:lang w:val="en-US" w:eastAsia="zh-CN"/>
        </w:rPr>
        <w:t>2、</w:t>
      </w:r>
      <w:r>
        <w:rPr>
          <w:rFonts w:hint="eastAsia" w:ascii="仿宋" w:hAnsi="仿宋" w:eastAsia="仿宋" w:cs="仿宋"/>
          <w:sz w:val="24"/>
          <w:szCs w:val="24"/>
        </w:rPr>
        <w:t>功能需求</w:t>
      </w:r>
      <w:bookmarkEnd w:id="30"/>
    </w:p>
    <w:p>
      <w:pPr>
        <w:pStyle w:val="5"/>
        <w:pageBreakBefore w:val="0"/>
        <w:numPr>
          <w:ilvl w:val="2"/>
          <w:numId w:val="0"/>
        </w:numPr>
        <w:kinsoku/>
        <w:wordWrap/>
        <w:overflowPunct/>
        <w:topLinePunct w:val="0"/>
        <w:autoSpaceDE/>
        <w:autoSpaceDN/>
        <w:bidi w:val="0"/>
        <w:adjustRightInd/>
        <w:snapToGrid/>
        <w:spacing w:line="400" w:lineRule="exact"/>
        <w:ind w:leftChars="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lang w:eastAsia="zh-Hans"/>
        </w:rPr>
        <w:t>门户网站主站</w:t>
      </w:r>
    </w:p>
    <w:p>
      <w:pPr>
        <w:pageBreakBefore w:val="0"/>
        <w:kinsoku/>
        <w:wordWrap/>
        <w:overflowPunct/>
        <w:topLinePunct w:val="0"/>
        <w:autoSpaceDE/>
        <w:autoSpaceDN/>
        <w:bidi w:val="0"/>
        <w:adjustRightInd/>
        <w:snapToGrid/>
        <w:spacing w:line="400" w:lineRule="exact"/>
        <w:ind w:firstLine="420"/>
        <w:rPr>
          <w:rFonts w:hint="eastAsia" w:ascii="仿宋" w:hAnsi="仿宋" w:eastAsia="仿宋" w:cs="仿宋"/>
          <w:sz w:val="24"/>
          <w:szCs w:val="24"/>
        </w:rPr>
      </w:pPr>
      <w:r>
        <w:rPr>
          <w:rFonts w:hint="eastAsia" w:ascii="仿宋" w:hAnsi="仿宋" w:eastAsia="仿宋" w:cs="仿宋"/>
          <w:sz w:val="24"/>
          <w:szCs w:val="24"/>
        </w:rPr>
        <w:t>基于浙江省政府网站集约化管理平台对杭州市临</w:t>
      </w:r>
      <w:r>
        <w:rPr>
          <w:rFonts w:hint="eastAsia" w:ascii="仿宋" w:hAnsi="仿宋" w:eastAsia="仿宋" w:cs="仿宋"/>
          <w:sz w:val="24"/>
          <w:szCs w:val="24"/>
          <w:lang w:eastAsia="zh-Hans"/>
        </w:rPr>
        <w:t>安</w:t>
      </w:r>
      <w:r>
        <w:rPr>
          <w:rFonts w:hint="eastAsia" w:ascii="仿宋" w:hAnsi="仿宋" w:eastAsia="仿宋" w:cs="仿宋"/>
          <w:sz w:val="24"/>
          <w:szCs w:val="24"/>
        </w:rPr>
        <w:t>区门户网站</w:t>
      </w:r>
      <w:r>
        <w:rPr>
          <w:rFonts w:hint="eastAsia" w:ascii="仿宋" w:hAnsi="仿宋" w:eastAsia="仿宋" w:cs="仿宋"/>
          <w:sz w:val="24"/>
          <w:szCs w:val="24"/>
          <w:lang w:eastAsia="zh-Hans"/>
        </w:rPr>
        <w:t>主站</w:t>
      </w:r>
      <w:r>
        <w:rPr>
          <w:rFonts w:hint="eastAsia" w:ascii="仿宋" w:hAnsi="仿宋" w:eastAsia="仿宋" w:cs="仿宋"/>
          <w:sz w:val="24"/>
          <w:szCs w:val="24"/>
        </w:rPr>
        <w:t>进行改版，完成网站UI设计及页面开发、栏目架构调整、模板配置部署等。网站UI设计及页面开发主要包括网站首页、今日临安、</w:t>
      </w:r>
      <w:r>
        <w:rPr>
          <w:rFonts w:hint="eastAsia" w:ascii="仿宋" w:hAnsi="仿宋" w:eastAsia="仿宋" w:cs="仿宋"/>
          <w:sz w:val="24"/>
          <w:szCs w:val="24"/>
          <w:lang w:eastAsia="zh-Hans"/>
        </w:rPr>
        <w:t>魅力临安、</w:t>
      </w:r>
      <w:r>
        <w:rPr>
          <w:rFonts w:hint="eastAsia" w:ascii="仿宋" w:hAnsi="仿宋" w:eastAsia="仿宋" w:cs="仿宋"/>
          <w:sz w:val="24"/>
          <w:szCs w:val="24"/>
        </w:rPr>
        <w:t>政务公开、</w:t>
      </w:r>
      <w:r>
        <w:rPr>
          <w:rFonts w:hint="eastAsia" w:ascii="仿宋" w:hAnsi="仿宋" w:eastAsia="仿宋" w:cs="仿宋"/>
          <w:sz w:val="24"/>
          <w:szCs w:val="24"/>
          <w:lang w:eastAsia="zh-Hans"/>
        </w:rPr>
        <w:t>政民互动及相关</w:t>
      </w:r>
      <w:r>
        <w:rPr>
          <w:rFonts w:hint="eastAsia" w:ascii="仿宋" w:hAnsi="仿宋" w:eastAsia="仿宋" w:cs="仿宋"/>
          <w:sz w:val="24"/>
          <w:szCs w:val="24"/>
        </w:rPr>
        <w:t>栏目页、文章页、专题页等页面设计，</w:t>
      </w:r>
      <w:r>
        <w:rPr>
          <w:rFonts w:hint="eastAsia" w:ascii="仿宋" w:hAnsi="仿宋" w:eastAsia="仿宋" w:cs="仿宋"/>
          <w:sz w:val="24"/>
          <w:szCs w:val="24"/>
          <w:lang w:eastAsia="zh-Hans"/>
        </w:rPr>
        <w:t>并按照现有内容管理平台进行功能整合。</w:t>
      </w:r>
    </w:p>
    <w:p>
      <w:pPr>
        <w:pStyle w:val="5"/>
        <w:pageBreakBefore w:val="0"/>
        <w:numPr>
          <w:ilvl w:val="2"/>
          <w:numId w:val="0"/>
        </w:numPr>
        <w:kinsoku/>
        <w:wordWrap/>
        <w:overflowPunct/>
        <w:topLinePunct w:val="0"/>
        <w:autoSpaceDE/>
        <w:autoSpaceDN/>
        <w:bidi w:val="0"/>
        <w:adjustRightInd/>
        <w:snapToGrid/>
        <w:spacing w:line="400" w:lineRule="exact"/>
        <w:ind w:leftChars="0"/>
        <w:rPr>
          <w:rFonts w:hint="eastAsia" w:ascii="仿宋" w:hAnsi="仿宋" w:eastAsia="仿宋" w:cs="仿宋"/>
          <w:sz w:val="24"/>
          <w:szCs w:val="24"/>
          <w:lang w:eastAsia="zh-Hans"/>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lang w:eastAsia="zh-Hans"/>
        </w:rPr>
        <w:t>政府信息公开</w:t>
      </w:r>
      <w:r>
        <w:rPr>
          <w:rFonts w:hint="eastAsia" w:ascii="仿宋" w:hAnsi="仿宋" w:eastAsia="仿宋" w:cs="仿宋"/>
          <w:sz w:val="24"/>
          <w:szCs w:val="24"/>
        </w:rPr>
        <w:t>门户</w:t>
      </w:r>
    </w:p>
    <w:p>
      <w:pPr>
        <w:pageBreakBefore w:val="0"/>
        <w:kinsoku/>
        <w:wordWrap/>
        <w:overflowPunct/>
        <w:topLinePunct w:val="0"/>
        <w:autoSpaceDE/>
        <w:autoSpaceDN/>
        <w:bidi w:val="0"/>
        <w:adjustRightInd/>
        <w:snapToGrid/>
        <w:spacing w:line="400" w:lineRule="exact"/>
        <w:ind w:firstLine="420"/>
        <w:rPr>
          <w:rFonts w:hint="eastAsia" w:ascii="仿宋" w:hAnsi="仿宋" w:eastAsia="仿宋" w:cs="仿宋"/>
          <w:sz w:val="24"/>
          <w:szCs w:val="24"/>
          <w:lang w:eastAsia="zh-Hans"/>
        </w:rPr>
      </w:pPr>
      <w:bookmarkStart w:id="31" w:name="_Toc24372"/>
      <w:bookmarkStart w:id="32" w:name="_Toc17634"/>
      <w:bookmarkStart w:id="33" w:name="_Toc8594"/>
      <w:bookmarkStart w:id="34" w:name="_Toc981"/>
      <w:bookmarkStart w:id="35" w:name="_Toc18386"/>
      <w:bookmarkStart w:id="36" w:name="_Toc22844"/>
      <w:bookmarkStart w:id="37" w:name="_Toc30250"/>
      <w:bookmarkStart w:id="38" w:name="_Toc14791"/>
      <w:bookmarkStart w:id="39" w:name="_Toc18909"/>
      <w:bookmarkStart w:id="40" w:name="_Toc29453"/>
      <w:bookmarkStart w:id="41" w:name="_Toc7585"/>
      <w:bookmarkStart w:id="42" w:name="_Toc3872"/>
      <w:bookmarkStart w:id="43" w:name="_Toc3780"/>
      <w:bookmarkStart w:id="44" w:name="_Toc20914"/>
      <w:bookmarkStart w:id="45" w:name="_Toc32340"/>
      <w:r>
        <w:rPr>
          <w:rFonts w:hint="eastAsia" w:ascii="仿宋" w:hAnsi="仿宋" w:eastAsia="仿宋" w:cs="仿宋"/>
          <w:sz w:val="24"/>
          <w:szCs w:val="24"/>
        </w:rPr>
        <w:t>门户网站政府信息公开门户采用集约化平台中的政府信息公开模块进行构建，按照“统一平台、统一规范、上下同步、分级管理”的原则，围绕《中华人民共和国政府信息公开条例》规定的4大类主动公开信息和23项重点公开内容，有效利用信息化手段，形成规范统一的政府信息公开目录编制体系、信息公开发布体系和监督保障体系，推进杭州市临</w:t>
      </w:r>
      <w:r>
        <w:rPr>
          <w:rFonts w:hint="eastAsia" w:ascii="仿宋" w:hAnsi="仿宋" w:eastAsia="仿宋" w:cs="仿宋"/>
          <w:sz w:val="24"/>
          <w:szCs w:val="24"/>
          <w:lang w:eastAsia="zh-Hans"/>
        </w:rPr>
        <w:t>安</w:t>
      </w:r>
      <w:r>
        <w:rPr>
          <w:rFonts w:hint="eastAsia" w:ascii="仿宋" w:hAnsi="仿宋" w:eastAsia="仿宋" w:cs="仿宋"/>
          <w:sz w:val="24"/>
          <w:szCs w:val="24"/>
        </w:rPr>
        <w:t>区政府信息公开工作规范、有序开展。</w:t>
      </w:r>
      <w:r>
        <w:rPr>
          <w:rFonts w:hint="eastAsia" w:ascii="仿宋" w:hAnsi="仿宋" w:eastAsia="仿宋" w:cs="仿宋"/>
          <w:sz w:val="24"/>
          <w:szCs w:val="24"/>
          <w:lang w:eastAsia="zh-Hans"/>
        </w:rPr>
        <w:t>主要</w:t>
      </w:r>
      <w:r>
        <w:rPr>
          <w:rFonts w:hint="eastAsia" w:ascii="仿宋" w:hAnsi="仿宋" w:eastAsia="仿宋" w:cs="仿宋"/>
          <w:sz w:val="24"/>
          <w:szCs w:val="24"/>
        </w:rPr>
        <w:t>建设内容包括政府信息公开主频道、部门镇街政府信息公开子频道、特色专题制作、规范性文件库、模板配置部署等，并做好政策解读与政策原文的双向关联配置。</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pPr>
        <w:pStyle w:val="5"/>
        <w:pageBreakBefore w:val="0"/>
        <w:numPr>
          <w:ilvl w:val="2"/>
          <w:numId w:val="0"/>
        </w:numPr>
        <w:kinsoku/>
        <w:wordWrap/>
        <w:overflowPunct/>
        <w:topLinePunct w:val="0"/>
        <w:autoSpaceDE/>
        <w:autoSpaceDN/>
        <w:bidi w:val="0"/>
        <w:adjustRightInd/>
        <w:snapToGrid/>
        <w:spacing w:line="400" w:lineRule="exact"/>
        <w:ind w:leftChars="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rPr>
        <w:t>移动版</w:t>
      </w:r>
    </w:p>
    <w:p>
      <w:pPr>
        <w:pageBreakBefore w:val="0"/>
        <w:kinsoku/>
        <w:wordWrap/>
        <w:overflowPunct/>
        <w:topLinePunct w:val="0"/>
        <w:autoSpaceDE/>
        <w:autoSpaceDN/>
        <w:bidi w:val="0"/>
        <w:adjustRightInd/>
        <w:snapToGrid/>
        <w:spacing w:line="400" w:lineRule="exact"/>
        <w:ind w:firstLine="420"/>
        <w:rPr>
          <w:rFonts w:hint="eastAsia" w:ascii="仿宋" w:hAnsi="仿宋" w:eastAsia="仿宋" w:cs="仿宋"/>
          <w:sz w:val="24"/>
          <w:szCs w:val="24"/>
        </w:rPr>
      </w:pPr>
      <w:r>
        <w:rPr>
          <w:rFonts w:hint="eastAsia" w:ascii="仿宋" w:hAnsi="仿宋" w:eastAsia="仿宋" w:cs="仿宋"/>
          <w:sz w:val="24"/>
          <w:szCs w:val="24"/>
        </w:rPr>
        <w:t>根据《浙江省大数据发展管理局关于印发2022年浙江省政府网站工作要点的通知》（浙数局发函〔2022〕8号）要求,按照移动端的使用体验及使用习惯，设计临安区门户网站移动版，丰富页面内容，并按照移动端尺寸进行改造，使其能够适应各类手机浏览器的显示要求，从而提供流畅的“掌上服务”。</w:t>
      </w:r>
    </w:p>
    <w:p>
      <w:pPr>
        <w:pStyle w:val="5"/>
        <w:pageBreakBefore w:val="0"/>
        <w:numPr>
          <w:ilvl w:val="2"/>
          <w:numId w:val="0"/>
        </w:numPr>
        <w:kinsoku/>
        <w:wordWrap/>
        <w:overflowPunct/>
        <w:topLinePunct w:val="0"/>
        <w:autoSpaceDE/>
        <w:autoSpaceDN/>
        <w:bidi w:val="0"/>
        <w:adjustRightInd/>
        <w:snapToGrid/>
        <w:spacing w:line="400" w:lineRule="exact"/>
        <w:ind w:leftChars="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rPr>
        <w:t>英文版</w:t>
      </w:r>
    </w:p>
    <w:p>
      <w:pPr>
        <w:pageBreakBefore w:val="0"/>
        <w:kinsoku/>
        <w:wordWrap/>
        <w:overflowPunct/>
        <w:topLinePunct w:val="0"/>
        <w:autoSpaceDE/>
        <w:autoSpaceDN/>
        <w:bidi w:val="0"/>
        <w:adjustRightInd/>
        <w:snapToGrid/>
        <w:spacing w:line="400" w:lineRule="exact"/>
        <w:ind w:firstLine="420"/>
        <w:rPr>
          <w:rFonts w:hint="eastAsia" w:ascii="仿宋" w:hAnsi="仿宋" w:eastAsia="仿宋" w:cs="仿宋"/>
          <w:sz w:val="24"/>
          <w:szCs w:val="24"/>
        </w:rPr>
      </w:pPr>
      <w:r>
        <w:rPr>
          <w:rFonts w:hint="eastAsia" w:ascii="仿宋" w:hAnsi="仿宋" w:eastAsia="仿宋" w:cs="仿宋"/>
          <w:sz w:val="24"/>
          <w:szCs w:val="24"/>
        </w:rPr>
        <w:t>建设杭州市临安区门户网站英文版官网，提供对外宣传临安窗口，内容设置包括临安简介、自然地理、文化历史、经济发展、城乡建设、社会事业等方面的介绍。并按照《杭州市数据资源管理局关于印发2022年杭州市政府网站工作要点的通知》（杭数据函〔2022〕1号）要求，梳理英文网站文章内容并提供一次英文翻译，做到内容准确，及时更新。</w:t>
      </w:r>
    </w:p>
    <w:p>
      <w:pPr>
        <w:pStyle w:val="5"/>
        <w:pageBreakBefore w:val="0"/>
        <w:numPr>
          <w:ilvl w:val="2"/>
          <w:numId w:val="0"/>
        </w:numPr>
        <w:kinsoku/>
        <w:wordWrap/>
        <w:overflowPunct/>
        <w:topLinePunct w:val="0"/>
        <w:autoSpaceDE/>
        <w:autoSpaceDN/>
        <w:bidi w:val="0"/>
        <w:adjustRightInd/>
        <w:snapToGrid/>
        <w:spacing w:line="400" w:lineRule="exact"/>
        <w:ind w:leftChars="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w:t>
      </w:r>
      <w:r>
        <w:rPr>
          <w:rFonts w:hint="eastAsia" w:ascii="仿宋" w:hAnsi="仿宋" w:eastAsia="仿宋" w:cs="仿宋"/>
          <w:sz w:val="24"/>
          <w:szCs w:val="24"/>
        </w:rPr>
        <w:t>无障碍改造</w:t>
      </w:r>
    </w:p>
    <w:p>
      <w:pPr>
        <w:pageBreakBefore w:val="0"/>
        <w:kinsoku/>
        <w:wordWrap/>
        <w:overflowPunct/>
        <w:topLinePunct w:val="0"/>
        <w:autoSpaceDE/>
        <w:autoSpaceDN/>
        <w:bidi w:val="0"/>
        <w:adjustRightInd/>
        <w:snapToGrid/>
        <w:spacing w:line="400" w:lineRule="exact"/>
        <w:ind w:firstLine="420"/>
        <w:rPr>
          <w:rFonts w:hint="eastAsia" w:ascii="仿宋" w:hAnsi="仿宋" w:eastAsia="仿宋" w:cs="仿宋"/>
          <w:sz w:val="24"/>
          <w:szCs w:val="24"/>
        </w:rPr>
      </w:pPr>
      <w:r>
        <w:rPr>
          <w:rFonts w:hint="eastAsia" w:ascii="仿宋" w:hAnsi="仿宋" w:eastAsia="仿宋" w:cs="仿宋"/>
          <w:sz w:val="24"/>
          <w:szCs w:val="24"/>
        </w:rPr>
        <w:t>根据《杭州市“迎亚（残）运”无障碍环境建设行动计划（2020-2022年）》（杭政办函[2020]19号）和杭州市无障碍环境建设领导小组办公室和杭州市数据资源管理局关于《杭州市无障碍环境建设规划》的要求，对我官方网站PC及移动版进行信息交流无障碍改造。改造目标为国家标准GB/T 37668-2019《信息技术互联网内容无障碍可访问性技术要求与测试方法》中技术要求等级划分一级标准。</w:t>
      </w:r>
    </w:p>
    <w:p>
      <w:pPr>
        <w:pStyle w:val="5"/>
        <w:pageBreakBefore w:val="0"/>
        <w:numPr>
          <w:ilvl w:val="2"/>
          <w:numId w:val="0"/>
        </w:numPr>
        <w:kinsoku/>
        <w:wordWrap/>
        <w:overflowPunct/>
        <w:topLinePunct w:val="0"/>
        <w:autoSpaceDE/>
        <w:autoSpaceDN/>
        <w:bidi w:val="0"/>
        <w:adjustRightInd/>
        <w:snapToGrid/>
        <w:spacing w:line="400" w:lineRule="exact"/>
        <w:ind w:leftChars="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w:t>
      </w:r>
      <w:r>
        <w:rPr>
          <w:rFonts w:hint="eastAsia" w:ascii="仿宋" w:hAnsi="仿宋" w:eastAsia="仿宋" w:cs="仿宋"/>
          <w:sz w:val="24"/>
          <w:szCs w:val="24"/>
        </w:rPr>
        <w:t>适老化建设</w:t>
      </w:r>
    </w:p>
    <w:p>
      <w:pPr>
        <w:pageBreakBefore w:val="0"/>
        <w:kinsoku/>
        <w:wordWrap/>
        <w:overflowPunct/>
        <w:topLinePunct w:val="0"/>
        <w:autoSpaceDE/>
        <w:autoSpaceDN/>
        <w:bidi w:val="0"/>
        <w:adjustRightInd/>
        <w:snapToGrid/>
        <w:spacing w:line="400" w:lineRule="exact"/>
        <w:ind w:firstLine="420"/>
        <w:rPr>
          <w:rFonts w:hint="eastAsia" w:ascii="仿宋" w:hAnsi="仿宋" w:eastAsia="仿宋" w:cs="仿宋"/>
          <w:sz w:val="24"/>
          <w:szCs w:val="24"/>
        </w:rPr>
      </w:pPr>
      <w:r>
        <w:rPr>
          <w:rFonts w:hint="eastAsia" w:ascii="仿宋" w:hAnsi="仿宋" w:eastAsia="仿宋" w:cs="仿宋"/>
          <w:sz w:val="24"/>
          <w:szCs w:val="24"/>
        </w:rPr>
        <w:t>根据《工业和信息化部办公厅关于进一步抓好互联网应用老年模式及无障碍改造专项行动实施工作的通知》（工信厅信管函〔2021〕67号）和《2022年浙江省政府网站工作要点》（浙数局发函〔2022〕8号）要求，完成杭州市临安区门户网站适老化建设。并通过中国互联网协会互联网站适老化及无障碍改造评测，方便老年人、残障人士获取信息，助力特殊用户群体跨越“数字鸿沟”。</w:t>
      </w:r>
    </w:p>
    <w:p>
      <w:pPr>
        <w:pStyle w:val="5"/>
        <w:pageBreakBefore w:val="0"/>
        <w:numPr>
          <w:ilvl w:val="2"/>
          <w:numId w:val="0"/>
        </w:numPr>
        <w:kinsoku/>
        <w:wordWrap/>
        <w:overflowPunct/>
        <w:topLinePunct w:val="0"/>
        <w:autoSpaceDE/>
        <w:autoSpaceDN/>
        <w:bidi w:val="0"/>
        <w:adjustRightInd/>
        <w:snapToGrid/>
        <w:spacing w:line="400" w:lineRule="exact"/>
        <w:ind w:leftChars="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7</w:t>
      </w:r>
      <w:r>
        <w:rPr>
          <w:rFonts w:hint="eastAsia" w:ascii="仿宋" w:hAnsi="仿宋" w:eastAsia="仿宋" w:cs="仿宋"/>
          <w:sz w:val="24"/>
          <w:szCs w:val="24"/>
          <w:lang w:eastAsia="zh-CN"/>
        </w:rPr>
        <w:t>）</w:t>
      </w:r>
      <w:r>
        <w:rPr>
          <w:rFonts w:hint="eastAsia" w:ascii="仿宋" w:hAnsi="仿宋" w:eastAsia="仿宋" w:cs="仿宋"/>
          <w:sz w:val="24"/>
          <w:szCs w:val="24"/>
        </w:rPr>
        <w:t>智能检索改造</w:t>
      </w:r>
    </w:p>
    <w:p>
      <w:pPr>
        <w:pageBreakBefore w:val="0"/>
        <w:kinsoku/>
        <w:wordWrap/>
        <w:overflowPunct/>
        <w:topLinePunct w:val="0"/>
        <w:autoSpaceDE/>
        <w:autoSpaceDN/>
        <w:bidi w:val="0"/>
        <w:adjustRightInd/>
        <w:snapToGrid/>
        <w:spacing w:line="400" w:lineRule="exact"/>
        <w:ind w:firstLine="420"/>
        <w:rPr>
          <w:rFonts w:hint="eastAsia" w:ascii="仿宋" w:hAnsi="仿宋" w:eastAsia="仿宋" w:cs="仿宋"/>
          <w:sz w:val="24"/>
          <w:szCs w:val="24"/>
        </w:rPr>
      </w:pPr>
      <w:r>
        <w:rPr>
          <w:rFonts w:hint="eastAsia" w:ascii="仿宋" w:hAnsi="仿宋" w:eastAsia="仿宋" w:cs="仿宋"/>
          <w:sz w:val="24"/>
          <w:szCs w:val="24"/>
        </w:rPr>
        <w:t>对杭州市临安区门户网站检索功能进行改造，提供对门户所有站内数据进行模糊查询，通过对网站的结构挖掘、内容挖掘、用户行为习惯挖掘，实现信息汇集、自学习和良性积累扩展，实现快捷、精准、全面、智能的一站式搜索服务。同时，将门户网站与浙江政务服务网信息打通，公众通过智能检索可同时检索出门户网站、政务服务网的内容。</w:t>
      </w:r>
    </w:p>
    <w:p>
      <w:pPr>
        <w:pStyle w:val="5"/>
        <w:pageBreakBefore w:val="0"/>
        <w:numPr>
          <w:ilvl w:val="2"/>
          <w:numId w:val="0"/>
        </w:numPr>
        <w:kinsoku/>
        <w:wordWrap/>
        <w:overflowPunct/>
        <w:topLinePunct w:val="0"/>
        <w:autoSpaceDE/>
        <w:autoSpaceDN/>
        <w:bidi w:val="0"/>
        <w:adjustRightInd/>
        <w:snapToGrid/>
        <w:spacing w:line="400" w:lineRule="exact"/>
        <w:ind w:leftChars="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8</w:t>
      </w:r>
      <w:r>
        <w:rPr>
          <w:rFonts w:hint="eastAsia" w:ascii="仿宋" w:hAnsi="仿宋" w:eastAsia="仿宋" w:cs="仿宋"/>
          <w:sz w:val="24"/>
          <w:szCs w:val="24"/>
          <w:lang w:eastAsia="zh-CN"/>
        </w:rPr>
        <w:t>）</w:t>
      </w:r>
      <w:r>
        <w:rPr>
          <w:rFonts w:hint="eastAsia" w:ascii="仿宋" w:hAnsi="仿宋" w:eastAsia="仿宋" w:cs="仿宋"/>
          <w:sz w:val="24"/>
          <w:szCs w:val="24"/>
        </w:rPr>
        <w:t>统一信息资源库推送</w:t>
      </w:r>
    </w:p>
    <w:p>
      <w:pPr>
        <w:pageBreakBefore w:val="0"/>
        <w:kinsoku/>
        <w:wordWrap/>
        <w:overflowPunct/>
        <w:topLinePunct w:val="0"/>
        <w:autoSpaceDE/>
        <w:autoSpaceDN/>
        <w:bidi w:val="0"/>
        <w:adjustRightInd/>
        <w:snapToGrid/>
        <w:spacing w:line="400" w:lineRule="exact"/>
        <w:ind w:firstLine="420"/>
        <w:rPr>
          <w:rFonts w:hint="eastAsia" w:ascii="仿宋" w:hAnsi="仿宋" w:eastAsia="仿宋" w:cs="仿宋"/>
          <w:sz w:val="24"/>
          <w:szCs w:val="24"/>
        </w:rPr>
      </w:pPr>
      <w:r>
        <w:rPr>
          <w:rFonts w:hint="eastAsia" w:ascii="仿宋" w:hAnsi="仿宋" w:eastAsia="仿宋" w:cs="仿宋"/>
          <w:sz w:val="24"/>
          <w:szCs w:val="24"/>
        </w:rPr>
        <w:t>根据《国务院办公厅秘书局关于印发政府网站与政务新媒体检查指标、监管工作年度考核指标的通知》（国办秘函〔2019〕19号）和《国务院办公厅关于印发政府网站集约化试点工作方案的通知》（国办函〔2018〕71号）要求，结合省政府下发的《浙江省大数据发展管理局关于进一步推进全省政府网站集约化平台建设工作的通知》和《浙江省政府网站统一信息资源库数据规范》，门户网站改版完成后，需建设分类科学、集中规范、共享共用的全平台统一信息资源库。按照“先入库，后使用”原则，实现统一分类、统一元数据、统一数据格式、统一调用、统一监管。主要完成资源库目录创建、数据规范清理和迁移、资源库数据发布。</w:t>
      </w:r>
    </w:p>
    <w:p>
      <w:pPr>
        <w:pStyle w:val="5"/>
        <w:pageBreakBefore w:val="0"/>
        <w:numPr>
          <w:ilvl w:val="2"/>
          <w:numId w:val="0"/>
        </w:numPr>
        <w:kinsoku/>
        <w:wordWrap/>
        <w:overflowPunct/>
        <w:topLinePunct w:val="0"/>
        <w:autoSpaceDE/>
        <w:autoSpaceDN/>
        <w:bidi w:val="0"/>
        <w:adjustRightInd/>
        <w:snapToGrid/>
        <w:spacing w:line="400" w:lineRule="exact"/>
        <w:ind w:leftChars="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9</w:t>
      </w:r>
      <w:r>
        <w:rPr>
          <w:rFonts w:hint="eastAsia" w:ascii="仿宋" w:hAnsi="仿宋" w:eastAsia="仿宋" w:cs="仿宋"/>
          <w:sz w:val="24"/>
          <w:szCs w:val="24"/>
          <w:lang w:eastAsia="zh-CN"/>
        </w:rPr>
        <w:t>）</w:t>
      </w:r>
      <w:r>
        <w:rPr>
          <w:rFonts w:hint="eastAsia" w:ascii="仿宋" w:hAnsi="仿宋" w:eastAsia="仿宋" w:cs="仿宋"/>
          <w:sz w:val="24"/>
          <w:szCs w:val="24"/>
        </w:rPr>
        <w:t>历史数据整合</w:t>
      </w:r>
    </w:p>
    <w:p>
      <w:pPr>
        <w:pageBreakBefore w:val="0"/>
        <w:kinsoku/>
        <w:wordWrap/>
        <w:overflowPunct/>
        <w:topLinePunct w:val="0"/>
        <w:autoSpaceDE/>
        <w:autoSpaceDN/>
        <w:bidi w:val="0"/>
        <w:adjustRightInd/>
        <w:snapToGrid/>
        <w:spacing w:line="400" w:lineRule="exact"/>
        <w:ind w:firstLine="420"/>
        <w:rPr>
          <w:rFonts w:hint="eastAsia" w:ascii="仿宋" w:hAnsi="仿宋" w:eastAsia="仿宋" w:cs="仿宋"/>
          <w:sz w:val="24"/>
          <w:szCs w:val="24"/>
        </w:rPr>
      </w:pPr>
      <w:r>
        <w:rPr>
          <w:rFonts w:hint="eastAsia" w:ascii="仿宋" w:hAnsi="仿宋" w:eastAsia="仿宋" w:cs="仿宋"/>
          <w:sz w:val="24"/>
          <w:szCs w:val="24"/>
        </w:rPr>
        <w:t>将网站原始栏目数据整合至改版后的网站栏目中，使其能够正常在网站对应栏目中显示。</w:t>
      </w:r>
    </w:p>
    <w:p>
      <w:pPr>
        <w:pStyle w:val="5"/>
        <w:pageBreakBefore w:val="0"/>
        <w:numPr>
          <w:ilvl w:val="2"/>
          <w:numId w:val="0"/>
        </w:numPr>
        <w:kinsoku/>
        <w:wordWrap/>
        <w:overflowPunct/>
        <w:topLinePunct w:val="0"/>
        <w:autoSpaceDE/>
        <w:autoSpaceDN/>
        <w:bidi w:val="0"/>
        <w:adjustRightInd/>
        <w:snapToGrid/>
        <w:spacing w:line="400" w:lineRule="exact"/>
        <w:ind w:leftChars="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10</w:t>
      </w:r>
      <w:r>
        <w:rPr>
          <w:rFonts w:hint="eastAsia" w:ascii="仿宋" w:hAnsi="仿宋" w:eastAsia="仿宋" w:cs="仿宋"/>
          <w:sz w:val="24"/>
          <w:szCs w:val="24"/>
          <w:lang w:eastAsia="zh-CN"/>
        </w:rPr>
        <w:t>）</w:t>
      </w:r>
      <w:r>
        <w:rPr>
          <w:rFonts w:hint="eastAsia" w:ascii="仿宋" w:hAnsi="仿宋" w:eastAsia="仿宋" w:cs="仿宋"/>
          <w:sz w:val="24"/>
          <w:szCs w:val="24"/>
        </w:rPr>
        <w:t>辅助功能</w:t>
      </w:r>
    </w:p>
    <w:p>
      <w:pPr>
        <w:pageBreakBefore w:val="0"/>
        <w:kinsoku/>
        <w:wordWrap/>
        <w:overflowPunct/>
        <w:topLinePunct w:val="0"/>
        <w:autoSpaceDE/>
        <w:autoSpaceDN/>
        <w:bidi w:val="0"/>
        <w:adjustRightInd/>
        <w:snapToGrid/>
        <w:spacing w:line="400" w:lineRule="exact"/>
        <w:ind w:firstLine="420"/>
        <w:rPr>
          <w:rFonts w:hint="eastAsia" w:ascii="仿宋" w:hAnsi="仿宋" w:eastAsia="仿宋" w:cs="仿宋"/>
          <w:sz w:val="24"/>
          <w:szCs w:val="24"/>
        </w:rPr>
      </w:pPr>
      <w:r>
        <w:rPr>
          <w:rFonts w:hint="eastAsia" w:ascii="仿宋" w:hAnsi="仿宋" w:eastAsia="仿宋" w:cs="仿宋"/>
          <w:sz w:val="24"/>
          <w:szCs w:val="24"/>
        </w:rPr>
        <w:t>根据《浙江省大数据发展管理局关于印发2021年浙江省政府网站工作要点的通知》等近几年政府网站工作要点要求，开设统计数据、数据开放栏目，并提供简繁体转换、智能问答、无障碍浏览、用户中心、我为政府网站找错、分享、打印等辅助功能。</w:t>
      </w:r>
    </w:p>
    <w:p>
      <w:pPr>
        <w:pStyle w:val="4"/>
        <w:pageBreakBefore w:val="0"/>
        <w:numPr>
          <w:ilvl w:val="1"/>
          <w:numId w:val="0"/>
        </w:numPr>
        <w:kinsoku/>
        <w:wordWrap/>
        <w:overflowPunct/>
        <w:topLinePunct w:val="0"/>
        <w:autoSpaceDE/>
        <w:autoSpaceDN/>
        <w:bidi w:val="0"/>
        <w:adjustRightInd/>
        <w:snapToGrid/>
        <w:spacing w:line="400" w:lineRule="exact"/>
        <w:ind w:leftChars="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性能需求</w:t>
      </w:r>
    </w:p>
    <w:p>
      <w:pPr>
        <w:pageBreakBefore w:val="0"/>
        <w:numPr>
          <w:ilvl w:val="0"/>
          <w:numId w:val="1"/>
        </w:numPr>
        <w:kinsoku/>
        <w:wordWrap/>
        <w:overflowPunct/>
        <w:topLinePunct w:val="0"/>
        <w:autoSpaceDE/>
        <w:autoSpaceDN/>
        <w:bidi w:val="0"/>
        <w:adjustRightInd/>
        <w:snapToGrid/>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精度</w:t>
      </w:r>
    </w:p>
    <w:p>
      <w:pPr>
        <w:pageBreakBefore w:val="0"/>
        <w:widowControl/>
        <w:kinsoku/>
        <w:wordWrap/>
        <w:overflowPunct/>
        <w:topLinePunct w:val="0"/>
        <w:autoSpaceDE/>
        <w:autoSpaceDN/>
        <w:bidi w:val="0"/>
        <w:adjustRightInd/>
        <w:snapToGrid/>
        <w:spacing w:line="400" w:lineRule="exact"/>
        <w:ind w:firstLine="42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要求屏幕刷新之间的衔接及查询切换之间的时间控制，以秒计算，不能超过5秒。</w:t>
      </w:r>
    </w:p>
    <w:p>
      <w:pPr>
        <w:pageBreakBefore w:val="0"/>
        <w:numPr>
          <w:ilvl w:val="0"/>
          <w:numId w:val="1"/>
        </w:numPr>
        <w:kinsoku/>
        <w:wordWrap/>
        <w:overflowPunct/>
        <w:topLinePunct w:val="0"/>
        <w:autoSpaceDE/>
        <w:autoSpaceDN/>
        <w:bidi w:val="0"/>
        <w:adjustRightInd/>
        <w:snapToGrid/>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时间特性要求</w:t>
      </w:r>
    </w:p>
    <w:p>
      <w:pPr>
        <w:pageBreakBefore w:val="0"/>
        <w:widowControl/>
        <w:kinsoku/>
        <w:wordWrap/>
        <w:overflowPunct/>
        <w:topLinePunct w:val="0"/>
        <w:autoSpaceDE/>
        <w:autoSpaceDN/>
        <w:bidi w:val="0"/>
        <w:adjustRightInd/>
        <w:snapToGrid/>
        <w:spacing w:line="400" w:lineRule="exact"/>
        <w:ind w:firstLine="42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在软件方面，响应时间、更新处理时间、数据传送和转换时间、处理和解决问题时间，都比较迅速，能满足用户要求。</w:t>
      </w:r>
    </w:p>
    <w:p>
      <w:pPr>
        <w:pageBreakBefore w:val="0"/>
        <w:numPr>
          <w:ilvl w:val="0"/>
          <w:numId w:val="1"/>
        </w:numPr>
        <w:kinsoku/>
        <w:wordWrap/>
        <w:overflowPunct/>
        <w:topLinePunct w:val="0"/>
        <w:autoSpaceDE/>
        <w:autoSpaceDN/>
        <w:bidi w:val="0"/>
        <w:adjustRightInd/>
        <w:snapToGrid/>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灵活性</w:t>
      </w:r>
    </w:p>
    <w:p>
      <w:pPr>
        <w:pageBreakBefore w:val="0"/>
        <w:widowControl/>
        <w:kinsoku/>
        <w:wordWrap/>
        <w:overflowPunct/>
        <w:topLinePunct w:val="0"/>
        <w:autoSpaceDE/>
        <w:autoSpaceDN/>
        <w:bidi w:val="0"/>
        <w:adjustRightInd/>
        <w:snapToGrid/>
        <w:spacing w:line="400" w:lineRule="exact"/>
        <w:ind w:firstLine="42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说明对该软件的灵活性的要求，即当需求发生某些变化时，该软件对这些变化的适应能力，如：</w:t>
      </w:r>
    </w:p>
    <w:p>
      <w:pPr>
        <w:pageBreakBefore w:val="0"/>
        <w:numPr>
          <w:ilvl w:val="1"/>
          <w:numId w:val="1"/>
        </w:numPr>
        <w:kinsoku/>
        <w:wordWrap/>
        <w:overflowPunct/>
        <w:topLinePunct w:val="0"/>
        <w:autoSpaceDE/>
        <w:autoSpaceDN/>
        <w:bidi w:val="0"/>
        <w:adjustRightInd/>
        <w:snapToGrid/>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系统不固定操作流程，可以适应办公业务的变化；</w:t>
      </w:r>
    </w:p>
    <w:p>
      <w:pPr>
        <w:pageBreakBefore w:val="0"/>
        <w:numPr>
          <w:ilvl w:val="1"/>
          <w:numId w:val="1"/>
        </w:numPr>
        <w:kinsoku/>
        <w:wordWrap/>
        <w:overflowPunct/>
        <w:topLinePunct w:val="0"/>
        <w:autoSpaceDE/>
        <w:autoSpaceDN/>
        <w:bidi w:val="0"/>
        <w:adjustRightInd/>
        <w:snapToGrid/>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系统基于B/S和J2EE架构，其中J2EE架构具有跨平台的特性；</w:t>
      </w:r>
    </w:p>
    <w:p>
      <w:pPr>
        <w:pageBreakBefore w:val="0"/>
        <w:numPr>
          <w:ilvl w:val="1"/>
          <w:numId w:val="1"/>
        </w:numPr>
        <w:kinsoku/>
        <w:wordWrap/>
        <w:overflowPunct/>
        <w:topLinePunct w:val="0"/>
        <w:autoSpaceDE/>
        <w:autoSpaceDN/>
        <w:bidi w:val="0"/>
        <w:adjustRightInd/>
        <w:snapToGrid/>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系统地提供XML的业务数据输出的接口；</w:t>
      </w:r>
    </w:p>
    <w:p>
      <w:pPr>
        <w:pageBreakBefore w:val="0"/>
        <w:numPr>
          <w:ilvl w:val="1"/>
          <w:numId w:val="1"/>
        </w:numPr>
        <w:kinsoku/>
        <w:wordWrap/>
        <w:overflowPunct/>
        <w:topLinePunct w:val="0"/>
        <w:autoSpaceDE/>
        <w:autoSpaceDN/>
        <w:bidi w:val="0"/>
        <w:adjustRightInd/>
        <w:snapToGrid/>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对于为了提供这些灵活性而进行的专门设计的部分应该加以标明。</w:t>
      </w:r>
    </w:p>
    <w:p>
      <w:pPr>
        <w:pageBreakBefore w:val="0"/>
        <w:numPr>
          <w:ilvl w:val="1"/>
          <w:numId w:val="1"/>
        </w:numPr>
        <w:kinsoku/>
        <w:wordWrap/>
        <w:overflowPunct/>
        <w:topLinePunct w:val="0"/>
        <w:autoSpaceDE/>
        <w:autoSpaceDN/>
        <w:bidi w:val="0"/>
        <w:adjustRightInd/>
        <w:snapToGrid/>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系统应采用先进的、成熟的主流技术;</w:t>
      </w:r>
    </w:p>
    <w:p>
      <w:pPr>
        <w:pageBreakBefore w:val="0"/>
        <w:numPr>
          <w:ilvl w:val="1"/>
          <w:numId w:val="1"/>
        </w:numPr>
        <w:kinsoku/>
        <w:wordWrap/>
        <w:overflowPunct/>
        <w:topLinePunct w:val="0"/>
        <w:autoSpaceDE/>
        <w:autoSpaceDN/>
        <w:bidi w:val="0"/>
        <w:adjustRightInd/>
        <w:snapToGrid/>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系统应采用多层架构的体系结构；</w:t>
      </w:r>
    </w:p>
    <w:p>
      <w:pPr>
        <w:pageBreakBefore w:val="0"/>
        <w:numPr>
          <w:ilvl w:val="1"/>
          <w:numId w:val="1"/>
        </w:numPr>
        <w:kinsoku/>
        <w:wordWrap/>
        <w:overflowPunct/>
        <w:topLinePunct w:val="0"/>
        <w:autoSpaceDE/>
        <w:autoSpaceDN/>
        <w:bidi w:val="0"/>
        <w:adjustRightInd/>
        <w:snapToGrid/>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系统应采用关系型数据库；</w:t>
      </w:r>
    </w:p>
    <w:p>
      <w:pPr>
        <w:pageBreakBefore w:val="0"/>
        <w:numPr>
          <w:ilvl w:val="1"/>
          <w:numId w:val="1"/>
        </w:numPr>
        <w:kinsoku/>
        <w:wordWrap/>
        <w:overflowPunct/>
        <w:topLinePunct w:val="0"/>
        <w:autoSpaceDE/>
        <w:autoSpaceDN/>
        <w:bidi w:val="0"/>
        <w:adjustRightInd/>
        <w:snapToGrid/>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系统应采用模块化设计，具有较强的扩展性；</w:t>
      </w:r>
    </w:p>
    <w:p>
      <w:pPr>
        <w:pageBreakBefore w:val="0"/>
        <w:numPr>
          <w:ilvl w:val="1"/>
          <w:numId w:val="1"/>
        </w:numPr>
        <w:kinsoku/>
        <w:wordWrap/>
        <w:overflowPunct/>
        <w:topLinePunct w:val="0"/>
        <w:autoSpaceDE/>
        <w:autoSpaceDN/>
        <w:bidi w:val="0"/>
        <w:adjustRightInd/>
        <w:snapToGrid/>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系统应支持针对不同技术架构的数据存取，采用规范的数据交换接口，推荐采用XML格式；</w:t>
      </w:r>
    </w:p>
    <w:p>
      <w:pPr>
        <w:pageBreakBefore w:val="0"/>
        <w:numPr>
          <w:ilvl w:val="1"/>
          <w:numId w:val="1"/>
        </w:numPr>
        <w:kinsoku/>
        <w:wordWrap/>
        <w:overflowPunct/>
        <w:topLinePunct w:val="0"/>
        <w:autoSpaceDE/>
        <w:autoSpaceDN/>
        <w:bidi w:val="0"/>
        <w:adjustRightInd/>
        <w:snapToGrid/>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系统应采用B/S结构；</w:t>
      </w:r>
    </w:p>
    <w:p>
      <w:pPr>
        <w:pageBreakBefore w:val="0"/>
        <w:numPr>
          <w:ilvl w:val="0"/>
          <w:numId w:val="1"/>
        </w:numPr>
        <w:kinsoku/>
        <w:wordWrap/>
        <w:overflowPunct/>
        <w:topLinePunct w:val="0"/>
        <w:autoSpaceDE/>
        <w:autoSpaceDN/>
        <w:bidi w:val="0"/>
        <w:adjustRightInd/>
        <w:snapToGrid/>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安全稳定性</w:t>
      </w:r>
    </w:p>
    <w:p>
      <w:pPr>
        <w:pageBreakBefore w:val="0"/>
        <w:kinsoku/>
        <w:wordWrap/>
        <w:overflowPunct/>
        <w:topLinePunct w:val="0"/>
        <w:autoSpaceDE/>
        <w:autoSpaceDN/>
        <w:bidi w:val="0"/>
        <w:adjustRightInd/>
        <w:snapToGrid/>
        <w:spacing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系统应提供7天×24小时的连续运行，平均年故障时间：&lt;1天，平均故障修复时间：&lt;30分钟。</w:t>
      </w:r>
    </w:p>
    <w:p>
      <w:pPr>
        <w:pageBreakBefore w:val="0"/>
        <w:kinsoku/>
        <w:wordWrap/>
        <w:overflowPunct/>
        <w:topLinePunct w:val="0"/>
        <w:autoSpaceDE/>
        <w:autoSpaceDN/>
        <w:bidi w:val="0"/>
        <w:adjustRightInd/>
        <w:snapToGrid/>
        <w:spacing w:line="400" w:lineRule="exact"/>
        <w:ind w:firstLine="480" w:firstLineChars="200"/>
        <w:rPr>
          <w:rFonts w:hint="eastAsia" w:ascii="仿宋" w:hAnsi="仿宋" w:eastAsia="仿宋" w:cs="仿宋"/>
          <w:sz w:val="24"/>
          <w:szCs w:val="24"/>
        </w:rPr>
      </w:pPr>
      <w:r>
        <w:rPr>
          <w:rFonts w:hint="eastAsia" w:ascii="仿宋" w:hAnsi="仿宋" w:eastAsia="仿宋" w:cs="仿宋"/>
          <w:color w:val="000000"/>
          <w:sz w:val="24"/>
          <w:szCs w:val="24"/>
        </w:rPr>
        <w:t>系统应采用完善的安全管理，系统应提供安全备份和灾难恢复功能。</w:t>
      </w:r>
    </w:p>
    <w:p>
      <w:pPr>
        <w:pStyle w:val="3"/>
        <w:pageBreakBefore w:val="0"/>
        <w:numPr>
          <w:ilvl w:val="0"/>
          <w:numId w:val="0"/>
        </w:numPr>
        <w:tabs>
          <w:tab w:val="left" w:pos="420"/>
          <w:tab w:val="clear" w:pos="432"/>
        </w:tabs>
        <w:kinsoku/>
        <w:wordWrap/>
        <w:overflowPunct/>
        <w:topLinePunct w:val="0"/>
        <w:autoSpaceDE/>
        <w:autoSpaceDN/>
        <w:bidi w:val="0"/>
        <w:adjustRightInd/>
        <w:snapToGrid/>
        <w:spacing w:line="400" w:lineRule="exact"/>
        <w:ind w:leftChars="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建设一览表</w:t>
      </w:r>
    </w:p>
    <w:tbl>
      <w:tblPr>
        <w:tblStyle w:val="6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7"/>
        <w:gridCol w:w="768"/>
        <w:gridCol w:w="1735"/>
        <w:gridCol w:w="5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281" w:type="pct"/>
            <w:shd w:val="clear" w:color="auto" w:fill="auto"/>
            <w:vAlign w:val="center"/>
          </w:tcPr>
          <w:p>
            <w:pPr>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452" w:type="pct"/>
            <w:vMerge w:val="restart"/>
            <w:shd w:val="clear" w:color="auto" w:fill="auto"/>
            <w:vAlign w:val="center"/>
          </w:tcPr>
          <w:p>
            <w:pPr>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杭州市临安区门户网站升级改造</w:t>
            </w:r>
          </w:p>
        </w:tc>
        <w:tc>
          <w:tcPr>
            <w:tcW w:w="1021" w:type="pct"/>
            <w:shd w:val="clear" w:color="auto" w:fill="auto"/>
            <w:vAlign w:val="center"/>
          </w:tcPr>
          <w:p>
            <w:pPr>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门户网站主站</w:t>
            </w:r>
          </w:p>
        </w:tc>
        <w:tc>
          <w:tcPr>
            <w:tcW w:w="3244" w:type="pct"/>
            <w:shd w:val="clear" w:color="auto" w:fill="auto"/>
            <w:vAlign w:val="center"/>
          </w:tcPr>
          <w:p>
            <w:pPr>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主要功能包含：</w:t>
            </w:r>
            <w:r>
              <w:rPr>
                <w:rFonts w:hint="eastAsia" w:ascii="仿宋" w:hAnsi="仿宋" w:eastAsia="仿宋" w:cs="仿宋"/>
                <w:color w:val="000000"/>
                <w:kern w:val="0"/>
                <w:sz w:val="24"/>
                <w:szCs w:val="24"/>
                <w:lang w:bidi="ar"/>
              </w:rPr>
              <w:t>栏目设计、UI设计、页面开发模板配置部署等功能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281" w:type="pct"/>
            <w:shd w:val="clear" w:color="auto" w:fill="auto"/>
            <w:vAlign w:val="center"/>
          </w:tcPr>
          <w:p>
            <w:pPr>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452" w:type="pct"/>
            <w:vMerge w:val="continue"/>
            <w:shd w:val="clear" w:color="auto" w:fill="auto"/>
            <w:vAlign w:val="center"/>
          </w:tcPr>
          <w:p>
            <w:pPr>
              <w:pageBreakBefore w:val="0"/>
              <w:kinsoku/>
              <w:wordWrap/>
              <w:overflowPunct/>
              <w:topLinePunct w:val="0"/>
              <w:autoSpaceDE/>
              <w:autoSpaceDN/>
              <w:bidi w:val="0"/>
              <w:adjustRightInd/>
              <w:snapToGrid/>
              <w:spacing w:line="400" w:lineRule="exact"/>
              <w:jc w:val="left"/>
              <w:rPr>
                <w:rFonts w:hint="eastAsia" w:ascii="仿宋" w:hAnsi="仿宋" w:eastAsia="仿宋" w:cs="仿宋"/>
                <w:color w:val="000000"/>
                <w:sz w:val="24"/>
                <w:szCs w:val="24"/>
              </w:rPr>
            </w:pPr>
          </w:p>
        </w:tc>
        <w:tc>
          <w:tcPr>
            <w:tcW w:w="1021" w:type="pct"/>
            <w:shd w:val="clear" w:color="auto" w:fill="auto"/>
            <w:vAlign w:val="center"/>
          </w:tcPr>
          <w:p>
            <w:pPr>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政府信息公开门户</w:t>
            </w:r>
          </w:p>
        </w:tc>
        <w:tc>
          <w:tcPr>
            <w:tcW w:w="3244" w:type="pct"/>
            <w:shd w:val="clear" w:color="auto" w:fill="auto"/>
            <w:vAlign w:val="center"/>
          </w:tcPr>
          <w:p>
            <w:pPr>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主要包含政府信息公开主频道、部门镇街政府信息公开子频道、特色专题制作的设计与研发以及规范性文件库、模板配置部署功能模块的建设；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281" w:type="pct"/>
            <w:shd w:val="clear" w:color="auto" w:fill="auto"/>
            <w:vAlign w:val="center"/>
          </w:tcPr>
          <w:p>
            <w:pPr>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452" w:type="pct"/>
            <w:vMerge w:val="continue"/>
            <w:shd w:val="clear" w:color="auto" w:fill="auto"/>
            <w:vAlign w:val="center"/>
          </w:tcPr>
          <w:p>
            <w:pPr>
              <w:pageBreakBefore w:val="0"/>
              <w:kinsoku/>
              <w:wordWrap/>
              <w:overflowPunct/>
              <w:topLinePunct w:val="0"/>
              <w:autoSpaceDE/>
              <w:autoSpaceDN/>
              <w:bidi w:val="0"/>
              <w:adjustRightInd/>
              <w:snapToGrid/>
              <w:spacing w:line="400" w:lineRule="exact"/>
              <w:jc w:val="left"/>
              <w:rPr>
                <w:rFonts w:hint="eastAsia" w:ascii="仿宋" w:hAnsi="仿宋" w:eastAsia="仿宋" w:cs="仿宋"/>
                <w:color w:val="000000"/>
                <w:sz w:val="24"/>
                <w:szCs w:val="24"/>
              </w:rPr>
            </w:pPr>
          </w:p>
        </w:tc>
        <w:tc>
          <w:tcPr>
            <w:tcW w:w="1021" w:type="pct"/>
            <w:shd w:val="clear" w:color="auto" w:fill="auto"/>
            <w:vAlign w:val="center"/>
          </w:tcPr>
          <w:p>
            <w:pPr>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移动版</w:t>
            </w:r>
          </w:p>
        </w:tc>
        <w:tc>
          <w:tcPr>
            <w:tcW w:w="3244" w:type="pct"/>
            <w:shd w:val="clear" w:color="auto" w:fill="auto"/>
            <w:vAlign w:val="center"/>
          </w:tcPr>
          <w:p>
            <w:pPr>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需完成首页元素、今日临安元素、魅力临安元素、政务公开元素、政民互动元素、政府信息公开门户元素、专题专栏元素、其他页面元素的UI设计和页面开发以及模板配置部署。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81" w:type="pct"/>
            <w:shd w:val="clear" w:color="auto" w:fill="auto"/>
            <w:vAlign w:val="center"/>
          </w:tcPr>
          <w:p>
            <w:pPr>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w:t>
            </w:r>
          </w:p>
        </w:tc>
        <w:tc>
          <w:tcPr>
            <w:tcW w:w="452" w:type="pct"/>
            <w:vMerge w:val="continue"/>
            <w:shd w:val="clear" w:color="auto" w:fill="auto"/>
            <w:vAlign w:val="center"/>
          </w:tcPr>
          <w:p>
            <w:pPr>
              <w:pageBreakBefore w:val="0"/>
              <w:kinsoku/>
              <w:wordWrap/>
              <w:overflowPunct/>
              <w:topLinePunct w:val="0"/>
              <w:autoSpaceDE/>
              <w:autoSpaceDN/>
              <w:bidi w:val="0"/>
              <w:adjustRightInd/>
              <w:snapToGrid/>
              <w:spacing w:line="400" w:lineRule="exact"/>
              <w:jc w:val="left"/>
              <w:rPr>
                <w:rFonts w:hint="eastAsia" w:ascii="仿宋" w:hAnsi="仿宋" w:eastAsia="仿宋" w:cs="仿宋"/>
                <w:color w:val="000000"/>
                <w:sz w:val="24"/>
                <w:szCs w:val="24"/>
              </w:rPr>
            </w:pPr>
          </w:p>
        </w:tc>
        <w:tc>
          <w:tcPr>
            <w:tcW w:w="1021" w:type="pct"/>
            <w:shd w:val="clear" w:color="auto" w:fill="auto"/>
            <w:vAlign w:val="center"/>
          </w:tcPr>
          <w:p>
            <w:pPr>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英文版</w:t>
            </w:r>
          </w:p>
        </w:tc>
        <w:tc>
          <w:tcPr>
            <w:tcW w:w="3244" w:type="pct"/>
            <w:shd w:val="clear" w:color="auto" w:fill="auto"/>
            <w:vAlign w:val="center"/>
          </w:tcPr>
          <w:p>
            <w:pPr>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1、完成英文版网站首页、列表页、详情页、专题页等页面UI设计</w:t>
            </w:r>
          </w:p>
          <w:p>
            <w:pPr>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2、英文翻译：梳理英文网站文章内容并提供一次免费英文翻译和数据录入。</w:t>
            </w:r>
          </w:p>
          <w:p>
            <w:pPr>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3、按照集约化平台模板配置规范进行页面模板配置及部署。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281" w:type="pct"/>
            <w:vMerge w:val="restart"/>
            <w:shd w:val="clear" w:color="auto" w:fill="auto"/>
            <w:vAlign w:val="center"/>
          </w:tcPr>
          <w:p>
            <w:pPr>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452" w:type="pct"/>
            <w:vMerge w:val="continue"/>
            <w:shd w:val="clear" w:color="auto" w:fill="auto"/>
            <w:vAlign w:val="center"/>
          </w:tcPr>
          <w:p>
            <w:pPr>
              <w:pageBreakBefore w:val="0"/>
              <w:kinsoku/>
              <w:wordWrap/>
              <w:overflowPunct/>
              <w:topLinePunct w:val="0"/>
              <w:autoSpaceDE/>
              <w:autoSpaceDN/>
              <w:bidi w:val="0"/>
              <w:adjustRightInd/>
              <w:snapToGrid/>
              <w:spacing w:line="400" w:lineRule="exact"/>
              <w:jc w:val="left"/>
              <w:rPr>
                <w:rFonts w:hint="eastAsia" w:ascii="仿宋" w:hAnsi="仿宋" w:eastAsia="仿宋" w:cs="仿宋"/>
                <w:color w:val="000000"/>
                <w:sz w:val="24"/>
                <w:szCs w:val="24"/>
              </w:rPr>
            </w:pPr>
          </w:p>
        </w:tc>
        <w:tc>
          <w:tcPr>
            <w:tcW w:w="1021" w:type="pct"/>
            <w:vMerge w:val="restart"/>
            <w:shd w:val="clear" w:color="auto" w:fill="auto"/>
            <w:vAlign w:val="center"/>
          </w:tcPr>
          <w:p>
            <w:pPr>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无障碍改造</w:t>
            </w:r>
          </w:p>
        </w:tc>
        <w:tc>
          <w:tcPr>
            <w:tcW w:w="3244" w:type="pct"/>
            <w:shd w:val="clear" w:color="auto" w:fill="auto"/>
            <w:vAlign w:val="center"/>
          </w:tcPr>
          <w:p>
            <w:pPr>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主要包含网站可感知性、可操作性性、可理解性、可兼容性的改造升级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281" w:type="pct"/>
            <w:shd w:val="clear" w:color="auto" w:fill="auto"/>
            <w:vAlign w:val="center"/>
          </w:tcPr>
          <w:p>
            <w:pPr>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w:t>
            </w:r>
          </w:p>
        </w:tc>
        <w:tc>
          <w:tcPr>
            <w:tcW w:w="452" w:type="pct"/>
            <w:vMerge w:val="continue"/>
            <w:shd w:val="clear" w:color="auto" w:fill="auto"/>
            <w:vAlign w:val="center"/>
          </w:tcPr>
          <w:p>
            <w:pPr>
              <w:pageBreakBefore w:val="0"/>
              <w:kinsoku/>
              <w:wordWrap/>
              <w:overflowPunct/>
              <w:topLinePunct w:val="0"/>
              <w:autoSpaceDE/>
              <w:autoSpaceDN/>
              <w:bidi w:val="0"/>
              <w:adjustRightInd/>
              <w:snapToGrid/>
              <w:spacing w:line="400" w:lineRule="exact"/>
              <w:jc w:val="left"/>
              <w:rPr>
                <w:rFonts w:hint="eastAsia" w:ascii="仿宋" w:hAnsi="仿宋" w:eastAsia="仿宋" w:cs="仿宋"/>
                <w:color w:val="000000"/>
                <w:sz w:val="24"/>
                <w:szCs w:val="24"/>
              </w:rPr>
            </w:pPr>
          </w:p>
        </w:tc>
        <w:tc>
          <w:tcPr>
            <w:tcW w:w="1021" w:type="pct"/>
            <w:shd w:val="clear" w:color="auto" w:fill="auto"/>
            <w:vAlign w:val="center"/>
          </w:tcPr>
          <w:p>
            <w:pPr>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适老化建设</w:t>
            </w:r>
          </w:p>
        </w:tc>
        <w:tc>
          <w:tcPr>
            <w:tcW w:w="3244" w:type="pct"/>
            <w:shd w:val="clear" w:color="auto" w:fill="auto"/>
            <w:vAlign w:val="center"/>
          </w:tcPr>
          <w:p>
            <w:pPr>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综合老年人日常生活密切相关的信息、政策以及常用的业务需求，建设方便老年人使用的页面。并通过中国互联网协会互联网站适老化及无障碍改造评测，拿到无障碍标识。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81" w:type="pct"/>
            <w:shd w:val="clear" w:color="auto" w:fill="auto"/>
            <w:vAlign w:val="center"/>
          </w:tcPr>
          <w:p>
            <w:pPr>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7</w:t>
            </w:r>
          </w:p>
        </w:tc>
        <w:tc>
          <w:tcPr>
            <w:tcW w:w="452" w:type="pct"/>
            <w:vMerge w:val="continue"/>
            <w:shd w:val="clear" w:color="auto" w:fill="auto"/>
            <w:vAlign w:val="center"/>
          </w:tcPr>
          <w:p>
            <w:pPr>
              <w:pageBreakBefore w:val="0"/>
              <w:kinsoku/>
              <w:wordWrap/>
              <w:overflowPunct/>
              <w:topLinePunct w:val="0"/>
              <w:autoSpaceDE/>
              <w:autoSpaceDN/>
              <w:bidi w:val="0"/>
              <w:adjustRightInd/>
              <w:snapToGrid/>
              <w:spacing w:line="400" w:lineRule="exact"/>
              <w:jc w:val="left"/>
              <w:rPr>
                <w:rFonts w:hint="eastAsia" w:ascii="仿宋" w:hAnsi="仿宋" w:eastAsia="仿宋" w:cs="仿宋"/>
                <w:color w:val="000000"/>
                <w:sz w:val="24"/>
                <w:szCs w:val="24"/>
              </w:rPr>
            </w:pPr>
          </w:p>
        </w:tc>
        <w:tc>
          <w:tcPr>
            <w:tcW w:w="1021" w:type="pct"/>
            <w:shd w:val="clear" w:color="auto" w:fill="auto"/>
            <w:vAlign w:val="center"/>
          </w:tcPr>
          <w:p>
            <w:pPr>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智能检索改造</w:t>
            </w:r>
          </w:p>
        </w:tc>
        <w:tc>
          <w:tcPr>
            <w:tcW w:w="3244" w:type="pct"/>
            <w:shd w:val="clear" w:color="auto" w:fill="auto"/>
            <w:vAlign w:val="center"/>
          </w:tcPr>
          <w:p>
            <w:pPr>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主要包含简单检索、高级检索、政策文件检索等功能改造改造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81" w:type="pct"/>
            <w:shd w:val="clear" w:color="auto" w:fill="auto"/>
            <w:vAlign w:val="center"/>
          </w:tcPr>
          <w:p>
            <w:pPr>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8</w:t>
            </w:r>
          </w:p>
        </w:tc>
        <w:tc>
          <w:tcPr>
            <w:tcW w:w="452" w:type="pct"/>
            <w:vMerge w:val="continue"/>
            <w:shd w:val="clear" w:color="auto" w:fill="auto"/>
            <w:vAlign w:val="center"/>
          </w:tcPr>
          <w:p>
            <w:pPr>
              <w:pageBreakBefore w:val="0"/>
              <w:kinsoku/>
              <w:wordWrap/>
              <w:overflowPunct/>
              <w:topLinePunct w:val="0"/>
              <w:autoSpaceDE/>
              <w:autoSpaceDN/>
              <w:bidi w:val="0"/>
              <w:adjustRightInd/>
              <w:snapToGrid/>
              <w:spacing w:line="400" w:lineRule="exact"/>
              <w:jc w:val="left"/>
              <w:rPr>
                <w:rFonts w:hint="eastAsia" w:ascii="仿宋" w:hAnsi="仿宋" w:eastAsia="仿宋" w:cs="仿宋"/>
                <w:color w:val="000000"/>
                <w:sz w:val="24"/>
                <w:szCs w:val="24"/>
              </w:rPr>
            </w:pPr>
          </w:p>
        </w:tc>
        <w:tc>
          <w:tcPr>
            <w:tcW w:w="1021" w:type="pct"/>
            <w:shd w:val="clear" w:color="auto" w:fill="auto"/>
            <w:vAlign w:val="center"/>
          </w:tcPr>
          <w:p>
            <w:pPr>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统一信息资源库推送</w:t>
            </w:r>
          </w:p>
        </w:tc>
        <w:tc>
          <w:tcPr>
            <w:tcW w:w="3244" w:type="pct"/>
            <w:shd w:val="clear" w:color="auto" w:fill="auto"/>
            <w:vAlign w:val="center"/>
          </w:tcPr>
          <w:p>
            <w:pPr>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主要包含：</w:t>
            </w:r>
            <w:r>
              <w:rPr>
                <w:rFonts w:hint="eastAsia" w:ascii="仿宋" w:hAnsi="仿宋" w:eastAsia="仿宋" w:cs="仿宋"/>
                <w:color w:val="000000"/>
                <w:kern w:val="0"/>
                <w:sz w:val="24"/>
                <w:szCs w:val="24"/>
                <w:lang w:bidi="ar"/>
              </w:rPr>
              <w:t>资源库目录创建、数据规范清理和迁移以及资源库数据发布功能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81" w:type="pct"/>
            <w:shd w:val="clear" w:color="auto" w:fill="auto"/>
            <w:vAlign w:val="center"/>
          </w:tcPr>
          <w:p>
            <w:pPr>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9</w:t>
            </w:r>
          </w:p>
        </w:tc>
        <w:tc>
          <w:tcPr>
            <w:tcW w:w="452" w:type="pct"/>
            <w:vMerge w:val="continue"/>
            <w:shd w:val="clear" w:color="auto" w:fill="auto"/>
            <w:vAlign w:val="center"/>
          </w:tcPr>
          <w:p>
            <w:pPr>
              <w:pageBreakBefore w:val="0"/>
              <w:kinsoku/>
              <w:wordWrap/>
              <w:overflowPunct/>
              <w:topLinePunct w:val="0"/>
              <w:autoSpaceDE/>
              <w:autoSpaceDN/>
              <w:bidi w:val="0"/>
              <w:adjustRightInd/>
              <w:snapToGrid/>
              <w:spacing w:line="400" w:lineRule="exact"/>
              <w:jc w:val="left"/>
              <w:rPr>
                <w:rFonts w:hint="eastAsia" w:ascii="仿宋" w:hAnsi="仿宋" w:eastAsia="仿宋" w:cs="仿宋"/>
                <w:color w:val="000000"/>
                <w:sz w:val="24"/>
                <w:szCs w:val="24"/>
              </w:rPr>
            </w:pPr>
          </w:p>
        </w:tc>
        <w:tc>
          <w:tcPr>
            <w:tcW w:w="1021" w:type="pct"/>
            <w:shd w:val="clear" w:color="auto" w:fill="auto"/>
            <w:vAlign w:val="center"/>
          </w:tcPr>
          <w:p>
            <w:pPr>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历史数据整合</w:t>
            </w:r>
          </w:p>
        </w:tc>
        <w:tc>
          <w:tcPr>
            <w:tcW w:w="3244" w:type="pct"/>
            <w:shd w:val="clear" w:color="auto" w:fill="auto"/>
            <w:vAlign w:val="center"/>
          </w:tcPr>
          <w:p>
            <w:pPr>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1、数据导出：对门户网站历史数据进行导出。</w:t>
            </w:r>
          </w:p>
          <w:p>
            <w:pPr>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2、数据格式转换：对存在不同数据格式的数据进行工具批量转换。</w:t>
            </w:r>
          </w:p>
          <w:p>
            <w:pPr>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3、数据导入、发布：将转换后的数据导入至新栏目中并完成发布。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81" w:type="pct"/>
            <w:shd w:val="clear" w:color="auto" w:fill="auto"/>
            <w:vAlign w:val="center"/>
          </w:tcPr>
          <w:p>
            <w:pPr>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10</w:t>
            </w:r>
          </w:p>
        </w:tc>
        <w:tc>
          <w:tcPr>
            <w:tcW w:w="452" w:type="pct"/>
            <w:vMerge w:val="continue"/>
            <w:shd w:val="clear" w:color="auto" w:fill="auto"/>
            <w:vAlign w:val="center"/>
          </w:tcPr>
          <w:p>
            <w:pPr>
              <w:pageBreakBefore w:val="0"/>
              <w:kinsoku/>
              <w:wordWrap/>
              <w:overflowPunct/>
              <w:topLinePunct w:val="0"/>
              <w:autoSpaceDE/>
              <w:autoSpaceDN/>
              <w:bidi w:val="0"/>
              <w:adjustRightInd/>
              <w:snapToGrid/>
              <w:spacing w:line="400" w:lineRule="exact"/>
              <w:jc w:val="left"/>
              <w:rPr>
                <w:rFonts w:hint="eastAsia" w:ascii="仿宋" w:hAnsi="仿宋" w:eastAsia="仿宋" w:cs="仿宋"/>
                <w:color w:val="000000"/>
                <w:sz w:val="24"/>
                <w:szCs w:val="24"/>
              </w:rPr>
            </w:pPr>
          </w:p>
        </w:tc>
        <w:tc>
          <w:tcPr>
            <w:tcW w:w="1021" w:type="pct"/>
            <w:shd w:val="clear" w:color="auto" w:fill="auto"/>
            <w:vAlign w:val="center"/>
          </w:tcPr>
          <w:p>
            <w:pPr>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辅助功能</w:t>
            </w:r>
          </w:p>
        </w:tc>
        <w:tc>
          <w:tcPr>
            <w:tcW w:w="3244" w:type="pct"/>
            <w:shd w:val="clear" w:color="auto" w:fill="auto"/>
            <w:vAlign w:val="center"/>
          </w:tcPr>
          <w:p>
            <w:pPr>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提供简繁体转换、智能问答、无障碍浏览、用户中心、我为政府网站找错、分享、打印等辅助功能</w:t>
            </w:r>
          </w:p>
        </w:tc>
      </w:tr>
    </w:tbl>
    <w:p>
      <w:pPr>
        <w:pStyle w:val="3"/>
        <w:pageBreakBefore w:val="0"/>
        <w:numPr>
          <w:ilvl w:val="0"/>
          <w:numId w:val="0"/>
        </w:numPr>
        <w:tabs>
          <w:tab w:val="left" w:pos="420"/>
          <w:tab w:val="clear" w:pos="432"/>
        </w:tabs>
        <w:kinsoku/>
        <w:wordWrap/>
        <w:overflowPunct/>
        <w:topLinePunct w:val="0"/>
        <w:autoSpaceDE/>
        <w:autoSpaceDN/>
        <w:bidi w:val="0"/>
        <w:adjustRightInd/>
        <w:snapToGrid/>
        <w:spacing w:line="400" w:lineRule="exact"/>
        <w:ind w:leftChars="0"/>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5、其他要求</w:t>
      </w:r>
    </w:p>
    <w:p>
      <w:pPr>
        <w:pStyle w:val="4"/>
        <w:pageBreakBefore w:val="0"/>
        <w:numPr>
          <w:ilvl w:val="1"/>
          <w:numId w:val="0"/>
        </w:numPr>
        <w:kinsoku/>
        <w:wordWrap/>
        <w:overflowPunct/>
        <w:topLinePunct w:val="0"/>
        <w:autoSpaceDE/>
        <w:autoSpaceDN/>
        <w:bidi w:val="0"/>
        <w:adjustRightInd/>
        <w:snapToGrid/>
        <w:spacing w:line="400" w:lineRule="exact"/>
        <w:ind w:leftChars="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阿里云SSL证书3年服务</w:t>
      </w:r>
    </w:p>
    <w:p>
      <w:pPr>
        <w:pageBreakBefore w:val="0"/>
        <w:widowControl/>
        <w:kinsoku/>
        <w:wordWrap/>
        <w:overflowPunct/>
        <w:topLinePunct w:val="0"/>
        <w:autoSpaceDE/>
        <w:autoSpaceDN/>
        <w:bidi w:val="0"/>
        <w:adjustRightInd/>
        <w:snapToGrid/>
        <w:spacing w:line="400" w:lineRule="exact"/>
        <w:ind w:firstLine="42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购买1个规格为CFCA的企业型SSL证书服务，有效期3年，用于*.linan.gov.cn泛域名的保护，实现我区数字化系统的HTTPS协议部署要求。</w:t>
      </w:r>
    </w:p>
    <w:p>
      <w:pPr>
        <w:pStyle w:val="4"/>
        <w:pageBreakBefore w:val="0"/>
        <w:numPr>
          <w:ilvl w:val="1"/>
          <w:numId w:val="0"/>
        </w:numPr>
        <w:kinsoku/>
        <w:wordWrap/>
        <w:overflowPunct/>
        <w:topLinePunct w:val="0"/>
        <w:autoSpaceDE/>
        <w:autoSpaceDN/>
        <w:bidi w:val="0"/>
        <w:adjustRightInd/>
        <w:snapToGrid/>
        <w:spacing w:line="400" w:lineRule="exact"/>
        <w:ind w:leftChars="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驻场服务</w:t>
      </w:r>
    </w:p>
    <w:p>
      <w:pPr>
        <w:pageBreakBefore w:val="0"/>
        <w:widowControl/>
        <w:kinsoku/>
        <w:wordWrap/>
        <w:overflowPunct/>
        <w:topLinePunct w:val="0"/>
        <w:autoSpaceDE/>
        <w:autoSpaceDN/>
        <w:bidi w:val="0"/>
        <w:adjustRightInd/>
        <w:snapToGrid/>
        <w:spacing w:line="400" w:lineRule="exact"/>
        <w:ind w:firstLine="42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提供一名工程师驻现场服务，服务期限3年。服务内容包括:协助用户完成门户网站日常系统及应用的维护工作，保证系统的正常稳定运行及专题维护；问题、故障的诊断与排除，系统配置和辅助应用系统部署与维护；软件版本的升级、调试；因第三方关联系统或业务规则变动而需要进行的配置修改或程序调整及业主单位合理安排的相关事宜。协助用户完成杭州市临安区门户网站日常运维保障及省市相关网站考核任务，以及业主单位合理安排的相关事宜。</w:t>
      </w:r>
    </w:p>
    <w:p>
      <w:pPr>
        <w:pageBreakBefore w:val="0"/>
        <w:widowControl/>
        <w:kinsoku/>
        <w:wordWrap/>
        <w:overflowPunct/>
        <w:topLinePunct w:val="0"/>
        <w:autoSpaceDE/>
        <w:autoSpaceDN/>
        <w:bidi w:val="0"/>
        <w:adjustRightInd/>
        <w:snapToGrid/>
        <w:spacing w:line="400" w:lineRule="exact"/>
        <w:ind w:firstLine="42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提供7×24电话服务热线和其他必要的联系方式，提供现场服务。若系统发生故障，现在场人员在1小时内无法修复时，需指派专人在1小时内抵达现场，4小时之内修复。</w:t>
      </w:r>
    </w:p>
    <w:p>
      <w:pPr>
        <w:pStyle w:val="4"/>
        <w:pageBreakBefore w:val="0"/>
        <w:numPr>
          <w:ilvl w:val="1"/>
          <w:numId w:val="0"/>
        </w:numPr>
        <w:kinsoku/>
        <w:wordWrap/>
        <w:overflowPunct/>
        <w:topLinePunct w:val="0"/>
        <w:autoSpaceDE/>
        <w:autoSpaceDN/>
        <w:bidi w:val="0"/>
        <w:adjustRightInd/>
        <w:snapToGrid/>
        <w:spacing w:line="400" w:lineRule="exact"/>
        <w:ind w:leftChars="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rPr>
        <w:t>质保期及维护</w:t>
      </w:r>
    </w:p>
    <w:p>
      <w:pPr>
        <w:pageBreakBefore w:val="0"/>
        <w:kinsoku/>
        <w:wordWrap/>
        <w:overflowPunct/>
        <w:topLinePunct w:val="0"/>
        <w:autoSpaceDE/>
        <w:autoSpaceDN/>
        <w:bidi w:val="0"/>
        <w:adjustRightInd/>
        <w:snapToGrid/>
        <w:spacing w:line="400" w:lineRule="exact"/>
        <w:ind w:firstLine="420"/>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（1）本项目产品质量保证期（免费保修期）为</w:t>
      </w:r>
      <w:r>
        <w:rPr>
          <w:rFonts w:hint="eastAsia" w:ascii="仿宋" w:hAnsi="仿宋" w:eastAsia="仿宋" w:cs="仿宋"/>
          <w:bCs/>
          <w:color w:val="000000" w:themeColor="text1"/>
          <w:kern w:val="44"/>
          <w:sz w:val="24"/>
          <w:szCs w:val="24"/>
          <w14:textFill>
            <w14:solidFill>
              <w14:schemeClr w14:val="tx1"/>
            </w14:solidFill>
          </w14:textFill>
        </w:rPr>
        <w:t>3</w:t>
      </w:r>
      <w:r>
        <w:rPr>
          <w:rFonts w:hint="eastAsia" w:ascii="仿宋" w:hAnsi="仿宋" w:eastAsia="仿宋" w:cs="仿宋"/>
          <w:color w:val="000000"/>
          <w:kern w:val="0"/>
          <w:sz w:val="24"/>
          <w:szCs w:val="24"/>
          <w:lang w:bidi="ar"/>
        </w:rPr>
        <w:t>年，自项目验收合格后计算。质量保证期内，供应商应负责免费对运行中出现的故障进行解决，提供系统的维护。</w:t>
      </w:r>
    </w:p>
    <w:p>
      <w:pPr>
        <w:pageBreakBefore w:val="0"/>
        <w:kinsoku/>
        <w:wordWrap/>
        <w:overflowPunct/>
        <w:topLinePunct w:val="0"/>
        <w:autoSpaceDE/>
        <w:autoSpaceDN/>
        <w:bidi w:val="0"/>
        <w:adjustRightInd/>
        <w:snapToGrid/>
        <w:spacing w:line="400" w:lineRule="exact"/>
        <w:ind w:firstLine="420"/>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系统管理员的响应服务：供应商在维护期内对于在使用过程中用户系统管理员及常驻技术人员无法解决的紧急问题，供应商应另外派出技术人员赶到用户现场，排除故障；对于一般性的问题，供应商应通过电话、传真或电子邮件方式为用户系统管理员提供技术支持。</w:t>
      </w:r>
    </w:p>
    <w:p>
      <w:pPr>
        <w:pageBreakBefore w:val="0"/>
        <w:kinsoku/>
        <w:wordWrap/>
        <w:overflowPunct/>
        <w:topLinePunct w:val="0"/>
        <w:autoSpaceDE/>
        <w:autoSpaceDN/>
        <w:bidi w:val="0"/>
        <w:adjustRightInd/>
        <w:snapToGrid/>
        <w:spacing w:line="400" w:lineRule="exact"/>
        <w:ind w:firstLine="420"/>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定期环境检修服务：在系统投入运行后，供应商在维护期内，应派出技术人员实施定期现场例行巡检服务。主要工作内容包括：收集用户使用信息，对网络环境的检查、清理，解答用户疑难，通报开发方近期相关项目的应用经验等工作，并将结果及时反馈用户信息化管理部门。</w:t>
      </w:r>
    </w:p>
    <w:p>
      <w:pPr>
        <w:pageBreakBefore w:val="0"/>
        <w:kinsoku/>
        <w:wordWrap/>
        <w:overflowPunct/>
        <w:topLinePunct w:val="0"/>
        <w:autoSpaceDE/>
        <w:autoSpaceDN/>
        <w:bidi w:val="0"/>
        <w:adjustRightInd/>
        <w:snapToGrid/>
        <w:spacing w:line="400" w:lineRule="exact"/>
        <w:ind w:firstLine="420"/>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4）热线技术支持服务：系统投入运行后，应为系统管理员建立热线技术支持服务。对于用户在使用方面的疑难，以及系统方面的疑难将由供应商专项技术人员，建立专门的在线支持和问题解答。提供热线电话支持，传真和邮件响应(邮件回复时间不超过八小时)。</w:t>
      </w:r>
    </w:p>
    <w:p>
      <w:pPr>
        <w:pStyle w:val="4"/>
        <w:pageBreakBefore w:val="0"/>
        <w:numPr>
          <w:ilvl w:val="1"/>
          <w:numId w:val="0"/>
        </w:numPr>
        <w:kinsoku/>
        <w:wordWrap/>
        <w:overflowPunct/>
        <w:topLinePunct w:val="0"/>
        <w:autoSpaceDE/>
        <w:autoSpaceDN/>
        <w:bidi w:val="0"/>
        <w:adjustRightInd/>
        <w:snapToGrid/>
        <w:spacing w:line="400" w:lineRule="exact"/>
        <w:ind w:leftChars="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rPr>
        <w:t>技术培训</w:t>
      </w:r>
    </w:p>
    <w:p>
      <w:pPr>
        <w:pageBreakBefore w:val="0"/>
        <w:kinsoku/>
        <w:wordWrap/>
        <w:overflowPunct/>
        <w:topLinePunct w:val="0"/>
        <w:autoSpaceDE/>
        <w:autoSpaceDN/>
        <w:bidi w:val="0"/>
        <w:adjustRightInd/>
        <w:snapToGrid/>
        <w:spacing w:line="400" w:lineRule="exact"/>
        <w:ind w:firstLine="420"/>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平台系统完善后，针对新功能需要制定科学合理地详细的相关操作培训，并提供详尽的操作手册。</w:t>
      </w:r>
    </w:p>
    <w:p>
      <w:pPr>
        <w:pageBreakBefore w:val="0"/>
        <w:kinsoku/>
        <w:wordWrap/>
        <w:overflowPunct/>
        <w:topLinePunct w:val="0"/>
        <w:autoSpaceDE/>
        <w:autoSpaceDN/>
        <w:bidi w:val="0"/>
        <w:adjustRightInd/>
        <w:snapToGrid/>
        <w:spacing w:line="400" w:lineRule="exact"/>
        <w:ind w:firstLine="420"/>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培训内容：系统管理员及技术人员可以熟悉各软件模块之间的业务关系，熟练掌握各软件系统模块的操作方法。通过相关培训让系统管理员及技术人员能够使用软件开展相应的工作，以利于在以后的工作最大程度的发挥系统的作用，给工作带来方便。</w:t>
      </w:r>
    </w:p>
    <w:p>
      <w:pPr>
        <w:pageBreakBefore w:val="0"/>
        <w:kinsoku/>
        <w:wordWrap/>
        <w:overflowPunct/>
        <w:topLinePunct w:val="0"/>
        <w:autoSpaceDE/>
        <w:autoSpaceDN/>
        <w:bidi w:val="0"/>
        <w:adjustRightInd/>
        <w:snapToGrid/>
        <w:spacing w:line="400" w:lineRule="exact"/>
        <w:ind w:firstLine="420"/>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（2）培训天数：以实现项目培训目标为准。</w:t>
      </w:r>
    </w:p>
    <w:p>
      <w:pPr>
        <w:pStyle w:val="4"/>
        <w:pageBreakBefore w:val="0"/>
        <w:widowControl w:val="0"/>
        <w:numPr>
          <w:ilvl w:val="1"/>
          <w:numId w:val="0"/>
        </w:numPr>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w:t>
      </w:r>
      <w:r>
        <w:rPr>
          <w:rFonts w:hint="eastAsia" w:ascii="仿宋" w:hAnsi="仿宋" w:eastAsia="仿宋" w:cs="仿宋"/>
          <w:sz w:val="24"/>
          <w:szCs w:val="24"/>
        </w:rPr>
        <w:t>驻场研发</w:t>
      </w:r>
    </w:p>
    <w:p>
      <w:pPr>
        <w:pageBreakBefore w:val="0"/>
        <w:widowControl w:val="0"/>
        <w:kinsoku/>
        <w:wordWrap/>
        <w:overflowPunct/>
        <w:topLinePunct w:val="0"/>
        <w:autoSpaceDE/>
        <w:autoSpaceDN/>
        <w:bidi w:val="0"/>
        <w:adjustRightInd/>
        <w:snapToGrid/>
        <w:spacing w:line="400" w:lineRule="exact"/>
        <w:ind w:firstLine="420"/>
        <w:textAlignment w:val="auto"/>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1、中标人应提供不少于3人的驻场开发团队。</w:t>
      </w:r>
    </w:p>
    <w:p>
      <w:pPr>
        <w:pageBreakBefore w:val="0"/>
        <w:widowControl w:val="0"/>
        <w:kinsoku/>
        <w:wordWrap/>
        <w:overflowPunct/>
        <w:topLinePunct w:val="0"/>
        <w:autoSpaceDE/>
        <w:autoSpaceDN/>
        <w:bidi w:val="0"/>
        <w:adjustRightInd/>
        <w:snapToGrid/>
        <w:spacing w:line="400" w:lineRule="exact"/>
        <w:ind w:firstLine="420"/>
        <w:textAlignment w:val="auto"/>
        <w:rPr>
          <w:rFonts w:hint="eastAsia" w:ascii="仿宋" w:hAnsi="仿宋" w:eastAsia="仿宋" w:cs="仿宋"/>
          <w:color w:val="auto"/>
          <w:kern w:val="0"/>
          <w:sz w:val="24"/>
          <w:szCs w:val="24"/>
          <w:highlight w:val="none"/>
          <w:lang w:bidi="ar"/>
        </w:rPr>
      </w:pPr>
      <w:r>
        <w:rPr>
          <w:rFonts w:hint="eastAsia" w:ascii="仿宋" w:hAnsi="仿宋" w:eastAsia="仿宋" w:cs="仿宋"/>
          <w:color w:val="000000"/>
          <w:kern w:val="0"/>
          <w:sz w:val="24"/>
          <w:szCs w:val="24"/>
          <w:lang w:bidi="ar"/>
        </w:rPr>
        <w:t>2、中标人需提供驻场人员的详细信息，并经审核确认后，驻场人员的变更</w:t>
      </w:r>
      <w:r>
        <w:rPr>
          <w:rFonts w:hint="eastAsia" w:ascii="仿宋" w:hAnsi="仿宋" w:eastAsia="仿宋" w:cs="仿宋"/>
          <w:color w:val="auto"/>
          <w:kern w:val="0"/>
          <w:sz w:val="24"/>
          <w:szCs w:val="24"/>
          <w:highlight w:val="none"/>
          <w:lang w:bidi="ar"/>
        </w:rPr>
        <w:t>需经过招标人的同意。</w:t>
      </w:r>
    </w:p>
    <w:p>
      <w:pPr>
        <w:pageBreakBefore w:val="0"/>
        <w:widowControl w:val="0"/>
        <w:kinsoku/>
        <w:wordWrap/>
        <w:overflowPunct/>
        <w:topLinePunct w:val="0"/>
        <w:autoSpaceDE/>
        <w:autoSpaceDN/>
        <w:bidi w:val="0"/>
        <w:adjustRightInd/>
        <w:snapToGrid/>
        <w:spacing w:line="400" w:lineRule="exact"/>
        <w:ind w:firstLine="420"/>
        <w:textAlignment w:val="auto"/>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3、驻场人员撤场需经过招标人的确认。</w:t>
      </w:r>
    </w:p>
    <w:p>
      <w:pPr>
        <w:pStyle w:val="4"/>
        <w:numPr>
          <w:ilvl w:val="1"/>
          <w:numId w:val="0"/>
        </w:numPr>
        <w:spacing w:line="400" w:lineRule="exact"/>
        <w:rPr>
          <w:rFonts w:ascii="仿宋" w:eastAsia="仿宋" w:cs="仿宋"/>
          <w:color w:val="auto"/>
          <w:sz w:val="24"/>
          <w:szCs w:val="24"/>
          <w:highlight w:val="none"/>
          <w:lang w:val="en-US"/>
        </w:rPr>
      </w:pPr>
      <w:r>
        <w:rPr>
          <w:rFonts w:hint="eastAsia" w:ascii="仿宋" w:eastAsia="仿宋" w:cs="仿宋"/>
          <w:color w:val="auto"/>
          <w:sz w:val="24"/>
          <w:szCs w:val="24"/>
          <w:highlight w:val="none"/>
        </w:rPr>
        <w:t>（</w:t>
      </w:r>
      <w:r>
        <w:rPr>
          <w:rFonts w:hint="eastAsia" w:ascii="仿宋" w:eastAsia="仿宋" w:cs="仿宋"/>
          <w:color w:val="auto"/>
          <w:sz w:val="24"/>
          <w:szCs w:val="24"/>
          <w:highlight w:val="none"/>
          <w:lang w:val="en-US"/>
        </w:rPr>
        <w:t>6</w:t>
      </w:r>
      <w:r>
        <w:rPr>
          <w:rFonts w:hint="eastAsia" w:ascii="仿宋" w:eastAsia="仿宋" w:cs="仿宋"/>
          <w:color w:val="auto"/>
          <w:sz w:val="24"/>
          <w:szCs w:val="24"/>
          <w:highlight w:val="none"/>
        </w:rPr>
        <w:t>）</w:t>
      </w:r>
      <w:r>
        <w:rPr>
          <w:rFonts w:hint="eastAsia" w:ascii="仿宋" w:eastAsia="仿宋" w:cs="仿宋"/>
          <w:color w:val="auto"/>
          <w:sz w:val="24"/>
          <w:szCs w:val="24"/>
          <w:highlight w:val="none"/>
          <w:lang w:val="en-US"/>
        </w:rPr>
        <w:t>工期要求</w:t>
      </w:r>
    </w:p>
    <w:p>
      <w:pPr>
        <w:adjustRightInd/>
        <w:spacing w:line="400" w:lineRule="exact"/>
        <w:ind w:firstLine="420"/>
        <w:rPr>
          <w:rFonts w:ascii="仿宋" w:hAnsi="仿宋" w:eastAsia="仿宋" w:cs="仿宋"/>
          <w:color w:val="auto"/>
          <w:kern w:val="0"/>
          <w:sz w:val="24"/>
          <w:highlight w:val="none"/>
          <w:lang w:val="zh-CN" w:bidi="ar"/>
        </w:rPr>
      </w:pPr>
      <w:r>
        <w:rPr>
          <w:rFonts w:hint="eastAsia" w:ascii="仿宋" w:hAnsi="仿宋" w:eastAsia="仿宋" w:cs="仿宋"/>
          <w:color w:val="auto"/>
          <w:kern w:val="0"/>
          <w:sz w:val="24"/>
          <w:highlight w:val="none"/>
          <w:lang w:val="zh-CN" w:bidi="ar"/>
        </w:rPr>
        <w:t>总工期为</w:t>
      </w:r>
      <w:r>
        <w:rPr>
          <w:rFonts w:hint="eastAsia" w:ascii="仿宋" w:hAnsi="仿宋" w:eastAsia="仿宋" w:cs="仿宋"/>
          <w:color w:val="auto"/>
          <w:kern w:val="0"/>
          <w:sz w:val="24"/>
          <w:highlight w:val="none"/>
          <w:lang w:bidi="ar"/>
        </w:rPr>
        <w:t>4</w:t>
      </w:r>
      <w:r>
        <w:rPr>
          <w:rFonts w:hint="eastAsia" w:ascii="仿宋" w:hAnsi="仿宋" w:eastAsia="仿宋" w:cs="仿宋"/>
          <w:color w:val="auto"/>
          <w:kern w:val="0"/>
          <w:sz w:val="24"/>
          <w:highlight w:val="none"/>
          <w:lang w:val="zh-CN" w:bidi="ar"/>
        </w:rPr>
        <w:t>个月，其中建设工期为</w:t>
      </w:r>
      <w:r>
        <w:rPr>
          <w:rFonts w:ascii="仿宋" w:hAnsi="仿宋" w:eastAsia="仿宋" w:cs="仿宋"/>
          <w:color w:val="auto"/>
          <w:kern w:val="0"/>
          <w:sz w:val="24"/>
          <w:highlight w:val="none"/>
          <w:lang w:bidi="ar"/>
        </w:rPr>
        <w:t>1</w:t>
      </w:r>
      <w:r>
        <w:rPr>
          <w:rFonts w:hint="eastAsia" w:ascii="仿宋" w:hAnsi="仿宋" w:eastAsia="仿宋" w:cs="仿宋"/>
          <w:color w:val="auto"/>
          <w:kern w:val="0"/>
          <w:sz w:val="24"/>
          <w:highlight w:val="none"/>
          <w:lang w:val="zh-CN" w:bidi="ar"/>
        </w:rPr>
        <w:t>个月，试运行</w:t>
      </w:r>
      <w:r>
        <w:rPr>
          <w:rFonts w:ascii="仿宋" w:hAnsi="仿宋" w:eastAsia="仿宋" w:cs="仿宋"/>
          <w:color w:val="auto"/>
          <w:kern w:val="0"/>
          <w:sz w:val="24"/>
          <w:highlight w:val="none"/>
          <w:lang w:val="zh-CN" w:bidi="ar"/>
        </w:rPr>
        <w:t>3</w:t>
      </w:r>
      <w:r>
        <w:rPr>
          <w:rFonts w:hint="eastAsia" w:ascii="仿宋" w:hAnsi="仿宋" w:eastAsia="仿宋" w:cs="仿宋"/>
          <w:color w:val="auto"/>
          <w:kern w:val="0"/>
          <w:sz w:val="24"/>
          <w:highlight w:val="none"/>
          <w:lang w:val="zh-CN" w:bidi="ar"/>
        </w:rPr>
        <w:t>个月。</w:t>
      </w:r>
    </w:p>
    <w:p>
      <w:pPr>
        <w:pStyle w:val="4"/>
        <w:numPr>
          <w:ilvl w:val="1"/>
          <w:numId w:val="0"/>
        </w:numPr>
        <w:spacing w:line="400" w:lineRule="exact"/>
        <w:rPr>
          <w:rFonts w:ascii="仿宋" w:eastAsia="仿宋" w:cs="仿宋"/>
          <w:color w:val="auto"/>
          <w:sz w:val="24"/>
          <w:szCs w:val="24"/>
          <w:highlight w:val="none"/>
        </w:rPr>
      </w:pPr>
      <w:r>
        <w:rPr>
          <w:rFonts w:hint="eastAsia" w:ascii="仿宋" w:eastAsia="仿宋" w:cs="仿宋"/>
          <w:color w:val="auto"/>
          <w:sz w:val="24"/>
          <w:szCs w:val="24"/>
          <w:highlight w:val="none"/>
        </w:rPr>
        <w:t>（</w:t>
      </w:r>
      <w:r>
        <w:rPr>
          <w:rFonts w:hint="eastAsia" w:ascii="仿宋" w:eastAsia="仿宋" w:cs="仿宋"/>
          <w:color w:val="auto"/>
          <w:sz w:val="24"/>
          <w:szCs w:val="24"/>
          <w:highlight w:val="none"/>
          <w:lang w:val="en-US"/>
        </w:rPr>
        <w:t>7</w:t>
      </w:r>
      <w:r>
        <w:rPr>
          <w:rFonts w:hint="eastAsia" w:ascii="仿宋" w:eastAsia="仿宋" w:cs="仿宋"/>
          <w:color w:val="auto"/>
          <w:sz w:val="24"/>
          <w:szCs w:val="24"/>
          <w:highlight w:val="none"/>
        </w:rPr>
        <w:t>）二级等保</w:t>
      </w:r>
    </w:p>
    <w:p>
      <w:pPr>
        <w:adjustRightInd/>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中标人需协助建设单位完成等保2.0二级标准测评。</w:t>
      </w:r>
    </w:p>
    <w:p>
      <w:pPr>
        <w:pStyle w:val="4"/>
        <w:numPr>
          <w:ilvl w:val="1"/>
          <w:numId w:val="0"/>
        </w:numPr>
        <w:spacing w:line="400" w:lineRule="exact"/>
        <w:rPr>
          <w:rFonts w:ascii="仿宋" w:eastAsia="仿宋" w:cs="仿宋"/>
          <w:color w:val="auto"/>
          <w:sz w:val="24"/>
          <w:szCs w:val="24"/>
          <w:highlight w:val="none"/>
          <w:lang w:val="en-US"/>
        </w:rPr>
      </w:pPr>
      <w:r>
        <w:rPr>
          <w:rFonts w:hint="eastAsia" w:ascii="仿宋" w:eastAsia="仿宋" w:cs="仿宋"/>
          <w:color w:val="auto"/>
          <w:sz w:val="24"/>
          <w:szCs w:val="24"/>
          <w:highlight w:val="none"/>
        </w:rPr>
        <w:t>（</w:t>
      </w:r>
      <w:r>
        <w:rPr>
          <w:rFonts w:hint="eastAsia" w:ascii="仿宋" w:eastAsia="仿宋" w:cs="仿宋"/>
          <w:color w:val="auto"/>
          <w:sz w:val="24"/>
          <w:szCs w:val="24"/>
          <w:highlight w:val="none"/>
          <w:lang w:val="en-US"/>
        </w:rPr>
        <w:t>8</w:t>
      </w:r>
      <w:r>
        <w:rPr>
          <w:rFonts w:hint="eastAsia" w:ascii="仿宋" w:eastAsia="仿宋" w:cs="仿宋"/>
          <w:color w:val="auto"/>
          <w:sz w:val="24"/>
          <w:szCs w:val="24"/>
          <w:highlight w:val="none"/>
        </w:rPr>
        <w:t>）</w:t>
      </w:r>
      <w:r>
        <w:rPr>
          <w:rFonts w:hint="eastAsia" w:ascii="仿宋" w:eastAsia="仿宋" w:cs="仿宋"/>
          <w:color w:val="auto"/>
          <w:sz w:val="24"/>
          <w:szCs w:val="24"/>
          <w:highlight w:val="none"/>
          <w:lang w:val="en-US"/>
        </w:rPr>
        <w:t>付款方式</w:t>
      </w:r>
    </w:p>
    <w:p>
      <w:pPr>
        <w:pStyle w:val="82"/>
        <w:ind w:firstLine="56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项目建设期：</w:t>
      </w:r>
    </w:p>
    <w:p>
      <w:pPr>
        <w:pStyle w:val="82"/>
        <w:ind w:firstLine="560"/>
        <w:rPr>
          <w:rFonts w:ascii="仿宋" w:hAnsi="仿宋" w:eastAsia="仿宋" w:cs="仿宋"/>
          <w:color w:val="auto"/>
          <w:szCs w:val="24"/>
          <w:highlight w:val="none"/>
        </w:rPr>
      </w:pPr>
      <w:r>
        <w:rPr>
          <w:rFonts w:hint="eastAsia" w:ascii="仿宋" w:hAnsi="仿宋" w:eastAsia="仿宋" w:cs="仿宋"/>
          <w:color w:val="auto"/>
          <w:szCs w:val="24"/>
          <w:highlight w:val="none"/>
        </w:rPr>
        <w:t>1.合同签订后预付合同总金额的40%资金；</w:t>
      </w:r>
    </w:p>
    <w:p>
      <w:pPr>
        <w:pStyle w:val="82"/>
        <w:ind w:firstLine="560"/>
        <w:rPr>
          <w:rFonts w:ascii="仿宋" w:hAnsi="仿宋" w:eastAsia="仿宋" w:cs="仿宋"/>
          <w:color w:val="auto"/>
          <w:szCs w:val="24"/>
          <w:highlight w:val="none"/>
        </w:rPr>
      </w:pPr>
      <w:r>
        <w:rPr>
          <w:rFonts w:hint="eastAsia" w:ascii="仿宋" w:hAnsi="仿宋" w:eastAsia="仿宋" w:cs="仿宋"/>
          <w:color w:val="auto"/>
          <w:szCs w:val="24"/>
          <w:highlight w:val="none"/>
        </w:rPr>
        <w:t>2.项目初验完成后支付合同总金额的</w:t>
      </w:r>
      <w:r>
        <w:rPr>
          <w:rFonts w:ascii="仿宋" w:hAnsi="仿宋" w:eastAsia="仿宋" w:cs="仿宋"/>
          <w:color w:val="auto"/>
          <w:szCs w:val="24"/>
          <w:highlight w:val="none"/>
        </w:rPr>
        <w:t>20</w:t>
      </w:r>
      <w:r>
        <w:rPr>
          <w:rFonts w:hint="eastAsia" w:ascii="仿宋" w:hAnsi="仿宋" w:eastAsia="仿宋" w:cs="仿宋"/>
          <w:color w:val="auto"/>
          <w:szCs w:val="24"/>
          <w:highlight w:val="none"/>
        </w:rPr>
        <w:t>%资金；</w:t>
      </w:r>
    </w:p>
    <w:p>
      <w:pPr>
        <w:pStyle w:val="82"/>
        <w:ind w:firstLine="560"/>
        <w:rPr>
          <w:rFonts w:ascii="仿宋" w:hAnsi="仿宋" w:eastAsia="仿宋" w:cs="仿宋"/>
          <w:color w:val="auto"/>
          <w:szCs w:val="24"/>
          <w:highlight w:val="none"/>
        </w:rPr>
      </w:pPr>
      <w:r>
        <w:rPr>
          <w:rFonts w:hint="eastAsia" w:ascii="仿宋" w:hAnsi="仿宋" w:eastAsia="仿宋" w:cs="仿宋"/>
          <w:color w:val="auto"/>
          <w:szCs w:val="24"/>
          <w:highlight w:val="none"/>
        </w:rPr>
        <w:t>3.项目终验完成后支付合同总金额的20%资金；</w:t>
      </w:r>
    </w:p>
    <w:p>
      <w:pPr>
        <w:pStyle w:val="82"/>
        <w:rPr>
          <w:rFonts w:ascii="仿宋" w:hAnsi="仿宋" w:eastAsia="仿宋" w:cs="仿宋"/>
          <w:color w:val="auto"/>
          <w:szCs w:val="24"/>
          <w:highlight w:val="none"/>
        </w:rPr>
      </w:pPr>
      <w:r>
        <w:rPr>
          <w:rFonts w:hint="eastAsia" w:ascii="仿宋" w:hAnsi="仿宋" w:eastAsia="仿宋" w:cs="仿宋"/>
          <w:color w:val="auto"/>
          <w:szCs w:val="24"/>
          <w:highlight w:val="none"/>
        </w:rPr>
        <w:t>项目维护期：</w:t>
      </w:r>
    </w:p>
    <w:p>
      <w:pPr>
        <w:pStyle w:val="82"/>
        <w:ind w:firstLine="560"/>
        <w:rPr>
          <w:rFonts w:ascii="仿宋" w:hAnsi="仿宋" w:eastAsia="仿宋" w:cs="仿宋"/>
          <w:color w:val="auto"/>
          <w:szCs w:val="24"/>
          <w:highlight w:val="none"/>
        </w:rPr>
      </w:pPr>
      <w:r>
        <w:rPr>
          <w:rFonts w:hint="eastAsia" w:ascii="仿宋" w:hAnsi="仿宋" w:eastAsia="仿宋" w:cs="仿宋"/>
          <w:color w:val="auto"/>
          <w:szCs w:val="24"/>
          <w:highlight w:val="none"/>
        </w:rPr>
        <w:t>1.项目运维第2年支付合同总金额的</w:t>
      </w:r>
      <w:r>
        <w:rPr>
          <w:rFonts w:ascii="仿宋" w:hAnsi="仿宋" w:eastAsia="仿宋" w:cs="仿宋"/>
          <w:color w:val="auto"/>
          <w:szCs w:val="24"/>
          <w:highlight w:val="none"/>
        </w:rPr>
        <w:t>10</w:t>
      </w:r>
      <w:r>
        <w:rPr>
          <w:rFonts w:hint="eastAsia" w:ascii="仿宋" w:hAnsi="仿宋" w:eastAsia="仿宋" w:cs="仿宋"/>
          <w:color w:val="auto"/>
          <w:szCs w:val="24"/>
          <w:highlight w:val="none"/>
        </w:rPr>
        <w:t>%资金；</w:t>
      </w:r>
    </w:p>
    <w:p>
      <w:pPr>
        <w:pStyle w:val="82"/>
        <w:ind w:firstLine="560"/>
        <w:rPr>
          <w:color w:val="auto"/>
          <w:highlight w:val="none"/>
        </w:rPr>
      </w:pPr>
      <w:r>
        <w:rPr>
          <w:rFonts w:hint="eastAsia" w:ascii="仿宋" w:hAnsi="仿宋" w:eastAsia="仿宋" w:cs="仿宋"/>
          <w:color w:val="auto"/>
          <w:szCs w:val="24"/>
          <w:highlight w:val="none"/>
        </w:rPr>
        <w:t>2.项目运维第3年支付合同总金额的</w:t>
      </w:r>
      <w:r>
        <w:rPr>
          <w:rFonts w:ascii="仿宋" w:hAnsi="仿宋" w:eastAsia="仿宋" w:cs="仿宋"/>
          <w:color w:val="auto"/>
          <w:szCs w:val="24"/>
          <w:highlight w:val="none"/>
        </w:rPr>
        <w:t>10</w:t>
      </w:r>
      <w:r>
        <w:rPr>
          <w:rFonts w:hint="eastAsia" w:ascii="仿宋" w:hAnsi="仿宋" w:eastAsia="仿宋" w:cs="仿宋"/>
          <w:color w:val="auto"/>
          <w:szCs w:val="24"/>
          <w:highlight w:val="none"/>
        </w:rPr>
        <w:t>%资金。</w:t>
      </w:r>
    </w:p>
    <w:p>
      <w:pPr>
        <w:spacing w:line="360" w:lineRule="auto"/>
        <w:ind w:firstLine="181" w:firstLineChars="50"/>
        <w:rPr>
          <w:rFonts w:hint="eastAsia" w:ascii="仿宋" w:hAnsi="仿宋" w:eastAsia="仿宋" w:cs="仿宋"/>
          <w:b/>
          <w:sz w:val="36"/>
          <w:szCs w:val="36"/>
        </w:rPr>
      </w:pPr>
    </w:p>
    <w:p>
      <w:pPr>
        <w:spacing w:line="360" w:lineRule="auto"/>
        <w:rPr>
          <w:rFonts w:hint="eastAsia" w:ascii="仿宋" w:hAnsi="仿宋" w:eastAsia="仿宋" w:cs="仿宋"/>
          <w:sz w:val="24"/>
        </w:rPr>
      </w:pPr>
    </w:p>
    <w:p>
      <w:pPr>
        <w:widowControl/>
        <w:ind w:firstLine="720" w:firstLineChars="300"/>
        <w:jc w:val="left"/>
        <w:rPr>
          <w:rFonts w:hint="eastAsia" w:ascii="仿宋" w:hAnsi="仿宋" w:eastAsia="仿宋" w:cs="仿宋"/>
          <w:bCs/>
          <w:sz w:val="24"/>
        </w:rPr>
      </w:pPr>
    </w:p>
    <w:p>
      <w:pPr>
        <w:rPr>
          <w:rFonts w:hint="eastAsia" w:ascii="仿宋" w:hAnsi="仿宋" w:eastAsia="仿宋" w:cs="仿宋"/>
          <w:snapToGrid w:val="0"/>
          <w:kern w:val="0"/>
          <w:sz w:val="24"/>
        </w:rPr>
      </w:pPr>
    </w:p>
    <w:p>
      <w:pPr>
        <w:snapToGrid w:val="0"/>
        <w:spacing w:line="360" w:lineRule="auto"/>
        <w:jc w:val="center"/>
        <w:rPr>
          <w:rFonts w:hint="eastAsia" w:ascii="仿宋" w:hAnsi="仿宋" w:eastAsia="仿宋" w:cs="仿宋"/>
          <w:b/>
          <w:sz w:val="36"/>
          <w:szCs w:val="36"/>
        </w:rPr>
      </w:pPr>
      <w:r>
        <w:rPr>
          <w:rFonts w:hint="eastAsia" w:ascii="仿宋" w:hAnsi="仿宋" w:eastAsia="仿宋" w:cs="仿宋"/>
          <w:b/>
          <w:sz w:val="24"/>
        </w:rPr>
        <w:br w:type="page"/>
      </w:r>
      <w:r>
        <w:rPr>
          <w:rFonts w:hint="eastAsia" w:ascii="仿宋" w:hAnsi="仿宋" w:eastAsia="仿宋" w:cs="仿宋"/>
          <w:b/>
          <w:sz w:val="36"/>
          <w:szCs w:val="36"/>
        </w:rPr>
        <w:t xml:space="preserve">第四部分   </w:t>
      </w:r>
      <w:bookmarkStart w:id="46" w:name="_Toc184310274"/>
      <w:bookmarkEnd w:id="46"/>
      <w:bookmarkStart w:id="47" w:name="_Toc184312135"/>
      <w:bookmarkEnd w:id="47"/>
      <w:bookmarkStart w:id="48" w:name="_Toc184312088"/>
      <w:bookmarkEnd w:id="48"/>
      <w:bookmarkStart w:id="49" w:name="_Toc184308104"/>
      <w:bookmarkEnd w:id="49"/>
      <w:bookmarkStart w:id="50" w:name="_Toc184312083"/>
      <w:bookmarkEnd w:id="50"/>
      <w:bookmarkStart w:id="51" w:name="_Toc184310327"/>
      <w:bookmarkEnd w:id="51"/>
      <w:bookmarkStart w:id="52" w:name="_Toc184313297"/>
      <w:bookmarkEnd w:id="52"/>
      <w:bookmarkStart w:id="53" w:name="_Toc184314427"/>
      <w:bookmarkEnd w:id="53"/>
      <w:bookmarkStart w:id="54" w:name="_Toc184314456"/>
      <w:bookmarkEnd w:id="54"/>
      <w:bookmarkStart w:id="55" w:name="_Toc184313293"/>
      <w:bookmarkEnd w:id="55"/>
      <w:bookmarkStart w:id="56" w:name="_Toc184310336"/>
      <w:bookmarkEnd w:id="56"/>
      <w:bookmarkStart w:id="57" w:name="_Toc184313307"/>
      <w:bookmarkEnd w:id="57"/>
      <w:bookmarkStart w:id="58" w:name="_Toc184313278"/>
      <w:bookmarkEnd w:id="58"/>
      <w:bookmarkStart w:id="59" w:name="_Toc184308074"/>
      <w:bookmarkEnd w:id="59"/>
      <w:bookmarkStart w:id="60" w:name="_Toc184310294"/>
      <w:bookmarkEnd w:id="60"/>
      <w:bookmarkStart w:id="61" w:name="_Toc184308095"/>
      <w:bookmarkEnd w:id="61"/>
      <w:bookmarkStart w:id="62" w:name="_Toc184312118"/>
      <w:bookmarkEnd w:id="62"/>
      <w:bookmarkStart w:id="63" w:name="_Toc184313279"/>
      <w:bookmarkEnd w:id="63"/>
      <w:bookmarkStart w:id="64" w:name="_Toc184308076"/>
      <w:bookmarkEnd w:id="64"/>
      <w:bookmarkStart w:id="65" w:name="_Toc184308058"/>
      <w:bookmarkEnd w:id="65"/>
      <w:bookmarkStart w:id="66" w:name="_Toc184314437"/>
      <w:bookmarkEnd w:id="66"/>
      <w:bookmarkStart w:id="67" w:name="_Toc184312119"/>
      <w:bookmarkEnd w:id="67"/>
      <w:bookmarkStart w:id="68" w:name="_Toc184313296"/>
      <w:bookmarkEnd w:id="68"/>
      <w:bookmarkStart w:id="69" w:name="_Toc184310310"/>
      <w:bookmarkEnd w:id="69"/>
      <w:bookmarkStart w:id="70" w:name="_Toc184308036"/>
      <w:bookmarkEnd w:id="70"/>
      <w:bookmarkStart w:id="71" w:name="_Toc184313303"/>
      <w:bookmarkEnd w:id="71"/>
      <w:bookmarkStart w:id="72" w:name="_Toc184310298"/>
      <w:bookmarkEnd w:id="72"/>
      <w:bookmarkStart w:id="73" w:name="_Toc184313287"/>
      <w:bookmarkEnd w:id="73"/>
      <w:bookmarkStart w:id="74" w:name="_Toc184312131"/>
      <w:bookmarkEnd w:id="74"/>
      <w:bookmarkStart w:id="75" w:name="_Toc184313290"/>
      <w:bookmarkEnd w:id="75"/>
      <w:bookmarkStart w:id="76" w:name="_Toc184308078"/>
      <w:bookmarkEnd w:id="76"/>
      <w:bookmarkStart w:id="77" w:name="_Toc184310330"/>
      <w:bookmarkEnd w:id="77"/>
      <w:bookmarkStart w:id="78" w:name="_Toc184312090"/>
      <w:bookmarkEnd w:id="78"/>
      <w:bookmarkStart w:id="79" w:name="_Toc184314441"/>
      <w:bookmarkEnd w:id="79"/>
      <w:bookmarkStart w:id="80" w:name="_Toc184310307"/>
      <w:bookmarkEnd w:id="80"/>
      <w:bookmarkStart w:id="81" w:name="_Toc184312133"/>
      <w:bookmarkEnd w:id="81"/>
      <w:bookmarkStart w:id="82" w:name="_Toc184312128"/>
      <w:bookmarkEnd w:id="82"/>
      <w:bookmarkStart w:id="83" w:name="_Toc184314466"/>
      <w:bookmarkEnd w:id="83"/>
      <w:bookmarkStart w:id="84" w:name="_Toc184310280"/>
      <w:bookmarkEnd w:id="84"/>
      <w:bookmarkStart w:id="85" w:name="_Toc184313247"/>
      <w:bookmarkEnd w:id="85"/>
      <w:bookmarkStart w:id="86" w:name="_Toc184313280"/>
      <w:bookmarkEnd w:id="86"/>
      <w:bookmarkStart w:id="87" w:name="_Toc184313281"/>
      <w:bookmarkEnd w:id="87"/>
      <w:bookmarkStart w:id="88" w:name="_Toc184310305"/>
      <w:bookmarkEnd w:id="88"/>
      <w:bookmarkStart w:id="89" w:name="_Toc184310309"/>
      <w:bookmarkEnd w:id="89"/>
      <w:bookmarkStart w:id="90" w:name="_Toc184314481"/>
      <w:bookmarkEnd w:id="90"/>
      <w:bookmarkStart w:id="91" w:name="_Toc184314435"/>
      <w:bookmarkEnd w:id="91"/>
      <w:bookmarkStart w:id="92" w:name="_Toc184310338"/>
      <w:bookmarkEnd w:id="92"/>
      <w:bookmarkStart w:id="93" w:name="_Toc184313253"/>
      <w:bookmarkEnd w:id="93"/>
      <w:bookmarkStart w:id="94" w:name="_Toc184308107"/>
      <w:bookmarkEnd w:id="94"/>
      <w:bookmarkStart w:id="95" w:name="_Toc184310315"/>
      <w:bookmarkEnd w:id="95"/>
      <w:bookmarkStart w:id="96" w:name="_Toc184308072"/>
      <w:bookmarkEnd w:id="96"/>
      <w:bookmarkStart w:id="97" w:name="_Toc184313286"/>
      <w:bookmarkEnd w:id="97"/>
      <w:bookmarkStart w:id="98" w:name="_Toc184308080"/>
      <w:bookmarkEnd w:id="98"/>
      <w:bookmarkStart w:id="99" w:name="_Toc184308070"/>
      <w:bookmarkEnd w:id="99"/>
      <w:bookmarkStart w:id="100" w:name="_Toc184313291"/>
      <w:bookmarkEnd w:id="100"/>
      <w:bookmarkStart w:id="101" w:name="_Toc184308092"/>
      <w:bookmarkEnd w:id="101"/>
      <w:bookmarkStart w:id="102" w:name="_Toc184314455"/>
      <w:bookmarkEnd w:id="102"/>
      <w:bookmarkStart w:id="103" w:name="_Toc184313249"/>
      <w:bookmarkEnd w:id="103"/>
      <w:bookmarkStart w:id="104" w:name="_Toc184308060"/>
      <w:bookmarkEnd w:id="104"/>
      <w:bookmarkStart w:id="105" w:name="_Toc184308101"/>
      <w:bookmarkEnd w:id="105"/>
      <w:bookmarkStart w:id="106" w:name="_Toc184312124"/>
      <w:bookmarkEnd w:id="106"/>
      <w:bookmarkStart w:id="107" w:name="_Toc184308069"/>
      <w:bookmarkEnd w:id="107"/>
      <w:bookmarkStart w:id="108" w:name="_Toc184313250"/>
      <w:bookmarkEnd w:id="108"/>
      <w:bookmarkStart w:id="109" w:name="_Toc184308097"/>
      <w:bookmarkEnd w:id="109"/>
      <w:bookmarkStart w:id="110" w:name="_Toc184314469"/>
      <w:bookmarkEnd w:id="110"/>
      <w:bookmarkStart w:id="111" w:name="_Toc184314464"/>
      <w:bookmarkEnd w:id="111"/>
      <w:bookmarkStart w:id="112" w:name="_Toc184310302"/>
      <w:bookmarkEnd w:id="112"/>
      <w:bookmarkStart w:id="113" w:name="_Toc184314422"/>
      <w:bookmarkEnd w:id="113"/>
      <w:bookmarkStart w:id="114" w:name="_Toc184313240"/>
      <w:bookmarkEnd w:id="114"/>
      <w:bookmarkStart w:id="115" w:name="_Toc184310306"/>
      <w:bookmarkEnd w:id="115"/>
      <w:bookmarkStart w:id="116" w:name="_Toc184308047"/>
      <w:bookmarkEnd w:id="116"/>
      <w:bookmarkStart w:id="117" w:name="_Toc184310293"/>
      <w:bookmarkEnd w:id="117"/>
      <w:bookmarkStart w:id="118" w:name="_Toc184313309"/>
      <w:bookmarkEnd w:id="118"/>
      <w:bookmarkStart w:id="119" w:name="_Toc184310281"/>
      <w:bookmarkEnd w:id="119"/>
      <w:bookmarkStart w:id="120" w:name="_Toc184310332"/>
      <w:bookmarkEnd w:id="120"/>
      <w:bookmarkStart w:id="121" w:name="_Toc184312105"/>
      <w:bookmarkEnd w:id="121"/>
      <w:bookmarkStart w:id="122" w:name="_Toc184310320"/>
      <w:bookmarkEnd w:id="122"/>
      <w:bookmarkStart w:id="123" w:name="_Toc184314430"/>
      <w:bookmarkEnd w:id="123"/>
      <w:bookmarkStart w:id="124" w:name="_Toc184310295"/>
      <w:bookmarkEnd w:id="124"/>
      <w:bookmarkStart w:id="125" w:name="_Toc184313255"/>
      <w:bookmarkEnd w:id="125"/>
      <w:bookmarkStart w:id="126" w:name="_Toc184310313"/>
      <w:bookmarkEnd w:id="126"/>
      <w:bookmarkStart w:id="127" w:name="_Toc184314429"/>
      <w:bookmarkEnd w:id="127"/>
      <w:bookmarkStart w:id="128" w:name="_Toc184308053"/>
      <w:bookmarkEnd w:id="128"/>
      <w:bookmarkStart w:id="129" w:name="_Toc184314426"/>
      <w:bookmarkEnd w:id="129"/>
      <w:bookmarkStart w:id="130" w:name="_Toc184314471"/>
      <w:bookmarkEnd w:id="130"/>
      <w:bookmarkStart w:id="131" w:name="_Toc184308093"/>
      <w:bookmarkEnd w:id="131"/>
      <w:bookmarkStart w:id="132" w:name="_Toc184312103"/>
      <w:bookmarkEnd w:id="132"/>
      <w:bookmarkStart w:id="133" w:name="_Toc184310308"/>
      <w:bookmarkEnd w:id="133"/>
      <w:bookmarkStart w:id="134" w:name="_Toc184313289"/>
      <w:bookmarkEnd w:id="134"/>
      <w:bookmarkStart w:id="135" w:name="_Toc184313298"/>
      <w:bookmarkEnd w:id="135"/>
      <w:bookmarkStart w:id="136" w:name="_Toc184312096"/>
      <w:bookmarkEnd w:id="136"/>
      <w:bookmarkStart w:id="137" w:name="_Toc184308068"/>
      <w:bookmarkEnd w:id="137"/>
      <w:bookmarkStart w:id="138" w:name="_Toc184313248"/>
      <w:bookmarkEnd w:id="138"/>
      <w:bookmarkStart w:id="139" w:name="_Toc184312094"/>
      <w:bookmarkEnd w:id="139"/>
      <w:bookmarkStart w:id="140" w:name="_Toc184314476"/>
      <w:bookmarkEnd w:id="140"/>
      <w:bookmarkStart w:id="141" w:name="_Toc184308102"/>
      <w:bookmarkEnd w:id="141"/>
      <w:bookmarkStart w:id="142" w:name="_Toc184310300"/>
      <w:bookmarkEnd w:id="142"/>
      <w:bookmarkStart w:id="143" w:name="_Toc184308054"/>
      <w:bookmarkEnd w:id="143"/>
      <w:bookmarkStart w:id="144" w:name="_Toc184314452"/>
      <w:bookmarkEnd w:id="144"/>
      <w:bookmarkStart w:id="145" w:name="_Toc184314448"/>
      <w:bookmarkEnd w:id="145"/>
      <w:bookmarkStart w:id="146" w:name="_Toc184313276"/>
      <w:bookmarkEnd w:id="146"/>
      <w:bookmarkStart w:id="147" w:name="_Toc184313268"/>
      <w:bookmarkEnd w:id="147"/>
      <w:bookmarkStart w:id="148" w:name="_Toc184314446"/>
      <w:bookmarkEnd w:id="148"/>
      <w:bookmarkStart w:id="149" w:name="_Toc184310321"/>
      <w:bookmarkEnd w:id="149"/>
      <w:bookmarkStart w:id="150" w:name="_Toc184313242"/>
      <w:bookmarkEnd w:id="150"/>
      <w:bookmarkStart w:id="151" w:name="_Toc184310340"/>
      <w:bookmarkEnd w:id="151"/>
      <w:bookmarkStart w:id="152" w:name="_Toc184308077"/>
      <w:bookmarkEnd w:id="152"/>
      <w:bookmarkStart w:id="153" w:name="_Toc184313305"/>
      <w:bookmarkEnd w:id="153"/>
      <w:bookmarkStart w:id="154" w:name="_Toc184308051"/>
      <w:bookmarkEnd w:id="154"/>
      <w:bookmarkStart w:id="155" w:name="_Toc184312122"/>
      <w:bookmarkEnd w:id="155"/>
      <w:bookmarkStart w:id="156" w:name="_Toc184313258"/>
      <w:bookmarkEnd w:id="156"/>
      <w:bookmarkStart w:id="157" w:name="_Toc184313302"/>
      <w:bookmarkEnd w:id="157"/>
      <w:bookmarkStart w:id="158" w:name="_Toc184308098"/>
      <w:bookmarkEnd w:id="158"/>
      <w:bookmarkStart w:id="159" w:name="_Toc184312126"/>
      <w:bookmarkEnd w:id="159"/>
      <w:bookmarkStart w:id="160" w:name="_Toc184314454"/>
      <w:bookmarkEnd w:id="160"/>
      <w:bookmarkStart w:id="161" w:name="_Toc184308073"/>
      <w:bookmarkEnd w:id="161"/>
      <w:bookmarkStart w:id="162" w:name="_Toc184312098"/>
      <w:bookmarkEnd w:id="162"/>
      <w:bookmarkStart w:id="163" w:name="_Toc184308056"/>
      <w:bookmarkEnd w:id="163"/>
      <w:bookmarkStart w:id="164" w:name="_Toc184310329"/>
      <w:bookmarkEnd w:id="164"/>
      <w:bookmarkStart w:id="165" w:name="_Toc184312069"/>
      <w:bookmarkEnd w:id="165"/>
      <w:bookmarkStart w:id="166" w:name="_Toc184312125"/>
      <w:bookmarkEnd w:id="166"/>
      <w:bookmarkStart w:id="167" w:name="_Toc184312091"/>
      <w:bookmarkEnd w:id="167"/>
      <w:bookmarkStart w:id="168" w:name="_Toc184314410"/>
      <w:bookmarkEnd w:id="168"/>
      <w:bookmarkStart w:id="169" w:name="_Toc184312136"/>
      <w:bookmarkEnd w:id="169"/>
      <w:bookmarkStart w:id="170" w:name="_Toc184313263"/>
      <w:bookmarkEnd w:id="170"/>
      <w:bookmarkStart w:id="171" w:name="_Toc184313285"/>
      <w:bookmarkEnd w:id="171"/>
      <w:bookmarkStart w:id="172" w:name="_Toc184313251"/>
      <w:bookmarkEnd w:id="172"/>
      <w:bookmarkStart w:id="173" w:name="_Toc184308099"/>
      <w:bookmarkEnd w:id="173"/>
      <w:bookmarkStart w:id="174" w:name="_Toc184314424"/>
      <w:bookmarkEnd w:id="174"/>
      <w:bookmarkStart w:id="175" w:name="_Toc184310288"/>
      <w:bookmarkEnd w:id="175"/>
      <w:bookmarkStart w:id="176" w:name="_Toc184314413"/>
      <w:bookmarkEnd w:id="176"/>
      <w:bookmarkStart w:id="177" w:name="_Toc184312072"/>
      <w:bookmarkEnd w:id="177"/>
      <w:bookmarkStart w:id="178" w:name="_Toc184310322"/>
      <w:bookmarkEnd w:id="178"/>
      <w:bookmarkStart w:id="179" w:name="_Toc184310334"/>
      <w:bookmarkEnd w:id="179"/>
      <w:bookmarkStart w:id="180" w:name="_Toc184313288"/>
      <w:bookmarkEnd w:id="180"/>
      <w:bookmarkStart w:id="181" w:name="_Toc184314436"/>
      <w:bookmarkEnd w:id="181"/>
      <w:bookmarkStart w:id="182" w:name="_Toc184313269"/>
      <w:bookmarkEnd w:id="182"/>
      <w:bookmarkStart w:id="183" w:name="_Toc184313252"/>
      <w:bookmarkEnd w:id="183"/>
      <w:bookmarkStart w:id="184" w:name="_Toc184308082"/>
      <w:bookmarkEnd w:id="184"/>
      <w:bookmarkStart w:id="185" w:name="_Toc184313283"/>
      <w:bookmarkEnd w:id="185"/>
      <w:bookmarkStart w:id="186" w:name="_Toc184314451"/>
      <w:bookmarkEnd w:id="186"/>
      <w:bookmarkStart w:id="187" w:name="_Toc184312110"/>
      <w:bookmarkEnd w:id="187"/>
      <w:bookmarkStart w:id="188" w:name="_Toc184310292"/>
      <w:bookmarkEnd w:id="188"/>
      <w:bookmarkStart w:id="189" w:name="_Toc184310282"/>
      <w:bookmarkEnd w:id="189"/>
      <w:bookmarkStart w:id="190" w:name="_Toc184312101"/>
      <w:bookmarkEnd w:id="190"/>
      <w:bookmarkStart w:id="191" w:name="_Toc184313271"/>
      <w:bookmarkEnd w:id="191"/>
      <w:bookmarkStart w:id="192" w:name="_Toc184308063"/>
      <w:bookmarkEnd w:id="192"/>
      <w:bookmarkStart w:id="193" w:name="_Toc184312070"/>
      <w:bookmarkEnd w:id="193"/>
      <w:bookmarkStart w:id="194" w:name="_Toc184312080"/>
      <w:bookmarkEnd w:id="194"/>
      <w:bookmarkStart w:id="195" w:name="_Toc184312107"/>
      <w:bookmarkEnd w:id="195"/>
      <w:bookmarkStart w:id="196" w:name="_Toc184308050"/>
      <w:bookmarkEnd w:id="196"/>
      <w:bookmarkStart w:id="197" w:name="_Toc184308052"/>
      <w:bookmarkEnd w:id="197"/>
      <w:bookmarkStart w:id="198" w:name="_Toc184313284"/>
      <w:bookmarkEnd w:id="198"/>
      <w:bookmarkStart w:id="199" w:name="_Toc184313275"/>
      <w:bookmarkEnd w:id="199"/>
      <w:bookmarkStart w:id="200" w:name="_Toc184312115"/>
      <w:bookmarkEnd w:id="200"/>
      <w:bookmarkStart w:id="201" w:name="_Toc184308045"/>
      <w:bookmarkEnd w:id="201"/>
      <w:bookmarkStart w:id="202" w:name="_Toc184310343"/>
      <w:bookmarkEnd w:id="202"/>
      <w:bookmarkStart w:id="203" w:name="_Toc184313292"/>
      <w:bookmarkEnd w:id="203"/>
      <w:bookmarkStart w:id="204" w:name="_Toc184310285"/>
      <w:bookmarkEnd w:id="204"/>
      <w:bookmarkStart w:id="205" w:name="_Toc184314420"/>
      <w:bookmarkEnd w:id="205"/>
      <w:bookmarkStart w:id="206" w:name="_Toc184308108"/>
      <w:bookmarkEnd w:id="206"/>
      <w:bookmarkStart w:id="207" w:name="_Toc184313282"/>
      <w:bookmarkEnd w:id="207"/>
      <w:bookmarkStart w:id="208" w:name="_Toc184312139"/>
      <w:bookmarkEnd w:id="208"/>
      <w:bookmarkStart w:id="209" w:name="_Toc184314415"/>
      <w:bookmarkEnd w:id="209"/>
      <w:bookmarkStart w:id="210" w:name="_Toc184308100"/>
      <w:bookmarkEnd w:id="210"/>
      <w:bookmarkStart w:id="211" w:name="_Toc184314445"/>
      <w:bookmarkEnd w:id="211"/>
      <w:bookmarkStart w:id="212" w:name="_Toc184310316"/>
      <w:bookmarkEnd w:id="212"/>
      <w:bookmarkStart w:id="213" w:name="_Toc184314478"/>
      <w:bookmarkEnd w:id="213"/>
      <w:bookmarkStart w:id="214" w:name="_Toc184313277"/>
      <w:bookmarkEnd w:id="214"/>
      <w:bookmarkStart w:id="215" w:name="_Toc184314473"/>
      <w:bookmarkEnd w:id="215"/>
      <w:bookmarkStart w:id="216" w:name="_Toc184314460"/>
      <w:bookmarkEnd w:id="216"/>
      <w:bookmarkStart w:id="217" w:name="_Toc184312081"/>
      <w:bookmarkEnd w:id="217"/>
      <w:bookmarkStart w:id="218" w:name="_Toc184313264"/>
      <w:bookmarkEnd w:id="218"/>
      <w:bookmarkStart w:id="219" w:name="_Toc184312073"/>
      <w:bookmarkEnd w:id="219"/>
      <w:bookmarkStart w:id="220" w:name="_Toc184310324"/>
      <w:bookmarkEnd w:id="220"/>
      <w:bookmarkStart w:id="221" w:name="_Toc184314414"/>
      <w:bookmarkEnd w:id="221"/>
      <w:bookmarkStart w:id="222" w:name="_Toc184310323"/>
      <w:bookmarkEnd w:id="222"/>
      <w:bookmarkStart w:id="223" w:name="_Toc184308044"/>
      <w:bookmarkEnd w:id="223"/>
      <w:bookmarkStart w:id="224" w:name="_Toc184310297"/>
      <w:bookmarkEnd w:id="224"/>
      <w:bookmarkStart w:id="225" w:name="_Toc184314482"/>
      <w:bookmarkEnd w:id="225"/>
      <w:bookmarkStart w:id="226" w:name="_Toc184310287"/>
      <w:bookmarkEnd w:id="226"/>
      <w:bookmarkStart w:id="227" w:name="_Toc184313244"/>
      <w:bookmarkEnd w:id="227"/>
      <w:bookmarkStart w:id="228" w:name="_Toc184313262"/>
      <w:bookmarkEnd w:id="228"/>
      <w:bookmarkStart w:id="229" w:name="_Toc184313265"/>
      <w:bookmarkEnd w:id="229"/>
      <w:bookmarkStart w:id="230" w:name="_Toc184313256"/>
      <w:bookmarkEnd w:id="230"/>
      <w:bookmarkStart w:id="231" w:name="_Toc184314428"/>
      <w:bookmarkEnd w:id="231"/>
      <w:bookmarkStart w:id="232" w:name="_Toc184314472"/>
      <w:bookmarkEnd w:id="232"/>
      <w:bookmarkStart w:id="233" w:name="_Toc184314432"/>
      <w:bookmarkEnd w:id="233"/>
      <w:bookmarkStart w:id="234" w:name="_Toc184308079"/>
      <w:bookmarkEnd w:id="234"/>
      <w:bookmarkStart w:id="235" w:name="_Toc184310312"/>
      <w:bookmarkEnd w:id="235"/>
      <w:bookmarkStart w:id="236" w:name="_Toc184312078"/>
      <w:bookmarkEnd w:id="236"/>
      <w:bookmarkStart w:id="237" w:name="_Toc184314411"/>
      <w:bookmarkEnd w:id="237"/>
      <w:bookmarkStart w:id="238" w:name="_Toc184313238"/>
      <w:bookmarkEnd w:id="238"/>
      <w:bookmarkStart w:id="239" w:name="_Toc184312102"/>
      <w:bookmarkEnd w:id="239"/>
      <w:bookmarkStart w:id="240" w:name="_Toc184310296"/>
      <w:bookmarkEnd w:id="240"/>
      <w:bookmarkStart w:id="241" w:name="_Toc184310284"/>
      <w:bookmarkEnd w:id="241"/>
      <w:bookmarkStart w:id="242" w:name="_Toc184308066"/>
      <w:bookmarkEnd w:id="242"/>
      <w:bookmarkStart w:id="243" w:name="_Toc184314449"/>
      <w:bookmarkEnd w:id="243"/>
      <w:bookmarkStart w:id="244" w:name="_Toc184310318"/>
      <w:bookmarkEnd w:id="244"/>
      <w:bookmarkStart w:id="245" w:name="_Toc184312138"/>
      <w:bookmarkEnd w:id="245"/>
      <w:bookmarkStart w:id="246" w:name="_Toc184310328"/>
      <w:bookmarkEnd w:id="246"/>
      <w:bookmarkStart w:id="247" w:name="_Toc184312067"/>
      <w:bookmarkEnd w:id="247"/>
      <w:bookmarkStart w:id="248" w:name="_Toc184310289"/>
      <w:bookmarkEnd w:id="248"/>
      <w:bookmarkStart w:id="249" w:name="_Toc184308086"/>
      <w:bookmarkEnd w:id="249"/>
      <w:bookmarkStart w:id="250" w:name="_Toc184312074"/>
      <w:bookmarkEnd w:id="250"/>
      <w:bookmarkStart w:id="251" w:name="_Toc184308096"/>
      <w:bookmarkEnd w:id="251"/>
      <w:bookmarkStart w:id="252" w:name="_Toc184312075"/>
      <w:bookmarkEnd w:id="252"/>
      <w:bookmarkStart w:id="253" w:name="_Toc184312093"/>
      <w:bookmarkEnd w:id="253"/>
      <w:bookmarkStart w:id="254" w:name="_Toc184310283"/>
      <w:bookmarkEnd w:id="254"/>
      <w:bookmarkStart w:id="255" w:name="_Toc184314462"/>
      <w:bookmarkEnd w:id="255"/>
      <w:bookmarkStart w:id="256" w:name="_Toc184310272"/>
      <w:bookmarkEnd w:id="256"/>
      <w:bookmarkStart w:id="257" w:name="_Toc184310299"/>
      <w:bookmarkEnd w:id="257"/>
      <w:bookmarkStart w:id="258" w:name="_Toc184312079"/>
      <w:bookmarkEnd w:id="258"/>
      <w:bookmarkStart w:id="259" w:name="_Toc184314444"/>
      <w:bookmarkEnd w:id="259"/>
      <w:bookmarkStart w:id="260" w:name="_Toc184312085"/>
      <w:bookmarkEnd w:id="260"/>
      <w:bookmarkStart w:id="261" w:name="_Toc184310319"/>
      <w:bookmarkEnd w:id="261"/>
      <w:bookmarkStart w:id="262" w:name="_Toc184313295"/>
      <w:bookmarkEnd w:id="262"/>
      <w:bookmarkStart w:id="263" w:name="_Toc184314421"/>
      <w:bookmarkEnd w:id="263"/>
      <w:bookmarkStart w:id="264" w:name="_Toc184313306"/>
      <w:bookmarkEnd w:id="264"/>
      <w:bookmarkStart w:id="265" w:name="_Toc184314450"/>
      <w:bookmarkEnd w:id="265"/>
      <w:bookmarkStart w:id="266" w:name="_Toc184308041"/>
      <w:bookmarkEnd w:id="266"/>
      <w:bookmarkStart w:id="267" w:name="_Toc184313274"/>
      <w:bookmarkEnd w:id="267"/>
      <w:bookmarkStart w:id="268" w:name="_Toc184312104"/>
      <w:bookmarkEnd w:id="268"/>
      <w:bookmarkStart w:id="269" w:name="_Toc184312099"/>
      <w:bookmarkEnd w:id="269"/>
      <w:bookmarkStart w:id="270" w:name="_Toc184308039"/>
      <w:bookmarkEnd w:id="270"/>
      <w:bookmarkStart w:id="271" w:name="_Toc184314477"/>
      <w:bookmarkEnd w:id="271"/>
      <w:bookmarkStart w:id="272" w:name="_Toc184314474"/>
      <w:bookmarkEnd w:id="272"/>
      <w:bookmarkStart w:id="273" w:name="_Toc184312108"/>
      <w:bookmarkEnd w:id="273"/>
      <w:bookmarkStart w:id="274" w:name="_Toc184312137"/>
      <w:bookmarkEnd w:id="274"/>
      <w:bookmarkStart w:id="275" w:name="_Toc184308057"/>
      <w:bookmarkEnd w:id="275"/>
      <w:bookmarkStart w:id="276" w:name="_Toc184313243"/>
      <w:bookmarkEnd w:id="276"/>
      <w:bookmarkStart w:id="277" w:name="_Toc184313259"/>
      <w:bookmarkEnd w:id="277"/>
      <w:bookmarkStart w:id="278" w:name="_Toc184308105"/>
      <w:bookmarkEnd w:id="278"/>
      <w:bookmarkStart w:id="279" w:name="_Toc184314412"/>
      <w:bookmarkEnd w:id="279"/>
      <w:bookmarkStart w:id="280" w:name="_Toc184310303"/>
      <w:bookmarkEnd w:id="280"/>
      <w:bookmarkStart w:id="281" w:name="_Toc184310277"/>
      <w:bookmarkEnd w:id="281"/>
      <w:bookmarkStart w:id="282" w:name="_Toc184308046"/>
      <w:bookmarkEnd w:id="282"/>
      <w:bookmarkStart w:id="283" w:name="_Toc184314418"/>
      <w:bookmarkEnd w:id="283"/>
      <w:bookmarkStart w:id="284" w:name="_Toc184310301"/>
      <w:bookmarkEnd w:id="284"/>
      <w:bookmarkStart w:id="285" w:name="_Toc184314479"/>
      <w:bookmarkEnd w:id="285"/>
      <w:bookmarkStart w:id="286" w:name="_Toc184314447"/>
      <w:bookmarkEnd w:id="286"/>
      <w:bookmarkStart w:id="287" w:name="_Toc184314434"/>
      <w:bookmarkEnd w:id="287"/>
      <w:bookmarkStart w:id="288" w:name="_Toc184313273"/>
      <w:bookmarkEnd w:id="288"/>
      <w:bookmarkStart w:id="289" w:name="_Toc184310273"/>
      <w:bookmarkEnd w:id="289"/>
      <w:bookmarkStart w:id="290" w:name="_Toc184310276"/>
      <w:bookmarkEnd w:id="290"/>
      <w:bookmarkStart w:id="291" w:name="_Toc184310326"/>
      <w:bookmarkEnd w:id="291"/>
      <w:bookmarkStart w:id="292" w:name="_Toc184314440"/>
      <w:bookmarkEnd w:id="292"/>
      <w:bookmarkStart w:id="293" w:name="_Toc184313270"/>
      <w:bookmarkEnd w:id="293"/>
      <w:bookmarkStart w:id="294" w:name="_Toc184313299"/>
      <w:bookmarkEnd w:id="294"/>
      <w:bookmarkStart w:id="295" w:name="_Toc184313272"/>
      <w:bookmarkEnd w:id="295"/>
      <w:bookmarkStart w:id="296" w:name="_Toc184308088"/>
      <w:bookmarkEnd w:id="296"/>
      <w:bookmarkStart w:id="297" w:name="_Toc184312092"/>
      <w:bookmarkEnd w:id="297"/>
      <w:bookmarkStart w:id="298" w:name="_Toc184308062"/>
      <w:bookmarkEnd w:id="298"/>
      <w:bookmarkStart w:id="299" w:name="_Toc184308048"/>
      <w:bookmarkEnd w:id="299"/>
      <w:bookmarkStart w:id="300" w:name="_Toc184308103"/>
      <w:bookmarkEnd w:id="300"/>
      <w:bookmarkStart w:id="301" w:name="_Toc184312086"/>
      <w:bookmarkEnd w:id="301"/>
      <w:bookmarkStart w:id="302" w:name="_Toc184312082"/>
      <w:bookmarkEnd w:id="302"/>
      <w:bookmarkStart w:id="303" w:name="_Toc184310337"/>
      <w:bookmarkEnd w:id="303"/>
      <w:bookmarkStart w:id="304" w:name="_Toc184314470"/>
      <w:bookmarkEnd w:id="304"/>
      <w:bookmarkStart w:id="305" w:name="_Toc184310311"/>
      <w:bookmarkEnd w:id="305"/>
      <w:bookmarkStart w:id="306" w:name="_Toc184312116"/>
      <w:bookmarkEnd w:id="306"/>
      <w:bookmarkStart w:id="307" w:name="_Toc184308083"/>
      <w:bookmarkEnd w:id="307"/>
      <w:bookmarkStart w:id="308" w:name="_Toc184314475"/>
      <w:bookmarkEnd w:id="308"/>
      <w:bookmarkStart w:id="309" w:name="_Toc184308038"/>
      <w:bookmarkEnd w:id="309"/>
      <w:bookmarkStart w:id="310" w:name="_Toc184308042"/>
      <w:bookmarkEnd w:id="310"/>
      <w:bookmarkStart w:id="311" w:name="_Toc184310291"/>
      <w:bookmarkEnd w:id="311"/>
      <w:bookmarkStart w:id="312" w:name="_Toc184308049"/>
      <w:bookmarkEnd w:id="312"/>
      <w:bookmarkStart w:id="313" w:name="_Toc184310344"/>
      <w:bookmarkEnd w:id="313"/>
      <w:bookmarkStart w:id="314" w:name="_Toc184312111"/>
      <w:bookmarkEnd w:id="314"/>
      <w:bookmarkStart w:id="315" w:name="_Toc184310339"/>
      <w:bookmarkEnd w:id="315"/>
      <w:bookmarkStart w:id="316" w:name="_Toc184314457"/>
      <w:bookmarkEnd w:id="316"/>
      <w:bookmarkStart w:id="317" w:name="_Toc184313261"/>
      <w:bookmarkEnd w:id="317"/>
      <w:bookmarkStart w:id="318" w:name="_Toc184312071"/>
      <w:bookmarkEnd w:id="318"/>
      <w:bookmarkStart w:id="319" w:name="_Toc184313245"/>
      <w:bookmarkEnd w:id="319"/>
      <w:bookmarkStart w:id="320" w:name="_Toc184312077"/>
      <w:bookmarkEnd w:id="320"/>
      <w:bookmarkStart w:id="321" w:name="_Toc184313310"/>
      <w:bookmarkEnd w:id="321"/>
      <w:bookmarkStart w:id="322" w:name="_Toc184308094"/>
      <w:bookmarkEnd w:id="322"/>
      <w:bookmarkStart w:id="323" w:name="_Toc184308085"/>
      <w:bookmarkEnd w:id="323"/>
      <w:bookmarkStart w:id="324" w:name="_Toc184308043"/>
      <w:bookmarkEnd w:id="324"/>
      <w:bookmarkStart w:id="325" w:name="_Toc184310279"/>
      <w:bookmarkEnd w:id="325"/>
      <w:bookmarkStart w:id="326" w:name="_Toc184310304"/>
      <w:bookmarkEnd w:id="326"/>
      <w:bookmarkStart w:id="327" w:name="_Toc184308061"/>
      <w:bookmarkEnd w:id="327"/>
      <w:bookmarkStart w:id="328" w:name="_Toc184312113"/>
      <w:bookmarkEnd w:id="328"/>
      <w:bookmarkStart w:id="329" w:name="_Toc184313294"/>
      <w:bookmarkEnd w:id="329"/>
      <w:bookmarkStart w:id="330" w:name="_Toc184310317"/>
      <w:bookmarkEnd w:id="330"/>
      <w:bookmarkStart w:id="331" w:name="_Toc184312129"/>
      <w:bookmarkEnd w:id="331"/>
      <w:bookmarkStart w:id="332" w:name="_Toc184308081"/>
      <w:bookmarkEnd w:id="332"/>
      <w:bookmarkStart w:id="333" w:name="_Toc184314431"/>
      <w:bookmarkEnd w:id="333"/>
      <w:bookmarkStart w:id="334" w:name="_Toc184312106"/>
      <w:bookmarkEnd w:id="334"/>
      <w:bookmarkStart w:id="335" w:name="_Toc184308040"/>
      <w:bookmarkEnd w:id="335"/>
      <w:bookmarkStart w:id="336" w:name="_Toc184314433"/>
      <w:bookmarkEnd w:id="336"/>
      <w:bookmarkStart w:id="337" w:name="_Toc184308084"/>
      <w:bookmarkEnd w:id="337"/>
      <w:bookmarkStart w:id="338" w:name="_Toc184312117"/>
      <w:bookmarkEnd w:id="338"/>
      <w:bookmarkStart w:id="339" w:name="_Toc184308106"/>
      <w:bookmarkEnd w:id="339"/>
      <w:bookmarkStart w:id="340" w:name="_Toc184312127"/>
      <w:bookmarkEnd w:id="340"/>
      <w:bookmarkStart w:id="341" w:name="_Toc184312095"/>
      <w:bookmarkEnd w:id="341"/>
      <w:bookmarkStart w:id="342" w:name="_Toc184314423"/>
      <w:bookmarkEnd w:id="342"/>
      <w:bookmarkStart w:id="343" w:name="_Toc184314480"/>
      <w:bookmarkEnd w:id="343"/>
      <w:bookmarkStart w:id="344" w:name="_Toc184312132"/>
      <w:bookmarkEnd w:id="344"/>
      <w:bookmarkStart w:id="345" w:name="_Toc184314442"/>
      <w:bookmarkEnd w:id="345"/>
      <w:bookmarkStart w:id="346" w:name="_Toc184308071"/>
      <w:bookmarkEnd w:id="346"/>
      <w:bookmarkStart w:id="347" w:name="_Toc184312087"/>
      <w:bookmarkEnd w:id="347"/>
      <w:bookmarkStart w:id="348" w:name="_Toc184314453"/>
      <w:bookmarkEnd w:id="348"/>
      <w:bookmarkStart w:id="349" w:name="_Toc184313304"/>
      <w:bookmarkEnd w:id="349"/>
      <w:bookmarkStart w:id="350" w:name="_Toc184313257"/>
      <w:bookmarkEnd w:id="350"/>
      <w:bookmarkStart w:id="351" w:name="_Toc184313260"/>
      <w:bookmarkEnd w:id="351"/>
      <w:bookmarkStart w:id="352" w:name="_Toc184308055"/>
      <w:bookmarkEnd w:id="352"/>
      <w:bookmarkStart w:id="353" w:name="_Toc184313308"/>
      <w:bookmarkEnd w:id="353"/>
      <w:bookmarkStart w:id="354" w:name="_Toc184312130"/>
      <w:bookmarkEnd w:id="354"/>
      <w:bookmarkStart w:id="355" w:name="_Toc184313267"/>
      <w:bookmarkEnd w:id="355"/>
      <w:bookmarkStart w:id="356" w:name="_Toc184313239"/>
      <w:bookmarkEnd w:id="356"/>
      <w:bookmarkStart w:id="357" w:name="_Toc184312134"/>
      <w:bookmarkEnd w:id="357"/>
      <w:bookmarkStart w:id="358" w:name="_Toc184308065"/>
      <w:bookmarkEnd w:id="358"/>
      <w:bookmarkStart w:id="359" w:name="_Toc184313241"/>
      <w:bookmarkEnd w:id="359"/>
      <w:bookmarkStart w:id="360" w:name="_Toc184312109"/>
      <w:bookmarkEnd w:id="360"/>
      <w:bookmarkStart w:id="361" w:name="_Toc184308064"/>
      <w:bookmarkEnd w:id="361"/>
      <w:bookmarkStart w:id="362" w:name="_Toc184310290"/>
      <w:bookmarkEnd w:id="362"/>
      <w:bookmarkStart w:id="363" w:name="_Toc184312089"/>
      <w:bookmarkEnd w:id="363"/>
      <w:bookmarkStart w:id="364" w:name="_Toc184308091"/>
      <w:bookmarkEnd w:id="364"/>
      <w:bookmarkStart w:id="365" w:name="_Toc184308067"/>
      <w:bookmarkEnd w:id="365"/>
      <w:bookmarkStart w:id="366" w:name="_Toc184310342"/>
      <w:bookmarkEnd w:id="366"/>
      <w:bookmarkStart w:id="367" w:name="_Toc184314461"/>
      <w:bookmarkEnd w:id="367"/>
      <w:bookmarkStart w:id="368" w:name="_Toc184312120"/>
      <w:bookmarkEnd w:id="368"/>
      <w:bookmarkStart w:id="369" w:name="_Toc184314463"/>
      <w:bookmarkEnd w:id="369"/>
      <w:bookmarkStart w:id="370" w:name="_Toc184312121"/>
      <w:bookmarkEnd w:id="370"/>
      <w:bookmarkStart w:id="371" w:name="_Toc184314416"/>
      <w:bookmarkEnd w:id="371"/>
      <w:bookmarkStart w:id="372" w:name="_Toc184314419"/>
      <w:bookmarkEnd w:id="372"/>
      <w:bookmarkStart w:id="373" w:name="_Toc184313301"/>
      <w:bookmarkEnd w:id="373"/>
      <w:bookmarkStart w:id="374" w:name="_Toc184314465"/>
      <w:bookmarkEnd w:id="374"/>
      <w:bookmarkStart w:id="375" w:name="_Toc184310331"/>
      <w:bookmarkEnd w:id="375"/>
      <w:bookmarkStart w:id="376" w:name="_Toc184314417"/>
      <w:bookmarkEnd w:id="376"/>
      <w:bookmarkStart w:id="377" w:name="_Toc184314425"/>
      <w:bookmarkEnd w:id="377"/>
      <w:bookmarkStart w:id="378" w:name="_Toc184312100"/>
      <w:bookmarkEnd w:id="378"/>
      <w:bookmarkStart w:id="379" w:name="_Toc184312068"/>
      <w:bookmarkEnd w:id="379"/>
      <w:bookmarkStart w:id="380" w:name="_Toc184308059"/>
      <w:bookmarkEnd w:id="380"/>
      <w:bookmarkStart w:id="381" w:name="_Toc184314438"/>
      <w:bookmarkEnd w:id="381"/>
      <w:bookmarkStart w:id="382" w:name="_Toc184310314"/>
      <w:bookmarkEnd w:id="382"/>
      <w:bookmarkStart w:id="383" w:name="_Toc184314439"/>
      <w:bookmarkEnd w:id="383"/>
      <w:bookmarkStart w:id="384" w:name="_Toc184313300"/>
      <w:bookmarkEnd w:id="384"/>
      <w:bookmarkStart w:id="385" w:name="_Toc184312076"/>
      <w:bookmarkEnd w:id="385"/>
      <w:bookmarkStart w:id="386" w:name="_Toc184312084"/>
      <w:bookmarkEnd w:id="386"/>
      <w:bookmarkStart w:id="387" w:name="_Toc184310325"/>
      <w:bookmarkEnd w:id="387"/>
      <w:bookmarkStart w:id="388" w:name="_Toc184312123"/>
      <w:bookmarkEnd w:id="388"/>
      <w:bookmarkStart w:id="389" w:name="_Toc184314443"/>
      <w:bookmarkEnd w:id="389"/>
      <w:bookmarkStart w:id="390" w:name="_Toc184308089"/>
      <w:bookmarkEnd w:id="390"/>
      <w:bookmarkStart w:id="391" w:name="_Toc184313254"/>
      <w:bookmarkEnd w:id="391"/>
      <w:bookmarkStart w:id="392" w:name="_Toc184310278"/>
      <w:bookmarkEnd w:id="392"/>
      <w:bookmarkStart w:id="393" w:name="_Toc184308087"/>
      <w:bookmarkEnd w:id="393"/>
      <w:bookmarkStart w:id="394" w:name="_Toc184310286"/>
      <w:bookmarkEnd w:id="394"/>
      <w:bookmarkStart w:id="395" w:name="_Toc184308037"/>
      <w:bookmarkEnd w:id="395"/>
      <w:bookmarkStart w:id="396" w:name="_Toc184308075"/>
      <w:bookmarkEnd w:id="396"/>
      <w:bookmarkStart w:id="397" w:name="_Toc184312114"/>
      <w:bookmarkEnd w:id="397"/>
      <w:bookmarkStart w:id="398" w:name="_Toc184313246"/>
      <w:bookmarkEnd w:id="398"/>
      <w:bookmarkStart w:id="399" w:name="_Toc184314467"/>
      <w:bookmarkEnd w:id="399"/>
      <w:bookmarkStart w:id="400" w:name="_Toc184308090"/>
      <w:bookmarkEnd w:id="400"/>
      <w:bookmarkStart w:id="401" w:name="_Toc184312112"/>
      <w:bookmarkEnd w:id="401"/>
      <w:bookmarkStart w:id="402" w:name="_Toc184310333"/>
      <w:bookmarkEnd w:id="402"/>
      <w:bookmarkStart w:id="403" w:name="_Toc184310335"/>
      <w:bookmarkEnd w:id="403"/>
      <w:bookmarkStart w:id="404" w:name="_Toc184310275"/>
      <w:bookmarkEnd w:id="404"/>
      <w:bookmarkStart w:id="405" w:name="_Toc184312097"/>
      <w:bookmarkEnd w:id="405"/>
      <w:bookmarkStart w:id="406" w:name="_Toc184314468"/>
      <w:bookmarkEnd w:id="406"/>
      <w:bookmarkStart w:id="407" w:name="_Toc184314459"/>
      <w:bookmarkEnd w:id="407"/>
      <w:bookmarkStart w:id="408" w:name="_Toc184314458"/>
      <w:bookmarkEnd w:id="408"/>
      <w:bookmarkStart w:id="409" w:name="_Toc184313266"/>
      <w:bookmarkEnd w:id="409"/>
      <w:bookmarkStart w:id="410" w:name="_Toc184310341"/>
      <w:bookmarkEnd w:id="410"/>
      <w:r>
        <w:rPr>
          <w:rFonts w:hint="eastAsia" w:ascii="仿宋" w:hAnsi="仿宋" w:eastAsia="仿宋" w:cs="仿宋"/>
          <w:b/>
          <w:sz w:val="36"/>
          <w:szCs w:val="36"/>
        </w:rPr>
        <w:t>评标办法</w:t>
      </w:r>
    </w:p>
    <w:p>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评标办法前附表</w:t>
      </w:r>
    </w:p>
    <w:tbl>
      <w:tblPr>
        <w:tblStyle w:val="62"/>
        <w:tblpPr w:leftFromText="180" w:rightFromText="180" w:vertAnchor="text" w:horzAnchor="page" w:tblpXSpec="center" w:tblpY="126"/>
        <w:tblW w:w="54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
        <w:gridCol w:w="5537"/>
        <w:gridCol w:w="690"/>
        <w:gridCol w:w="2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452" w:type="pct"/>
            <w:vAlign w:val="center"/>
          </w:tcPr>
          <w:p>
            <w:pPr>
              <w:spacing w:line="360" w:lineRule="auto"/>
              <w:jc w:val="center"/>
              <w:outlineLvl w:val="0"/>
              <w:rPr>
                <w:rFonts w:ascii="仿宋" w:hAnsi="仿宋" w:eastAsia="仿宋" w:cs="仿宋_GB2312"/>
                <w:bCs/>
                <w:sz w:val="24"/>
                <w:highlight w:val="none"/>
              </w:rPr>
            </w:pPr>
            <w:r>
              <w:rPr>
                <w:rFonts w:hint="eastAsia" w:ascii="仿宋" w:hAnsi="仿宋" w:eastAsia="仿宋" w:cs="仿宋_GB2312"/>
                <w:bCs/>
                <w:sz w:val="24"/>
                <w:highlight w:val="none"/>
              </w:rPr>
              <w:t>序号</w:t>
            </w:r>
          </w:p>
        </w:tc>
        <w:tc>
          <w:tcPr>
            <w:tcW w:w="2970" w:type="pct"/>
            <w:vAlign w:val="center"/>
          </w:tcPr>
          <w:p>
            <w:pPr>
              <w:spacing w:line="360" w:lineRule="auto"/>
              <w:ind w:firstLine="1560" w:firstLineChars="650"/>
              <w:outlineLvl w:val="0"/>
              <w:rPr>
                <w:rFonts w:ascii="仿宋" w:hAnsi="仿宋" w:eastAsia="仿宋" w:cs="仿宋_GB2312"/>
                <w:bCs/>
                <w:sz w:val="24"/>
                <w:highlight w:val="none"/>
              </w:rPr>
            </w:pPr>
            <w:r>
              <w:rPr>
                <w:rFonts w:hint="eastAsia" w:ascii="仿宋" w:hAnsi="仿宋" w:eastAsia="仿宋" w:cs="仿宋_GB2312"/>
                <w:bCs/>
                <w:sz w:val="24"/>
                <w:highlight w:val="none"/>
              </w:rPr>
              <w:t>评标标准</w:t>
            </w:r>
          </w:p>
        </w:tc>
        <w:tc>
          <w:tcPr>
            <w:tcW w:w="370" w:type="pct"/>
            <w:vAlign w:val="center"/>
          </w:tcPr>
          <w:p>
            <w:pPr>
              <w:spacing w:line="360" w:lineRule="auto"/>
              <w:outlineLvl w:val="0"/>
              <w:rPr>
                <w:rFonts w:ascii="仿宋" w:hAnsi="仿宋" w:eastAsia="仿宋" w:cs="仿宋_GB2312"/>
                <w:bCs/>
                <w:sz w:val="24"/>
                <w:highlight w:val="none"/>
              </w:rPr>
            </w:pPr>
            <w:r>
              <w:rPr>
                <w:rFonts w:hint="eastAsia" w:ascii="仿宋" w:hAnsi="仿宋" w:eastAsia="仿宋" w:cs="仿宋_GB2312"/>
                <w:bCs/>
                <w:sz w:val="24"/>
                <w:highlight w:val="none"/>
              </w:rPr>
              <w:t>权重</w:t>
            </w:r>
          </w:p>
        </w:tc>
        <w:tc>
          <w:tcPr>
            <w:tcW w:w="1206" w:type="pct"/>
          </w:tcPr>
          <w:p>
            <w:pPr>
              <w:spacing w:line="360" w:lineRule="auto"/>
              <w:outlineLvl w:val="0"/>
              <w:rPr>
                <w:rFonts w:ascii="仿宋" w:hAnsi="仿宋" w:eastAsia="仿宋" w:cs="仿宋_GB2312"/>
                <w:bCs/>
                <w:sz w:val="24"/>
                <w:highlight w:val="none"/>
              </w:rPr>
            </w:pPr>
            <w:r>
              <w:rPr>
                <w:rFonts w:hint="eastAsia" w:ascii="仿宋" w:hAnsi="仿宋" w:eastAsia="仿宋" w:cs="仿宋_GB2312"/>
                <w:bCs/>
                <w:sz w:val="24"/>
                <w:highlight w:val="none"/>
              </w:rPr>
              <w:t>投标文件中评标标准相应的商务技术资料目录</w:t>
            </w:r>
            <w:r>
              <w:rPr>
                <w:rFonts w:ascii="宋体" w:hAnsi="宋体" w:cs="宋体"/>
                <w:sz w:val="24"/>
                <w:highlight w:val="none"/>
                <w:shd w:val="clear" w:color="auto" w:fill="FFFFFF"/>
              </w:rPr>
              <w:t> </w:t>
            </w:r>
            <w:r>
              <w:rPr>
                <w:rFonts w:ascii="仿宋" w:hAnsi="仿宋" w:eastAsia="仿宋" w:cs="Arial"/>
                <w:sz w:val="24"/>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452" w:type="pct"/>
            <w:vAlign w:val="center"/>
          </w:tcPr>
          <w:p>
            <w:pPr>
              <w:spacing w:line="360" w:lineRule="auto"/>
              <w:jc w:val="center"/>
              <w:outlineLvl w:val="0"/>
              <w:rPr>
                <w:rFonts w:hint="eastAsia" w:ascii="仿宋" w:hAnsi="仿宋" w:eastAsia="仿宋" w:cs="仿宋"/>
                <w:sz w:val="24"/>
                <w:highlight w:val="none"/>
              </w:rPr>
            </w:pPr>
            <w:r>
              <w:rPr>
                <w:rFonts w:hint="eastAsia" w:ascii="仿宋" w:hAnsi="仿宋" w:eastAsia="仿宋" w:cs="仿宋"/>
                <w:sz w:val="24"/>
                <w:highlight w:val="none"/>
              </w:rPr>
              <w:t>1</w:t>
            </w:r>
          </w:p>
        </w:tc>
        <w:tc>
          <w:tcPr>
            <w:tcW w:w="2970" w:type="pct"/>
            <w:vAlign w:val="center"/>
          </w:tcPr>
          <w:p>
            <w:pPr>
              <w:spacing w:line="360" w:lineRule="auto"/>
              <w:outlineLvl w:val="0"/>
              <w:rPr>
                <w:rFonts w:ascii="仿宋" w:hAnsi="仿宋" w:eastAsia="仿宋" w:cs="仿宋_GB2312"/>
                <w:sz w:val="24"/>
                <w:highlight w:val="none"/>
              </w:rPr>
            </w:pPr>
            <w:r>
              <w:rPr>
                <w:rFonts w:hint="eastAsia" w:ascii="仿宋" w:hAnsi="仿宋" w:eastAsia="仿宋" w:cs="仿宋_GB2312"/>
                <w:sz w:val="24"/>
                <w:highlight w:val="none"/>
                <w:lang w:eastAsia="zh-Hans"/>
              </w:rPr>
              <w:t>项目情况分析</w:t>
            </w:r>
            <w:r>
              <w:rPr>
                <w:rFonts w:hint="eastAsia" w:ascii="仿宋" w:hAnsi="仿宋" w:eastAsia="仿宋" w:cs="仿宋_GB2312"/>
                <w:sz w:val="24"/>
                <w:highlight w:val="none"/>
              </w:rPr>
              <w:t>:提供投标人对该项目整总体架构、现状、需求分析的整体理解，分析完整、准确到位，统筹考虑了总体目标实现的得3分，有缺项或不完善的得1分，与实际情况不符的不得分。</w:t>
            </w:r>
          </w:p>
        </w:tc>
        <w:tc>
          <w:tcPr>
            <w:tcW w:w="370" w:type="pct"/>
            <w:vAlign w:val="center"/>
          </w:tcPr>
          <w:p>
            <w:pPr>
              <w:jc w:val="center"/>
              <w:rPr>
                <w:rFonts w:hint="eastAsia" w:ascii="仿宋" w:hAnsi="仿宋" w:eastAsia="仿宋" w:cs="仿宋"/>
                <w:sz w:val="24"/>
                <w:szCs w:val="24"/>
                <w:highlight w:val="none"/>
              </w:rPr>
            </w:pPr>
          </w:p>
          <w:p>
            <w:pPr>
              <w:spacing w:line="360" w:lineRule="auto"/>
              <w:jc w:val="center"/>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1206" w:type="pct"/>
            <w:vAlign w:val="center"/>
          </w:tcPr>
          <w:p>
            <w:pPr>
              <w:spacing w:line="360" w:lineRule="auto"/>
              <w:jc w:val="center"/>
              <w:outlineLvl w:val="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（一）</w:t>
            </w:r>
            <w:r>
              <w:rPr>
                <w:rFonts w:hint="eastAsia" w:ascii="仿宋" w:hAnsi="仿宋" w:eastAsia="仿宋" w:cs="仿宋"/>
                <w:sz w:val="24"/>
                <w:szCs w:val="24"/>
                <w:highlight w:val="none"/>
                <w:lang w:val="en-US" w:eastAsia="zh-CN"/>
              </w:rPr>
              <w:t>项目情况分析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452" w:type="pct"/>
            <w:vAlign w:val="center"/>
          </w:tcPr>
          <w:p>
            <w:pPr>
              <w:spacing w:line="360" w:lineRule="auto"/>
              <w:jc w:val="center"/>
              <w:outlineLvl w:val="0"/>
              <w:rPr>
                <w:rFonts w:hint="eastAsia" w:ascii="仿宋" w:hAnsi="仿宋" w:eastAsia="仿宋" w:cs="仿宋"/>
                <w:sz w:val="24"/>
                <w:highlight w:val="none"/>
              </w:rPr>
            </w:pPr>
            <w:r>
              <w:rPr>
                <w:rFonts w:hint="eastAsia" w:ascii="仿宋" w:hAnsi="仿宋" w:eastAsia="仿宋" w:cs="仿宋"/>
                <w:sz w:val="24"/>
                <w:highlight w:val="none"/>
              </w:rPr>
              <w:t>2</w:t>
            </w:r>
          </w:p>
        </w:tc>
        <w:tc>
          <w:tcPr>
            <w:tcW w:w="2970" w:type="pct"/>
            <w:vAlign w:val="center"/>
          </w:tcPr>
          <w:p>
            <w:pPr>
              <w:spacing w:line="360" w:lineRule="auto"/>
              <w:outlineLvl w:val="0"/>
              <w:rPr>
                <w:rFonts w:ascii="仿宋" w:hAnsi="仿宋" w:eastAsia="仿宋" w:cs="仿宋_GB2312"/>
                <w:sz w:val="24"/>
                <w:highlight w:val="none"/>
              </w:rPr>
            </w:pPr>
            <w:r>
              <w:rPr>
                <w:rFonts w:hint="eastAsia" w:ascii="仿宋" w:hAnsi="仿宋" w:eastAsia="仿宋" w:cs="仿宋_GB2312"/>
                <w:sz w:val="24"/>
                <w:highlight w:val="none"/>
                <w:lang w:val="en-US" w:eastAsia="zh-CN"/>
              </w:rPr>
              <w:t>投标人</w:t>
            </w:r>
            <w:r>
              <w:rPr>
                <w:rFonts w:hint="default" w:ascii="仿宋" w:hAnsi="仿宋" w:eastAsia="仿宋" w:cs="仿宋_GB2312"/>
                <w:sz w:val="24"/>
                <w:highlight w:val="none"/>
                <w:lang w:val="en-US" w:eastAsia="zh-CN"/>
              </w:rPr>
              <w:t>阐述本项目建设内容，包含：①门户网站主站；②政府信息公开门户；③移动版</w:t>
            </w:r>
            <w:r>
              <w:rPr>
                <w:rFonts w:hint="eastAsia" w:ascii="仿宋" w:hAnsi="仿宋" w:eastAsia="仿宋" w:cs="仿宋_GB2312"/>
                <w:sz w:val="24"/>
                <w:highlight w:val="none"/>
                <w:lang w:val="en-US" w:eastAsia="zh-CN"/>
              </w:rPr>
              <w:t>；④英文版；⑤无障碍改造；⑥适老化建设；⑦智能检索改造；⑧统一信息资源库推送；⑨历史数据整合；⑩辅助功能。</w:t>
            </w:r>
            <w:r>
              <w:rPr>
                <w:rFonts w:hint="default" w:ascii="仿宋" w:hAnsi="仿宋" w:eastAsia="仿宋" w:cs="仿宋_GB2312"/>
                <w:sz w:val="24"/>
                <w:highlight w:val="none"/>
                <w:lang w:val="en-US" w:eastAsia="zh-CN"/>
              </w:rPr>
              <w:t>内容详尽且</w:t>
            </w:r>
            <w:r>
              <w:rPr>
                <w:rFonts w:hint="eastAsia" w:ascii="仿宋" w:hAnsi="仿宋" w:eastAsia="仿宋" w:cs="仿宋_GB2312"/>
                <w:sz w:val="24"/>
                <w:highlight w:val="none"/>
                <w:lang w:val="en-US" w:eastAsia="zh-CN"/>
              </w:rPr>
              <w:t>完全</w:t>
            </w:r>
            <w:r>
              <w:rPr>
                <w:rFonts w:hint="default" w:ascii="仿宋" w:hAnsi="仿宋" w:eastAsia="仿宋" w:cs="仿宋_GB2312"/>
                <w:sz w:val="24"/>
                <w:highlight w:val="none"/>
                <w:lang w:val="en-US" w:eastAsia="zh-CN"/>
              </w:rPr>
              <w:t>满足采购需求的，每一项得</w:t>
            </w:r>
            <w:r>
              <w:rPr>
                <w:rFonts w:hint="eastAsia" w:ascii="仿宋" w:hAnsi="仿宋" w:eastAsia="仿宋" w:cs="仿宋_GB2312"/>
                <w:sz w:val="24"/>
                <w:highlight w:val="none"/>
                <w:lang w:val="en-US" w:eastAsia="zh-CN"/>
              </w:rPr>
              <w:t>2</w:t>
            </w:r>
            <w:r>
              <w:rPr>
                <w:rFonts w:hint="default" w:ascii="仿宋" w:hAnsi="仿宋" w:eastAsia="仿宋" w:cs="仿宋_GB2312"/>
                <w:sz w:val="24"/>
                <w:highlight w:val="none"/>
                <w:lang w:val="en-US" w:eastAsia="zh-CN"/>
              </w:rPr>
              <w:t>分</w:t>
            </w:r>
            <w:r>
              <w:rPr>
                <w:rFonts w:hint="eastAsia" w:ascii="仿宋" w:hAnsi="仿宋" w:eastAsia="仿宋" w:cs="仿宋_GB2312"/>
                <w:sz w:val="24"/>
                <w:highlight w:val="none"/>
                <w:lang w:val="en-US" w:eastAsia="zh-CN"/>
              </w:rPr>
              <w:t>；内容完整且基本满足采购需求的得1分；否则</w:t>
            </w:r>
            <w:r>
              <w:rPr>
                <w:rFonts w:hint="default" w:ascii="仿宋" w:hAnsi="仿宋" w:eastAsia="仿宋" w:cs="仿宋_GB2312"/>
                <w:sz w:val="24"/>
                <w:highlight w:val="none"/>
                <w:lang w:val="en-US" w:eastAsia="zh-CN"/>
              </w:rPr>
              <w:t>不得分，</w:t>
            </w:r>
            <w:r>
              <w:rPr>
                <w:rFonts w:hint="eastAsia" w:ascii="仿宋" w:hAnsi="仿宋" w:eastAsia="仿宋" w:cs="仿宋_GB2312"/>
                <w:sz w:val="24"/>
                <w:highlight w:val="none"/>
                <w:lang w:val="en-US" w:eastAsia="zh-CN"/>
              </w:rPr>
              <w:t>共20</w:t>
            </w:r>
            <w:r>
              <w:rPr>
                <w:rFonts w:hint="default" w:ascii="仿宋" w:hAnsi="仿宋" w:eastAsia="仿宋" w:cs="仿宋_GB2312"/>
                <w:sz w:val="24"/>
                <w:highlight w:val="none"/>
                <w:lang w:val="en-US" w:eastAsia="zh-CN"/>
              </w:rPr>
              <w:t>分</w:t>
            </w:r>
            <w:r>
              <w:rPr>
                <w:rFonts w:hint="eastAsia" w:ascii="仿宋" w:hAnsi="仿宋" w:eastAsia="仿宋" w:cs="仿宋_GB2312"/>
                <w:sz w:val="24"/>
                <w:highlight w:val="none"/>
                <w:lang w:val="en-US" w:eastAsia="zh-CN"/>
              </w:rPr>
              <w:t>。</w:t>
            </w:r>
          </w:p>
        </w:tc>
        <w:tc>
          <w:tcPr>
            <w:tcW w:w="370" w:type="pct"/>
            <w:vAlign w:val="center"/>
          </w:tcPr>
          <w:p>
            <w:pPr>
              <w:jc w:val="center"/>
              <w:rPr>
                <w:rFonts w:hint="eastAsia" w:ascii="仿宋" w:hAnsi="仿宋" w:eastAsia="仿宋" w:cs="仿宋"/>
                <w:sz w:val="24"/>
                <w:szCs w:val="24"/>
                <w:highlight w:val="none"/>
              </w:rPr>
            </w:pPr>
          </w:p>
          <w:p>
            <w:pPr>
              <w:spacing w:line="360" w:lineRule="auto"/>
              <w:jc w:val="center"/>
              <w:outlineLvl w:val="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20</w:t>
            </w:r>
          </w:p>
        </w:tc>
        <w:tc>
          <w:tcPr>
            <w:tcW w:w="1206" w:type="pct"/>
            <w:vAlign w:val="center"/>
          </w:tcPr>
          <w:p>
            <w:pPr>
              <w:spacing w:line="360" w:lineRule="auto"/>
              <w:jc w:val="center"/>
              <w:outlineLvl w:val="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（二）软件开发建设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52" w:type="pct"/>
            <w:vAlign w:val="center"/>
          </w:tcPr>
          <w:p>
            <w:pPr>
              <w:spacing w:line="360" w:lineRule="auto"/>
              <w:jc w:val="center"/>
              <w:outlineLvl w:val="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w:t>
            </w:r>
          </w:p>
        </w:tc>
        <w:tc>
          <w:tcPr>
            <w:tcW w:w="2970" w:type="pct"/>
            <w:vAlign w:val="center"/>
          </w:tcPr>
          <w:p>
            <w:pPr>
              <w:spacing w:line="360" w:lineRule="auto"/>
              <w:outlineLvl w:val="0"/>
              <w:rPr>
                <w:rFonts w:hint="default" w:ascii="仿宋" w:hAnsi="仿宋" w:eastAsia="仿宋" w:cs="仿宋_GB2312"/>
                <w:sz w:val="24"/>
                <w:highlight w:val="none"/>
                <w:lang w:val="en-US" w:eastAsia="zh-CN"/>
              </w:rPr>
            </w:pPr>
            <w:r>
              <w:rPr>
                <w:rFonts w:hint="eastAsia" w:ascii="仿宋" w:hAnsi="仿宋" w:eastAsia="仿宋" w:cs="仿宋_GB2312"/>
                <w:sz w:val="24"/>
                <w:szCs w:val="24"/>
                <w:highlight w:val="none"/>
                <w:lang w:eastAsia="zh-CN"/>
              </w:rPr>
              <w:t>项目实施方案</w:t>
            </w:r>
            <w:r>
              <w:rPr>
                <w:rFonts w:hint="eastAsia" w:ascii="仿宋" w:hAnsi="仿宋" w:eastAsia="仿宋" w:cs="仿宋_GB2312"/>
                <w:sz w:val="24"/>
                <w:szCs w:val="24"/>
                <w:highlight w:val="none"/>
                <w:lang w:val="en-US" w:eastAsia="zh-CN"/>
              </w:rPr>
              <w:t>:</w:t>
            </w:r>
            <w:r>
              <w:rPr>
                <w:rFonts w:hint="eastAsia" w:ascii="仿宋" w:hAnsi="仿宋" w:eastAsia="仿宋" w:cs="仿宋_GB2312"/>
                <w:sz w:val="24"/>
                <w:szCs w:val="24"/>
                <w:highlight w:val="none"/>
              </w:rPr>
              <w:t>投标人应根据</w:t>
            </w:r>
            <w:r>
              <w:rPr>
                <w:rFonts w:hint="eastAsia" w:ascii="仿宋" w:hAnsi="仿宋" w:eastAsia="仿宋" w:cs="仿宋_GB2312"/>
                <w:sz w:val="24"/>
                <w:szCs w:val="24"/>
                <w:highlight w:val="none"/>
                <w:lang w:val="en-US" w:eastAsia="zh-CN"/>
              </w:rPr>
              <w:t>采购需求</w:t>
            </w:r>
            <w:r>
              <w:rPr>
                <w:rFonts w:hint="eastAsia" w:ascii="仿宋" w:hAnsi="仿宋" w:eastAsia="仿宋" w:cs="仿宋_GB2312"/>
                <w:sz w:val="24"/>
                <w:szCs w:val="24"/>
                <w:highlight w:val="none"/>
              </w:rPr>
              <w:t>中工作内容提供一份完整的项目进度计划，以确定各阶段的主要工作内容、成果及其进度。进度安排完善、可行性强的得</w:t>
            </w:r>
            <w:r>
              <w:rPr>
                <w:rFonts w:hint="eastAsia" w:ascii="仿宋" w:hAnsi="仿宋" w:eastAsia="仿宋" w:cs="仿宋_GB2312"/>
                <w:sz w:val="24"/>
                <w:szCs w:val="24"/>
                <w:highlight w:val="none"/>
                <w:lang w:val="en-US" w:eastAsia="zh-CN"/>
              </w:rPr>
              <w:t>3</w:t>
            </w:r>
            <w:r>
              <w:rPr>
                <w:rFonts w:hint="eastAsia" w:ascii="仿宋" w:hAnsi="仿宋" w:eastAsia="仿宋" w:cs="仿宋_GB2312"/>
                <w:sz w:val="24"/>
                <w:szCs w:val="24"/>
                <w:highlight w:val="none"/>
              </w:rPr>
              <w:t>分，计划较完善、可行性较强的得</w:t>
            </w:r>
            <w:r>
              <w:rPr>
                <w:rFonts w:hint="eastAsia" w:ascii="仿宋" w:hAnsi="仿宋" w:eastAsia="仿宋" w:cs="仿宋_GB2312"/>
                <w:sz w:val="24"/>
                <w:szCs w:val="24"/>
                <w:highlight w:val="none"/>
                <w:lang w:val="en-US" w:eastAsia="zh-CN"/>
              </w:rPr>
              <w:t>2</w:t>
            </w:r>
            <w:r>
              <w:rPr>
                <w:rFonts w:hint="eastAsia" w:ascii="仿宋" w:hAnsi="仿宋" w:eastAsia="仿宋" w:cs="仿宋_GB2312"/>
                <w:sz w:val="24"/>
                <w:szCs w:val="24"/>
                <w:highlight w:val="none"/>
              </w:rPr>
              <w:t>分，进度安排一般的得1分</w:t>
            </w:r>
            <w:r>
              <w:rPr>
                <w:rFonts w:hint="eastAsia" w:ascii="仿宋" w:hAnsi="仿宋" w:eastAsia="仿宋" w:cs="仿宋_GB2312"/>
                <w:sz w:val="24"/>
                <w:szCs w:val="24"/>
                <w:highlight w:val="none"/>
                <w:lang w:eastAsia="zh-CN"/>
              </w:rPr>
              <w:t>，无计划或计划不合理的不得分</w:t>
            </w:r>
            <w:r>
              <w:rPr>
                <w:rFonts w:hint="eastAsia" w:ascii="仿宋" w:hAnsi="仿宋" w:eastAsia="仿宋" w:cs="仿宋_GB2312"/>
                <w:sz w:val="24"/>
                <w:szCs w:val="24"/>
                <w:highlight w:val="none"/>
              </w:rPr>
              <w:t>。</w:t>
            </w:r>
            <w:r>
              <w:rPr>
                <w:rFonts w:hint="eastAsia" w:ascii="仿宋" w:hAnsi="仿宋" w:eastAsia="仿宋" w:cs="仿宋_GB2312"/>
                <w:sz w:val="24"/>
                <w:szCs w:val="24"/>
                <w:highlight w:val="none"/>
                <w:lang w:eastAsia="zh-CN"/>
              </w:rPr>
              <w:t>共</w:t>
            </w:r>
            <w:r>
              <w:rPr>
                <w:rFonts w:hint="eastAsia" w:ascii="仿宋" w:hAnsi="仿宋" w:eastAsia="仿宋" w:cs="仿宋_GB2312"/>
                <w:sz w:val="24"/>
                <w:szCs w:val="24"/>
                <w:highlight w:val="none"/>
                <w:lang w:val="en-US" w:eastAsia="zh-CN"/>
              </w:rPr>
              <w:t>5分。</w:t>
            </w:r>
          </w:p>
        </w:tc>
        <w:tc>
          <w:tcPr>
            <w:tcW w:w="370" w:type="pct"/>
            <w:vAlign w:val="center"/>
          </w:tcPr>
          <w:p>
            <w:pPr>
              <w:spacing w:line="360" w:lineRule="auto"/>
              <w:jc w:val="center"/>
              <w:outlineLvl w:val="0"/>
              <w:rPr>
                <w:rFonts w:hint="eastAsia" w:ascii="仿宋" w:hAnsi="仿宋" w:eastAsia="仿宋" w:cs="仿宋"/>
                <w:sz w:val="24"/>
                <w:szCs w:val="24"/>
                <w:highlight w:val="none"/>
                <w:lang w:val="en-US" w:eastAsia="zh-CN"/>
              </w:rPr>
            </w:pPr>
            <w:r>
              <w:rPr>
                <w:rFonts w:hint="eastAsia" w:ascii="仿宋" w:hAnsi="仿宋" w:eastAsia="仿宋" w:cs="仿宋_GB2312"/>
                <w:sz w:val="24"/>
                <w:szCs w:val="24"/>
                <w:highlight w:val="none"/>
                <w:lang w:val="en-US" w:eastAsia="zh-CN"/>
              </w:rPr>
              <w:t>3</w:t>
            </w:r>
          </w:p>
        </w:tc>
        <w:tc>
          <w:tcPr>
            <w:tcW w:w="1206" w:type="pct"/>
            <w:vAlign w:val="center"/>
          </w:tcPr>
          <w:p>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（四）实施进度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452" w:type="pct"/>
            <w:vAlign w:val="center"/>
          </w:tcPr>
          <w:p>
            <w:pPr>
              <w:spacing w:line="360" w:lineRule="auto"/>
              <w:jc w:val="center"/>
              <w:outlineLvl w:val="0"/>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4</w:t>
            </w:r>
          </w:p>
        </w:tc>
        <w:tc>
          <w:tcPr>
            <w:tcW w:w="2970" w:type="pct"/>
            <w:vAlign w:val="center"/>
          </w:tcPr>
          <w:p>
            <w:pPr>
              <w:spacing w:line="360" w:lineRule="auto"/>
              <w:outlineLvl w:val="0"/>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val="zh-CN" w:eastAsia="zh-CN"/>
              </w:rPr>
              <w:t>投标人承诺提供不少于3人的驻场开发团队，需提供驻场人员的详细信息，满足的得</w:t>
            </w:r>
            <w:r>
              <w:rPr>
                <w:rFonts w:hint="eastAsia" w:ascii="仿宋" w:hAnsi="仿宋" w:eastAsia="仿宋" w:cs="仿宋_GB2312"/>
                <w:sz w:val="24"/>
                <w:highlight w:val="none"/>
                <w:lang w:val="en-US" w:eastAsia="zh-CN"/>
              </w:rPr>
              <w:t>2分，否则不得分。</w:t>
            </w:r>
          </w:p>
        </w:tc>
        <w:tc>
          <w:tcPr>
            <w:tcW w:w="370" w:type="pct"/>
            <w:vAlign w:val="center"/>
          </w:tcPr>
          <w:p>
            <w:pPr>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1206" w:type="pct"/>
            <w:vAlign w:val="center"/>
          </w:tcPr>
          <w:p>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zh-CN" w:eastAsia="zh-CN"/>
              </w:rPr>
              <w:t>（五）驻场开发团队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452" w:type="pct"/>
            <w:vAlign w:val="center"/>
          </w:tcPr>
          <w:p>
            <w:pPr>
              <w:spacing w:line="360" w:lineRule="auto"/>
              <w:jc w:val="center"/>
              <w:outlineLvl w:val="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w:t>
            </w:r>
          </w:p>
        </w:tc>
        <w:tc>
          <w:tcPr>
            <w:tcW w:w="2970" w:type="pct"/>
            <w:vAlign w:val="center"/>
          </w:tcPr>
          <w:p>
            <w:pPr>
              <w:spacing w:line="360" w:lineRule="auto"/>
              <w:outlineLvl w:val="0"/>
              <w:rPr>
                <w:rFonts w:hint="default" w:ascii="仿宋" w:hAnsi="仿宋" w:eastAsia="仿宋" w:cs="仿宋_GB2312"/>
                <w:sz w:val="24"/>
                <w:highlight w:val="none"/>
                <w:lang w:val="en-US" w:eastAsia="zh-CN"/>
              </w:rPr>
            </w:pPr>
            <w:r>
              <w:rPr>
                <w:rFonts w:hint="default" w:ascii="仿宋" w:hAnsi="仿宋" w:eastAsia="仿宋" w:cs="仿宋_GB2312"/>
                <w:sz w:val="24"/>
                <w:highlight w:val="none"/>
                <w:lang w:val="en-US" w:eastAsia="zh-CN"/>
              </w:rPr>
              <w:t>①本项目拟派项目负责人具备信息系统项目管理师证书的得2分；②项目组实施人员（不含项目负责人）具备中级工程师（信息化相关）的每人得1分，最高得2分，具备高级工程师（信息化相关）的，每人得2分，最高得4分。本项最高得6分。</w:t>
            </w:r>
            <w:r>
              <w:rPr>
                <w:rFonts w:hint="default" w:ascii="仿宋" w:hAnsi="仿宋" w:eastAsia="仿宋" w:cs="仿宋_GB2312"/>
                <w:sz w:val="24"/>
                <w:highlight w:val="none"/>
                <w:lang w:val="en-US" w:eastAsia="zh-CN"/>
              </w:rPr>
              <w:br w:type="textWrapping"/>
            </w:r>
            <w:r>
              <w:rPr>
                <w:rFonts w:hint="default" w:ascii="仿宋" w:hAnsi="仿宋" w:eastAsia="仿宋" w:cs="仿宋_GB2312"/>
                <w:sz w:val="24"/>
                <w:highlight w:val="none"/>
                <w:lang w:val="en-US" w:eastAsia="zh-CN"/>
              </w:rPr>
              <w:t>注：提供拟派人员清单（包括但不限于：姓名、身份证、项目职责）、社保证明及相关证书，佐证资料缺项或不满足要求的不得分。</w:t>
            </w:r>
          </w:p>
        </w:tc>
        <w:tc>
          <w:tcPr>
            <w:tcW w:w="370" w:type="pct"/>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p>
        </w:tc>
        <w:tc>
          <w:tcPr>
            <w:tcW w:w="1206" w:type="pct"/>
            <w:vAlign w:val="center"/>
          </w:tcPr>
          <w:p>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（六）项目组成员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452" w:type="pct"/>
            <w:vAlign w:val="center"/>
          </w:tcPr>
          <w:p>
            <w:pPr>
              <w:spacing w:line="360" w:lineRule="auto"/>
              <w:jc w:val="center"/>
              <w:outlineLvl w:val="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w:t>
            </w:r>
          </w:p>
        </w:tc>
        <w:tc>
          <w:tcPr>
            <w:tcW w:w="2970" w:type="pct"/>
            <w:vAlign w:val="center"/>
          </w:tcPr>
          <w:p>
            <w:pPr>
              <w:spacing w:line="360" w:lineRule="auto"/>
              <w:outlineLvl w:val="0"/>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val="zh-CN" w:eastAsia="zh-CN"/>
              </w:rPr>
              <w:t>测试及验收方案：投标人是否提出合理可行的功能测试及验收方案。满足得</w:t>
            </w:r>
            <w:r>
              <w:rPr>
                <w:rFonts w:hint="eastAsia" w:ascii="仿宋" w:hAnsi="仿宋" w:eastAsia="仿宋" w:cs="仿宋_GB2312"/>
                <w:sz w:val="24"/>
                <w:highlight w:val="none"/>
                <w:lang w:val="en-US" w:eastAsia="zh-CN"/>
              </w:rPr>
              <w:t>3</w:t>
            </w:r>
            <w:r>
              <w:rPr>
                <w:rFonts w:hint="eastAsia" w:ascii="仿宋" w:hAnsi="仿宋" w:eastAsia="仿宋" w:cs="仿宋_GB2312"/>
                <w:sz w:val="24"/>
                <w:highlight w:val="none"/>
                <w:lang w:val="zh-CN" w:eastAsia="zh-CN"/>
              </w:rPr>
              <w:t>分，部分满足得1分，不满足不得分，共</w:t>
            </w:r>
            <w:r>
              <w:rPr>
                <w:rFonts w:hint="eastAsia" w:ascii="仿宋" w:hAnsi="仿宋" w:eastAsia="仿宋" w:cs="仿宋_GB2312"/>
                <w:sz w:val="24"/>
                <w:highlight w:val="none"/>
                <w:lang w:val="en-US" w:eastAsia="zh-CN"/>
              </w:rPr>
              <w:t>3分。</w:t>
            </w:r>
          </w:p>
        </w:tc>
        <w:tc>
          <w:tcPr>
            <w:tcW w:w="370" w:type="pct"/>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1206" w:type="pct"/>
            <w:vAlign w:val="center"/>
          </w:tcPr>
          <w:p>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（七）</w:t>
            </w:r>
            <w:r>
              <w:rPr>
                <w:rFonts w:hint="eastAsia" w:ascii="仿宋" w:hAnsi="仿宋" w:eastAsia="仿宋" w:cs="仿宋"/>
                <w:sz w:val="24"/>
                <w:szCs w:val="24"/>
                <w:highlight w:val="none"/>
                <w:lang w:val="zh-CN" w:eastAsia="zh-CN"/>
              </w:rPr>
              <w:t>测试及验收方案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452" w:type="pct"/>
            <w:vAlign w:val="center"/>
          </w:tcPr>
          <w:p>
            <w:pPr>
              <w:spacing w:line="360" w:lineRule="auto"/>
              <w:jc w:val="center"/>
              <w:outlineLvl w:val="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7</w:t>
            </w:r>
          </w:p>
        </w:tc>
        <w:tc>
          <w:tcPr>
            <w:tcW w:w="2970" w:type="pct"/>
            <w:vAlign w:val="center"/>
          </w:tcPr>
          <w:p>
            <w:pPr>
              <w:spacing w:line="360" w:lineRule="auto"/>
              <w:outlineLvl w:val="0"/>
              <w:rPr>
                <w:rFonts w:hint="eastAsia" w:ascii="仿宋" w:hAnsi="仿宋" w:eastAsia="仿宋" w:cs="仿宋_GB2312"/>
                <w:sz w:val="24"/>
                <w:highlight w:val="none"/>
                <w:lang w:eastAsia="zh-Hans"/>
              </w:rPr>
            </w:pPr>
            <w:r>
              <w:rPr>
                <w:rFonts w:hint="eastAsia" w:ascii="仿宋" w:hAnsi="仿宋" w:eastAsia="仿宋" w:cs="仿宋_GB2312"/>
                <w:sz w:val="24"/>
                <w:highlight w:val="none"/>
                <w:lang w:eastAsia="zh-Hans"/>
              </w:rPr>
              <w:t>培训方案：培训计划包括培训内容、培训时间地点、培训对象，培训师资力量等；根据培训方案内容进行评分，每一项科学合理，利于实际操作的得0.5分。共2分。</w:t>
            </w:r>
          </w:p>
        </w:tc>
        <w:tc>
          <w:tcPr>
            <w:tcW w:w="370" w:type="pct"/>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1206" w:type="pct"/>
            <w:vAlign w:val="center"/>
          </w:tcPr>
          <w:p>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（八）</w:t>
            </w:r>
            <w:r>
              <w:rPr>
                <w:rFonts w:hint="eastAsia" w:ascii="仿宋" w:hAnsi="仿宋" w:eastAsia="仿宋" w:cs="仿宋"/>
                <w:sz w:val="24"/>
                <w:szCs w:val="24"/>
                <w:highlight w:val="none"/>
                <w:lang w:eastAsia="zh-Hans"/>
              </w:rPr>
              <w:t>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452" w:type="pct"/>
            <w:vAlign w:val="center"/>
          </w:tcPr>
          <w:p>
            <w:pPr>
              <w:spacing w:line="360" w:lineRule="auto"/>
              <w:jc w:val="center"/>
              <w:outlineLvl w:val="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8</w:t>
            </w:r>
          </w:p>
        </w:tc>
        <w:tc>
          <w:tcPr>
            <w:tcW w:w="2970" w:type="pct"/>
            <w:vAlign w:val="center"/>
          </w:tcPr>
          <w:p>
            <w:pPr>
              <w:spacing w:line="360" w:lineRule="auto"/>
              <w:outlineLvl w:val="0"/>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eastAsia="zh-CN"/>
              </w:rPr>
              <w:t>投标人承诺</w:t>
            </w:r>
            <w:r>
              <w:rPr>
                <w:rFonts w:hint="eastAsia" w:ascii="仿宋" w:hAnsi="仿宋" w:eastAsia="仿宋" w:cs="仿宋_GB2312"/>
                <w:sz w:val="24"/>
                <w:highlight w:val="none"/>
                <w:lang w:eastAsia="zh-Hans"/>
              </w:rPr>
              <w:t>提供三年</w:t>
            </w:r>
            <w:r>
              <w:rPr>
                <w:rFonts w:hint="eastAsia" w:ascii="仿宋" w:hAnsi="仿宋" w:eastAsia="仿宋" w:cs="仿宋_GB2312"/>
                <w:sz w:val="24"/>
                <w:highlight w:val="none"/>
                <w:lang w:eastAsia="zh-CN"/>
              </w:rPr>
              <w:t>不少于一</w:t>
            </w:r>
            <w:r>
              <w:rPr>
                <w:rFonts w:hint="eastAsia" w:ascii="仿宋" w:hAnsi="仿宋" w:eastAsia="仿宋" w:cs="仿宋_GB2312"/>
                <w:sz w:val="24"/>
                <w:highlight w:val="none"/>
                <w:lang w:eastAsia="zh-Hans"/>
              </w:rPr>
              <w:t>人的驻场运维服务，</w:t>
            </w:r>
            <w:r>
              <w:rPr>
                <w:rFonts w:hint="eastAsia" w:ascii="仿宋" w:hAnsi="仿宋" w:eastAsia="仿宋" w:cs="仿宋_GB2312"/>
                <w:sz w:val="24"/>
                <w:highlight w:val="none"/>
                <w:lang w:eastAsia="zh-CN"/>
              </w:rPr>
              <w:t>提供相关承诺的得</w:t>
            </w:r>
            <w:r>
              <w:rPr>
                <w:rFonts w:hint="eastAsia" w:ascii="仿宋" w:hAnsi="仿宋" w:eastAsia="仿宋" w:cs="仿宋_GB2312"/>
                <w:sz w:val="24"/>
                <w:highlight w:val="none"/>
                <w:lang w:val="en-US" w:eastAsia="zh-CN"/>
              </w:rPr>
              <w:t>3分，否则不得分。</w:t>
            </w:r>
          </w:p>
        </w:tc>
        <w:tc>
          <w:tcPr>
            <w:tcW w:w="370" w:type="pct"/>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1206" w:type="pct"/>
            <w:vMerge w:val="restart"/>
            <w:vAlign w:val="center"/>
          </w:tcPr>
          <w:p>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（九）</w:t>
            </w:r>
            <w:r>
              <w:rPr>
                <w:rFonts w:hint="eastAsia" w:ascii="仿宋" w:hAnsi="仿宋" w:eastAsia="仿宋" w:cs="仿宋"/>
                <w:sz w:val="24"/>
                <w:szCs w:val="24"/>
                <w:highlight w:val="none"/>
                <w:lang w:eastAsia="zh-Hans"/>
              </w:rPr>
              <w:t>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452" w:type="pct"/>
            <w:vAlign w:val="center"/>
          </w:tcPr>
          <w:p>
            <w:pPr>
              <w:spacing w:line="360" w:lineRule="auto"/>
              <w:jc w:val="center"/>
              <w:outlineLvl w:val="0"/>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9</w:t>
            </w:r>
          </w:p>
        </w:tc>
        <w:tc>
          <w:tcPr>
            <w:tcW w:w="2970" w:type="pct"/>
            <w:vAlign w:val="center"/>
          </w:tcPr>
          <w:p>
            <w:pPr>
              <w:spacing w:line="360" w:lineRule="auto"/>
              <w:outlineLvl w:val="0"/>
              <w:rPr>
                <w:rFonts w:hint="eastAsia" w:ascii="仿宋" w:hAnsi="仿宋" w:eastAsia="仿宋" w:cs="仿宋_GB2312"/>
                <w:sz w:val="24"/>
                <w:highlight w:val="none"/>
                <w:lang w:eastAsia="zh-CN"/>
              </w:rPr>
            </w:pPr>
            <w:r>
              <w:rPr>
                <w:rFonts w:hint="eastAsia" w:ascii="仿宋" w:hAnsi="仿宋" w:eastAsia="仿宋" w:cs="仿宋_GB2312"/>
                <w:sz w:val="24"/>
                <w:highlight w:val="none"/>
                <w:lang w:eastAsia="zh-CN"/>
              </w:rPr>
              <w:t>投标人根据项目建设实际需要，制定售后服务方案，至少包括：①售后服务组织架构及人员配置（包括人员职责分工及服务计划等）；②应急响应机制；③服务响应及技术支持方案；④针对本项目特色维保服务方案。经评审符合项目实际及建设需求的每项得1分，否则不得分，共4分。</w:t>
            </w:r>
          </w:p>
        </w:tc>
        <w:tc>
          <w:tcPr>
            <w:tcW w:w="370" w:type="pct"/>
            <w:vAlign w:val="center"/>
          </w:tcPr>
          <w:p>
            <w:pPr>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1206" w:type="pct"/>
            <w:vMerge w:val="continue"/>
            <w:vAlign w:val="center"/>
          </w:tcPr>
          <w:p>
            <w:pPr>
              <w:jc w:val="center"/>
              <w:rPr>
                <w:rFonts w:hint="eastAsia" w:ascii="仿宋" w:hAnsi="仿宋" w:eastAsia="仿宋" w:cs="仿宋"/>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452" w:type="pct"/>
            <w:vAlign w:val="center"/>
          </w:tcPr>
          <w:p>
            <w:pPr>
              <w:spacing w:line="360" w:lineRule="auto"/>
              <w:jc w:val="center"/>
              <w:outlineLvl w:val="0"/>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10</w:t>
            </w:r>
          </w:p>
        </w:tc>
        <w:tc>
          <w:tcPr>
            <w:tcW w:w="2970" w:type="pct"/>
            <w:vAlign w:val="center"/>
          </w:tcPr>
          <w:p>
            <w:pPr>
              <w:spacing w:line="360" w:lineRule="auto"/>
              <w:outlineLvl w:val="0"/>
              <w:rPr>
                <w:rFonts w:hint="eastAsia" w:ascii="仿宋" w:hAnsi="仿宋" w:eastAsia="仿宋" w:cs="仿宋_GB2312"/>
                <w:sz w:val="24"/>
                <w:highlight w:val="none"/>
                <w:lang w:val="en-US" w:eastAsia="zh-Hans"/>
              </w:rPr>
            </w:pPr>
            <w:r>
              <w:rPr>
                <w:rFonts w:hint="eastAsia" w:ascii="仿宋" w:hAnsi="仿宋" w:eastAsia="仿宋" w:cs="仿宋_GB2312"/>
                <w:sz w:val="24"/>
                <w:highlight w:val="none"/>
                <w:lang w:eastAsia="zh-Hans"/>
              </w:rPr>
              <w:t>系统演示</w:t>
            </w:r>
            <w:r>
              <w:rPr>
                <w:rFonts w:hint="eastAsia" w:ascii="仿宋" w:hAnsi="仿宋" w:eastAsia="仿宋" w:cs="仿宋_GB2312"/>
                <w:sz w:val="24"/>
                <w:highlight w:val="none"/>
                <w:lang w:val="en-US" w:eastAsia="zh-Hans"/>
              </w:rPr>
              <w:t>：由投标人自行准备相关演示环境，软件模型成功展现本次项目要求的功能，演示视频须制作成光盘或U盘，在投标截止前提交至杭州市临安区行政服务中心B座四楼B448办公室，逾期拒收。演示内容如下（PPT、Word演示或未提供演示不得分）：</w:t>
            </w:r>
          </w:p>
          <w:p>
            <w:pPr>
              <w:spacing w:line="360" w:lineRule="auto"/>
              <w:outlineLvl w:val="0"/>
              <w:rPr>
                <w:rFonts w:hint="eastAsia" w:ascii="仿宋" w:hAnsi="仿宋" w:eastAsia="仿宋" w:cs="仿宋_GB2312"/>
                <w:sz w:val="24"/>
                <w:highlight w:val="none"/>
                <w:lang w:val="en-US" w:eastAsia="zh-Hans"/>
              </w:rPr>
            </w:pPr>
            <w:r>
              <w:rPr>
                <w:rFonts w:hint="eastAsia" w:ascii="仿宋" w:hAnsi="仿宋" w:eastAsia="仿宋" w:cs="仿宋_GB2312"/>
                <w:sz w:val="24"/>
                <w:highlight w:val="none"/>
                <w:lang w:val="en-US" w:eastAsia="zh-Hans"/>
              </w:rPr>
              <w:t>注：演示视频需密封送达，评标阶段拆封演示，因响应方自身原因导致无法演示或者演示效果不理想的，责任自负。</w:t>
            </w:r>
          </w:p>
          <w:p>
            <w:pPr>
              <w:spacing w:line="360" w:lineRule="auto"/>
              <w:outlineLvl w:val="0"/>
              <w:rPr>
                <w:rFonts w:hint="eastAsia" w:ascii="仿宋" w:hAnsi="仿宋" w:eastAsia="仿宋" w:cs="仿宋_GB2312"/>
                <w:sz w:val="24"/>
                <w:highlight w:val="none"/>
                <w:lang w:val="en-US" w:eastAsia="zh-CN"/>
              </w:rPr>
            </w:pPr>
            <w:r>
              <w:rPr>
                <w:rFonts w:hint="eastAsia" w:ascii="仿宋" w:hAnsi="仿宋" w:eastAsia="仿宋" w:cs="仿宋_GB2312"/>
                <w:kern w:val="2"/>
                <w:sz w:val="24"/>
                <w:szCs w:val="22"/>
                <w:highlight w:val="none"/>
                <w:lang w:val="en-US" w:eastAsia="zh-CN" w:bidi="ar-SA"/>
              </w:rPr>
              <w:t>1、</w:t>
            </w:r>
            <w:r>
              <w:rPr>
                <w:rFonts w:hint="eastAsia" w:ascii="仿宋" w:hAnsi="仿宋" w:eastAsia="仿宋" w:cs="仿宋_GB2312"/>
                <w:kern w:val="2"/>
                <w:sz w:val="24"/>
                <w:szCs w:val="22"/>
                <w:highlight w:val="none"/>
                <w:lang w:val="en-US" w:eastAsia="zh-Hans" w:bidi="ar-SA"/>
              </w:rPr>
              <w:t>对门户网站主站PC端页面进行演示，包括①首页、②今日临安、③魅力临安、④政务公开、⑤政民互动及相关栏目页、文章页等页面。每</w:t>
            </w:r>
            <w:r>
              <w:rPr>
                <w:rFonts w:hint="eastAsia" w:ascii="仿宋" w:hAnsi="仿宋" w:eastAsia="仿宋" w:cs="仿宋_GB2312"/>
                <w:kern w:val="2"/>
                <w:sz w:val="24"/>
                <w:szCs w:val="22"/>
                <w:highlight w:val="none"/>
                <w:lang w:val="en-US" w:eastAsia="zh-CN" w:bidi="ar-SA"/>
              </w:rPr>
              <w:t>成功演示</w:t>
            </w:r>
            <w:r>
              <w:rPr>
                <w:rFonts w:hint="eastAsia" w:ascii="仿宋" w:hAnsi="仿宋" w:eastAsia="仿宋" w:cs="仿宋_GB2312"/>
                <w:kern w:val="2"/>
                <w:sz w:val="24"/>
                <w:szCs w:val="22"/>
                <w:highlight w:val="none"/>
                <w:lang w:val="en-US" w:eastAsia="zh-Hans" w:bidi="ar-SA"/>
              </w:rPr>
              <w:t>一项得1分，否则不得分，</w:t>
            </w:r>
            <w:r>
              <w:rPr>
                <w:rFonts w:hint="eastAsia" w:ascii="仿宋" w:hAnsi="仿宋" w:eastAsia="仿宋" w:cs="仿宋_GB2312"/>
                <w:kern w:val="2"/>
                <w:sz w:val="24"/>
                <w:szCs w:val="22"/>
                <w:highlight w:val="none"/>
                <w:lang w:val="en-US" w:eastAsia="zh-CN" w:bidi="ar-SA"/>
              </w:rPr>
              <w:t>共</w:t>
            </w:r>
            <w:r>
              <w:rPr>
                <w:rFonts w:hint="eastAsia" w:ascii="仿宋" w:hAnsi="仿宋" w:eastAsia="仿宋" w:cs="仿宋_GB2312"/>
                <w:kern w:val="2"/>
                <w:sz w:val="24"/>
                <w:szCs w:val="22"/>
                <w:highlight w:val="none"/>
                <w:lang w:val="en-US" w:eastAsia="zh-Hans" w:bidi="ar-SA"/>
              </w:rPr>
              <w:t>5分。</w:t>
            </w:r>
            <w:r>
              <w:rPr>
                <w:rFonts w:hint="eastAsia" w:ascii="仿宋" w:hAnsi="仿宋" w:eastAsia="仿宋" w:cs="仿宋_GB2312"/>
                <w:kern w:val="2"/>
                <w:sz w:val="24"/>
                <w:szCs w:val="22"/>
                <w:highlight w:val="none"/>
                <w:lang w:val="en-US" w:eastAsia="zh-Hans" w:bidi="ar-SA"/>
              </w:rPr>
              <w:br w:type="textWrapping"/>
            </w:r>
            <w:r>
              <w:rPr>
                <w:rFonts w:hint="eastAsia" w:ascii="仿宋" w:hAnsi="仿宋" w:eastAsia="仿宋" w:cs="仿宋_GB2312"/>
                <w:kern w:val="2"/>
                <w:sz w:val="24"/>
                <w:szCs w:val="22"/>
                <w:highlight w:val="none"/>
                <w:lang w:val="en-US" w:eastAsia="zh-CN" w:bidi="ar-SA"/>
              </w:rPr>
              <w:t>2、对政府信息公开门户PC端页面进行演示，包括①政府信息公开指南、②政府信息公开制度、③法定主动公开内容、④政府信息公开年报、⑤部门镇街政府信息公开子频道等页面。</w:t>
            </w:r>
            <w:r>
              <w:rPr>
                <w:rFonts w:hint="eastAsia" w:ascii="仿宋" w:hAnsi="仿宋" w:eastAsia="仿宋" w:cs="仿宋_GB2312"/>
                <w:kern w:val="2"/>
                <w:sz w:val="24"/>
                <w:szCs w:val="22"/>
                <w:highlight w:val="none"/>
                <w:lang w:val="en-US" w:eastAsia="zh-Hans" w:bidi="ar-SA"/>
              </w:rPr>
              <w:t>每</w:t>
            </w:r>
            <w:r>
              <w:rPr>
                <w:rFonts w:hint="eastAsia" w:ascii="仿宋" w:hAnsi="仿宋" w:eastAsia="仿宋" w:cs="仿宋_GB2312"/>
                <w:kern w:val="2"/>
                <w:sz w:val="24"/>
                <w:szCs w:val="22"/>
                <w:highlight w:val="none"/>
                <w:lang w:val="en-US" w:eastAsia="zh-CN" w:bidi="ar-SA"/>
              </w:rPr>
              <w:t>成功演示</w:t>
            </w:r>
            <w:r>
              <w:rPr>
                <w:rFonts w:hint="eastAsia" w:ascii="仿宋" w:hAnsi="仿宋" w:eastAsia="仿宋" w:cs="仿宋_GB2312"/>
                <w:kern w:val="2"/>
                <w:sz w:val="24"/>
                <w:szCs w:val="22"/>
                <w:highlight w:val="none"/>
                <w:lang w:val="en-US" w:eastAsia="zh-Hans" w:bidi="ar-SA"/>
              </w:rPr>
              <w:t>一项得1分，否则不得分，</w:t>
            </w:r>
            <w:r>
              <w:rPr>
                <w:rFonts w:hint="eastAsia" w:ascii="仿宋" w:hAnsi="仿宋" w:eastAsia="仿宋" w:cs="仿宋_GB2312"/>
                <w:kern w:val="2"/>
                <w:sz w:val="24"/>
                <w:szCs w:val="22"/>
                <w:highlight w:val="none"/>
                <w:lang w:val="en-US" w:eastAsia="zh-CN" w:bidi="ar-SA"/>
              </w:rPr>
              <w:t>共</w:t>
            </w:r>
            <w:r>
              <w:rPr>
                <w:rFonts w:hint="eastAsia" w:ascii="仿宋" w:hAnsi="仿宋" w:eastAsia="仿宋" w:cs="仿宋_GB2312"/>
                <w:kern w:val="2"/>
                <w:sz w:val="24"/>
                <w:szCs w:val="22"/>
                <w:highlight w:val="none"/>
                <w:lang w:val="en-US" w:eastAsia="zh-Hans" w:bidi="ar-SA"/>
              </w:rPr>
              <w:t>5分。</w:t>
            </w:r>
            <w:r>
              <w:rPr>
                <w:rFonts w:hint="eastAsia" w:ascii="仿宋" w:hAnsi="仿宋" w:eastAsia="仿宋" w:cs="仿宋_GB2312"/>
                <w:kern w:val="2"/>
                <w:sz w:val="24"/>
                <w:szCs w:val="22"/>
                <w:highlight w:val="none"/>
                <w:lang w:val="en-US" w:eastAsia="zh-Hans" w:bidi="ar-SA"/>
              </w:rPr>
              <w:br w:type="textWrapping"/>
            </w:r>
            <w:r>
              <w:rPr>
                <w:rFonts w:hint="eastAsia" w:ascii="仿宋" w:hAnsi="仿宋" w:eastAsia="仿宋" w:cs="仿宋_GB2312"/>
                <w:kern w:val="2"/>
                <w:sz w:val="24"/>
                <w:szCs w:val="22"/>
                <w:highlight w:val="none"/>
                <w:lang w:val="en-US" w:eastAsia="zh-Hans" w:bidi="ar-SA"/>
              </w:rPr>
              <w:t>3、对移动版页面进行演示，包括①门户网站主站移动端首页、②今日临安、③魅力临安、④政务公开、⑤政民互动及相关栏目页、文章页</w:t>
            </w:r>
            <w:r>
              <w:rPr>
                <w:rFonts w:hint="eastAsia" w:ascii="仿宋" w:hAnsi="仿宋" w:eastAsia="仿宋" w:cs="仿宋_GB2312"/>
                <w:kern w:val="2"/>
                <w:sz w:val="24"/>
                <w:szCs w:val="22"/>
                <w:highlight w:val="none"/>
                <w:lang w:val="en-US" w:eastAsia="zh-CN" w:bidi="ar-SA"/>
              </w:rPr>
              <w:t>、</w:t>
            </w:r>
            <w:r>
              <w:rPr>
                <w:rFonts w:hint="eastAsia" w:ascii="仿宋" w:hAnsi="仿宋" w:eastAsia="仿宋" w:cs="仿宋_GB2312"/>
                <w:kern w:val="2"/>
                <w:sz w:val="24"/>
                <w:szCs w:val="22"/>
                <w:highlight w:val="none"/>
                <w:lang w:val="en-US" w:eastAsia="zh-Hans" w:bidi="ar-SA"/>
              </w:rPr>
              <w:t>⑥政府信息公开门户移动端政府信息公开指南、⑦政府信息公开制度、⑨法定主动公开内容、⑩政府信息公开年报等页面。每</w:t>
            </w:r>
            <w:r>
              <w:rPr>
                <w:rFonts w:hint="eastAsia" w:ascii="仿宋" w:hAnsi="仿宋" w:eastAsia="仿宋" w:cs="仿宋_GB2312"/>
                <w:kern w:val="2"/>
                <w:sz w:val="24"/>
                <w:szCs w:val="22"/>
                <w:highlight w:val="none"/>
                <w:lang w:val="en-US" w:eastAsia="zh-CN" w:bidi="ar-SA"/>
              </w:rPr>
              <w:t>成功演示</w:t>
            </w:r>
            <w:r>
              <w:rPr>
                <w:rFonts w:hint="eastAsia" w:ascii="仿宋" w:hAnsi="仿宋" w:eastAsia="仿宋" w:cs="仿宋_GB2312"/>
                <w:kern w:val="2"/>
                <w:sz w:val="24"/>
                <w:szCs w:val="22"/>
                <w:highlight w:val="none"/>
                <w:lang w:val="en-US" w:eastAsia="zh-Hans" w:bidi="ar-SA"/>
              </w:rPr>
              <w:t>一项得</w:t>
            </w:r>
            <w:r>
              <w:rPr>
                <w:rFonts w:hint="eastAsia" w:ascii="仿宋" w:hAnsi="仿宋" w:eastAsia="仿宋" w:cs="仿宋_GB2312"/>
                <w:kern w:val="2"/>
                <w:sz w:val="24"/>
                <w:szCs w:val="22"/>
                <w:highlight w:val="none"/>
                <w:lang w:val="en-US" w:eastAsia="zh-CN" w:bidi="ar-SA"/>
              </w:rPr>
              <w:t>0.5</w:t>
            </w:r>
            <w:r>
              <w:rPr>
                <w:rFonts w:hint="eastAsia" w:ascii="仿宋" w:hAnsi="仿宋" w:eastAsia="仿宋" w:cs="仿宋_GB2312"/>
                <w:kern w:val="2"/>
                <w:sz w:val="24"/>
                <w:szCs w:val="22"/>
                <w:highlight w:val="none"/>
                <w:lang w:val="en-US" w:eastAsia="zh-Hans" w:bidi="ar-SA"/>
              </w:rPr>
              <w:t>分，否则不得分，</w:t>
            </w:r>
            <w:r>
              <w:rPr>
                <w:rFonts w:hint="eastAsia" w:ascii="仿宋" w:hAnsi="仿宋" w:eastAsia="仿宋" w:cs="仿宋_GB2312"/>
                <w:kern w:val="2"/>
                <w:sz w:val="24"/>
                <w:szCs w:val="22"/>
                <w:highlight w:val="none"/>
                <w:lang w:val="en-US" w:eastAsia="zh-CN" w:bidi="ar-SA"/>
              </w:rPr>
              <w:t>共5</w:t>
            </w:r>
            <w:r>
              <w:rPr>
                <w:rFonts w:hint="eastAsia" w:ascii="仿宋" w:hAnsi="仿宋" w:eastAsia="仿宋" w:cs="仿宋_GB2312"/>
                <w:kern w:val="2"/>
                <w:sz w:val="24"/>
                <w:szCs w:val="22"/>
                <w:highlight w:val="none"/>
                <w:lang w:val="en-US" w:eastAsia="zh-Hans" w:bidi="ar-SA"/>
              </w:rPr>
              <w:t>分。</w:t>
            </w:r>
            <w:r>
              <w:rPr>
                <w:rFonts w:hint="eastAsia" w:ascii="仿宋" w:hAnsi="仿宋" w:eastAsia="仿宋" w:cs="仿宋_GB2312"/>
                <w:kern w:val="2"/>
                <w:sz w:val="24"/>
                <w:szCs w:val="22"/>
                <w:highlight w:val="none"/>
                <w:lang w:val="en-US" w:eastAsia="zh-Hans" w:bidi="ar-SA"/>
              </w:rPr>
              <w:br w:type="textWrapping"/>
            </w:r>
            <w:r>
              <w:rPr>
                <w:rFonts w:hint="eastAsia" w:ascii="仿宋" w:hAnsi="仿宋" w:eastAsia="仿宋" w:cs="仿宋_GB2312"/>
                <w:kern w:val="2"/>
                <w:sz w:val="24"/>
                <w:szCs w:val="22"/>
                <w:highlight w:val="none"/>
                <w:lang w:val="en-US" w:eastAsia="zh-Hans" w:bidi="ar-SA"/>
              </w:rPr>
              <w:t>4、对英文版页面进行演示，包括①首页、②列表页、③详情页。每</w:t>
            </w:r>
            <w:r>
              <w:rPr>
                <w:rFonts w:hint="eastAsia" w:ascii="仿宋" w:hAnsi="仿宋" w:eastAsia="仿宋" w:cs="仿宋_GB2312"/>
                <w:kern w:val="2"/>
                <w:sz w:val="24"/>
                <w:szCs w:val="22"/>
                <w:highlight w:val="none"/>
                <w:lang w:val="en-US" w:eastAsia="zh-CN" w:bidi="ar-SA"/>
              </w:rPr>
              <w:t>成功演示</w:t>
            </w:r>
            <w:r>
              <w:rPr>
                <w:rFonts w:hint="eastAsia" w:ascii="仿宋" w:hAnsi="仿宋" w:eastAsia="仿宋" w:cs="仿宋_GB2312"/>
                <w:kern w:val="2"/>
                <w:sz w:val="24"/>
                <w:szCs w:val="22"/>
                <w:highlight w:val="none"/>
                <w:lang w:val="en-US" w:eastAsia="zh-Hans" w:bidi="ar-SA"/>
              </w:rPr>
              <w:t>一项得1分，否则不得分，</w:t>
            </w:r>
            <w:r>
              <w:rPr>
                <w:rFonts w:hint="eastAsia" w:ascii="仿宋" w:hAnsi="仿宋" w:eastAsia="仿宋" w:cs="仿宋_GB2312"/>
                <w:kern w:val="2"/>
                <w:sz w:val="24"/>
                <w:szCs w:val="22"/>
                <w:highlight w:val="none"/>
                <w:lang w:val="en-US" w:eastAsia="zh-CN" w:bidi="ar-SA"/>
              </w:rPr>
              <w:t>共3</w:t>
            </w:r>
            <w:r>
              <w:rPr>
                <w:rFonts w:hint="eastAsia" w:ascii="仿宋" w:hAnsi="仿宋" w:eastAsia="仿宋" w:cs="仿宋_GB2312"/>
                <w:kern w:val="2"/>
                <w:sz w:val="24"/>
                <w:szCs w:val="22"/>
                <w:highlight w:val="none"/>
                <w:lang w:val="en-US" w:eastAsia="zh-Hans" w:bidi="ar-SA"/>
              </w:rPr>
              <w:t>分。</w:t>
            </w:r>
          </w:p>
        </w:tc>
        <w:tc>
          <w:tcPr>
            <w:tcW w:w="370" w:type="pct"/>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18</w:t>
            </w:r>
          </w:p>
        </w:tc>
        <w:tc>
          <w:tcPr>
            <w:tcW w:w="1206" w:type="pct"/>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452" w:type="pct"/>
            <w:vAlign w:val="center"/>
          </w:tcPr>
          <w:p>
            <w:pPr>
              <w:spacing w:line="360" w:lineRule="auto"/>
              <w:jc w:val="center"/>
              <w:outlineLvl w:val="0"/>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11</w:t>
            </w:r>
          </w:p>
        </w:tc>
        <w:tc>
          <w:tcPr>
            <w:tcW w:w="2970" w:type="pct"/>
            <w:vAlign w:val="center"/>
          </w:tcPr>
          <w:p>
            <w:pPr>
              <w:spacing w:line="360" w:lineRule="auto"/>
              <w:outlineLvl w:val="0"/>
              <w:rPr>
                <w:rFonts w:hint="eastAsia" w:ascii="仿宋" w:hAnsi="仿宋" w:eastAsia="仿宋" w:cs="仿宋_GB2312"/>
                <w:kern w:val="2"/>
                <w:sz w:val="24"/>
                <w:szCs w:val="22"/>
                <w:highlight w:val="none"/>
                <w:lang w:val="en-US" w:eastAsia="zh-CN" w:bidi="ar-SA"/>
              </w:rPr>
            </w:pPr>
            <w:r>
              <w:rPr>
                <w:rFonts w:hint="eastAsia" w:ascii="仿宋" w:hAnsi="仿宋" w:eastAsia="仿宋" w:cs="仿宋_GB2312"/>
                <w:sz w:val="24"/>
                <w:highlight w:val="none"/>
                <w:lang w:eastAsia="zh-Hans"/>
              </w:rPr>
              <w:t>投标人具有ISO9001质量管理体系证书</w:t>
            </w:r>
            <w:r>
              <w:rPr>
                <w:rFonts w:hint="eastAsia" w:ascii="仿宋" w:hAnsi="仿宋" w:eastAsia="仿宋" w:cs="仿宋_GB2312"/>
                <w:sz w:val="24"/>
                <w:highlight w:val="none"/>
                <w:lang w:eastAsia="zh-CN"/>
              </w:rPr>
              <w:t>、ISO20000信息技术服务管理体系认证证书、ISO27001信息安全管理体系认证证书，提供相关证书，每个证书</w:t>
            </w:r>
            <w:r>
              <w:rPr>
                <w:rFonts w:hint="eastAsia" w:ascii="仿宋" w:hAnsi="仿宋" w:eastAsia="仿宋" w:cs="仿宋_GB2312"/>
                <w:sz w:val="24"/>
                <w:highlight w:val="none"/>
                <w:lang w:eastAsia="zh-Hans"/>
              </w:rPr>
              <w:t>得</w:t>
            </w:r>
            <w:r>
              <w:rPr>
                <w:rFonts w:hint="eastAsia" w:ascii="仿宋" w:hAnsi="仿宋" w:eastAsia="仿宋" w:cs="仿宋_GB2312"/>
                <w:sz w:val="24"/>
                <w:highlight w:val="none"/>
                <w:lang w:val="en-US" w:eastAsia="zh-CN"/>
              </w:rPr>
              <w:t>1</w:t>
            </w:r>
            <w:r>
              <w:rPr>
                <w:rFonts w:hint="eastAsia" w:ascii="仿宋" w:hAnsi="仿宋" w:eastAsia="仿宋" w:cs="仿宋_GB2312"/>
                <w:sz w:val="24"/>
                <w:highlight w:val="none"/>
                <w:lang w:eastAsia="zh-Hans"/>
              </w:rPr>
              <w:t>分，</w:t>
            </w:r>
            <w:r>
              <w:rPr>
                <w:rFonts w:hint="eastAsia" w:ascii="仿宋" w:hAnsi="仿宋" w:eastAsia="仿宋" w:cs="仿宋_GB2312"/>
                <w:sz w:val="24"/>
                <w:highlight w:val="none"/>
                <w:lang w:eastAsia="zh-CN"/>
              </w:rPr>
              <w:t>共</w:t>
            </w:r>
            <w:r>
              <w:rPr>
                <w:rFonts w:hint="eastAsia" w:ascii="仿宋" w:hAnsi="仿宋" w:eastAsia="仿宋" w:cs="仿宋_GB2312"/>
                <w:sz w:val="24"/>
                <w:highlight w:val="none"/>
                <w:lang w:val="en-US" w:eastAsia="zh-CN"/>
              </w:rPr>
              <w:t>3分。</w:t>
            </w:r>
          </w:p>
        </w:tc>
        <w:tc>
          <w:tcPr>
            <w:tcW w:w="370" w:type="pct"/>
            <w:vAlign w:val="center"/>
          </w:tcPr>
          <w:p>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3</w:t>
            </w:r>
          </w:p>
        </w:tc>
        <w:tc>
          <w:tcPr>
            <w:tcW w:w="1206" w:type="pct"/>
            <w:vMerge w:val="restart"/>
            <w:vAlign w:val="center"/>
          </w:tcPr>
          <w:p>
            <w:pPr>
              <w:jc w:val="center"/>
              <w:rPr>
                <w:rFonts w:hint="eastAsia" w:ascii="仿宋" w:hAnsi="仿宋" w:eastAsia="仿宋" w:cs="仿宋"/>
                <w:highlight w:val="none"/>
                <w:lang w:val="en-US" w:eastAsia="zh-CN"/>
              </w:rPr>
            </w:pPr>
            <w:r>
              <w:rPr>
                <w:rFonts w:hint="eastAsia" w:ascii="仿宋" w:hAnsi="仿宋" w:eastAsia="仿宋" w:cs="仿宋"/>
                <w:sz w:val="24"/>
                <w:szCs w:val="24"/>
                <w:highlight w:val="none"/>
                <w:lang w:val="en-US" w:eastAsia="zh-CN"/>
              </w:rPr>
              <w:t>（十）综合实力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452" w:type="pct"/>
            <w:vAlign w:val="center"/>
          </w:tcPr>
          <w:p>
            <w:pPr>
              <w:spacing w:line="360" w:lineRule="auto"/>
              <w:jc w:val="center"/>
              <w:outlineLvl w:val="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12</w:t>
            </w:r>
          </w:p>
        </w:tc>
        <w:tc>
          <w:tcPr>
            <w:tcW w:w="2970" w:type="pct"/>
            <w:vAlign w:val="center"/>
          </w:tcPr>
          <w:p>
            <w:pPr>
              <w:spacing w:line="360" w:lineRule="auto"/>
              <w:outlineLvl w:val="0"/>
              <w:rPr>
                <w:rFonts w:hint="eastAsia" w:ascii="仿宋" w:hAnsi="仿宋" w:eastAsia="仿宋" w:cs="仿宋_GB2312"/>
                <w:sz w:val="24"/>
                <w:highlight w:val="none"/>
              </w:rPr>
            </w:pPr>
            <w:r>
              <w:rPr>
                <w:rFonts w:hint="eastAsia" w:ascii="仿宋" w:hAnsi="仿宋" w:eastAsia="仿宋" w:cs="仿宋_GB2312"/>
                <w:sz w:val="24"/>
                <w:highlight w:val="none"/>
                <w:lang w:eastAsia="zh-Hans"/>
              </w:rPr>
              <w:t>项目建设的成功经验</w:t>
            </w:r>
            <w:r>
              <w:rPr>
                <w:rFonts w:hint="eastAsia" w:ascii="仿宋" w:hAnsi="仿宋" w:eastAsia="仿宋" w:cs="仿宋_GB2312"/>
                <w:sz w:val="24"/>
                <w:highlight w:val="none"/>
                <w:lang w:eastAsia="zh-CN"/>
              </w:rPr>
              <w:t>：</w:t>
            </w:r>
            <w:r>
              <w:rPr>
                <w:rFonts w:hint="eastAsia" w:ascii="仿宋" w:hAnsi="仿宋" w:eastAsia="仿宋" w:cs="仿宋_GB2312"/>
                <w:sz w:val="24"/>
                <w:highlight w:val="none"/>
                <w:lang w:eastAsia="zh-Hans"/>
              </w:rPr>
              <w:t>投标人提供</w:t>
            </w:r>
            <w:r>
              <w:rPr>
                <w:rFonts w:hint="eastAsia" w:ascii="仿宋" w:hAnsi="仿宋" w:eastAsia="仿宋" w:cs="仿宋_GB2312"/>
                <w:sz w:val="24"/>
                <w:highlight w:val="none"/>
                <w:lang w:eastAsia="zh-CN"/>
              </w:rPr>
              <w:t>自</w:t>
            </w:r>
            <w:r>
              <w:rPr>
                <w:rFonts w:hint="eastAsia" w:ascii="仿宋" w:hAnsi="仿宋" w:eastAsia="仿宋" w:cs="仿宋_GB2312"/>
                <w:sz w:val="24"/>
                <w:highlight w:val="none"/>
                <w:lang w:val="en-US" w:eastAsia="zh-CN"/>
              </w:rPr>
              <w:t>2020</w:t>
            </w:r>
            <w:r>
              <w:rPr>
                <w:rFonts w:hint="eastAsia" w:ascii="仿宋" w:hAnsi="仿宋" w:eastAsia="仿宋" w:cs="仿宋_GB2312"/>
                <w:sz w:val="24"/>
                <w:highlight w:val="none"/>
                <w:lang w:eastAsia="zh-Hans"/>
              </w:rPr>
              <w:t>年1月1日至</w:t>
            </w:r>
            <w:r>
              <w:rPr>
                <w:rFonts w:hint="eastAsia" w:ascii="仿宋" w:hAnsi="仿宋" w:eastAsia="仿宋" w:cs="仿宋_GB2312"/>
                <w:sz w:val="24"/>
                <w:highlight w:val="none"/>
              </w:rPr>
              <w:t>开标时间止</w:t>
            </w:r>
            <w:r>
              <w:rPr>
                <w:rFonts w:hint="eastAsia" w:ascii="仿宋" w:hAnsi="仿宋" w:eastAsia="仿宋" w:cs="仿宋_GB2312"/>
                <w:sz w:val="24"/>
                <w:highlight w:val="none"/>
                <w:lang w:eastAsia="zh-Hans"/>
              </w:rPr>
              <w:t>（以合同签订时间为准</w:t>
            </w:r>
            <w:r>
              <w:rPr>
                <w:rFonts w:hint="eastAsia" w:ascii="仿宋" w:hAnsi="仿宋" w:eastAsia="仿宋" w:cs="仿宋_GB2312"/>
                <w:sz w:val="24"/>
                <w:highlight w:val="none"/>
                <w:lang w:eastAsia="zh-CN"/>
              </w:rPr>
              <w:t>）</w:t>
            </w:r>
            <w:r>
              <w:rPr>
                <w:rFonts w:hint="eastAsia" w:ascii="仿宋" w:hAnsi="仿宋" w:eastAsia="仿宋" w:cs="仿宋_GB2312"/>
                <w:sz w:val="24"/>
                <w:highlight w:val="none"/>
              </w:rPr>
              <w:t>完成过</w:t>
            </w:r>
            <w:r>
              <w:rPr>
                <w:rFonts w:hint="eastAsia" w:ascii="仿宋" w:hAnsi="仿宋" w:eastAsia="仿宋" w:cs="仿宋_GB2312"/>
                <w:sz w:val="24"/>
                <w:highlight w:val="none"/>
                <w:lang w:eastAsia="zh-CN"/>
              </w:rPr>
              <w:t>门户网站同类</w:t>
            </w:r>
            <w:r>
              <w:rPr>
                <w:rFonts w:hint="eastAsia" w:ascii="仿宋" w:hAnsi="仿宋" w:eastAsia="仿宋" w:cs="仿宋_GB2312"/>
                <w:sz w:val="24"/>
                <w:highlight w:val="none"/>
                <w:lang w:eastAsia="zh-Hans"/>
              </w:rPr>
              <w:t>案例情况，</w:t>
            </w:r>
            <w:r>
              <w:rPr>
                <w:rFonts w:hint="eastAsia" w:ascii="仿宋" w:hAnsi="仿宋" w:eastAsia="仿宋" w:cs="仿宋_GB2312"/>
                <w:sz w:val="24"/>
                <w:highlight w:val="none"/>
                <w:lang w:eastAsia="zh-CN"/>
              </w:rPr>
              <w:t>需同时提供合同及中标（成交）通知书，</w:t>
            </w:r>
            <w:r>
              <w:rPr>
                <w:rFonts w:hint="eastAsia" w:ascii="仿宋" w:hAnsi="仿宋" w:eastAsia="仿宋" w:cs="仿宋_GB2312"/>
                <w:sz w:val="24"/>
                <w:highlight w:val="none"/>
                <w:lang w:eastAsia="zh-Hans"/>
              </w:rPr>
              <w:t>每个案例得</w:t>
            </w:r>
            <w:r>
              <w:rPr>
                <w:rFonts w:hint="eastAsia" w:ascii="仿宋" w:hAnsi="仿宋" w:eastAsia="仿宋" w:cs="仿宋_GB2312"/>
                <w:sz w:val="24"/>
                <w:highlight w:val="none"/>
                <w:lang w:val="en-US" w:eastAsia="zh-CN"/>
              </w:rPr>
              <w:t>1</w:t>
            </w:r>
            <w:r>
              <w:rPr>
                <w:rFonts w:hint="eastAsia" w:ascii="仿宋" w:hAnsi="仿宋" w:eastAsia="仿宋" w:cs="仿宋_GB2312"/>
                <w:sz w:val="24"/>
                <w:highlight w:val="none"/>
                <w:lang w:eastAsia="zh-Hans"/>
              </w:rPr>
              <w:t>分，</w:t>
            </w:r>
            <w:r>
              <w:rPr>
                <w:rFonts w:hint="eastAsia" w:ascii="仿宋" w:hAnsi="仿宋" w:eastAsia="仿宋" w:cs="仿宋_GB2312"/>
                <w:sz w:val="24"/>
                <w:highlight w:val="none"/>
                <w:lang w:eastAsia="zh-CN"/>
              </w:rPr>
              <w:t>共</w:t>
            </w:r>
            <w:r>
              <w:rPr>
                <w:rFonts w:hint="eastAsia" w:ascii="仿宋" w:hAnsi="仿宋" w:eastAsia="仿宋" w:cs="仿宋_GB2312"/>
                <w:sz w:val="24"/>
                <w:highlight w:val="none"/>
              </w:rPr>
              <w:t>3</w:t>
            </w:r>
            <w:r>
              <w:rPr>
                <w:rFonts w:hint="eastAsia" w:ascii="仿宋" w:hAnsi="仿宋" w:eastAsia="仿宋" w:cs="仿宋_GB2312"/>
                <w:sz w:val="24"/>
                <w:highlight w:val="none"/>
                <w:lang w:eastAsia="zh-Hans"/>
              </w:rPr>
              <w:t>分</w:t>
            </w:r>
            <w:r>
              <w:rPr>
                <w:rFonts w:hint="eastAsia" w:ascii="仿宋" w:hAnsi="仿宋" w:eastAsia="仿宋" w:cs="仿宋_GB2312"/>
                <w:sz w:val="24"/>
                <w:highlight w:val="none"/>
              </w:rPr>
              <w:t>。</w:t>
            </w:r>
          </w:p>
        </w:tc>
        <w:tc>
          <w:tcPr>
            <w:tcW w:w="370" w:type="pct"/>
            <w:vAlign w:val="center"/>
          </w:tcPr>
          <w:p>
            <w:pPr>
              <w:jc w:val="center"/>
              <w:rPr>
                <w:rFonts w:hint="eastAsia" w:ascii="仿宋" w:hAnsi="仿宋" w:eastAsia="仿宋" w:cs="仿宋"/>
                <w:sz w:val="24"/>
                <w:szCs w:val="24"/>
                <w:highlight w:val="none"/>
              </w:rPr>
            </w:pPr>
          </w:p>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1206" w:type="pct"/>
            <w:vMerge w:val="continue"/>
            <w:vAlign w:val="center"/>
          </w:tcPr>
          <w:p>
            <w:pPr>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5" w:hRule="atLeast"/>
          <w:jc w:val="center"/>
        </w:trPr>
        <w:tc>
          <w:tcPr>
            <w:tcW w:w="452" w:type="pct"/>
            <w:vAlign w:val="center"/>
          </w:tcPr>
          <w:p>
            <w:pPr>
              <w:spacing w:line="360" w:lineRule="auto"/>
              <w:jc w:val="center"/>
              <w:outlineLvl w:val="0"/>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14</w:t>
            </w:r>
          </w:p>
        </w:tc>
        <w:tc>
          <w:tcPr>
            <w:tcW w:w="2970" w:type="pct"/>
          </w:tcPr>
          <w:p>
            <w:pPr>
              <w:spacing w:line="360" w:lineRule="auto"/>
              <w:outlineLvl w:val="0"/>
              <w:rPr>
                <w:rFonts w:hint="eastAsia" w:ascii="仿宋" w:hAnsi="仿宋" w:eastAsia="仿宋" w:cs="仿宋_GB2312"/>
                <w:sz w:val="24"/>
                <w:highlight w:val="none"/>
              </w:rPr>
            </w:pPr>
            <w:r>
              <w:rPr>
                <w:rFonts w:hint="eastAsia" w:ascii="仿宋" w:hAnsi="仿宋" w:eastAsia="仿宋" w:cs="仿宋_GB2312"/>
                <w:sz w:val="24"/>
                <w:highlight w:val="none"/>
              </w:rPr>
              <w:t>有效投标报价的最低价作为评标基准价，其最低报价为满分；按［投标报价得分=（评标基准价/投标报价）*30］的计算公式计算。</w:t>
            </w:r>
          </w:p>
          <w:p>
            <w:pPr>
              <w:spacing w:line="360" w:lineRule="auto"/>
              <w:outlineLvl w:val="0"/>
              <w:rPr>
                <w:rFonts w:hint="eastAsia" w:ascii="仿宋" w:hAnsi="仿宋" w:eastAsia="仿宋" w:cs="仿宋_GB2312"/>
                <w:sz w:val="24"/>
                <w:highlight w:val="none"/>
              </w:rPr>
            </w:pPr>
            <w:r>
              <w:rPr>
                <w:rFonts w:hint="eastAsia" w:ascii="仿宋" w:hAnsi="仿宋" w:eastAsia="仿宋" w:cs="仿宋_GB2312"/>
                <w:sz w:val="24"/>
                <w:highlight w:val="none"/>
              </w:rPr>
              <w:t>评标过程中，不得去掉报价中的最高报价和最低报价。</w:t>
            </w:r>
          </w:p>
          <w:p>
            <w:pPr>
              <w:spacing w:line="360" w:lineRule="auto"/>
              <w:outlineLvl w:val="0"/>
              <w:rPr>
                <w:rFonts w:hint="eastAsia" w:ascii="仿宋" w:hAnsi="仿宋" w:eastAsia="仿宋" w:cs="仿宋_GB2312"/>
                <w:sz w:val="24"/>
                <w:highlight w:val="none"/>
              </w:rPr>
            </w:pPr>
            <w:r>
              <w:rPr>
                <w:rFonts w:hint="eastAsia" w:ascii="仿宋" w:hAnsi="仿宋" w:eastAsia="仿宋" w:cs="仿宋_GB2312"/>
                <w:sz w:val="24"/>
                <w:highlight w:val="none"/>
              </w:rPr>
              <w:t>因落实政府采购政策需要进行价格调整的，以调整后的价格计算评标基准价和投标报价。</w:t>
            </w:r>
          </w:p>
        </w:tc>
        <w:tc>
          <w:tcPr>
            <w:tcW w:w="370" w:type="pct"/>
            <w:vAlign w:val="center"/>
          </w:tcPr>
          <w:p>
            <w:pPr>
              <w:spacing w:line="360" w:lineRule="auto"/>
              <w:jc w:val="center"/>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30</w:t>
            </w:r>
          </w:p>
        </w:tc>
        <w:tc>
          <w:tcPr>
            <w:tcW w:w="1206" w:type="pct"/>
            <w:vAlign w:val="center"/>
          </w:tcPr>
          <w:p>
            <w:pPr>
              <w:spacing w:line="360" w:lineRule="auto"/>
              <w:jc w:val="center"/>
              <w:outlineLvl w:val="0"/>
              <w:rPr>
                <w:rFonts w:hint="eastAsia" w:ascii="仿宋" w:hAnsi="仿宋" w:eastAsia="仿宋" w:cs="仿宋"/>
                <w:sz w:val="24"/>
                <w:highlight w:val="none"/>
              </w:rPr>
            </w:pPr>
            <w:r>
              <w:rPr>
                <w:rFonts w:hint="eastAsia" w:ascii="仿宋" w:hAnsi="仿宋" w:eastAsia="仿宋" w:cs="仿宋"/>
                <w:sz w:val="24"/>
                <w:highlight w:val="none"/>
              </w:rPr>
              <w:t>/</w:t>
            </w:r>
          </w:p>
        </w:tc>
      </w:tr>
    </w:tbl>
    <w:p>
      <w:pPr>
        <w:snapToGrid w:val="0"/>
        <w:spacing w:line="360" w:lineRule="auto"/>
        <w:rPr>
          <w:rFonts w:hint="eastAsia" w:ascii="仿宋" w:hAnsi="仿宋" w:eastAsia="仿宋" w:cs="仿宋"/>
          <w:b/>
          <w:sz w:val="24"/>
        </w:rPr>
      </w:pPr>
      <w:r>
        <w:rPr>
          <w:rFonts w:hint="eastAsia" w:ascii="仿宋" w:hAnsi="仿宋" w:eastAsia="仿宋" w:cs="仿宋"/>
          <w:sz w:val="20"/>
          <w:szCs w:val="20"/>
          <w:shd w:val="clear" w:color="auto" w:fill="FFFFFF"/>
        </w:rPr>
        <w:t> *</w:t>
      </w: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投标人编制投标文件（商务技术文件部分）时，建议按此目录（序号和内容）提供评标标准相应的商务技术资料。 </w:t>
      </w:r>
    </w:p>
    <w:p>
      <w:pPr>
        <w:snapToGrid w:val="0"/>
        <w:spacing w:line="360" w:lineRule="auto"/>
        <w:rPr>
          <w:rFonts w:hint="eastAsia" w:ascii="仿宋" w:hAnsi="仿宋" w:eastAsia="仿宋" w:cs="仿宋"/>
          <w:b/>
          <w:sz w:val="28"/>
          <w:szCs w:val="28"/>
        </w:rPr>
      </w:pPr>
      <w:r>
        <w:rPr>
          <w:rFonts w:hint="eastAsia" w:ascii="仿宋" w:hAnsi="仿宋" w:eastAsia="仿宋" w:cs="仿宋"/>
          <w:b/>
          <w:sz w:val="32"/>
        </w:rPr>
        <w:t>一、评标方法</w:t>
      </w:r>
    </w:p>
    <w:p>
      <w:pPr>
        <w:adjustRightInd/>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kern w:val="0"/>
          <w:sz w:val="24"/>
        </w:rPr>
      </w:pPr>
      <w:r>
        <w:rPr>
          <w:rFonts w:hint="eastAsia" w:ascii="仿宋" w:hAnsi="仿宋" w:eastAsia="仿宋" w:cs="仿宋"/>
          <w:b/>
          <w:sz w:val="32"/>
        </w:rPr>
        <w:t>二、评标标准</w:t>
      </w:r>
    </w:p>
    <w:p>
      <w:pPr>
        <w:spacing w:line="360" w:lineRule="auto"/>
        <w:ind w:firstLine="472" w:firstLineChars="196"/>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pPr>
        <w:spacing w:line="360" w:lineRule="auto"/>
        <w:outlineLvl w:val="0"/>
        <w:rPr>
          <w:rFonts w:hint="eastAsia" w:ascii="仿宋" w:hAnsi="仿宋" w:eastAsia="仿宋" w:cs="仿宋"/>
          <w:b/>
          <w:sz w:val="36"/>
          <w:szCs w:val="36"/>
        </w:rPr>
      </w:pPr>
      <w:r>
        <w:rPr>
          <w:rFonts w:hint="eastAsia" w:ascii="仿宋" w:hAnsi="仿宋" w:eastAsia="仿宋" w:cs="仿宋"/>
          <w:b/>
          <w:sz w:val="36"/>
          <w:szCs w:val="36"/>
        </w:rPr>
        <w:t>三、评标程序</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pPr>
        <w:spacing w:line="360" w:lineRule="auto"/>
        <w:ind w:firstLine="472" w:firstLineChars="196"/>
        <w:rPr>
          <w:rFonts w:hint="eastAsia" w:ascii="仿宋" w:hAnsi="仿宋" w:eastAsia="仿宋" w:cs="仿宋"/>
          <w:b/>
          <w:kern w:val="0"/>
          <w:sz w:val="24"/>
        </w:rPr>
      </w:pPr>
      <w:r>
        <w:rPr>
          <w:rFonts w:hint="eastAsia" w:ascii="仿宋" w:hAnsi="仿宋" w:eastAsia="仿宋" w:cs="仿宋"/>
          <w:b/>
          <w:kern w:val="0"/>
          <w:sz w:val="24"/>
        </w:rPr>
        <w:t>3.4报价评审。</w:t>
      </w:r>
    </w:p>
    <w:p>
      <w:pPr>
        <w:pStyle w:val="128"/>
        <w:spacing w:before="0"/>
        <w:ind w:firstLine="508" w:firstLineChars="212"/>
        <w:rPr>
          <w:rFonts w:hint="eastAsia" w:ascii="仿宋" w:hAnsi="仿宋" w:eastAsia="仿宋" w:cs="仿宋"/>
          <w:kern w:val="0"/>
        </w:rPr>
      </w:pPr>
      <w:r>
        <w:rPr>
          <w:rFonts w:hint="eastAsia" w:ascii="仿宋" w:hAnsi="仿宋" w:eastAsia="仿宋" w:cs="仿宋"/>
          <w:kern w:val="0"/>
        </w:rPr>
        <w:t>3.4.1投标文件报价出现前后不一致的，按照下列规定修正：</w:t>
      </w:r>
    </w:p>
    <w:p>
      <w:pPr>
        <w:pStyle w:val="128"/>
        <w:spacing w:before="0"/>
        <w:ind w:firstLine="480"/>
        <w:rPr>
          <w:rFonts w:hint="eastAsia"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pPr>
        <w:pStyle w:val="128"/>
        <w:spacing w:before="0"/>
        <w:ind w:firstLine="480"/>
        <w:rPr>
          <w:rFonts w:hint="eastAsia" w:ascii="仿宋" w:hAnsi="仿宋" w:eastAsia="仿宋" w:cs="仿宋"/>
          <w:kern w:val="0"/>
          <w:szCs w:val="24"/>
        </w:rPr>
      </w:pPr>
      <w:r>
        <w:rPr>
          <w:rFonts w:hint="eastAsia" w:ascii="仿宋" w:hAnsi="仿宋" w:eastAsia="仿宋" w:cs="仿宋"/>
          <w:kern w:val="0"/>
          <w:szCs w:val="24"/>
        </w:rPr>
        <w:t>3.4.1.2大写金额和小写金额不一致的，以大写金额为准;</w:t>
      </w:r>
    </w:p>
    <w:p>
      <w:pPr>
        <w:pStyle w:val="128"/>
        <w:spacing w:before="0"/>
        <w:ind w:firstLine="480"/>
        <w:rPr>
          <w:rFonts w:hint="eastAsia"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pPr>
        <w:pStyle w:val="128"/>
        <w:spacing w:before="0"/>
        <w:ind w:firstLine="480"/>
        <w:rPr>
          <w:rFonts w:hint="eastAsia"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pPr>
        <w:pStyle w:val="128"/>
        <w:spacing w:before="0"/>
        <w:ind w:firstLine="480"/>
        <w:rPr>
          <w:rFonts w:hint="eastAsia"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pPr>
        <w:pStyle w:val="128"/>
        <w:spacing w:before="0"/>
        <w:ind w:firstLine="480"/>
        <w:rPr>
          <w:rFonts w:hint="eastAsia"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hint="eastAsia" w:ascii="仿宋" w:hAnsi="仿宋" w:eastAsia="仿宋" w:cs="仿宋"/>
          <w:kern w:val="0"/>
          <w:szCs w:val="24"/>
        </w:rPr>
      </w:pPr>
      <w:r>
        <w:rPr>
          <w:rFonts w:hint="eastAsia" w:ascii="仿宋" w:hAnsi="仿宋" w:eastAsia="仿宋" w:cs="仿宋"/>
          <w:kern w:val="0"/>
          <w:szCs w:val="24"/>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 w:hAnsi="仿宋" w:eastAsia="仿宋" w:cs="仿宋"/>
          <w:b/>
          <w:sz w:val="32"/>
        </w:rPr>
      </w:pPr>
      <w:r>
        <w:rPr>
          <w:rFonts w:hint="eastAsia" w:ascii="仿宋" w:hAnsi="仿宋" w:eastAsia="仿宋" w:cs="仿宋"/>
          <w:b/>
          <w:sz w:val="32"/>
        </w:rPr>
        <w:t>四、评标中的其他事项</w:t>
      </w:r>
    </w:p>
    <w:p>
      <w:pPr>
        <w:pStyle w:val="128"/>
        <w:spacing w:before="0"/>
        <w:ind w:firstLine="472" w:firstLineChars="196"/>
        <w:rPr>
          <w:rFonts w:hint="eastAsia"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hint="eastAsia"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有下列情形之一的，投标无效：</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4.2.2投标文件未按照招标文件要求签署、盖章的；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4.2.4投标文件含有采购人不能接受的附加条件的；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4.2.9投标人对根据修正原则修正后的报价不确认的；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4.2.10投标人提供虚假材料投标的；</w:t>
      </w:r>
    </w:p>
    <w:p>
      <w:pPr>
        <w:spacing w:line="360" w:lineRule="auto"/>
        <w:ind w:firstLine="240" w:firstLineChars="100"/>
        <w:rPr>
          <w:rFonts w:hint="eastAsia"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4.2.12投标人仅提交备份投标文件，未在电子交易平台传输递交投标文件的，投标无效；</w:t>
      </w:r>
    </w:p>
    <w:p>
      <w:pPr>
        <w:pStyle w:val="4"/>
        <w:ind w:left="862" w:leftChars="205"/>
        <w:rPr>
          <w:rFonts w:hint="eastAsia" w:ascii="仿宋" w:hAnsi="仿宋" w:eastAsia="仿宋" w:cs="仿宋"/>
          <w:b w:val="0"/>
          <w:bCs w:val="0"/>
          <w:kern w:val="0"/>
          <w:sz w:val="24"/>
          <w:szCs w:val="24"/>
          <w:lang w:val="en-US"/>
        </w:rPr>
      </w:pPr>
      <w:r>
        <w:rPr>
          <w:rFonts w:hint="eastAsia" w:ascii="仿宋" w:hAnsi="仿宋" w:eastAsia="仿宋" w:cs="仿宋"/>
          <w:b w:val="0"/>
          <w:bCs w:val="0"/>
          <w:kern w:val="0"/>
          <w:sz w:val="24"/>
          <w:szCs w:val="24"/>
          <w:lang w:val="en-US"/>
        </w:rPr>
        <w:t>4.2.13 投标文件不满足招标文件的其它实质性要求的；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pPr>
        <w:pStyle w:val="24"/>
        <w:snapToGrid w:val="0"/>
        <w:spacing w:line="360" w:lineRule="auto"/>
        <w:ind w:firstLine="472" w:firstLineChars="196"/>
        <w:rPr>
          <w:rFonts w:hint="eastAsia"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pPr>
        <w:pStyle w:val="24"/>
        <w:snapToGrid w:val="0"/>
        <w:spacing w:line="360" w:lineRule="auto"/>
        <w:rPr>
          <w:rFonts w:hint="eastAsia" w:ascii="仿宋" w:hAnsi="仿宋" w:eastAsia="仿宋" w:cs="仿宋"/>
        </w:rPr>
      </w:pPr>
      <w:r>
        <w:rPr>
          <w:rFonts w:hint="eastAsia" w:ascii="仿宋" w:hAnsi="仿宋" w:eastAsia="仿宋" w:cs="仿宋"/>
        </w:rPr>
        <w:t>5.1符合专业条件的供应商或者对招标文件作实质响应的供应商不足3家的；</w:t>
      </w:r>
    </w:p>
    <w:p>
      <w:pPr>
        <w:pStyle w:val="24"/>
        <w:snapToGrid w:val="0"/>
        <w:spacing w:line="360" w:lineRule="auto"/>
        <w:rPr>
          <w:rFonts w:hint="eastAsia" w:ascii="仿宋" w:hAnsi="仿宋" w:eastAsia="仿宋" w:cs="仿宋"/>
        </w:rPr>
      </w:pPr>
      <w:r>
        <w:rPr>
          <w:rFonts w:hint="eastAsia" w:ascii="仿宋" w:hAnsi="仿宋" w:eastAsia="仿宋" w:cs="仿宋"/>
        </w:rPr>
        <w:t>5.2出现影响采购公正的违法、违规行为的；</w:t>
      </w:r>
    </w:p>
    <w:p>
      <w:pPr>
        <w:pStyle w:val="24"/>
        <w:snapToGrid w:val="0"/>
        <w:spacing w:line="360" w:lineRule="auto"/>
        <w:rPr>
          <w:rFonts w:hint="eastAsia" w:ascii="仿宋" w:hAnsi="仿宋" w:eastAsia="仿宋" w:cs="仿宋"/>
        </w:rPr>
      </w:pPr>
      <w:r>
        <w:rPr>
          <w:rFonts w:hint="eastAsia" w:ascii="仿宋" w:hAnsi="仿宋" w:eastAsia="仿宋" w:cs="仿宋"/>
        </w:rPr>
        <w:t>5.3投标人的报价均超过了采购预算，采购人不能支付的；</w:t>
      </w:r>
    </w:p>
    <w:p>
      <w:pPr>
        <w:pStyle w:val="24"/>
        <w:snapToGrid w:val="0"/>
        <w:spacing w:line="360" w:lineRule="auto"/>
        <w:rPr>
          <w:rFonts w:hint="eastAsia" w:ascii="仿宋" w:hAnsi="仿宋" w:eastAsia="仿宋" w:cs="仿宋"/>
        </w:rPr>
      </w:pPr>
      <w:r>
        <w:rPr>
          <w:rFonts w:hint="eastAsia" w:ascii="仿宋" w:hAnsi="仿宋" w:eastAsia="仿宋" w:cs="仿宋"/>
        </w:rPr>
        <w:t>5.4因重大变故，采购任务取消的。</w:t>
      </w:r>
    </w:p>
    <w:p>
      <w:pPr>
        <w:pStyle w:val="24"/>
        <w:snapToGrid w:val="0"/>
        <w:spacing w:line="360" w:lineRule="auto"/>
        <w:rPr>
          <w:rFonts w:hint="eastAsia" w:ascii="仿宋" w:hAnsi="仿宋" w:eastAsia="仿宋" w:cs="仿宋"/>
        </w:rPr>
      </w:pPr>
      <w:r>
        <w:rPr>
          <w:rFonts w:hint="eastAsia" w:ascii="仿宋" w:hAnsi="仿宋" w:eastAsia="仿宋" w:cs="仿宋"/>
        </w:rPr>
        <w:t>废标后，采购机构应当将废标理由通知所有投标人。</w:t>
      </w:r>
    </w:p>
    <w:p>
      <w:pPr>
        <w:pStyle w:val="24"/>
        <w:snapToGrid w:val="0"/>
        <w:spacing w:line="360" w:lineRule="auto"/>
        <w:ind w:firstLine="590" w:firstLineChars="245"/>
        <w:rPr>
          <w:rFonts w:hint="eastAsia"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4"/>
        <w:snapToGrid w:val="0"/>
        <w:spacing w:line="360" w:lineRule="auto"/>
        <w:ind w:firstLine="482"/>
        <w:rPr>
          <w:rFonts w:hint="eastAsia"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有政府采购法第七十一条、第七十二条规定的违法行为之一，影响或者可能影响中标结果的，依照下列规定处理：</w:t>
      </w:r>
    </w:p>
    <w:p>
      <w:pPr>
        <w:pStyle w:val="24"/>
        <w:snapToGrid w:val="0"/>
        <w:spacing w:line="360" w:lineRule="auto"/>
        <w:rPr>
          <w:rFonts w:hint="eastAsia" w:ascii="仿宋" w:hAnsi="仿宋" w:eastAsia="仿宋" w:cs="仿宋"/>
        </w:rPr>
      </w:pPr>
      <w:r>
        <w:rPr>
          <w:rFonts w:hint="eastAsia" w:ascii="仿宋" w:hAnsi="仿宋" w:eastAsia="仿宋" w:cs="仿宋"/>
        </w:rPr>
        <w:t>7.1未确定中标供应商的，终止本次政府采购活动，重新开展政府采购活动。</w:t>
      </w:r>
    </w:p>
    <w:p>
      <w:pPr>
        <w:pStyle w:val="24"/>
        <w:snapToGrid w:val="0"/>
        <w:spacing w:line="360" w:lineRule="auto"/>
        <w:rPr>
          <w:rFonts w:hint="eastAsia" w:ascii="仿宋" w:hAnsi="仿宋" w:eastAsia="仿宋" w:cs="仿宋"/>
        </w:rPr>
      </w:pPr>
      <w:r>
        <w:rPr>
          <w:rFonts w:hint="eastAsia" w:ascii="仿宋" w:hAnsi="仿宋" w:eastAsia="仿宋" w:cs="仿宋"/>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hint="eastAsia" w:ascii="仿宋" w:hAnsi="仿宋" w:eastAsia="仿宋" w:cs="仿宋"/>
        </w:rPr>
      </w:pPr>
      <w:r>
        <w:rPr>
          <w:rFonts w:hint="eastAsia" w:ascii="仿宋" w:hAnsi="仿宋" w:eastAsia="仿宋" w:cs="仿宋"/>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hint="eastAsia" w:ascii="仿宋" w:hAnsi="仿宋" w:eastAsia="仿宋" w:cs="仿宋"/>
        </w:rPr>
      </w:pPr>
      <w:r>
        <w:rPr>
          <w:rFonts w:hint="eastAsia" w:ascii="仿宋" w:hAnsi="仿宋" w:eastAsia="仿宋" w:cs="仿宋"/>
        </w:rPr>
        <w:t>7.4政府采购合同已经履行，给采购人、供应商造成损失的，由责任人承担赔偿责任。</w:t>
      </w:r>
    </w:p>
    <w:p>
      <w:pPr>
        <w:pStyle w:val="24"/>
        <w:snapToGrid w:val="0"/>
        <w:spacing w:line="360" w:lineRule="auto"/>
        <w:rPr>
          <w:rFonts w:hint="eastAsia" w:ascii="仿宋" w:hAnsi="仿宋" w:eastAsia="仿宋" w:cs="仿宋"/>
        </w:rPr>
      </w:pPr>
      <w:r>
        <w:rPr>
          <w:rFonts w:hint="eastAsia" w:ascii="仿宋" w:hAnsi="仿宋" w:eastAsia="仿宋" w:cs="仿宋"/>
        </w:rPr>
        <w:t>7.5政府采购当事人有其他违反政府采购法或者政府采购法实施条例等法律法规规定的行为，经改正后仍然影响或者可能影响中标结果或者依法被认定为中标无效的，依照7.1-7.4规定处理。</w:t>
      </w:r>
    </w:p>
    <w:p>
      <w:pPr>
        <w:pStyle w:val="24"/>
        <w:snapToGrid w:val="0"/>
        <w:spacing w:line="360" w:lineRule="auto"/>
        <w:ind w:firstLine="0" w:firstLineChars="0"/>
        <w:rPr>
          <w:rFonts w:hint="eastAsia" w:ascii="仿宋" w:hAnsi="仿宋" w:eastAsia="仿宋" w:cs="仿宋"/>
        </w:rPr>
      </w:pPr>
    </w:p>
    <w:bookmarkEnd w:id="27"/>
    <w:p>
      <w:pPr>
        <w:spacing w:line="360" w:lineRule="auto"/>
        <w:ind w:left="720" w:leftChars="343" w:firstLine="1084" w:firstLineChars="300"/>
        <w:outlineLvl w:val="0"/>
        <w:rPr>
          <w:rFonts w:hint="eastAsia" w:ascii="仿宋" w:hAnsi="仿宋" w:eastAsia="仿宋" w:cs="仿宋"/>
          <w:b/>
          <w:sz w:val="36"/>
          <w:szCs w:val="36"/>
        </w:rPr>
      </w:pPr>
      <w:bookmarkStart w:id="411" w:name="第五部分"/>
      <w:bookmarkStart w:id="412" w:name="_Toc86217003"/>
    </w:p>
    <w:p>
      <w:pPr>
        <w:spacing w:line="360" w:lineRule="auto"/>
        <w:ind w:left="720" w:leftChars="343" w:firstLine="1084" w:firstLineChars="300"/>
        <w:outlineLvl w:val="0"/>
        <w:rPr>
          <w:rFonts w:hint="eastAsia" w:ascii="仿宋" w:hAnsi="仿宋" w:eastAsia="仿宋" w:cs="仿宋"/>
          <w:b/>
          <w:sz w:val="36"/>
          <w:szCs w:val="36"/>
        </w:rPr>
      </w:pPr>
      <w:r>
        <w:rPr>
          <w:rFonts w:hint="eastAsia" w:ascii="仿宋" w:hAnsi="仿宋" w:eastAsia="仿宋" w:cs="仿宋"/>
          <w:b/>
          <w:sz w:val="36"/>
          <w:szCs w:val="36"/>
        </w:rPr>
        <w:t xml:space="preserve">    </w:t>
      </w: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r>
        <w:rPr>
          <w:rFonts w:hint="eastAsia" w:ascii="仿宋" w:hAnsi="仿宋" w:eastAsia="仿宋" w:cs="仿宋"/>
          <w:b/>
          <w:sz w:val="36"/>
          <w:szCs w:val="36"/>
        </w:rPr>
        <w:t>第五部分 拟签订的合同文本</w:t>
      </w:r>
    </w:p>
    <w:p>
      <w:pPr>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pPr>
        <w:spacing w:line="480" w:lineRule="auto"/>
        <w:jc w:val="center"/>
        <w:rPr>
          <w:rFonts w:hint="eastAsia" w:ascii="仿宋" w:hAnsi="仿宋" w:eastAsia="仿宋" w:cs="仿宋"/>
          <w:b/>
          <w:sz w:val="28"/>
          <w:szCs w:val="28"/>
        </w:rPr>
      </w:pPr>
    </w:p>
    <w:p>
      <w:pPr>
        <w:spacing w:line="480" w:lineRule="auto"/>
        <w:jc w:val="center"/>
        <w:rPr>
          <w:rFonts w:hint="eastAsia" w:ascii="仿宋" w:hAnsi="仿宋" w:eastAsia="仿宋" w:cs="仿宋"/>
          <w:b/>
          <w:sz w:val="24"/>
        </w:rPr>
      </w:pPr>
    </w:p>
    <w:p>
      <w:pPr>
        <w:spacing w:line="480" w:lineRule="auto"/>
        <w:jc w:val="center"/>
        <w:rPr>
          <w:rFonts w:hint="eastAsia" w:ascii="仿宋" w:hAnsi="仿宋" w:eastAsia="仿宋" w:cs="仿宋"/>
          <w:b/>
          <w:sz w:val="24"/>
        </w:rPr>
      </w:pPr>
    </w:p>
    <w:p>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政府采购合同参考范本</w:t>
      </w:r>
    </w:p>
    <w:p>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（服务类）</w:t>
      </w:r>
    </w:p>
    <w:p>
      <w:pPr>
        <w:pStyle w:val="699"/>
        <w:ind w:firstLine="2843" w:firstLineChars="1180"/>
        <w:rPr>
          <w:rFonts w:hint="eastAsia" w:ascii="仿宋" w:hAnsi="仿宋" w:eastAsia="仿宋" w:cs="仿宋"/>
          <w:b/>
          <w:szCs w:val="24"/>
        </w:rPr>
      </w:pPr>
      <w:r>
        <w:rPr>
          <w:rFonts w:hint="eastAsia" w:ascii="仿宋" w:hAnsi="仿宋" w:eastAsia="仿宋" w:cs="仿宋"/>
          <w:b/>
          <w:szCs w:val="24"/>
        </w:rPr>
        <w:t>第一部分 合同书</w:t>
      </w:r>
    </w:p>
    <w:p>
      <w:pPr>
        <w:spacing w:before="120" w:line="22" w:lineRule="atLeast"/>
        <w:rPr>
          <w:rFonts w:hint="eastAsia" w:ascii="仿宋" w:hAnsi="仿宋" w:eastAsia="仿宋" w:cs="仿宋"/>
          <w:sz w:val="24"/>
        </w:rPr>
      </w:pPr>
    </w:p>
    <w:p>
      <w:pPr>
        <w:pStyle w:val="4"/>
        <w:rPr>
          <w:rFonts w:hint="eastAsia" w:ascii="仿宋" w:hAnsi="仿宋" w:eastAsia="仿宋" w:cs="仿宋"/>
        </w:rPr>
      </w:pPr>
    </w:p>
    <w:p>
      <w:pPr>
        <w:spacing w:before="120" w:line="22" w:lineRule="atLeast"/>
        <w:ind w:left="96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pPr>
        <w:pStyle w:val="596"/>
        <w:spacing w:before="120" w:line="22" w:lineRule="atLeast"/>
        <w:rPr>
          <w:rFonts w:hint="eastAsia" w:ascii="仿宋" w:hAnsi="仿宋" w:eastAsia="仿宋" w:cs="仿宋"/>
          <w:szCs w:val="24"/>
        </w:rPr>
      </w:pPr>
    </w:p>
    <w:p>
      <w:pPr>
        <w:pStyle w:val="596"/>
        <w:spacing w:before="120" w:line="22" w:lineRule="atLeast"/>
        <w:rPr>
          <w:rFonts w:hint="eastAsia" w:ascii="仿宋" w:hAnsi="仿宋" w:eastAsia="仿宋" w:cs="仿宋"/>
          <w:szCs w:val="24"/>
        </w:rPr>
      </w:pPr>
    </w:p>
    <w:p>
      <w:pPr>
        <w:rPr>
          <w:rFonts w:hint="eastAsia" w:ascii="仿宋" w:hAnsi="仿宋" w:eastAsia="仿宋" w:cs="仿宋"/>
          <w:sz w:val="24"/>
        </w:rPr>
      </w:pPr>
    </w:p>
    <w:p>
      <w:pPr>
        <w:spacing w:before="120" w:line="22" w:lineRule="atLeast"/>
        <w:ind w:left="960"/>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left="960"/>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widowControl/>
        <w:jc w:val="left"/>
        <w:rPr>
          <w:rFonts w:hint="eastAsia" w:ascii="仿宋" w:hAnsi="仿宋" w:eastAsia="仿宋" w:cs="仿宋"/>
          <w:kern w:val="0"/>
          <w:sz w:val="24"/>
        </w:rPr>
        <w:sectPr>
          <w:pgSz w:w="11907" w:h="16840"/>
          <w:pgMar w:top="1474" w:right="1814" w:bottom="1474" w:left="1814" w:header="851" w:footer="851" w:gutter="0"/>
          <w:cols w:space="720" w:num="1"/>
        </w:sectPr>
      </w:pPr>
    </w:p>
    <w:p>
      <w:pPr>
        <w:spacing w:line="560" w:lineRule="exact"/>
        <w:ind w:firstLine="480" w:firstLineChars="200"/>
        <w:rPr>
          <w:rFonts w:hint="eastAsia" w:ascii="仿宋" w:hAnsi="仿宋" w:eastAsia="仿宋" w:cs="仿宋"/>
          <w:sz w:val="24"/>
        </w:rPr>
      </w:pP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rPr>
        <w:t>，</w:t>
      </w:r>
      <w:r>
        <w:rPr>
          <w:rFonts w:hint="eastAsia" w:ascii="仿宋" w:hAnsi="仿宋" w:eastAsia="仿宋" w:cs="仿宋"/>
          <w:sz w:val="24"/>
          <w:u w:val="single"/>
        </w:rPr>
        <w:t xml:space="preserve">   （采购人名称）   </w:t>
      </w:r>
      <w:r>
        <w:rPr>
          <w:rFonts w:hint="eastAsia" w:ascii="仿宋" w:hAnsi="仿宋" w:eastAsia="仿宋" w:cs="仿宋"/>
          <w:sz w:val="24"/>
        </w:rPr>
        <w:t>以</w:t>
      </w:r>
      <w:r>
        <w:rPr>
          <w:rFonts w:hint="eastAsia" w:ascii="仿宋" w:hAnsi="仿宋" w:eastAsia="仿宋" w:cs="仿宋"/>
          <w:sz w:val="24"/>
          <w:u w:val="single"/>
        </w:rPr>
        <w:t xml:space="preserve">   （政府采购方式）  </w:t>
      </w:r>
      <w:r>
        <w:rPr>
          <w:rFonts w:hint="eastAsia" w:ascii="仿宋" w:hAnsi="仿宋" w:eastAsia="仿宋" w:cs="仿宋"/>
          <w:sz w:val="24"/>
        </w:rPr>
        <w:t>对</w:t>
      </w:r>
      <w:r>
        <w:rPr>
          <w:rFonts w:hint="eastAsia" w:ascii="仿宋" w:hAnsi="仿宋" w:eastAsia="仿宋" w:cs="仿宋"/>
          <w:sz w:val="24"/>
          <w:u w:val="single"/>
        </w:rPr>
        <w:t xml:space="preserve">   （同前页项目名称）   </w:t>
      </w:r>
      <w:r>
        <w:rPr>
          <w:rFonts w:hint="eastAsia" w:ascii="仿宋" w:hAnsi="仿宋" w:eastAsia="仿宋" w:cs="仿宋"/>
          <w:sz w:val="24"/>
        </w:rPr>
        <w:t>项目进行了采购。经</w:t>
      </w:r>
      <w:r>
        <w:rPr>
          <w:rFonts w:hint="eastAsia" w:ascii="仿宋" w:hAnsi="仿宋" w:eastAsia="仿宋" w:cs="仿宋"/>
          <w:sz w:val="24"/>
          <w:u w:val="single"/>
        </w:rPr>
        <w:t xml:space="preserve">   （相关评定主体名称）   </w:t>
      </w:r>
      <w:r>
        <w:rPr>
          <w:rFonts w:hint="eastAsia" w:ascii="仿宋" w:hAnsi="仿宋" w:eastAsia="仿宋" w:cs="仿宋"/>
          <w:sz w:val="24"/>
        </w:rPr>
        <w:t>评定，</w:t>
      </w:r>
      <w:r>
        <w:rPr>
          <w:rFonts w:hint="eastAsia" w:ascii="仿宋" w:hAnsi="仿宋" w:eastAsia="仿宋" w:cs="仿宋"/>
          <w:sz w:val="24"/>
          <w:u w:val="single"/>
        </w:rPr>
        <w:t xml:space="preserve">   （中标供应商名称） </w:t>
      </w:r>
      <w:r>
        <w:rPr>
          <w:rFonts w:hint="eastAsia" w:ascii="仿宋" w:hAnsi="仿宋" w:eastAsia="仿宋" w:cs="仿宋"/>
          <w:sz w:val="24"/>
        </w:rPr>
        <w:t>为该项目中标供应商。现于中标通知书发出之日起10个工作日内，按照采购文件确定的事项签订本合同。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根据《中华人民共和国民法典》《中华人民共和国政府采购法》等相关法律法规之规定，按照平等、自愿、公平和诚实信用的原则，经</w:t>
      </w:r>
      <w:r>
        <w:rPr>
          <w:rFonts w:hint="eastAsia" w:ascii="仿宋" w:hAnsi="仿宋" w:eastAsia="仿宋" w:cs="仿宋"/>
          <w:sz w:val="24"/>
          <w:u w:val="single"/>
        </w:rPr>
        <w:t xml:space="preserve">   （采购人名称）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pPr>
        <w:spacing w:line="560" w:lineRule="exact"/>
        <w:ind w:firstLine="482" w:firstLineChars="200"/>
        <w:outlineLvl w:val="0"/>
        <w:rPr>
          <w:rFonts w:hint="eastAsia" w:ascii="仿宋" w:hAnsi="仿宋" w:eastAsia="仿宋" w:cs="仿宋"/>
          <w:sz w:val="24"/>
        </w:rPr>
      </w:pPr>
      <w:bookmarkStart w:id="413" w:name="_Toc19273"/>
      <w:bookmarkStart w:id="414" w:name="_Toc20421"/>
      <w:bookmarkStart w:id="415" w:name="_Toc22967"/>
      <w:bookmarkStart w:id="416" w:name="_Toc15367"/>
      <w:bookmarkStart w:id="417" w:name="_Toc28855"/>
      <w:r>
        <w:rPr>
          <w:rFonts w:hint="eastAsia" w:ascii="仿宋" w:hAnsi="仿宋" w:eastAsia="仿宋" w:cs="仿宋"/>
          <w:b/>
          <w:sz w:val="24"/>
        </w:rPr>
        <w:t>1.1 合同组成部分</w:t>
      </w:r>
      <w:bookmarkEnd w:id="413"/>
      <w:bookmarkEnd w:id="414"/>
      <w:bookmarkEnd w:id="415"/>
      <w:bookmarkEnd w:id="416"/>
      <w:bookmarkEnd w:id="417"/>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1.1.1 本合同及其补充合同、变更协议；</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1.1.2 中标通知书；</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1.1.3 投标文件（含澄清或者说明文件）；</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1.1.4 招标文件（含澄清或者修改文件）；</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1.1.5 其他相关采购文件。</w:t>
      </w:r>
    </w:p>
    <w:p>
      <w:pPr>
        <w:spacing w:line="560" w:lineRule="exact"/>
        <w:ind w:firstLine="482" w:firstLineChars="200"/>
        <w:outlineLvl w:val="0"/>
        <w:rPr>
          <w:rFonts w:hint="eastAsia" w:ascii="仿宋" w:hAnsi="仿宋" w:eastAsia="仿宋" w:cs="仿宋"/>
          <w:b/>
          <w:sz w:val="24"/>
        </w:rPr>
      </w:pPr>
      <w:bookmarkStart w:id="418" w:name="_Toc2918"/>
      <w:bookmarkStart w:id="419" w:name="_Toc18585"/>
      <w:bookmarkStart w:id="420" w:name="_Toc22185"/>
      <w:bookmarkStart w:id="421" w:name="_Toc6773"/>
      <w:bookmarkStart w:id="422" w:name="_Toc6311"/>
      <w:r>
        <w:rPr>
          <w:rFonts w:hint="eastAsia" w:ascii="仿宋" w:hAnsi="仿宋" w:eastAsia="仿宋" w:cs="仿宋"/>
          <w:b/>
          <w:sz w:val="24"/>
        </w:rPr>
        <w:t>1.2 标的</w:t>
      </w:r>
      <w:bookmarkEnd w:id="418"/>
      <w:bookmarkEnd w:id="419"/>
      <w:bookmarkEnd w:id="420"/>
      <w:bookmarkEnd w:id="421"/>
      <w:bookmarkEnd w:id="422"/>
    </w:p>
    <w:p>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1.2.1 标的名称：</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1.2.2 标的数量：</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1.2.3 标的质量：</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2" w:firstLineChars="200"/>
        <w:outlineLvl w:val="0"/>
        <w:rPr>
          <w:rFonts w:hint="eastAsia" w:ascii="仿宋" w:hAnsi="仿宋" w:eastAsia="仿宋" w:cs="仿宋"/>
          <w:b/>
          <w:sz w:val="24"/>
        </w:rPr>
      </w:pPr>
      <w:bookmarkStart w:id="423" w:name="_Toc21124"/>
      <w:bookmarkStart w:id="424" w:name="_Toc4929"/>
      <w:bookmarkStart w:id="425" w:name="_Toc1386"/>
      <w:bookmarkStart w:id="426" w:name="_Toc13918"/>
      <w:bookmarkStart w:id="427" w:name="_Toc5635"/>
      <w:r>
        <w:rPr>
          <w:rFonts w:hint="eastAsia" w:ascii="仿宋" w:hAnsi="仿宋" w:eastAsia="仿宋" w:cs="仿宋"/>
          <w:b/>
          <w:sz w:val="24"/>
        </w:rPr>
        <w:t>1.3 价款</w:t>
      </w:r>
      <w:bookmarkEnd w:id="423"/>
      <w:bookmarkEnd w:id="424"/>
      <w:bookmarkEnd w:id="425"/>
      <w:bookmarkEnd w:id="426"/>
      <w:bookmarkEnd w:id="427"/>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本合同总价为：￥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3402" w:type="dxa"/>
            <w:vAlign w:val="center"/>
          </w:tcPr>
          <w:p>
            <w:pPr>
              <w:pStyle w:val="317"/>
              <w:spacing w:line="560" w:lineRule="exact"/>
              <w:ind w:firstLine="200"/>
              <w:jc w:val="center"/>
              <w:rPr>
                <w:rFonts w:hint="eastAsia" w:ascii="仿宋" w:hAnsi="仿宋" w:eastAsia="仿宋" w:cs="仿宋"/>
                <w:sz w:val="24"/>
                <w:szCs w:val="24"/>
              </w:rPr>
            </w:pPr>
            <w:r>
              <w:rPr>
                <w:rFonts w:hint="eastAsia" w:ascii="仿宋" w:hAnsi="仿宋" w:eastAsia="仿宋" w:cs="仿宋"/>
                <w:sz w:val="24"/>
                <w:szCs w:val="24"/>
              </w:rPr>
              <w:t>分项名称</w:t>
            </w:r>
          </w:p>
        </w:tc>
        <w:tc>
          <w:tcPr>
            <w:tcW w:w="2552" w:type="dxa"/>
            <w:vAlign w:val="center"/>
          </w:tcPr>
          <w:p>
            <w:pPr>
              <w:pStyle w:val="317"/>
              <w:spacing w:line="560" w:lineRule="exact"/>
              <w:jc w:val="center"/>
              <w:rPr>
                <w:rFonts w:hint="eastAsia" w:ascii="仿宋" w:hAnsi="仿宋" w:eastAsia="仿宋" w:cs="仿宋"/>
                <w:sz w:val="24"/>
                <w:szCs w:val="24"/>
              </w:rPr>
            </w:pPr>
            <w:r>
              <w:rPr>
                <w:rFonts w:hint="eastAsia" w:ascii="仿宋" w:hAnsi="仿宋" w:eastAsia="仿宋" w:cs="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int="eastAsia" w:ascii="仿宋" w:hAnsi="仿宋" w:eastAsia="仿宋" w:cs="仿宋"/>
                <w:sz w:val="24"/>
                <w:szCs w:val="24"/>
              </w:rPr>
            </w:pPr>
          </w:p>
        </w:tc>
        <w:tc>
          <w:tcPr>
            <w:tcW w:w="3402" w:type="dxa"/>
            <w:vAlign w:val="center"/>
          </w:tcPr>
          <w:p>
            <w:pPr>
              <w:pStyle w:val="317"/>
              <w:spacing w:line="560" w:lineRule="exact"/>
              <w:ind w:firstLine="200"/>
              <w:jc w:val="center"/>
              <w:rPr>
                <w:rFonts w:hint="eastAsia" w:ascii="仿宋" w:hAnsi="仿宋" w:eastAsia="仿宋" w:cs="仿宋"/>
                <w:sz w:val="24"/>
                <w:szCs w:val="24"/>
              </w:rPr>
            </w:pPr>
          </w:p>
        </w:tc>
        <w:tc>
          <w:tcPr>
            <w:tcW w:w="2552" w:type="dxa"/>
            <w:vAlign w:val="center"/>
          </w:tcPr>
          <w:p>
            <w:pPr>
              <w:pStyle w:val="317"/>
              <w:spacing w:line="560" w:lineRule="exact"/>
              <w:ind w:firstLine="2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int="eastAsia" w:ascii="仿宋" w:hAnsi="仿宋" w:eastAsia="仿宋" w:cs="仿宋"/>
                <w:sz w:val="24"/>
                <w:szCs w:val="24"/>
              </w:rPr>
            </w:pPr>
          </w:p>
        </w:tc>
        <w:tc>
          <w:tcPr>
            <w:tcW w:w="3402" w:type="dxa"/>
            <w:vAlign w:val="center"/>
          </w:tcPr>
          <w:p>
            <w:pPr>
              <w:pStyle w:val="317"/>
              <w:spacing w:line="560" w:lineRule="exact"/>
              <w:ind w:firstLine="200"/>
              <w:jc w:val="center"/>
              <w:rPr>
                <w:rFonts w:hint="eastAsia" w:ascii="仿宋" w:hAnsi="仿宋" w:eastAsia="仿宋" w:cs="仿宋"/>
                <w:sz w:val="24"/>
                <w:szCs w:val="24"/>
              </w:rPr>
            </w:pPr>
          </w:p>
        </w:tc>
        <w:tc>
          <w:tcPr>
            <w:tcW w:w="2552" w:type="dxa"/>
            <w:vAlign w:val="center"/>
          </w:tcPr>
          <w:p>
            <w:pPr>
              <w:pStyle w:val="317"/>
              <w:spacing w:line="560" w:lineRule="exact"/>
              <w:ind w:firstLine="2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int="eastAsia" w:ascii="仿宋" w:hAnsi="仿宋" w:eastAsia="仿宋" w:cs="仿宋"/>
                <w:sz w:val="24"/>
                <w:szCs w:val="24"/>
              </w:rPr>
            </w:pPr>
          </w:p>
        </w:tc>
        <w:tc>
          <w:tcPr>
            <w:tcW w:w="3402" w:type="dxa"/>
            <w:vAlign w:val="center"/>
          </w:tcPr>
          <w:p>
            <w:pPr>
              <w:pStyle w:val="317"/>
              <w:spacing w:line="560" w:lineRule="exact"/>
              <w:ind w:firstLine="200"/>
              <w:jc w:val="center"/>
              <w:rPr>
                <w:rFonts w:hint="eastAsia" w:ascii="仿宋" w:hAnsi="仿宋" w:eastAsia="仿宋" w:cs="仿宋"/>
                <w:sz w:val="24"/>
                <w:szCs w:val="24"/>
              </w:rPr>
            </w:pPr>
          </w:p>
        </w:tc>
        <w:tc>
          <w:tcPr>
            <w:tcW w:w="2552" w:type="dxa"/>
            <w:vAlign w:val="center"/>
          </w:tcPr>
          <w:p>
            <w:pPr>
              <w:pStyle w:val="317"/>
              <w:spacing w:line="560" w:lineRule="exact"/>
              <w:ind w:firstLine="2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int="eastAsia" w:ascii="仿宋" w:hAnsi="仿宋" w:eastAsia="仿宋" w:cs="仿宋"/>
                <w:sz w:val="24"/>
                <w:szCs w:val="24"/>
              </w:rPr>
            </w:pPr>
          </w:p>
        </w:tc>
        <w:tc>
          <w:tcPr>
            <w:tcW w:w="3402" w:type="dxa"/>
            <w:vAlign w:val="center"/>
          </w:tcPr>
          <w:p>
            <w:pPr>
              <w:pStyle w:val="317"/>
              <w:spacing w:line="560" w:lineRule="exact"/>
              <w:ind w:firstLine="200"/>
              <w:jc w:val="center"/>
              <w:rPr>
                <w:rFonts w:hint="eastAsia" w:ascii="仿宋" w:hAnsi="仿宋" w:eastAsia="仿宋" w:cs="仿宋"/>
                <w:sz w:val="24"/>
                <w:szCs w:val="24"/>
              </w:rPr>
            </w:pPr>
          </w:p>
        </w:tc>
        <w:tc>
          <w:tcPr>
            <w:tcW w:w="2552" w:type="dxa"/>
            <w:vAlign w:val="center"/>
          </w:tcPr>
          <w:p>
            <w:pPr>
              <w:pStyle w:val="317"/>
              <w:spacing w:line="560" w:lineRule="exact"/>
              <w:ind w:firstLine="2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7"/>
              <w:spacing w:line="560" w:lineRule="exact"/>
              <w:ind w:firstLine="200"/>
              <w:jc w:val="center"/>
              <w:rPr>
                <w:rFonts w:hint="eastAsia" w:ascii="仿宋" w:hAnsi="仿宋" w:eastAsia="仿宋" w:cs="仿宋"/>
                <w:sz w:val="24"/>
                <w:szCs w:val="24"/>
              </w:rPr>
            </w:pPr>
            <w:r>
              <w:rPr>
                <w:rFonts w:hint="eastAsia" w:ascii="仿宋" w:hAnsi="仿宋" w:eastAsia="仿宋" w:cs="仿宋"/>
                <w:sz w:val="24"/>
                <w:szCs w:val="24"/>
              </w:rPr>
              <w:t>总价</w:t>
            </w:r>
          </w:p>
        </w:tc>
        <w:tc>
          <w:tcPr>
            <w:tcW w:w="2552" w:type="dxa"/>
            <w:vAlign w:val="center"/>
          </w:tcPr>
          <w:p>
            <w:pPr>
              <w:pStyle w:val="317"/>
              <w:spacing w:line="560" w:lineRule="exact"/>
              <w:ind w:firstLine="200"/>
              <w:jc w:val="center"/>
              <w:rPr>
                <w:rFonts w:hint="eastAsia" w:ascii="仿宋" w:hAnsi="仿宋" w:eastAsia="仿宋" w:cs="仿宋"/>
                <w:sz w:val="24"/>
                <w:szCs w:val="24"/>
              </w:rPr>
            </w:pPr>
          </w:p>
        </w:tc>
      </w:tr>
    </w:tbl>
    <w:p>
      <w:pPr>
        <w:spacing w:line="560" w:lineRule="exact"/>
        <w:ind w:firstLine="482" w:firstLineChars="200"/>
        <w:outlineLvl w:val="0"/>
        <w:rPr>
          <w:rFonts w:hint="eastAsia" w:ascii="仿宋" w:hAnsi="仿宋" w:eastAsia="仿宋" w:cs="仿宋"/>
          <w:b/>
          <w:sz w:val="24"/>
        </w:rPr>
      </w:pPr>
      <w:bookmarkStart w:id="428" w:name="_Toc30158"/>
      <w:bookmarkStart w:id="429" w:name="_Toc30506"/>
      <w:bookmarkStart w:id="430" w:name="_Toc26916"/>
      <w:bookmarkStart w:id="431" w:name="_Toc14993"/>
      <w:bookmarkStart w:id="432" w:name="_Toc3654"/>
      <w:r>
        <w:rPr>
          <w:rFonts w:hint="eastAsia" w:ascii="仿宋" w:hAnsi="仿宋" w:eastAsia="仿宋" w:cs="仿宋"/>
          <w:b/>
          <w:sz w:val="24"/>
        </w:rPr>
        <w:t>1.4 付款方式和发票开具方式</w:t>
      </w:r>
      <w:bookmarkEnd w:id="428"/>
      <w:bookmarkEnd w:id="429"/>
      <w:bookmarkEnd w:id="430"/>
      <w:bookmarkEnd w:id="431"/>
      <w:bookmarkEnd w:id="432"/>
    </w:p>
    <w:p>
      <w:pPr>
        <w:pStyle w:val="957"/>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1.4.2 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560" w:lineRule="exact"/>
        <w:ind w:firstLine="480" w:firstLineChars="200"/>
        <w:outlineLvl w:val="0"/>
        <w:rPr>
          <w:rFonts w:hint="eastAsia" w:ascii="仿宋" w:hAnsi="仿宋" w:eastAsia="仿宋" w:cs="仿宋"/>
          <w:sz w:val="24"/>
        </w:rPr>
      </w:pPr>
      <w:r>
        <w:rPr>
          <w:rFonts w:hint="eastAsia" w:ascii="仿宋" w:hAnsi="仿宋" w:eastAsia="仿宋" w:cs="仿宋"/>
          <w:sz w:val="24"/>
        </w:rPr>
        <w:t>1.4.4资金支付的方式、时间和条件详见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outlineLvl w:val="0"/>
        <w:rPr>
          <w:rFonts w:hint="eastAsia" w:ascii="仿宋" w:hAnsi="仿宋" w:eastAsia="仿宋" w:cs="仿宋"/>
          <w:sz w:val="24"/>
        </w:rPr>
      </w:pPr>
      <w:r>
        <w:rPr>
          <w:rFonts w:hint="eastAsia" w:ascii="仿宋" w:hAnsi="仿宋" w:eastAsia="仿宋" w:cs="仿宋"/>
          <w:sz w:val="24"/>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560" w:lineRule="exact"/>
        <w:ind w:firstLine="482" w:firstLineChars="200"/>
        <w:outlineLvl w:val="0"/>
        <w:rPr>
          <w:rFonts w:hint="eastAsia" w:ascii="仿宋" w:hAnsi="仿宋" w:eastAsia="仿宋" w:cs="仿宋"/>
          <w:b/>
          <w:sz w:val="24"/>
        </w:rPr>
      </w:pPr>
      <w:bookmarkStart w:id="433" w:name="_Toc31421"/>
      <w:bookmarkStart w:id="434" w:name="_Toc3625"/>
      <w:bookmarkStart w:id="435" w:name="_Toc11108"/>
      <w:bookmarkStart w:id="436" w:name="_Toc4760"/>
      <w:bookmarkStart w:id="437" w:name="_Toc8772"/>
      <w:r>
        <w:rPr>
          <w:rFonts w:hint="eastAsia" w:ascii="仿宋" w:hAnsi="仿宋" w:eastAsia="仿宋" w:cs="仿宋"/>
          <w:b/>
          <w:sz w:val="24"/>
        </w:rPr>
        <w:t>1.5 履行期限、地点和方式</w:t>
      </w:r>
      <w:bookmarkEnd w:id="433"/>
      <w:bookmarkEnd w:id="434"/>
      <w:bookmarkEnd w:id="435"/>
      <w:bookmarkEnd w:id="436"/>
      <w:bookmarkEnd w:id="437"/>
    </w:p>
    <w:p>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1.5.1 履行期限：</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1.5.2 履行地点：</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1.5.3 履行方式：</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hint="eastAsia" w:ascii="仿宋" w:hAnsi="仿宋" w:eastAsia="仿宋" w:cs="仿宋"/>
          <w:sz w:val="24"/>
          <w:u w:val="single"/>
        </w:rPr>
      </w:pPr>
      <w:bookmarkStart w:id="438" w:name="_Toc24662"/>
      <w:bookmarkStart w:id="439" w:name="_Toc5698"/>
      <w:bookmarkStart w:id="440" w:name="_Toc8586"/>
      <w:bookmarkStart w:id="441" w:name="_Toc3079"/>
      <w:bookmarkStart w:id="442" w:name="_Toc2375"/>
      <w:r>
        <w:rPr>
          <w:rFonts w:hint="eastAsia" w:ascii="仿宋" w:hAnsi="仿宋" w:eastAsia="仿宋" w:cs="仿宋"/>
          <w:b/>
          <w:sz w:val="24"/>
        </w:rPr>
        <w:t>1.6 违约责任</w:t>
      </w:r>
      <w:bookmarkEnd w:id="438"/>
      <w:bookmarkEnd w:id="439"/>
      <w:bookmarkEnd w:id="440"/>
      <w:bookmarkEnd w:id="441"/>
      <w:bookmarkEnd w:id="442"/>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1.6.1 除不可抗力外，如果乙方没有按照本合同约定的期限、地点和方式履行，那么甲方可要求乙方支付违约金，违约金按每迟延履行一日的应提供而未提供服务价格的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%；迟延履行的违约金计算数额达到前述最高限额之日起，甲方有权在要求乙方支付违约金的同时，书面通知乙方解除本合同；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1.6.2 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720" w:firstLineChars="300"/>
        <w:rPr>
          <w:rFonts w:hint="eastAsia" w:ascii="仿宋" w:hAnsi="仿宋" w:eastAsia="仿宋" w:cs="仿宋"/>
        </w:rPr>
      </w:pPr>
      <w:r>
        <w:rPr>
          <w:rFonts w:hint="eastAsia" w:ascii="仿宋" w:hAnsi="仿宋" w:eastAsia="仿宋" w:cs="仿宋"/>
          <w:sz w:val="24"/>
        </w:rPr>
        <w:t>1.6.7违约责任</w:t>
      </w:r>
      <w:r>
        <w:rPr>
          <w:rFonts w:hint="eastAsia" w:ascii="仿宋" w:hAnsi="仿宋" w:eastAsia="仿宋" w:cs="仿宋"/>
          <w:b/>
          <w:i/>
          <w:sz w:val="24"/>
          <w:u w:val="single"/>
        </w:rPr>
        <w:t>合同专用条款</w:t>
      </w:r>
      <w:r>
        <w:rPr>
          <w:rFonts w:hint="eastAsia" w:ascii="仿宋" w:hAnsi="仿宋" w:eastAsia="仿宋" w:cs="仿宋"/>
          <w:sz w:val="24"/>
        </w:rPr>
        <w:t>另有约定的，从其约定。</w:t>
      </w:r>
    </w:p>
    <w:p>
      <w:pPr>
        <w:spacing w:line="560" w:lineRule="exact"/>
        <w:ind w:firstLine="482" w:firstLineChars="200"/>
        <w:outlineLvl w:val="0"/>
        <w:rPr>
          <w:rFonts w:hint="eastAsia" w:ascii="仿宋" w:hAnsi="仿宋" w:eastAsia="仿宋" w:cs="仿宋"/>
          <w:b/>
          <w:sz w:val="24"/>
        </w:rPr>
      </w:pPr>
      <w:bookmarkStart w:id="443" w:name="_Toc18683"/>
      <w:bookmarkStart w:id="444" w:name="_Toc32454"/>
      <w:bookmarkStart w:id="445" w:name="_Toc9497"/>
      <w:bookmarkStart w:id="446" w:name="_Toc30329"/>
      <w:bookmarkStart w:id="447" w:name="_Toc26807"/>
      <w:r>
        <w:rPr>
          <w:rFonts w:hint="eastAsia" w:ascii="仿宋" w:hAnsi="仿宋" w:eastAsia="仿宋" w:cs="仿宋"/>
          <w:b/>
          <w:sz w:val="24"/>
        </w:rPr>
        <w:t>1.7 合同争议的解决</w:t>
      </w:r>
      <w:bookmarkEnd w:id="443"/>
      <w:bookmarkEnd w:id="444"/>
      <w:bookmarkEnd w:id="445"/>
      <w:bookmarkEnd w:id="446"/>
      <w:bookmarkEnd w:id="447"/>
    </w:p>
    <w:p>
      <w:pPr>
        <w:spacing w:line="560" w:lineRule="exact"/>
        <w:ind w:left="-61" w:leftChars="-29" w:right="-420" w:rightChars="-200" w:firstLine="240" w:firstLineChars="100"/>
        <w:rPr>
          <w:rFonts w:hint="eastAsia" w:ascii="仿宋" w:hAnsi="仿宋" w:eastAsia="仿宋" w:cs="仿宋"/>
          <w:sz w:val="24"/>
        </w:rPr>
      </w:pPr>
      <w:r>
        <w:rPr>
          <w:rFonts w:hint="eastAsia" w:ascii="仿宋" w:hAnsi="仿宋" w:eastAsia="仿宋" w:cs="仿宋"/>
          <w:sz w:val="24"/>
        </w:rPr>
        <w:t>本合同履行过程中发生的任何争议，双方当事人均可通过和解或者调解解决；不愿和解、调解或者和解、调解不成的，可以选择以下第</w:t>
      </w:r>
      <w:r>
        <w:rPr>
          <w:rFonts w:hint="eastAsia" w:ascii="仿宋" w:hAnsi="仿宋" w:eastAsia="仿宋" w:cs="仿宋"/>
          <w:b/>
          <w:i/>
          <w:sz w:val="24"/>
          <w:u w:val="single"/>
        </w:rPr>
        <w:t xml:space="preserve"> 合同专用条款  </w:t>
      </w:r>
      <w:r>
        <w:rPr>
          <w:rFonts w:hint="eastAsia" w:ascii="仿宋" w:hAnsi="仿宋" w:eastAsia="仿宋" w:cs="仿宋"/>
          <w:sz w:val="24"/>
        </w:rPr>
        <w:t>条款规定的方式解决：</w:t>
      </w:r>
    </w:p>
    <w:p>
      <w:pPr>
        <w:spacing w:line="560" w:lineRule="exact"/>
        <w:ind w:left="-420" w:leftChars="-200" w:right="-420" w:rightChars="-200" w:firstLine="600" w:firstLineChars="250"/>
        <w:rPr>
          <w:rFonts w:hint="eastAsia" w:ascii="仿宋" w:hAnsi="仿宋" w:eastAsia="仿宋" w:cs="仿宋"/>
          <w:sz w:val="24"/>
        </w:rPr>
      </w:pPr>
      <w:r>
        <w:rPr>
          <w:rFonts w:hint="eastAsia" w:ascii="仿宋" w:hAnsi="仿宋" w:eastAsia="仿宋" w:cs="仿宋"/>
          <w:sz w:val="24"/>
        </w:rPr>
        <w:t>1.7.1 将争议提交</w:t>
      </w:r>
      <w:r>
        <w:rPr>
          <w:rFonts w:hint="eastAsia" w:ascii="仿宋" w:hAnsi="仿宋" w:eastAsia="仿宋" w:cs="仿宋"/>
          <w:b/>
          <w:i/>
          <w:sz w:val="24"/>
          <w:u w:val="single"/>
        </w:rPr>
        <w:t>合同专用条款</w:t>
      </w:r>
      <w:r>
        <w:rPr>
          <w:rFonts w:hint="eastAsia" w:ascii="仿宋" w:hAnsi="仿宋" w:eastAsia="仿宋" w:cs="仿宋"/>
          <w:sz w:val="24"/>
        </w:rPr>
        <w:t>仲裁委员会依申请仲裁时其现行有效的仲裁规则裁决；</w:t>
      </w:r>
    </w:p>
    <w:p>
      <w:pPr>
        <w:spacing w:line="560" w:lineRule="exact"/>
        <w:ind w:left="-420" w:leftChars="-200" w:right="-420" w:rightChars="-200" w:firstLine="600" w:firstLineChars="250"/>
        <w:rPr>
          <w:rFonts w:hint="eastAsia" w:ascii="仿宋" w:hAnsi="仿宋" w:eastAsia="仿宋" w:cs="仿宋"/>
          <w:sz w:val="24"/>
        </w:rPr>
      </w:pPr>
      <w:r>
        <w:rPr>
          <w:rFonts w:hint="eastAsia" w:ascii="仿宋" w:hAnsi="仿宋" w:eastAsia="仿宋" w:cs="仿宋"/>
          <w:sz w:val="24"/>
        </w:rPr>
        <w:t>1.7.2 向</w:t>
      </w:r>
      <w:r>
        <w:rPr>
          <w:rFonts w:hint="eastAsia" w:ascii="仿宋" w:hAnsi="仿宋" w:eastAsia="仿宋" w:cs="仿宋"/>
          <w:b/>
          <w:i/>
          <w:sz w:val="24"/>
          <w:u w:val="single"/>
        </w:rPr>
        <w:t>合同专用条款</w:t>
      </w:r>
      <w:r>
        <w:rPr>
          <w:rFonts w:hint="eastAsia" w:ascii="仿宋" w:hAnsi="仿宋" w:eastAsia="仿宋" w:cs="仿宋"/>
          <w:sz w:val="24"/>
        </w:rPr>
        <w:t>人民法院起诉。</w:t>
      </w:r>
    </w:p>
    <w:p>
      <w:pPr>
        <w:spacing w:line="560" w:lineRule="exact"/>
        <w:ind w:firstLine="241" w:firstLineChars="100"/>
        <w:outlineLvl w:val="0"/>
        <w:rPr>
          <w:rFonts w:hint="eastAsia" w:ascii="仿宋" w:hAnsi="仿宋" w:eastAsia="仿宋" w:cs="仿宋"/>
          <w:b/>
          <w:sz w:val="24"/>
        </w:rPr>
      </w:pPr>
      <w:bookmarkStart w:id="448" w:name="_Toc26227"/>
      <w:bookmarkStart w:id="449" w:name="_Toc23784"/>
      <w:bookmarkStart w:id="450" w:name="_Toc16417"/>
      <w:bookmarkStart w:id="451" w:name="_Toc15827"/>
      <w:bookmarkStart w:id="452" w:name="_Toc12273"/>
      <w:r>
        <w:rPr>
          <w:rFonts w:hint="eastAsia" w:ascii="仿宋" w:hAnsi="仿宋" w:eastAsia="仿宋" w:cs="仿宋"/>
          <w:b/>
          <w:sz w:val="24"/>
        </w:rPr>
        <w:t>1.8 合同生效</w:t>
      </w:r>
      <w:bookmarkEnd w:id="448"/>
      <w:bookmarkEnd w:id="449"/>
      <w:bookmarkEnd w:id="450"/>
      <w:bookmarkEnd w:id="451"/>
      <w:bookmarkEnd w:id="452"/>
    </w:p>
    <w:p>
      <w:pPr>
        <w:spacing w:line="560" w:lineRule="exact"/>
        <w:ind w:firstLine="480" w:firstLineChars="200"/>
        <w:rPr>
          <w:rFonts w:hint="eastAsia" w:ascii="仿宋" w:hAnsi="仿宋" w:eastAsia="仿宋" w:cs="仿宋"/>
          <w:b/>
          <w:sz w:val="24"/>
        </w:rPr>
      </w:pPr>
      <w:r>
        <w:rPr>
          <w:rFonts w:hint="eastAsia" w:ascii="仿宋" w:hAnsi="仿宋" w:eastAsia="仿宋" w:cs="仿宋"/>
          <w:sz w:val="24"/>
        </w:rPr>
        <w:t>本合同自双方当事人盖章或者签字时生效。</w:t>
      </w:r>
    </w:p>
    <w:p>
      <w:pPr>
        <w:autoSpaceDE w:val="0"/>
        <w:autoSpaceDN w:val="0"/>
        <w:spacing w:line="560" w:lineRule="exact"/>
        <w:rPr>
          <w:rFonts w:hint="eastAsia" w:ascii="仿宋" w:hAnsi="仿宋" w:eastAsia="仿宋" w:cs="仿宋"/>
          <w:sz w:val="24"/>
          <w:lang w:val="zh-CN"/>
        </w:rPr>
      </w:pP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pPr>
        <w:autoSpaceDE w:val="0"/>
        <w:autoSpaceDN w:val="0"/>
        <w:spacing w:line="560" w:lineRule="exact"/>
        <w:rPr>
          <w:rFonts w:hint="eastAsia" w:ascii="仿宋" w:hAnsi="仿宋" w:eastAsia="仿宋" w:cs="仿宋"/>
          <w:sz w:val="24"/>
          <w:lang w:val="zh-CN"/>
        </w:rPr>
      </w:pP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住所：                                   住所：</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法定代表人或                             法定代表人或</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授权代表（签字）：                       授权代表（签字）: </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联系人：                                 联系人：</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约定送达地址：                           约定送达地址：</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邮政编码：                               邮政编码：</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电话:                                    电话: </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传真:                                    传真:</w:t>
      </w:r>
    </w:p>
    <w:p>
      <w:pPr>
        <w:autoSpaceDE w:val="0"/>
        <w:autoSpaceDN w:val="0"/>
        <w:spacing w:line="560" w:lineRule="exact"/>
        <w:rPr>
          <w:rFonts w:hint="eastAsia" w:ascii="仿宋" w:hAnsi="仿宋" w:eastAsia="仿宋" w:cs="仿宋"/>
          <w:sz w:val="24"/>
        </w:rPr>
      </w:pPr>
      <w:r>
        <w:rPr>
          <w:rFonts w:hint="eastAsia" w:ascii="仿宋" w:hAnsi="仿宋" w:eastAsia="仿宋" w:cs="仿宋"/>
          <w:sz w:val="24"/>
          <w:lang w:val="zh-CN"/>
        </w:rPr>
        <w:t>电子邮箱：                               电子邮箱：</w:t>
      </w:r>
    </w:p>
    <w:p>
      <w:pPr>
        <w:autoSpaceDE w:val="0"/>
        <w:autoSpaceDN w:val="0"/>
        <w:spacing w:line="560" w:lineRule="exact"/>
        <w:rPr>
          <w:rFonts w:hint="eastAsia" w:ascii="仿宋" w:hAnsi="仿宋" w:eastAsia="仿宋" w:cs="仿宋"/>
          <w:sz w:val="24"/>
        </w:rPr>
      </w:pPr>
      <w:r>
        <w:rPr>
          <w:rFonts w:hint="eastAsia" w:ascii="仿宋" w:hAnsi="仿宋" w:eastAsia="仿宋" w:cs="仿宋"/>
          <w:sz w:val="24"/>
        </w:rPr>
        <w:t xml:space="preserve">开户银行：                               开户银行： </w:t>
      </w:r>
    </w:p>
    <w:p>
      <w:pPr>
        <w:autoSpaceDE w:val="0"/>
        <w:autoSpaceDN w:val="0"/>
        <w:spacing w:line="560" w:lineRule="exact"/>
        <w:rPr>
          <w:rFonts w:hint="eastAsia" w:ascii="仿宋" w:hAnsi="仿宋" w:eastAsia="仿宋" w:cs="仿宋"/>
          <w:sz w:val="24"/>
        </w:rPr>
      </w:pPr>
      <w:r>
        <w:rPr>
          <w:rFonts w:hint="eastAsia" w:ascii="仿宋" w:hAnsi="仿宋" w:eastAsia="仿宋" w:cs="仿宋"/>
          <w:sz w:val="24"/>
        </w:rPr>
        <w:t xml:space="preserve">开户名称：                               开户名称： </w:t>
      </w:r>
    </w:p>
    <w:p>
      <w:pPr>
        <w:autoSpaceDE w:val="0"/>
        <w:autoSpaceDN w:val="0"/>
        <w:spacing w:line="560" w:lineRule="exact"/>
        <w:rPr>
          <w:rFonts w:hint="eastAsia" w:ascii="仿宋" w:hAnsi="仿宋" w:eastAsia="仿宋" w:cs="仿宋"/>
          <w:sz w:val="24"/>
        </w:rPr>
      </w:pPr>
      <w:r>
        <w:rPr>
          <w:rFonts w:hint="eastAsia" w:ascii="仿宋" w:hAnsi="仿宋" w:eastAsia="仿宋" w:cs="仿宋"/>
          <w:sz w:val="24"/>
        </w:rPr>
        <w:t>开户账号：</w:t>
      </w:r>
      <w:r>
        <w:rPr>
          <w:rFonts w:hint="eastAsia" w:ascii="仿宋" w:hAnsi="仿宋" w:eastAsia="仿宋" w:cs="仿宋"/>
          <w:sz w:val="24"/>
          <w:lang w:val="zh-CN"/>
        </w:rPr>
        <w:t xml:space="preserve">                               </w:t>
      </w:r>
      <w:r>
        <w:rPr>
          <w:rFonts w:hint="eastAsia" w:ascii="仿宋" w:hAnsi="仿宋" w:eastAsia="仿宋" w:cs="仿宋"/>
          <w:sz w:val="24"/>
        </w:rPr>
        <w:t>开户账号：</w:t>
      </w:r>
    </w:p>
    <w:p>
      <w:pPr>
        <w:widowControl/>
        <w:spacing w:line="560" w:lineRule="exact"/>
        <w:jc w:val="left"/>
        <w:rPr>
          <w:rFonts w:hint="eastAsia" w:ascii="仿宋" w:hAnsi="仿宋" w:eastAsia="仿宋" w:cs="仿宋"/>
          <w:b/>
          <w:sz w:val="24"/>
        </w:rPr>
      </w:pPr>
    </w:p>
    <w:p>
      <w:pPr>
        <w:pStyle w:val="699"/>
        <w:spacing w:line="560" w:lineRule="exact"/>
        <w:ind w:firstLine="482"/>
        <w:jc w:val="center"/>
        <w:rPr>
          <w:rFonts w:hint="eastAsia" w:ascii="仿宋" w:hAnsi="仿宋" w:eastAsia="仿宋" w:cs="仿宋"/>
          <w:b/>
          <w:szCs w:val="24"/>
        </w:rPr>
      </w:pPr>
      <w:r>
        <w:rPr>
          <w:rFonts w:hint="eastAsia" w:ascii="仿宋" w:hAnsi="仿宋" w:eastAsia="仿宋" w:cs="仿宋"/>
          <w:b/>
          <w:szCs w:val="24"/>
        </w:rPr>
        <w:t>第二部分 合同一般条款</w:t>
      </w:r>
    </w:p>
    <w:p>
      <w:pPr>
        <w:spacing w:line="560" w:lineRule="exact"/>
        <w:ind w:firstLine="482" w:firstLineChars="200"/>
        <w:outlineLvl w:val="0"/>
        <w:rPr>
          <w:rFonts w:hint="eastAsia" w:ascii="仿宋" w:hAnsi="仿宋" w:eastAsia="仿宋" w:cs="仿宋"/>
          <w:b/>
          <w:sz w:val="24"/>
        </w:rPr>
      </w:pPr>
      <w:bookmarkStart w:id="453" w:name="_Toc14021"/>
      <w:bookmarkStart w:id="454" w:name="_Toc19680"/>
      <w:bookmarkStart w:id="455" w:name="_Toc31297"/>
      <w:bookmarkStart w:id="456" w:name="_Toc5228"/>
      <w:bookmarkStart w:id="457" w:name="_Toc25079"/>
      <w:r>
        <w:rPr>
          <w:rFonts w:hint="eastAsia" w:ascii="仿宋" w:hAnsi="仿宋" w:eastAsia="仿宋" w:cs="仿宋"/>
          <w:b/>
          <w:sz w:val="24"/>
        </w:rPr>
        <w:t>2.1 定义</w:t>
      </w:r>
      <w:bookmarkEnd w:id="453"/>
      <w:bookmarkEnd w:id="454"/>
      <w:bookmarkEnd w:id="455"/>
      <w:bookmarkEnd w:id="456"/>
      <w:bookmarkEnd w:id="457"/>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本合同中的下列词语应按以下内容进行解释：</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 “合同”系指采购人和中标供应商签订的载明双方当事人所达成的协议，并包括所有的附件、附录和构成合同的其他文件。</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 “合同价”系指根据合同约定，中标供应商在完全履行合同义务后，采购人应支付给中标供应商的价格。</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2.1.3 “服务”系指中标供应商根据合同约定应向采购人履行的除货物和工程以外的其他政府采购对象，包括采购人自身需要的服务和向社会公众提供的公共服务。</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 “甲方”系指与中标供应商签署合同的采购人；采购人委托采购代理机构代表其与乙方签订合同的，采购人的授权委托书作为合同附件。</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2.1.6 “现场”系指合同约定提供服务的地点。</w:t>
      </w:r>
    </w:p>
    <w:p>
      <w:pPr>
        <w:spacing w:line="560" w:lineRule="exact"/>
        <w:ind w:firstLine="482" w:firstLineChars="200"/>
        <w:outlineLvl w:val="0"/>
        <w:rPr>
          <w:rFonts w:hint="eastAsia" w:ascii="仿宋" w:hAnsi="仿宋" w:eastAsia="仿宋" w:cs="仿宋"/>
          <w:b/>
          <w:sz w:val="24"/>
        </w:rPr>
      </w:pPr>
      <w:bookmarkStart w:id="458" w:name="_Toc16752"/>
      <w:bookmarkStart w:id="459" w:name="_Toc23289"/>
      <w:bookmarkStart w:id="460" w:name="_Toc31402"/>
      <w:bookmarkStart w:id="461" w:name="_Toc19539"/>
      <w:bookmarkStart w:id="462" w:name="_Toc3769"/>
      <w:r>
        <w:rPr>
          <w:rFonts w:hint="eastAsia" w:ascii="仿宋" w:hAnsi="仿宋" w:eastAsia="仿宋" w:cs="仿宋"/>
          <w:b/>
          <w:sz w:val="24"/>
        </w:rPr>
        <w:t>2.2 技术规范</w:t>
      </w:r>
      <w:bookmarkEnd w:id="458"/>
      <w:bookmarkEnd w:id="459"/>
      <w:bookmarkEnd w:id="460"/>
      <w:bookmarkEnd w:id="461"/>
      <w:bookmarkEnd w:id="462"/>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仿宋" w:hAnsi="仿宋" w:eastAsia="仿宋" w:cs="仿宋"/>
          <w:b/>
          <w:sz w:val="24"/>
        </w:rPr>
      </w:pPr>
      <w:bookmarkStart w:id="463" w:name="_Toc27945"/>
      <w:bookmarkStart w:id="464" w:name="_Toc12412"/>
      <w:bookmarkStart w:id="465" w:name="_Toc9161"/>
      <w:bookmarkStart w:id="466" w:name="_Toc13673"/>
      <w:bookmarkStart w:id="467" w:name="_Toc4133"/>
      <w:r>
        <w:rPr>
          <w:rFonts w:hint="eastAsia" w:ascii="仿宋" w:hAnsi="仿宋" w:eastAsia="仿宋" w:cs="仿宋"/>
          <w:b/>
          <w:sz w:val="24"/>
        </w:rPr>
        <w:t>2.3 知识产权</w:t>
      </w:r>
      <w:bookmarkEnd w:id="463"/>
      <w:bookmarkEnd w:id="464"/>
      <w:bookmarkEnd w:id="465"/>
      <w:bookmarkEnd w:id="466"/>
      <w:bookmarkEnd w:id="467"/>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2.3.2 合同涉及技术成果的归属和收益的分成办法的，详见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rPr>
          <w:rFonts w:hint="eastAsia" w:ascii="仿宋" w:hAnsi="仿宋" w:eastAsia="仿宋" w:cs="仿宋"/>
          <w:b/>
          <w:sz w:val="24"/>
        </w:rPr>
      </w:pPr>
      <w:r>
        <w:rPr>
          <w:rFonts w:hint="eastAsia" w:ascii="仿宋" w:hAnsi="仿宋" w:eastAsia="仿宋" w:cs="仿宋"/>
          <w:b/>
          <w:sz w:val="24"/>
        </w:rPr>
        <w:t>2.4 履约检查和问题反馈</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2.4.2 合同履行期间，甲方有权将履行过程中出现的问题反馈给乙方，双方当事人应以书面形式约定需要完善和改进的内容。</w:t>
      </w:r>
    </w:p>
    <w:p>
      <w:pPr>
        <w:spacing w:line="560" w:lineRule="exact"/>
        <w:ind w:firstLine="482" w:firstLineChars="200"/>
        <w:outlineLvl w:val="0"/>
        <w:rPr>
          <w:rFonts w:hint="eastAsia" w:ascii="仿宋" w:hAnsi="仿宋" w:eastAsia="仿宋" w:cs="仿宋"/>
          <w:b/>
          <w:sz w:val="24"/>
        </w:rPr>
      </w:pPr>
      <w:bookmarkStart w:id="468" w:name="_Toc15447"/>
      <w:bookmarkStart w:id="469" w:name="_Toc31233"/>
      <w:bookmarkStart w:id="470" w:name="_Toc22011"/>
      <w:bookmarkStart w:id="471" w:name="_Toc26555"/>
      <w:bookmarkStart w:id="472" w:name="_Toc32670"/>
      <w:r>
        <w:rPr>
          <w:rFonts w:hint="eastAsia" w:ascii="仿宋" w:hAnsi="仿宋" w:eastAsia="仿宋" w:cs="仿宋"/>
          <w:b/>
          <w:sz w:val="24"/>
        </w:rPr>
        <w:t>2.5 结算方式和付款条件</w:t>
      </w:r>
      <w:bookmarkEnd w:id="468"/>
      <w:bookmarkEnd w:id="469"/>
      <w:bookmarkEnd w:id="470"/>
      <w:bookmarkEnd w:id="471"/>
      <w:bookmarkEnd w:id="472"/>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hint="eastAsia" w:ascii="仿宋" w:hAnsi="仿宋" w:eastAsia="仿宋" w:cs="仿宋"/>
          <w:b/>
          <w:sz w:val="24"/>
        </w:rPr>
      </w:pPr>
      <w:bookmarkStart w:id="473" w:name="_Toc18990"/>
      <w:bookmarkStart w:id="474" w:name="_Toc13154"/>
      <w:bookmarkStart w:id="475" w:name="_Toc13467"/>
      <w:bookmarkStart w:id="476" w:name="_Toc16163"/>
      <w:bookmarkStart w:id="477" w:name="_Toc30507"/>
      <w:r>
        <w:rPr>
          <w:rFonts w:hint="eastAsia" w:ascii="仿宋" w:hAnsi="仿宋" w:eastAsia="仿宋" w:cs="仿宋"/>
          <w:b/>
          <w:sz w:val="24"/>
        </w:rPr>
        <w:t>2.6 技术资料和保密义务</w:t>
      </w:r>
      <w:bookmarkEnd w:id="473"/>
      <w:bookmarkEnd w:id="474"/>
      <w:bookmarkEnd w:id="475"/>
      <w:bookmarkEnd w:id="476"/>
      <w:bookmarkEnd w:id="477"/>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2.6.2 乙方有义务妥善保管和保护由甲方提供的前款信息和资料等；</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仿宋" w:hAnsi="仿宋" w:eastAsia="仿宋" w:cs="仿宋"/>
          <w:b/>
          <w:sz w:val="24"/>
        </w:rPr>
      </w:pPr>
      <w:bookmarkStart w:id="478" w:name="_Toc19069"/>
      <w:r>
        <w:rPr>
          <w:rFonts w:hint="eastAsia" w:ascii="仿宋" w:hAnsi="仿宋" w:eastAsia="仿宋" w:cs="仿宋"/>
          <w:b/>
          <w:sz w:val="24"/>
        </w:rPr>
        <w:t>2.7 质量保证</w:t>
      </w:r>
      <w:bookmarkEnd w:id="478"/>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仿宋" w:hAnsi="仿宋" w:eastAsia="仿宋" w:cs="仿宋"/>
          <w:b/>
          <w:sz w:val="24"/>
        </w:rPr>
      </w:pPr>
      <w:bookmarkStart w:id="479" w:name="_Toc22267"/>
      <w:r>
        <w:rPr>
          <w:rFonts w:hint="eastAsia" w:ascii="仿宋" w:hAnsi="仿宋" w:eastAsia="仿宋" w:cs="仿宋"/>
          <w:b/>
          <w:sz w:val="24"/>
        </w:rPr>
        <w:t>2.8 延迟履行</w:t>
      </w:r>
      <w:bookmarkEnd w:id="479"/>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hint="eastAsia" w:ascii="仿宋" w:hAnsi="仿宋" w:eastAsia="仿宋" w:cs="仿宋"/>
          <w:b/>
          <w:sz w:val="24"/>
        </w:rPr>
      </w:pPr>
      <w:bookmarkStart w:id="480" w:name="_Toc10611"/>
      <w:r>
        <w:rPr>
          <w:rFonts w:hint="eastAsia" w:ascii="仿宋" w:hAnsi="仿宋" w:eastAsia="仿宋" w:cs="仿宋"/>
          <w:b/>
          <w:sz w:val="24"/>
        </w:rPr>
        <w:t>2.9 合同变更</w:t>
      </w:r>
      <w:bookmarkEnd w:id="480"/>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sz w:val="24"/>
        </w:rPr>
      </w:pPr>
      <w:bookmarkStart w:id="481" w:name="_Toc26689"/>
      <w:bookmarkStart w:id="482" w:name="_Toc10663"/>
      <w:bookmarkStart w:id="483" w:name="_Toc21830"/>
      <w:bookmarkStart w:id="484" w:name="_Toc23368"/>
      <w:bookmarkStart w:id="485" w:name="_Toc42"/>
      <w:r>
        <w:rPr>
          <w:rFonts w:hint="eastAsia" w:ascii="仿宋" w:hAnsi="仿宋" w:eastAsia="仿宋" w:cs="仿宋"/>
          <w:b/>
          <w:sz w:val="24"/>
        </w:rPr>
        <w:t>2.10 合同转让和分包</w:t>
      </w:r>
      <w:bookmarkEnd w:id="481"/>
      <w:bookmarkEnd w:id="482"/>
      <w:bookmarkEnd w:id="483"/>
      <w:bookmarkEnd w:id="484"/>
      <w:bookmarkEnd w:id="485"/>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hint="eastAsia" w:ascii="仿宋" w:hAnsi="仿宋" w:eastAsia="仿宋" w:cs="仿宋"/>
          <w:b/>
          <w:sz w:val="24"/>
        </w:rPr>
      </w:pPr>
      <w:bookmarkStart w:id="486" w:name="_Toc14371"/>
      <w:bookmarkStart w:id="487" w:name="_Toc25571"/>
      <w:bookmarkStart w:id="488" w:name="_Toc26633"/>
      <w:bookmarkStart w:id="489" w:name="_Toc32494"/>
      <w:bookmarkStart w:id="490" w:name="_Toc4720"/>
      <w:r>
        <w:rPr>
          <w:rFonts w:hint="eastAsia" w:ascii="仿宋" w:hAnsi="仿宋" w:eastAsia="仿宋" w:cs="仿宋"/>
          <w:b/>
          <w:sz w:val="24"/>
        </w:rPr>
        <w:t>2.11 不可抗力</w:t>
      </w:r>
      <w:bookmarkEnd w:id="486"/>
      <w:bookmarkEnd w:id="487"/>
      <w:bookmarkEnd w:id="488"/>
      <w:bookmarkEnd w:id="489"/>
      <w:bookmarkEnd w:id="490"/>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2.11.2 因不可抗力致使不能实现合同目的的，当事人可以解除合同；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pPr>
        <w:spacing w:line="560" w:lineRule="exact"/>
        <w:ind w:firstLine="482" w:firstLineChars="200"/>
        <w:outlineLvl w:val="0"/>
        <w:rPr>
          <w:rFonts w:hint="eastAsia" w:ascii="仿宋" w:hAnsi="仿宋" w:eastAsia="仿宋" w:cs="仿宋"/>
          <w:b/>
          <w:sz w:val="24"/>
        </w:rPr>
      </w:pPr>
      <w:bookmarkStart w:id="491" w:name="_Toc3638"/>
      <w:bookmarkStart w:id="492" w:name="_Toc25783"/>
      <w:bookmarkStart w:id="493" w:name="_Toc23854"/>
      <w:bookmarkStart w:id="494" w:name="_Toc24465"/>
      <w:bookmarkStart w:id="495" w:name="_Toc14115"/>
      <w:r>
        <w:rPr>
          <w:rFonts w:hint="eastAsia" w:ascii="仿宋" w:hAnsi="仿宋" w:eastAsia="仿宋" w:cs="仿宋"/>
          <w:b/>
          <w:sz w:val="24"/>
        </w:rPr>
        <w:t>2.12 税费</w:t>
      </w:r>
      <w:bookmarkEnd w:id="491"/>
      <w:bookmarkEnd w:id="492"/>
      <w:bookmarkEnd w:id="493"/>
      <w:bookmarkEnd w:id="494"/>
      <w:bookmarkEnd w:id="495"/>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与合同有关的一切税费，均按照中华人民共和国法律的相关规定缴纳。</w:t>
      </w:r>
    </w:p>
    <w:p>
      <w:pPr>
        <w:spacing w:line="560" w:lineRule="exact"/>
        <w:ind w:firstLine="482" w:firstLineChars="200"/>
        <w:outlineLvl w:val="0"/>
        <w:rPr>
          <w:rFonts w:hint="eastAsia" w:ascii="仿宋" w:hAnsi="仿宋" w:eastAsia="仿宋" w:cs="仿宋"/>
          <w:b/>
          <w:sz w:val="24"/>
        </w:rPr>
      </w:pPr>
      <w:bookmarkStart w:id="496" w:name="_Toc30105"/>
      <w:bookmarkStart w:id="497" w:name="_Toc26883"/>
      <w:bookmarkStart w:id="498" w:name="_Toc14814"/>
      <w:bookmarkStart w:id="499" w:name="_Toc7315"/>
      <w:bookmarkStart w:id="500" w:name="_Toc25525"/>
      <w:r>
        <w:rPr>
          <w:rFonts w:hint="eastAsia" w:ascii="仿宋" w:hAnsi="仿宋" w:eastAsia="仿宋" w:cs="仿宋"/>
          <w:b/>
          <w:sz w:val="24"/>
        </w:rPr>
        <w:t>2.13 乙方破产</w:t>
      </w:r>
      <w:bookmarkEnd w:id="496"/>
      <w:bookmarkEnd w:id="497"/>
      <w:bookmarkEnd w:id="498"/>
      <w:bookmarkEnd w:id="499"/>
      <w:bookmarkEnd w:id="500"/>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仿宋" w:hAnsi="仿宋" w:eastAsia="仿宋" w:cs="仿宋"/>
          <w:b/>
          <w:sz w:val="24"/>
        </w:rPr>
      </w:pPr>
      <w:bookmarkStart w:id="501" w:name="_Toc1123"/>
      <w:bookmarkStart w:id="502" w:name="_Toc2016"/>
      <w:bookmarkStart w:id="503" w:name="_Toc23323"/>
      <w:r>
        <w:rPr>
          <w:rFonts w:hint="eastAsia" w:ascii="仿宋" w:hAnsi="仿宋" w:eastAsia="仿宋" w:cs="仿宋"/>
          <w:b/>
          <w:sz w:val="24"/>
        </w:rPr>
        <w:t>2.14 合同中止、终止</w:t>
      </w:r>
      <w:bookmarkEnd w:id="501"/>
      <w:bookmarkEnd w:id="502"/>
      <w:bookmarkEnd w:id="503"/>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2.14.1 双方当事人不得擅自中止或者终止合同；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sz w:val="24"/>
        </w:rPr>
      </w:pPr>
      <w:bookmarkStart w:id="504" w:name="_Toc14525"/>
      <w:bookmarkStart w:id="505" w:name="_Toc17363"/>
      <w:bookmarkStart w:id="506" w:name="_Toc1969"/>
      <w:r>
        <w:rPr>
          <w:rFonts w:hint="eastAsia" w:ascii="仿宋" w:hAnsi="仿宋" w:eastAsia="仿宋" w:cs="仿宋"/>
          <w:b/>
          <w:sz w:val="24"/>
        </w:rPr>
        <w:t>2.15 检验和验收</w:t>
      </w:r>
      <w:bookmarkEnd w:id="504"/>
      <w:bookmarkEnd w:id="505"/>
      <w:bookmarkEnd w:id="506"/>
    </w:p>
    <w:p>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2.15.1 乙方按照</w:t>
      </w:r>
      <w:r>
        <w:rPr>
          <w:rFonts w:hint="eastAsia" w:ascii="仿宋" w:hAnsi="仿宋" w:eastAsia="仿宋" w:cs="仿宋"/>
          <w:b/>
          <w:i/>
          <w:sz w:val="24"/>
          <w:u w:val="single"/>
        </w:rPr>
        <w:t>合同专用条款</w:t>
      </w:r>
      <w:r>
        <w:rPr>
          <w:rFonts w:hint="eastAsia" w:ascii="仿宋" w:hAnsi="仿宋" w:eastAsia="仿宋" w:cs="仿宋"/>
          <w:sz w:val="24"/>
        </w:rPr>
        <w:t>的约定，定期提交服务报告，甲方按照</w:t>
      </w:r>
      <w:r>
        <w:rPr>
          <w:rFonts w:hint="eastAsia" w:ascii="仿宋" w:hAnsi="仿宋" w:eastAsia="仿宋" w:cs="仿宋"/>
          <w:b/>
          <w:i/>
          <w:sz w:val="24"/>
          <w:u w:val="single"/>
        </w:rPr>
        <w:t>合同专用条款</w:t>
      </w:r>
      <w:r>
        <w:rPr>
          <w:rFonts w:hint="eastAsia" w:ascii="仿宋" w:hAnsi="仿宋" w:eastAsia="仿宋" w:cs="仿宋"/>
          <w:sz w:val="24"/>
        </w:rPr>
        <w:t>的约定进行定期验收；</w:t>
      </w:r>
    </w:p>
    <w:p>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p>
      <w:pPr>
        <w:spacing w:line="560" w:lineRule="exact"/>
        <w:ind w:firstLine="482" w:firstLineChars="200"/>
        <w:outlineLvl w:val="0"/>
        <w:rPr>
          <w:rFonts w:hint="eastAsia" w:ascii="仿宋" w:hAnsi="仿宋" w:eastAsia="仿宋" w:cs="仿宋"/>
          <w:b/>
          <w:sz w:val="24"/>
        </w:rPr>
      </w:pPr>
      <w:bookmarkStart w:id="507" w:name="_Toc2308"/>
      <w:bookmarkStart w:id="508" w:name="_Toc25198"/>
      <w:bookmarkStart w:id="509" w:name="_Toc9808"/>
      <w:bookmarkStart w:id="510" w:name="_Toc12666"/>
      <w:bookmarkStart w:id="511" w:name="_Toc31892"/>
      <w:r>
        <w:rPr>
          <w:rFonts w:hint="eastAsia" w:ascii="仿宋" w:hAnsi="仿宋" w:eastAsia="仿宋" w:cs="仿宋"/>
          <w:b/>
          <w:sz w:val="24"/>
        </w:rPr>
        <w:t>2.16 通知和送达</w:t>
      </w:r>
      <w:bookmarkEnd w:id="507"/>
      <w:bookmarkEnd w:id="508"/>
      <w:bookmarkEnd w:id="509"/>
      <w:bookmarkEnd w:id="510"/>
      <w:bookmarkEnd w:id="511"/>
    </w:p>
    <w:p>
      <w:pPr>
        <w:spacing w:line="560" w:lineRule="exact"/>
        <w:ind w:firstLine="480" w:firstLineChars="200"/>
        <w:rPr>
          <w:rFonts w:hint="eastAsia" w:ascii="仿宋" w:hAnsi="仿宋" w:eastAsia="仿宋" w:cs="仿宋"/>
          <w:sz w:val="24"/>
        </w:rPr>
      </w:pPr>
      <w:bookmarkStart w:id="512" w:name="_Toc27674"/>
      <w:bookmarkStart w:id="513" w:name="_Toc18401"/>
      <w:r>
        <w:rPr>
          <w:rFonts w:hint="eastAsia" w:ascii="仿宋" w:hAnsi="仿宋" w:eastAsia="仿宋" w:cs="仿宋"/>
          <w:sz w:val="24"/>
        </w:rPr>
        <w:t xml:space="preserve">2.17.1任何一方因履行合同而以合同第一部分尾部所列明的传真或电子邮件 </w:t>
      </w:r>
      <w:r>
        <w:rPr>
          <w:rFonts w:hint="eastAsia" w:ascii="仿宋" w:hAnsi="仿宋" w:eastAsia="仿宋" w:cs="仿宋"/>
          <w:sz w:val="24"/>
          <w:u w:val="single"/>
        </w:rPr>
        <w:t xml:space="preserve">       </w:t>
      </w:r>
      <w:r>
        <w:rPr>
          <w:rFonts w:hint="eastAsia" w:ascii="仿宋" w:hAnsi="仿宋" w:eastAsia="仿宋" w:cs="仿宋"/>
          <w:sz w:val="24"/>
        </w:rPr>
        <w:t>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12"/>
      <w:bookmarkEnd w:id="513"/>
    </w:p>
    <w:p>
      <w:pPr>
        <w:spacing w:line="560" w:lineRule="exact"/>
        <w:ind w:firstLine="482" w:firstLineChars="200"/>
        <w:outlineLvl w:val="0"/>
        <w:rPr>
          <w:rFonts w:hint="eastAsia" w:ascii="仿宋" w:hAnsi="仿宋" w:eastAsia="仿宋" w:cs="仿宋"/>
          <w:b/>
          <w:sz w:val="24"/>
        </w:rPr>
      </w:pPr>
      <w:bookmarkStart w:id="514" w:name="_Toc28906"/>
      <w:bookmarkStart w:id="515" w:name="_Toc20808"/>
      <w:bookmarkStart w:id="516" w:name="_Toc27644"/>
      <w:bookmarkStart w:id="517" w:name="_Toc12254"/>
      <w:bookmarkStart w:id="518" w:name="_Toc5063"/>
      <w:r>
        <w:rPr>
          <w:rFonts w:hint="eastAsia" w:ascii="仿宋" w:hAnsi="仿宋" w:eastAsia="仿宋" w:cs="仿宋"/>
          <w:b/>
          <w:sz w:val="24"/>
        </w:rPr>
        <w:t>2.17 合同使用的文字和适用的法律</w:t>
      </w:r>
      <w:bookmarkEnd w:id="514"/>
      <w:bookmarkEnd w:id="515"/>
      <w:bookmarkEnd w:id="516"/>
      <w:bookmarkEnd w:id="517"/>
      <w:bookmarkEnd w:id="518"/>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2.17.1 合同使用汉语书就、变更和解释；</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2.17.2 合同适用中华人民共和国法律。</w:t>
      </w:r>
    </w:p>
    <w:p>
      <w:pPr>
        <w:spacing w:line="560" w:lineRule="exact"/>
        <w:ind w:firstLine="482" w:firstLineChars="200"/>
        <w:outlineLvl w:val="0"/>
        <w:rPr>
          <w:rFonts w:hint="eastAsia" w:ascii="仿宋" w:hAnsi="仿宋" w:eastAsia="仿宋" w:cs="仿宋"/>
          <w:b/>
          <w:sz w:val="24"/>
        </w:rPr>
      </w:pPr>
      <w:bookmarkStart w:id="519" w:name="_Toc27403"/>
      <w:bookmarkStart w:id="520" w:name="_Toc27127"/>
      <w:bookmarkStart w:id="521" w:name="_Toc30096"/>
      <w:bookmarkStart w:id="522" w:name="_Toc1492"/>
      <w:bookmarkStart w:id="523" w:name="_Toc22266"/>
      <w:r>
        <w:rPr>
          <w:rFonts w:hint="eastAsia" w:ascii="仿宋" w:hAnsi="仿宋" w:eastAsia="仿宋" w:cs="仿宋"/>
          <w:b/>
          <w:sz w:val="24"/>
        </w:rPr>
        <w:t>2.18 履约保证金</w:t>
      </w:r>
      <w:bookmarkEnd w:id="519"/>
      <w:bookmarkEnd w:id="520"/>
      <w:bookmarkEnd w:id="521"/>
      <w:bookmarkEnd w:id="522"/>
      <w:bookmarkEnd w:id="523"/>
    </w:p>
    <w:p>
      <w:pPr>
        <w:pStyle w:val="957"/>
        <w:spacing w:before="0" w:beforeAutospacing="0" w:after="0" w:afterAutospacing="0" w:line="360" w:lineRule="auto"/>
        <w:ind w:firstLine="420"/>
        <w:rPr>
          <w:rFonts w:hint="eastAsia" w:ascii="仿宋" w:hAnsi="仿宋" w:eastAsia="仿宋" w:cs="仿宋"/>
        </w:rPr>
      </w:pPr>
      <w:r>
        <w:rPr>
          <w:rFonts w:hint="eastAsia" w:ascii="仿宋" w:hAnsi="仿宋" w:eastAsia="仿宋" w:cs="仿宋"/>
        </w:rPr>
        <w:t>2.18.1 采购文件要求乙方提交履约保证金的，乙方应按</w:t>
      </w:r>
      <w:r>
        <w:rPr>
          <w:rFonts w:hint="eastAsia" w:ascii="仿宋" w:hAnsi="仿宋" w:eastAsia="仿宋" w:cs="仿宋"/>
          <w:b/>
          <w:i/>
          <w:u w:val="single"/>
        </w:rPr>
        <w:t>合同专用条款</w:t>
      </w:r>
      <w:r>
        <w:rPr>
          <w:rFonts w:hint="eastAsia" w:ascii="仿宋" w:hAnsi="仿宋" w:eastAsia="仿宋" w:cs="仿宋"/>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2.18.2  甲方在项目验收结束后及时退还履约保证金。甲方在项目通过验收之日起</w:t>
      </w:r>
      <w:r>
        <w:rPr>
          <w:rFonts w:hint="eastAsia" w:ascii="仿宋" w:hAnsi="仿宋" w:eastAsia="仿宋" w:cs="仿宋"/>
          <w:sz w:val="24"/>
          <w:u w:val="single"/>
        </w:rPr>
        <w:t xml:space="preserve"> 5 </w:t>
      </w:r>
      <w:r>
        <w:rPr>
          <w:rFonts w:hint="eastAsia" w:ascii="仿宋" w:hAnsi="仿宋" w:eastAsia="仿宋" w:cs="仿宋"/>
          <w:sz w:val="24"/>
        </w:rPr>
        <w:t>个工作日内，按</w:t>
      </w:r>
      <w:r>
        <w:rPr>
          <w:rFonts w:hint="eastAsia" w:ascii="仿宋" w:hAnsi="仿宋" w:eastAsia="仿宋" w:cs="仿宋"/>
          <w:b/>
          <w:i/>
          <w:sz w:val="24"/>
          <w:u w:val="single"/>
        </w:rPr>
        <w:t>合同专用条款</w:t>
      </w:r>
      <w:r>
        <w:rPr>
          <w:rFonts w:hint="eastAsia" w:ascii="仿宋" w:hAnsi="仿宋" w:eastAsia="仿宋" w:cs="仿宋"/>
          <w:sz w:val="24"/>
        </w:rPr>
        <w:t>约定的方式将履约保证金退还乙方，逾期退还的，乙方可要求甲方支付违约金，违约金按每迟延退还一日的应退还而未退还金额的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%计算，最高限额为本合同履约保证金的</w:t>
      </w:r>
      <w:r>
        <w:rPr>
          <w:rFonts w:hint="eastAsia" w:ascii="仿宋" w:hAnsi="仿宋" w:eastAsia="仿宋" w:cs="仿宋"/>
          <w:sz w:val="24"/>
          <w:u w:val="single"/>
        </w:rPr>
        <w:t xml:space="preserve">  20   </w:t>
      </w:r>
      <w:r>
        <w:rPr>
          <w:rFonts w:hint="eastAsia" w:ascii="仿宋" w:hAnsi="仿宋" w:eastAsia="仿宋" w:cs="仿宋"/>
          <w:sz w:val="24"/>
        </w:rPr>
        <w:t xml:space="preserve">%； </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2.18.4 甲方根据杭州市政府采购网公布的供应商履约评价情况减免履约保证金。乙方履约验收评价总分为100分的，甲方免收履约保证金。</w:t>
      </w:r>
    </w:p>
    <w:p>
      <w:pPr>
        <w:spacing w:line="560" w:lineRule="exact"/>
        <w:ind w:firstLine="480" w:firstLineChars="200"/>
        <w:rPr>
          <w:rFonts w:hint="eastAsia" w:ascii="仿宋" w:hAnsi="仿宋" w:eastAsia="仿宋" w:cs="仿宋"/>
        </w:rPr>
      </w:pPr>
      <w:r>
        <w:rPr>
          <w:rFonts w:hint="eastAsia" w:ascii="仿宋" w:hAnsi="仿宋" w:eastAsia="仿宋" w:cs="仿宋"/>
          <w:sz w:val="24"/>
        </w:rPr>
        <w:t>2.18.5甲方在乙方履行完合同约定义务事项后及时退还，延迟退还的，应当按照合同约定和法律规定承担相应的赔偿责任。</w:t>
      </w:r>
    </w:p>
    <w:p>
      <w:pPr>
        <w:spacing w:line="560" w:lineRule="exact"/>
        <w:ind w:firstLine="482" w:firstLineChars="200"/>
        <w:rPr>
          <w:rFonts w:hint="eastAsia" w:ascii="仿宋" w:hAnsi="仿宋" w:eastAsia="仿宋" w:cs="仿宋"/>
          <w:sz w:val="24"/>
        </w:rPr>
      </w:pPr>
      <w:r>
        <w:rPr>
          <w:rFonts w:hint="eastAsia" w:ascii="仿宋" w:hAnsi="仿宋" w:eastAsia="仿宋" w:cs="仿宋"/>
          <w:b/>
          <w:bCs/>
          <w:sz w:val="24"/>
        </w:rPr>
        <w:t>2.19</w:t>
      </w:r>
      <w:r>
        <w:rPr>
          <w:rFonts w:hint="eastAsia" w:ascii="仿宋" w:hAnsi="仿宋" w:eastAsia="仿宋" w:cs="仿宋"/>
          <w:sz w:val="24"/>
        </w:rPr>
        <w:t>对于因甲方原因导致变更、中止或者终止政府采购合同的，甲方应当依照合同约定对供应商受到的损失予以赔偿或者补偿。</w:t>
      </w:r>
    </w:p>
    <w:p>
      <w:pPr>
        <w:spacing w:line="560" w:lineRule="exact"/>
        <w:ind w:firstLine="482" w:firstLineChars="200"/>
        <w:rPr>
          <w:rFonts w:hint="eastAsia" w:ascii="仿宋" w:hAnsi="仿宋" w:eastAsia="仿宋" w:cs="仿宋"/>
          <w:b/>
          <w:sz w:val="24"/>
        </w:rPr>
      </w:pPr>
      <w:r>
        <w:rPr>
          <w:rFonts w:hint="eastAsia" w:ascii="仿宋" w:hAnsi="仿宋" w:eastAsia="仿宋" w:cs="仿宋"/>
          <w:b/>
          <w:sz w:val="24"/>
        </w:rPr>
        <w:t>2.20合同份数</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p>
      <w:pPr>
        <w:pStyle w:val="699"/>
        <w:spacing w:line="560" w:lineRule="exact"/>
        <w:jc w:val="center"/>
        <w:rPr>
          <w:rFonts w:hint="eastAsia" w:ascii="仿宋" w:hAnsi="仿宋" w:eastAsia="仿宋" w:cs="仿宋"/>
          <w:b/>
          <w:szCs w:val="24"/>
        </w:rPr>
      </w:pPr>
      <w:r>
        <w:rPr>
          <w:rFonts w:hint="eastAsia" w:ascii="仿宋" w:hAnsi="仿宋" w:eastAsia="仿宋" w:cs="仿宋"/>
          <w:kern w:val="0"/>
          <w:szCs w:val="24"/>
        </w:rPr>
        <w:br w:type="page"/>
      </w:r>
      <w:bookmarkStart w:id="524" w:name="_Toc331685784"/>
      <w:r>
        <w:rPr>
          <w:rFonts w:hint="eastAsia" w:ascii="仿宋" w:hAnsi="仿宋" w:eastAsia="仿宋" w:cs="仿宋"/>
          <w:b/>
          <w:szCs w:val="24"/>
        </w:rPr>
        <w:t xml:space="preserve"> </w:t>
      </w:r>
      <w:bookmarkEnd w:id="524"/>
      <w:r>
        <w:rPr>
          <w:rFonts w:hint="eastAsia" w:ascii="仿宋" w:hAnsi="仿宋" w:eastAsia="仿宋" w:cs="仿宋"/>
          <w:b/>
          <w:szCs w:val="24"/>
        </w:rPr>
        <w:t>第三部分  合同专用条款</w:t>
      </w:r>
    </w:p>
    <w:p>
      <w:pPr>
        <w:spacing w:line="560" w:lineRule="exact"/>
        <w:ind w:left="-420" w:leftChars="-200" w:right="-420" w:rightChars="-200" w:firstLine="480" w:firstLineChars="200"/>
        <w:rPr>
          <w:rFonts w:hint="eastAsia" w:ascii="仿宋" w:hAnsi="仿宋" w:eastAsia="仿宋" w:cs="仿宋"/>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条款号</w:t>
            </w:r>
          </w:p>
        </w:tc>
        <w:tc>
          <w:tcPr>
            <w:tcW w:w="4533" w:type="pct"/>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1.4.4</w:t>
            </w:r>
          </w:p>
        </w:tc>
        <w:tc>
          <w:tcPr>
            <w:tcW w:w="4533" w:type="pct"/>
            <w:vAlign w:val="center"/>
          </w:tcPr>
          <w:p>
            <w:pPr>
              <w:spacing w:line="360" w:lineRule="auto"/>
              <w:rPr>
                <w:rFonts w:hint="eastAsia" w:ascii="仿宋" w:hAnsi="仿宋" w:eastAsia="仿宋" w:cs="仿宋"/>
                <w:sz w:val="24"/>
                <w:highlight w:val="none"/>
                <w:lang w:eastAsia="zh-CN"/>
              </w:rPr>
            </w:pPr>
            <w:r>
              <w:rPr>
                <w:rFonts w:hint="eastAsia" w:ascii="仿宋" w:hAnsi="仿宋" w:eastAsia="仿宋" w:cs="仿宋"/>
                <w:sz w:val="24"/>
                <w:highlight w:val="none"/>
              </w:rPr>
              <w:t>资金支付</w:t>
            </w:r>
            <w:r>
              <w:rPr>
                <w:rFonts w:hint="eastAsia" w:ascii="仿宋" w:hAnsi="仿宋" w:eastAsia="仿宋" w:cs="仿宋"/>
                <w:sz w:val="24"/>
                <w:highlight w:val="none"/>
                <w:lang w:eastAsia="zh-CN"/>
              </w:rPr>
              <w:t>：</w:t>
            </w:r>
            <w:r>
              <w:rPr>
                <w:rFonts w:hint="eastAsia" w:ascii="仿宋" w:hAnsi="仿宋" w:eastAsia="仿宋" w:cs="仿宋"/>
                <w:sz w:val="24"/>
                <w:highlight w:val="none"/>
              </w:rPr>
              <w:t>本次项目合同总价为大写人民币元整（￥元），采用分期付款方式，具体如下：</w:t>
            </w:r>
            <w:r>
              <w:rPr>
                <w:rFonts w:hint="eastAsia" w:ascii="仿宋" w:hAnsi="仿宋" w:eastAsia="仿宋" w:cs="仿宋"/>
                <w:sz w:val="24"/>
                <w:highlight w:val="none"/>
                <w:lang w:eastAsia="zh-CN"/>
              </w:rPr>
              <w:t>项目建设期：</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1.合同签订后预付合同总金额的40%资金；</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2.项目初验完成后支付合同总金额的20%资金；</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3.项目终验完成后支付合同总金额的20%资金；</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项目维护期：</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1.项目运维第2年支付合同总金额的10%资金；</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2.项目运维第3年支付合同总金额的10%资金。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1.5.1 </w:t>
            </w:r>
          </w:p>
        </w:tc>
        <w:tc>
          <w:tcPr>
            <w:tcW w:w="4533" w:type="pct"/>
            <w:vAlign w:val="center"/>
          </w:tcPr>
          <w:p>
            <w:pPr>
              <w:spacing w:line="360" w:lineRule="auto"/>
              <w:rPr>
                <w:rFonts w:hint="eastAsia" w:ascii="仿宋" w:hAnsi="仿宋" w:eastAsia="仿宋" w:cs="仿宋"/>
                <w:sz w:val="24"/>
                <w:highlight w:val="none"/>
                <w:lang w:eastAsia="zh-CN"/>
              </w:rPr>
            </w:pPr>
            <w:r>
              <w:rPr>
                <w:rFonts w:hint="eastAsia" w:ascii="仿宋" w:hAnsi="仿宋" w:eastAsia="仿宋" w:cs="仿宋"/>
                <w:sz w:val="24"/>
                <w:highlight w:val="none"/>
              </w:rPr>
              <w:t>交付期限</w:t>
            </w:r>
            <w:r>
              <w:rPr>
                <w:rFonts w:hint="eastAsia" w:ascii="仿宋" w:hAnsi="仿宋" w:eastAsia="仿宋" w:cs="仿宋"/>
                <w:sz w:val="24"/>
                <w:highlight w:val="none"/>
                <w:lang w:eastAsia="zh-CN"/>
              </w:rPr>
              <w:t>：</w:t>
            </w:r>
            <w:r>
              <w:rPr>
                <w:rFonts w:hint="eastAsia" w:ascii="仿宋" w:hAnsi="仿宋" w:eastAsia="仿宋" w:cs="仿宋"/>
                <w:sz w:val="24"/>
                <w:highlight w:val="none"/>
                <w:lang w:val="zh-CN" w:eastAsia="zh-CN"/>
              </w:rPr>
              <w:t>总工期为</w:t>
            </w:r>
            <w:r>
              <w:rPr>
                <w:rFonts w:hint="eastAsia" w:ascii="仿宋" w:hAnsi="仿宋" w:eastAsia="仿宋" w:cs="仿宋"/>
                <w:sz w:val="24"/>
                <w:highlight w:val="none"/>
                <w:lang w:eastAsia="zh-CN"/>
              </w:rPr>
              <w:t>4</w:t>
            </w:r>
            <w:r>
              <w:rPr>
                <w:rFonts w:hint="eastAsia" w:ascii="仿宋" w:hAnsi="仿宋" w:eastAsia="仿宋" w:cs="仿宋"/>
                <w:sz w:val="24"/>
                <w:highlight w:val="none"/>
                <w:lang w:val="zh-CN" w:eastAsia="zh-CN"/>
              </w:rPr>
              <w:t>个月，其中建设工期为</w:t>
            </w:r>
            <w:r>
              <w:rPr>
                <w:rFonts w:hint="eastAsia" w:ascii="仿宋" w:hAnsi="仿宋" w:eastAsia="仿宋" w:cs="仿宋"/>
                <w:sz w:val="24"/>
                <w:highlight w:val="none"/>
                <w:lang w:eastAsia="zh-CN"/>
              </w:rPr>
              <w:t>1</w:t>
            </w:r>
            <w:r>
              <w:rPr>
                <w:rFonts w:hint="eastAsia" w:ascii="仿宋" w:hAnsi="仿宋" w:eastAsia="仿宋" w:cs="仿宋"/>
                <w:sz w:val="24"/>
                <w:highlight w:val="none"/>
                <w:lang w:val="zh-CN" w:eastAsia="zh-CN"/>
              </w:rPr>
              <w:t>个月，试运行3个月。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1.5.2</w:t>
            </w:r>
          </w:p>
        </w:tc>
        <w:tc>
          <w:tcPr>
            <w:tcW w:w="4533" w:type="pct"/>
            <w:vAlign w:val="center"/>
          </w:tcPr>
          <w:p>
            <w:pPr>
              <w:spacing w:line="360" w:lineRule="auto"/>
              <w:rPr>
                <w:rFonts w:hint="eastAsia" w:ascii="仿宋" w:hAnsi="仿宋" w:eastAsia="仿宋" w:cs="仿宋"/>
                <w:sz w:val="24"/>
                <w:lang w:eastAsia="zh-CN"/>
              </w:rPr>
            </w:pPr>
            <w:r>
              <w:rPr>
                <w:rFonts w:hint="eastAsia" w:ascii="仿宋" w:hAnsi="仿宋" w:eastAsia="仿宋" w:cs="仿宋"/>
                <w:sz w:val="24"/>
              </w:rPr>
              <w:t>交付地点</w:t>
            </w:r>
            <w:r>
              <w:rPr>
                <w:rFonts w:hint="eastAsia" w:ascii="仿宋" w:hAnsi="仿宋" w:eastAsia="仿宋" w:cs="仿宋"/>
                <w:sz w:val="24"/>
                <w:lang w:eastAsia="zh-CN"/>
              </w:rPr>
              <w:t>：甲方指定地点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 xml:space="preserve">1.5.3 </w:t>
            </w:r>
          </w:p>
        </w:tc>
        <w:tc>
          <w:tcPr>
            <w:tcW w:w="4533" w:type="pct"/>
            <w:vAlign w:val="center"/>
          </w:tcPr>
          <w:p>
            <w:pPr>
              <w:spacing w:line="360" w:lineRule="auto"/>
              <w:rPr>
                <w:rFonts w:hint="eastAsia" w:ascii="仿宋" w:hAnsi="仿宋" w:eastAsia="仿宋" w:cs="仿宋"/>
                <w:sz w:val="24"/>
                <w:lang w:val="en-US" w:eastAsia="zh-CN"/>
              </w:rPr>
            </w:pPr>
            <w:r>
              <w:rPr>
                <w:rFonts w:hint="eastAsia" w:ascii="仿宋" w:hAnsi="仿宋" w:eastAsia="仿宋" w:cs="仿宋"/>
                <w:sz w:val="24"/>
              </w:rPr>
              <w:t>交付方式</w:t>
            </w:r>
            <w:r>
              <w:rPr>
                <w:rFonts w:hint="eastAsia" w:ascii="仿宋" w:hAnsi="仿宋" w:eastAsia="仿宋" w:cs="仿宋"/>
                <w:sz w:val="24"/>
                <w:lang w:eastAsia="zh-CN"/>
              </w:rPr>
              <w:t>：</w:t>
            </w:r>
            <w:r>
              <w:rPr>
                <w:rFonts w:hint="eastAsia" w:ascii="仿宋" w:hAnsi="仿宋" w:eastAsia="仿宋" w:cs="仿宋"/>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1.6.7</w:t>
            </w:r>
          </w:p>
        </w:tc>
        <w:tc>
          <w:tcPr>
            <w:tcW w:w="4533" w:type="pct"/>
            <w:vAlign w:val="center"/>
          </w:tcPr>
          <w:p>
            <w:pPr>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1.7</w:t>
            </w:r>
          </w:p>
        </w:tc>
        <w:tc>
          <w:tcPr>
            <w:tcW w:w="4533" w:type="pct"/>
            <w:vAlign w:val="center"/>
          </w:tcPr>
          <w:p>
            <w:pPr>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1.7.1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1.7.1</w:t>
            </w:r>
          </w:p>
        </w:tc>
        <w:tc>
          <w:tcPr>
            <w:tcW w:w="4533" w:type="pct"/>
            <w:vAlign w:val="center"/>
          </w:tcPr>
          <w:p>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color w:val="auto"/>
                <w:sz w:val="24"/>
                <w:highlight w:val="none"/>
                <w:lang w:val="en-US" w:eastAsia="zh-CN"/>
              </w:rPr>
              <w:t>甲方所在地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1.7.2</w:t>
            </w:r>
          </w:p>
        </w:tc>
        <w:tc>
          <w:tcPr>
            <w:tcW w:w="4533" w:type="pct"/>
            <w:vAlign w:val="center"/>
          </w:tcPr>
          <w:p>
            <w:pPr>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2.3.2</w:t>
            </w:r>
          </w:p>
        </w:tc>
        <w:tc>
          <w:tcPr>
            <w:tcW w:w="4533" w:type="pct"/>
            <w:vAlign w:val="center"/>
          </w:tcPr>
          <w:p>
            <w:pPr>
              <w:spacing w:line="360" w:lineRule="auto"/>
              <w:ind w:left="-420" w:leftChars="-200" w:right="-420" w:rightChars="-200"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color w:val="auto"/>
                <w:sz w:val="24"/>
              </w:rPr>
              <w:t>知识产权归甲方所有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2.5</w:t>
            </w:r>
          </w:p>
        </w:tc>
        <w:tc>
          <w:tcPr>
            <w:tcW w:w="4533" w:type="pct"/>
            <w:vAlign w:val="center"/>
          </w:tcPr>
          <w:p>
            <w:pPr>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结算方式和付款条件：项目建设期：</w:t>
            </w:r>
          </w:p>
          <w:p>
            <w:pPr>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1.合同签订后预付合同总金额的40%资金；</w:t>
            </w:r>
          </w:p>
          <w:p>
            <w:pPr>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2.项目初验完成后支付合同总金额的20%资金；</w:t>
            </w:r>
          </w:p>
          <w:p>
            <w:pPr>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3.项目终验完成后支付合同总金额的20%资金；</w:t>
            </w:r>
          </w:p>
          <w:p>
            <w:pPr>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项目维护期：</w:t>
            </w:r>
          </w:p>
          <w:p>
            <w:pPr>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1.项目运维第2年支付合同总金额的10%资金；</w:t>
            </w:r>
          </w:p>
          <w:p>
            <w:pPr>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2.项目运维第3年支付合同总金额的10%资金。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2.11.3</w:t>
            </w:r>
          </w:p>
        </w:tc>
        <w:tc>
          <w:tcPr>
            <w:tcW w:w="8275" w:type="dxa"/>
            <w:vAlign w:val="center"/>
          </w:tcPr>
          <w:p>
            <w:pPr>
              <w:spacing w:line="360" w:lineRule="auto"/>
              <w:jc w:val="left"/>
              <w:rPr>
                <w:rFonts w:hint="eastAsia" w:ascii="仿宋" w:hAnsi="仿宋" w:eastAsia="仿宋" w:cs="仿宋"/>
                <w:kern w:val="2"/>
                <w:sz w:val="24"/>
                <w:szCs w:val="24"/>
                <w:lang w:val="en-US" w:eastAsia="zh-CN" w:bidi="ar-SA"/>
              </w:rPr>
            </w:pPr>
            <w:r>
              <w:rPr>
                <w:rFonts w:hint="eastAsia" w:ascii="仿宋" w:hAnsi="仿宋" w:eastAsia="仿宋" w:cs="仿宋"/>
                <w:color w:val="auto"/>
                <w:sz w:val="24"/>
                <w:szCs w:val="24"/>
              </w:rPr>
              <w:t>因不可抗力致使合同有变更必要的，双方当事人应在15日内以书面形式变更合同；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pPr>
              <w:spacing w:line="360" w:lineRule="auto"/>
              <w:rPr>
                <w:rFonts w:hint="eastAsia" w:ascii="仿宋" w:hAnsi="仿宋" w:eastAsia="仿宋" w:cs="仿宋"/>
                <w:sz w:val="24"/>
              </w:rPr>
            </w:pPr>
            <w:r>
              <w:rPr>
                <w:rFonts w:hint="eastAsia" w:ascii="仿宋" w:hAnsi="仿宋" w:eastAsia="仿宋" w:cs="仿宋"/>
                <w:sz w:val="24"/>
              </w:rPr>
              <w:t xml:space="preserve">2.11.4 </w:t>
            </w:r>
          </w:p>
        </w:tc>
        <w:tc>
          <w:tcPr>
            <w:tcW w:w="8275" w:type="dxa"/>
            <w:vAlign w:val="center"/>
          </w:tcPr>
          <w:p>
            <w:pPr>
              <w:spacing w:line="360" w:lineRule="auto"/>
              <w:jc w:val="left"/>
              <w:rPr>
                <w:rFonts w:hint="eastAsia" w:ascii="仿宋" w:hAnsi="仿宋" w:eastAsia="仿宋" w:cs="仿宋"/>
                <w:sz w:val="24"/>
              </w:rPr>
            </w:pPr>
            <w:r>
              <w:rPr>
                <w:rFonts w:hint="eastAsia" w:ascii="仿宋" w:hAnsi="仿宋" w:eastAsia="仿宋" w:cs="仿宋"/>
                <w:color w:val="auto"/>
                <w:sz w:val="24"/>
                <w:szCs w:val="24"/>
              </w:rPr>
              <w:t>受不可抗力影响的一方在不可抗力发生后，应在15日内以书面形式通知对方当事人，并在15日内，将有关部门出具的证明文件送达对方当事人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2.15.1</w:t>
            </w:r>
          </w:p>
        </w:tc>
        <w:tc>
          <w:tcPr>
            <w:tcW w:w="4533" w:type="pct"/>
            <w:vAlign w:val="center"/>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2.15.3</w:t>
            </w:r>
          </w:p>
        </w:tc>
        <w:tc>
          <w:tcPr>
            <w:tcW w:w="4533" w:type="pct"/>
            <w:vAlign w:val="center"/>
          </w:tcPr>
          <w:p>
            <w:pPr>
              <w:spacing w:line="360" w:lineRule="auto"/>
              <w:rPr>
                <w:rFonts w:hint="eastAsia" w:ascii="仿宋" w:hAnsi="仿宋" w:eastAsia="仿宋" w:cs="仿宋"/>
                <w:sz w:val="24"/>
              </w:rPr>
            </w:pPr>
            <w:r>
              <w:rPr>
                <w:rFonts w:hint="eastAsia" w:ascii="仿宋" w:hAnsi="仿宋" w:eastAsia="仿宋" w:cs="仿宋"/>
                <w:sz w:val="24"/>
              </w:rPr>
              <w:t>检验和验收标准、程序等具体内容以及前述验收书的效力，采用本行业通用标准。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2.18.1</w:t>
            </w:r>
          </w:p>
        </w:tc>
        <w:tc>
          <w:tcPr>
            <w:tcW w:w="8275" w:type="dxa"/>
            <w:vAlign w:val="center"/>
          </w:tcPr>
          <w:p>
            <w:pPr>
              <w:spacing w:line="360" w:lineRule="auto"/>
              <w:jc w:val="left"/>
              <w:rPr>
                <w:rFonts w:hint="eastAsia" w:ascii="仿宋" w:hAnsi="仿宋" w:eastAsia="仿宋" w:cs="仿宋"/>
                <w:sz w:val="24"/>
                <w:highlight w:val="none"/>
                <w:lang w:eastAsia="zh-CN"/>
              </w:rPr>
            </w:pPr>
            <w:r>
              <w:rPr>
                <w:rFonts w:hint="eastAsia" w:ascii="仿宋" w:hAnsi="仿宋" w:eastAsia="仿宋" w:cs="仿宋"/>
                <w:color w:val="auto"/>
                <w:sz w:val="24"/>
                <w:szCs w:val="24"/>
                <w:highlight w:val="none"/>
                <w:lang w:eastAsia="zh-CN"/>
              </w:rPr>
              <w:t>履约保证金：</w:t>
            </w:r>
            <w:r>
              <w:rPr>
                <w:rFonts w:hint="eastAsia" w:ascii="仿宋" w:hAnsi="仿宋" w:eastAsia="仿宋" w:cs="仿宋"/>
                <w:color w:val="auto"/>
                <w:sz w:val="24"/>
                <w:szCs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52" w:hRule="atLeast"/>
        </w:trPr>
        <w:tc>
          <w:tcPr>
            <w:tcW w:w="466"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2.18.2</w:t>
            </w:r>
          </w:p>
        </w:tc>
        <w:tc>
          <w:tcPr>
            <w:tcW w:w="8275" w:type="dxa"/>
            <w:vAlign w:val="center"/>
          </w:tcPr>
          <w:p>
            <w:pPr>
              <w:spacing w:line="360" w:lineRule="auto"/>
              <w:jc w:val="left"/>
              <w:rPr>
                <w:rFonts w:hint="eastAsia" w:ascii="仿宋" w:hAnsi="仿宋" w:eastAsia="仿宋" w:cs="仿宋"/>
                <w:sz w:val="24"/>
                <w:highlight w:val="none"/>
              </w:rPr>
            </w:pPr>
            <w:r>
              <w:rPr>
                <w:rFonts w:hint="eastAsia" w:ascii="仿宋" w:hAnsi="仿宋" w:eastAsia="仿宋" w:cs="仿宋"/>
                <w:color w:val="auto"/>
                <w:sz w:val="24"/>
                <w:szCs w:val="24"/>
                <w:highlight w:val="none"/>
              </w:rPr>
              <w:t>履约保证金在项目通过验收前不予退还，甲方在项目通过验收之日起5个工作日内，将履约保证金退还乙方。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pPr>
              <w:spacing w:line="360" w:lineRule="auto"/>
              <w:rPr>
                <w:rFonts w:hint="eastAsia" w:ascii="仿宋" w:hAnsi="仿宋" w:eastAsia="仿宋" w:cs="仿宋"/>
                <w:sz w:val="24"/>
              </w:rPr>
            </w:pPr>
            <w:r>
              <w:rPr>
                <w:rFonts w:hint="eastAsia" w:ascii="仿宋" w:hAnsi="仿宋" w:eastAsia="仿宋" w:cs="仿宋"/>
                <w:sz w:val="24"/>
              </w:rPr>
              <w:t>2.20</w:t>
            </w:r>
          </w:p>
        </w:tc>
        <w:tc>
          <w:tcPr>
            <w:tcW w:w="4533" w:type="pct"/>
          </w:tcPr>
          <w:p>
            <w:pPr>
              <w:spacing w:line="360" w:lineRule="auto"/>
              <w:rPr>
                <w:rFonts w:hint="eastAsia" w:ascii="仿宋" w:hAnsi="仿宋" w:eastAsia="仿宋" w:cs="仿宋"/>
                <w:sz w:val="24"/>
              </w:rPr>
            </w:pPr>
            <w:r>
              <w:rPr>
                <w:rFonts w:hint="eastAsia" w:ascii="仿宋" w:hAnsi="仿宋" w:eastAsia="仿宋" w:cs="仿宋"/>
                <w:color w:val="auto"/>
                <w:sz w:val="24"/>
                <w:szCs w:val="24"/>
              </w:rPr>
              <w:t>本合同壹式   份，甲方执   份，乙方执   份。每份均具有同等法律效力。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rPr>
                <w:rFonts w:hint="eastAsia" w:ascii="仿宋" w:hAnsi="仿宋" w:eastAsia="仿宋" w:cs="仿宋"/>
                <w:sz w:val="24"/>
              </w:rPr>
            </w:pPr>
          </w:p>
        </w:tc>
        <w:tc>
          <w:tcPr>
            <w:tcW w:w="4533" w:type="pct"/>
            <w:vAlign w:val="center"/>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ind w:left="-420" w:leftChars="-200" w:right="-420" w:rightChars="-200" w:firstLine="480" w:firstLineChars="200"/>
              <w:outlineLvl w:val="0"/>
              <w:rPr>
                <w:rFonts w:hint="eastAsia" w:ascii="仿宋" w:hAnsi="仿宋" w:eastAsia="仿宋" w:cs="仿宋"/>
                <w:sz w:val="24"/>
              </w:rPr>
            </w:pPr>
          </w:p>
        </w:tc>
        <w:tc>
          <w:tcPr>
            <w:tcW w:w="4533" w:type="pct"/>
            <w:vAlign w:val="center"/>
          </w:tcPr>
          <w:p>
            <w:pPr>
              <w:spacing w:line="360" w:lineRule="auto"/>
              <w:rPr>
                <w:rFonts w:hint="eastAsia" w:ascii="仿宋" w:hAnsi="仿宋" w:eastAsia="仿宋" w:cs="仿宋"/>
                <w:sz w:val="24"/>
              </w:rPr>
            </w:pPr>
          </w:p>
        </w:tc>
      </w:tr>
    </w:tbl>
    <w:p>
      <w:pPr>
        <w:spacing w:line="360" w:lineRule="auto"/>
        <w:ind w:left="-420" w:leftChars="-200" w:right="-420" w:rightChars="-200" w:firstLine="480" w:firstLineChars="200"/>
        <w:rPr>
          <w:rFonts w:hint="eastAsia" w:ascii="仿宋" w:hAnsi="仿宋" w:eastAsia="仿宋" w:cs="仿宋"/>
          <w:sz w:val="24"/>
        </w:rPr>
      </w:pPr>
    </w:p>
    <w:p>
      <w:pPr>
        <w:spacing w:line="360" w:lineRule="auto"/>
        <w:ind w:left="-420" w:leftChars="-200" w:right="-420" w:rightChars="-200"/>
        <w:rPr>
          <w:rFonts w:hint="eastAsia" w:ascii="仿宋" w:hAnsi="仿宋" w:eastAsia="仿宋" w:cs="仿宋"/>
          <w:sz w:val="24"/>
        </w:rPr>
      </w:pPr>
    </w:p>
    <w:p>
      <w:pPr>
        <w:spacing w:line="360" w:lineRule="auto"/>
        <w:ind w:left="-420" w:leftChars="-200" w:right="-420" w:rightChars="-200" w:firstLine="480" w:firstLineChars="200"/>
        <w:jc w:val="center"/>
        <w:outlineLvl w:val="0"/>
        <w:rPr>
          <w:rFonts w:hint="eastAsia" w:ascii="仿宋" w:hAnsi="仿宋" w:eastAsia="仿宋" w:cs="仿宋"/>
          <w:sz w:val="24"/>
        </w:rPr>
      </w:pPr>
    </w:p>
    <w:p>
      <w:pPr>
        <w:spacing w:line="360" w:lineRule="auto"/>
        <w:ind w:left="-420" w:leftChars="-200" w:right="-420" w:rightChars="-200" w:firstLine="480" w:firstLineChars="200"/>
        <w:jc w:val="center"/>
        <w:outlineLvl w:val="0"/>
        <w:rPr>
          <w:rFonts w:hint="eastAsia" w:ascii="仿宋" w:hAnsi="仿宋" w:eastAsia="仿宋" w:cs="仿宋"/>
          <w:sz w:val="24"/>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r>
        <w:rPr>
          <w:rFonts w:hint="eastAsia" w:ascii="仿宋" w:hAnsi="仿宋" w:eastAsia="仿宋" w:cs="仿宋"/>
          <w:b/>
          <w:sz w:val="36"/>
          <w:szCs w:val="20"/>
        </w:rPr>
        <w:t>第六部分</w:t>
      </w:r>
      <w:bookmarkEnd w:id="411"/>
      <w:r>
        <w:rPr>
          <w:rFonts w:hint="eastAsia" w:ascii="仿宋" w:hAnsi="仿宋" w:eastAsia="仿宋" w:cs="仿宋"/>
          <w:b/>
          <w:sz w:val="36"/>
          <w:szCs w:val="20"/>
        </w:rPr>
        <w:t xml:space="preserve"> </w:t>
      </w:r>
      <w:bookmarkEnd w:id="412"/>
      <w:r>
        <w:rPr>
          <w:rFonts w:hint="eastAsia" w:ascii="仿宋" w:hAnsi="仿宋" w:eastAsia="仿宋" w:cs="仿宋"/>
          <w:b/>
          <w:sz w:val="36"/>
          <w:szCs w:val="20"/>
        </w:rPr>
        <w:t>应提交的有关格式范例</w:t>
      </w:r>
    </w:p>
    <w:p>
      <w:pPr>
        <w:spacing w:line="360" w:lineRule="auto"/>
        <w:jc w:val="center"/>
        <w:outlineLvl w:val="0"/>
        <w:rPr>
          <w:rFonts w:hint="eastAsia" w:ascii="仿宋" w:hAnsi="仿宋" w:eastAsia="仿宋" w:cs="仿宋"/>
          <w:b/>
          <w:kern w:val="0"/>
          <w:sz w:val="36"/>
          <w:szCs w:val="36"/>
        </w:rPr>
      </w:pP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hint="eastAsia" w:ascii="仿宋" w:hAnsi="仿宋" w:eastAsia="仿宋" w:cs="仿宋"/>
          <w:b/>
          <w:kern w:val="0"/>
          <w:sz w:val="36"/>
          <w:szCs w:val="36"/>
        </w:rPr>
      </w:pPr>
    </w:p>
    <w:p>
      <w:pPr>
        <w:snapToGrid w:val="0"/>
        <w:spacing w:line="360" w:lineRule="auto"/>
        <w:rPr>
          <w:rFonts w:hint="eastAsia" w:ascii="仿宋" w:hAnsi="仿宋" w:eastAsia="仿宋" w:cs="仿宋"/>
          <w:sz w:val="24"/>
        </w:rPr>
      </w:pPr>
      <w:r>
        <w:rPr>
          <w:rFonts w:hint="eastAsia" w:ascii="仿宋" w:hAnsi="仿宋" w:eastAsia="仿宋" w:cs="仿宋"/>
          <w:sz w:val="24"/>
        </w:rPr>
        <w:t>（1）符合参加政府采购活动应当具备的一般条件的承诺函……………（页码）</w:t>
      </w:r>
    </w:p>
    <w:p>
      <w:pPr>
        <w:snapToGrid w:val="0"/>
        <w:spacing w:line="360" w:lineRule="auto"/>
        <w:rPr>
          <w:rFonts w:hint="eastAsia" w:ascii="仿宋" w:hAnsi="仿宋" w:eastAsia="仿宋" w:cs="仿宋"/>
          <w:sz w:val="24"/>
        </w:rPr>
      </w:pPr>
      <w:r>
        <w:rPr>
          <w:rFonts w:hint="eastAsia" w:ascii="仿宋" w:hAnsi="仿宋" w:eastAsia="仿宋" w:cs="仿宋"/>
          <w:snapToGrid w:val="0"/>
          <w:kern w:val="28"/>
          <w:sz w:val="24"/>
          <w:szCs w:val="20"/>
        </w:rPr>
        <w:t>（2）联合协议</w:t>
      </w:r>
      <w:r>
        <w:rPr>
          <w:rFonts w:hint="eastAsia" w:ascii="仿宋" w:hAnsi="仿宋" w:eastAsia="仿宋" w:cs="仿宋"/>
          <w:sz w:val="24"/>
        </w:rPr>
        <w:t>………………………………………………………………（页码）</w:t>
      </w:r>
    </w:p>
    <w:p>
      <w:pPr>
        <w:snapToGrid w:val="0"/>
        <w:spacing w:line="360" w:lineRule="auto"/>
        <w:rPr>
          <w:rFonts w:hint="eastAsia" w:ascii="仿宋" w:hAnsi="仿宋" w:eastAsia="仿宋" w:cs="仿宋"/>
          <w:sz w:val="24"/>
        </w:rPr>
      </w:pPr>
      <w:r>
        <w:rPr>
          <w:rFonts w:hint="eastAsia" w:ascii="仿宋" w:hAnsi="仿宋" w:eastAsia="仿宋" w:cs="仿宋"/>
          <w:sz w:val="24"/>
        </w:rPr>
        <w:t>（3）落实政府采购政策需满足的资格要求………………………………（页码）</w:t>
      </w:r>
    </w:p>
    <w:p>
      <w:pPr>
        <w:snapToGrid w:val="0"/>
        <w:spacing w:line="360" w:lineRule="auto"/>
        <w:rPr>
          <w:rFonts w:hint="eastAsia" w:ascii="仿宋" w:hAnsi="仿宋" w:eastAsia="仿宋" w:cs="仿宋"/>
          <w:sz w:val="24"/>
        </w:rPr>
      </w:pPr>
      <w:r>
        <w:rPr>
          <w:rFonts w:hint="eastAsia" w:ascii="仿宋" w:hAnsi="仿宋" w:eastAsia="仿宋" w:cs="仿宋"/>
          <w:sz w:val="24"/>
        </w:rPr>
        <w:t>（4）本项目的特定资格要求………………………………………………（页码）</w:t>
      </w:r>
    </w:p>
    <w:p>
      <w:pPr>
        <w:snapToGrid w:val="0"/>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符合参加政府采购活动应当具备的一般条件的承诺函</w:t>
      </w:r>
    </w:p>
    <w:p>
      <w:pPr>
        <w:snapToGrid w:val="0"/>
        <w:spacing w:line="360" w:lineRule="auto"/>
        <w:rPr>
          <w:rFonts w:hint="eastAsia"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我方参与（项目名称）【招标编号：（采购编号）】政府采购活动，郑重承诺：</w:t>
      </w:r>
    </w:p>
    <w:p>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1、具有独立承担民事责任的能力；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3、具有履行合同所必需的设备和专业技术能力；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4、有依法缴纳税收和社会保障资金的良好记录；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6、具有法律、行政法规规定的其他条件。</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widowControl/>
        <w:spacing w:line="360" w:lineRule="auto"/>
        <w:ind w:firstLine="643" w:firstLineChars="200"/>
        <w:jc w:val="center"/>
        <w:rPr>
          <w:rFonts w:hint="eastAsia" w:ascii="仿宋" w:hAnsi="仿宋" w:eastAsia="仿宋" w:cs="仿宋"/>
          <w:b/>
          <w:kern w:val="0"/>
          <w:sz w:val="32"/>
          <w:szCs w:val="32"/>
        </w:rPr>
      </w:pPr>
      <w:r>
        <w:rPr>
          <w:rFonts w:hint="eastAsia" w:ascii="仿宋" w:hAnsi="仿宋" w:eastAsia="仿宋" w:cs="仿宋"/>
          <w:b/>
          <w:kern w:val="0"/>
          <w:sz w:val="32"/>
          <w:szCs w:val="32"/>
        </w:rPr>
        <w:t>二、联合协议（如果有）</w:t>
      </w:r>
    </w:p>
    <w:p>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both"/>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w:t>
      </w:r>
    </w:p>
    <w:p>
      <w:pPr>
        <w:spacing w:line="360" w:lineRule="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.专门面向中小企业，服务全部由符合政策要求的中小企业（或小微企业）承接的，提供相应的中小企业声明函（附件7）。 </w:t>
      </w:r>
    </w:p>
    <w:p>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中小企业声明函（服务）</w:t>
      </w:r>
    </w:p>
    <w:p>
      <w:pPr>
        <w:spacing w:line="360" w:lineRule="auto"/>
        <w:ind w:firstLine="360" w:firstLineChars="150"/>
        <w:jc w:val="left"/>
        <w:rPr>
          <w:rFonts w:hint="eastAsia"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sz w:val="24"/>
          <w:u w:val="single"/>
        </w:rPr>
        <w:t xml:space="preserve">（采购人） </w:t>
      </w:r>
      <w:r>
        <w:rPr>
          <w:rFonts w:hint="eastAsia" w:ascii="仿宋" w:hAnsi="仿宋" w:eastAsia="仿宋" w:cs="仿宋"/>
          <w:sz w:val="24"/>
        </w:rPr>
        <w:t>的</w:t>
      </w:r>
      <w:r>
        <w:rPr>
          <w:rFonts w:hint="eastAsia" w:ascii="仿宋" w:hAnsi="仿宋" w:eastAsia="仿宋" w:cs="仿宋"/>
          <w:sz w:val="24"/>
          <w:u w:val="single"/>
        </w:rPr>
        <w:t xml:space="preserve"> （项目名称） </w:t>
      </w:r>
      <w:r>
        <w:rPr>
          <w:rFonts w:hint="eastAsia" w:ascii="仿宋" w:hAnsi="仿宋" w:eastAsia="仿宋" w:cs="仿宋"/>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w:t>
      </w:r>
      <w:r>
        <w:rPr>
          <w:rFonts w:hint="eastAsia" w:ascii="仿宋" w:hAnsi="仿宋" w:eastAsia="仿宋" w:cs="仿宋"/>
          <w:b/>
          <w:bCs/>
          <w:kern w:val="0"/>
          <w:sz w:val="24"/>
          <w:u w:val="single"/>
        </w:rPr>
        <w:t>临安区门户网站升级改造</w:t>
      </w:r>
      <w:r>
        <w:rPr>
          <w:rFonts w:hint="eastAsia" w:ascii="仿宋" w:hAnsi="仿宋" w:eastAsia="仿宋" w:cs="仿宋"/>
          <w:sz w:val="24"/>
          <w:u w:val="single"/>
        </w:rPr>
        <w:t>）</w:t>
      </w:r>
      <w:r>
        <w:rPr>
          <w:rFonts w:hint="eastAsia" w:ascii="仿宋" w:hAnsi="仿宋" w:eastAsia="仿宋" w:cs="仿宋"/>
          <w:sz w:val="24"/>
        </w:rPr>
        <w:t xml:space="preserve">，属于 </w:t>
      </w:r>
      <w:r>
        <w:rPr>
          <w:rFonts w:hint="eastAsia" w:ascii="仿宋" w:hAnsi="仿宋" w:eastAsia="仿宋" w:cs="仿宋"/>
          <w:sz w:val="24"/>
          <w:u w:val="single"/>
        </w:rPr>
        <w:t>（</w:t>
      </w:r>
      <w:r>
        <w:rPr>
          <w:rFonts w:hint="eastAsia" w:ascii="仿宋" w:hAnsi="仿宋" w:eastAsia="仿宋" w:cs="仿宋"/>
          <w:b/>
          <w:bCs/>
          <w:kern w:val="0"/>
          <w:sz w:val="24"/>
          <w:u w:val="single"/>
          <w:lang w:eastAsia="zh-CN"/>
        </w:rPr>
        <w:t>软件和信息技术服务业</w:t>
      </w:r>
      <w:r>
        <w:rPr>
          <w:rFonts w:hint="eastAsia" w:ascii="仿宋" w:hAnsi="仿宋" w:eastAsia="仿宋" w:cs="仿宋"/>
          <w:sz w:val="24"/>
          <w:u w:val="single"/>
        </w:rPr>
        <w:t>）</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pacing w:line="360" w:lineRule="auto"/>
        <w:ind w:right="1760"/>
        <w:jc w:val="right"/>
        <w:rPr>
          <w:rFonts w:hint="eastAsia" w:ascii="仿宋" w:hAnsi="仿宋" w:eastAsia="仿宋" w:cs="仿宋"/>
          <w:sz w:val="24"/>
        </w:rPr>
      </w:pPr>
      <w:r>
        <w:rPr>
          <w:rFonts w:hint="eastAsia" w:ascii="仿宋" w:hAnsi="仿宋" w:eastAsia="仿宋" w:cs="仿宋"/>
          <w:sz w:val="24"/>
        </w:rPr>
        <w:t>投标人名称（电子签名）：</w:t>
      </w:r>
    </w:p>
    <w:p>
      <w:pPr>
        <w:spacing w:line="360" w:lineRule="auto"/>
        <w:ind w:right="1120" w:firstLine="4680" w:firstLineChars="1950"/>
        <w:rPr>
          <w:rFonts w:hint="eastAsia" w:ascii="仿宋" w:hAnsi="仿宋" w:eastAsia="仿宋" w:cs="仿宋"/>
          <w:sz w:val="24"/>
        </w:rPr>
      </w:pPr>
      <w:r>
        <w:rPr>
          <w:rFonts w:hint="eastAsia" w:ascii="仿宋" w:hAnsi="仿宋" w:eastAsia="仿宋" w:cs="仿宋"/>
          <w:sz w:val="24"/>
        </w:rPr>
        <w:t>日 期：</w:t>
      </w:r>
    </w:p>
    <w:p>
      <w:pPr>
        <w:spacing w:line="360" w:lineRule="auto"/>
        <w:ind w:firstLine="310" w:firstLineChars="147"/>
        <w:jc w:val="left"/>
        <w:rPr>
          <w:rFonts w:hint="eastAsia"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pPr>
        <w:spacing w:line="360" w:lineRule="auto"/>
        <w:ind w:right="420"/>
        <w:rPr>
          <w:rFonts w:hint="eastAsia" w:ascii="仿宋" w:hAnsi="仿宋" w:eastAsia="仿宋" w:cs="仿宋"/>
          <w:sz w:val="24"/>
        </w:rPr>
      </w:pPr>
    </w:p>
    <w:p>
      <w:pPr>
        <w:spacing w:line="360" w:lineRule="auto"/>
        <w:ind w:right="420"/>
        <w:rPr>
          <w:rFonts w:hint="eastAsia" w:ascii="仿宋" w:hAnsi="仿宋" w:eastAsia="仿宋" w:cs="仿宋"/>
          <w:sz w:val="24"/>
        </w:rPr>
      </w:pPr>
      <w:r>
        <w:rPr>
          <w:rFonts w:hint="eastAsia" w:ascii="仿宋" w:hAnsi="仿宋" w:eastAsia="仿宋" w:cs="仿宋"/>
          <w:sz w:val="24"/>
        </w:rPr>
        <w:t xml:space="preserve">   注：</w:t>
      </w:r>
    </w:p>
    <w:p>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firstLine="480" w:firstLineChars="200"/>
        <w:rPr>
          <w:rFonts w:hint="eastAsia" w:ascii="仿宋" w:hAnsi="仿宋" w:eastAsia="仿宋" w:cs="仿宋"/>
          <w:sz w:val="24"/>
        </w:rPr>
      </w:pPr>
    </w:p>
    <w:p>
      <w:pPr>
        <w:widowControl/>
        <w:spacing w:line="360" w:lineRule="auto"/>
        <w:ind w:left="150"/>
        <w:jc w:val="center"/>
        <w:rPr>
          <w:rFonts w:hint="eastAsia" w:ascii="仿宋" w:hAnsi="仿宋" w:eastAsia="仿宋" w:cs="仿宋"/>
          <w:b/>
          <w:kern w:val="0"/>
          <w:sz w:val="32"/>
          <w:szCs w:val="32"/>
        </w:rPr>
      </w:pPr>
    </w:p>
    <w:p>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rPr>
        <w:t>四、本项目的特定资格要求</w:t>
      </w:r>
    </w:p>
    <w:p>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pPr>
        <w:rPr>
          <w:rFonts w:hint="eastAsia" w:ascii="仿宋" w:hAnsi="仿宋" w:eastAsia="仿宋" w:cs="仿宋"/>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pStyle w:val="4"/>
        <w:rPr>
          <w:rFonts w:hint="eastAsia" w:ascii="仿宋" w:hAnsi="仿宋" w:eastAsia="仿宋" w:cs="仿宋"/>
          <w:b w:val="0"/>
        </w:rPr>
      </w:pPr>
    </w:p>
    <w:p>
      <w:pPr>
        <w:snapToGrid w:val="0"/>
        <w:spacing w:line="360" w:lineRule="auto"/>
        <w:ind w:right="480"/>
        <w:jc w:val="center"/>
        <w:rPr>
          <w:rFonts w:hint="eastAsia" w:ascii="仿宋" w:hAnsi="仿宋" w:eastAsia="仿宋" w:cs="仿宋"/>
          <w:b/>
          <w:kern w:val="0"/>
          <w:sz w:val="32"/>
          <w:szCs w:val="32"/>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r>
        <w:rPr>
          <w:rFonts w:hint="eastAsia" w:ascii="仿宋" w:hAnsi="仿宋" w:eastAsia="仿宋" w:cs="仿宋"/>
          <w:b/>
          <w:kern w:val="0"/>
          <w:sz w:val="36"/>
          <w:szCs w:val="36"/>
        </w:rPr>
        <w:t>商务技术文件部分</w:t>
      </w:r>
    </w:p>
    <w:p>
      <w:pPr>
        <w:spacing w:line="360" w:lineRule="auto"/>
        <w:jc w:val="center"/>
        <w:outlineLvl w:val="0"/>
        <w:rPr>
          <w:rFonts w:hint="eastAsia" w:ascii="仿宋" w:hAnsi="仿宋" w:eastAsia="仿宋" w:cs="仿宋"/>
          <w:b/>
          <w:kern w:val="0"/>
          <w:sz w:val="24"/>
        </w:rPr>
      </w:pPr>
    </w:p>
    <w:p>
      <w:pPr>
        <w:spacing w:line="360" w:lineRule="auto"/>
        <w:jc w:val="center"/>
        <w:outlineLvl w:val="0"/>
        <w:rPr>
          <w:rFonts w:hint="eastAsia" w:ascii="仿宋" w:hAnsi="仿宋" w:eastAsia="仿宋" w:cs="仿宋"/>
          <w:b/>
          <w:kern w:val="0"/>
          <w:sz w:val="28"/>
          <w:szCs w:val="28"/>
        </w:rPr>
      </w:pPr>
      <w:r>
        <w:rPr>
          <w:rFonts w:hint="eastAsia" w:ascii="仿宋" w:hAnsi="仿宋" w:eastAsia="仿宋" w:cs="仿宋"/>
          <w:b/>
          <w:kern w:val="0"/>
          <w:sz w:val="28"/>
          <w:szCs w:val="28"/>
        </w:rPr>
        <w:t>目录</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（3）分包意向协议</w:t>
      </w:r>
      <w:r>
        <w:rPr>
          <w:rFonts w:hint="eastAsia" w:ascii="仿宋" w:hAnsi="仿宋" w:eastAsia="仿宋" w:cs="仿宋"/>
        </w:rPr>
        <w:t>…………………………………………………………………………（页码）</w:t>
      </w:r>
    </w:p>
    <w:p>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（4）符合性审查资料</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（5）评标标准相应的商务技术资料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（6）投标标的清单</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（7）商务技术偏离表</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rPr>
          <w:rFonts w:hint="eastAsia" w:ascii="仿宋" w:hAnsi="仿宋" w:eastAsia="仿宋" w:cs="仿宋"/>
          <w:b/>
          <w:kern w:val="0"/>
          <w:sz w:val="32"/>
          <w:szCs w:val="32"/>
          <w:lang w:val="zh-CN"/>
        </w:rPr>
      </w:pPr>
    </w:p>
    <w:p>
      <w:pPr>
        <w:pStyle w:val="4"/>
        <w:rPr>
          <w:rFonts w:hint="eastAsia" w:ascii="仿宋" w:hAnsi="仿宋" w:eastAsia="仿宋" w:cs="仿宋"/>
        </w:rPr>
      </w:pPr>
    </w:p>
    <w:p>
      <w:p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pPr>
        <w:snapToGrid w:val="0"/>
        <w:spacing w:line="360" w:lineRule="auto"/>
        <w:rPr>
          <w:rFonts w:hint="eastAsia"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2、我方的投标文件包括以下内容：</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2.1资格文件：</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2.1.1承诺函；</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2.1.2</w:t>
      </w:r>
      <w:r>
        <w:rPr>
          <w:rFonts w:hint="eastAsia" w:ascii="仿宋" w:hAnsi="仿宋" w:eastAsia="仿宋" w:cs="仿宋"/>
          <w:snapToGrid w:val="0"/>
          <w:kern w:val="28"/>
          <w:sz w:val="24"/>
          <w:szCs w:val="20"/>
        </w:rPr>
        <w:t>联合协议</w:t>
      </w:r>
      <w:bookmarkStart w:id="525" w:name="_Hlk101257010"/>
      <w:r>
        <w:rPr>
          <w:rFonts w:hint="eastAsia" w:ascii="仿宋" w:hAnsi="仿宋" w:eastAsia="仿宋" w:cs="仿宋"/>
          <w:snapToGrid w:val="0"/>
          <w:kern w:val="28"/>
          <w:sz w:val="24"/>
          <w:szCs w:val="20"/>
        </w:rPr>
        <w:t>（如果有)</w:t>
      </w:r>
      <w:bookmarkEnd w:id="525"/>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2.1.3落实政府采购政策需满足的资格要求（如果有）；</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2.1.4本项目的特定资格要求（如果有）。</w:t>
      </w:r>
    </w:p>
    <w:p>
      <w:pPr>
        <w:snapToGrid w:val="0"/>
        <w:spacing w:line="360" w:lineRule="auto"/>
        <w:ind w:left="210" w:leftChars="1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2.2.2授权委托书或法定代表人（单位负责人）身份证明；</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2.2.3分包意向协议（如果有）；</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2.2.4符合性审查资料；</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2.2.5评标标准相应的商务技术资料；</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2.2.6投标标的清单；</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2.2.7商务技术偏离表；</w:t>
      </w:r>
    </w:p>
    <w:p>
      <w:pPr>
        <w:snapToGrid w:val="0"/>
        <w:spacing w:line="360" w:lineRule="auto"/>
        <w:ind w:left="420" w:leftChars="2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2.3.1开标一览表（报价表）；</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2.3.2中小企业声明函（如果有）。</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4、如我方中标，我方承诺：</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4.3按照招标文件要求提交履约保证金；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ind w:firstLine="3600" w:firstLineChars="1500"/>
        <w:rPr>
          <w:rFonts w:hint="eastAsia" w:ascii="仿宋" w:hAnsi="仿宋" w:eastAsia="仿宋" w:cs="仿宋"/>
          <w:sz w:val="24"/>
        </w:rPr>
      </w:pPr>
      <w:r>
        <w:rPr>
          <w:rFonts w:hint="eastAsia" w:ascii="仿宋" w:hAnsi="仿宋" w:eastAsia="仿宋" w:cs="仿宋"/>
          <w:sz w:val="24"/>
        </w:rPr>
        <w:t xml:space="preserve">投标人名称（电子签名）：                          </w:t>
      </w:r>
    </w:p>
    <w:p>
      <w:pPr>
        <w:spacing w:line="360" w:lineRule="auto"/>
        <w:jc w:val="center"/>
        <w:rPr>
          <w:rFonts w:hint="eastAsia" w:ascii="仿宋" w:hAnsi="仿宋" w:eastAsia="仿宋" w:cs="仿宋"/>
          <w:sz w:val="24"/>
        </w:rPr>
      </w:pPr>
      <w:r>
        <w:rPr>
          <w:rFonts w:hint="eastAsia" w:ascii="仿宋" w:hAnsi="仿宋" w:eastAsia="仿宋" w:cs="仿宋"/>
          <w:sz w:val="24"/>
        </w:rPr>
        <w:t xml:space="preserve">     日期：  年   月   日</w:t>
      </w:r>
    </w:p>
    <w:p>
      <w:pPr>
        <w:snapToGrid w:val="0"/>
        <w:spacing w:line="360" w:lineRule="auto"/>
        <w:ind w:left="420" w:leftChars="200" w:firstLine="4200" w:firstLineChars="1750"/>
        <w:rPr>
          <w:rFonts w:hint="eastAsia" w:ascii="仿宋" w:hAnsi="仿宋" w:eastAsia="仿宋" w:cs="仿宋"/>
          <w:kern w:val="0"/>
          <w:sz w:val="24"/>
          <w:u w:val="single"/>
        </w:rPr>
      </w:pPr>
    </w:p>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snapToGrid w:val="0"/>
        <w:spacing w:line="360" w:lineRule="auto"/>
        <w:jc w:val="center"/>
        <w:rPr>
          <w:rFonts w:hint="eastAsia" w:ascii="仿宋" w:hAnsi="仿宋" w:eastAsia="仿宋" w:cs="仿宋"/>
          <w:b/>
          <w:kern w:val="0"/>
          <w:sz w:val="32"/>
          <w:szCs w:val="32"/>
        </w:rPr>
      </w:pPr>
    </w:p>
    <w:p>
      <w:pPr>
        <w:snapToGrid w:val="0"/>
        <w:spacing w:line="360" w:lineRule="auto"/>
        <w:rPr>
          <w:rFonts w:hint="eastAsia" w:ascii="仿宋" w:hAnsi="仿宋" w:eastAsia="仿宋" w:cs="仿宋"/>
          <w:sz w:val="24"/>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pStyle w:val="4"/>
        <w:rPr>
          <w:rFonts w:hint="eastAsia" w:ascii="仿宋" w:hAnsi="仿宋" w:eastAsia="仿宋" w:cs="仿宋"/>
          <w:lang w:val="en-US"/>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pPr>
        <w:snapToGrid w:val="0"/>
        <w:spacing w:line="360" w:lineRule="auto"/>
        <w:rPr>
          <w:rFonts w:hint="eastAsia" w:ascii="仿宋" w:hAnsi="仿宋" w:eastAsia="仿宋" w:cs="仿宋"/>
          <w:sz w:val="24"/>
        </w:rPr>
      </w:pPr>
      <w:r>
        <w:rPr>
          <w:rFonts w:hint="eastAsia" w:ascii="仿宋" w:hAnsi="仿宋" w:eastAsia="仿宋" w:cs="仿宋"/>
          <w:sz w:val="24"/>
        </w:rPr>
        <w:t xml:space="preserve">                                </w:t>
      </w:r>
    </w:p>
    <w:p>
      <w:pPr>
        <w:snapToGrid w:val="0"/>
        <w:spacing w:line="360" w:lineRule="auto"/>
        <w:ind w:firstLine="2872" w:firstLineChars="894"/>
        <w:rPr>
          <w:rFonts w:hint="eastAsia" w:ascii="仿宋" w:hAnsi="仿宋" w:eastAsia="仿宋" w:cs="仿宋"/>
        </w:rPr>
      </w:pPr>
      <w:r>
        <w:rPr>
          <w:rFonts w:hint="eastAsia" w:ascii="仿宋" w:hAnsi="仿宋" w:eastAsia="仿宋" w:cs="仿宋"/>
          <w:b/>
          <w:kern w:val="0"/>
          <w:sz w:val="32"/>
          <w:szCs w:val="32"/>
          <w:lang w:val="zh-CN"/>
        </w:rPr>
        <w:t>授权委托书（适用于非联合体投标）</w:t>
      </w:r>
      <w:r>
        <w:rPr>
          <w:rFonts w:hint="eastAsia" w:ascii="仿宋" w:hAnsi="仿宋" w:eastAsia="仿宋" w:cs="仿宋"/>
        </w:rPr>
        <w:t xml:space="preserve">                               </w:t>
      </w: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投标人名称(电子签名)：</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pPr>
        <w:snapToGrid w:val="0"/>
        <w:spacing w:line="360" w:lineRule="auto"/>
        <w:rPr>
          <w:rFonts w:hint="eastAsia" w:ascii="仿宋" w:hAnsi="仿宋" w:eastAsia="仿宋" w:cs="仿宋"/>
          <w:sz w:val="24"/>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zh-CN"/>
        </w:rPr>
        <w:t xml:space="preserve">      </w:t>
      </w:r>
      <w:r>
        <w:rPr>
          <w:rFonts w:hint="eastAsia" w:ascii="仿宋" w:hAnsi="仿宋" w:eastAsia="仿宋" w:cs="仿宋"/>
          <w:b/>
          <w:kern w:val="0"/>
          <w:sz w:val="32"/>
          <w:szCs w:val="32"/>
        </w:rPr>
        <w:t xml:space="preserve"> </w:t>
      </w:r>
      <w:r>
        <w:rPr>
          <w:rFonts w:hint="eastAsia" w:ascii="仿宋" w:hAnsi="仿宋" w:eastAsia="仿宋" w:cs="仿宋"/>
          <w:b/>
          <w:kern w:val="0"/>
          <w:sz w:val="32"/>
          <w:szCs w:val="32"/>
          <w:lang w:val="zh-CN"/>
        </w:rPr>
        <w:t>授权委托书（适用于联合体投标）</w:t>
      </w: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jc w:val="center"/>
        <w:rPr>
          <w:rFonts w:hint="eastAsia" w:ascii="仿宋" w:hAnsi="仿宋" w:eastAsia="仿宋" w:cs="仿宋"/>
          <w:b/>
          <w:kern w:val="0"/>
          <w:sz w:val="32"/>
          <w:szCs w:val="32"/>
        </w:rPr>
      </w:pPr>
    </w:p>
    <w:p>
      <w:pPr>
        <w:rPr>
          <w:rFonts w:hint="eastAsia" w:ascii="仿宋" w:hAnsi="仿宋" w:eastAsia="仿宋" w:cs="仿宋"/>
        </w:rPr>
      </w:pP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autoSpaceDE w:val="0"/>
        <w:autoSpaceDN w:val="0"/>
        <w:spacing w:line="360" w:lineRule="auto"/>
        <w:jc w:val="center"/>
        <w:rPr>
          <w:rFonts w:hint="eastAsia" w:ascii="仿宋" w:hAnsi="仿宋" w:eastAsia="仿宋" w:cs="仿宋"/>
          <w:b/>
          <w:kern w:val="0"/>
          <w:sz w:val="32"/>
          <w:szCs w:val="32"/>
          <w:lang w:val="zh-CN"/>
        </w:rPr>
      </w:pPr>
    </w:p>
    <w:p>
      <w:pPr>
        <w:autoSpaceDE w:val="0"/>
        <w:autoSpaceDN w:val="0"/>
        <w:spacing w:line="360" w:lineRule="auto"/>
        <w:jc w:val="center"/>
        <w:rPr>
          <w:rFonts w:hint="eastAsia" w:ascii="仿宋" w:hAnsi="仿宋" w:eastAsia="仿宋" w:cs="仿宋"/>
          <w:b/>
          <w:kern w:val="0"/>
          <w:sz w:val="32"/>
          <w:szCs w:val="32"/>
          <w:lang w:val="zh-CN"/>
        </w:rPr>
      </w:pPr>
    </w:p>
    <w:p>
      <w:pPr>
        <w:autoSpaceDE w:val="0"/>
        <w:autoSpaceDN w:val="0"/>
        <w:spacing w:line="360" w:lineRule="auto"/>
        <w:jc w:val="center"/>
        <w:rPr>
          <w:rFonts w:hint="eastAsia" w:ascii="仿宋" w:hAnsi="仿宋" w:eastAsia="仿宋" w:cs="仿宋"/>
          <w:b/>
          <w:kern w:val="0"/>
          <w:sz w:val="32"/>
          <w:szCs w:val="32"/>
          <w:lang w:val="zh-CN"/>
        </w:rPr>
      </w:pPr>
    </w:p>
    <w:p>
      <w:pPr>
        <w:autoSpaceDE w:val="0"/>
        <w:autoSpaceDN w:val="0"/>
        <w:spacing w:line="360" w:lineRule="auto"/>
        <w:jc w:val="center"/>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pPr>
        <w:pStyle w:val="146"/>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int="eastAsia" w:ascii="仿宋" w:hAnsi="仿宋" w:eastAsia="仿宋" w:cs="仿宋"/>
                <w:bCs/>
                <w:sz w:val="24"/>
              </w:rPr>
            </w:pPr>
            <w:r>
              <w:rPr>
                <w:rFonts w:hint="eastAsia" w:ascii="仿宋" w:hAnsi="仿宋" w:eastAsia="仿宋" w:cs="仿宋"/>
                <w:bCs/>
                <w:sz w:val="24"/>
              </w:rPr>
              <w:t>正面：                                 反面：</w:t>
            </w:r>
          </w:p>
          <w:p>
            <w:pPr>
              <w:pStyle w:val="146"/>
              <w:adjustRightInd w:val="0"/>
              <w:spacing w:line="360" w:lineRule="auto"/>
              <w:rPr>
                <w:rFonts w:hint="eastAsia" w:ascii="仿宋" w:hAnsi="仿宋" w:eastAsia="仿宋" w:cs="仿宋"/>
                <w:bCs/>
                <w:sz w:val="24"/>
              </w:rPr>
            </w:pPr>
          </w:p>
        </w:tc>
      </w:tr>
    </w:tbl>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snapToGrid w:val="0"/>
        <w:spacing w:line="360" w:lineRule="auto"/>
        <w:ind w:right="480"/>
        <w:rPr>
          <w:rFonts w:hint="eastAsia" w:ascii="仿宋" w:hAnsi="仿宋" w:eastAsia="仿宋" w:cs="仿宋"/>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hint="eastAsia" w:ascii="仿宋" w:hAnsi="仿宋" w:eastAsia="仿宋" w:cs="仿宋"/>
          <w:b/>
          <w:kern w:val="0"/>
          <w:sz w:val="32"/>
          <w:szCs w:val="32"/>
        </w:rPr>
      </w:pPr>
      <w:r>
        <w:rPr>
          <w:rFonts w:hint="eastAsia" w:ascii="仿宋" w:hAnsi="仿宋" w:eastAsia="仿宋" w:cs="仿宋"/>
          <w:b/>
          <w:kern w:val="0"/>
          <w:sz w:val="32"/>
          <w:szCs w:val="32"/>
        </w:rPr>
        <w:t>三、分包意向协议</w:t>
      </w:r>
    </w:p>
    <w:p>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中标后以分包方式履行合同的，提供分包意向协议(附件6)；采购人不同意分包或者投标人中标后不以分包方式履行合同的，则不需要提供。</w:t>
      </w:r>
      <w:r>
        <w:rPr>
          <w:rFonts w:hint="eastAsia" w:ascii="仿宋" w:hAnsi="仿宋" w:eastAsia="仿宋" w:cs="仿宋"/>
          <w:sz w:val="24"/>
        </w:rPr>
        <w:t>]</w:t>
      </w:r>
    </w:p>
    <w:p>
      <w:pPr>
        <w:snapToGrid w:val="0"/>
        <w:spacing w:line="360" w:lineRule="auto"/>
        <w:rPr>
          <w:rFonts w:hint="eastAsia" w:ascii="仿宋" w:hAnsi="仿宋" w:eastAsia="仿宋" w:cs="仿宋"/>
          <w:kern w:val="0"/>
          <w:sz w:val="24"/>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rPr>
        <w:t>四、符合性审查资料</w:t>
      </w:r>
    </w:p>
    <w:p>
      <w:pPr>
        <w:jc w:val="center"/>
        <w:rPr>
          <w:rFonts w:hint="eastAsia" w:ascii="仿宋" w:hAnsi="仿宋" w:eastAsia="仿宋" w:cs="仿宋"/>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序号</w:t>
            </w:r>
          </w:p>
        </w:tc>
        <w:tc>
          <w:tcPr>
            <w:tcW w:w="4991"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实质性要求</w:t>
            </w:r>
          </w:p>
        </w:tc>
        <w:tc>
          <w:tcPr>
            <w:tcW w:w="2551"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投标文件中的</w:t>
            </w:r>
          </w:p>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sz w:val="24"/>
              </w:rPr>
            </w:pPr>
            <w:r>
              <w:rPr>
                <w:rFonts w:hint="eastAsia" w:ascii="仿宋" w:hAnsi="仿宋" w:eastAsia="仿宋" w:cs="仿宋"/>
                <w:sz w:val="24"/>
              </w:rPr>
              <w:t>1</w:t>
            </w:r>
          </w:p>
        </w:tc>
        <w:tc>
          <w:tcPr>
            <w:tcW w:w="4991" w:type="dxa"/>
          </w:tcPr>
          <w:p>
            <w:pPr>
              <w:spacing w:line="360" w:lineRule="auto"/>
              <w:rPr>
                <w:rFonts w:hint="eastAsia" w:ascii="仿宋" w:hAnsi="仿宋" w:eastAsia="仿宋" w:cs="仿宋"/>
                <w:sz w:val="24"/>
              </w:rPr>
            </w:pPr>
            <w:r>
              <w:rPr>
                <w:rFonts w:hint="eastAsia" w:ascii="仿宋" w:hAnsi="仿宋" w:eastAsia="仿宋" w:cs="仿宋"/>
                <w:sz w:val="24"/>
              </w:rPr>
              <w:t>投标文件按照招标文件要求签署、盖章。</w:t>
            </w:r>
          </w:p>
        </w:tc>
        <w:tc>
          <w:tcPr>
            <w:tcW w:w="2551" w:type="dxa"/>
            <w:vAlign w:val="center"/>
          </w:tcPr>
          <w:p>
            <w:pPr>
              <w:rPr>
                <w:rFonts w:hint="eastAsia" w:ascii="仿宋" w:hAnsi="仿宋" w:eastAsia="仿宋" w:cs="仿宋"/>
                <w:sz w:val="24"/>
              </w:rPr>
            </w:pPr>
            <w:r>
              <w:rPr>
                <w:rFonts w:hint="eastAsia" w:ascii="仿宋" w:hAnsi="仿宋" w:eastAsia="仿宋" w:cs="仿宋"/>
                <w:sz w:val="24"/>
              </w:rPr>
              <w:t>需要使用电子签名或者签字盖章的投标文件的组成部分</w:t>
            </w:r>
          </w:p>
        </w:tc>
        <w:tc>
          <w:tcPr>
            <w:tcW w:w="1418" w:type="dxa"/>
          </w:tcPr>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见投标文件</w:t>
            </w:r>
          </w:p>
          <w:p>
            <w:pPr>
              <w:rPr>
                <w:rFonts w:hint="eastAsia"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仿宋" w:hAnsi="仿宋" w:eastAsia="仿宋" w:cs="仿宋"/>
                <w:sz w:val="24"/>
              </w:rPr>
            </w:pPr>
            <w:r>
              <w:rPr>
                <w:rFonts w:hint="eastAsia" w:ascii="仿宋" w:hAnsi="仿宋" w:eastAsia="仿宋" w:cs="仿宋"/>
                <w:sz w:val="24"/>
              </w:rPr>
              <w:t>2</w:t>
            </w:r>
          </w:p>
        </w:tc>
        <w:tc>
          <w:tcPr>
            <w:tcW w:w="4991" w:type="dxa"/>
          </w:tcPr>
          <w:p>
            <w:pPr>
              <w:spacing w:line="360" w:lineRule="auto"/>
              <w:rPr>
                <w:rFonts w:hint="eastAsia" w:ascii="仿宋" w:hAnsi="仿宋" w:eastAsia="仿宋" w:cs="仿宋"/>
                <w:sz w:val="24"/>
              </w:rPr>
            </w:pPr>
            <w:r>
              <w:rPr>
                <w:rFonts w:hint="eastAsia" w:ascii="仿宋" w:hAnsi="仿宋" w:eastAsia="仿宋" w:cs="仿宋"/>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hint="eastAsia" w:ascii="仿宋" w:hAnsi="仿宋" w:eastAsia="仿宋" w:cs="仿宋"/>
                <w:sz w:val="24"/>
              </w:rPr>
            </w:pPr>
            <w:r>
              <w:rPr>
                <w:rFonts w:hint="eastAsia" w:ascii="仿宋" w:hAnsi="仿宋" w:eastAsia="仿宋" w:cs="仿宋"/>
                <w:sz w:val="24"/>
              </w:rPr>
              <w:t>节能产品认证证书（本项目拟采购的产品不属于政府强制采购的节能产品品目清单范围的，无需提供）</w:t>
            </w:r>
          </w:p>
        </w:tc>
        <w:tc>
          <w:tcPr>
            <w:tcW w:w="1418" w:type="dxa"/>
          </w:tcPr>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见投标文件</w:t>
            </w:r>
          </w:p>
          <w:p>
            <w:pPr>
              <w:pStyle w:val="4"/>
              <w:rPr>
                <w:rFonts w:hint="eastAsia" w:ascii="仿宋" w:hAnsi="仿宋" w:eastAsia="仿宋" w:cs="仿宋"/>
                <w:lang w:val="en-US"/>
              </w:rPr>
            </w:pPr>
            <w:r>
              <w:rPr>
                <w:rFonts w:hint="eastAsia" w:ascii="仿宋" w:hAnsi="仿宋" w:eastAsia="仿宋" w:cs="仿宋"/>
                <w:b w:val="0"/>
                <w:bCs w:val="0"/>
                <w:sz w:val="24"/>
                <w:szCs w:val="24"/>
                <w:lang w:val="en-US"/>
              </w:rPr>
              <w:t>第</w:t>
            </w:r>
            <w:r>
              <w:rPr>
                <w:rFonts w:hint="eastAsia" w:ascii="仿宋" w:hAnsi="仿宋" w:eastAsia="仿宋" w:cs="仿宋"/>
                <w:b w:val="0"/>
                <w:bCs w:val="0"/>
                <w:sz w:val="24"/>
                <w:szCs w:val="24"/>
                <w:u w:val="single"/>
                <w:lang w:val="en-US"/>
              </w:rPr>
              <w:t xml:space="preserve">  </w:t>
            </w:r>
            <w:r>
              <w:rPr>
                <w:rFonts w:hint="eastAsia" w:ascii="仿宋" w:hAnsi="仿宋" w:eastAsia="仿宋" w:cs="仿宋"/>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sz w:val="24"/>
              </w:rPr>
            </w:pPr>
            <w:r>
              <w:rPr>
                <w:rFonts w:hint="eastAsia" w:ascii="仿宋" w:hAnsi="仿宋" w:eastAsia="仿宋" w:cs="仿宋"/>
                <w:sz w:val="24"/>
              </w:rPr>
              <w:t>3</w:t>
            </w:r>
          </w:p>
        </w:tc>
        <w:tc>
          <w:tcPr>
            <w:tcW w:w="4991" w:type="dxa"/>
          </w:tcPr>
          <w:p>
            <w:pPr>
              <w:spacing w:line="360" w:lineRule="auto"/>
              <w:rPr>
                <w:rFonts w:hint="eastAsia"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51" w:type="dxa"/>
            <w:vAlign w:val="center"/>
          </w:tcPr>
          <w:p>
            <w:pPr>
              <w:rPr>
                <w:rFonts w:hint="eastAsia" w:ascii="仿宋" w:hAnsi="仿宋" w:eastAsia="仿宋" w:cs="仿宋"/>
                <w:sz w:val="24"/>
              </w:rPr>
            </w:pPr>
            <w:r>
              <w:rPr>
                <w:rFonts w:hint="eastAsia" w:ascii="仿宋" w:hAnsi="仿宋" w:eastAsia="仿宋" w:cs="仿宋"/>
                <w:sz w:val="24"/>
              </w:rPr>
              <w:t>投标函</w:t>
            </w:r>
          </w:p>
        </w:tc>
        <w:tc>
          <w:tcPr>
            <w:tcW w:w="1418" w:type="dxa"/>
          </w:tcPr>
          <w:p>
            <w:pPr>
              <w:rPr>
                <w:rFonts w:hint="eastAsia"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sz w:val="24"/>
              </w:rPr>
            </w:pPr>
            <w:r>
              <w:rPr>
                <w:rFonts w:hint="eastAsia" w:ascii="仿宋" w:hAnsi="仿宋" w:eastAsia="仿宋" w:cs="仿宋"/>
                <w:sz w:val="24"/>
              </w:rPr>
              <w:t>4</w:t>
            </w:r>
          </w:p>
        </w:tc>
        <w:tc>
          <w:tcPr>
            <w:tcW w:w="4991" w:type="dxa"/>
          </w:tcPr>
          <w:p>
            <w:pPr>
              <w:spacing w:line="360" w:lineRule="auto"/>
              <w:rPr>
                <w:rFonts w:hint="eastAsia" w:ascii="仿宋" w:hAnsi="仿宋" w:eastAsia="仿宋" w:cs="仿宋"/>
                <w:sz w:val="24"/>
              </w:rPr>
            </w:pPr>
            <w:r>
              <w:rPr>
                <w:rFonts w:hint="eastAsia" w:ascii="仿宋" w:hAnsi="仿宋" w:eastAsia="仿宋" w:cs="仿宋"/>
                <w:sz w:val="24"/>
              </w:rPr>
              <w:t>投标文件满足招标文件的其它实质性要求。</w:t>
            </w:r>
          </w:p>
        </w:tc>
        <w:tc>
          <w:tcPr>
            <w:tcW w:w="2551" w:type="dxa"/>
            <w:vAlign w:val="center"/>
          </w:tcPr>
          <w:p>
            <w:pPr>
              <w:rPr>
                <w:rFonts w:hint="eastAsia" w:ascii="仿宋" w:hAnsi="仿宋" w:eastAsia="仿宋" w:cs="仿宋"/>
                <w:sz w:val="24"/>
              </w:rPr>
            </w:pPr>
            <w:r>
              <w:rPr>
                <w:rFonts w:hint="eastAsia" w:ascii="仿宋" w:hAnsi="仿宋" w:eastAsia="仿宋" w:cs="仿宋"/>
                <w:kern w:val="0"/>
                <w:sz w:val="24"/>
              </w:rPr>
              <w:t>招标文件其它实质性要求相应的材料（“▲” 系指实质性要求条款，招标文件无其它实质性要求的，无需提供）</w:t>
            </w:r>
          </w:p>
        </w:tc>
        <w:tc>
          <w:tcPr>
            <w:tcW w:w="1418" w:type="dxa"/>
          </w:tcPr>
          <w:p>
            <w:pPr>
              <w:rPr>
                <w:rFonts w:hint="eastAsia"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rPr>
        <w:t xml:space="preserve">            </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rPr>
      </w:pPr>
      <w:r>
        <w:rPr>
          <w:rFonts w:hint="eastAsia" w:ascii="仿宋" w:hAnsi="仿宋" w:eastAsia="仿宋" w:cs="仿宋"/>
          <w:b/>
          <w:kern w:val="0"/>
          <w:sz w:val="32"/>
          <w:szCs w:val="32"/>
        </w:rPr>
        <w:t>五、评标标准相应的商务技术资料</w:t>
      </w:r>
    </w:p>
    <w:p>
      <w:pPr>
        <w:snapToGrid w:val="0"/>
        <w:spacing w:line="360" w:lineRule="auto"/>
        <w:jc w:val="left"/>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ind w:firstLine="2891" w:firstLineChars="900"/>
        <w:rPr>
          <w:rFonts w:hint="eastAsia" w:ascii="仿宋" w:hAnsi="仿宋" w:eastAsia="仿宋" w:cs="仿宋"/>
          <w:b/>
          <w:kern w:val="0"/>
          <w:sz w:val="32"/>
          <w:szCs w:val="32"/>
        </w:rPr>
      </w:pPr>
      <w:r>
        <w:rPr>
          <w:rFonts w:hint="eastAsia" w:ascii="仿宋" w:hAnsi="仿宋" w:eastAsia="仿宋" w:cs="仿宋"/>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r>
              <w:rPr>
                <w:rFonts w:hint="eastAsia" w:ascii="仿宋" w:hAnsi="仿宋" w:eastAsia="仿宋" w:cs="仿宋"/>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r>
              <w:rPr>
                <w:rFonts w:hint="eastAsia" w:ascii="仿宋" w:hAnsi="仿宋" w:eastAsia="仿宋" w:cs="仿宋"/>
                <w:b/>
                <w:sz w:val="24"/>
              </w:rPr>
              <w:t>备注（如果有）</w:t>
            </w:r>
          </w:p>
          <w:p>
            <w:pPr>
              <w:spacing w:line="360" w:lineRule="auto"/>
              <w:jc w:val="cente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r>
    </w:tbl>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b/>
                <w:bCs/>
                <w:sz w:val="24"/>
              </w:rPr>
            </w:pPr>
            <w:r>
              <w:rPr>
                <w:rFonts w:hint="eastAsia" w:ascii="仿宋" w:hAnsi="仿宋" w:eastAsia="仿宋" w:cs="仿宋"/>
                <w:b/>
                <w:bCs/>
                <w:sz w:val="24"/>
              </w:rPr>
              <w:t>序号</w:t>
            </w:r>
          </w:p>
        </w:tc>
        <w:tc>
          <w:tcPr>
            <w:tcW w:w="3683" w:type="dxa"/>
          </w:tcPr>
          <w:p>
            <w:pPr>
              <w:jc w:val="center"/>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546" w:type="dxa"/>
          </w:tcPr>
          <w:p>
            <w:pPr>
              <w:jc w:val="center"/>
              <w:rPr>
                <w:rFonts w:hint="eastAsia" w:ascii="仿宋" w:hAnsi="仿宋" w:eastAsia="仿宋" w:cs="仿宋"/>
                <w:b/>
                <w:bCs/>
                <w:sz w:val="24"/>
              </w:rPr>
            </w:pPr>
            <w:r>
              <w:rPr>
                <w:rFonts w:hint="eastAsia" w:ascii="仿宋" w:hAnsi="仿宋" w:eastAsia="仿宋" w:cs="仿宋"/>
                <w:b/>
                <w:bCs/>
                <w:sz w:val="24"/>
              </w:rPr>
              <w:t>投标文件章节及具体内容</w:t>
            </w:r>
          </w:p>
        </w:tc>
        <w:tc>
          <w:tcPr>
            <w:tcW w:w="1276" w:type="dxa"/>
          </w:tcPr>
          <w:p>
            <w:pPr>
              <w:jc w:val="center"/>
              <w:rPr>
                <w:rFonts w:hint="eastAsia" w:ascii="仿宋" w:hAnsi="仿宋" w:eastAsia="仿宋" w:cs="仿宋"/>
                <w:b/>
                <w:bCs/>
                <w:sz w:val="24"/>
              </w:rPr>
            </w:pPr>
            <w:r>
              <w:rPr>
                <w:rFonts w:hint="eastAsia" w:ascii="仿宋" w:hAnsi="仿宋" w:eastAsia="仿宋" w:cs="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kern w:val="0"/>
                <w:sz w:val="24"/>
              </w:rPr>
            </w:pPr>
            <w:r>
              <w:rPr>
                <w:rFonts w:hint="eastAsia" w:ascii="仿宋" w:hAnsi="仿宋" w:eastAsia="仿宋" w:cs="仿宋"/>
                <w:kern w:val="0"/>
                <w:sz w:val="24"/>
              </w:rPr>
              <w:t>1</w:t>
            </w:r>
          </w:p>
        </w:tc>
        <w:tc>
          <w:tcPr>
            <w:tcW w:w="3683" w:type="dxa"/>
          </w:tcPr>
          <w:p>
            <w:pPr>
              <w:jc w:val="center"/>
              <w:rPr>
                <w:rFonts w:hint="eastAsia" w:ascii="仿宋" w:hAnsi="仿宋" w:eastAsia="仿宋" w:cs="仿宋"/>
                <w:b/>
                <w:kern w:val="0"/>
                <w:sz w:val="32"/>
                <w:szCs w:val="32"/>
              </w:rPr>
            </w:pPr>
          </w:p>
        </w:tc>
        <w:tc>
          <w:tcPr>
            <w:tcW w:w="3546" w:type="dxa"/>
          </w:tcPr>
          <w:p>
            <w:pPr>
              <w:jc w:val="center"/>
              <w:rPr>
                <w:rFonts w:hint="eastAsia" w:ascii="仿宋" w:hAnsi="仿宋" w:eastAsia="仿宋" w:cs="仿宋"/>
                <w:b/>
                <w:kern w:val="0"/>
                <w:sz w:val="32"/>
                <w:szCs w:val="32"/>
              </w:rPr>
            </w:pPr>
          </w:p>
        </w:tc>
        <w:tc>
          <w:tcPr>
            <w:tcW w:w="1276" w:type="dxa"/>
          </w:tcPr>
          <w:p>
            <w:pPr>
              <w:jc w:val="center"/>
              <w:rPr>
                <w:rFonts w:hint="eastAsia"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kern w:val="0"/>
                <w:sz w:val="24"/>
              </w:rPr>
            </w:pPr>
            <w:r>
              <w:rPr>
                <w:rFonts w:hint="eastAsia" w:ascii="仿宋" w:hAnsi="仿宋" w:eastAsia="仿宋" w:cs="仿宋"/>
                <w:kern w:val="0"/>
                <w:sz w:val="24"/>
              </w:rPr>
              <w:t>2</w:t>
            </w:r>
          </w:p>
        </w:tc>
        <w:tc>
          <w:tcPr>
            <w:tcW w:w="3683" w:type="dxa"/>
          </w:tcPr>
          <w:p>
            <w:pPr>
              <w:jc w:val="center"/>
              <w:rPr>
                <w:rFonts w:hint="eastAsia" w:ascii="仿宋" w:hAnsi="仿宋" w:eastAsia="仿宋" w:cs="仿宋"/>
                <w:b/>
                <w:kern w:val="0"/>
                <w:sz w:val="32"/>
                <w:szCs w:val="32"/>
              </w:rPr>
            </w:pPr>
          </w:p>
        </w:tc>
        <w:tc>
          <w:tcPr>
            <w:tcW w:w="3546" w:type="dxa"/>
          </w:tcPr>
          <w:p>
            <w:pPr>
              <w:jc w:val="center"/>
              <w:rPr>
                <w:rFonts w:hint="eastAsia" w:ascii="仿宋" w:hAnsi="仿宋" w:eastAsia="仿宋" w:cs="仿宋"/>
                <w:b/>
                <w:kern w:val="0"/>
                <w:sz w:val="32"/>
                <w:szCs w:val="32"/>
              </w:rPr>
            </w:pPr>
          </w:p>
        </w:tc>
        <w:tc>
          <w:tcPr>
            <w:tcW w:w="1276" w:type="dxa"/>
          </w:tcPr>
          <w:p>
            <w:pPr>
              <w:jc w:val="center"/>
              <w:rPr>
                <w:rFonts w:hint="eastAsia"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kern w:val="0"/>
                <w:sz w:val="24"/>
              </w:rPr>
            </w:pPr>
            <w:r>
              <w:rPr>
                <w:rFonts w:hint="eastAsia" w:ascii="仿宋" w:hAnsi="仿宋" w:eastAsia="仿宋" w:cs="仿宋"/>
                <w:kern w:val="0"/>
                <w:sz w:val="24"/>
              </w:rPr>
              <w:t>……</w:t>
            </w:r>
          </w:p>
        </w:tc>
        <w:tc>
          <w:tcPr>
            <w:tcW w:w="3683" w:type="dxa"/>
          </w:tcPr>
          <w:p>
            <w:pPr>
              <w:jc w:val="center"/>
              <w:rPr>
                <w:rFonts w:hint="eastAsia" w:ascii="仿宋" w:hAnsi="仿宋" w:eastAsia="仿宋" w:cs="仿宋"/>
                <w:b/>
                <w:kern w:val="0"/>
                <w:sz w:val="32"/>
                <w:szCs w:val="32"/>
              </w:rPr>
            </w:pPr>
          </w:p>
        </w:tc>
        <w:tc>
          <w:tcPr>
            <w:tcW w:w="3546" w:type="dxa"/>
          </w:tcPr>
          <w:p>
            <w:pPr>
              <w:jc w:val="center"/>
              <w:rPr>
                <w:rFonts w:hint="eastAsia" w:ascii="仿宋" w:hAnsi="仿宋" w:eastAsia="仿宋" w:cs="仿宋"/>
                <w:b/>
                <w:kern w:val="0"/>
                <w:sz w:val="32"/>
                <w:szCs w:val="32"/>
              </w:rPr>
            </w:pPr>
          </w:p>
        </w:tc>
        <w:tc>
          <w:tcPr>
            <w:tcW w:w="1276" w:type="dxa"/>
          </w:tcPr>
          <w:p>
            <w:pPr>
              <w:jc w:val="center"/>
              <w:rPr>
                <w:rFonts w:hint="eastAsia" w:ascii="仿宋" w:hAnsi="仿宋" w:eastAsia="仿宋" w:cs="仿宋"/>
                <w:b/>
                <w:kern w:val="0"/>
                <w:sz w:val="32"/>
                <w:szCs w:val="32"/>
              </w:rPr>
            </w:pPr>
          </w:p>
        </w:tc>
      </w:tr>
    </w:tbl>
    <w:p>
      <w:pPr>
        <w:jc w:val="left"/>
        <w:rPr>
          <w:rFonts w:hint="eastAsia"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pPr>
        <w:jc w:val="center"/>
        <w:rPr>
          <w:rFonts w:hint="eastAsia" w:ascii="仿宋" w:hAnsi="仿宋" w:eastAsia="仿宋" w:cs="仿宋"/>
          <w:b/>
          <w:kern w:val="0"/>
          <w:sz w:val="32"/>
          <w:szCs w:val="32"/>
        </w:rPr>
      </w:pPr>
    </w:p>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ind w:firstLine="1911" w:firstLineChars="595"/>
        <w:rPr>
          <w:rFonts w:hint="eastAsia" w:ascii="仿宋" w:hAnsi="仿宋" w:eastAsia="仿宋" w:cs="仿宋"/>
          <w:b/>
          <w:bCs/>
          <w:sz w:val="32"/>
          <w:szCs w:val="32"/>
        </w:rPr>
      </w:pPr>
    </w:p>
    <w:p>
      <w:pPr>
        <w:ind w:firstLine="1911" w:firstLineChars="595"/>
        <w:rPr>
          <w:rFonts w:hint="eastAsia" w:ascii="仿宋" w:hAnsi="仿宋" w:eastAsia="仿宋" w:cs="仿宋"/>
          <w:b/>
          <w:bCs/>
          <w:sz w:val="32"/>
          <w:szCs w:val="32"/>
        </w:rPr>
      </w:pPr>
    </w:p>
    <w:p>
      <w:pPr>
        <w:ind w:firstLine="1911" w:firstLineChars="595"/>
        <w:rPr>
          <w:rFonts w:hint="eastAsia" w:ascii="仿宋" w:hAnsi="仿宋" w:eastAsia="仿宋" w:cs="仿宋"/>
          <w:b/>
          <w:bCs/>
          <w:sz w:val="32"/>
          <w:szCs w:val="32"/>
        </w:rPr>
      </w:pPr>
    </w:p>
    <w:p>
      <w:pPr>
        <w:ind w:firstLine="1911" w:firstLineChars="595"/>
        <w:rPr>
          <w:rFonts w:hint="eastAsia" w:ascii="仿宋" w:hAnsi="仿宋" w:eastAsia="仿宋" w:cs="仿宋"/>
          <w:b/>
          <w:kern w:val="0"/>
          <w:sz w:val="32"/>
          <w:szCs w:val="32"/>
        </w:rPr>
      </w:pPr>
      <w:r>
        <w:rPr>
          <w:rFonts w:hint="eastAsia" w:ascii="仿宋" w:hAnsi="仿宋" w:eastAsia="仿宋" w:cs="仿宋"/>
          <w:b/>
          <w:bCs/>
          <w:sz w:val="32"/>
          <w:szCs w:val="32"/>
        </w:rPr>
        <w:t>八</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pPr>
        <w:snapToGrid w:val="0"/>
        <w:spacing w:line="360" w:lineRule="auto"/>
        <w:rPr>
          <w:rFonts w:hint="eastAsia" w:ascii="仿宋" w:hAnsi="仿宋" w:eastAsia="仿宋" w:cs="仿宋"/>
          <w:sz w:val="24"/>
        </w:rPr>
      </w:pP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spacing w:line="360" w:lineRule="auto"/>
        <w:jc w:val="center"/>
        <w:rPr>
          <w:rFonts w:hint="eastAsia" w:ascii="仿宋" w:hAnsi="仿宋" w:eastAsia="仿宋" w:cs="仿宋"/>
          <w:b/>
          <w:bCs/>
          <w:sz w:val="24"/>
        </w:rPr>
      </w:pPr>
    </w:p>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spacing w:line="360" w:lineRule="auto"/>
        <w:jc w:val="center"/>
        <w:rPr>
          <w:rFonts w:hint="eastAsia" w:ascii="仿宋" w:hAnsi="仿宋" w:eastAsia="仿宋" w:cs="仿宋"/>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hint="eastAsia" w:ascii="仿宋" w:hAnsi="仿宋" w:eastAsia="仿宋" w:cs="仿宋"/>
          <w:b/>
          <w:kern w:val="0"/>
          <w:sz w:val="36"/>
          <w:szCs w:val="36"/>
        </w:rPr>
      </w:pPr>
    </w:p>
    <w:p>
      <w:pPr>
        <w:snapToGrid w:val="0"/>
        <w:spacing w:line="360" w:lineRule="auto"/>
        <w:rPr>
          <w:rFonts w:hint="eastAsia" w:ascii="仿宋" w:hAnsi="仿宋" w:eastAsia="仿宋" w:cs="仿宋"/>
          <w:sz w:val="24"/>
        </w:rPr>
      </w:pPr>
      <w:r>
        <w:rPr>
          <w:rFonts w:hint="eastAsia" w:ascii="仿宋" w:hAnsi="仿宋" w:eastAsia="仿宋" w:cs="仿宋"/>
          <w:sz w:val="24"/>
        </w:rPr>
        <w:t>（1）开标一览表（报价表）………………………………………………………（页码）</w:t>
      </w:r>
    </w:p>
    <w:p>
      <w:pPr>
        <w:snapToGrid w:val="0"/>
        <w:spacing w:line="360" w:lineRule="auto"/>
        <w:rPr>
          <w:rFonts w:hint="eastAsia" w:ascii="仿宋" w:hAnsi="仿宋" w:eastAsia="仿宋" w:cs="仿宋"/>
          <w:sz w:val="24"/>
        </w:rPr>
      </w:pPr>
      <w:r>
        <w:rPr>
          <w:rFonts w:hint="eastAsia" w:ascii="仿宋" w:hAnsi="仿宋" w:eastAsia="仿宋" w:cs="仿宋"/>
          <w:sz w:val="24"/>
        </w:rPr>
        <w:t>（2）中小企业声明函………………………………………………………………（页码）</w:t>
      </w: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pStyle w:val="690"/>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r>
        <w:rPr>
          <w:rFonts w:hint="eastAsia" w:ascii="仿宋" w:hAnsi="仿宋" w:eastAsia="仿宋" w:cs="仿宋"/>
          <w:kern w:val="2"/>
          <w:sz w:val="32"/>
          <w:szCs w:val="32"/>
        </w:rPr>
        <w:t>一、开标一览表（报价表）</w:t>
      </w: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482"/>
        <w:rPr>
          <w:rFonts w:hint="eastAsia"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rPr>
        <w:t>（项目名称）</w:t>
      </w:r>
      <w:r>
        <w:rPr>
          <w:rFonts w:hint="eastAsia" w:ascii="仿宋" w:hAnsi="仿宋" w:eastAsia="仿宋" w:cs="仿宋"/>
          <w:kern w:val="0"/>
          <w:sz w:val="24"/>
          <w:lang w:val="zh-CN"/>
        </w:rPr>
        <w:t>【招标编号：</w:t>
      </w:r>
      <w:r>
        <w:rPr>
          <w:rFonts w:hint="eastAsia" w:ascii="仿宋" w:hAnsi="仿宋" w:eastAsia="仿宋" w:cs="仿宋"/>
          <w:sz w:val="24"/>
        </w:rPr>
        <w:t>（采购编号）】的实施</w:t>
      </w:r>
      <w:r>
        <w:rPr>
          <w:rFonts w:hint="eastAsia" w:ascii="仿宋" w:hAnsi="仿宋" w:eastAsia="仿宋" w:cs="仿宋"/>
          <w:kern w:val="0"/>
          <w:sz w:val="24"/>
          <w:lang w:val="zh-CN"/>
        </w:rPr>
        <w:t>。</w:t>
      </w:r>
    </w:p>
    <w:p>
      <w:pPr>
        <w:spacing w:line="360" w:lineRule="auto"/>
        <w:jc w:val="center"/>
        <w:rPr>
          <w:rFonts w:hint="eastAsia"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62"/>
        <w:tblW w:w="51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
        <w:gridCol w:w="2003"/>
        <w:gridCol w:w="5522"/>
        <w:gridCol w:w="1649"/>
        <w:gridCol w:w="1923"/>
        <w:gridCol w:w="1709"/>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309" w:type="pct"/>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673" w:type="pct"/>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1855" w:type="pct"/>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服务范围</w:t>
            </w:r>
          </w:p>
        </w:tc>
        <w:tc>
          <w:tcPr>
            <w:tcW w:w="554" w:type="pct"/>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服务时间</w:t>
            </w:r>
          </w:p>
        </w:tc>
        <w:tc>
          <w:tcPr>
            <w:tcW w:w="646" w:type="pct"/>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服务标准</w:t>
            </w:r>
          </w:p>
        </w:tc>
        <w:tc>
          <w:tcPr>
            <w:tcW w:w="573" w:type="pct"/>
            <w:vAlign w:val="center"/>
          </w:tcPr>
          <w:p>
            <w:pPr>
              <w:spacing w:line="360" w:lineRule="auto"/>
              <w:jc w:val="center"/>
              <w:rPr>
                <w:rFonts w:hint="eastAsia" w:ascii="仿宋" w:hAnsi="仿宋" w:eastAsia="仿宋" w:cs="仿宋"/>
                <w:b/>
                <w:sz w:val="24"/>
                <w:lang w:val="en-US" w:eastAsia="zh-CN"/>
              </w:rPr>
            </w:pPr>
            <w:r>
              <w:rPr>
                <w:rFonts w:hint="eastAsia" w:ascii="仿宋" w:hAnsi="仿宋" w:eastAsia="仿宋" w:cs="仿宋"/>
                <w:b/>
                <w:sz w:val="24"/>
                <w:lang w:val="en-US" w:eastAsia="zh-CN"/>
              </w:rPr>
              <w:t>报价</w:t>
            </w:r>
          </w:p>
        </w:tc>
        <w:tc>
          <w:tcPr>
            <w:tcW w:w="387" w:type="pct"/>
            <w:vAlign w:val="center"/>
          </w:tcPr>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r>
              <w:rPr>
                <w:rFonts w:hint="eastAsia" w:ascii="仿宋" w:hAnsi="仿宋" w:eastAsia="仿宋" w:cs="仿宋"/>
                <w:b/>
                <w:sz w:val="24"/>
              </w:rPr>
              <w:t>备注（如果有）</w:t>
            </w:r>
          </w:p>
          <w:p>
            <w:pPr>
              <w:spacing w:line="360" w:lineRule="auto"/>
              <w:jc w:val="cente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09" w:type="pct"/>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673" w:type="pct"/>
            <w:vAlign w:val="center"/>
          </w:tcPr>
          <w:p>
            <w:pPr>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lang w:bidi="ar"/>
              </w:rPr>
              <w:t>门户网站主站</w:t>
            </w:r>
          </w:p>
        </w:tc>
        <w:tc>
          <w:tcPr>
            <w:tcW w:w="1855" w:type="pct"/>
            <w:vAlign w:val="center"/>
          </w:tcPr>
          <w:p>
            <w:pPr>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主要功能包含：</w:t>
            </w:r>
            <w:r>
              <w:rPr>
                <w:rFonts w:hint="eastAsia" w:ascii="仿宋" w:hAnsi="仿宋" w:eastAsia="仿宋" w:cs="仿宋"/>
                <w:color w:val="000000"/>
                <w:kern w:val="0"/>
                <w:sz w:val="24"/>
                <w:szCs w:val="24"/>
                <w:lang w:bidi="ar"/>
              </w:rPr>
              <w:t>栏目设计、UI设计、页面开发模板配置部署等功能</w:t>
            </w:r>
          </w:p>
        </w:tc>
        <w:tc>
          <w:tcPr>
            <w:tcW w:w="554" w:type="pct"/>
            <w:vAlign w:val="center"/>
          </w:tcPr>
          <w:p>
            <w:pPr>
              <w:adjustRightInd w:val="0"/>
              <w:snapToGrid w:val="0"/>
              <w:spacing w:line="360" w:lineRule="auto"/>
              <w:jc w:val="center"/>
              <w:rPr>
                <w:rFonts w:hint="eastAsia" w:ascii="仿宋" w:hAnsi="仿宋" w:eastAsia="仿宋" w:cs="仿宋"/>
                <w:kern w:val="2"/>
                <w:sz w:val="24"/>
                <w:szCs w:val="24"/>
                <w:lang w:val="en-US" w:eastAsia="zh-CN" w:bidi="ar-SA"/>
              </w:rPr>
            </w:pPr>
          </w:p>
        </w:tc>
        <w:tc>
          <w:tcPr>
            <w:tcW w:w="646" w:type="pct"/>
            <w:vAlign w:val="center"/>
          </w:tcPr>
          <w:p>
            <w:pPr>
              <w:adjustRightInd w:val="0"/>
              <w:spacing w:line="360" w:lineRule="auto"/>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遵循项目监理的相关要求</w:t>
            </w:r>
          </w:p>
        </w:tc>
        <w:tc>
          <w:tcPr>
            <w:tcW w:w="573" w:type="pct"/>
          </w:tcPr>
          <w:p>
            <w:pPr>
              <w:spacing w:line="360" w:lineRule="auto"/>
              <w:jc w:val="center"/>
              <w:rPr>
                <w:rFonts w:hint="eastAsia" w:ascii="仿宋" w:hAnsi="仿宋" w:eastAsia="仿宋" w:cs="仿宋"/>
                <w:sz w:val="24"/>
              </w:rPr>
            </w:pPr>
          </w:p>
        </w:tc>
        <w:tc>
          <w:tcPr>
            <w:tcW w:w="387" w:type="pct"/>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09" w:type="pct"/>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673" w:type="pct"/>
            <w:vAlign w:val="center"/>
          </w:tcPr>
          <w:p>
            <w:pPr>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lang w:bidi="ar"/>
              </w:rPr>
              <w:t>政府信息公开门户</w:t>
            </w:r>
          </w:p>
        </w:tc>
        <w:tc>
          <w:tcPr>
            <w:tcW w:w="1855" w:type="pct"/>
            <w:vAlign w:val="center"/>
          </w:tcPr>
          <w:p>
            <w:pPr>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lang w:bidi="ar"/>
              </w:rPr>
              <w:t>主要包含政府信息公开主频道、部门镇街政府信息公开子频道、特色专题制作的设计与研发以及规范性文件库、模板配置部署功能模块的建设；</w:t>
            </w:r>
          </w:p>
        </w:tc>
        <w:tc>
          <w:tcPr>
            <w:tcW w:w="554" w:type="pct"/>
            <w:vAlign w:val="center"/>
          </w:tcPr>
          <w:p>
            <w:pPr>
              <w:adjustRightInd w:val="0"/>
              <w:snapToGrid w:val="0"/>
              <w:spacing w:line="360" w:lineRule="auto"/>
              <w:jc w:val="center"/>
              <w:rPr>
                <w:rFonts w:hint="eastAsia" w:ascii="仿宋" w:hAnsi="仿宋" w:eastAsia="仿宋" w:cs="仿宋"/>
                <w:kern w:val="2"/>
                <w:sz w:val="24"/>
                <w:szCs w:val="24"/>
                <w:lang w:val="en-US" w:eastAsia="zh-CN" w:bidi="ar-SA"/>
              </w:rPr>
            </w:pPr>
          </w:p>
        </w:tc>
        <w:tc>
          <w:tcPr>
            <w:tcW w:w="646" w:type="pct"/>
            <w:vAlign w:val="center"/>
          </w:tcPr>
          <w:p>
            <w:pPr>
              <w:adjustRightInd w:val="0"/>
              <w:spacing w:line="360" w:lineRule="auto"/>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遵循项目监理的相关要求</w:t>
            </w:r>
          </w:p>
        </w:tc>
        <w:tc>
          <w:tcPr>
            <w:tcW w:w="573" w:type="pct"/>
          </w:tcPr>
          <w:p>
            <w:pPr>
              <w:spacing w:line="360" w:lineRule="auto"/>
              <w:jc w:val="center"/>
              <w:rPr>
                <w:rFonts w:hint="eastAsia" w:ascii="仿宋" w:hAnsi="仿宋" w:eastAsia="仿宋" w:cs="仿宋"/>
                <w:sz w:val="24"/>
              </w:rPr>
            </w:pPr>
          </w:p>
        </w:tc>
        <w:tc>
          <w:tcPr>
            <w:tcW w:w="387" w:type="pct"/>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09" w:type="pct"/>
            <w:vAlign w:val="center"/>
          </w:tcPr>
          <w:p>
            <w:pPr>
              <w:spacing w:line="36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3</w:t>
            </w:r>
          </w:p>
        </w:tc>
        <w:tc>
          <w:tcPr>
            <w:tcW w:w="673" w:type="pct"/>
            <w:vAlign w:val="center"/>
          </w:tcPr>
          <w:p>
            <w:pPr>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lang w:bidi="ar"/>
              </w:rPr>
              <w:t>移动版</w:t>
            </w:r>
          </w:p>
        </w:tc>
        <w:tc>
          <w:tcPr>
            <w:tcW w:w="1855" w:type="pct"/>
            <w:vAlign w:val="center"/>
          </w:tcPr>
          <w:p>
            <w:pPr>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lang w:bidi="ar"/>
              </w:rPr>
              <w:t>需完成首页元素、今日临安元素、魅力临安元素、政务公开元素、政民互动元素、政府信息公开门户元素、专题专栏元素、其他页面元素的UI设计和页面开发以及模板配置部署。</w:t>
            </w:r>
          </w:p>
        </w:tc>
        <w:tc>
          <w:tcPr>
            <w:tcW w:w="554" w:type="pct"/>
            <w:vAlign w:val="center"/>
          </w:tcPr>
          <w:p>
            <w:pPr>
              <w:adjustRightInd w:val="0"/>
              <w:snapToGrid w:val="0"/>
              <w:spacing w:line="360" w:lineRule="auto"/>
              <w:jc w:val="center"/>
              <w:rPr>
                <w:rFonts w:hint="eastAsia" w:ascii="仿宋" w:hAnsi="仿宋" w:eastAsia="仿宋" w:cs="仿宋"/>
                <w:kern w:val="2"/>
                <w:sz w:val="24"/>
                <w:szCs w:val="24"/>
                <w:lang w:val="en-US" w:eastAsia="zh-CN" w:bidi="ar-SA"/>
              </w:rPr>
            </w:pPr>
          </w:p>
        </w:tc>
        <w:tc>
          <w:tcPr>
            <w:tcW w:w="646" w:type="pct"/>
            <w:vAlign w:val="center"/>
          </w:tcPr>
          <w:p>
            <w:pPr>
              <w:adjustRightInd w:val="0"/>
              <w:spacing w:line="360" w:lineRule="auto"/>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遵循项目监理的相关要求</w:t>
            </w:r>
          </w:p>
        </w:tc>
        <w:tc>
          <w:tcPr>
            <w:tcW w:w="573" w:type="pct"/>
          </w:tcPr>
          <w:p>
            <w:pPr>
              <w:spacing w:line="360" w:lineRule="auto"/>
              <w:jc w:val="center"/>
              <w:rPr>
                <w:rFonts w:hint="eastAsia" w:ascii="仿宋" w:hAnsi="仿宋" w:eastAsia="仿宋" w:cs="仿宋"/>
                <w:sz w:val="24"/>
              </w:rPr>
            </w:pPr>
          </w:p>
        </w:tc>
        <w:tc>
          <w:tcPr>
            <w:tcW w:w="387" w:type="pct"/>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09" w:type="pct"/>
            <w:vAlign w:val="center"/>
          </w:tcPr>
          <w:p>
            <w:pPr>
              <w:spacing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4</w:t>
            </w:r>
          </w:p>
        </w:tc>
        <w:tc>
          <w:tcPr>
            <w:tcW w:w="673" w:type="pct"/>
            <w:vAlign w:val="center"/>
          </w:tcPr>
          <w:p>
            <w:pPr>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lang w:bidi="ar"/>
              </w:rPr>
              <w:t>英文版</w:t>
            </w:r>
          </w:p>
        </w:tc>
        <w:tc>
          <w:tcPr>
            <w:tcW w:w="1855" w:type="pct"/>
            <w:vAlign w:val="center"/>
          </w:tcPr>
          <w:p>
            <w:pPr>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1、完成英文版网站首页、列表页、详情页、专题页等页面UI设计</w:t>
            </w:r>
          </w:p>
          <w:p>
            <w:pPr>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2、英文翻译：梳理英文网站文章内容并提供一次免费英文翻译和数据录入。</w:t>
            </w:r>
          </w:p>
          <w:p>
            <w:pPr>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color w:val="000000"/>
                <w:kern w:val="0"/>
                <w:sz w:val="24"/>
                <w:szCs w:val="24"/>
                <w:lang w:bidi="ar"/>
              </w:rPr>
              <w:t>3、按照集约化平台模板配置规范进行页面模板配置及部署。</w:t>
            </w:r>
          </w:p>
        </w:tc>
        <w:tc>
          <w:tcPr>
            <w:tcW w:w="554" w:type="pct"/>
            <w:vAlign w:val="center"/>
          </w:tcPr>
          <w:p>
            <w:pPr>
              <w:adjustRightInd w:val="0"/>
              <w:snapToGrid w:val="0"/>
              <w:spacing w:line="360" w:lineRule="auto"/>
              <w:jc w:val="center"/>
              <w:rPr>
                <w:rFonts w:hint="eastAsia" w:ascii="仿宋" w:hAnsi="仿宋" w:eastAsia="仿宋" w:cs="仿宋"/>
                <w:kern w:val="2"/>
                <w:sz w:val="24"/>
                <w:szCs w:val="24"/>
                <w:lang w:val="en-US" w:eastAsia="zh-CN" w:bidi="ar-SA"/>
              </w:rPr>
            </w:pPr>
          </w:p>
        </w:tc>
        <w:tc>
          <w:tcPr>
            <w:tcW w:w="646" w:type="pct"/>
            <w:vAlign w:val="center"/>
          </w:tcPr>
          <w:p>
            <w:pPr>
              <w:adjustRightInd w:val="0"/>
              <w:spacing w:line="360" w:lineRule="auto"/>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遵循项目监理的相关要求</w:t>
            </w:r>
          </w:p>
        </w:tc>
        <w:tc>
          <w:tcPr>
            <w:tcW w:w="573" w:type="pct"/>
          </w:tcPr>
          <w:p>
            <w:pPr>
              <w:spacing w:line="360" w:lineRule="auto"/>
              <w:jc w:val="center"/>
              <w:rPr>
                <w:rFonts w:hint="eastAsia" w:ascii="仿宋" w:hAnsi="仿宋" w:eastAsia="仿宋" w:cs="仿宋"/>
                <w:sz w:val="24"/>
              </w:rPr>
            </w:pPr>
          </w:p>
        </w:tc>
        <w:tc>
          <w:tcPr>
            <w:tcW w:w="387" w:type="pct"/>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09" w:type="pct"/>
            <w:vAlign w:val="center"/>
          </w:tcPr>
          <w:p>
            <w:pPr>
              <w:spacing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5</w:t>
            </w:r>
          </w:p>
        </w:tc>
        <w:tc>
          <w:tcPr>
            <w:tcW w:w="673" w:type="pct"/>
            <w:vAlign w:val="center"/>
          </w:tcPr>
          <w:p>
            <w:pPr>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lang w:bidi="ar"/>
              </w:rPr>
              <w:t>无障碍改造</w:t>
            </w:r>
          </w:p>
        </w:tc>
        <w:tc>
          <w:tcPr>
            <w:tcW w:w="1855" w:type="pct"/>
            <w:vAlign w:val="center"/>
          </w:tcPr>
          <w:p>
            <w:pPr>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主要包含网站可感知性、可操作性性、可理解性、可兼容性的改造升级</w:t>
            </w:r>
          </w:p>
        </w:tc>
        <w:tc>
          <w:tcPr>
            <w:tcW w:w="554" w:type="pct"/>
            <w:vAlign w:val="center"/>
          </w:tcPr>
          <w:p>
            <w:pPr>
              <w:adjustRightInd w:val="0"/>
              <w:snapToGrid w:val="0"/>
              <w:spacing w:line="360" w:lineRule="auto"/>
              <w:jc w:val="center"/>
              <w:rPr>
                <w:rFonts w:hint="eastAsia" w:ascii="仿宋" w:hAnsi="仿宋" w:eastAsia="仿宋" w:cs="仿宋"/>
                <w:kern w:val="2"/>
                <w:sz w:val="24"/>
                <w:szCs w:val="24"/>
                <w:lang w:val="en-US" w:eastAsia="zh-CN" w:bidi="ar-SA"/>
              </w:rPr>
            </w:pPr>
          </w:p>
        </w:tc>
        <w:tc>
          <w:tcPr>
            <w:tcW w:w="646" w:type="pct"/>
            <w:vAlign w:val="center"/>
          </w:tcPr>
          <w:p>
            <w:pPr>
              <w:adjustRightInd w:val="0"/>
              <w:spacing w:line="360" w:lineRule="auto"/>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遵循项目监理的相关要求</w:t>
            </w:r>
          </w:p>
        </w:tc>
        <w:tc>
          <w:tcPr>
            <w:tcW w:w="573" w:type="pct"/>
          </w:tcPr>
          <w:p>
            <w:pPr>
              <w:spacing w:line="360" w:lineRule="auto"/>
              <w:jc w:val="center"/>
              <w:rPr>
                <w:rFonts w:hint="eastAsia" w:ascii="仿宋" w:hAnsi="仿宋" w:eastAsia="仿宋" w:cs="仿宋"/>
                <w:sz w:val="24"/>
              </w:rPr>
            </w:pPr>
          </w:p>
        </w:tc>
        <w:tc>
          <w:tcPr>
            <w:tcW w:w="387" w:type="pct"/>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09" w:type="pct"/>
            <w:vAlign w:val="center"/>
          </w:tcPr>
          <w:p>
            <w:pPr>
              <w:spacing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6</w:t>
            </w:r>
          </w:p>
        </w:tc>
        <w:tc>
          <w:tcPr>
            <w:tcW w:w="673" w:type="pct"/>
            <w:vAlign w:val="center"/>
          </w:tcPr>
          <w:p>
            <w:pPr>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lang w:bidi="ar"/>
              </w:rPr>
              <w:t>适老化建设</w:t>
            </w:r>
          </w:p>
        </w:tc>
        <w:tc>
          <w:tcPr>
            <w:tcW w:w="1855" w:type="pct"/>
            <w:vAlign w:val="center"/>
          </w:tcPr>
          <w:p>
            <w:pPr>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综合老年人日常生活密切相关的信息、政策以及常用的业务需求，建设方便老年人使用的页面。并通过中国互联网协会互联网站适老化及无障碍改造评测，拿到无障碍标识。</w:t>
            </w:r>
          </w:p>
        </w:tc>
        <w:tc>
          <w:tcPr>
            <w:tcW w:w="554" w:type="pct"/>
            <w:vAlign w:val="center"/>
          </w:tcPr>
          <w:p>
            <w:pPr>
              <w:adjustRightInd w:val="0"/>
              <w:snapToGrid w:val="0"/>
              <w:spacing w:line="360" w:lineRule="auto"/>
              <w:jc w:val="center"/>
              <w:rPr>
                <w:rFonts w:hint="eastAsia" w:ascii="仿宋" w:hAnsi="仿宋" w:eastAsia="仿宋" w:cs="仿宋"/>
                <w:kern w:val="2"/>
                <w:sz w:val="24"/>
                <w:szCs w:val="24"/>
                <w:lang w:val="en-US" w:eastAsia="zh-CN" w:bidi="ar-SA"/>
              </w:rPr>
            </w:pPr>
          </w:p>
        </w:tc>
        <w:tc>
          <w:tcPr>
            <w:tcW w:w="646" w:type="pct"/>
            <w:vAlign w:val="center"/>
          </w:tcPr>
          <w:p>
            <w:pPr>
              <w:adjustRightInd w:val="0"/>
              <w:spacing w:line="360" w:lineRule="auto"/>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遵循项目监理的相关要求</w:t>
            </w:r>
          </w:p>
        </w:tc>
        <w:tc>
          <w:tcPr>
            <w:tcW w:w="573" w:type="pct"/>
          </w:tcPr>
          <w:p>
            <w:pPr>
              <w:spacing w:line="360" w:lineRule="auto"/>
              <w:jc w:val="center"/>
              <w:rPr>
                <w:rFonts w:hint="eastAsia" w:ascii="仿宋" w:hAnsi="仿宋" w:eastAsia="仿宋" w:cs="仿宋"/>
                <w:sz w:val="24"/>
              </w:rPr>
            </w:pPr>
          </w:p>
        </w:tc>
        <w:tc>
          <w:tcPr>
            <w:tcW w:w="387" w:type="pct"/>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09" w:type="pct"/>
            <w:vAlign w:val="center"/>
          </w:tcPr>
          <w:p>
            <w:pPr>
              <w:spacing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7</w:t>
            </w:r>
          </w:p>
        </w:tc>
        <w:tc>
          <w:tcPr>
            <w:tcW w:w="673" w:type="pct"/>
            <w:vAlign w:val="center"/>
          </w:tcPr>
          <w:p>
            <w:pPr>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lang w:bidi="ar"/>
              </w:rPr>
              <w:t>智能检索改造</w:t>
            </w:r>
          </w:p>
        </w:tc>
        <w:tc>
          <w:tcPr>
            <w:tcW w:w="1855" w:type="pct"/>
            <w:vAlign w:val="center"/>
          </w:tcPr>
          <w:p>
            <w:pPr>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lang w:bidi="ar"/>
              </w:rPr>
              <w:t>主要包含简单检索、高级检索、政策文件检索等功能改造改造</w:t>
            </w:r>
          </w:p>
        </w:tc>
        <w:tc>
          <w:tcPr>
            <w:tcW w:w="554" w:type="pct"/>
            <w:vAlign w:val="center"/>
          </w:tcPr>
          <w:p>
            <w:pPr>
              <w:adjustRightInd w:val="0"/>
              <w:snapToGrid w:val="0"/>
              <w:spacing w:line="360" w:lineRule="auto"/>
              <w:jc w:val="center"/>
              <w:rPr>
                <w:rFonts w:hint="eastAsia" w:ascii="仿宋" w:hAnsi="仿宋" w:eastAsia="仿宋" w:cs="仿宋"/>
                <w:kern w:val="2"/>
                <w:sz w:val="24"/>
                <w:szCs w:val="24"/>
                <w:lang w:val="en-US" w:eastAsia="zh-CN" w:bidi="ar-SA"/>
              </w:rPr>
            </w:pPr>
          </w:p>
        </w:tc>
        <w:tc>
          <w:tcPr>
            <w:tcW w:w="646" w:type="pct"/>
            <w:vAlign w:val="center"/>
          </w:tcPr>
          <w:p>
            <w:pPr>
              <w:adjustRightInd w:val="0"/>
              <w:spacing w:line="360" w:lineRule="auto"/>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遵循项目监理的相关要求</w:t>
            </w:r>
          </w:p>
        </w:tc>
        <w:tc>
          <w:tcPr>
            <w:tcW w:w="573" w:type="pct"/>
          </w:tcPr>
          <w:p>
            <w:pPr>
              <w:spacing w:line="360" w:lineRule="auto"/>
              <w:jc w:val="center"/>
              <w:rPr>
                <w:rFonts w:hint="eastAsia" w:ascii="仿宋" w:hAnsi="仿宋" w:eastAsia="仿宋" w:cs="仿宋"/>
                <w:sz w:val="24"/>
              </w:rPr>
            </w:pPr>
          </w:p>
        </w:tc>
        <w:tc>
          <w:tcPr>
            <w:tcW w:w="387" w:type="pct"/>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09" w:type="pct"/>
            <w:vAlign w:val="center"/>
          </w:tcPr>
          <w:p>
            <w:pPr>
              <w:spacing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8</w:t>
            </w:r>
          </w:p>
        </w:tc>
        <w:tc>
          <w:tcPr>
            <w:tcW w:w="673" w:type="pct"/>
            <w:vAlign w:val="center"/>
          </w:tcPr>
          <w:p>
            <w:pPr>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lang w:bidi="ar"/>
              </w:rPr>
              <w:t>统一信息资源库推送</w:t>
            </w:r>
          </w:p>
        </w:tc>
        <w:tc>
          <w:tcPr>
            <w:tcW w:w="1855" w:type="pct"/>
            <w:vAlign w:val="center"/>
          </w:tcPr>
          <w:p>
            <w:pPr>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主要包含：</w:t>
            </w:r>
            <w:r>
              <w:rPr>
                <w:rFonts w:hint="eastAsia" w:ascii="仿宋" w:hAnsi="仿宋" w:eastAsia="仿宋" w:cs="仿宋"/>
                <w:color w:val="000000"/>
                <w:kern w:val="0"/>
                <w:sz w:val="24"/>
                <w:szCs w:val="24"/>
                <w:lang w:bidi="ar"/>
              </w:rPr>
              <w:t>资源库目录创建、数据规范清理和迁移以及资源库数据发布功能</w:t>
            </w:r>
          </w:p>
        </w:tc>
        <w:tc>
          <w:tcPr>
            <w:tcW w:w="554" w:type="pct"/>
            <w:vAlign w:val="center"/>
          </w:tcPr>
          <w:p>
            <w:pPr>
              <w:adjustRightInd w:val="0"/>
              <w:snapToGrid w:val="0"/>
              <w:spacing w:line="360" w:lineRule="auto"/>
              <w:jc w:val="center"/>
              <w:rPr>
                <w:rFonts w:hint="eastAsia" w:ascii="仿宋" w:hAnsi="仿宋" w:eastAsia="仿宋" w:cs="仿宋"/>
                <w:kern w:val="2"/>
                <w:sz w:val="24"/>
                <w:szCs w:val="24"/>
                <w:lang w:val="en-US" w:eastAsia="zh-CN" w:bidi="ar-SA"/>
              </w:rPr>
            </w:pPr>
          </w:p>
        </w:tc>
        <w:tc>
          <w:tcPr>
            <w:tcW w:w="646" w:type="pct"/>
            <w:vAlign w:val="center"/>
          </w:tcPr>
          <w:p>
            <w:pPr>
              <w:adjustRightInd w:val="0"/>
              <w:spacing w:line="360" w:lineRule="auto"/>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遵循项目监理的相关要求</w:t>
            </w:r>
          </w:p>
        </w:tc>
        <w:tc>
          <w:tcPr>
            <w:tcW w:w="573" w:type="pct"/>
          </w:tcPr>
          <w:p>
            <w:pPr>
              <w:spacing w:line="360" w:lineRule="auto"/>
              <w:jc w:val="center"/>
              <w:rPr>
                <w:rFonts w:hint="eastAsia" w:ascii="仿宋" w:hAnsi="仿宋" w:eastAsia="仿宋" w:cs="仿宋"/>
                <w:sz w:val="24"/>
              </w:rPr>
            </w:pPr>
          </w:p>
        </w:tc>
        <w:tc>
          <w:tcPr>
            <w:tcW w:w="387" w:type="pct"/>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09" w:type="pct"/>
            <w:vAlign w:val="center"/>
          </w:tcPr>
          <w:p>
            <w:pPr>
              <w:spacing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9</w:t>
            </w:r>
          </w:p>
        </w:tc>
        <w:tc>
          <w:tcPr>
            <w:tcW w:w="673" w:type="pct"/>
            <w:vAlign w:val="center"/>
          </w:tcPr>
          <w:p>
            <w:pPr>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历史数据整合</w:t>
            </w:r>
          </w:p>
        </w:tc>
        <w:tc>
          <w:tcPr>
            <w:tcW w:w="1855" w:type="pct"/>
            <w:vAlign w:val="center"/>
          </w:tcPr>
          <w:p>
            <w:pPr>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1、数据导出：对门户网站历史数据进行导出。</w:t>
            </w:r>
          </w:p>
          <w:p>
            <w:pPr>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2、数据格式转换：对存在不同数据格式的数据进行工具批量转换。</w:t>
            </w:r>
          </w:p>
          <w:p>
            <w:pPr>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3、数据导入、发布：将转换后的数据导入至新栏目中并完成发布。</w:t>
            </w:r>
          </w:p>
        </w:tc>
        <w:tc>
          <w:tcPr>
            <w:tcW w:w="554" w:type="pct"/>
            <w:vAlign w:val="center"/>
          </w:tcPr>
          <w:p>
            <w:pPr>
              <w:adjustRightInd w:val="0"/>
              <w:snapToGrid w:val="0"/>
              <w:spacing w:line="360" w:lineRule="auto"/>
              <w:jc w:val="center"/>
              <w:rPr>
                <w:rFonts w:hint="eastAsia" w:ascii="仿宋" w:hAnsi="仿宋" w:eastAsia="仿宋" w:cs="仿宋"/>
                <w:kern w:val="2"/>
                <w:sz w:val="24"/>
                <w:szCs w:val="24"/>
                <w:lang w:val="en-US" w:eastAsia="zh-CN" w:bidi="ar-SA"/>
              </w:rPr>
            </w:pPr>
          </w:p>
        </w:tc>
        <w:tc>
          <w:tcPr>
            <w:tcW w:w="646" w:type="pct"/>
            <w:vAlign w:val="center"/>
          </w:tcPr>
          <w:p>
            <w:pPr>
              <w:adjustRightInd w:val="0"/>
              <w:spacing w:line="360" w:lineRule="auto"/>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遵循项目监理的相关要求</w:t>
            </w:r>
          </w:p>
        </w:tc>
        <w:tc>
          <w:tcPr>
            <w:tcW w:w="573" w:type="pct"/>
          </w:tcPr>
          <w:p>
            <w:pPr>
              <w:spacing w:line="360" w:lineRule="auto"/>
              <w:jc w:val="center"/>
              <w:rPr>
                <w:rFonts w:hint="eastAsia" w:ascii="仿宋" w:hAnsi="仿宋" w:eastAsia="仿宋" w:cs="仿宋"/>
                <w:sz w:val="24"/>
              </w:rPr>
            </w:pPr>
          </w:p>
        </w:tc>
        <w:tc>
          <w:tcPr>
            <w:tcW w:w="387" w:type="pct"/>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09" w:type="pct"/>
            <w:vAlign w:val="center"/>
          </w:tcPr>
          <w:p>
            <w:pPr>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10</w:t>
            </w:r>
          </w:p>
        </w:tc>
        <w:tc>
          <w:tcPr>
            <w:tcW w:w="673" w:type="pct"/>
            <w:vAlign w:val="center"/>
          </w:tcPr>
          <w:p>
            <w:pPr>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辅助功能</w:t>
            </w:r>
          </w:p>
        </w:tc>
        <w:tc>
          <w:tcPr>
            <w:tcW w:w="1855" w:type="pct"/>
            <w:vAlign w:val="center"/>
          </w:tcPr>
          <w:p>
            <w:pPr>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提供简繁体转换、智能问答、无障碍浏览、用户中心、我为政府网站找错、分享、打印等辅助功能</w:t>
            </w:r>
          </w:p>
        </w:tc>
        <w:tc>
          <w:tcPr>
            <w:tcW w:w="554" w:type="pct"/>
            <w:vAlign w:val="center"/>
          </w:tcPr>
          <w:p>
            <w:pPr>
              <w:adjustRightInd w:val="0"/>
              <w:snapToGrid w:val="0"/>
              <w:spacing w:line="360" w:lineRule="auto"/>
              <w:jc w:val="center"/>
              <w:rPr>
                <w:rFonts w:hint="eastAsia" w:ascii="仿宋" w:hAnsi="仿宋" w:eastAsia="仿宋" w:cs="仿宋"/>
                <w:kern w:val="2"/>
                <w:sz w:val="24"/>
                <w:szCs w:val="24"/>
                <w:lang w:val="en-US" w:eastAsia="zh-CN" w:bidi="ar-SA"/>
              </w:rPr>
            </w:pPr>
          </w:p>
        </w:tc>
        <w:tc>
          <w:tcPr>
            <w:tcW w:w="646" w:type="pct"/>
            <w:vAlign w:val="center"/>
          </w:tcPr>
          <w:p>
            <w:pPr>
              <w:adjustRightInd w:val="0"/>
              <w:spacing w:line="360" w:lineRule="auto"/>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遵循项目监理的相关要求</w:t>
            </w:r>
          </w:p>
        </w:tc>
        <w:tc>
          <w:tcPr>
            <w:tcW w:w="573" w:type="pct"/>
          </w:tcPr>
          <w:p>
            <w:pPr>
              <w:spacing w:line="360" w:lineRule="auto"/>
              <w:jc w:val="center"/>
              <w:rPr>
                <w:rFonts w:hint="eastAsia" w:ascii="仿宋" w:hAnsi="仿宋" w:eastAsia="仿宋" w:cs="仿宋"/>
                <w:sz w:val="24"/>
              </w:rPr>
            </w:pPr>
          </w:p>
        </w:tc>
        <w:tc>
          <w:tcPr>
            <w:tcW w:w="387" w:type="pct"/>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09" w:type="pct"/>
            <w:vAlign w:val="center"/>
          </w:tcPr>
          <w:p>
            <w:pPr>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11</w:t>
            </w:r>
          </w:p>
        </w:tc>
        <w:tc>
          <w:tcPr>
            <w:tcW w:w="673" w:type="pct"/>
            <w:vAlign w:val="center"/>
          </w:tcPr>
          <w:p>
            <w:pPr>
              <w:spacing w:line="360" w:lineRule="auto"/>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阿里云SSL证书3年服务</w:t>
            </w:r>
          </w:p>
        </w:tc>
        <w:tc>
          <w:tcPr>
            <w:tcW w:w="1855" w:type="pct"/>
            <w:vAlign w:val="center"/>
          </w:tcPr>
          <w:p>
            <w:pPr>
              <w:keepNext w:val="0"/>
              <w:keepLines w:val="0"/>
              <w:widowControl/>
              <w:suppressLineNumbers w:val="0"/>
              <w:spacing w:line="360" w:lineRule="auto"/>
              <w:jc w:val="center"/>
              <w:textAlignment w:val="center"/>
              <w:rPr>
                <w:rFonts w:hint="eastAsia" w:ascii="仿宋" w:hAnsi="仿宋" w:eastAsia="仿宋" w:cs="仿宋"/>
                <w:sz w:val="24"/>
                <w:lang w:val="en-US" w:eastAsia="zh-CN"/>
              </w:rPr>
            </w:pPr>
            <w:r>
              <w:rPr>
                <w:rFonts w:hint="eastAsia" w:ascii="仿宋" w:hAnsi="仿宋" w:eastAsia="仿宋" w:cs="仿宋"/>
                <w:sz w:val="24"/>
                <w:lang w:val="en-US" w:eastAsia="zh-CN"/>
              </w:rPr>
              <w:t>/</w:t>
            </w:r>
          </w:p>
        </w:tc>
        <w:tc>
          <w:tcPr>
            <w:tcW w:w="554" w:type="pct"/>
            <w:vAlign w:val="center"/>
          </w:tcPr>
          <w:p>
            <w:pPr>
              <w:adjustRightInd w:val="0"/>
              <w:snapToGrid w:val="0"/>
              <w:spacing w:line="360" w:lineRule="auto"/>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3年</w:t>
            </w:r>
          </w:p>
        </w:tc>
        <w:tc>
          <w:tcPr>
            <w:tcW w:w="646" w:type="pct"/>
            <w:vAlign w:val="center"/>
          </w:tcPr>
          <w:p>
            <w:pPr>
              <w:adjustRightInd w:val="0"/>
              <w:spacing w:line="360" w:lineRule="auto"/>
              <w:jc w:val="center"/>
              <w:rPr>
                <w:rFonts w:hint="eastAsia" w:ascii="仿宋" w:hAnsi="仿宋" w:eastAsia="仿宋" w:cs="仿宋"/>
                <w:kern w:val="2"/>
                <w:sz w:val="24"/>
                <w:szCs w:val="24"/>
                <w:lang w:val="en-US" w:eastAsia="zh-CN" w:bidi="ar-SA"/>
              </w:rPr>
            </w:pPr>
          </w:p>
        </w:tc>
        <w:tc>
          <w:tcPr>
            <w:tcW w:w="573" w:type="pct"/>
          </w:tcPr>
          <w:p>
            <w:pPr>
              <w:spacing w:line="360" w:lineRule="auto"/>
              <w:jc w:val="center"/>
              <w:rPr>
                <w:rFonts w:hint="eastAsia" w:ascii="仿宋" w:hAnsi="仿宋" w:eastAsia="仿宋" w:cs="仿宋"/>
                <w:sz w:val="24"/>
              </w:rPr>
            </w:pPr>
          </w:p>
        </w:tc>
        <w:tc>
          <w:tcPr>
            <w:tcW w:w="387" w:type="pct"/>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09" w:type="pct"/>
            <w:vAlign w:val="center"/>
          </w:tcPr>
          <w:p>
            <w:pPr>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12</w:t>
            </w:r>
          </w:p>
        </w:tc>
        <w:tc>
          <w:tcPr>
            <w:tcW w:w="673" w:type="pct"/>
            <w:vAlign w:val="center"/>
          </w:tcPr>
          <w:p>
            <w:pPr>
              <w:snapToGrid w:val="0"/>
              <w:spacing w:line="360" w:lineRule="auto"/>
              <w:jc w:val="center"/>
              <w:rPr>
                <w:rFonts w:hint="eastAsia" w:ascii="仿宋" w:hAnsi="仿宋" w:eastAsia="仿宋" w:cs="仿宋"/>
                <w:sz w:val="24"/>
                <w:lang w:eastAsia="zh-CN"/>
              </w:rPr>
            </w:pPr>
            <w:r>
              <w:rPr>
                <w:rFonts w:hint="eastAsia" w:ascii="仿宋" w:hAnsi="仿宋" w:eastAsia="仿宋" w:cs="仿宋"/>
                <w:b w:val="0"/>
                <w:bCs w:val="0"/>
                <w:i w:val="0"/>
                <w:iCs w:val="0"/>
                <w:color w:val="000000"/>
                <w:sz w:val="24"/>
                <w:szCs w:val="24"/>
                <w:u w:val="none"/>
                <w:lang w:val="en-US" w:eastAsia="zh-CN"/>
              </w:rPr>
              <w:t>技术人员驻场服务</w:t>
            </w:r>
          </w:p>
        </w:tc>
        <w:tc>
          <w:tcPr>
            <w:tcW w:w="1855" w:type="pct"/>
            <w:vAlign w:val="center"/>
          </w:tcPr>
          <w:p>
            <w:pPr>
              <w:keepNext w:val="0"/>
              <w:keepLines w:val="0"/>
              <w:widowControl/>
              <w:suppressLineNumbers w:val="0"/>
              <w:spacing w:line="360" w:lineRule="auto"/>
              <w:jc w:val="center"/>
              <w:textAlignment w:val="center"/>
              <w:rPr>
                <w:rFonts w:hint="eastAsia" w:ascii="仿宋" w:hAnsi="仿宋" w:eastAsia="仿宋" w:cs="仿宋"/>
                <w:sz w:val="24"/>
              </w:rPr>
            </w:pPr>
            <w:r>
              <w:rPr>
                <w:rFonts w:hint="eastAsia" w:ascii="仿宋" w:hAnsi="仿宋" w:eastAsia="仿宋" w:cs="仿宋"/>
                <w:color w:val="000000"/>
                <w:kern w:val="0"/>
                <w:sz w:val="24"/>
                <w:szCs w:val="24"/>
                <w:lang w:bidi="ar"/>
              </w:rPr>
              <w:t>一名工程师驻现场服务</w:t>
            </w:r>
          </w:p>
        </w:tc>
        <w:tc>
          <w:tcPr>
            <w:tcW w:w="554" w:type="pct"/>
            <w:vAlign w:val="center"/>
          </w:tcPr>
          <w:p>
            <w:pPr>
              <w:spacing w:line="360" w:lineRule="auto"/>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以软件建设部分终验结束后为起始时间节点，为期3年</w:t>
            </w:r>
          </w:p>
        </w:tc>
        <w:tc>
          <w:tcPr>
            <w:tcW w:w="646" w:type="pct"/>
            <w:vAlign w:val="center"/>
          </w:tcPr>
          <w:p>
            <w:pPr>
              <w:keepNext w:val="0"/>
              <w:keepLines w:val="0"/>
              <w:widowControl/>
              <w:suppressLineNumbers w:val="0"/>
              <w:spacing w:line="360" w:lineRule="auto"/>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驻场技术支撑服务</w:t>
            </w:r>
          </w:p>
        </w:tc>
        <w:tc>
          <w:tcPr>
            <w:tcW w:w="573" w:type="pct"/>
          </w:tcPr>
          <w:p>
            <w:pPr>
              <w:spacing w:line="360" w:lineRule="auto"/>
              <w:jc w:val="center"/>
              <w:rPr>
                <w:rFonts w:hint="eastAsia" w:ascii="仿宋" w:hAnsi="仿宋" w:eastAsia="仿宋" w:cs="仿宋"/>
                <w:sz w:val="24"/>
              </w:rPr>
            </w:pPr>
          </w:p>
        </w:tc>
        <w:tc>
          <w:tcPr>
            <w:tcW w:w="387" w:type="pct"/>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09" w:type="pct"/>
            <w:vAlign w:val="center"/>
          </w:tcPr>
          <w:p>
            <w:pPr>
              <w:spacing w:line="360" w:lineRule="auto"/>
              <w:jc w:val="center"/>
              <w:rPr>
                <w:rFonts w:hint="eastAsia" w:ascii="仿宋" w:hAnsi="仿宋" w:eastAsia="仿宋" w:cs="仿宋"/>
                <w:sz w:val="24"/>
              </w:rPr>
            </w:pPr>
          </w:p>
        </w:tc>
        <w:tc>
          <w:tcPr>
            <w:tcW w:w="673" w:type="pct"/>
            <w:vAlign w:val="center"/>
          </w:tcPr>
          <w:p>
            <w:pPr>
              <w:snapToGrid w:val="0"/>
              <w:spacing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w:t>
            </w:r>
          </w:p>
        </w:tc>
        <w:tc>
          <w:tcPr>
            <w:tcW w:w="1855" w:type="pct"/>
            <w:vAlign w:val="center"/>
          </w:tcPr>
          <w:p>
            <w:pPr>
              <w:snapToGrid w:val="0"/>
              <w:spacing w:line="360" w:lineRule="auto"/>
              <w:jc w:val="center"/>
              <w:rPr>
                <w:rFonts w:hint="eastAsia" w:ascii="仿宋" w:hAnsi="仿宋" w:eastAsia="仿宋" w:cs="仿宋"/>
                <w:sz w:val="24"/>
              </w:rPr>
            </w:pPr>
          </w:p>
        </w:tc>
        <w:tc>
          <w:tcPr>
            <w:tcW w:w="554" w:type="pct"/>
            <w:vAlign w:val="center"/>
          </w:tcPr>
          <w:p>
            <w:pPr>
              <w:snapToGrid w:val="0"/>
              <w:spacing w:line="360" w:lineRule="auto"/>
              <w:jc w:val="center"/>
              <w:rPr>
                <w:rFonts w:hint="eastAsia" w:ascii="仿宋" w:hAnsi="仿宋" w:eastAsia="仿宋" w:cs="仿宋"/>
                <w:sz w:val="24"/>
              </w:rPr>
            </w:pPr>
          </w:p>
        </w:tc>
        <w:tc>
          <w:tcPr>
            <w:tcW w:w="646" w:type="pct"/>
            <w:vAlign w:val="center"/>
          </w:tcPr>
          <w:p>
            <w:pPr>
              <w:spacing w:line="360" w:lineRule="auto"/>
              <w:jc w:val="center"/>
              <w:rPr>
                <w:rFonts w:hint="eastAsia" w:ascii="仿宋" w:hAnsi="仿宋" w:eastAsia="仿宋" w:cs="仿宋"/>
                <w:sz w:val="24"/>
              </w:rPr>
            </w:pPr>
          </w:p>
        </w:tc>
        <w:tc>
          <w:tcPr>
            <w:tcW w:w="573" w:type="pct"/>
          </w:tcPr>
          <w:p>
            <w:pPr>
              <w:spacing w:line="360" w:lineRule="auto"/>
              <w:jc w:val="center"/>
              <w:rPr>
                <w:rFonts w:hint="eastAsia" w:ascii="仿宋" w:hAnsi="仿宋" w:eastAsia="仿宋" w:cs="仿宋"/>
                <w:sz w:val="24"/>
              </w:rPr>
            </w:pPr>
          </w:p>
        </w:tc>
        <w:tc>
          <w:tcPr>
            <w:tcW w:w="387" w:type="pct"/>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837" w:type="pct"/>
            <w:gridSpan w:val="3"/>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投标报价（小写）</w:t>
            </w:r>
          </w:p>
        </w:tc>
        <w:tc>
          <w:tcPr>
            <w:tcW w:w="1774" w:type="pct"/>
            <w:gridSpan w:val="3"/>
          </w:tcPr>
          <w:p>
            <w:pPr>
              <w:spacing w:line="360" w:lineRule="auto"/>
              <w:jc w:val="center"/>
              <w:rPr>
                <w:rFonts w:hint="eastAsia" w:ascii="仿宋" w:hAnsi="仿宋" w:eastAsia="仿宋" w:cs="仿宋"/>
                <w:sz w:val="24"/>
              </w:rPr>
            </w:pPr>
          </w:p>
        </w:tc>
        <w:tc>
          <w:tcPr>
            <w:tcW w:w="387" w:type="pct"/>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837" w:type="pct"/>
            <w:gridSpan w:val="3"/>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投标报价（大写）</w:t>
            </w:r>
          </w:p>
        </w:tc>
        <w:tc>
          <w:tcPr>
            <w:tcW w:w="1774" w:type="pct"/>
            <w:gridSpan w:val="3"/>
          </w:tcPr>
          <w:p>
            <w:pPr>
              <w:spacing w:line="360" w:lineRule="auto"/>
              <w:jc w:val="center"/>
              <w:rPr>
                <w:rFonts w:hint="eastAsia" w:ascii="仿宋" w:hAnsi="仿宋" w:eastAsia="仿宋" w:cs="仿宋"/>
                <w:sz w:val="24"/>
              </w:rPr>
            </w:pPr>
          </w:p>
        </w:tc>
        <w:tc>
          <w:tcPr>
            <w:tcW w:w="387" w:type="pct"/>
          </w:tcPr>
          <w:p>
            <w:pPr>
              <w:spacing w:line="360" w:lineRule="auto"/>
              <w:jc w:val="center"/>
              <w:rPr>
                <w:rFonts w:hint="eastAsia" w:ascii="仿宋" w:hAnsi="仿宋" w:eastAsia="仿宋" w:cs="仿宋"/>
                <w:sz w:val="24"/>
              </w:rPr>
            </w:pPr>
          </w:p>
        </w:tc>
      </w:tr>
    </w:tbl>
    <w:p>
      <w:pPr>
        <w:snapToGrid w:val="0"/>
        <w:spacing w:line="360" w:lineRule="auto"/>
        <w:ind w:left="480"/>
        <w:rPr>
          <w:rFonts w:hint="eastAsia" w:ascii="仿宋" w:hAnsi="仿宋" w:eastAsia="仿宋" w:cs="仿宋"/>
          <w:b/>
          <w:kern w:val="0"/>
          <w:sz w:val="24"/>
          <w:lang w:val="zh-CN"/>
        </w:rPr>
      </w:pPr>
      <w:r>
        <w:rPr>
          <w:rFonts w:hint="eastAsia" w:ascii="仿宋" w:hAnsi="仿宋" w:eastAsia="仿宋" w:cs="仿宋"/>
          <w:b/>
          <w:kern w:val="0"/>
          <w:sz w:val="24"/>
          <w:lang w:val="zh-CN"/>
        </w:rPr>
        <w:t>注：</w:t>
      </w:r>
    </w:p>
    <w:p>
      <w:pPr>
        <w:spacing w:line="360" w:lineRule="auto"/>
        <w:ind w:left="-2" w:leftChars="-1"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1、投标人需按本表格式填写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b/>
          <w:kern w:val="0"/>
          <w:sz w:val="24"/>
          <w:lang w:val="zh-CN"/>
        </w:rPr>
        <w:t>；</w:t>
      </w:r>
      <w:r>
        <w:rPr>
          <w:rFonts w:hint="eastAsia" w:ascii="仿宋" w:hAnsi="仿宋" w:eastAsia="仿宋" w:cs="仿宋"/>
          <w:kern w:val="0"/>
          <w:sz w:val="24"/>
          <w:lang w:val="zh-CN"/>
        </w:rPr>
        <w:t>。</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b/>
          <w:kern w:val="0"/>
          <w:sz w:val="24"/>
          <w:lang w:val="zh-CN"/>
        </w:rPr>
        <w:t>；采购内容未包含在《开标一览表（报价表）》名称栏中，投标人不能作出合理解释的，</w:t>
      </w:r>
      <w:r>
        <w:rPr>
          <w:rFonts w:hint="eastAsia" w:ascii="仿宋" w:hAnsi="仿宋" w:eastAsia="仿宋" w:cs="仿宋"/>
          <w:b/>
          <w:kern w:val="0"/>
          <w:sz w:val="24"/>
        </w:rPr>
        <w:t>视为</w:t>
      </w:r>
      <w:r>
        <w:rPr>
          <w:rFonts w:hint="eastAsia" w:ascii="仿宋" w:hAnsi="仿宋" w:eastAsia="仿宋" w:cs="仿宋"/>
          <w:b/>
          <w:sz w:val="24"/>
        </w:rPr>
        <w:t>投标文件含有采购人不能接受的附加条件的，投标无效。</w:t>
      </w: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szCs w:val="22"/>
          <w:lang w:val="zh-CN"/>
        </w:rPr>
        <w:t>4、</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仿宋" w:hAnsi="仿宋" w:eastAsia="仿宋" w:cs="仿宋"/>
          <w:b/>
          <w:kern w:val="0"/>
          <w:sz w:val="24"/>
        </w:rPr>
      </w:pPr>
    </w:p>
    <w:p>
      <w:pPr>
        <w:pStyle w:val="690"/>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p>
    <w:p>
      <w:pPr>
        <w:pStyle w:val="690"/>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hint="eastAsia" w:ascii="仿宋" w:hAnsi="仿宋" w:eastAsia="仿宋" w:cs="仿宋"/>
          <w:sz w:val="32"/>
          <w:szCs w:val="32"/>
        </w:rPr>
      </w:pPr>
      <w:r>
        <w:rPr>
          <w:rFonts w:hint="eastAsia" w:ascii="仿宋" w:hAnsi="仿宋" w:eastAsia="仿宋" w:cs="仿宋"/>
          <w:kern w:val="2"/>
          <w:sz w:val="32"/>
          <w:szCs w:val="32"/>
        </w:rPr>
        <w:t>二、</w:t>
      </w:r>
      <w:r>
        <w:rPr>
          <w:rFonts w:hint="eastAsia" w:ascii="仿宋" w:hAnsi="仿宋" w:eastAsia="仿宋" w:cs="仿宋"/>
          <w:sz w:val="32"/>
          <w:szCs w:val="32"/>
        </w:rPr>
        <w:t>中小企业声明函（如果有）</w:t>
      </w:r>
    </w:p>
    <w:p>
      <w:pPr>
        <w:widowControl/>
        <w:spacing w:line="360" w:lineRule="auto"/>
        <w:ind w:firstLine="120" w:firstLineChars="50"/>
        <w:jc w:val="left"/>
        <w:rPr>
          <w:rFonts w:hint="eastAsia"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690"/>
        <w:keepNext w:val="0"/>
        <w:pageBreakBefore w:val="0"/>
        <w:tabs>
          <w:tab w:val="clear" w:pos="720"/>
        </w:tabs>
        <w:snapToGrid w:val="0"/>
        <w:spacing w:before="120" w:after="120"/>
        <w:ind w:firstLine="643"/>
        <w:outlineLvl w:val="9"/>
        <w:rPr>
          <w:rFonts w:hint="eastAsia" w:ascii="仿宋" w:hAnsi="仿宋" w:eastAsia="仿宋" w:cs="仿宋"/>
          <w:b w:val="0"/>
          <w:sz w:val="32"/>
          <w:szCs w:val="32"/>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tabs>
          <w:tab w:val="left" w:pos="8085"/>
        </w:tabs>
        <w:spacing w:line="360" w:lineRule="auto"/>
        <w:ind w:firstLine="1285" w:firstLineChars="400"/>
        <w:jc w:val="left"/>
        <w:rPr>
          <w:rFonts w:hint="eastAsia" w:ascii="仿宋" w:hAnsi="仿宋" w:eastAsia="仿宋" w:cs="仿宋"/>
          <w:b/>
          <w:sz w:val="32"/>
          <w:szCs w:val="32"/>
        </w:rPr>
      </w:pPr>
      <w:r>
        <w:rPr>
          <w:rFonts w:hint="eastAsia" w:ascii="仿宋" w:hAnsi="仿宋" w:eastAsia="仿宋" w:cs="仿宋"/>
          <w:b/>
          <w:sz w:val="32"/>
          <w:szCs w:val="32"/>
        </w:rPr>
        <w:t>政府采购支持中小企业信用融资相关事项通知</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一、适用对象</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二、相关信息获取方式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三、　政府采购信用融资操作流程：</w:t>
      </w:r>
    </w:p>
    <w:p>
      <w:pPr>
        <w:spacing w:line="360" w:lineRule="auto"/>
        <w:ind w:firstLine="960" w:firstLineChars="400"/>
        <w:rPr>
          <w:rFonts w:hint="eastAsia" w:ascii="仿宋" w:hAnsi="仿宋" w:eastAsia="仿宋" w:cs="仿宋"/>
          <w:sz w:val="24"/>
        </w:rPr>
      </w:pPr>
      <w:r>
        <w:rPr>
          <w:rFonts w:hint="eastAsia" w:ascii="仿宋" w:hAnsi="仿宋" w:eastAsia="仿宋" w:cs="仿宋"/>
          <w:sz w:val="24"/>
        </w:rPr>
        <w:t>（一）线上融资模式：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1.供应商根据合作银行提供的方案，自行选择金融产品，并办理开户等手续；</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2.供应商中标后，可通过杭州市政府采购网或“浙里办”测算授信额度；</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3.采购合同签订后，供应商在杭州市政府采购网或“浙里办”向合作银行发出融资申请；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4.审批通过后，在线办理放贷手续。</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（二）线下融资模式：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1.供应商根据合作银行提供的方案，自行选择金融产品，向合作银行提出信用资格预审，并办理开户等手续；</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2.采购合同签订后，供应商在杭州市政府采购网或“浙里办”向合作银行发出融资申请；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4.审批通过后，合作银行应按照合作备忘录中约定的审批放款期限和优惠利率及时予以放款。</w:t>
      </w:r>
    </w:p>
    <w:p>
      <w:pPr>
        <w:pStyle w:val="4"/>
        <w:numPr>
          <w:ilvl w:val="255"/>
          <w:numId w:val="0"/>
        </w:numPr>
        <w:ind w:firstLine="960" w:firstLineChars="400"/>
        <w:rPr>
          <w:rFonts w:hint="eastAsia" w:ascii="仿宋" w:hAnsi="仿宋" w:eastAsia="仿宋" w:cs="仿宋"/>
          <w:b w:val="0"/>
          <w:bCs w:val="0"/>
          <w:sz w:val="24"/>
          <w:szCs w:val="24"/>
          <w:lang w:val="en-US"/>
        </w:rPr>
      </w:pPr>
      <w:r>
        <w:rPr>
          <w:rFonts w:hint="eastAsia" w:ascii="仿宋" w:hAnsi="仿宋" w:eastAsia="仿宋" w:cs="仿宋"/>
          <w:b w:val="0"/>
          <w:bCs w:val="0"/>
          <w:sz w:val="24"/>
          <w:szCs w:val="24"/>
          <w:lang w:val="en-US"/>
        </w:rPr>
        <w:t>（三）杭州e融平台申请融资</w:t>
      </w:r>
    </w:p>
    <w:p>
      <w:pPr>
        <w:pStyle w:val="4"/>
        <w:numPr>
          <w:ilvl w:val="255"/>
          <w:numId w:val="0"/>
        </w:numPr>
        <w:ind w:firstLine="960" w:firstLineChars="400"/>
        <w:rPr>
          <w:rFonts w:hint="eastAsia" w:ascii="仿宋" w:hAnsi="仿宋" w:eastAsia="仿宋" w:cs="仿宋"/>
          <w:b w:val="0"/>
          <w:bCs w:val="0"/>
          <w:sz w:val="24"/>
          <w:szCs w:val="24"/>
          <w:lang w:val="en-US"/>
        </w:rPr>
      </w:pPr>
      <w:r>
        <w:rPr>
          <w:rFonts w:hint="eastAsia" w:ascii="仿宋" w:hAnsi="仿宋" w:eastAsia="仿宋" w:cs="仿宋"/>
          <w:b w:val="0"/>
          <w:bCs w:val="0"/>
          <w:sz w:val="24"/>
          <w:szCs w:val="24"/>
          <w:lang w:val="en-US"/>
        </w:rPr>
        <w:t>供应商通过杭州e融平台政采贷专区，自行选择金融产品，按规定手续办理贷款流程。</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四、注意事项</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仿宋" w:hAnsi="仿宋" w:eastAsia="仿宋" w:cs="仿宋"/>
          <w:b/>
          <w:bCs/>
          <w:kern w:val="0"/>
          <w:sz w:val="24"/>
        </w:rPr>
      </w:pPr>
    </w:p>
    <w:p>
      <w:pPr>
        <w:pStyle w:val="3"/>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rPr>
      </w:pPr>
      <w:bookmarkStart w:id="526" w:name="_Toc465665161"/>
      <w:r>
        <w:rPr>
          <w:rFonts w:hint="eastAsia" w:ascii="仿宋" w:hAnsi="仿宋" w:eastAsia="仿宋" w:cs="仿宋"/>
        </w:rPr>
        <w:t>附件</w:t>
      </w:r>
      <w:bookmarkEnd w:id="526"/>
    </w:p>
    <w:p>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pPr>
        <w:spacing w:line="360" w:lineRule="auto"/>
        <w:jc w:val="center"/>
        <w:rPr>
          <w:rFonts w:hint="eastAsia" w:ascii="仿宋" w:hAnsi="仿宋" w:eastAsia="仿宋" w:cs="仿宋"/>
          <w:b/>
          <w:spacing w:val="6"/>
          <w:sz w:val="32"/>
          <w:szCs w:val="32"/>
        </w:rPr>
      </w:pPr>
      <w:bookmarkStart w:id="527" w:name="OLE_LINK14"/>
      <w:bookmarkStart w:id="528" w:name="OLE_LINK13"/>
      <w:r>
        <w:rPr>
          <w:rFonts w:hint="eastAsia" w:ascii="仿宋" w:hAnsi="仿宋" w:eastAsia="仿宋" w:cs="仿宋"/>
          <w:b/>
          <w:spacing w:val="6"/>
          <w:sz w:val="32"/>
          <w:szCs w:val="32"/>
        </w:rPr>
        <w:t>残疾人福利性单位声明函</w:t>
      </w:r>
    </w:p>
    <w:bookmarkEnd w:id="527"/>
    <w:bookmarkEnd w:id="528"/>
    <w:p>
      <w:pPr>
        <w:spacing w:line="360" w:lineRule="auto"/>
        <w:rPr>
          <w:rFonts w:hint="eastAsia" w:ascii="仿宋" w:hAnsi="仿宋" w:eastAsia="仿宋" w:cs="仿宋"/>
          <w:b/>
          <w:spacing w:val="6"/>
          <w:sz w:val="30"/>
          <w:szCs w:val="30"/>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pPr>
        <w:spacing w:line="360" w:lineRule="auto"/>
        <w:ind w:firstLine="480" w:firstLineChars="200"/>
        <w:rPr>
          <w:rFonts w:hint="eastAsia" w:ascii="仿宋" w:hAnsi="仿宋" w:eastAsia="仿宋" w:cs="仿宋"/>
          <w:sz w:val="24"/>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pPr>
        <w:snapToGrid w:val="0"/>
        <w:spacing w:line="360" w:lineRule="auto"/>
        <w:rPr>
          <w:rFonts w:hint="eastAsia" w:ascii="仿宋" w:hAnsi="仿宋" w:eastAsia="仿宋" w:cs="仿宋"/>
          <w:sz w:val="24"/>
        </w:rPr>
      </w:pPr>
      <w:r>
        <w:rPr>
          <w:rFonts w:hint="eastAsia" w:ascii="仿宋" w:hAnsi="仿宋" w:eastAsia="仿宋" w:cs="仿宋"/>
          <w:sz w:val="24"/>
        </w:rPr>
        <w:t>……</w:t>
      </w:r>
    </w:p>
    <w:p>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pPr>
        <w:spacing w:line="360" w:lineRule="auto"/>
        <w:rPr>
          <w:rFonts w:hint="eastAsia" w:ascii="仿宋" w:hAnsi="仿宋" w:eastAsia="仿宋" w:cs="仿宋"/>
          <w:sz w:val="24"/>
        </w:rPr>
      </w:pPr>
      <w:r>
        <w:rPr>
          <w:rFonts w:hint="eastAsia" w:ascii="仿宋" w:hAnsi="仿宋" w:eastAsia="仿宋" w:cs="仿宋"/>
          <w:sz w:val="24"/>
        </w:rPr>
        <w:t xml:space="preserve">日期：    </w:t>
      </w:r>
    </w:p>
    <w:p>
      <w:pPr>
        <w:spacing w:line="360" w:lineRule="auto"/>
        <w:jc w:val="center"/>
        <w:rPr>
          <w:rFonts w:hint="eastAsia" w:ascii="仿宋" w:hAnsi="仿宋" w:eastAsia="仿宋" w:cs="仿宋"/>
          <w:b/>
          <w:bCs/>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r>
        <w:rPr>
          <w:rFonts w:hint="eastAsia" w:ascii="仿宋" w:hAnsi="仿宋" w:eastAsia="仿宋" w:cs="仿宋"/>
          <w:b/>
          <w:sz w:val="24"/>
        </w:rPr>
        <w:t>质疑函制作说明：</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sz w:val="30"/>
          <w:szCs w:val="30"/>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rPr>
      </w:pPr>
      <w:r>
        <w:rPr>
          <w:rFonts w:hint="eastAsia" w:ascii="仿宋" w:hAnsi="仿宋" w:eastAsia="仿宋" w:cs="仿宋"/>
          <w:sz w:val="24"/>
        </w:rPr>
        <w:t>被投诉人2</w:t>
      </w:r>
    </w:p>
    <w:p>
      <w:pPr>
        <w:spacing w:line="360" w:lineRule="auto"/>
        <w:rPr>
          <w:rFonts w:hint="eastAsia" w:ascii="仿宋" w:hAnsi="仿宋" w:eastAsia="仿宋" w:cs="仿宋"/>
          <w:sz w:val="24"/>
          <w:u w:val="dotted"/>
        </w:rPr>
      </w:pPr>
      <w:r>
        <w:rPr>
          <w:rFonts w:hint="eastAsia" w:ascii="仿宋" w:hAnsi="仿宋" w:eastAsia="仿宋" w:cs="仿宋"/>
          <w:sz w:val="24"/>
        </w:rPr>
        <w:t>……</w:t>
      </w:r>
    </w:p>
    <w:p>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rPr>
      </w:pPr>
      <w:r>
        <w:rPr>
          <w:rFonts w:hint="eastAsia" w:ascii="仿宋" w:hAnsi="仿宋" w:eastAsia="仿宋" w:cs="仿宋"/>
          <w:sz w:val="24"/>
        </w:rPr>
        <w:t>二、投诉项目基本情况</w:t>
      </w:r>
    </w:p>
    <w:p>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三、质疑基本情况</w:t>
      </w:r>
    </w:p>
    <w:p>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pPr>
        <w:spacing w:line="360" w:lineRule="auto"/>
        <w:rPr>
          <w:rFonts w:hint="eastAsia" w:ascii="仿宋" w:hAnsi="仿宋" w:eastAsia="仿宋" w:cs="仿宋"/>
          <w:sz w:val="24"/>
        </w:rPr>
      </w:pPr>
      <w:r>
        <w:rPr>
          <w:rFonts w:hint="eastAsia" w:ascii="仿宋" w:hAnsi="仿宋" w:eastAsia="仿宋" w:cs="仿宋"/>
          <w:sz w:val="24"/>
        </w:rPr>
        <w:t>四、投诉事项具体内容</w:t>
      </w:r>
    </w:p>
    <w:p>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投诉事项2</w:t>
      </w:r>
    </w:p>
    <w:p>
      <w:pPr>
        <w:spacing w:line="360" w:lineRule="auto"/>
        <w:rPr>
          <w:rFonts w:hint="eastAsia" w:ascii="仿宋" w:hAnsi="仿宋" w:eastAsia="仿宋" w:cs="仿宋"/>
          <w:sz w:val="24"/>
          <w:u w:val="dotted"/>
        </w:rPr>
      </w:pPr>
      <w:r>
        <w:rPr>
          <w:rFonts w:hint="eastAsia" w:ascii="仿宋" w:hAnsi="仿宋" w:eastAsia="仿宋" w:cs="仿宋"/>
          <w:sz w:val="24"/>
        </w:rPr>
        <w:t>……</w:t>
      </w:r>
    </w:p>
    <w:p>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pPr>
        <w:spacing w:line="360" w:lineRule="auto"/>
        <w:rPr>
          <w:rFonts w:hint="eastAsia" w:ascii="仿宋" w:hAnsi="仿宋" w:eastAsia="仿宋" w:cs="仿宋"/>
          <w:sz w:val="24"/>
        </w:rPr>
      </w:pPr>
      <w:r>
        <w:rPr>
          <w:rFonts w:hint="eastAsia" w:ascii="仿宋" w:hAnsi="仿宋" w:eastAsia="仿宋" w:cs="仿宋"/>
          <w:sz w:val="24"/>
        </w:rPr>
        <w:t xml:space="preserve">日期：    </w:t>
      </w: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r>
        <w:rPr>
          <w:rFonts w:hint="eastAsia" w:ascii="仿宋" w:hAnsi="仿宋" w:eastAsia="仿宋" w:cs="仿宋"/>
          <w:b/>
          <w:sz w:val="24"/>
        </w:rPr>
        <w:t>投诉书制作说明：</w:t>
      </w:r>
    </w:p>
    <w:p>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sz w:val="24"/>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pPr>
        <w:spacing w:line="360" w:lineRule="auto"/>
        <w:rPr>
          <w:rFonts w:hint="eastAsia" w:ascii="仿宋" w:hAnsi="仿宋" w:eastAsia="仿宋" w:cs="仿宋"/>
          <w:sz w:val="24"/>
        </w:rPr>
      </w:pPr>
      <w:r>
        <w:rPr>
          <w:rFonts w:hint="eastAsia" w:ascii="仿宋" w:hAnsi="仿宋" w:eastAsia="仿宋" w:cs="仿宋"/>
          <w:sz w:val="24"/>
          <w:u w:val="single"/>
        </w:rPr>
        <w:t>（采购人）、（采购代理机构）</w:t>
      </w:r>
    </w:p>
    <w:p>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你方组织的（项目名称）项目【招标编号：（采购编号）】</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特此说明。</w:t>
      </w:r>
    </w:p>
    <w:p>
      <w:pPr>
        <w:spacing w:line="360" w:lineRule="auto"/>
        <w:ind w:firstLine="494"/>
        <w:rPr>
          <w:rFonts w:hint="eastAsia" w:ascii="仿宋" w:hAnsi="仿宋" w:eastAsia="仿宋" w:cs="仿宋"/>
          <w:sz w:val="24"/>
        </w:rPr>
      </w:pPr>
    </w:p>
    <w:p>
      <w:pPr>
        <w:spacing w:line="360" w:lineRule="auto"/>
        <w:ind w:firstLine="494"/>
        <w:rPr>
          <w:rFonts w:hint="eastAsia" w:ascii="仿宋" w:hAnsi="仿宋" w:eastAsia="仿宋" w:cs="仿宋"/>
          <w:sz w:val="24"/>
        </w:rPr>
      </w:pPr>
    </w:p>
    <w:p>
      <w:pPr>
        <w:spacing w:line="360" w:lineRule="auto"/>
        <w:ind w:firstLine="494"/>
        <w:rPr>
          <w:rFonts w:hint="eastAsia" w:ascii="仿宋" w:hAnsi="仿宋" w:eastAsia="仿宋" w:cs="仿宋"/>
          <w:sz w:val="24"/>
        </w:rPr>
      </w:pPr>
    </w:p>
    <w:p>
      <w:pPr>
        <w:spacing w:line="360" w:lineRule="auto"/>
        <w:ind w:firstLine="494"/>
        <w:rPr>
          <w:rFonts w:hint="eastAsia" w:ascii="仿宋" w:hAnsi="仿宋" w:eastAsia="仿宋" w:cs="仿宋"/>
          <w:sz w:val="24"/>
        </w:rPr>
      </w:pPr>
    </w:p>
    <w:p>
      <w:pPr>
        <w:spacing w:line="360" w:lineRule="auto"/>
        <w:ind w:right="480" w:firstLine="4080" w:firstLineChars="1700"/>
        <w:rPr>
          <w:rFonts w:hint="eastAsia" w:ascii="仿宋" w:hAnsi="仿宋" w:eastAsia="仿宋" w:cs="仿宋"/>
          <w:sz w:val="24"/>
        </w:rPr>
      </w:pPr>
      <w:r>
        <w:rPr>
          <w:rFonts w:hint="eastAsia" w:ascii="仿宋" w:hAnsi="仿宋" w:eastAsia="仿宋" w:cs="仿宋"/>
          <w:sz w:val="24"/>
        </w:rPr>
        <w:t>投标单位（法定名称章）：</w:t>
      </w:r>
    </w:p>
    <w:p>
      <w:pPr>
        <w:ind w:right="1440" w:firstLine="494"/>
        <w:jc w:val="center"/>
        <w:rPr>
          <w:rFonts w:hint="eastAsia" w:ascii="仿宋" w:hAnsi="仿宋" w:eastAsia="仿宋" w:cs="仿宋"/>
          <w:sz w:val="24"/>
        </w:rPr>
      </w:pPr>
      <w:r>
        <w:rPr>
          <w:rFonts w:hint="eastAsia" w:ascii="仿宋" w:hAnsi="仿宋" w:eastAsia="仿宋" w:cs="仿宋"/>
          <w:sz w:val="24"/>
        </w:rPr>
        <w:t xml:space="preserve">                              日期：       年     月     日</w:t>
      </w:r>
    </w:p>
    <w:p>
      <w:pPr>
        <w:rPr>
          <w:rFonts w:hint="eastAsia" w:ascii="仿宋" w:hAnsi="仿宋" w:eastAsia="仿宋" w:cs="仿宋"/>
          <w:sz w:val="24"/>
        </w:rPr>
      </w:pPr>
      <w:r>
        <w:rPr>
          <w:rFonts w:hint="eastAsia" w:ascii="仿宋" w:hAnsi="仿宋" w:eastAsia="仿宋" w:cs="仿宋"/>
          <w:b/>
          <w:bCs/>
          <w:sz w:val="24"/>
        </w:rPr>
        <w:t>附：</w:t>
      </w:r>
    </w:p>
    <w:p>
      <w:pPr>
        <w:spacing w:line="360" w:lineRule="auto"/>
        <w:rPr>
          <w:rFonts w:hint="eastAsia" w:ascii="仿宋" w:hAnsi="仿宋" w:eastAsia="仿宋" w:cs="仿宋"/>
          <w:bCs/>
          <w:sz w:val="24"/>
        </w:rPr>
      </w:pPr>
      <w:r>
        <w:rPr>
          <w:rFonts w:hint="eastAsia" w:ascii="仿宋" w:hAnsi="仿宋" w:eastAsia="仿宋" w:cs="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sz w:val="24"/>
        </w:rPr>
        <w:t>投标单位法定名称章（印模）                投标单位“XX专用章”（印模）</w:t>
      </w: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kern w:val="0"/>
          <w:sz w:val="32"/>
          <w:szCs w:val="32"/>
          <w:lang w:val="zh-CN"/>
        </w:rPr>
      </w:pPr>
      <w:r>
        <w:rPr>
          <w:rFonts w:hint="eastAsia" w:ascii="仿宋" w:hAnsi="仿宋" w:eastAsia="仿宋" w:cs="仿宋"/>
          <w:b/>
          <w:spacing w:val="6"/>
          <w:sz w:val="32"/>
          <w:szCs w:val="32"/>
        </w:rPr>
        <w:t>附件5：</w:t>
      </w:r>
      <w:r>
        <w:rPr>
          <w:rFonts w:hint="eastAsia" w:ascii="仿宋" w:hAnsi="仿宋" w:eastAsia="仿宋" w:cs="仿宋"/>
          <w:b/>
          <w:kern w:val="0"/>
          <w:sz w:val="32"/>
          <w:szCs w:val="32"/>
          <w:lang w:val="zh-CN"/>
        </w:rPr>
        <w:t>联合协议</w:t>
      </w:r>
    </w:p>
    <w:p>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四、联合体成员中小企业合同份额。</w:t>
      </w:r>
    </w:p>
    <w:p>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w:t>
      </w:r>
      <w:bookmarkStart w:id="529" w:name="_Hlk101131882"/>
      <w:r>
        <w:rPr>
          <w:rFonts w:hint="eastAsia" w:ascii="仿宋" w:hAnsi="仿宋" w:eastAsia="仿宋" w:cs="仿宋"/>
          <w:kern w:val="0"/>
          <w:sz w:val="24"/>
          <w:u w:val="single"/>
        </w:rPr>
        <w:t>联合体成员X,……</w:t>
      </w:r>
      <w:bookmarkEnd w:id="529"/>
      <w:r>
        <w:rPr>
          <w:rFonts w:hint="eastAsia" w:ascii="仿宋" w:hAnsi="仿宋" w:eastAsia="仿宋" w:cs="仿宋"/>
          <w:kern w:val="0"/>
          <w:sz w:val="24"/>
          <w:u w:val="single"/>
        </w:rPr>
        <w:t>）</w:t>
      </w:r>
      <w:r>
        <w:rPr>
          <w:rFonts w:hint="eastAsia" w:ascii="仿宋" w:hAnsi="仿宋" w:eastAsia="仿宋" w:cs="仿宋"/>
          <w:kern w:val="0"/>
          <w:sz w:val="24"/>
        </w:rPr>
        <w:t>提供的服务由小微企业承接，其合同份额占到合同总金额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w:t>
      </w:r>
      <w:bookmarkStart w:id="530" w:name="_Hlk101133598"/>
      <w:r>
        <w:rPr>
          <w:rFonts w:hint="eastAsia" w:ascii="仿宋" w:hAnsi="仿宋" w:eastAsia="仿宋" w:cs="仿宋"/>
          <w:b/>
          <w:kern w:val="0"/>
          <w:sz w:val="24"/>
          <w:lang w:val="zh-CN"/>
        </w:rPr>
        <w:t>未预留份额专门面向中小企业采购的的采购项目，以及预留份额中的非预留部分采购包，接受联合体投标的，联合协议约定小微企业的合同份额占到合同总金额30%以上的，对联合体报价给予6%的扣除。供应商</w:t>
      </w:r>
      <w:r>
        <w:rPr>
          <w:rFonts w:hint="eastAsia" w:ascii="仿宋" w:hAnsi="仿宋" w:eastAsia="仿宋" w:cs="仿宋"/>
          <w:b/>
          <w:sz w:val="24"/>
        </w:rPr>
        <w:t>拟享受以上价格扣除政策的，填写有关内容。</w:t>
      </w:r>
      <w:bookmarkEnd w:id="530"/>
      <w:r>
        <w:rPr>
          <w:rFonts w:hint="eastAsia" w:ascii="仿宋" w:hAnsi="仿宋" w:eastAsia="仿宋" w:cs="仿宋"/>
          <w:b/>
          <w:kern w:val="0"/>
          <w:sz w:val="24"/>
          <w:lang w:val="zh-CN"/>
        </w:rPr>
        <w:t>）</w:t>
      </w:r>
    </w:p>
    <w:p>
      <w:pPr>
        <w:spacing w:line="360" w:lineRule="auto"/>
        <w:ind w:firstLine="480" w:firstLineChars="200"/>
        <w:rPr>
          <w:rFonts w:hint="eastAsia" w:ascii="仿宋" w:hAnsi="仿宋" w:eastAsia="仿宋" w:cs="仿宋"/>
          <w:b/>
          <w:bCs/>
          <w:kern w:val="0"/>
          <w:sz w:val="24"/>
          <w:lang w:val="zh-CN"/>
        </w:rPr>
      </w:pPr>
      <w:r>
        <w:rPr>
          <w:rFonts w:hint="eastAsia" w:ascii="仿宋" w:hAnsi="仿宋" w:eastAsia="仿宋" w:cs="仿宋"/>
          <w:sz w:val="24"/>
        </w:rPr>
        <w:t>2、</w:t>
      </w:r>
      <w:bookmarkStart w:id="531" w:name="_Hlk101133173"/>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kern w:val="0"/>
          <w:sz w:val="24"/>
          <w:lang w:val="zh-CN"/>
        </w:rPr>
        <w:t>）</w:t>
      </w:r>
      <w:bookmarkEnd w:id="531"/>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snapToGrid w:val="0"/>
        <w:spacing w:line="360" w:lineRule="auto"/>
        <w:ind w:firstLine="3666" w:firstLineChars="1100"/>
        <w:rPr>
          <w:rFonts w:hint="eastAsia" w:ascii="仿宋" w:hAnsi="仿宋" w:eastAsia="仿宋" w:cs="仿宋"/>
          <w:b/>
          <w:spacing w:val="6"/>
          <w:sz w:val="32"/>
          <w:szCs w:val="32"/>
        </w:rPr>
      </w:pPr>
    </w:p>
    <w:p>
      <w:pPr>
        <w:snapToGrid w:val="0"/>
        <w:spacing w:line="360" w:lineRule="auto"/>
        <w:ind w:firstLine="3666" w:firstLineChars="1100"/>
        <w:rPr>
          <w:rFonts w:hint="eastAsia" w:ascii="仿宋" w:hAnsi="仿宋" w:eastAsia="仿宋" w:cs="仿宋"/>
          <w:b/>
          <w:kern w:val="0"/>
          <w:sz w:val="32"/>
          <w:szCs w:val="32"/>
        </w:rPr>
      </w:pPr>
      <w:r>
        <w:rPr>
          <w:rFonts w:hint="eastAsia" w:ascii="仿宋" w:hAnsi="仿宋" w:eastAsia="仿宋" w:cs="仿宋"/>
          <w:b/>
          <w:spacing w:val="6"/>
          <w:sz w:val="32"/>
          <w:szCs w:val="32"/>
        </w:rPr>
        <w:t>附件6：</w:t>
      </w:r>
      <w:r>
        <w:rPr>
          <w:rFonts w:hint="eastAsia" w:ascii="仿宋" w:hAnsi="仿宋" w:eastAsia="仿宋" w:cs="仿宋"/>
          <w:b/>
          <w:kern w:val="0"/>
          <w:sz w:val="32"/>
          <w:szCs w:val="32"/>
        </w:rPr>
        <w:t>分包意向协议</w:t>
      </w:r>
    </w:p>
    <w:p>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（分包供应商2名称），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pStyle w:val="4"/>
        <w:ind w:left="664" w:leftChars="316" w:firstLine="229" w:firstLineChars="95"/>
        <w:rPr>
          <w:rFonts w:hint="eastAsia" w:ascii="仿宋" w:hAnsi="仿宋" w:eastAsia="仿宋" w:cs="仿宋"/>
          <w:kern w:val="0"/>
          <w:sz w:val="24"/>
          <w:szCs w:val="24"/>
        </w:rPr>
      </w:pPr>
      <w:r>
        <w:rPr>
          <w:rFonts w:hint="eastAsia" w:ascii="仿宋" w:hAnsi="仿宋" w:eastAsia="仿宋" w:cs="仿宋"/>
          <w:kern w:val="0"/>
          <w:sz w:val="24"/>
          <w:szCs w:val="24"/>
        </w:rPr>
        <w:t>……</w:t>
      </w:r>
    </w:p>
    <w:p>
      <w:pPr>
        <w:rPr>
          <w:rFonts w:hint="eastAsia" w:ascii="仿宋" w:hAnsi="仿宋" w:eastAsia="仿宋" w:cs="仿宋"/>
        </w:rPr>
      </w:pPr>
      <w:r>
        <w:rPr>
          <w:rFonts w:hint="eastAsia" w:ascii="仿宋" w:hAnsi="仿宋" w:eastAsia="仿宋" w:cs="仿宋"/>
          <w:lang w:val="zh-CN"/>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二、分包供应商中小企业合同份额</w:t>
      </w:r>
    </w:p>
    <w:p>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（分包供应商X,……）提供的服务全部由小微企业承接，</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给予6%的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pPr>
        <w:spacing w:line="360" w:lineRule="auto"/>
        <w:ind w:firstLine="480" w:firstLineChars="200"/>
        <w:rPr>
          <w:rFonts w:hint="eastAsia" w:ascii="仿宋" w:hAnsi="仿宋" w:eastAsia="仿宋" w:cs="仿宋"/>
          <w:b/>
          <w:bCs/>
          <w:kern w:val="0"/>
          <w:sz w:val="24"/>
          <w:lang w:val="zh-CN"/>
        </w:rPr>
      </w:pPr>
      <w:r>
        <w:rPr>
          <w:rFonts w:hint="eastAsia" w:ascii="仿宋" w:hAnsi="仿宋" w:eastAsia="仿宋" w:cs="仿宋"/>
          <w:sz w:val="24"/>
        </w:rPr>
        <w:t>2、中小企业合同金额达到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要求合同分包形式参加的项目或采购包，供应商按招标文件第一部分招标公告申请人的资格要求中规定的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四、质量</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五、价款或者报酬</w:t>
      </w:r>
    </w:p>
    <w:p>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六、违约责任</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七、争议解决的办法</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八、其他</w:t>
      </w:r>
    </w:p>
    <w:p>
      <w:pPr>
        <w:snapToGrid w:val="0"/>
        <w:spacing w:line="360" w:lineRule="auto"/>
        <w:ind w:left="5758" w:leftChars="342" w:hanging="5040" w:hangingChars="2100"/>
        <w:rPr>
          <w:rFonts w:hint="eastAsia"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投标人名称(电子签名)：</w:t>
      </w:r>
    </w:p>
    <w:p>
      <w:pPr>
        <w:snapToGrid w:val="0"/>
        <w:spacing w:line="360" w:lineRule="auto"/>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附件7：</w:t>
      </w:r>
      <w:r>
        <w:rPr>
          <w:rFonts w:hint="eastAsia" w:ascii="仿宋" w:hAnsi="仿宋" w:eastAsia="仿宋" w:cs="仿宋"/>
          <w:b/>
          <w:sz w:val="32"/>
          <w:szCs w:val="32"/>
        </w:rPr>
        <w:t>中小企业声明函</w:t>
      </w:r>
    </w:p>
    <w:p>
      <w:pPr>
        <w:spacing w:line="360" w:lineRule="auto"/>
        <w:jc w:val="center"/>
        <w:rPr>
          <w:rFonts w:hint="eastAsia" w:ascii="仿宋" w:hAnsi="仿宋" w:eastAsia="仿宋" w:cs="仿宋"/>
          <w:sz w:val="24"/>
          <w:u w:val="single"/>
        </w:rPr>
      </w:pPr>
    </w:p>
    <w:p>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中小企业声明函（服务）</w:t>
      </w:r>
    </w:p>
    <w:p>
      <w:pPr>
        <w:spacing w:line="360" w:lineRule="auto"/>
        <w:ind w:firstLine="360" w:firstLineChars="150"/>
        <w:jc w:val="left"/>
        <w:rPr>
          <w:rFonts w:hint="eastAsia"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sz w:val="24"/>
          <w:u w:val="single"/>
        </w:rPr>
        <w:t xml:space="preserve">（采购人） </w:t>
      </w:r>
      <w:r>
        <w:rPr>
          <w:rFonts w:hint="eastAsia" w:ascii="仿宋" w:hAnsi="仿宋" w:eastAsia="仿宋" w:cs="仿宋"/>
          <w:sz w:val="24"/>
        </w:rPr>
        <w:t>的</w:t>
      </w:r>
      <w:r>
        <w:rPr>
          <w:rFonts w:hint="eastAsia" w:ascii="仿宋" w:hAnsi="仿宋" w:eastAsia="仿宋" w:cs="仿宋"/>
          <w:sz w:val="24"/>
          <w:u w:val="single"/>
        </w:rPr>
        <w:t xml:space="preserve"> （项目名称） </w:t>
      </w:r>
      <w:r>
        <w:rPr>
          <w:rFonts w:hint="eastAsia" w:ascii="仿宋" w:hAnsi="仿宋" w:eastAsia="仿宋" w:cs="仿宋"/>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pacing w:line="360" w:lineRule="auto"/>
        <w:ind w:right="1760"/>
        <w:jc w:val="right"/>
        <w:rPr>
          <w:rFonts w:hint="eastAsia" w:ascii="仿宋" w:hAnsi="仿宋" w:eastAsia="仿宋" w:cs="仿宋"/>
          <w:sz w:val="24"/>
        </w:rPr>
      </w:pPr>
      <w:r>
        <w:rPr>
          <w:rFonts w:hint="eastAsia" w:ascii="仿宋" w:hAnsi="仿宋" w:eastAsia="仿宋" w:cs="仿宋"/>
          <w:sz w:val="24"/>
        </w:rPr>
        <w:t>投标人名称（电子签名）：</w:t>
      </w:r>
    </w:p>
    <w:p>
      <w:pPr>
        <w:spacing w:line="360" w:lineRule="auto"/>
        <w:ind w:right="1120" w:firstLine="4680" w:firstLineChars="1950"/>
        <w:rPr>
          <w:rFonts w:hint="eastAsia" w:ascii="仿宋" w:hAnsi="仿宋" w:eastAsia="仿宋" w:cs="仿宋"/>
          <w:sz w:val="24"/>
        </w:rPr>
      </w:pPr>
      <w:r>
        <w:rPr>
          <w:rFonts w:hint="eastAsia" w:ascii="仿宋" w:hAnsi="仿宋" w:eastAsia="仿宋" w:cs="仿宋"/>
          <w:sz w:val="24"/>
        </w:rPr>
        <w:t>日 期：</w:t>
      </w:r>
    </w:p>
    <w:p>
      <w:pPr>
        <w:spacing w:line="360" w:lineRule="auto"/>
        <w:ind w:firstLine="310" w:firstLineChars="147"/>
        <w:jc w:val="left"/>
        <w:rPr>
          <w:rFonts w:hint="eastAsia"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pPr>
        <w:spacing w:line="360" w:lineRule="auto"/>
        <w:ind w:right="420"/>
        <w:rPr>
          <w:rFonts w:hint="eastAsia" w:ascii="仿宋" w:hAnsi="仿宋" w:eastAsia="仿宋" w:cs="仿宋"/>
          <w:sz w:val="24"/>
        </w:rPr>
      </w:pPr>
    </w:p>
    <w:p>
      <w:pPr>
        <w:spacing w:line="360" w:lineRule="auto"/>
        <w:ind w:right="420"/>
        <w:rPr>
          <w:rFonts w:hint="eastAsia" w:ascii="仿宋" w:hAnsi="仿宋" w:eastAsia="仿宋" w:cs="仿宋"/>
          <w:sz w:val="24"/>
        </w:rPr>
      </w:pPr>
      <w:r>
        <w:rPr>
          <w:rFonts w:hint="eastAsia" w:ascii="仿宋" w:hAnsi="仿宋" w:eastAsia="仿宋" w:cs="仿宋"/>
          <w:sz w:val="24"/>
        </w:rPr>
        <w:t xml:space="preserve">   注：</w:t>
      </w:r>
    </w:p>
    <w:p>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rPr>
          <w:rFonts w:hint="eastAsia" w:ascii="仿宋" w:hAnsi="仿宋" w:eastAsia="仿宋" w:cs="仿宋"/>
          <w:lang w:val="en-US"/>
        </w:rPr>
      </w:pPr>
    </w:p>
    <w:p>
      <w:pPr>
        <w:spacing w:line="360" w:lineRule="auto"/>
        <w:ind w:right="420"/>
        <w:rPr>
          <w:rFonts w:hint="eastAsia" w:ascii="仿宋" w:hAnsi="仿宋" w:eastAsia="仿宋" w:cs="仿宋"/>
        </w:rPr>
      </w:pPr>
    </w:p>
    <w:p>
      <w:pPr>
        <w:spacing w:line="360" w:lineRule="auto"/>
        <w:rPr>
          <w:rFonts w:hint="eastAsia" w:ascii="仿宋" w:hAnsi="仿宋" w:eastAsia="仿宋" w:cs="仿宋"/>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bookmarkStart w:id="532" w:name="_Toc164085800"/>
    <w:bookmarkStart w:id="533" w:name="_Toc36110187"/>
    <w:bookmarkStart w:id="534" w:name="_Toc131845147"/>
    <w:bookmarkStart w:id="535" w:name="_Toc91899912"/>
    <w:r>
      <w:rPr>
        <w:rFonts w:hint="eastAsia" w:ascii="仿宋_GB2312" w:eastAsia="仿宋_GB2312"/>
        <w:kern w:val="0"/>
        <w:szCs w:val="21"/>
      </w:rPr>
      <w:t xml:space="preserve"> 页</w:t>
    </w:r>
    <w:bookmarkEnd w:id="532"/>
    <w:bookmarkEnd w:id="533"/>
    <w:bookmarkEnd w:id="534"/>
    <w:bookmarkEnd w:id="53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t>杭州市</w:t>
    </w:r>
    <w:r>
      <w:rPr>
        <w:rFonts w:hint="eastAsia"/>
        <w:lang w:eastAsia="zh-CN"/>
      </w:rPr>
      <w:t>临安区</w:t>
    </w:r>
    <w:r>
      <w:t>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w:t>
    </w:r>
    <w:r>
      <w:rPr>
        <w:rFonts w:hint="eastAsia"/>
        <w:lang w:val="zh-CN" w:eastAsia="zh-CN"/>
      </w:rPr>
      <w:t>临安区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 xml:space="preserve">       杭州市</w:t>
    </w:r>
    <w:r>
      <w:rPr>
        <w:rFonts w:hint="eastAsia"/>
        <w:lang w:eastAsia="zh-CN"/>
      </w:rPr>
      <w:t>临安区</w:t>
    </w:r>
    <w:r>
      <w:t>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w:t>
    </w:r>
    <w:r>
      <w:rPr>
        <w:rFonts w:hint="eastAsia"/>
        <w:lang w:eastAsia="zh-CN"/>
      </w:rPr>
      <w:t>临安区</w:t>
    </w:r>
    <w:r>
      <w:t>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w:t>
    </w:r>
    <w:r>
      <w:rPr>
        <w:rFonts w:hint="eastAsia"/>
        <w:lang w:eastAsia="zh-CN"/>
      </w:rPr>
      <w:t>临安区</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FC7959"/>
    <w:multiLevelType w:val="multilevel"/>
    <w:tmpl w:val="6BFC7959"/>
    <w:lvl w:ilvl="0" w:tentative="0">
      <w:start w:val="1"/>
      <w:numFmt w:val="bullet"/>
      <w:lvlText w:val=""/>
      <w:lvlJc w:val="left"/>
      <w:pPr>
        <w:tabs>
          <w:tab w:val="left" w:pos="960"/>
        </w:tabs>
        <w:ind w:left="960" w:hanging="420"/>
      </w:pPr>
      <w:rPr>
        <w:rFonts w:hint="default" w:ascii="Wingdings" w:hAnsi="Wingdings"/>
      </w:rPr>
    </w:lvl>
    <w:lvl w:ilvl="1" w:tentative="0">
      <w:start w:val="1"/>
      <w:numFmt w:val="bullet"/>
      <w:lvlText w:val=""/>
      <w:lvlJc w:val="left"/>
      <w:pPr>
        <w:tabs>
          <w:tab w:val="left" w:pos="1380"/>
        </w:tabs>
        <w:ind w:left="1380" w:hanging="420"/>
      </w:pPr>
      <w:rPr>
        <w:rFonts w:hint="default" w:ascii="Wingdings" w:hAnsi="Wingdings"/>
      </w:rPr>
    </w:lvl>
    <w:lvl w:ilvl="2" w:tentative="0">
      <w:start w:val="1"/>
      <w:numFmt w:val="bullet"/>
      <w:lvlText w:val=""/>
      <w:lvlJc w:val="left"/>
      <w:pPr>
        <w:tabs>
          <w:tab w:val="left" w:pos="1800"/>
        </w:tabs>
        <w:ind w:left="1800" w:hanging="420"/>
      </w:pPr>
      <w:rPr>
        <w:rFonts w:hint="default" w:ascii="Wingdings" w:hAnsi="Wingdings"/>
      </w:rPr>
    </w:lvl>
    <w:lvl w:ilvl="3" w:tentative="0">
      <w:start w:val="1"/>
      <w:numFmt w:val="bullet"/>
      <w:lvlText w:val=""/>
      <w:lvlJc w:val="left"/>
      <w:pPr>
        <w:tabs>
          <w:tab w:val="left" w:pos="2220"/>
        </w:tabs>
        <w:ind w:left="2220" w:hanging="420"/>
      </w:pPr>
      <w:rPr>
        <w:rFonts w:hint="default" w:ascii="Wingdings" w:hAnsi="Wingdings"/>
      </w:rPr>
    </w:lvl>
    <w:lvl w:ilvl="4" w:tentative="0">
      <w:start w:val="1"/>
      <w:numFmt w:val="bullet"/>
      <w:lvlText w:val=""/>
      <w:lvlJc w:val="left"/>
      <w:pPr>
        <w:tabs>
          <w:tab w:val="left" w:pos="2640"/>
        </w:tabs>
        <w:ind w:left="2640" w:hanging="420"/>
      </w:pPr>
      <w:rPr>
        <w:rFonts w:hint="default" w:ascii="Wingdings" w:hAnsi="Wingdings"/>
      </w:rPr>
    </w:lvl>
    <w:lvl w:ilvl="5" w:tentative="0">
      <w:start w:val="1"/>
      <w:numFmt w:val="bullet"/>
      <w:lvlText w:val=""/>
      <w:lvlJc w:val="left"/>
      <w:pPr>
        <w:tabs>
          <w:tab w:val="left" w:pos="3060"/>
        </w:tabs>
        <w:ind w:left="3060" w:hanging="420"/>
      </w:pPr>
      <w:rPr>
        <w:rFonts w:hint="default" w:ascii="Wingdings" w:hAnsi="Wingdings"/>
      </w:rPr>
    </w:lvl>
    <w:lvl w:ilvl="6" w:tentative="0">
      <w:start w:val="1"/>
      <w:numFmt w:val="bullet"/>
      <w:lvlText w:val=""/>
      <w:lvlJc w:val="left"/>
      <w:pPr>
        <w:tabs>
          <w:tab w:val="left" w:pos="3480"/>
        </w:tabs>
        <w:ind w:left="3480" w:hanging="420"/>
      </w:pPr>
      <w:rPr>
        <w:rFonts w:hint="default" w:ascii="Wingdings" w:hAnsi="Wingdings"/>
      </w:rPr>
    </w:lvl>
    <w:lvl w:ilvl="7" w:tentative="0">
      <w:start w:val="1"/>
      <w:numFmt w:val="bullet"/>
      <w:lvlText w:val=""/>
      <w:lvlJc w:val="left"/>
      <w:pPr>
        <w:tabs>
          <w:tab w:val="left" w:pos="3900"/>
        </w:tabs>
        <w:ind w:left="3900" w:hanging="420"/>
      </w:pPr>
      <w:rPr>
        <w:rFonts w:hint="default" w:ascii="Wingdings" w:hAnsi="Wingdings"/>
      </w:rPr>
    </w:lvl>
    <w:lvl w:ilvl="8" w:tentative="0">
      <w:start w:val="1"/>
      <w:numFmt w:val="bullet"/>
      <w:lvlText w:val=""/>
      <w:lvlJc w:val="left"/>
      <w:pPr>
        <w:tabs>
          <w:tab w:val="left" w:pos="4320"/>
        </w:tabs>
        <w:ind w:left="43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986664"/>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4F5EB2"/>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1379BD"/>
    <w:rsid w:val="10646583"/>
    <w:rsid w:val="107D4B15"/>
    <w:rsid w:val="108A3C80"/>
    <w:rsid w:val="10C26171"/>
    <w:rsid w:val="10F33360"/>
    <w:rsid w:val="10FC16EA"/>
    <w:rsid w:val="110F1D40"/>
    <w:rsid w:val="11266F33"/>
    <w:rsid w:val="118963A1"/>
    <w:rsid w:val="11C6522A"/>
    <w:rsid w:val="11CB11CE"/>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0746C"/>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4846B0"/>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8785D"/>
    <w:rsid w:val="239C0061"/>
    <w:rsid w:val="23B908A4"/>
    <w:rsid w:val="23CB1B9A"/>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8452F3"/>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1E160E"/>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7753DC"/>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C24EB"/>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B77B36"/>
    <w:rsid w:val="5C02690E"/>
    <w:rsid w:val="5C196DA7"/>
    <w:rsid w:val="5C2A048C"/>
    <w:rsid w:val="5C44359A"/>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734207"/>
    <w:rsid w:val="62885958"/>
    <w:rsid w:val="62F40B65"/>
    <w:rsid w:val="62FC2CFE"/>
    <w:rsid w:val="63024505"/>
    <w:rsid w:val="635600A5"/>
    <w:rsid w:val="635B1DB5"/>
    <w:rsid w:val="63711FED"/>
    <w:rsid w:val="637E4264"/>
    <w:rsid w:val="63880DDC"/>
    <w:rsid w:val="638D750D"/>
    <w:rsid w:val="63AC6CC0"/>
    <w:rsid w:val="63D82A7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953DE7"/>
    <w:rsid w:val="75D20F1D"/>
    <w:rsid w:val="75DA2C18"/>
    <w:rsid w:val="75F54412"/>
    <w:rsid w:val="761D08E0"/>
    <w:rsid w:val="76351396"/>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106A5A"/>
    <w:rsid w:val="7B257FFD"/>
    <w:rsid w:val="7B343476"/>
    <w:rsid w:val="7B5A2978"/>
    <w:rsid w:val="7B5A7E4C"/>
    <w:rsid w:val="7B667AF9"/>
    <w:rsid w:val="7B7468F8"/>
    <w:rsid w:val="7B87726D"/>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27"/>
    <w:qFormat/>
    <w:uiPriority w:val="0"/>
    <w:pPr>
      <w:autoSpaceDE w:val="0"/>
      <w:autoSpaceDN w:val="0"/>
      <w:spacing w:line="360" w:lineRule="auto"/>
    </w:pPr>
    <w:rPr>
      <w:rFonts w:ascii="宋体" w:hAnsi="Arial" w:cs="Arial"/>
      <w:snapToGrid w:val="0"/>
      <w:sz w:val="24"/>
      <w:szCs w:val="21"/>
      <w:lang w:val="zh-CN"/>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26"/>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199"/>
    <w:qFormat/>
    <w:uiPriority w:val="0"/>
    <w:pPr>
      <w:shd w:val="clear" w:color="auto" w:fill="000080"/>
    </w:pPr>
  </w:style>
  <w:style w:type="paragraph" w:styleId="20">
    <w:name w:val="annotation text"/>
    <w:basedOn w:val="1"/>
    <w:link w:val="341"/>
    <w:qFormat/>
    <w:uiPriority w:val="99"/>
    <w:pPr>
      <w:jc w:val="left"/>
    </w:pPr>
  </w:style>
  <w:style w:type="paragraph" w:styleId="21">
    <w:name w:val="Salutation"/>
    <w:basedOn w:val="1"/>
    <w:next w:val="1"/>
    <w:link w:val="295"/>
    <w:qFormat/>
    <w:uiPriority w:val="0"/>
    <w:rPr>
      <w:rFonts w:ascii="仿宋_GB2312" w:eastAsia="仿宋_GB2312"/>
      <w:sz w:val="28"/>
      <w:szCs w:val="20"/>
    </w:rPr>
  </w:style>
  <w:style w:type="paragraph" w:styleId="22">
    <w:name w:val="Body Text 3"/>
    <w:basedOn w:val="1"/>
    <w:link w:val="327"/>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Indent"/>
    <w:basedOn w:val="1"/>
    <w:next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6"/>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3"/>
    <w:qFormat/>
    <w:uiPriority w:val="0"/>
    <w:rPr>
      <w:b/>
      <w:bCs/>
    </w:rPr>
  </w:style>
  <w:style w:type="paragraph" w:styleId="60">
    <w:name w:val="Body Text First Indent"/>
    <w:basedOn w:val="2"/>
    <w:link w:val="318"/>
    <w:qFormat/>
    <w:uiPriority w:val="0"/>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文本首行缩进 2 字符"/>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字符"/>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4"/>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5"/>
    <w:qFormat/>
    <w:uiPriority w:val="0"/>
    <w:rPr>
      <w:rFonts w:ascii="宋体"/>
      <w:kern w:val="2"/>
      <w:sz w:val="24"/>
      <w:szCs w:val="21"/>
      <w:lang w:val="zh-CN"/>
    </w:rPr>
  </w:style>
  <w:style w:type="character" w:customStyle="1" w:styleId="179">
    <w:name w:val="标题 9 字符"/>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16"/>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19"/>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7"/>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1"/>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6"/>
    <w:qFormat/>
    <w:uiPriority w:val="0"/>
    <w:rPr>
      <w:rFonts w:ascii="黑体" w:hAnsi="Courier New" w:eastAsia="黑体"/>
    </w:rPr>
  </w:style>
  <w:style w:type="character" w:customStyle="1" w:styleId="299">
    <w:name w:val="正文文本 2 字符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9"/>
    <w:qFormat/>
    <w:uiPriority w:val="0"/>
    <w:rPr>
      <w:b/>
      <w:bCs/>
      <w:kern w:val="2"/>
      <w:sz w:val="24"/>
      <w:szCs w:val="24"/>
    </w:rPr>
  </w:style>
  <w:style w:type="character" w:customStyle="1" w:styleId="305">
    <w:name w:val="正文文本缩进 2 字符"/>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文本首行缩进 字符"/>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2"/>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20"/>
    <w:qFormat/>
    <w:uiPriority w:val="0"/>
    <w:rPr>
      <w:kern w:val="2"/>
      <w:sz w:val="21"/>
      <w:szCs w:val="24"/>
    </w:rPr>
  </w:style>
  <w:style w:type="character" w:customStyle="1" w:styleId="342">
    <w:name w:val="签名 字符"/>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16"/>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4"/>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5"/>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5"/>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5"/>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9"/>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7"/>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D2E4DD-CC59-4F12-BC75-1F204CB91537}">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72</Pages>
  <Words>5975</Words>
  <Characters>34060</Characters>
  <Lines>283</Lines>
  <Paragraphs>79</Paragraphs>
  <TotalTime>1</TotalTime>
  <ScaleCrop>false</ScaleCrop>
  <LinksUpToDate>false</LinksUpToDate>
  <CharactersWithSpaces>39956</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杨颖</cp:lastModifiedBy>
  <cp:lastPrinted>2021-12-27T03:06:00Z</cp:lastPrinted>
  <dcterms:modified xsi:type="dcterms:W3CDTF">2022-10-18T00:49:47Z</dcterms:modified>
  <dc:title>杭州市市民卡扩大发卡工程</dc:title>
  <cp:revision>269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