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p>
    <w:p>
      <w:pPr>
        <w:adjustRightInd/>
        <w:spacing w:line="360" w:lineRule="auto"/>
        <w:jc w:val="center"/>
        <w:rPr>
          <w:rFonts w:hint="eastAsia" w:ascii="仿宋" w:hAnsi="仿宋" w:eastAsia="仿宋" w:cs="仿宋"/>
          <w:b/>
          <w:sz w:val="44"/>
          <w:szCs w:val="44"/>
        </w:rPr>
      </w:pPr>
    </w:p>
    <w:p>
      <w:pPr>
        <w:spacing w:line="360" w:lineRule="auto"/>
        <w:jc w:val="center"/>
        <w:rPr>
          <w:rFonts w:hint="eastAsia" w:ascii="仿宋" w:hAnsi="仿宋" w:eastAsia="仿宋" w:cs="仿宋"/>
          <w:b/>
          <w:sz w:val="44"/>
          <w:szCs w:val="44"/>
        </w:rPr>
      </w:pPr>
    </w:p>
    <w:p>
      <w:pPr>
        <w:adjustRightInd/>
        <w:spacing w:line="360" w:lineRule="auto"/>
        <w:jc w:val="center"/>
        <w:rPr>
          <w:rFonts w:hint="eastAsia" w:ascii="仿宋" w:hAnsi="仿宋" w:eastAsia="仿宋" w:cs="仿宋"/>
          <w:b/>
          <w:sz w:val="48"/>
          <w:szCs w:val="48"/>
        </w:rPr>
      </w:pPr>
    </w:p>
    <w:p>
      <w:pPr>
        <w:adjustRightInd/>
        <w:spacing w:line="360" w:lineRule="auto"/>
        <w:jc w:val="center"/>
        <w:rPr>
          <w:rFonts w:hint="eastAsia" w:ascii="仿宋" w:hAnsi="仿宋" w:eastAsia="仿宋" w:cs="仿宋"/>
          <w:sz w:val="48"/>
          <w:szCs w:val="48"/>
          <w:lang w:val="en-US" w:eastAsia="zh-CN"/>
        </w:rPr>
      </w:pPr>
      <w:r>
        <w:rPr>
          <w:rFonts w:hint="eastAsia" w:ascii="仿宋" w:hAnsi="仿宋" w:eastAsia="仿宋" w:cs="仿宋"/>
          <w:sz w:val="48"/>
          <w:szCs w:val="48"/>
          <w:lang w:eastAsia="zh-CN"/>
        </w:rPr>
        <w:t>杭州市临安区</w:t>
      </w:r>
      <w:r>
        <w:rPr>
          <w:rFonts w:hint="eastAsia" w:ascii="仿宋" w:hAnsi="仿宋" w:eastAsia="仿宋" w:cs="仿宋"/>
          <w:sz w:val="48"/>
          <w:szCs w:val="48"/>
        </w:rPr>
        <w:t>於潜镇中心幼儿园班级教学装备</w:t>
      </w:r>
      <w:r>
        <w:rPr>
          <w:rFonts w:hint="eastAsia" w:ascii="仿宋" w:hAnsi="仿宋" w:eastAsia="仿宋" w:cs="仿宋"/>
          <w:sz w:val="48"/>
          <w:szCs w:val="48"/>
          <w:lang w:val="en-US" w:eastAsia="zh-CN"/>
        </w:rPr>
        <w:t>及办公家具采购项目</w:t>
      </w:r>
    </w:p>
    <w:p>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rPr>
        <w:t xml:space="preserve">招标文件 </w:t>
      </w:r>
    </w:p>
    <w:p>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 xml:space="preserve"> （电子招投标）</w:t>
      </w:r>
    </w:p>
    <w:p>
      <w:pPr>
        <w:snapToGrid w:val="0"/>
        <w:spacing w:line="360" w:lineRule="auto"/>
        <w:jc w:val="center"/>
        <w:rPr>
          <w:rFonts w:hint="eastAsia" w:ascii="仿宋" w:hAnsi="仿宋" w:eastAsia="仿宋" w:cs="仿宋"/>
          <w:sz w:val="30"/>
          <w:szCs w:val="30"/>
        </w:rPr>
      </w:pPr>
      <w:r>
        <w:rPr>
          <w:rFonts w:hint="eastAsia" w:ascii="仿宋" w:hAnsi="仿宋" w:eastAsia="仿宋" w:cs="仿宋"/>
          <w:sz w:val="30"/>
          <w:szCs w:val="30"/>
        </w:rPr>
        <w:t>编号:（采购编</w:t>
      </w:r>
      <w:r>
        <w:rPr>
          <w:rFonts w:hint="eastAsia" w:ascii="仿宋" w:hAnsi="仿宋" w:eastAsia="仿宋" w:cs="仿宋"/>
          <w:sz w:val="30"/>
          <w:szCs w:val="30"/>
          <w:highlight w:val="none"/>
        </w:rPr>
        <w:t>号</w:t>
      </w:r>
      <w:r>
        <w:rPr>
          <w:rFonts w:hint="eastAsia" w:ascii="仿宋" w:hAnsi="仿宋" w:eastAsia="仿宋" w:cs="仿宋"/>
          <w:sz w:val="30"/>
          <w:szCs w:val="30"/>
          <w:highlight w:val="none"/>
          <w:lang w:val="en-US" w:eastAsia="zh-CN"/>
        </w:rPr>
        <w:t>LZC-GK-2022-10072</w:t>
      </w:r>
      <w:r>
        <w:rPr>
          <w:rFonts w:hint="eastAsia" w:ascii="仿宋" w:hAnsi="仿宋" w:eastAsia="仿宋" w:cs="仿宋"/>
          <w:sz w:val="30"/>
          <w:szCs w:val="30"/>
        </w:rPr>
        <w:t>）</w:t>
      </w:r>
    </w:p>
    <w:p>
      <w:pPr>
        <w:adjustRightInd/>
        <w:spacing w:line="360" w:lineRule="auto"/>
        <w:rPr>
          <w:rFonts w:hint="eastAsia" w:ascii="仿宋" w:hAnsi="仿宋" w:eastAsia="仿宋" w:cs="仿宋"/>
          <w:sz w:val="28"/>
          <w:szCs w:val="20"/>
        </w:rPr>
      </w:pPr>
    </w:p>
    <w:p>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 xml:space="preserve"> </w:t>
      </w:r>
    </w:p>
    <w:p>
      <w:pPr>
        <w:spacing w:line="360" w:lineRule="auto"/>
        <w:jc w:val="center"/>
        <w:rPr>
          <w:rFonts w:hint="eastAsia" w:ascii="仿宋" w:hAnsi="仿宋" w:eastAsia="仿宋" w:cs="仿宋"/>
          <w:b/>
          <w:sz w:val="44"/>
          <w:szCs w:val="44"/>
        </w:rPr>
      </w:pPr>
    </w:p>
    <w:p>
      <w:pPr>
        <w:spacing w:line="360" w:lineRule="auto"/>
        <w:jc w:val="center"/>
        <w:rPr>
          <w:rFonts w:hint="eastAsia" w:ascii="仿宋" w:hAnsi="仿宋" w:eastAsia="仿宋" w:cs="仿宋"/>
          <w:sz w:val="24"/>
        </w:rPr>
      </w:pPr>
    </w:p>
    <w:p>
      <w:pPr>
        <w:spacing w:line="360" w:lineRule="auto"/>
        <w:jc w:val="center"/>
        <w:rPr>
          <w:rFonts w:hint="eastAsia" w:ascii="仿宋" w:hAnsi="仿宋" w:eastAsia="仿宋" w:cs="仿宋"/>
          <w:sz w:val="24"/>
        </w:rPr>
      </w:pPr>
    </w:p>
    <w:p>
      <w:pPr>
        <w:spacing w:line="360" w:lineRule="auto"/>
        <w:rPr>
          <w:rFonts w:hint="eastAsia" w:ascii="仿宋" w:hAnsi="仿宋" w:eastAsia="仿宋" w:cs="仿宋"/>
          <w:sz w:val="32"/>
          <w:szCs w:val="32"/>
          <w:highlight w:val="none"/>
        </w:rPr>
      </w:pPr>
    </w:p>
    <w:p>
      <w:pPr>
        <w:snapToGrid w:val="0"/>
        <w:spacing w:line="360" w:lineRule="auto"/>
        <w:jc w:val="center"/>
        <w:rPr>
          <w:rFonts w:hint="eastAsia" w:ascii="仿宋" w:hAnsi="仿宋" w:eastAsia="仿宋" w:cs="仿宋"/>
          <w:sz w:val="32"/>
          <w:szCs w:val="32"/>
          <w:highlight w:val="none"/>
        </w:rPr>
      </w:pPr>
      <w:r>
        <w:rPr>
          <w:rFonts w:hint="eastAsia" w:ascii="仿宋" w:hAnsi="仿宋" w:eastAsia="仿宋" w:cs="仿宋"/>
          <w:sz w:val="32"/>
          <w:szCs w:val="32"/>
          <w:highlight w:val="none"/>
        </w:rPr>
        <w:t>杭州市临安区於潜镇人民政府</w:t>
      </w:r>
    </w:p>
    <w:p>
      <w:pPr>
        <w:snapToGrid w:val="0"/>
        <w:spacing w:line="360" w:lineRule="auto"/>
        <w:jc w:val="center"/>
        <w:rPr>
          <w:rFonts w:hint="eastAsia" w:ascii="仿宋" w:hAnsi="仿宋" w:eastAsia="仿宋" w:cs="仿宋"/>
          <w:bCs/>
          <w:sz w:val="32"/>
          <w:szCs w:val="32"/>
          <w:lang w:val="en-US" w:eastAsia="zh-CN"/>
        </w:rPr>
      </w:pPr>
      <w:r>
        <w:rPr>
          <w:rFonts w:hint="eastAsia" w:ascii="仿宋" w:hAnsi="仿宋" w:eastAsia="仿宋" w:cs="仿宋"/>
          <w:bCs/>
          <w:sz w:val="32"/>
          <w:szCs w:val="32"/>
          <w:highlight w:val="none"/>
        </w:rPr>
        <w:t>杭州市公共资源交易中心</w:t>
      </w:r>
      <w:r>
        <w:rPr>
          <w:rFonts w:hint="eastAsia" w:ascii="仿宋" w:hAnsi="仿宋" w:eastAsia="仿宋" w:cs="仿宋"/>
          <w:bCs/>
          <w:sz w:val="32"/>
          <w:szCs w:val="32"/>
          <w:highlight w:val="none"/>
          <w:lang w:eastAsia="zh-CN"/>
        </w:rPr>
        <w:t>临安分中</w:t>
      </w:r>
      <w:r>
        <w:rPr>
          <w:rFonts w:hint="eastAsia" w:ascii="仿宋" w:hAnsi="仿宋" w:eastAsia="仿宋" w:cs="仿宋"/>
          <w:bCs/>
          <w:sz w:val="32"/>
          <w:szCs w:val="32"/>
          <w:lang w:eastAsia="zh-CN"/>
        </w:rPr>
        <w:t>心</w:t>
      </w:r>
    </w:p>
    <w:p>
      <w:pPr>
        <w:snapToGrid w:val="0"/>
        <w:spacing w:line="360" w:lineRule="auto"/>
        <w:jc w:val="center"/>
        <w:rPr>
          <w:rFonts w:hint="eastAsia" w:ascii="仿宋" w:hAnsi="仿宋" w:eastAsia="仿宋" w:cs="仿宋"/>
          <w:bCs/>
          <w:sz w:val="32"/>
          <w:szCs w:val="32"/>
        </w:rPr>
      </w:pPr>
      <w:r>
        <w:rPr>
          <w:rFonts w:hint="eastAsia" w:ascii="仿宋" w:hAnsi="仿宋" w:eastAsia="仿宋" w:cs="仿宋"/>
          <w:bCs/>
          <w:sz w:val="32"/>
          <w:szCs w:val="32"/>
        </w:rPr>
        <w:t>二〇二</w:t>
      </w:r>
      <w:r>
        <w:rPr>
          <w:rFonts w:hint="eastAsia" w:ascii="仿宋" w:hAnsi="仿宋" w:eastAsia="仿宋" w:cs="仿宋"/>
          <w:bCs/>
          <w:sz w:val="32"/>
          <w:szCs w:val="32"/>
          <w:lang w:val="en-US" w:eastAsia="zh-CN"/>
        </w:rPr>
        <w:t>二</w:t>
      </w:r>
      <w:r>
        <w:rPr>
          <w:rFonts w:hint="eastAsia" w:ascii="仿宋" w:hAnsi="仿宋" w:eastAsia="仿宋" w:cs="仿宋"/>
          <w:bCs/>
          <w:sz w:val="32"/>
          <w:szCs w:val="32"/>
        </w:rPr>
        <w:t>年</w:t>
      </w:r>
      <w:r>
        <w:rPr>
          <w:rFonts w:hint="eastAsia" w:ascii="仿宋" w:hAnsi="仿宋" w:eastAsia="仿宋" w:cs="仿宋"/>
          <w:bCs/>
          <w:sz w:val="32"/>
          <w:szCs w:val="32"/>
          <w:lang w:eastAsia="zh-CN"/>
        </w:rPr>
        <w:t>十一</w:t>
      </w:r>
      <w:r>
        <w:rPr>
          <w:rFonts w:hint="eastAsia" w:ascii="仿宋" w:hAnsi="仿宋" w:eastAsia="仿宋" w:cs="仿宋"/>
          <w:bCs/>
          <w:sz w:val="32"/>
          <w:szCs w:val="32"/>
        </w:rPr>
        <w:t>月</w:t>
      </w:r>
      <w:r>
        <w:rPr>
          <w:rFonts w:hint="eastAsia" w:ascii="仿宋" w:hAnsi="仿宋" w:eastAsia="仿宋" w:cs="仿宋"/>
          <w:bCs/>
          <w:sz w:val="32"/>
          <w:szCs w:val="32"/>
          <w:lang w:eastAsia="zh-CN"/>
        </w:rPr>
        <w:t>二十六</w:t>
      </w:r>
      <w:r>
        <w:rPr>
          <w:rFonts w:hint="eastAsia" w:ascii="仿宋" w:hAnsi="仿宋" w:eastAsia="仿宋" w:cs="仿宋"/>
          <w:bCs/>
          <w:sz w:val="32"/>
          <w:szCs w:val="32"/>
        </w:rPr>
        <w:t>日</w:t>
      </w:r>
    </w:p>
    <w:p>
      <w:pPr>
        <w:spacing w:line="360" w:lineRule="auto"/>
        <w:jc w:val="center"/>
        <w:rPr>
          <w:rFonts w:hint="eastAsia" w:ascii="仿宋" w:hAnsi="仿宋" w:eastAsia="仿宋" w:cs="仿宋"/>
          <w:sz w:val="24"/>
        </w:rPr>
      </w:pPr>
      <w:r>
        <w:rPr>
          <w:rFonts w:hint="eastAsia" w:ascii="仿宋" w:hAnsi="仿宋" w:eastAsia="仿宋" w:cs="仿宋"/>
          <w:sz w:val="24"/>
        </w:rPr>
        <w:br w:type="page"/>
      </w:r>
      <w:bookmarkStart w:id="0" w:name="_Hlt67893495"/>
      <w:bookmarkEnd w:id="0"/>
    </w:p>
    <w:p>
      <w:pPr>
        <w:spacing w:line="360" w:lineRule="auto"/>
        <w:jc w:val="center"/>
        <w:rPr>
          <w:rFonts w:hint="eastAsia" w:ascii="仿宋" w:hAnsi="仿宋" w:eastAsia="仿宋" w:cs="仿宋"/>
          <w:sz w:val="24"/>
        </w:rPr>
      </w:pPr>
    </w:p>
    <w:p>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pPr>
        <w:spacing w:line="360" w:lineRule="auto"/>
        <w:rPr>
          <w:rFonts w:hint="eastAsia" w:ascii="仿宋" w:hAnsi="仿宋" w:eastAsia="仿宋" w:cs="仿宋"/>
          <w:sz w:val="32"/>
          <w:szCs w:val="32"/>
        </w:rPr>
      </w:pPr>
    </w:p>
    <w:p>
      <w:pPr>
        <w:spacing w:line="360" w:lineRule="auto"/>
        <w:rPr>
          <w:rFonts w:hint="eastAsia" w:ascii="仿宋" w:hAnsi="仿宋" w:eastAsia="仿宋" w:cs="仿宋"/>
          <w:sz w:val="32"/>
          <w:szCs w:val="32"/>
        </w:rPr>
      </w:pP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第一部分      招标公告</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第二部分      投标人须知</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第三部分      采购需求</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第四部分      评标办法</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第五部分      拟签订的合同文本</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第六部分      应提交的有关格式范例</w:t>
      </w:r>
    </w:p>
    <w:p>
      <w:pPr>
        <w:spacing w:line="360" w:lineRule="auto"/>
        <w:ind w:firstLine="549" w:firstLineChars="229"/>
        <w:rPr>
          <w:rFonts w:hint="eastAsia" w:ascii="仿宋" w:hAnsi="仿宋" w:eastAsia="仿宋" w:cs="仿宋"/>
          <w:sz w:val="24"/>
        </w:rPr>
      </w:pPr>
      <w:bookmarkStart w:id="1" w:name="_Hlt91233176"/>
      <w:bookmarkEnd w:id="1"/>
      <w:bookmarkStart w:id="2" w:name="_Toc91899869"/>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rPr>
          <w:rFonts w:hint="eastAsia" w:ascii="仿宋" w:hAnsi="仿宋" w:eastAsia="仿宋" w:cs="仿宋"/>
          <w:sz w:val="24"/>
        </w:rPr>
      </w:pPr>
    </w:p>
    <w:p>
      <w:pPr>
        <w:adjustRightInd/>
        <w:spacing w:line="360" w:lineRule="auto"/>
        <w:jc w:val="center"/>
        <w:outlineLvl w:val="0"/>
        <w:rPr>
          <w:rFonts w:hint="eastAsia"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仿宋" w:hAnsi="仿宋" w:eastAsia="仿宋" w:cs="仿宋"/>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rPr>
      </w:pPr>
      <w:r>
        <w:rPr>
          <w:rFonts w:hint="eastAsia" w:ascii="仿宋" w:hAnsi="仿宋" w:eastAsia="仿宋" w:cs="仿宋"/>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u w:val="single"/>
        </w:rPr>
      </w:pPr>
      <w:r>
        <w:rPr>
          <w:rFonts w:hint="eastAsia" w:ascii="仿宋" w:hAnsi="仿宋" w:eastAsia="仿宋" w:cs="仿宋"/>
          <w:sz w:val="24"/>
          <w:lang w:eastAsia="zh-CN"/>
        </w:rPr>
        <w:t>杭州市临安区</w:t>
      </w:r>
      <w:r>
        <w:rPr>
          <w:rFonts w:hint="eastAsia" w:ascii="仿宋" w:hAnsi="仿宋" w:eastAsia="仿宋" w:cs="仿宋"/>
          <w:sz w:val="24"/>
        </w:rPr>
        <w:t>於潜镇中心幼儿园班级教学装备</w:t>
      </w:r>
      <w:r>
        <w:rPr>
          <w:rFonts w:hint="eastAsia" w:ascii="仿宋" w:hAnsi="仿宋" w:eastAsia="仿宋" w:cs="仿宋"/>
          <w:sz w:val="24"/>
          <w:lang w:val="en-US" w:eastAsia="zh-CN"/>
        </w:rPr>
        <w:t>及办公家具采购项目</w:t>
      </w:r>
      <w:r>
        <w:rPr>
          <w:rFonts w:hint="eastAsia" w:ascii="仿宋" w:hAnsi="仿宋" w:eastAsia="仿宋" w:cs="仿宋"/>
          <w:sz w:val="24"/>
        </w:rPr>
        <w:t>招标项目的潜在投标人应在政采</w:t>
      </w:r>
      <w:r>
        <w:rPr>
          <w:rFonts w:hint="eastAsia" w:ascii="仿宋" w:hAnsi="仿宋" w:eastAsia="仿宋" w:cs="仿宋"/>
          <w:sz w:val="24"/>
          <w:highlight w:val="none"/>
        </w:rPr>
        <w:t>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"https://www.zcygov.cn/）获取（下载）招标文件，并于2021年" </w:instrText>
      </w:r>
      <w:r>
        <w:rPr>
          <w:rFonts w:hint="eastAsia" w:ascii="仿宋" w:hAnsi="仿宋" w:eastAsia="仿宋" w:cs="仿宋"/>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 xml:space="preserve"> 年</w:t>
      </w:r>
      <w:r>
        <w:rPr>
          <w:rFonts w:hint="eastAsia" w:ascii="仿宋" w:hAnsi="仿宋" w:eastAsia="仿宋" w:cs="仿宋"/>
          <w:sz w:val="24"/>
          <w:highlight w:val="none"/>
          <w:u w:val="single"/>
          <w:lang w:val="en-US" w:eastAsia="zh-CN"/>
        </w:rPr>
        <w:t>11</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16</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00秒</w:t>
      </w:r>
      <w:r>
        <w:rPr>
          <w:rFonts w:hint="eastAsia" w:ascii="仿宋" w:hAnsi="仿宋" w:eastAsia="仿宋" w:cs="仿宋"/>
          <w:bCs/>
          <w:sz w:val="24"/>
          <w:highlight w:val="none"/>
          <w:u w:val="singl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递交（上传）投标文件。</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 xml:space="preserve">一、项目基本情况                                            </w:t>
      </w:r>
    </w:p>
    <w:p>
      <w:pPr>
        <w:spacing w:line="360" w:lineRule="auto"/>
        <w:rPr>
          <w:rFonts w:hint="eastAsia" w:ascii="仿宋" w:hAnsi="仿宋" w:eastAsia="仿宋" w:cs="仿宋"/>
          <w:b w:val="0"/>
          <w:bCs/>
          <w:sz w:val="24"/>
        </w:rPr>
      </w:pPr>
      <w:r>
        <w:rPr>
          <w:rFonts w:hint="eastAsia" w:ascii="仿宋" w:hAnsi="仿宋" w:eastAsia="仿宋" w:cs="仿宋"/>
          <w:sz w:val="24"/>
          <w:highlight w:val="none"/>
        </w:rPr>
        <w:t xml:space="preserve">    </w:t>
      </w:r>
      <w:r>
        <w:rPr>
          <w:rFonts w:hint="eastAsia" w:ascii="仿宋" w:hAnsi="仿宋" w:eastAsia="仿宋" w:cs="仿宋"/>
          <w:b/>
          <w:sz w:val="24"/>
          <w:highlight w:val="none"/>
        </w:rPr>
        <w:t>项目编号：</w:t>
      </w:r>
      <w:r>
        <w:rPr>
          <w:rFonts w:hint="eastAsia" w:ascii="仿宋" w:hAnsi="仿宋" w:eastAsia="仿宋" w:cs="仿宋"/>
          <w:b w:val="0"/>
          <w:bCs/>
          <w:sz w:val="24"/>
          <w:highlight w:val="none"/>
          <w:lang w:val="en-US" w:eastAsia="zh-CN"/>
        </w:rPr>
        <w:t>LZC-GK-2022-1</w:t>
      </w:r>
      <w:r>
        <w:rPr>
          <w:rFonts w:hint="eastAsia" w:ascii="仿宋" w:hAnsi="仿宋" w:eastAsia="仿宋" w:cs="仿宋"/>
          <w:b w:val="0"/>
          <w:bCs/>
          <w:sz w:val="24"/>
          <w:lang w:val="en-US" w:eastAsia="zh-CN"/>
        </w:rPr>
        <w:t>0072</w:t>
      </w:r>
    </w:p>
    <w:p>
      <w:pPr>
        <w:spacing w:line="360" w:lineRule="auto"/>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 xml:space="preserve"> 项目名称：</w:t>
      </w:r>
      <w:r>
        <w:rPr>
          <w:rFonts w:hint="eastAsia" w:ascii="仿宋" w:hAnsi="仿宋" w:eastAsia="仿宋" w:cs="仿宋"/>
          <w:b w:val="0"/>
          <w:bCs/>
          <w:sz w:val="24"/>
          <w:lang w:eastAsia="zh-CN"/>
        </w:rPr>
        <w:t>杭州市临安区</w:t>
      </w:r>
      <w:r>
        <w:rPr>
          <w:rFonts w:hint="eastAsia" w:ascii="仿宋" w:hAnsi="仿宋" w:eastAsia="仿宋" w:cs="仿宋"/>
          <w:b w:val="0"/>
          <w:bCs/>
          <w:sz w:val="24"/>
        </w:rPr>
        <w:t>於潜镇中心幼儿园班级教学装备</w:t>
      </w:r>
      <w:r>
        <w:rPr>
          <w:rFonts w:hint="eastAsia" w:ascii="仿宋" w:hAnsi="仿宋" w:eastAsia="仿宋" w:cs="仿宋"/>
          <w:b w:val="0"/>
          <w:bCs/>
          <w:sz w:val="24"/>
          <w:lang w:val="en-US" w:eastAsia="zh-CN"/>
        </w:rPr>
        <w:t>及办公家具采购项目</w:t>
      </w:r>
    </w:p>
    <w:p>
      <w:pPr>
        <w:spacing w:line="360" w:lineRule="auto"/>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 xml:space="preserve"> 预算金额（元）：</w:t>
      </w:r>
      <w:r>
        <w:rPr>
          <w:rFonts w:hint="eastAsia" w:ascii="仿宋" w:hAnsi="仿宋" w:eastAsia="仿宋" w:cs="仿宋"/>
          <w:b/>
          <w:sz w:val="24"/>
          <w:lang w:val="en-US" w:eastAsia="zh-CN"/>
        </w:rPr>
        <w:t>1630000</w:t>
      </w:r>
      <w:r>
        <w:rPr>
          <w:rFonts w:hint="eastAsia" w:ascii="仿宋" w:hAnsi="仿宋" w:eastAsia="仿宋" w:cs="仿宋"/>
          <w:sz w:val="24"/>
        </w:rPr>
        <w:t xml:space="preserve">  </w:t>
      </w:r>
    </w:p>
    <w:p>
      <w:pPr>
        <w:spacing w:line="360" w:lineRule="auto"/>
        <w:ind w:firstLine="480"/>
        <w:rPr>
          <w:rFonts w:hint="eastAsia" w:ascii="仿宋" w:hAnsi="仿宋" w:eastAsia="仿宋" w:cs="仿宋"/>
          <w:sz w:val="24"/>
        </w:rPr>
      </w:pPr>
      <w:r>
        <w:rPr>
          <w:rFonts w:hint="eastAsia" w:ascii="仿宋" w:hAnsi="仿宋" w:eastAsia="仿宋" w:cs="仿宋"/>
          <w:b/>
          <w:sz w:val="24"/>
        </w:rPr>
        <w:t>最高限价（元）：</w:t>
      </w:r>
      <w:r>
        <w:rPr>
          <w:rFonts w:hint="eastAsia" w:ascii="仿宋" w:hAnsi="仿宋" w:eastAsia="仿宋" w:cs="仿宋"/>
          <w:b/>
          <w:sz w:val="24"/>
          <w:lang w:val="en-US" w:eastAsia="zh-CN"/>
        </w:rPr>
        <w:t>1300000</w:t>
      </w:r>
      <w:r>
        <w:rPr>
          <w:rFonts w:hint="eastAsia" w:ascii="仿宋" w:hAnsi="仿宋" w:eastAsia="仿宋" w:cs="仿宋"/>
          <w:sz w:val="24"/>
        </w:rPr>
        <w:t xml:space="preserve">  </w:t>
      </w:r>
    </w:p>
    <w:p>
      <w:pPr>
        <w:pStyle w:val="7"/>
        <w:spacing w:line="360" w:lineRule="auto"/>
        <w:ind w:firstLine="480"/>
        <w:rPr>
          <w:rFonts w:hint="eastAsia" w:ascii="仿宋" w:hAnsi="仿宋" w:eastAsia="仿宋" w:cs="仿宋"/>
          <w:bCs/>
          <w:snapToGrid/>
          <w:color w:val="auto"/>
          <w:kern w:val="2"/>
          <w:sz w:val="24"/>
          <w:szCs w:val="24"/>
        </w:rPr>
      </w:pPr>
      <w:r>
        <w:rPr>
          <w:rFonts w:hint="eastAsia" w:ascii="仿宋" w:hAnsi="仿宋" w:eastAsia="仿宋" w:cs="仿宋"/>
          <w:b/>
          <w:color w:val="auto"/>
          <w:sz w:val="24"/>
        </w:rPr>
        <w:t>采购需求：</w:t>
      </w:r>
      <w:r>
        <w:rPr>
          <w:rFonts w:hint="eastAsia" w:ascii="仿宋" w:hAnsi="仿宋" w:eastAsia="仿宋" w:cs="仿宋"/>
          <w:b w:val="0"/>
          <w:bCs/>
          <w:color w:val="auto"/>
          <w:sz w:val="24"/>
        </w:rPr>
        <w:t>於潜镇中心幼儿园班级教学装备</w:t>
      </w:r>
      <w:r>
        <w:rPr>
          <w:rFonts w:hint="eastAsia" w:ascii="仿宋" w:hAnsi="仿宋" w:eastAsia="仿宋" w:cs="仿宋"/>
          <w:b w:val="0"/>
          <w:bCs/>
          <w:color w:val="auto"/>
          <w:sz w:val="24"/>
          <w:lang w:val="en-US" w:eastAsia="zh-CN"/>
        </w:rPr>
        <w:t>及办公家具</w:t>
      </w:r>
      <w:r>
        <w:rPr>
          <w:rFonts w:hint="eastAsia" w:ascii="仿宋" w:hAnsi="仿宋" w:eastAsia="仿宋" w:cs="仿宋"/>
          <w:bCs/>
          <w:snapToGrid/>
          <w:color w:val="auto"/>
          <w:kern w:val="2"/>
          <w:sz w:val="24"/>
          <w:szCs w:val="24"/>
        </w:rPr>
        <w:t>。详见招标文件第三部分采购需求。</w:t>
      </w:r>
    </w:p>
    <w:p>
      <w:pPr>
        <w:pStyle w:val="128"/>
        <w:ind w:firstLine="482"/>
        <w:outlineLvl w:val="2"/>
        <w:rPr>
          <w:rFonts w:hint="eastAsia" w:ascii="仿宋" w:hAnsi="仿宋" w:eastAsia="仿宋" w:cs="仿宋"/>
          <w:lang w:eastAsia="zh-CN"/>
        </w:rPr>
      </w:pPr>
      <w:r>
        <w:rPr>
          <w:rFonts w:hint="eastAsia" w:ascii="仿宋" w:hAnsi="仿宋" w:eastAsia="仿宋" w:cs="仿宋"/>
          <w:b/>
        </w:rPr>
        <w:t>合同履约期限：</w:t>
      </w:r>
      <w:r>
        <w:rPr>
          <w:rFonts w:hint="eastAsia" w:ascii="仿宋" w:hAnsi="仿宋" w:eastAsia="仿宋" w:cs="仿宋"/>
          <w:b w:val="0"/>
          <w:bCs/>
          <w:lang w:val="en-US" w:eastAsia="zh-CN"/>
        </w:rPr>
        <w:t>60</w:t>
      </w:r>
      <w:r>
        <w:rPr>
          <w:rFonts w:hint="eastAsia" w:ascii="仿宋" w:hAnsi="仿宋" w:eastAsia="仿宋" w:cs="仿宋"/>
          <w:b w:val="0"/>
          <w:bCs/>
        </w:rPr>
        <w:t>天</w:t>
      </w:r>
      <w:r>
        <w:rPr>
          <w:rFonts w:hint="eastAsia" w:ascii="仿宋" w:hAnsi="仿宋" w:eastAsia="仿宋" w:cs="仿宋"/>
          <w:b w:val="0"/>
          <w:bCs/>
          <w:lang w:eastAsia="zh-CN"/>
        </w:rPr>
        <w:t>内完成供货、安装。</w:t>
      </w:r>
    </w:p>
    <w:p>
      <w:pPr>
        <w:pStyle w:val="7"/>
        <w:spacing w:line="360" w:lineRule="auto"/>
        <w:ind w:firstLine="480"/>
        <w:rPr>
          <w:rFonts w:hint="eastAsia" w:ascii="仿宋" w:hAnsi="仿宋" w:eastAsia="仿宋" w:cs="仿宋"/>
          <w:color w:val="auto"/>
          <w:kern w:val="0"/>
          <w:sz w:val="24"/>
        </w:rPr>
      </w:pPr>
      <w:r>
        <w:rPr>
          <w:rFonts w:hint="eastAsia" w:ascii="仿宋" w:hAnsi="仿宋" w:eastAsia="仿宋" w:cs="仿宋"/>
          <w:b/>
          <w:color w:val="auto"/>
          <w:sz w:val="24"/>
        </w:rPr>
        <w:t>本项目接受联合体投标：</w:t>
      </w:r>
      <w:sdt>
        <w:sdtPr>
          <w:rPr>
            <w:rFonts w:hint="eastAsia" w:ascii="仿宋" w:hAnsi="仿宋" w:eastAsia="仿宋" w:cs="仿宋"/>
            <w:color w:val="auto"/>
            <w:kern w:val="0"/>
            <w:sz w:val="24"/>
          </w:rPr>
          <w:id w:val="2035453831"/>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b/>
          <w:color w:val="auto"/>
          <w:sz w:val="24"/>
        </w:rPr>
        <w:t>是</w:t>
      </w:r>
      <w:r>
        <w:rPr>
          <w:rFonts w:hint="eastAsia" w:ascii="仿宋" w:hAnsi="仿宋" w:eastAsia="仿宋" w:cs="仿宋"/>
          <w:b/>
          <w:snapToGrid/>
          <w:color w:val="auto"/>
          <w:kern w:val="2"/>
          <w:sz w:val="24"/>
        </w:rPr>
        <w:t>；</w:t>
      </w:r>
      <w:sdt>
        <w:sdtPr>
          <w:rPr>
            <w:rFonts w:hint="eastAsia" w:ascii="仿宋" w:hAnsi="仿宋" w:eastAsia="仿宋" w:cs="仿宋"/>
            <w:color w:val="auto"/>
            <w:kern w:val="0"/>
            <w:sz w:val="24"/>
          </w:rPr>
          <w:id w:val="-1765526721"/>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b/>
          <w:color w:val="auto"/>
          <w:sz w:val="24"/>
        </w:rPr>
        <w:t>否</w:t>
      </w:r>
      <w:r>
        <w:rPr>
          <w:rFonts w:hint="eastAsia" w:ascii="仿宋" w:hAnsi="仿宋" w:eastAsia="仿宋" w:cs="仿宋"/>
          <w:color w:val="auto"/>
          <w:kern w:val="0"/>
          <w:sz w:val="24"/>
        </w:rPr>
        <w:t>。</w:t>
      </w:r>
    </w:p>
    <w:p>
      <w:pPr>
        <w:spacing w:line="360" w:lineRule="auto"/>
        <w:rPr>
          <w:rFonts w:hint="eastAsia" w:ascii="仿宋" w:hAnsi="仿宋" w:eastAsia="仿宋" w:cs="仿宋"/>
          <w:b/>
          <w:sz w:val="24"/>
        </w:rPr>
      </w:pPr>
      <w:r>
        <w:rPr>
          <w:rFonts w:hint="eastAsia" w:ascii="仿宋" w:hAnsi="仿宋" w:eastAsia="仿宋" w:cs="仿宋"/>
          <w:b/>
          <w:sz w:val="24"/>
        </w:rPr>
        <w:t>二、</w:t>
      </w:r>
      <w:bookmarkStart w:id="11" w:name="_Hlk101132948"/>
      <w:r>
        <w:rPr>
          <w:rFonts w:hint="eastAsia" w:ascii="仿宋" w:hAnsi="仿宋" w:eastAsia="仿宋" w:cs="仿宋"/>
          <w:b/>
          <w:sz w:val="24"/>
        </w:rPr>
        <w:t>申请人的资格要求</w:t>
      </w:r>
      <w:bookmarkEnd w:id="11"/>
      <w:r>
        <w:rPr>
          <w:rFonts w:hint="eastAsia" w:ascii="仿宋" w:hAnsi="仿宋" w:eastAsia="仿宋" w:cs="仿宋"/>
          <w:b/>
          <w:sz w:val="24"/>
        </w:rPr>
        <w:t>：</w:t>
      </w:r>
    </w:p>
    <w:p>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928616923"/>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无</w:t>
      </w:r>
      <w:r>
        <w:rPr>
          <w:rFonts w:hint="eastAsia" w:ascii="仿宋" w:hAnsi="仿宋" w:eastAsia="仿宋" w:cs="仿宋"/>
          <w:snapToGrid w:val="0"/>
          <w:kern w:val="28"/>
          <w:sz w:val="24"/>
          <w:szCs w:val="20"/>
        </w:rPr>
        <w:t>（注：不得限制大中型企业与小微企业组成联合体参与投标）</w:t>
      </w: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024704304"/>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专</w:t>
      </w:r>
      <w:r>
        <w:rPr>
          <w:rFonts w:hint="eastAsia" w:ascii="仿宋" w:hAnsi="仿宋" w:eastAsia="仿宋" w:cs="仿宋"/>
          <w:sz w:val="24"/>
        </w:rPr>
        <w:t>门面向中小企业</w:t>
      </w:r>
    </w:p>
    <w:p>
      <w:pPr>
        <w:spacing w:line="360" w:lineRule="auto"/>
        <w:ind w:firstLine="897" w:firstLineChars="374"/>
        <w:rPr>
          <w:rFonts w:hint="eastAsia" w:ascii="仿宋" w:hAnsi="仿宋" w:eastAsia="仿宋" w:cs="仿宋"/>
          <w:sz w:val="24"/>
          <w:u w:val="single"/>
        </w:rPr>
      </w:pPr>
      <w:sdt>
        <w:sdtPr>
          <w:rPr>
            <w:rFonts w:hint="eastAsia" w:ascii="仿宋" w:hAnsi="仿宋" w:eastAsia="仿宋" w:cs="仿宋"/>
            <w:kern w:val="0"/>
            <w:sz w:val="24"/>
          </w:rPr>
          <w:id w:val="-9247305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sz w:val="24"/>
        </w:rPr>
        <w:t>货物全部由符合政策要求的中小企业制造，提供中小企业声明函；</w:t>
      </w:r>
    </w:p>
    <w:p>
      <w:pPr>
        <w:spacing w:line="360" w:lineRule="auto"/>
        <w:ind w:firstLine="897" w:firstLineChars="374"/>
        <w:rPr>
          <w:rFonts w:hint="eastAsia" w:ascii="仿宋" w:hAnsi="仿宋" w:eastAsia="仿宋" w:cs="仿宋"/>
          <w:sz w:val="24"/>
        </w:rPr>
      </w:pPr>
      <w:sdt>
        <w:sdtPr>
          <w:rPr>
            <w:rFonts w:hint="eastAsia" w:ascii="仿宋" w:hAnsi="仿宋" w:eastAsia="仿宋" w:cs="仿宋"/>
            <w:kern w:val="0"/>
            <w:sz w:val="24"/>
          </w:rPr>
          <w:id w:val="-1152604937"/>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货物全部由符合政策要求的小微企业制造，提供中小企业声明函；</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98560779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bookmarkStart w:id="12" w:name="_Hlk101132524"/>
        </w:sdtContent>
      </w:sdt>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sz w:val="24"/>
        </w:rPr>
        <w:t>；</w:t>
      </w:r>
    </w:p>
    <w:bookmarkEnd w:id="12"/>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3463064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要求合同分包，提供分包意向协议和中小企业声明函，分包意向协议中中小企业合同金额应当达到达到</w:t>
      </w:r>
      <w:r>
        <w:rPr>
          <w:rFonts w:hint="eastAsia" w:ascii="仿宋" w:hAnsi="仿宋" w:eastAsia="仿宋" w:cs="仿宋"/>
          <w:sz w:val="24"/>
          <w:u w:val="single"/>
        </w:rPr>
        <w:t xml:space="preserve">  </w:t>
      </w:r>
      <w:r>
        <w:rPr>
          <w:rFonts w:hint="eastAsia" w:ascii="仿宋" w:hAnsi="仿宋" w:eastAsia="仿宋" w:cs="仿宋"/>
          <w:sz w:val="24"/>
        </w:rPr>
        <w:t>% ，小微企业合同金额应当达到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 ;</w:t>
      </w:r>
      <w:r>
        <w:rPr>
          <w:rFonts w:hint="eastAsia" w:ascii="仿宋" w:hAnsi="仿宋" w:eastAsia="仿宋" w:cs="仿宋"/>
          <w:spacing w:val="8"/>
          <w:kern w:val="0"/>
          <w:sz w:val="24"/>
        </w:rPr>
        <w:t>如果供应商本身提供所有标的均由中小企业制造、承建或承接，视同符合了资格条件，无需再向中小企业分包，无需提供分包意向协议</w:t>
      </w: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4.本项目的特定资格要求：无；</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 xml:space="preserve">三、获取招标文件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11</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16</w:t>
      </w:r>
      <w:r>
        <w:rPr>
          <w:rFonts w:hint="eastAsia" w:ascii="仿宋" w:hAnsi="仿宋" w:eastAsia="仿宋" w:cs="仿宋"/>
          <w:sz w:val="24"/>
          <w:highlight w:val="none"/>
          <w:u w:val="single"/>
        </w:rPr>
        <w:t>日</w:t>
      </w:r>
      <w:r>
        <w:rPr>
          <w:rFonts w:hint="eastAsia" w:ascii="仿宋" w:hAnsi="仿宋" w:eastAsia="仿宋" w:cs="仿宋"/>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四、提交投标文件截止时间、开标时间和地点</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提交投标文件截止时间：</w:t>
      </w:r>
      <w:r>
        <w:rPr>
          <w:rFonts w:hint="eastAsia" w:ascii="仿宋" w:hAnsi="仿宋" w:eastAsia="仿宋" w:cs="仿宋"/>
          <w:sz w:val="24"/>
          <w:highlight w:val="none"/>
          <w:u w:val="single"/>
        </w:rPr>
        <w:t xml:space="preserve"> 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11</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16</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投标地点（网址）：</w:t>
      </w:r>
      <w:r>
        <w:rPr>
          <w:rFonts w:hint="eastAsia" w:ascii="仿宋" w:hAnsi="仿宋" w:eastAsia="仿宋" w:cs="仿宋"/>
          <w:sz w:val="24"/>
          <w:highlight w:val="none"/>
        </w:rPr>
        <w:t xml:space="preserve">政采云平台（https://www.zcygov.cn/） </w:t>
      </w:r>
    </w:p>
    <w:p>
      <w:pPr>
        <w:spacing w:line="360" w:lineRule="auto"/>
        <w:ind w:firstLine="482" w:firstLineChars="200"/>
        <w:rPr>
          <w:rFonts w:hint="eastAsia"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11</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16</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bookmarkStart w:id="568" w:name="_GoBack"/>
      <w:bookmarkEnd w:id="568"/>
    </w:p>
    <w:p>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pPr>
        <w:spacing w:line="360" w:lineRule="auto"/>
        <w:rPr>
          <w:rFonts w:hint="eastAsia" w:ascii="仿宋" w:hAnsi="仿宋" w:eastAsia="仿宋" w:cs="仿宋"/>
          <w:sz w:val="24"/>
        </w:rPr>
      </w:pPr>
      <w:r>
        <w:rPr>
          <w:rFonts w:hint="eastAsia" w:ascii="仿宋" w:hAnsi="仿宋" w:eastAsia="仿宋" w:cs="仿宋"/>
          <w:b/>
          <w:sz w:val="24"/>
        </w:rPr>
        <w:t xml:space="preserve">五、公告期限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自本公告发布之日起5个工作日。</w:t>
      </w:r>
    </w:p>
    <w:p>
      <w:pPr>
        <w:spacing w:line="360" w:lineRule="auto"/>
        <w:rPr>
          <w:rFonts w:hint="eastAsia" w:ascii="仿宋" w:hAnsi="仿宋" w:eastAsia="仿宋" w:cs="仿宋"/>
          <w:b/>
          <w:sz w:val="24"/>
        </w:rPr>
      </w:pPr>
      <w:r>
        <w:rPr>
          <w:rFonts w:hint="eastAsia" w:ascii="仿宋" w:hAnsi="仿宋" w:eastAsia="仿宋" w:cs="仿宋"/>
          <w:b/>
          <w:sz w:val="24"/>
        </w:rPr>
        <w:t>六、其他补充事宜</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pPr>
        <w:spacing w:line="360" w:lineRule="auto"/>
        <w:rPr>
          <w:rFonts w:hint="eastAsia" w:ascii="仿宋" w:hAnsi="仿宋" w:eastAsia="仿宋" w:cs="仿宋"/>
          <w:sz w:val="24"/>
        </w:rPr>
      </w:pPr>
      <w:r>
        <w:rPr>
          <w:rFonts w:hint="eastAsia" w:ascii="仿宋" w:hAnsi="仿宋" w:eastAsia="仿宋" w:cs="仿宋"/>
          <w:sz w:val="24"/>
        </w:rPr>
        <w:t xml:space="preserve">    1.采购人信息</w:t>
      </w:r>
    </w:p>
    <w:p>
      <w:pPr>
        <w:spacing w:line="360" w:lineRule="auto"/>
        <w:rPr>
          <w:rFonts w:hint="eastAsia" w:ascii="仿宋" w:hAnsi="仿宋" w:eastAsia="仿宋" w:cs="仿宋"/>
          <w:sz w:val="24"/>
        </w:rPr>
      </w:pPr>
      <w:r>
        <w:rPr>
          <w:rFonts w:hint="eastAsia" w:ascii="仿宋" w:hAnsi="仿宋" w:eastAsia="仿宋" w:cs="仿宋"/>
          <w:sz w:val="24"/>
        </w:rPr>
        <w:t xml:space="preserve">    名    称：杭州市临安区於潜镇人民政府 </w:t>
      </w:r>
    </w:p>
    <w:p>
      <w:pPr>
        <w:spacing w:line="360" w:lineRule="auto"/>
        <w:rPr>
          <w:rFonts w:hint="eastAsia" w:ascii="仿宋" w:hAnsi="仿宋" w:eastAsia="仿宋" w:cs="仿宋"/>
          <w:sz w:val="24"/>
        </w:rPr>
      </w:pPr>
      <w:r>
        <w:rPr>
          <w:rFonts w:hint="eastAsia" w:ascii="仿宋" w:hAnsi="仿宋" w:eastAsia="仿宋" w:cs="仿宋"/>
          <w:sz w:val="24"/>
        </w:rPr>
        <w:t xml:space="preserve">    地    址：杭州市临安区於潜镇人民路132号       </w:t>
      </w:r>
    </w:p>
    <w:p>
      <w:pPr>
        <w:spacing w:line="360" w:lineRule="auto"/>
        <w:ind w:firstLine="480"/>
        <w:rPr>
          <w:rFonts w:hint="eastAsia" w:ascii="仿宋" w:hAnsi="仿宋" w:eastAsia="仿宋" w:cs="仿宋"/>
          <w:sz w:val="24"/>
        </w:rPr>
      </w:pPr>
      <w:r>
        <w:rPr>
          <w:rFonts w:hint="eastAsia" w:ascii="仿宋" w:hAnsi="仿宋" w:eastAsia="仿宋" w:cs="仿宋"/>
          <w:sz w:val="24"/>
        </w:rPr>
        <w:t>传    真： /</w:t>
      </w:r>
    </w:p>
    <w:p>
      <w:pPr>
        <w:spacing w:line="360" w:lineRule="auto"/>
        <w:ind w:firstLine="480"/>
        <w:rPr>
          <w:rFonts w:hint="eastAsia" w:ascii="仿宋" w:hAnsi="仿宋" w:eastAsia="仿宋" w:cs="仿宋"/>
          <w:sz w:val="24"/>
        </w:rPr>
      </w:pPr>
      <w:r>
        <w:rPr>
          <w:rFonts w:hint="eastAsia" w:ascii="仿宋" w:hAnsi="仿宋" w:eastAsia="仿宋" w:cs="仿宋"/>
          <w:sz w:val="24"/>
        </w:rPr>
        <w:t xml:space="preserve">项目联系人（询问）：刘长睿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项目联系方式（询问）：0571-63866016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质疑联系人：杨俊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质疑联系方式：0571-63866016 </w:t>
      </w:r>
    </w:p>
    <w:p>
      <w:pPr>
        <w:spacing w:line="360" w:lineRule="auto"/>
        <w:rPr>
          <w:rFonts w:hint="eastAsia" w:ascii="仿宋" w:hAnsi="仿宋" w:eastAsia="仿宋" w:cs="仿宋"/>
          <w:sz w:val="24"/>
        </w:rPr>
      </w:pPr>
      <w:r>
        <w:rPr>
          <w:rFonts w:hint="eastAsia" w:ascii="仿宋" w:hAnsi="仿宋" w:eastAsia="仿宋" w:cs="仿宋"/>
          <w:sz w:val="24"/>
        </w:rPr>
        <w:t xml:space="preserve">    2.采购代理机构信息            </w:t>
      </w:r>
    </w:p>
    <w:p>
      <w:pPr>
        <w:spacing w:line="360" w:lineRule="auto"/>
        <w:ind w:firstLine="480"/>
        <w:rPr>
          <w:rFonts w:hint="eastAsia" w:ascii="仿宋" w:hAnsi="仿宋" w:eastAsia="仿宋" w:cs="仿宋"/>
          <w:sz w:val="24"/>
        </w:rPr>
      </w:pPr>
      <w:r>
        <w:rPr>
          <w:rFonts w:hint="eastAsia" w:ascii="仿宋" w:hAnsi="仿宋" w:eastAsia="仿宋" w:cs="仿宋"/>
          <w:sz w:val="24"/>
        </w:rPr>
        <w:t>名    称：杭州市公共资源交易中心</w:t>
      </w:r>
      <w:r>
        <w:rPr>
          <w:rFonts w:hint="eastAsia" w:ascii="仿宋" w:hAnsi="仿宋" w:eastAsia="仿宋" w:cs="仿宋"/>
          <w:sz w:val="24"/>
          <w:lang w:eastAsia="zh-CN"/>
        </w:rPr>
        <w:t>临安分中心</w:t>
      </w:r>
    </w:p>
    <w:p>
      <w:pPr>
        <w:spacing w:line="360" w:lineRule="auto"/>
        <w:ind w:firstLine="480"/>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lang w:eastAsia="zh-CN"/>
        </w:rPr>
        <w:t>浙江省杭州市临安区锦北街道科技大道</w:t>
      </w:r>
      <w:r>
        <w:rPr>
          <w:rFonts w:hint="eastAsia" w:ascii="仿宋" w:hAnsi="仿宋" w:eastAsia="仿宋" w:cs="仿宋"/>
          <w:sz w:val="24"/>
          <w:lang w:val="en-US" w:eastAsia="zh-CN"/>
        </w:rPr>
        <w:t>4398号市民中心4楼</w:t>
      </w:r>
    </w:p>
    <w:p>
      <w:pPr>
        <w:spacing w:line="360" w:lineRule="auto"/>
        <w:rPr>
          <w:rFonts w:hint="eastAsia" w:ascii="仿宋" w:hAnsi="仿宋" w:eastAsia="仿宋" w:cs="仿宋"/>
          <w:sz w:val="24"/>
        </w:rPr>
      </w:pPr>
      <w:r>
        <w:rPr>
          <w:rFonts w:hint="eastAsia" w:ascii="仿宋" w:hAnsi="仿宋" w:eastAsia="仿宋" w:cs="仿宋"/>
          <w:sz w:val="24"/>
        </w:rPr>
        <w:t xml:space="preserve">    传    真：</w:t>
      </w:r>
      <w:r>
        <w:rPr>
          <w:rFonts w:hint="eastAsia" w:ascii="仿宋" w:hAnsi="仿宋" w:eastAsia="仿宋" w:cs="仿宋"/>
          <w:sz w:val="24"/>
          <w:lang w:val="en-US" w:eastAsia="zh-CN"/>
        </w:rPr>
        <w:t>0571-23616016</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项目联系人（询问）：</w:t>
      </w:r>
      <w:r>
        <w:rPr>
          <w:rFonts w:hint="eastAsia" w:ascii="仿宋" w:hAnsi="仿宋" w:eastAsia="仿宋" w:cs="仿宋"/>
          <w:sz w:val="24"/>
          <w:lang w:eastAsia="zh-CN"/>
        </w:rPr>
        <w:t>杨颖</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项目联系方式（询问）：</w:t>
      </w:r>
      <w:r>
        <w:rPr>
          <w:rFonts w:hint="eastAsia" w:ascii="仿宋" w:hAnsi="仿宋" w:eastAsia="仿宋" w:cs="仿宋"/>
          <w:sz w:val="24"/>
          <w:lang w:val="en-US" w:eastAsia="zh-CN"/>
        </w:rPr>
        <w:t>0571-23616011</w:t>
      </w:r>
    </w:p>
    <w:p>
      <w:pPr>
        <w:spacing w:line="360" w:lineRule="auto"/>
        <w:rPr>
          <w:rFonts w:hint="eastAsia" w:ascii="仿宋" w:hAnsi="仿宋" w:eastAsia="仿宋" w:cs="仿宋"/>
          <w:sz w:val="24"/>
        </w:rPr>
      </w:pPr>
      <w:r>
        <w:rPr>
          <w:rFonts w:hint="eastAsia" w:ascii="仿宋" w:hAnsi="仿宋" w:eastAsia="仿宋" w:cs="仿宋"/>
          <w:sz w:val="24"/>
        </w:rPr>
        <w:t xml:space="preserve">    质疑联系人：</w:t>
      </w:r>
      <w:r>
        <w:rPr>
          <w:rFonts w:hint="eastAsia" w:ascii="仿宋" w:hAnsi="仿宋" w:eastAsia="仿宋" w:cs="仿宋"/>
          <w:sz w:val="24"/>
          <w:lang w:eastAsia="zh-CN"/>
        </w:rPr>
        <w:t>王晖</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质疑联系方式：0571-</w:t>
      </w:r>
      <w:r>
        <w:rPr>
          <w:rFonts w:hint="eastAsia" w:ascii="仿宋" w:hAnsi="仿宋" w:eastAsia="仿宋" w:cs="仿宋"/>
          <w:sz w:val="24"/>
          <w:lang w:val="en-US" w:eastAsia="zh-CN"/>
        </w:rPr>
        <w:t>23616016</w:t>
      </w:r>
    </w:p>
    <w:p>
      <w:pPr>
        <w:spacing w:line="360" w:lineRule="auto"/>
        <w:rPr>
          <w:rFonts w:hint="eastAsia" w:ascii="仿宋" w:hAnsi="仿宋" w:eastAsia="仿宋" w:cs="仿宋"/>
          <w:sz w:val="24"/>
        </w:rPr>
      </w:pPr>
      <w:r>
        <w:rPr>
          <w:rFonts w:hint="eastAsia" w:ascii="仿宋" w:hAnsi="仿宋" w:eastAsia="仿宋" w:cs="仿宋"/>
          <w:sz w:val="24"/>
        </w:rPr>
        <w:t xml:space="preserve">    3.同级政府采购监督管理部门            </w:t>
      </w:r>
    </w:p>
    <w:p>
      <w:pPr>
        <w:spacing w:line="360" w:lineRule="auto"/>
        <w:rPr>
          <w:rFonts w:hint="eastAsia" w:ascii="仿宋" w:hAnsi="仿宋" w:eastAsia="仿宋" w:cs="仿宋"/>
          <w:sz w:val="24"/>
        </w:rPr>
      </w:pPr>
      <w:r>
        <w:rPr>
          <w:rFonts w:hint="eastAsia" w:ascii="仿宋" w:hAnsi="仿宋" w:eastAsia="仿宋" w:cs="仿宋"/>
          <w:sz w:val="24"/>
        </w:rPr>
        <w:t xml:space="preserve">    名    称：杭州市临安区财政局政府采购监督管理科 </w:t>
      </w:r>
    </w:p>
    <w:p>
      <w:pPr>
        <w:spacing w:line="360" w:lineRule="auto"/>
        <w:rPr>
          <w:rFonts w:hint="eastAsia" w:ascii="仿宋" w:hAnsi="仿宋" w:eastAsia="仿宋" w:cs="仿宋"/>
          <w:sz w:val="24"/>
        </w:rPr>
      </w:pPr>
      <w:r>
        <w:rPr>
          <w:rFonts w:hint="eastAsia" w:ascii="仿宋" w:hAnsi="仿宋" w:eastAsia="仿宋" w:cs="仿宋"/>
          <w:sz w:val="24"/>
        </w:rPr>
        <w:t xml:space="preserve">    地    址：浙江</w:t>
      </w:r>
      <w:r>
        <w:rPr>
          <w:rFonts w:hint="eastAsia" w:ascii="仿宋" w:hAnsi="仿宋" w:eastAsia="仿宋" w:cs="仿宋"/>
          <w:sz w:val="24"/>
          <w:lang w:eastAsia="zh-CN"/>
        </w:rPr>
        <w:t>省杭州市临安区锦北街道科技大道</w:t>
      </w:r>
      <w:r>
        <w:rPr>
          <w:rFonts w:hint="eastAsia" w:ascii="仿宋" w:hAnsi="仿宋" w:eastAsia="仿宋" w:cs="仿宋"/>
          <w:sz w:val="24"/>
          <w:lang w:val="en-US" w:eastAsia="zh-CN"/>
        </w:rPr>
        <w:t>4398号4号楼11楼</w:t>
      </w:r>
      <w:r>
        <w:rPr>
          <w:rFonts w:hint="eastAsia" w:ascii="仿宋" w:hAnsi="仿宋" w:eastAsia="仿宋" w:cs="仿宋"/>
          <w:sz w:val="24"/>
        </w:rPr>
        <w:t xml:space="preserve"> </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 xml:space="preserve">  传    真： 0571-63722886</w:t>
      </w:r>
    </w:p>
    <w:p>
      <w:pPr>
        <w:spacing w:line="360" w:lineRule="auto"/>
        <w:rPr>
          <w:rFonts w:hint="eastAsia" w:ascii="仿宋" w:hAnsi="仿宋" w:eastAsia="仿宋" w:cs="仿宋"/>
          <w:sz w:val="24"/>
        </w:rPr>
      </w:pPr>
      <w:r>
        <w:rPr>
          <w:rFonts w:hint="eastAsia" w:ascii="仿宋" w:hAnsi="仿宋" w:eastAsia="仿宋" w:cs="仿宋"/>
          <w:sz w:val="24"/>
        </w:rPr>
        <w:t xml:space="preserve">    联系人 ：喻先生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监督投诉电话：0571-61073953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pPr>
        <w:pStyle w:val="33"/>
        <w:spacing w:line="360" w:lineRule="auto"/>
        <w:rPr>
          <w:rFonts w:hint="eastAsia" w:ascii="仿宋" w:hAnsi="仿宋" w:eastAsia="仿宋" w:cs="仿宋"/>
          <w:sz w:val="24"/>
        </w:rPr>
      </w:pPr>
      <w:r>
        <w:rPr>
          <w:rFonts w:hint="eastAsia" w:ascii="仿宋" w:hAnsi="仿宋" w:eastAsia="仿宋" w:cs="仿宋"/>
          <w:sz w:val="24"/>
        </w:rPr>
        <w:t xml:space="preserve">                       </w:t>
      </w:r>
    </w:p>
    <w:p>
      <w:pPr>
        <w:pStyle w:val="33"/>
        <w:spacing w:line="360" w:lineRule="auto"/>
        <w:ind w:firstLine="1680" w:firstLineChars="700"/>
        <w:rPr>
          <w:rFonts w:hint="eastAsia" w:ascii="仿宋" w:hAnsi="仿宋" w:eastAsia="仿宋" w:cs="仿宋"/>
          <w:sz w:val="24"/>
        </w:rPr>
      </w:pPr>
      <w:r>
        <w:rPr>
          <w:rFonts w:hint="eastAsia" w:ascii="仿宋" w:hAnsi="仿宋" w:eastAsia="仿宋" w:cs="仿宋"/>
          <w:sz w:val="24"/>
        </w:rPr>
        <w:t xml:space="preserve"> </w:t>
      </w:r>
    </w:p>
    <w:p>
      <w:pPr>
        <w:pStyle w:val="33"/>
        <w:spacing w:line="360" w:lineRule="auto"/>
        <w:ind w:firstLine="2530" w:firstLineChars="700"/>
        <w:rPr>
          <w:rFonts w:hint="eastAsia" w:ascii="仿宋" w:hAnsi="仿宋" w:eastAsia="仿宋" w:cs="仿宋"/>
          <w:b/>
          <w:sz w:val="36"/>
          <w:szCs w:val="20"/>
        </w:rPr>
      </w:pPr>
      <w:r>
        <w:rPr>
          <w:rFonts w:hint="eastAsia" w:ascii="仿宋" w:hAnsi="仿宋" w:eastAsia="仿宋" w:cs="仿宋"/>
          <w:b/>
          <w:sz w:val="36"/>
          <w:szCs w:val="20"/>
        </w:rPr>
        <w:t xml:space="preserve"> 第二部分</w:t>
      </w:r>
      <w:bookmarkEnd w:id="8"/>
      <w:r>
        <w:rPr>
          <w:rFonts w:hint="eastAsia" w:ascii="仿宋" w:hAnsi="仿宋" w:eastAsia="仿宋" w:cs="仿宋"/>
          <w:b/>
          <w:sz w:val="36"/>
          <w:szCs w:val="20"/>
        </w:rPr>
        <w:t xml:space="preserve"> 投标人须知</w:t>
      </w:r>
      <w:bookmarkEnd w:id="9"/>
    </w:p>
    <w:p>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b/>
                <w:bCs/>
                <w:kern w:val="0"/>
                <w:sz w:val="24"/>
                <w:u w:val="single"/>
                <w:lang w:val="en-US" w:eastAsia="zh-CN"/>
              </w:rPr>
              <w:t>圆腿长方桌(小班）</w:t>
            </w:r>
            <w:r>
              <w:rPr>
                <w:rFonts w:hint="eastAsia" w:ascii="仿宋" w:hAnsi="仿宋" w:eastAsia="仿宋" w:cs="仿宋"/>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lang w:val="en-US"/>
              </w:rPr>
            </w:pPr>
            <w:r>
              <w:rPr>
                <w:rFonts w:hint="eastAsia" w:ascii="仿宋" w:hAnsi="仿宋" w:eastAsia="仿宋" w:cs="仿宋"/>
                <w:kern w:val="0"/>
                <w:sz w:val="24"/>
              </w:rPr>
              <w:t>（1）标的：</w:t>
            </w:r>
            <w:r>
              <w:rPr>
                <w:rFonts w:hint="eastAsia" w:ascii="仿宋" w:hAnsi="仿宋" w:eastAsia="仿宋" w:cs="仿宋"/>
                <w:b/>
                <w:bCs/>
                <w:kern w:val="0"/>
                <w:sz w:val="24"/>
                <w:u w:val="single"/>
                <w:lang w:eastAsia="zh-CN"/>
              </w:rPr>
              <w:t>办公家具（</w:t>
            </w:r>
            <w:r>
              <w:rPr>
                <w:rFonts w:hint="eastAsia" w:ascii="仿宋" w:hAnsi="仿宋" w:eastAsia="仿宋" w:cs="仿宋"/>
                <w:b/>
                <w:bCs/>
                <w:kern w:val="0"/>
                <w:sz w:val="24"/>
                <w:u w:val="single"/>
                <w:lang w:val="en-US" w:eastAsia="zh-CN"/>
              </w:rPr>
              <w:t>1-62项</w:t>
            </w:r>
            <w:r>
              <w:rPr>
                <w:rFonts w:hint="eastAsia" w:ascii="仿宋" w:hAnsi="仿宋" w:eastAsia="仿宋" w:cs="仿宋"/>
                <w:b/>
                <w:bCs/>
                <w:kern w:val="0"/>
                <w:sz w:val="24"/>
                <w:u w:val="single"/>
                <w:lang w:eastAsia="zh-CN"/>
              </w:rPr>
              <w:t>）、小班教室（</w:t>
            </w:r>
            <w:r>
              <w:rPr>
                <w:rFonts w:hint="eastAsia" w:ascii="仿宋" w:hAnsi="仿宋" w:eastAsia="仿宋" w:cs="仿宋"/>
                <w:b/>
                <w:bCs/>
                <w:kern w:val="0"/>
                <w:sz w:val="24"/>
                <w:u w:val="single"/>
                <w:lang w:val="en-US" w:eastAsia="zh-CN"/>
              </w:rPr>
              <w:t>1-42项</w:t>
            </w:r>
            <w:r>
              <w:rPr>
                <w:rFonts w:hint="eastAsia" w:ascii="仿宋" w:hAnsi="仿宋" w:eastAsia="仿宋" w:cs="仿宋"/>
                <w:b/>
                <w:bCs/>
                <w:kern w:val="0"/>
                <w:sz w:val="24"/>
                <w:u w:val="single"/>
                <w:lang w:eastAsia="zh-CN"/>
              </w:rPr>
              <w:t>）、中班教室（</w:t>
            </w:r>
            <w:r>
              <w:rPr>
                <w:rFonts w:hint="eastAsia" w:ascii="仿宋" w:hAnsi="仿宋" w:eastAsia="仿宋" w:cs="仿宋"/>
                <w:b/>
                <w:bCs/>
                <w:kern w:val="0"/>
                <w:sz w:val="24"/>
                <w:u w:val="single"/>
                <w:lang w:val="en-US" w:eastAsia="zh-CN"/>
              </w:rPr>
              <w:t>1-37项</w:t>
            </w:r>
            <w:r>
              <w:rPr>
                <w:rFonts w:hint="eastAsia" w:ascii="仿宋" w:hAnsi="仿宋" w:eastAsia="仿宋" w:cs="仿宋"/>
                <w:b/>
                <w:bCs/>
                <w:kern w:val="0"/>
                <w:sz w:val="24"/>
                <w:u w:val="single"/>
                <w:lang w:eastAsia="zh-CN"/>
              </w:rPr>
              <w:t>）、大班教室（</w:t>
            </w:r>
            <w:r>
              <w:rPr>
                <w:rFonts w:hint="eastAsia" w:ascii="仿宋" w:hAnsi="仿宋" w:eastAsia="仿宋" w:cs="仿宋"/>
                <w:b/>
                <w:bCs/>
                <w:kern w:val="0"/>
                <w:sz w:val="24"/>
                <w:u w:val="single"/>
                <w:lang w:val="en-US" w:eastAsia="zh-CN"/>
              </w:rPr>
              <w:t>1-30项</w:t>
            </w:r>
            <w:r>
              <w:rPr>
                <w:rFonts w:hint="eastAsia" w:ascii="仿宋" w:hAnsi="仿宋" w:eastAsia="仿宋" w:cs="仿宋"/>
                <w:b/>
                <w:bCs/>
                <w:kern w:val="0"/>
                <w:sz w:val="24"/>
                <w:u w:val="single"/>
                <w:lang w:eastAsia="zh-CN"/>
              </w:rPr>
              <w:t>）、储物柜洗手台（</w:t>
            </w:r>
            <w:r>
              <w:rPr>
                <w:rFonts w:hint="eastAsia" w:ascii="仿宋" w:hAnsi="仿宋" w:eastAsia="仿宋" w:cs="仿宋"/>
                <w:b/>
                <w:bCs/>
                <w:kern w:val="0"/>
                <w:sz w:val="24"/>
                <w:u w:val="single"/>
                <w:lang w:val="en-US" w:eastAsia="zh-CN"/>
              </w:rPr>
              <w:t>1-3项</w:t>
            </w:r>
            <w:r>
              <w:rPr>
                <w:rFonts w:hint="eastAsia" w:ascii="仿宋" w:hAnsi="仿宋" w:eastAsia="仿宋" w:cs="仿宋"/>
                <w:b/>
                <w:bCs/>
                <w:kern w:val="0"/>
                <w:sz w:val="24"/>
                <w:u w:val="single"/>
                <w:lang w:eastAsia="zh-CN"/>
              </w:rPr>
              <w:t>）</w:t>
            </w:r>
            <w:r>
              <w:rPr>
                <w:rFonts w:hint="eastAsia" w:ascii="仿宋" w:hAnsi="仿宋" w:eastAsia="仿宋" w:cs="仿宋"/>
                <w:kern w:val="0"/>
                <w:sz w:val="24"/>
                <w:u w:val="single"/>
              </w:rPr>
              <w:t xml:space="preserve"> </w:t>
            </w:r>
            <w:r>
              <w:rPr>
                <w:rFonts w:hint="eastAsia" w:ascii="仿宋" w:hAnsi="仿宋" w:eastAsia="仿宋" w:cs="仿宋"/>
                <w:kern w:val="0"/>
                <w:sz w:val="24"/>
              </w:rPr>
              <w:t>，属于</w:t>
            </w:r>
            <w:r>
              <w:rPr>
                <w:rFonts w:hint="eastAsia" w:ascii="仿宋" w:hAnsi="仿宋" w:eastAsia="仿宋" w:cs="仿宋"/>
                <w:b/>
                <w:bCs/>
                <w:kern w:val="0"/>
                <w:sz w:val="24"/>
                <w:u w:val="single"/>
                <w:lang w:eastAsia="zh-CN"/>
              </w:rPr>
              <w:t>工业</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828425707"/>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本项目不允许采购进口产品。</w:t>
            </w:r>
          </w:p>
          <w:p>
            <w:pPr>
              <w:spacing w:line="360" w:lineRule="auto"/>
              <w:rPr>
                <w:rFonts w:hint="eastAsia" w:ascii="仿宋" w:hAnsi="仿宋" w:eastAsia="仿宋" w:cs="仿宋"/>
              </w:rPr>
            </w:pPr>
            <w:sdt>
              <w:sdtPr>
                <w:rPr>
                  <w:rFonts w:hint="eastAsia" w:ascii="仿宋" w:hAnsi="仿宋" w:eastAsia="仿宋" w:cs="仿宋"/>
                  <w:kern w:val="0"/>
                  <w:sz w:val="24"/>
                </w:rPr>
                <w:id w:val="-5285282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477286927"/>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b/>
                <w:bCs/>
                <w:sz w:val="24"/>
                <w:u w:val="single"/>
                <w:lang w:eastAsia="zh-CN"/>
              </w:rPr>
              <w:t>运输、安装</w:t>
            </w:r>
            <w:r>
              <w:rPr>
                <w:rFonts w:hint="eastAsia" w:ascii="仿宋" w:hAnsi="仿宋" w:eastAsia="仿宋" w:cs="仿宋"/>
                <w:sz w:val="24"/>
                <w:u w:val="single"/>
              </w:rPr>
              <w:t xml:space="preserve"> </w:t>
            </w:r>
            <w:r>
              <w:rPr>
                <w:rFonts w:hint="eastAsia" w:ascii="仿宋" w:hAnsi="仿宋" w:eastAsia="仿宋" w:cs="仿宋"/>
                <w:sz w:val="24"/>
              </w:rPr>
              <w:t>工作分包。</w:t>
            </w:r>
            <w:sdt>
              <w:sdtPr>
                <w:rPr>
                  <w:rFonts w:hint="eastAsia" w:ascii="仿宋" w:hAnsi="仿宋" w:eastAsia="仿宋" w:cs="仿宋"/>
                  <w:kern w:val="0"/>
                  <w:sz w:val="24"/>
                </w:rPr>
                <w:id w:val="-1276331357"/>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p>
            <w:pPr>
              <w:spacing w:line="360" w:lineRule="auto"/>
              <w:rPr>
                <w:rFonts w:hint="eastAsia" w:ascii="仿宋" w:hAnsi="仿宋" w:eastAsia="仿宋" w:cs="仿宋"/>
                <w:sz w:val="24"/>
              </w:rPr>
            </w:pPr>
            <w:r>
              <w:rPr>
                <w:rFonts w:hint="eastAsia" w:ascii="仿宋" w:hAnsi="仿宋" w:eastAsia="仿宋" w:cs="仿宋"/>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212966419"/>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hint="eastAsia" w:ascii="仿宋" w:hAnsi="仿宋" w:eastAsia="仿宋" w:cs="仿宋"/>
                <w:sz w:val="24"/>
                <w:szCs w:val="20"/>
              </w:rPr>
            </w:pPr>
            <w:sdt>
              <w:sdtPr>
                <w:rPr>
                  <w:rFonts w:hint="eastAsia" w:ascii="仿宋" w:hAnsi="仿宋" w:eastAsia="仿宋" w:cs="仿宋"/>
                  <w:kern w:val="0"/>
                  <w:sz w:val="24"/>
                </w:rPr>
                <w:id w:val="-99980297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639946486"/>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A</w:t>
            </w:r>
            <w:r>
              <w:rPr>
                <w:rFonts w:hint="eastAsia" w:ascii="仿宋" w:hAnsi="仿宋" w:eastAsia="仿宋" w:cs="仿宋"/>
                <w:sz w:val="24"/>
              </w:rPr>
              <w:t>不要求提供。</w:t>
            </w:r>
          </w:p>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0268319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B要求提供，</w:t>
            </w:r>
          </w:p>
          <w:p>
            <w:pPr>
              <w:spacing w:line="360" w:lineRule="auto"/>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b/>
                <w:bCs/>
                <w:sz w:val="24"/>
                <w:szCs w:val="24"/>
                <w:highlight w:val="none"/>
                <w:u w:val="single"/>
                <w:lang w:val="en-US" w:eastAsia="zh-CN"/>
              </w:rPr>
              <w:t>1、办公桌1张；2、椅子(小班）1张；3、圆腿正方桌(小班）1张；4、四层抽拉床1张；5、90度弯柜（详见样品清单）</w:t>
            </w:r>
          </w:p>
          <w:p>
            <w:pPr>
              <w:spacing w:line="360" w:lineRule="auto"/>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napToGrid w:val="0"/>
                <w:kern w:val="28"/>
                <w:sz w:val="24"/>
                <w:u w:val="single"/>
                <w:lang w:eastAsia="zh-CN"/>
              </w:rPr>
              <w:t>详见样品清单</w:t>
            </w:r>
            <w:r>
              <w:rPr>
                <w:rFonts w:hint="eastAsia" w:ascii="仿宋" w:hAnsi="仿宋" w:eastAsia="仿宋" w:cs="仿宋"/>
                <w:kern w:val="0"/>
                <w:sz w:val="24"/>
              </w:rPr>
              <w:t>；</w:t>
            </w:r>
          </w:p>
          <w:p>
            <w:pPr>
              <w:spacing w:line="360" w:lineRule="auto"/>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pPr>
              <w:spacing w:line="360" w:lineRule="auto"/>
              <w:rPr>
                <w:rFonts w:hint="eastAsia" w:ascii="仿宋" w:hAnsi="仿宋" w:eastAsia="仿宋" w:cs="仿宋"/>
                <w:kern w:val="0"/>
                <w:sz w:val="24"/>
                <w:highlight w:val="none"/>
              </w:rPr>
            </w:pPr>
            <w:r>
              <w:rPr>
                <w:rFonts w:hint="eastAsia" w:ascii="仿宋" w:hAnsi="仿宋" w:eastAsia="仿宋" w:cs="仿宋"/>
                <w:kern w:val="0"/>
                <w:sz w:val="24"/>
              </w:rPr>
              <w:t>（4）是否需要随样品提交检测报告：</w:t>
            </w:r>
            <w:sdt>
              <w:sdtPr>
                <w:rPr>
                  <w:rFonts w:hint="eastAsia" w:ascii="仿宋" w:hAnsi="仿宋" w:eastAsia="仿宋" w:cs="仿宋"/>
                  <w:kern w:val="0"/>
                  <w:sz w:val="24"/>
                </w:rPr>
                <w:id w:val="1303421454"/>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否；</w:t>
            </w:r>
            <w:sdt>
              <w:sdtPr>
                <w:rPr>
                  <w:rFonts w:hint="eastAsia" w:ascii="仿宋" w:hAnsi="仿宋" w:eastAsia="仿宋" w:cs="仿宋"/>
                  <w:kern w:val="0"/>
                  <w:sz w:val="24"/>
                </w:rPr>
                <w:id w:val="1621728433"/>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w:t>
            </w:r>
            <w:r>
              <w:rPr>
                <w:rFonts w:hint="eastAsia" w:ascii="仿宋" w:hAnsi="仿宋" w:eastAsia="仿宋" w:cs="仿宋"/>
                <w:kern w:val="0"/>
                <w:sz w:val="24"/>
              </w:rPr>
              <w:t>；检测</w:t>
            </w:r>
            <w:r>
              <w:rPr>
                <w:rFonts w:hint="eastAsia" w:ascii="仿宋" w:hAnsi="仿宋" w:eastAsia="仿宋" w:cs="仿宋"/>
                <w:kern w:val="0"/>
                <w:sz w:val="24"/>
                <w:highlight w:val="none"/>
              </w:rPr>
              <w:t>内容</w:t>
            </w:r>
            <w:r>
              <w:rPr>
                <w:rFonts w:hint="eastAsia" w:ascii="仿宋" w:hAnsi="仿宋" w:eastAsia="仿宋" w:cs="仿宋"/>
                <w:sz w:val="24"/>
                <w:highlight w:val="none"/>
              </w:rPr>
              <w:t>：</w:t>
            </w:r>
            <w:r>
              <w:rPr>
                <w:rFonts w:hint="eastAsia" w:ascii="仿宋" w:hAnsi="仿宋" w:eastAsia="仿宋" w:cs="仿宋"/>
                <w:sz w:val="24"/>
                <w:highlight w:val="none"/>
                <w:u w:val="single"/>
                <w:lang w:val="en-US" w:eastAsia="zh-CN"/>
              </w:rPr>
              <w:t>/</w:t>
            </w:r>
            <w:r>
              <w:rPr>
                <w:rFonts w:hint="eastAsia" w:ascii="仿宋" w:hAnsi="仿宋" w:eastAsia="仿宋" w:cs="仿宋"/>
                <w:kern w:val="0"/>
                <w:sz w:val="24"/>
                <w:highlight w:val="none"/>
              </w:rPr>
              <w:t>。</w:t>
            </w:r>
            <w:r>
              <w:rPr>
                <w:rFonts w:hint="eastAsia" w:ascii="仿宋" w:hAnsi="仿宋" w:eastAsia="仿宋" w:cs="仿宋"/>
                <w:b/>
                <w:bCs/>
                <w:kern w:val="0"/>
                <w:sz w:val="24"/>
                <w:highlight w:val="none"/>
                <w:u w:val="none"/>
              </w:rPr>
              <w:t>检测报告编制在投标文件中。</w:t>
            </w:r>
          </w:p>
          <w:p>
            <w:pPr>
              <w:spacing w:line="360" w:lineRule="auto"/>
              <w:rPr>
                <w:rFonts w:hint="eastAsia" w:ascii="仿宋" w:hAnsi="仿宋" w:eastAsia="仿宋" w:cs="仿宋"/>
                <w:sz w:val="24"/>
              </w:rPr>
            </w:pPr>
            <w:r>
              <w:rPr>
                <w:rFonts w:hint="eastAsia" w:ascii="仿宋" w:hAnsi="仿宋" w:eastAsia="仿宋" w:cs="仿宋"/>
                <w:sz w:val="24"/>
                <w:highlight w:val="none"/>
              </w:rPr>
              <w:t>（5）提供样品的时间：</w:t>
            </w:r>
            <w:r>
              <w:rPr>
                <w:rFonts w:hint="eastAsia" w:ascii="仿宋" w:hAnsi="仿宋" w:eastAsia="仿宋" w:cs="仿宋"/>
                <w:b/>
                <w:bCs/>
                <w:sz w:val="24"/>
                <w:highlight w:val="none"/>
                <w:u w:val="single"/>
                <w:lang w:val="en-US" w:eastAsia="zh-CN"/>
              </w:rPr>
              <w:t>2022年11月26日 8:30:00至2022年11月26日13:30:00</w:t>
            </w:r>
            <w:r>
              <w:rPr>
                <w:rFonts w:hint="eastAsia" w:ascii="仿宋" w:hAnsi="仿宋" w:eastAsia="仿宋" w:cs="仿宋"/>
                <w:sz w:val="24"/>
                <w:highlight w:val="none"/>
                <w:lang w:val="en-US" w:eastAsia="zh-CN"/>
              </w:rPr>
              <w:t xml:space="preserve"> </w:t>
            </w:r>
            <w:r>
              <w:rPr>
                <w:rFonts w:hint="eastAsia" w:ascii="仿宋" w:hAnsi="仿宋" w:eastAsia="仿宋" w:cs="仿宋"/>
                <w:kern w:val="0"/>
                <w:sz w:val="24"/>
                <w:highlight w:val="none"/>
              </w:rPr>
              <w:t>；地点：</w:t>
            </w:r>
            <w:r>
              <w:rPr>
                <w:rFonts w:hint="eastAsia" w:ascii="仿宋" w:hAnsi="仿宋" w:eastAsia="仿宋" w:cs="仿宋"/>
                <w:b/>
                <w:bCs/>
                <w:kern w:val="0"/>
                <w:sz w:val="24"/>
                <w:highlight w:val="none"/>
                <w:u w:val="single"/>
                <w:lang w:val="en-US" w:eastAsia="zh-CN"/>
              </w:rPr>
              <w:t>浙江</w:t>
            </w:r>
            <w:r>
              <w:rPr>
                <w:rFonts w:hint="eastAsia" w:ascii="仿宋" w:hAnsi="仿宋" w:eastAsia="仿宋" w:cs="仿宋"/>
                <w:b/>
                <w:bCs/>
                <w:kern w:val="0"/>
                <w:sz w:val="24"/>
                <w:u w:val="single"/>
                <w:lang w:val="en-US" w:eastAsia="zh-CN"/>
              </w:rPr>
              <w:t xml:space="preserve">省杭州市临安区锦北街道科技大道4398号市民中心1号楼B座4楼询标室B436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b/>
                <w:bCs/>
                <w:sz w:val="24"/>
                <w:u w:val="single"/>
                <w:lang w:eastAsia="zh-CN"/>
              </w:rPr>
              <w:t>杨颖</w:t>
            </w:r>
            <w:r>
              <w:rPr>
                <w:rFonts w:hint="eastAsia" w:ascii="仿宋" w:hAnsi="仿宋" w:eastAsia="仿宋" w:cs="仿宋"/>
                <w:b/>
                <w:bCs/>
                <w:sz w:val="24"/>
                <w:u w:val="single"/>
                <w:lang w:val="en-US" w:eastAsia="zh-CN"/>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，联系电话：</w:t>
            </w:r>
            <w:r>
              <w:rPr>
                <w:rFonts w:hint="eastAsia" w:ascii="仿宋" w:hAnsi="仿宋" w:eastAsia="仿宋" w:cs="仿宋"/>
                <w:b/>
                <w:bCs/>
                <w:sz w:val="24"/>
                <w:u w:val="single"/>
                <w:lang w:val="en-US" w:eastAsia="zh-CN"/>
              </w:rPr>
              <w:t>0571-23616011</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pPr>
              <w:spacing w:line="360" w:lineRule="auto"/>
              <w:rPr>
                <w:rFonts w:hint="eastAsia" w:ascii="仿宋" w:hAnsi="仿宋" w:eastAsia="仿宋" w:cs="仿宋"/>
                <w:sz w:val="24"/>
              </w:rPr>
            </w:pPr>
            <w:r>
              <w:rPr>
                <w:rFonts w:hint="eastAsia" w:ascii="仿宋" w:hAnsi="仿宋" w:eastAsia="仿宋" w:cs="仿宋"/>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hint="eastAsia" w:ascii="仿宋" w:hAnsi="仿宋" w:eastAsia="仿宋" w:cs="仿宋"/>
                <w:b/>
                <w:sz w:val="24"/>
              </w:rPr>
            </w:pPr>
            <w:r>
              <w:rPr>
                <w:rFonts w:hint="eastAsia" w:ascii="仿宋" w:hAnsi="仿宋" w:eastAsia="仿宋" w:cs="仿宋"/>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Cs/>
                <w:sz w:val="24"/>
              </w:rPr>
            </w:pPr>
            <w:r>
              <w:rPr>
                <w:rFonts w:hint="eastAsia" w:ascii="仿宋" w:hAnsi="仿宋" w:eastAsia="仿宋" w:cs="仿宋"/>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859348549"/>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174071719"/>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B组织。</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（2）方案讲解演示可选择以下其中一种方式：</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方式一：政采云平台在线讲解演示。政采云平台在线讲解需投标人根据政采云平台操作要求做好准备工作，提前完善软硬件配置环境。</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方式二：交易中心现场讲解演示。现场讲解地点为</w:t>
            </w:r>
            <w:r>
              <w:rPr>
                <w:rFonts w:hint="eastAsia" w:ascii="仿宋" w:hAnsi="仿宋" w:eastAsia="仿宋" w:cs="仿宋"/>
                <w:sz w:val="24"/>
                <w:u w:val="single"/>
              </w:rPr>
              <w:t xml:space="preserve">    </w:t>
            </w:r>
            <w:r>
              <w:rPr>
                <w:rFonts w:hint="eastAsia" w:ascii="仿宋" w:hAnsi="仿宋" w:eastAsia="仿宋" w:cs="仿宋"/>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hint="eastAsia" w:ascii="仿宋" w:hAnsi="仿宋" w:eastAsia="仿宋" w:cs="仿宋"/>
                <w:b/>
                <w:kern w:val="0"/>
                <w:sz w:val="24"/>
                <w:lang w:val="zh-CN"/>
              </w:rPr>
            </w:pPr>
            <w:r>
              <w:rPr>
                <w:rFonts w:hint="eastAsia" w:ascii="仿宋" w:hAnsi="仿宋" w:eastAsia="仿宋" w:cs="仿宋"/>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（1）资格证明文件：见招标文件第二部分11.1。</w:t>
            </w:r>
          </w:p>
          <w:p>
            <w:pPr>
              <w:spacing w:line="360" w:lineRule="auto"/>
              <w:rPr>
                <w:rFonts w:hint="eastAsia" w:ascii="仿宋" w:hAnsi="仿宋" w:eastAsia="仿宋" w:cs="仿宋"/>
                <w:snapToGrid w:val="0"/>
                <w:kern w:val="0"/>
                <w:szCs w:val="21"/>
              </w:rPr>
            </w:pPr>
            <w:r>
              <w:rPr>
                <w:rFonts w:hint="eastAsia" w:ascii="仿宋" w:hAnsi="仿宋" w:eastAsia="仿宋" w:cs="仿宋"/>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rPr>
            </w:pPr>
            <w:r>
              <w:rPr>
                <w:rFonts w:hint="eastAsia" w:ascii="仿宋" w:hAnsi="仿宋" w:eastAsia="仿宋" w:cs="仿宋"/>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sz w:val="24"/>
              </w:rPr>
              <w:t>开标一览表（报价表）是报价的唯一载体</w:t>
            </w:r>
            <w:r>
              <w:rPr>
                <w:rFonts w:hint="eastAsia" w:ascii="仿宋" w:hAnsi="仿宋" w:eastAsia="仿宋" w:cs="仿宋"/>
                <w:kern w:val="0"/>
                <w:sz w:val="24"/>
                <w:lang w:val="zh-CN"/>
              </w:rPr>
              <w:t>。投标文件中价格全部采用人民币报价。招标文件未列明，而投标人认为必需的费用也需列入报价。</w:t>
            </w:r>
            <w:r>
              <w:rPr>
                <w:rFonts w:hint="eastAsia" w:ascii="仿宋" w:hAnsi="仿宋" w:eastAsia="仿宋" w:cs="仿宋"/>
                <w:b/>
                <w:kern w:val="0"/>
                <w:sz w:val="24"/>
                <w:lang w:val="zh-CN"/>
              </w:rPr>
              <w:t>提醒：验收时检测费用由采购人承担，不包含在投标总价中。</w:t>
            </w:r>
          </w:p>
          <w:p>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pPr>
              <w:snapToGrid w:val="0"/>
              <w:spacing w:line="360" w:lineRule="auto"/>
              <w:ind w:firstLine="241" w:firstLineChars="100"/>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投标文件出现不是唯一的、有选择性投标报价的；</w:t>
            </w:r>
          </w:p>
          <w:p>
            <w:pPr>
              <w:snapToGrid w:val="0"/>
              <w:spacing w:line="360" w:lineRule="auto"/>
              <w:ind w:firstLine="241" w:firstLineChars="100"/>
              <w:jc w:val="left"/>
              <w:rPr>
                <w:rFonts w:hint="eastAsia" w:ascii="仿宋" w:hAnsi="仿宋" w:eastAsia="仿宋" w:cs="仿宋"/>
                <w:kern w:val="0"/>
                <w:sz w:val="24"/>
                <w:lang w:val="zh-CN"/>
              </w:rPr>
            </w:pPr>
            <w:r>
              <w:rPr>
                <w:rFonts w:hint="eastAsia" w:ascii="仿宋" w:hAnsi="仿宋" w:eastAsia="仿宋" w:cs="仿宋"/>
                <w:b/>
                <w:kern w:val="0"/>
                <w:sz w:val="24"/>
                <w:lang w:val="zh-CN"/>
              </w:rPr>
              <w:t>投标报价超过招标文件中规定的预算金额或者最高限价的;</w:t>
            </w:r>
          </w:p>
          <w:p>
            <w:pPr>
              <w:spacing w:line="360" w:lineRule="auto"/>
              <w:ind w:firstLine="241" w:firstLineChars="100"/>
              <w:rPr>
                <w:rFonts w:hint="eastAsia" w:ascii="仿宋" w:hAnsi="仿宋" w:eastAsia="仿宋" w:cs="仿宋"/>
                <w:b/>
                <w:sz w:val="24"/>
              </w:rPr>
            </w:pPr>
            <w:r>
              <w:rPr>
                <w:rFonts w:hint="eastAsia" w:ascii="仿宋" w:hAnsi="仿宋" w:eastAsia="仿宋" w:cs="仿宋"/>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pPr>
              <w:spacing w:line="360" w:lineRule="auto"/>
              <w:ind w:firstLine="241" w:firstLineChars="100"/>
              <w:rPr>
                <w:rFonts w:hint="eastAsia" w:ascii="仿宋" w:hAnsi="仿宋" w:eastAsia="仿宋" w:cs="仿宋"/>
                <w:sz w:val="24"/>
              </w:rPr>
            </w:pPr>
            <w:r>
              <w:rPr>
                <w:rFonts w:hint="eastAsia" w:ascii="仿宋" w:hAnsi="仿宋" w:eastAsia="仿宋" w:cs="仿宋"/>
                <w:b/>
                <w:kern w:val="0"/>
                <w:sz w:val="24"/>
              </w:rPr>
              <w:t>投标人对根据修正原则修正后的报价不确认的</w:t>
            </w:r>
            <w:r>
              <w:rPr>
                <w:rFonts w:hint="eastAsia" w:ascii="仿宋" w:hAnsi="仿宋" w:eastAsia="仿宋" w:cs="仿宋"/>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仿宋" w:hAnsi="仿宋" w:eastAsia="仿宋" w:cs="仿宋"/>
                <w:sz w:val="24"/>
              </w:rPr>
            </w:pPr>
            <w:r>
              <w:rPr>
                <w:rFonts w:hint="eastAsia" w:ascii="仿宋" w:hAnsi="仿宋" w:eastAsia="仿宋" w:cs="仿宋"/>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tcPr>
          <w:p>
            <w:pPr>
              <w:spacing w:line="360" w:lineRule="auto"/>
              <w:ind w:firstLine="420" w:firstLineChars="200"/>
              <w:rPr>
                <w:rFonts w:hint="eastAsia" w:ascii="仿宋" w:hAnsi="仿宋" w:eastAsia="仿宋" w:cs="仿宋"/>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hint="eastAsia" w:ascii="仿宋" w:hAnsi="仿宋" w:eastAsia="仿宋" w:cs="仿宋"/>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int="eastAsia" w:ascii="仿宋" w:hAnsi="仿宋" w:eastAsia="仿宋" w:cs="仿宋"/>
                <w:kern w:val="28"/>
                <w:sz w:val="24"/>
              </w:rPr>
            </w:pPr>
            <w:r>
              <w:rPr>
                <w:rFonts w:hint="eastAsia" w:ascii="仿宋" w:hAnsi="仿宋" w:eastAsia="仿宋" w:cs="仿宋"/>
                <w:kern w:val="28"/>
                <w:sz w:val="24"/>
                <w:szCs w:val="24"/>
              </w:rPr>
              <w:t>备份投标文件送达地点：</w:t>
            </w:r>
            <w:r>
              <w:rPr>
                <w:rFonts w:hint="eastAsia" w:ascii="仿宋" w:hAnsi="仿宋" w:eastAsia="仿宋" w:cs="仿宋"/>
                <w:kern w:val="28"/>
                <w:sz w:val="24"/>
                <w:szCs w:val="24"/>
                <w:u w:val="single"/>
              </w:rPr>
              <w:t>杭州市</w:t>
            </w:r>
            <w:r>
              <w:rPr>
                <w:rFonts w:hint="eastAsia" w:ascii="仿宋" w:hAnsi="仿宋" w:eastAsia="仿宋" w:cs="仿宋"/>
                <w:kern w:val="28"/>
                <w:sz w:val="24"/>
                <w:szCs w:val="24"/>
                <w:u w:val="single"/>
                <w:lang w:eastAsia="zh-CN"/>
              </w:rPr>
              <w:t>临安区锦北街道科技大道</w:t>
            </w:r>
            <w:r>
              <w:rPr>
                <w:rFonts w:hint="eastAsia" w:ascii="仿宋" w:hAnsi="仿宋" w:eastAsia="仿宋" w:cs="仿宋"/>
                <w:kern w:val="28"/>
                <w:sz w:val="24"/>
                <w:szCs w:val="24"/>
                <w:u w:val="single"/>
                <w:lang w:val="en-US" w:eastAsia="zh-CN"/>
              </w:rPr>
              <w:t>4398号市民中心B座B448室</w:t>
            </w:r>
            <w:r>
              <w:rPr>
                <w:rFonts w:hint="eastAsia" w:ascii="仿宋" w:hAnsi="仿宋" w:eastAsia="仿宋" w:cs="仿宋"/>
                <w:kern w:val="28"/>
                <w:sz w:val="24"/>
                <w:szCs w:val="24"/>
                <w:u w:val="single"/>
              </w:rPr>
              <w:t>（杭州市公共资源交易中心</w:t>
            </w:r>
            <w:r>
              <w:rPr>
                <w:rFonts w:hint="eastAsia" w:ascii="仿宋" w:hAnsi="仿宋" w:eastAsia="仿宋" w:cs="仿宋"/>
                <w:kern w:val="28"/>
                <w:sz w:val="24"/>
                <w:szCs w:val="24"/>
                <w:u w:val="single"/>
                <w:lang w:eastAsia="zh-CN"/>
              </w:rPr>
              <w:t>临安分中心</w:t>
            </w:r>
            <w:r>
              <w:rPr>
                <w:rFonts w:hint="eastAsia" w:ascii="仿宋" w:hAnsi="仿宋" w:eastAsia="仿宋" w:cs="仿宋"/>
                <w:kern w:val="28"/>
                <w:sz w:val="24"/>
                <w:szCs w:val="24"/>
                <w:u w:val="single"/>
              </w:rPr>
              <w:t>政府采购</w:t>
            </w:r>
            <w:r>
              <w:rPr>
                <w:rFonts w:hint="eastAsia" w:ascii="仿宋" w:hAnsi="仿宋" w:eastAsia="仿宋" w:cs="仿宋"/>
                <w:kern w:val="28"/>
                <w:sz w:val="24"/>
                <w:szCs w:val="24"/>
                <w:u w:val="single"/>
                <w:lang w:eastAsia="zh-CN"/>
              </w:rPr>
              <w:t>科</w:t>
            </w:r>
            <w:r>
              <w:rPr>
                <w:rFonts w:hint="eastAsia" w:ascii="仿宋" w:hAnsi="仿宋" w:eastAsia="仿宋" w:cs="仿宋"/>
                <w:kern w:val="28"/>
                <w:sz w:val="24"/>
                <w:szCs w:val="24"/>
                <w:u w:val="single"/>
              </w:rPr>
              <w:t>） ；备份投标文件签收人员联系电话：0571-</w:t>
            </w:r>
            <w:r>
              <w:rPr>
                <w:rFonts w:hint="eastAsia" w:ascii="仿宋" w:hAnsi="仿宋" w:eastAsia="仿宋" w:cs="仿宋"/>
                <w:kern w:val="28"/>
                <w:sz w:val="24"/>
                <w:szCs w:val="24"/>
                <w:u w:val="single"/>
                <w:lang w:val="en-US" w:eastAsia="zh-CN"/>
              </w:rPr>
              <w:t>23616011</w:t>
            </w:r>
            <w:r>
              <w:rPr>
                <w:rFonts w:hint="eastAsia" w:ascii="仿宋" w:hAnsi="仿宋" w:eastAsia="仿宋" w:cs="仿宋"/>
                <w:kern w:val="28"/>
                <w:sz w:val="24"/>
                <w:szCs w:val="24"/>
                <w:u w:val="single"/>
              </w:rPr>
              <w:t>。</w:t>
            </w:r>
            <w:r>
              <w:rPr>
                <w:rFonts w:hint="eastAsia" w:ascii="仿宋" w:hAnsi="仿宋" w:eastAsia="仿宋" w:cs="仿宋"/>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kern w:val="28"/>
                <w:sz w:val="24"/>
              </w:rPr>
            </w:pPr>
            <w:r>
              <w:rPr>
                <w:rFonts w:hint="eastAsia" w:ascii="仿宋" w:hAnsi="仿宋" w:eastAsia="仿宋" w:cs="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kern w:val="28"/>
                <w:sz w:val="24"/>
              </w:rPr>
            </w:pPr>
            <w:sdt>
              <w:sdtPr>
                <w:rPr>
                  <w:rFonts w:hint="eastAsia" w:ascii="仿宋" w:hAnsi="仿宋" w:eastAsia="仿宋" w:cs="仿宋"/>
                  <w:kern w:val="0"/>
                  <w:sz w:val="24"/>
                </w:rPr>
                <w:id w:val="-369766551"/>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napToGrid w:val="0"/>
                <w:kern w:val="28"/>
                <w:sz w:val="24"/>
              </w:rPr>
              <w:t>联合体投标的，联合体各方均需按招标文件第四部分评标标准要求提供资信证明文件，否则视为不符合相关要求。</w:t>
            </w:r>
          </w:p>
          <w:p>
            <w:pPr>
              <w:spacing w:line="360" w:lineRule="auto"/>
              <w:rPr>
                <w:rFonts w:hint="eastAsia" w:ascii="仿宋" w:hAnsi="仿宋" w:eastAsia="仿宋" w:cs="仿宋"/>
                <w:snapToGrid w:val="0"/>
                <w:kern w:val="28"/>
                <w:sz w:val="24"/>
              </w:rPr>
            </w:pPr>
            <w:sdt>
              <w:sdtPr>
                <w:rPr>
                  <w:rFonts w:hint="eastAsia" w:ascii="仿宋" w:hAnsi="仿宋" w:eastAsia="仿宋" w:cs="仿宋"/>
                  <w:kern w:val="0"/>
                  <w:sz w:val="24"/>
                </w:rPr>
                <w:id w:val="105257013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snapToGrid w:val="0"/>
                <w:kern w:val="28"/>
                <w:sz w:val="24"/>
              </w:rPr>
              <w:t>联合体投标的，联合体中有一方或者联合体成员根据分工按招标文件第四部分评标标准要求提供资信证明文件的，视为符合了相关要求。</w:t>
            </w:r>
          </w:p>
        </w:tc>
      </w:tr>
    </w:tbl>
    <w:p>
      <w:pPr>
        <w:snapToGrid w:val="0"/>
        <w:spacing w:line="360" w:lineRule="auto"/>
        <w:jc w:val="center"/>
        <w:rPr>
          <w:rFonts w:hint="eastAsia" w:ascii="仿宋" w:hAnsi="仿宋" w:eastAsia="仿宋" w:cs="仿宋"/>
          <w:b/>
          <w:sz w:val="32"/>
          <w:szCs w:val="20"/>
        </w:rPr>
      </w:pPr>
    </w:p>
    <w:bookmarkEnd w:id="10"/>
    <w:p>
      <w:pPr>
        <w:adjustRightInd/>
        <w:spacing w:line="360" w:lineRule="auto"/>
        <w:ind w:firstLine="3845" w:firstLineChars="1197"/>
        <w:outlineLvl w:val="0"/>
        <w:rPr>
          <w:rFonts w:hint="eastAsia" w:ascii="仿宋" w:hAnsi="仿宋" w:eastAsia="仿宋" w:cs="仿宋"/>
          <w:b/>
          <w:sz w:val="32"/>
          <w:szCs w:val="20"/>
        </w:rPr>
      </w:pPr>
      <w:bookmarkStart w:id="13" w:name="第三部分"/>
      <w:bookmarkStart w:id="14" w:name="_Toc164416483"/>
      <w:r>
        <w:rPr>
          <w:rFonts w:hint="eastAsia" w:ascii="仿宋" w:hAnsi="仿宋" w:eastAsia="仿宋" w:cs="仿宋"/>
          <w:b/>
          <w:sz w:val="32"/>
          <w:szCs w:val="20"/>
        </w:rPr>
        <w:t>一、总则</w:t>
      </w:r>
    </w:p>
    <w:p>
      <w:pPr>
        <w:snapToGrid w:val="0"/>
        <w:spacing w:line="360" w:lineRule="auto"/>
        <w:ind w:firstLine="361" w:firstLineChars="150"/>
        <w:jc w:val="left"/>
        <w:outlineLvl w:val="1"/>
        <w:rPr>
          <w:rFonts w:hint="eastAsia" w:ascii="仿宋" w:hAnsi="仿宋" w:eastAsia="仿宋" w:cs="仿宋"/>
          <w:b/>
          <w:sz w:val="24"/>
        </w:rPr>
      </w:pPr>
      <w:r>
        <w:rPr>
          <w:rFonts w:hint="eastAsia" w:ascii="仿宋" w:hAnsi="仿宋" w:eastAsia="仿宋" w:cs="仿宋"/>
          <w:b/>
          <w:sz w:val="24"/>
        </w:rPr>
        <w:t>1. 适用范围</w:t>
      </w:r>
    </w:p>
    <w:p>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仿宋" w:hAnsi="仿宋" w:eastAsia="仿宋" w:cs="仿宋"/>
          <w:b/>
          <w:sz w:val="24"/>
        </w:rPr>
      </w:pPr>
      <w:r>
        <w:rPr>
          <w:rFonts w:hint="eastAsia" w:ascii="仿宋" w:hAnsi="仿宋" w:eastAsia="仿宋" w:cs="仿宋"/>
          <w:b/>
          <w:sz w:val="24"/>
        </w:rPr>
        <w:t xml:space="preserve">   2.定义</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“采购人”系指招标公告中载明的本项目的采购人。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“采购机构”系指招标公告中载明的本项目的采购机构。</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2.3 “投标人”系指是指响应招标、参加投标竞争的法人、其他组织或者自然人。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2.7 “▲” 系指实质性要求条款，“</w:t>
      </w:r>
      <w:sdt>
        <w:sdtPr>
          <w:rPr>
            <w:rFonts w:hint="eastAsia" w:ascii="仿宋" w:hAnsi="仿宋" w:eastAsia="仿宋" w:cs="仿宋"/>
            <w:kern w:val="0"/>
            <w:sz w:val="24"/>
          </w:rPr>
          <w:id w:val="51297023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sz w:val="24"/>
        </w:rPr>
        <w:t>” 系指适用本项目的要求，“</w:t>
      </w:r>
      <w:sdt>
        <w:sdtPr>
          <w:rPr>
            <w:rFonts w:hint="eastAsia" w:ascii="仿宋" w:hAnsi="仿宋" w:eastAsia="仿宋" w:cs="仿宋"/>
            <w:kern w:val="0"/>
            <w:sz w:val="24"/>
          </w:rPr>
          <w:id w:val="40488885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 系指不适用本项目的要求。</w:t>
      </w:r>
    </w:p>
    <w:p>
      <w:pPr>
        <w:spacing w:line="360" w:lineRule="auto"/>
        <w:ind w:firstLine="241" w:firstLineChars="100"/>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仿宋" w:hAnsi="仿宋" w:eastAsia="仿宋" w:cs="仿宋"/>
          <w:kern w:val="0"/>
          <w:sz w:val="24"/>
        </w:rPr>
        <w:t>优先采购向我国企业转让技术、与我国企业签订消化吸收再创新方案的供应商的进口产品</w:t>
      </w:r>
      <w:r>
        <w:rPr>
          <w:rFonts w:hint="eastAsia" w:ascii="仿宋" w:hAnsi="仿宋" w:eastAsia="仿宋" w:cs="仿宋"/>
          <w:sz w:val="24"/>
        </w:rPr>
        <w:t>。</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3.2 支持绿色发展</w:t>
      </w:r>
    </w:p>
    <w:p>
      <w:pPr>
        <w:spacing w:line="360" w:lineRule="auto"/>
        <w:ind w:firstLine="480" w:firstLineChars="200"/>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w:t>
      </w:r>
      <w:r>
        <w:rPr>
          <w:rFonts w:hint="eastAsia" w:ascii="仿宋" w:hAnsi="仿宋" w:eastAsia="仿宋" w:cs="仿宋"/>
          <w:sz w:val="24"/>
          <w:highlight w:val="none"/>
        </w:rPr>
        <w:t>包装和快递包装的，供应商提供产品及相关快递服务的具体包装要求要参考《商品包装政府采购需求标准（试行）》、《快递包装政府采购需求标准（试行）》。</w:t>
      </w:r>
      <w:bookmarkStart w:id="15" w:name="_Hlk107568539"/>
      <w:r>
        <w:rPr>
          <w:rFonts w:hint="eastAsia" w:ascii="仿宋" w:hAnsi="仿宋" w:eastAsia="仿宋" w:cs="仿宋"/>
          <w:sz w:val="24"/>
          <w:highlight w:val="none"/>
        </w:rPr>
        <w:t>优先采购绿色包装产品、绿色物流配送服务以及循环利用产品</w:t>
      </w:r>
      <w:bookmarkEnd w:id="15"/>
      <w:r>
        <w:rPr>
          <w:rFonts w:hint="eastAsia" w:ascii="仿宋" w:hAnsi="仿宋" w:eastAsia="仿宋" w:cs="仿宋"/>
          <w:sz w:val="24"/>
          <w:highlight w:val="none"/>
        </w:rPr>
        <w:t>。</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3.3支持中小企业发展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3.3.3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w:t>
      </w:r>
      <w:bookmarkStart w:id="16" w:name="_Hlk101132181"/>
      <w:r>
        <w:rPr>
          <w:rFonts w:hint="eastAsia" w:ascii="仿宋" w:hAnsi="仿宋" w:eastAsia="仿宋" w:cs="仿宋"/>
          <w:sz w:val="24"/>
        </w:rPr>
        <w:t>联合协议或者分包意向协议约定小微企业的合同份额占到合同总金额30%以上的</w:t>
      </w:r>
      <w:bookmarkEnd w:id="16"/>
      <w:r>
        <w:rPr>
          <w:rFonts w:hint="eastAsia" w:ascii="仿宋" w:hAnsi="仿宋" w:eastAsia="仿宋" w:cs="仿宋"/>
          <w:sz w:val="24"/>
        </w:rPr>
        <w:t>，对联合体或者大中型企业的报价给予6%的扣除，用扣除后的价格参加评审。组成联合体或者接受分包的小微企业与联合体内其他企业、分包企业之间存在直接控股、管理关系的，不享受价格扣除优惠政策。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val="en-US" w:eastAsia="zh-CN"/>
        </w:rPr>
        <w:t>6</w:t>
      </w:r>
      <w:r>
        <w:rPr>
          <w:rFonts w:hint="eastAsia" w:ascii="仿宋" w:hAnsi="仿宋" w:eastAsia="仿宋" w:cs="仿宋"/>
          <w:sz w:val="24"/>
        </w:rPr>
        <w:t>平等对待内外资企业和符合条件的破产重整企业</w:t>
      </w:r>
    </w:p>
    <w:p>
      <w:pPr>
        <w:spacing w:line="360" w:lineRule="auto"/>
        <w:ind w:firstLine="240" w:firstLineChars="100"/>
        <w:rPr>
          <w:rFonts w:hint="eastAsia" w:ascii="仿宋" w:hAnsi="仿宋" w:eastAsia="仿宋" w:cs="仿宋"/>
          <w:b/>
          <w:sz w:val="24"/>
        </w:rPr>
      </w:pPr>
      <w:r>
        <w:rPr>
          <w:rFonts w:hint="eastAsia" w:ascii="仿宋" w:hAnsi="仿宋" w:eastAsia="仿宋" w:cs="仿宋"/>
          <w:sz w:val="24"/>
        </w:rPr>
        <w:t>平等对待内外资企业和符合条件的破产重整企业，切实保障企业公平竞争，平等维护企业的合法利益。</w:t>
      </w:r>
      <w:r>
        <w:rPr>
          <w:rFonts w:hint="eastAsia" w:ascii="仿宋" w:hAnsi="仿宋" w:eastAsia="仿宋" w:cs="仿宋"/>
          <w:sz w:val="24"/>
        </w:rPr>
        <w:cr/>
      </w:r>
      <w:r>
        <w:rPr>
          <w:rFonts w:hint="eastAsia" w:ascii="仿宋" w:hAnsi="仿宋" w:eastAsia="仿宋" w:cs="仿宋"/>
          <w:b/>
          <w:sz w:val="24"/>
        </w:rPr>
        <w:t>4. 询问、质疑、投诉</w:t>
      </w:r>
    </w:p>
    <w:p>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4.1供应商询问</w:t>
      </w:r>
    </w:p>
    <w:p>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pPr>
        <w:pStyle w:val="33"/>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7"/>
        <w:spacing w:line="360" w:lineRule="auto"/>
        <w:ind w:firstLine="480" w:firstLineChars="200"/>
        <w:rPr>
          <w:rFonts w:hint="eastAsia" w:ascii="仿宋" w:hAnsi="仿宋" w:eastAsia="仿宋" w:cs="仿宋"/>
          <w:snapToGrid/>
          <w:color w:val="auto"/>
          <w:kern w:val="2"/>
          <w:sz w:val="24"/>
        </w:rPr>
      </w:pPr>
      <w:r>
        <w:rPr>
          <w:rFonts w:hint="eastAsia" w:ascii="仿宋" w:hAnsi="仿宋" w:eastAsia="仿宋" w:cs="仿宋"/>
          <w:snapToGrid/>
          <w:color w:val="auto"/>
          <w:kern w:val="2"/>
          <w:sz w:val="24"/>
        </w:rPr>
        <w:t>4.2.2.1对招标文件提出质疑的，质疑期限为供应商获得招标文件之日或者招标文件公告期限届满之日起计算。</w:t>
      </w:r>
    </w:p>
    <w:p>
      <w:pPr>
        <w:pStyle w:val="33"/>
        <w:spacing w:line="360" w:lineRule="auto"/>
        <w:ind w:left="479" w:leftChars="228"/>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4.2.2.2对采购过程提出质疑的，质疑期限为各采购程序环节结束之日起计算。4.2.2.3对采购结果提出质疑的，质疑期限自采购结果公告期限届满之日起计算。</w:t>
      </w:r>
    </w:p>
    <w:p>
      <w:pPr>
        <w:pStyle w:val="33"/>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pPr>
        <w:pStyle w:val="33"/>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4.2.3.1供应商的姓名或者名称、地址、邮编、联系人及联系电话；</w:t>
      </w:r>
    </w:p>
    <w:p>
      <w:pPr>
        <w:pStyle w:val="33"/>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4.2.3.2质疑项目的名称、编号；</w:t>
      </w:r>
    </w:p>
    <w:p>
      <w:pPr>
        <w:pStyle w:val="33"/>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4.2.3.3具体、明确的质疑事项和与质疑事项相关的请求；</w:t>
      </w:r>
    </w:p>
    <w:p>
      <w:pPr>
        <w:pStyle w:val="33"/>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4.2.3.4事实依据；</w:t>
      </w:r>
    </w:p>
    <w:p>
      <w:pPr>
        <w:pStyle w:val="33"/>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4.2.3.5必要的法律依据；</w:t>
      </w:r>
    </w:p>
    <w:p>
      <w:pPr>
        <w:pStyle w:val="33"/>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4.2.3.6提出质疑的日期。</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质疑函范本及制作说明详见附件2。</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4.2.4对同一采购程序环节的质疑，供应商须在法定质疑期内一次性提出。</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4.2</w:t>
      </w:r>
      <w:r>
        <w:rPr>
          <w:rFonts w:hint="eastAsia" w:ascii="仿宋" w:hAnsi="仿宋" w:eastAsia="仿宋" w:cs="仿宋"/>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4.2</w:t>
      </w:r>
      <w:r>
        <w:rPr>
          <w:rFonts w:hint="eastAsia" w:ascii="仿宋" w:hAnsi="仿宋" w:eastAsia="仿宋" w:cs="仿宋"/>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lang w:val="zh-CN"/>
        </w:rPr>
      </w:pPr>
      <w:r>
        <w:rPr>
          <w:rFonts w:hint="eastAsia" w:ascii="仿宋" w:hAnsi="仿宋" w:eastAsia="仿宋" w:cs="仿宋"/>
          <w:lang w:val="zh-CN"/>
        </w:rPr>
        <w:t>4.3供应商投诉</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4.3.1质疑供应商对采购人、采购机构的答复不满意或者采购人、采购机构未在规定的时间内作出答复的，可以在答复期满后十五个工作日内向同级政府采购监督管理部门提出投诉。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4.3.3供应商投诉应当有明确的请求和必要的证明材料。</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4.3.5 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投诉书范本及制作说明详见附件3。</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4.4在线质疑、投诉。</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rPr>
      </w:pPr>
      <w:r>
        <w:rPr>
          <w:rFonts w:hint="eastAsia" w:ascii="仿宋" w:hAnsi="仿宋" w:eastAsia="仿宋" w:cs="仿宋"/>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28"/>
        <w:snapToGrid w:val="0"/>
        <w:spacing w:before="0"/>
        <w:ind w:firstLine="360"/>
        <w:rPr>
          <w:rFonts w:hint="eastAsia" w:ascii="仿宋" w:hAnsi="仿宋" w:eastAsia="仿宋" w:cs="仿宋"/>
          <w:sz w:val="18"/>
          <w:szCs w:val="18"/>
        </w:rPr>
      </w:pPr>
    </w:p>
    <w:p>
      <w:pPr>
        <w:adjustRightInd/>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 xml:space="preserve">      二、招标文件的构成、澄清、修改</w:t>
      </w:r>
    </w:p>
    <w:p>
      <w:pPr>
        <w:pStyle w:val="33"/>
        <w:spacing w:line="360" w:lineRule="auto"/>
        <w:rPr>
          <w:rFonts w:hint="eastAsia" w:ascii="仿宋" w:hAnsi="仿宋" w:eastAsia="仿宋" w:cs="仿宋"/>
          <w:b/>
          <w:sz w:val="24"/>
          <w:szCs w:val="24"/>
        </w:rPr>
      </w:pPr>
      <w:r>
        <w:rPr>
          <w:rFonts w:hint="eastAsia" w:ascii="仿宋" w:hAnsi="仿宋" w:eastAsia="仿宋" w:cs="仿宋"/>
          <w:b/>
          <w:sz w:val="24"/>
          <w:szCs w:val="24"/>
        </w:rPr>
        <w:t>5．招标文件的构成</w:t>
      </w:r>
    </w:p>
    <w:p>
      <w:pPr>
        <w:pStyle w:val="33"/>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5.1 招标文件包括下列文件及附件：</w:t>
      </w:r>
    </w:p>
    <w:p>
      <w:pPr>
        <w:pStyle w:val="33"/>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5.1.1招标公告；</w:t>
      </w:r>
    </w:p>
    <w:p>
      <w:pPr>
        <w:pStyle w:val="33"/>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5.1.2投标人须知；</w:t>
      </w:r>
    </w:p>
    <w:p>
      <w:pPr>
        <w:pStyle w:val="33"/>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5.1.3采购需求；</w:t>
      </w:r>
    </w:p>
    <w:p>
      <w:pPr>
        <w:pStyle w:val="33"/>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5.1.4评标办法；</w:t>
      </w:r>
    </w:p>
    <w:p>
      <w:pPr>
        <w:pStyle w:val="33"/>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5.1.5拟签订的合同文本；</w:t>
      </w:r>
    </w:p>
    <w:p>
      <w:pPr>
        <w:pStyle w:val="33"/>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澄清或者修改的内容为招标文件的组成部分</w:t>
      </w:r>
      <w:r>
        <w:rPr>
          <w:rFonts w:hint="eastAsia" w:ascii="仿宋" w:hAnsi="仿宋" w:eastAsia="仿宋" w:cs="仿宋"/>
          <w:sz w:val="24"/>
        </w:rPr>
        <w:t>。</w:t>
      </w:r>
    </w:p>
    <w:p>
      <w:pPr>
        <w:pStyle w:val="33"/>
        <w:spacing w:line="360" w:lineRule="auto"/>
        <w:rPr>
          <w:rFonts w:hint="eastAsia" w:ascii="仿宋" w:hAnsi="仿宋" w:eastAsia="仿宋" w:cs="仿宋"/>
          <w:b/>
          <w:sz w:val="24"/>
          <w:szCs w:val="24"/>
        </w:rPr>
      </w:pPr>
      <w:r>
        <w:rPr>
          <w:rFonts w:hint="eastAsia" w:ascii="仿宋" w:hAnsi="仿宋" w:eastAsia="仿宋" w:cs="仿宋"/>
          <w:b/>
          <w:sz w:val="24"/>
          <w:szCs w:val="24"/>
        </w:rPr>
        <w:t>6. 招标文件的澄清、修改</w:t>
      </w:r>
    </w:p>
    <w:p>
      <w:pPr>
        <w:pStyle w:val="128"/>
        <w:snapToGrid w:val="0"/>
        <w:spacing w:before="0"/>
        <w:ind w:firstLine="480"/>
        <w:rPr>
          <w:rFonts w:hint="eastAsia" w:ascii="仿宋" w:hAnsi="仿宋" w:eastAsia="仿宋" w:cs="仿宋"/>
        </w:rPr>
      </w:pPr>
      <w:r>
        <w:rPr>
          <w:rFonts w:hint="eastAsia" w:ascii="仿宋" w:hAnsi="仿宋" w:eastAsia="仿宋" w:cs="仿宋"/>
        </w:rPr>
        <w:t>6.1已获取招标文件的潜在投标人，若有问题需要澄清，应于投标截止时间前，以书面形式向采购机构提出。</w:t>
      </w:r>
    </w:p>
    <w:p>
      <w:pPr>
        <w:pStyle w:val="128"/>
        <w:snapToGrid w:val="0"/>
        <w:spacing w:before="0"/>
        <w:ind w:firstLine="480"/>
        <w:rPr>
          <w:rFonts w:hint="eastAsia" w:ascii="仿宋" w:hAnsi="仿宋" w:eastAsia="仿宋" w:cs="仿宋"/>
        </w:rPr>
      </w:pPr>
      <w:r>
        <w:rPr>
          <w:rFonts w:hint="eastAsia" w:ascii="仿宋" w:hAnsi="仿宋" w:eastAsia="仿宋" w:cs="仿宋"/>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5"/>
        <w:rPr>
          <w:rFonts w:hint="eastAsia" w:ascii="仿宋" w:hAnsi="仿宋" w:eastAsia="仿宋" w:cs="仿宋"/>
          <w:sz w:val="18"/>
          <w:szCs w:val="18"/>
          <w:lang w:val="en-US"/>
        </w:rPr>
      </w:pPr>
      <w:r>
        <w:rPr>
          <w:rFonts w:hint="eastAsia" w:ascii="仿宋" w:hAnsi="仿宋" w:eastAsia="仿宋" w:cs="仿宋"/>
          <w:szCs w:val="24"/>
          <w:lang w:val="en-US"/>
        </w:rPr>
        <w:t xml:space="preserve">    </w:t>
      </w:r>
    </w:p>
    <w:p>
      <w:pPr>
        <w:adjustRightInd/>
        <w:spacing w:line="360" w:lineRule="auto"/>
        <w:jc w:val="center"/>
        <w:outlineLvl w:val="0"/>
        <w:rPr>
          <w:rFonts w:hint="eastAsia" w:ascii="仿宋" w:hAnsi="仿宋" w:eastAsia="仿宋" w:cs="仿宋"/>
          <w:b/>
          <w:sz w:val="30"/>
          <w:szCs w:val="20"/>
        </w:rPr>
      </w:pPr>
      <w:r>
        <w:rPr>
          <w:rFonts w:hint="eastAsia" w:ascii="仿宋" w:hAnsi="仿宋" w:eastAsia="仿宋" w:cs="仿宋"/>
          <w:b/>
          <w:sz w:val="30"/>
          <w:szCs w:val="20"/>
        </w:rPr>
        <w:t>三、投标</w:t>
      </w:r>
    </w:p>
    <w:p>
      <w:pPr>
        <w:pStyle w:val="33"/>
        <w:spacing w:line="360" w:lineRule="auto"/>
        <w:rPr>
          <w:rFonts w:hint="eastAsia" w:ascii="仿宋" w:hAnsi="仿宋" w:eastAsia="仿宋" w:cs="仿宋"/>
          <w:b/>
          <w:sz w:val="24"/>
          <w:szCs w:val="24"/>
        </w:rPr>
      </w:pPr>
      <w:r>
        <w:rPr>
          <w:rFonts w:hint="eastAsia" w:ascii="仿宋" w:hAnsi="仿宋" w:eastAsia="仿宋" w:cs="仿宋"/>
          <w:b/>
          <w:sz w:val="24"/>
          <w:szCs w:val="24"/>
        </w:rPr>
        <w:t>7. 招标文件的获取</w:t>
      </w:r>
    </w:p>
    <w:p>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pPr>
        <w:pStyle w:val="33"/>
        <w:spacing w:line="360" w:lineRule="auto"/>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pPr>
        <w:pStyle w:val="33"/>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pPr>
        <w:pStyle w:val="33"/>
        <w:spacing w:line="360" w:lineRule="auto"/>
        <w:rPr>
          <w:rFonts w:hint="eastAsia" w:ascii="仿宋" w:hAnsi="仿宋" w:eastAsia="仿宋" w:cs="仿宋"/>
          <w:b/>
          <w:szCs w:val="24"/>
        </w:rPr>
      </w:pPr>
      <w:r>
        <w:rPr>
          <w:rFonts w:hint="eastAsia" w:ascii="仿宋" w:hAnsi="仿宋" w:eastAsia="仿宋" w:cs="仿宋"/>
          <w:b/>
          <w:kern w:val="28"/>
          <w:sz w:val="24"/>
          <w:szCs w:val="24"/>
        </w:rPr>
        <w:t>9.投标保证金</w:t>
      </w:r>
    </w:p>
    <w:p>
      <w:pPr>
        <w:pStyle w:val="7"/>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pPr>
        <w:pStyle w:val="33"/>
        <w:spacing w:line="360" w:lineRule="auto"/>
        <w:rPr>
          <w:rFonts w:hint="eastAsia" w:ascii="仿宋" w:hAnsi="仿宋" w:eastAsia="仿宋" w:cs="仿宋"/>
          <w:b/>
          <w:sz w:val="24"/>
          <w:szCs w:val="24"/>
        </w:rPr>
      </w:pPr>
      <w:r>
        <w:rPr>
          <w:rFonts w:hint="eastAsia" w:ascii="仿宋" w:hAnsi="仿宋" w:eastAsia="仿宋" w:cs="仿宋"/>
          <w:b/>
          <w:sz w:val="24"/>
          <w:szCs w:val="24"/>
        </w:rPr>
        <w:t>10. 投标文件的语言</w:t>
      </w:r>
    </w:p>
    <w:p>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pPr>
        <w:pStyle w:val="33"/>
        <w:spacing w:line="360" w:lineRule="auto"/>
        <w:rPr>
          <w:rFonts w:hint="eastAsia" w:ascii="仿宋" w:hAnsi="仿宋" w:eastAsia="仿宋" w:cs="仿宋"/>
          <w:b/>
          <w:sz w:val="24"/>
          <w:szCs w:val="24"/>
        </w:rPr>
      </w:pPr>
      <w:r>
        <w:rPr>
          <w:rFonts w:hint="eastAsia" w:ascii="仿宋" w:hAnsi="仿宋" w:eastAsia="仿宋" w:cs="仿宋"/>
          <w:b/>
          <w:sz w:val="24"/>
          <w:szCs w:val="24"/>
        </w:rPr>
        <w:t>11. 投标文件的组成</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11.1</w:t>
      </w:r>
      <w:r>
        <w:rPr>
          <w:rFonts w:hint="eastAsia" w:ascii="仿宋" w:hAnsi="仿宋" w:eastAsia="仿宋" w:cs="仿宋"/>
          <w:b/>
          <w:sz w:val="24"/>
        </w:rPr>
        <w:t>资格文件</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11.1.2</w:t>
      </w:r>
      <w:bookmarkStart w:id="17" w:name="_Hlk101259339"/>
      <w:r>
        <w:rPr>
          <w:rFonts w:hint="eastAsia" w:ascii="仿宋" w:hAnsi="仿宋" w:eastAsia="仿宋" w:cs="仿宋"/>
          <w:snapToGrid w:val="0"/>
          <w:kern w:val="28"/>
          <w:sz w:val="24"/>
          <w:szCs w:val="20"/>
        </w:rPr>
        <w:t>联合协议</w:t>
      </w:r>
      <w:bookmarkStart w:id="18" w:name="_Hlk101257010"/>
      <w:r>
        <w:rPr>
          <w:rFonts w:hint="eastAsia" w:ascii="仿宋" w:hAnsi="仿宋" w:eastAsia="仿宋" w:cs="仿宋"/>
          <w:snapToGrid w:val="0"/>
          <w:kern w:val="28"/>
          <w:sz w:val="24"/>
          <w:szCs w:val="20"/>
        </w:rPr>
        <w:t>（如果有)</w:t>
      </w:r>
      <w:bookmarkEnd w:id="17"/>
      <w:bookmarkEnd w:id="18"/>
      <w:r>
        <w:rPr>
          <w:rFonts w:hint="eastAsia" w:ascii="仿宋" w:hAnsi="仿宋" w:eastAsia="仿宋" w:cs="仿宋"/>
          <w:snapToGrid w:val="0"/>
          <w:kern w:val="28"/>
          <w:sz w:val="24"/>
          <w:szCs w:val="20"/>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11.1.3落实政府采购政策需满足的资格要求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11.1.4本项目的特定资格要求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11.2.3分包意向协议</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11.2.4符合性审查资料；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11.2.5评标标准相应的商务技术资料；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11.2.6投标标的清单；</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11.2.7商务技术偏离表；</w:t>
      </w:r>
    </w:p>
    <w:p>
      <w:pPr>
        <w:snapToGrid w:val="0"/>
        <w:spacing w:line="360" w:lineRule="auto"/>
        <w:ind w:firstLine="960" w:firstLineChars="400"/>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360" w:lineRule="auto"/>
        <w:ind w:firstLine="480" w:firstLineChars="200"/>
        <w:rPr>
          <w:rFonts w:hint="eastAsia" w:ascii="仿宋" w:hAnsi="仿宋" w:eastAsia="仿宋" w:cs="仿宋"/>
          <w:sz w:val="24"/>
          <w:u w:val="single"/>
          <w:lang w:val="zh-CN"/>
        </w:rPr>
      </w:pPr>
      <w:r>
        <w:rPr>
          <w:rFonts w:hint="eastAsia" w:ascii="仿宋" w:hAnsi="仿宋" w:eastAsia="仿宋" w:cs="仿宋"/>
          <w:kern w:val="0"/>
          <w:sz w:val="24"/>
          <w:lang w:val="zh-CN"/>
        </w:rPr>
        <w:t>11.</w:t>
      </w:r>
      <w:r>
        <w:rPr>
          <w:rFonts w:hint="eastAsia" w:ascii="仿宋" w:hAnsi="仿宋" w:eastAsia="仿宋" w:cs="仿宋"/>
          <w:kern w:val="0"/>
          <w:sz w:val="24"/>
        </w:rPr>
        <w:t>3</w:t>
      </w:r>
      <w:r>
        <w:rPr>
          <w:rFonts w:hint="eastAsia" w:ascii="仿宋" w:hAnsi="仿宋" w:eastAsia="仿宋" w:cs="仿宋"/>
          <w:b/>
          <w:sz w:val="24"/>
        </w:rPr>
        <w:t>报价文件：</w:t>
      </w:r>
      <w:r>
        <w:rPr>
          <w:rFonts w:hint="eastAsia" w:ascii="仿宋" w:hAnsi="仿宋" w:eastAsia="仿宋" w:cs="仿宋"/>
          <w:sz w:val="24"/>
        </w:rPr>
        <w:t xml:space="preserve"> </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11.3.1开标一览表（报价表）；</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11.3.2中小企业声明函。</w:t>
      </w:r>
    </w:p>
    <w:p>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投标文件含有采购人不能接受的附加条件的，投标无效；</w:t>
      </w:r>
    </w:p>
    <w:p>
      <w:pPr>
        <w:spacing w:line="360" w:lineRule="auto"/>
        <w:ind w:firstLine="723" w:firstLineChars="300"/>
        <w:rPr>
          <w:rFonts w:hint="eastAsia" w:ascii="仿宋" w:hAnsi="仿宋" w:eastAsia="仿宋" w:cs="仿宋"/>
          <w:b/>
          <w:sz w:val="24"/>
          <w:szCs w:val="21"/>
        </w:rPr>
      </w:pPr>
      <w:r>
        <w:rPr>
          <w:rFonts w:hint="eastAsia" w:ascii="仿宋" w:hAnsi="仿宋" w:eastAsia="仿宋" w:cs="仿宋"/>
          <w:b/>
          <w:sz w:val="24"/>
        </w:rPr>
        <w:t>投标人提供虚假材料投标的，投标无效。</w:t>
      </w:r>
    </w:p>
    <w:p>
      <w:pPr>
        <w:pStyle w:val="128"/>
        <w:snapToGrid w:val="0"/>
        <w:spacing w:before="0"/>
        <w:ind w:firstLine="0" w:firstLineChars="0"/>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sz w:val="24"/>
        </w:rPr>
      </w:pPr>
      <w:r>
        <w:rPr>
          <w:rFonts w:hint="eastAsia" w:ascii="仿宋" w:hAnsi="仿宋" w:eastAsia="仿宋" w:cs="仿宋"/>
          <w:b/>
          <w:sz w:val="24"/>
        </w:rPr>
        <w:t>13.投标文件的签署、盖章</w:t>
      </w:r>
    </w:p>
    <w:p>
      <w:pPr>
        <w:pStyle w:val="128"/>
        <w:snapToGrid w:val="0"/>
        <w:spacing w:before="0"/>
        <w:ind w:firstLine="480"/>
        <w:rPr>
          <w:rFonts w:hint="eastAsia"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pPr>
        <w:pStyle w:val="128"/>
        <w:snapToGrid w:val="0"/>
        <w:spacing w:before="0"/>
        <w:ind w:firstLine="480"/>
        <w:rPr>
          <w:rFonts w:hint="eastAsia"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hint="eastAsia" w:ascii="仿宋" w:hAnsi="仿宋" w:eastAsia="仿宋" w:cs="仿宋"/>
          <w:szCs w:val="24"/>
        </w:rPr>
      </w:pPr>
      <w:r>
        <w:rPr>
          <w:rFonts w:hint="eastAsia" w:ascii="仿宋" w:hAnsi="仿宋" w:eastAsia="仿宋" w:cs="仿宋"/>
        </w:rPr>
        <w:t>13.3招标文件对投标文件签署、盖章的要求适用于电子签名。</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14. 投标文件的提交、补充、修改、撤回</w:t>
      </w:r>
    </w:p>
    <w:p>
      <w:pPr>
        <w:pStyle w:val="128"/>
        <w:ind w:firstLine="480"/>
        <w:rPr>
          <w:rFonts w:hint="eastAsia"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hint="eastAsia" w:ascii="仿宋" w:hAnsi="仿宋" w:eastAsia="仿宋" w:cs="仿宋"/>
          <w:szCs w:val="24"/>
        </w:rPr>
      </w:pPr>
      <w:r>
        <w:rPr>
          <w:rFonts w:hint="eastAsia" w:ascii="仿宋" w:hAnsi="仿宋" w:eastAsia="仿宋" w:cs="仿宋"/>
          <w:szCs w:val="24"/>
        </w:rPr>
        <w:t>14.3采购人、采购机构可以视情况延长投标文件提交的截止时间。在上述情况下，采购机构与投标人以前在投标截止期方面的全部权利、责任和义务，将适用于延长至新的投标截止期。</w:t>
      </w:r>
    </w:p>
    <w:p>
      <w:pPr>
        <w:pStyle w:val="33"/>
        <w:spacing w:line="360" w:lineRule="auto"/>
        <w:rPr>
          <w:rFonts w:hint="eastAsia" w:ascii="仿宋" w:hAnsi="仿宋" w:eastAsia="仿宋" w:cs="仿宋"/>
          <w:b/>
          <w:sz w:val="24"/>
          <w:szCs w:val="24"/>
        </w:rPr>
      </w:pPr>
      <w:r>
        <w:rPr>
          <w:rFonts w:hint="eastAsia" w:ascii="仿宋" w:hAnsi="仿宋" w:eastAsia="仿宋" w:cs="仿宋"/>
          <w:b/>
          <w:sz w:val="24"/>
          <w:szCs w:val="24"/>
        </w:rPr>
        <w:t>15.备份投标文件</w:t>
      </w:r>
    </w:p>
    <w:p>
      <w:pPr>
        <w:pStyle w:val="33"/>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仿宋"/>
          <w:b/>
          <w:sz w:val="24"/>
          <w:szCs w:val="24"/>
        </w:rPr>
        <w:t>但采购人、采购机构不强制或变相强制投标人提交备份投标文件。</w:t>
      </w:r>
    </w:p>
    <w:p>
      <w:pPr>
        <w:pStyle w:val="33"/>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15.2备份投标文件须在“政采云投标客户端”制作生成，并储存在</w:t>
      </w:r>
      <w:r>
        <w:rPr>
          <w:rFonts w:hint="eastAsia" w:ascii="仿宋" w:hAnsi="仿宋" w:eastAsia="仿宋" w:cs="仿宋"/>
          <w:sz w:val="24"/>
        </w:rPr>
        <w:t>DVD光盘</w:t>
      </w:r>
      <w:r>
        <w:rPr>
          <w:rFonts w:hint="eastAsia" w:ascii="仿宋" w:hAnsi="仿宋" w:eastAsia="仿宋" w:cs="仿宋"/>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z w:val="24"/>
        </w:rPr>
        <w:t>不符合上述制作、</w:t>
      </w:r>
      <w:r>
        <w:rPr>
          <w:rFonts w:hint="eastAsia" w:ascii="仿宋" w:hAnsi="仿宋" w:eastAsia="仿宋" w:cs="仿宋"/>
          <w:b/>
          <w:sz w:val="24"/>
          <w:szCs w:val="24"/>
        </w:rPr>
        <w:t>存储、密封规定的备份投标文件将被视为无效或者被拒绝接收。</w:t>
      </w:r>
    </w:p>
    <w:p>
      <w:pPr>
        <w:pStyle w:val="33"/>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15.3直接提交备份投标文件的，投标人应于投标截止时间前在招标公告中载明的开标地点将备份投标文件提交给采购机构，采购机构将拒绝接受逾期送达的备份投标文件。</w:t>
      </w:r>
    </w:p>
    <w:p>
      <w:pPr>
        <w:pStyle w:val="33"/>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sz w:val="24"/>
          <w:szCs w:val="24"/>
        </w:rPr>
        <w:t>招标文件第二部分投标人须知前附表规定的备份投标文件送达地点；</w:t>
      </w:r>
      <w:r>
        <w:rPr>
          <w:rFonts w:hint="eastAsia" w:ascii="仿宋" w:hAnsi="仿宋" w:eastAsia="仿宋" w:cs="仿宋"/>
          <w:sz w:val="24"/>
          <w:szCs w:val="24"/>
        </w:rPr>
        <w:t>送达时间以签收人签收时间为准。采购机构将拒绝接受逾期送达的备份投标文件。邮寄过程中，电子备份投标文件发生泄露、遗失、损坏或延期送达等情况的，由投标人自行负责。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hint="eastAsia" w:ascii="仿宋" w:hAnsi="仿宋" w:eastAsia="仿宋" w:cs="仿宋"/>
          <w:b/>
          <w:sz w:val="24"/>
          <w:szCs w:val="24"/>
        </w:rPr>
      </w:pPr>
      <w:r>
        <w:rPr>
          <w:rFonts w:hint="eastAsia" w:ascii="仿宋" w:hAnsi="仿宋" w:eastAsia="仿宋" w:cs="仿宋"/>
          <w:b/>
          <w:sz w:val="24"/>
          <w:szCs w:val="24"/>
        </w:rPr>
        <w:t>15.5投标人仅提交备份投标文件，未在电子交易平台传输递交投标文件的，投标无效。</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16.投标文件的无效处理</w:t>
      </w:r>
    </w:p>
    <w:p>
      <w:pPr>
        <w:pStyle w:val="2"/>
        <w:spacing w:line="360" w:lineRule="auto"/>
        <w:ind w:firstLine="360" w:firstLineChars="150"/>
        <w:rPr>
          <w:rFonts w:hint="eastAsia"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4.2规定</w:t>
      </w:r>
      <w:r>
        <w:rPr>
          <w:rFonts w:hint="eastAsia" w:ascii="仿宋" w:hAnsi="仿宋" w:eastAsia="仿宋" w:cs="仿宋"/>
          <w:szCs w:val="21"/>
        </w:rPr>
        <w:t>的情形之一的，投标无效：</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17.投标有效期</w:t>
      </w:r>
    </w:p>
    <w:p>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pPr>
        <w:pStyle w:val="128"/>
        <w:spacing w:before="0"/>
        <w:ind w:firstLine="480"/>
        <w:rPr>
          <w:rFonts w:hint="eastAsia" w:ascii="仿宋" w:hAnsi="仿宋" w:eastAsia="仿宋" w:cs="仿宋"/>
        </w:rPr>
      </w:pPr>
      <w:r>
        <w:rPr>
          <w:rFonts w:hint="eastAsia" w:ascii="仿宋" w:hAnsi="仿宋" w:eastAsia="仿宋" w:cs="仿宋"/>
        </w:rPr>
        <w:t>17.2投标文件合格投递后，自投标截止日期起，在投标有效期内有效。</w:t>
      </w:r>
    </w:p>
    <w:p>
      <w:pPr>
        <w:pStyle w:val="128"/>
        <w:spacing w:before="0"/>
        <w:ind w:firstLine="480"/>
        <w:rPr>
          <w:rFonts w:hint="eastAsia" w:ascii="仿宋" w:hAnsi="仿宋" w:eastAsia="仿宋" w:cs="仿宋"/>
        </w:rPr>
      </w:pPr>
      <w:r>
        <w:rPr>
          <w:rFonts w:hint="eastAsia" w:ascii="仿宋" w:hAnsi="仿宋" w:eastAsia="仿宋" w:cs="仿宋"/>
        </w:rPr>
        <w:t>17.3在原定投标有效期满之前，如果出现特殊情况，采购机构可以以书面形式通知投标人延长投标有效期。投标人同意延长的，不得要求或被允许修改其投标文件，投标人拒绝延长的，其投标无效。</w:t>
      </w:r>
    </w:p>
    <w:p>
      <w:pPr>
        <w:pStyle w:val="128"/>
        <w:spacing w:before="0"/>
        <w:ind w:firstLine="643"/>
        <w:rPr>
          <w:rFonts w:hint="eastAsia" w:ascii="仿宋" w:hAnsi="仿宋" w:eastAsia="仿宋" w:cs="仿宋"/>
          <w:b/>
          <w:sz w:val="32"/>
        </w:rPr>
      </w:pPr>
    </w:p>
    <w:p>
      <w:pPr>
        <w:pStyle w:val="128"/>
        <w:spacing w:before="0"/>
        <w:ind w:firstLine="1928" w:firstLineChars="600"/>
        <w:rPr>
          <w:rFonts w:hint="eastAsia" w:ascii="仿宋" w:hAnsi="仿宋" w:eastAsia="仿宋" w:cs="仿宋"/>
          <w:b/>
          <w:sz w:val="32"/>
        </w:rPr>
      </w:pPr>
      <w:r>
        <w:rPr>
          <w:rFonts w:hint="eastAsia" w:ascii="仿宋" w:hAnsi="仿宋" w:eastAsia="仿宋" w:cs="仿宋"/>
          <w:b/>
          <w:sz w:val="32"/>
        </w:rPr>
        <w:t>四、开标、资格审查与信用信息查询</w:t>
      </w:r>
    </w:p>
    <w:p>
      <w:pPr>
        <w:pStyle w:val="554"/>
        <w:spacing w:before="0" w:line="360" w:lineRule="auto"/>
        <w:ind w:left="0" w:firstLine="241" w:firstLineChars="100"/>
        <w:contextualSpacing/>
        <w:rPr>
          <w:rFonts w:hint="eastAsia"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pPr>
        <w:pStyle w:val="554"/>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18.1采购机构按照招标文件规定的时间通过电子交易平台组织开标，所有投标人均应当准时在线参加。投标人不足3家的，不得开标。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hint="eastAsia" w:ascii="仿宋" w:hAnsi="仿宋" w:eastAsia="仿宋" w:cs="仿宋"/>
          <w:sz w:val="24"/>
        </w:rPr>
      </w:pPr>
      <w:r>
        <w:rPr>
          <w:rFonts w:hint="eastAsia" w:ascii="仿宋" w:hAnsi="仿宋" w:eastAsia="仿宋" w:cs="仿宋"/>
          <w:sz w:val="24"/>
        </w:rPr>
        <w:t>　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hint="eastAsia"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仿宋" w:hAnsi="仿宋" w:eastAsia="仿宋" w:cs="仿宋"/>
          <w:b/>
          <w:sz w:val="24"/>
          <w:szCs w:val="20"/>
        </w:rPr>
      </w:pPr>
      <w:r>
        <w:rPr>
          <w:rFonts w:hint="eastAsia" w:ascii="仿宋" w:hAnsi="仿宋" w:eastAsia="仿宋" w:cs="仿宋"/>
          <w:b/>
          <w:sz w:val="24"/>
          <w:szCs w:val="20"/>
        </w:rPr>
        <w:t>　19、资格审查</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19.1开标后，采购人或采购机构将依法对投标人的资格进行审查。</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采购人或采购机构依据法律法规和招标文件的规定，对投标人的资格进行审查。</w:t>
      </w:r>
    </w:p>
    <w:p>
      <w:pPr>
        <w:pStyle w:val="128"/>
        <w:spacing w:before="0"/>
        <w:ind w:firstLine="480"/>
        <w:rPr>
          <w:rFonts w:hint="eastAsia" w:ascii="仿宋" w:hAnsi="仿宋" w:eastAsia="仿宋" w:cs="仿宋"/>
        </w:rPr>
      </w:pPr>
      <w:r>
        <w:rPr>
          <w:rFonts w:hint="eastAsia" w:ascii="仿宋" w:hAnsi="仿宋" w:eastAsia="仿宋" w:cs="仿宋"/>
          <w:kern w:val="0"/>
          <w:szCs w:val="24"/>
        </w:rPr>
        <w:t>19.3投标人未按照招标文件要求提供与</w:t>
      </w:r>
      <w:r>
        <w:rPr>
          <w:rFonts w:hint="eastAsia" w:ascii="仿宋" w:hAnsi="仿宋" w:eastAsia="仿宋" w:cs="仿宋"/>
        </w:rPr>
        <w:t>资格条件相应的</w:t>
      </w:r>
      <w:r>
        <w:rPr>
          <w:rFonts w:hint="eastAsia" w:ascii="仿宋" w:hAnsi="仿宋" w:eastAsia="仿宋" w:cs="仿宋"/>
          <w:kern w:val="0"/>
          <w:szCs w:val="24"/>
        </w:rPr>
        <w:t>有效资格证明材料的，视为</w:t>
      </w:r>
      <w:r>
        <w:rPr>
          <w:rFonts w:hint="eastAsia" w:ascii="仿宋" w:hAnsi="仿宋" w:eastAsia="仿宋" w:cs="仿宋"/>
        </w:rPr>
        <w:t>投标人不具备招标文件中规定的资格要求，其投标无效。</w:t>
      </w:r>
    </w:p>
    <w:p>
      <w:pPr>
        <w:pStyle w:val="128"/>
        <w:spacing w:before="0"/>
        <w:ind w:firstLine="480"/>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4对未通过资格审查的投标人，采购人或采购机构告知其未通过的原因。</w:t>
      </w:r>
    </w:p>
    <w:p>
      <w:pPr>
        <w:pStyle w:val="128"/>
        <w:spacing w:before="0"/>
        <w:ind w:firstLine="480"/>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20、信用信息查询</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20.1信用信息查询渠道及截止时间：采购机构将在资格审查时通过“信用中国”网站(www.creditchina.gov.cn)、中国政府采购网(www.ccgp.gov.cn)渠道查询投标人接受资格审查时的信用记录。</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pPr>
        <w:pStyle w:val="128"/>
        <w:spacing w:before="0"/>
        <w:ind w:firstLine="0" w:firstLineChars="0"/>
        <w:rPr>
          <w:rFonts w:hint="eastAsia" w:ascii="仿宋" w:hAnsi="仿宋" w:eastAsia="仿宋" w:cs="仿宋"/>
          <w:kern w:val="0"/>
          <w:szCs w:val="24"/>
        </w:rPr>
      </w:pPr>
    </w:p>
    <w:p>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五、评标</w:t>
      </w:r>
    </w:p>
    <w:p>
      <w:pPr>
        <w:spacing w:line="360" w:lineRule="auto"/>
        <w:rPr>
          <w:rFonts w:hint="eastAsia" w:ascii="仿宋" w:hAnsi="仿宋" w:eastAsia="仿宋" w:cs="仿宋"/>
          <w:b/>
          <w:sz w:val="24"/>
        </w:rPr>
      </w:pPr>
      <w:bookmarkStart w:id="19" w:name="_Toc91899903"/>
      <w:r>
        <w:rPr>
          <w:rFonts w:hint="eastAsia" w:ascii="仿宋" w:hAnsi="仿宋" w:eastAsia="仿宋" w:cs="仿宋"/>
          <w:b/>
          <w:sz w:val="24"/>
        </w:rPr>
        <w:t>21.</w:t>
      </w:r>
      <w:r>
        <w:rPr>
          <w:rFonts w:hint="eastAsia" w:ascii="仿宋" w:hAnsi="仿宋" w:eastAsia="仿宋" w:cs="仿宋"/>
        </w:rPr>
        <w:t xml:space="preserve"> </w:t>
      </w:r>
      <w:r>
        <w:rPr>
          <w:rFonts w:hint="eastAsia" w:ascii="仿宋" w:hAnsi="仿宋" w:eastAsia="仿宋" w:cs="仿宋"/>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sz w:val="24"/>
        </w:rPr>
        <w:t>详见招标文件第四部分评标办法。</w:t>
      </w:r>
    </w:p>
    <w:p>
      <w:pPr>
        <w:spacing w:line="360" w:lineRule="auto"/>
        <w:rPr>
          <w:rFonts w:hint="eastAsia" w:ascii="仿宋" w:hAnsi="仿宋" w:eastAsia="仿宋" w:cs="仿宋"/>
          <w:b/>
          <w:sz w:val="24"/>
        </w:rPr>
      </w:pPr>
    </w:p>
    <w:p>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六、定 标</w:t>
      </w:r>
    </w:p>
    <w:p>
      <w:pPr>
        <w:pStyle w:val="2"/>
        <w:spacing w:line="360" w:lineRule="auto"/>
        <w:ind w:left="479" w:hanging="479" w:hangingChars="199"/>
        <w:rPr>
          <w:rFonts w:hint="eastAsia" w:ascii="仿宋" w:hAnsi="仿宋" w:eastAsia="仿宋" w:cs="仿宋"/>
          <w:b/>
        </w:rPr>
      </w:pPr>
      <w:r>
        <w:rPr>
          <w:rFonts w:hint="eastAsia" w:ascii="仿宋" w:hAnsi="仿宋" w:eastAsia="仿宋" w:cs="仿宋"/>
          <w:b/>
        </w:rPr>
        <w:t>22. 确定中标供应商</w:t>
      </w:r>
    </w:p>
    <w:p>
      <w:pPr>
        <w:pStyle w:val="128"/>
        <w:snapToGrid w:val="0"/>
        <w:spacing w:before="0"/>
        <w:ind w:firstLine="480"/>
        <w:rPr>
          <w:rFonts w:hint="eastAsia" w:ascii="仿宋" w:hAnsi="仿宋" w:eastAsia="仿宋" w:cs="仿宋"/>
          <w:b/>
          <w:szCs w:val="24"/>
        </w:rPr>
      </w:pPr>
      <w:r>
        <w:rPr>
          <w:rFonts w:hint="eastAsia" w:ascii="仿宋" w:hAnsi="仿宋" w:eastAsia="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8"/>
        <w:snapToGrid w:val="0"/>
        <w:spacing w:before="0"/>
        <w:ind w:firstLine="0" w:firstLineChars="0"/>
        <w:rPr>
          <w:rFonts w:hint="eastAsia" w:ascii="仿宋" w:hAnsi="仿宋" w:eastAsia="仿宋" w:cs="仿宋"/>
          <w:b/>
          <w:szCs w:val="24"/>
        </w:rPr>
      </w:pPr>
      <w:r>
        <w:rPr>
          <w:rFonts w:hint="eastAsia" w:ascii="仿宋" w:hAnsi="仿宋" w:eastAsia="仿宋" w:cs="仿宋"/>
          <w:b/>
          <w:szCs w:val="24"/>
        </w:rPr>
        <w:t>23. 中标通知与中标结果公告</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23.3公告期限为1个工作日。</w:t>
      </w:r>
    </w:p>
    <w:p>
      <w:pPr>
        <w:snapToGrid w:val="0"/>
        <w:spacing w:line="360" w:lineRule="auto"/>
        <w:ind w:left="120" w:leftChars="57" w:firstLine="482" w:firstLineChars="150"/>
        <w:jc w:val="center"/>
        <w:rPr>
          <w:rFonts w:hint="eastAsia" w:ascii="仿宋" w:hAnsi="仿宋" w:eastAsia="仿宋" w:cs="仿宋"/>
          <w:b/>
          <w:sz w:val="32"/>
        </w:rPr>
      </w:pPr>
    </w:p>
    <w:p>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七、合同授予</w:t>
      </w:r>
    </w:p>
    <w:p>
      <w:pPr>
        <w:pStyle w:val="2"/>
        <w:spacing w:line="360" w:lineRule="auto"/>
        <w:ind w:left="479" w:hanging="479" w:hangingChars="199"/>
        <w:rPr>
          <w:rFonts w:hint="eastAsia"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pPr>
        <w:pStyle w:val="2"/>
        <w:spacing w:line="360" w:lineRule="auto"/>
        <w:ind w:left="479" w:hanging="479" w:hangingChars="199"/>
        <w:rPr>
          <w:rFonts w:hint="eastAsia" w:ascii="仿宋" w:hAnsi="仿宋" w:eastAsia="仿宋" w:cs="仿宋"/>
          <w:b/>
        </w:rPr>
      </w:pPr>
      <w:r>
        <w:rPr>
          <w:rFonts w:hint="eastAsia" w:ascii="仿宋" w:hAnsi="仿宋" w:eastAsia="仿宋" w:cs="仿宋"/>
          <w:b/>
        </w:rPr>
        <w:t>25. 合同的签订</w:t>
      </w:r>
    </w:p>
    <w:p>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hint="eastAsia" w:ascii="仿宋" w:hAnsi="仿宋" w:eastAsia="仿宋" w:cs="仿宋"/>
          <w:kern w:val="0"/>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hint="eastAsia" w:ascii="仿宋" w:hAnsi="仿宋" w:eastAsia="仿宋" w:cs="仿宋"/>
        </w:rPr>
      </w:pPr>
      <w:r>
        <w:rPr>
          <w:rFonts w:hint="eastAsia" w:ascii="仿宋" w:hAnsi="仿宋" w:eastAsia="仿宋" w:cs="仿宋"/>
        </w:rPr>
        <w:t>25.3如签订合同并生效后，供应商无故拒绝或延期，除按照合同条款处理外，列入不良行为记录一次，并给予通报。</w:t>
      </w:r>
    </w:p>
    <w:p>
      <w:pPr>
        <w:pStyle w:val="128"/>
        <w:snapToGrid w:val="0"/>
        <w:spacing w:before="0"/>
        <w:ind w:firstLine="480"/>
        <w:rPr>
          <w:rFonts w:hint="eastAsia" w:ascii="仿宋" w:hAnsi="仿宋" w:eastAsia="仿宋" w:cs="仿宋"/>
        </w:rPr>
      </w:pPr>
      <w:r>
        <w:rPr>
          <w:rFonts w:hint="eastAsia" w:ascii="仿宋" w:hAnsi="仿宋" w:eastAsia="仿宋" w:cs="仿宋"/>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hint="eastAsia" w:ascii="仿宋" w:hAnsi="仿宋" w:eastAsia="仿宋" w:cs="仿宋"/>
        </w:rPr>
      </w:pPr>
      <w:r>
        <w:rPr>
          <w:rFonts w:hint="eastAsia" w:ascii="仿宋" w:hAnsi="仿宋" w:eastAsia="仿宋" w:cs="仿宋"/>
        </w:rPr>
        <w:t>25.5采购合同由采购人与中标供应商根据招标文件、投标文件等内容通过政府采购电子交易平台在线签订，自动备案。</w:t>
      </w:r>
    </w:p>
    <w:p>
      <w:pPr>
        <w:pStyle w:val="2"/>
        <w:spacing w:line="360" w:lineRule="auto"/>
        <w:ind w:left="479" w:hanging="479" w:hangingChars="199"/>
        <w:rPr>
          <w:rFonts w:hint="eastAsia" w:ascii="仿宋" w:hAnsi="仿宋" w:eastAsia="仿宋" w:cs="仿宋"/>
          <w:b/>
        </w:rPr>
      </w:pPr>
      <w:r>
        <w:rPr>
          <w:rFonts w:hint="eastAsia" w:ascii="仿宋" w:hAnsi="仿宋" w:eastAsia="仿宋" w:cs="仿宋"/>
          <w:b/>
        </w:rPr>
        <w:t>26. 履约保证金</w:t>
      </w:r>
    </w:p>
    <w:p>
      <w:pPr>
        <w:tabs>
          <w:tab w:val="left" w:pos="0"/>
        </w:tabs>
        <w:spacing w:line="360" w:lineRule="auto"/>
        <w:ind w:firstLine="482"/>
        <w:rPr>
          <w:rFonts w:hint="eastAsia" w:ascii="仿宋" w:hAnsi="仿宋" w:eastAsia="仿宋" w:cs="仿宋"/>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spacing w:line="360" w:lineRule="auto"/>
        <w:ind w:firstLine="482"/>
        <w:rPr>
          <w:rFonts w:hint="eastAsia" w:ascii="仿宋" w:hAnsi="仿宋" w:eastAsia="仿宋" w:cs="仿宋"/>
          <w:sz w:val="24"/>
          <w:szCs w:val="20"/>
        </w:rPr>
      </w:pPr>
      <w:r>
        <w:rPr>
          <w:rFonts w:hint="eastAsia" w:ascii="仿宋" w:hAnsi="仿宋" w:eastAsia="仿宋" w:cs="仿宋"/>
          <w:sz w:val="24"/>
          <w:szCs w:val="20"/>
        </w:rPr>
        <w:t>政府采购货物和服务项目中，采购单位可根据杭州市政府采购网公布的供应商履约评价情况减免履约保证金。供应商履约验收评价总分为100分的，采购单位应当免收履约保证金。</w:t>
      </w:r>
    </w:p>
    <w:p>
      <w:pPr>
        <w:pStyle w:val="5"/>
        <w:ind w:left="0" w:firstLine="480" w:firstLineChars="200"/>
        <w:rPr>
          <w:rFonts w:hint="eastAsia" w:ascii="仿宋" w:hAnsi="仿宋" w:eastAsia="仿宋" w:cs="仿宋"/>
          <w:lang w:val="en-US"/>
        </w:rPr>
      </w:pPr>
      <w:r>
        <w:rPr>
          <w:rFonts w:hint="eastAsia" w:ascii="仿宋" w:hAnsi="仿宋" w:eastAsia="仿宋" w:cs="仿宋"/>
          <w:b w:val="0"/>
          <w:bCs w:val="0"/>
          <w:snapToGrid w:val="0"/>
          <w:kern w:val="28"/>
          <w:sz w:val="24"/>
        </w:rPr>
        <w:t>供应商</w:t>
      </w:r>
      <w:r>
        <w:rPr>
          <w:rFonts w:hint="eastAsia" w:ascii="仿宋" w:hAnsi="仿宋" w:eastAsia="仿宋" w:cs="仿宋"/>
          <w:b w:val="0"/>
          <w:bCs w:val="0"/>
          <w:snapToGrid w:val="0"/>
          <w:kern w:val="28"/>
          <w:sz w:val="24"/>
          <w:lang w:val="en-US"/>
        </w:rPr>
        <w:t>可</w:t>
      </w:r>
      <w:r>
        <w:rPr>
          <w:rFonts w:hint="eastAsia" w:ascii="仿宋" w:hAnsi="仿宋" w:eastAsia="仿宋" w:cs="仿宋"/>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仿宋" w:hAnsi="仿宋" w:eastAsia="仿宋" w:cs="仿宋"/>
          <w:b/>
          <w:sz w:val="32"/>
        </w:rPr>
      </w:pPr>
    </w:p>
    <w:p>
      <w:pPr>
        <w:snapToGrid w:val="0"/>
        <w:spacing w:line="360" w:lineRule="auto"/>
        <w:ind w:firstLine="3357" w:firstLineChars="1045"/>
        <w:rPr>
          <w:rFonts w:hint="eastAsia" w:ascii="仿宋" w:hAnsi="仿宋" w:eastAsia="仿宋" w:cs="仿宋"/>
          <w:b/>
          <w:sz w:val="24"/>
        </w:rPr>
      </w:pPr>
      <w:r>
        <w:rPr>
          <w:rFonts w:hint="eastAsia" w:ascii="仿宋" w:hAnsi="仿宋" w:eastAsia="仿宋" w:cs="仿宋"/>
          <w:b/>
          <w:sz w:val="32"/>
        </w:rPr>
        <w:t>八、电子交易活动的中止</w:t>
      </w:r>
    </w:p>
    <w:p>
      <w:pPr>
        <w:pStyle w:val="128"/>
        <w:snapToGrid w:val="0"/>
        <w:spacing w:before="0"/>
        <w:ind w:firstLine="0" w:firstLineChars="0"/>
        <w:rPr>
          <w:rFonts w:hint="eastAsia" w:ascii="仿宋" w:hAnsi="仿宋" w:eastAsia="仿宋" w:cs="仿宋"/>
        </w:rPr>
      </w:pPr>
      <w:r>
        <w:rPr>
          <w:rFonts w:hint="eastAsia" w:ascii="仿宋" w:hAnsi="仿宋" w:eastAsia="仿宋" w:cs="仿宋"/>
        </w:rPr>
        <w:t>2</w:t>
      </w:r>
      <w:r>
        <w:rPr>
          <w:rFonts w:hint="eastAsia" w:ascii="仿宋" w:hAnsi="仿宋" w:eastAsia="仿宋" w:cs="仿宋"/>
          <w:b/>
          <w:szCs w:val="24"/>
        </w:rPr>
        <w:t>7. 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pPr>
        <w:pStyle w:val="128"/>
        <w:snapToGrid w:val="0"/>
        <w:spacing w:before="0"/>
        <w:ind w:firstLine="480"/>
        <w:rPr>
          <w:rFonts w:hint="eastAsia" w:ascii="仿宋" w:hAnsi="仿宋" w:eastAsia="仿宋" w:cs="仿宋"/>
        </w:rPr>
      </w:pPr>
      <w:r>
        <w:rPr>
          <w:rFonts w:hint="eastAsia" w:ascii="仿宋" w:hAnsi="仿宋" w:eastAsia="仿宋" w:cs="仿宋"/>
        </w:rPr>
        <w:t xml:space="preserve">27.1电子交易平台发生故障而无法登录访问的； </w:t>
      </w:r>
    </w:p>
    <w:p>
      <w:pPr>
        <w:pStyle w:val="128"/>
        <w:snapToGrid w:val="0"/>
        <w:spacing w:before="0"/>
        <w:ind w:firstLine="480"/>
        <w:rPr>
          <w:rFonts w:hint="eastAsia" w:ascii="仿宋" w:hAnsi="仿宋" w:eastAsia="仿宋" w:cs="仿宋"/>
        </w:rPr>
      </w:pPr>
      <w:r>
        <w:rPr>
          <w:rFonts w:hint="eastAsia" w:ascii="仿宋" w:hAnsi="仿宋" w:eastAsia="仿宋" w:cs="仿宋"/>
        </w:rPr>
        <w:t>27.2电子交易平台应用或数据库出现错误，不能进行正常操作的；</w:t>
      </w:r>
    </w:p>
    <w:p>
      <w:pPr>
        <w:pStyle w:val="128"/>
        <w:snapToGrid w:val="0"/>
        <w:spacing w:before="0"/>
        <w:ind w:firstLine="480"/>
        <w:rPr>
          <w:rFonts w:hint="eastAsia" w:ascii="仿宋" w:hAnsi="仿宋" w:eastAsia="仿宋" w:cs="仿宋"/>
        </w:rPr>
      </w:pPr>
      <w:r>
        <w:rPr>
          <w:rFonts w:hint="eastAsia" w:ascii="仿宋" w:hAnsi="仿宋" w:eastAsia="仿宋" w:cs="仿宋"/>
        </w:rPr>
        <w:t>27.3电子交易平台发现严重安全漏洞，有潜在泄密危险的；</w:t>
      </w:r>
    </w:p>
    <w:p>
      <w:pPr>
        <w:pStyle w:val="128"/>
        <w:snapToGrid w:val="0"/>
        <w:spacing w:before="0"/>
        <w:ind w:firstLine="480"/>
        <w:rPr>
          <w:rFonts w:hint="eastAsia" w:ascii="仿宋" w:hAnsi="仿宋" w:eastAsia="仿宋" w:cs="仿宋"/>
        </w:rPr>
      </w:pPr>
      <w:r>
        <w:rPr>
          <w:rFonts w:hint="eastAsia" w:ascii="仿宋" w:hAnsi="仿宋" w:eastAsia="仿宋" w:cs="仿宋"/>
        </w:rPr>
        <w:t xml:space="preserve">27.4病毒发作导致不能进行正常操作的； </w:t>
      </w:r>
    </w:p>
    <w:p>
      <w:pPr>
        <w:pStyle w:val="128"/>
        <w:snapToGrid w:val="0"/>
        <w:spacing w:before="0"/>
        <w:ind w:firstLine="480"/>
        <w:rPr>
          <w:rFonts w:hint="eastAsia" w:ascii="仿宋" w:hAnsi="仿宋" w:eastAsia="仿宋" w:cs="仿宋"/>
        </w:rPr>
      </w:pPr>
      <w:r>
        <w:rPr>
          <w:rFonts w:hint="eastAsia" w:ascii="仿宋" w:hAnsi="仿宋" w:eastAsia="仿宋" w:cs="仿宋"/>
        </w:rPr>
        <w:t>27.5其他无法保证电子交易的公平、公正和安全的情况。</w:t>
      </w:r>
    </w:p>
    <w:p>
      <w:pPr>
        <w:pStyle w:val="128"/>
        <w:snapToGrid w:val="0"/>
        <w:spacing w:before="0"/>
        <w:ind w:firstLine="0" w:firstLineChars="0"/>
        <w:rPr>
          <w:rFonts w:hint="eastAsia" w:ascii="仿宋" w:hAnsi="仿宋" w:eastAsia="仿宋" w:cs="仿宋"/>
        </w:rPr>
      </w:pPr>
      <w:r>
        <w:rPr>
          <w:rFonts w:hint="eastAsia" w:ascii="仿宋" w:hAnsi="仿宋" w:eastAsia="仿宋" w:cs="仿宋"/>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sz w:val="24"/>
        </w:rPr>
      </w:pPr>
    </w:p>
    <w:p>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pPr>
        <w:pStyle w:val="2"/>
        <w:spacing w:line="360" w:lineRule="auto"/>
        <w:ind w:firstLine="0" w:firstLineChars="0"/>
        <w:rPr>
          <w:rFonts w:hint="eastAsia" w:ascii="仿宋" w:hAnsi="仿宋" w:eastAsia="仿宋" w:cs="仿宋"/>
          <w:b/>
        </w:rPr>
      </w:pPr>
      <w:r>
        <w:rPr>
          <w:rFonts w:hint="eastAsia" w:ascii="仿宋" w:hAnsi="仿宋" w:eastAsia="仿宋" w:cs="仿宋"/>
          <w:b/>
        </w:rPr>
        <w:t>29.验收</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9"/>
    <w:p>
      <w:pPr>
        <w:tabs>
          <w:tab w:val="left" w:pos="0"/>
        </w:tabs>
        <w:spacing w:line="360" w:lineRule="auto"/>
        <w:ind w:firstLine="480"/>
        <w:rPr>
          <w:rFonts w:hint="eastAsia" w:ascii="仿宋" w:hAnsi="仿宋" w:eastAsia="仿宋" w:cs="仿宋"/>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0" w:name="_Hlt68072998"/>
      <w:bookmarkEnd w:id="20"/>
      <w:bookmarkStart w:id="21" w:name="_Hlt68073093"/>
      <w:bookmarkEnd w:id="21"/>
      <w:bookmarkStart w:id="22" w:name="_Hlt75236101"/>
      <w:bookmarkEnd w:id="22"/>
      <w:bookmarkStart w:id="23" w:name="_Hlt74714665"/>
      <w:bookmarkEnd w:id="23"/>
      <w:bookmarkStart w:id="24" w:name="_Hlt68057669"/>
      <w:bookmarkEnd w:id="24"/>
      <w:bookmarkStart w:id="25" w:name="_Hlt68403820"/>
      <w:bookmarkEnd w:id="25"/>
      <w:bookmarkStart w:id="26" w:name="_Hlt74729768"/>
      <w:bookmarkEnd w:id="26"/>
      <w:bookmarkStart w:id="27" w:name="_Hlt75236011"/>
      <w:bookmarkEnd w:id="27"/>
      <w:bookmarkStart w:id="28" w:name="_Hlt68072990"/>
      <w:bookmarkEnd w:id="28"/>
      <w:bookmarkStart w:id="29" w:name="_Hlt74730295"/>
      <w:bookmarkEnd w:id="29"/>
      <w:bookmarkStart w:id="30" w:name="_Hlt74707468"/>
      <w:bookmarkEnd w:id="30"/>
      <w:bookmarkStart w:id="31" w:name="_Hlt75236290"/>
      <w:bookmarkEnd w:id="31"/>
    </w:p>
    <w:bookmarkEnd w:id="13"/>
    <w:bookmarkEnd w:id="14"/>
    <w:p>
      <w:pPr>
        <w:spacing w:line="360" w:lineRule="auto"/>
        <w:jc w:val="center"/>
        <w:outlineLvl w:val="0"/>
        <w:rPr>
          <w:rFonts w:hint="eastAsia" w:ascii="仿宋" w:hAnsi="仿宋" w:eastAsia="仿宋" w:cs="仿宋"/>
          <w:b/>
          <w:sz w:val="36"/>
          <w:szCs w:val="36"/>
        </w:rPr>
      </w:pPr>
      <w:bookmarkStart w:id="32" w:name="第四部分"/>
      <w:r>
        <w:rPr>
          <w:rFonts w:hint="eastAsia" w:ascii="仿宋" w:hAnsi="仿宋" w:eastAsia="仿宋" w:cs="仿宋"/>
          <w:b/>
          <w:sz w:val="36"/>
          <w:szCs w:val="36"/>
        </w:rPr>
        <w:t>第三部分   采购需求</w:t>
      </w:r>
    </w:p>
    <w:p>
      <w:pPr>
        <w:jc w:val="center"/>
      </w:pPr>
      <w:r>
        <w:rPr>
          <w:rFonts w:hint="eastAsia"/>
          <w:b/>
          <w:bCs/>
          <w:sz w:val="32"/>
          <w:szCs w:val="32"/>
        </w:rPr>
        <w:t>於潜镇中心幼儿园班级教学装备</w:t>
      </w:r>
      <w:r>
        <w:rPr>
          <w:rFonts w:hint="eastAsia"/>
          <w:b/>
          <w:bCs/>
          <w:sz w:val="32"/>
          <w:szCs w:val="32"/>
          <w:lang w:val="en-US" w:eastAsia="zh-CN"/>
        </w:rPr>
        <w:t>及办公家具清单</w:t>
      </w:r>
    </w:p>
    <w:p/>
    <w:p>
      <w:pPr>
        <w:jc w:val="center"/>
        <w:rPr>
          <w:rFonts w:hint="eastAsia"/>
          <w:b/>
          <w:bCs/>
          <w:sz w:val="32"/>
          <w:szCs w:val="32"/>
        </w:rPr>
      </w:pPr>
      <w:r>
        <w:rPr>
          <w:rFonts w:hint="eastAsia"/>
          <w:b/>
          <w:bCs/>
          <w:sz w:val="32"/>
          <w:szCs w:val="32"/>
        </w:rPr>
        <w:t>办公家具清单</w:t>
      </w:r>
    </w:p>
    <w:tbl>
      <w:tblPr>
        <w:tblStyle w:val="62"/>
        <w:tblW w:w="964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23"/>
        <w:gridCol w:w="1904"/>
        <w:gridCol w:w="777"/>
        <w:gridCol w:w="1327"/>
        <w:gridCol w:w="2839"/>
        <w:gridCol w:w="684"/>
        <w:gridCol w:w="732"/>
        <w:gridCol w:w="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序号</w:t>
            </w:r>
          </w:p>
        </w:tc>
        <w:tc>
          <w:tcPr>
            <w:tcW w:w="190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图片</w:t>
            </w:r>
          </w:p>
        </w:tc>
        <w:tc>
          <w:tcPr>
            <w:tcW w:w="777"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名称</w:t>
            </w:r>
          </w:p>
        </w:tc>
        <w:tc>
          <w:tcPr>
            <w:tcW w:w="1327"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规格</w:t>
            </w:r>
          </w:p>
        </w:tc>
        <w:tc>
          <w:tcPr>
            <w:tcW w:w="283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材质说明</w:t>
            </w:r>
          </w:p>
        </w:tc>
        <w:tc>
          <w:tcPr>
            <w:tcW w:w="68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73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DDEB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DDEB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一层</w:t>
            </w:r>
          </w:p>
        </w:tc>
        <w:tc>
          <w:tcPr>
            <w:tcW w:w="777" w:type="dxa"/>
            <w:tcBorders>
              <w:top w:val="single" w:color="000000" w:sz="4" w:space="0"/>
              <w:left w:val="nil"/>
              <w:bottom w:val="single" w:color="000000" w:sz="4" w:space="0"/>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DDEBF7"/>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更衣室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drawing>
                <wp:anchor distT="0" distB="0" distL="114300" distR="114300" simplePos="0" relativeHeight="251661312" behindDoc="0" locked="0" layoutInCell="1" allowOverlap="1">
                  <wp:simplePos x="0" y="0"/>
                  <wp:positionH relativeFrom="column">
                    <wp:posOffset>445770</wp:posOffset>
                  </wp:positionH>
                  <wp:positionV relativeFrom="paragraph">
                    <wp:posOffset>415925</wp:posOffset>
                  </wp:positionV>
                  <wp:extent cx="403860" cy="571500"/>
                  <wp:effectExtent l="0" t="0" r="15240" b="0"/>
                  <wp:wrapNone/>
                  <wp:docPr id="34" name="Picture_1"/>
                  <wp:cNvGraphicFramePr/>
                  <a:graphic xmlns:a="http://schemas.openxmlformats.org/drawingml/2006/main">
                    <a:graphicData uri="http://schemas.openxmlformats.org/drawingml/2006/picture">
                      <pic:pic xmlns:pic="http://schemas.openxmlformats.org/drawingml/2006/picture">
                        <pic:nvPicPr>
                          <pic:cNvPr id="34" name="Picture_1"/>
                          <pic:cNvPicPr/>
                        </pic:nvPicPr>
                        <pic:blipFill>
                          <a:blip r:embed="rId26"/>
                          <a:stretch>
                            <a:fillRect/>
                          </a:stretch>
                        </pic:blipFill>
                        <pic:spPr>
                          <a:xfrm>
                            <a:off x="0" y="0"/>
                            <a:ext cx="403860" cy="57150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更衣柜3门</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900*500*1800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优质冷轧钢板制作。材料厚度0.6MM，表面处理：采用优质粉末，高压静电喷塑前经过13道前期处理，无甲醛释放量，组合件表面应光滑、平整，表光泽度为60%～70%，耐冲击力大于60kg/cm2，不得有尖角、划口、凸起；涂膜厚度60-70um色泽应一致，漆面均匀光亮、无任何流漆划伤。</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门卫室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194945</wp:posOffset>
                  </wp:positionH>
                  <wp:positionV relativeFrom="paragraph">
                    <wp:posOffset>629285</wp:posOffset>
                  </wp:positionV>
                  <wp:extent cx="830580" cy="571500"/>
                  <wp:effectExtent l="0" t="0" r="7620" b="0"/>
                  <wp:wrapNone/>
                  <wp:docPr id="28" name="图片_1"/>
                  <wp:cNvGraphicFramePr/>
                  <a:graphic xmlns:a="http://schemas.openxmlformats.org/drawingml/2006/main">
                    <a:graphicData uri="http://schemas.openxmlformats.org/drawingml/2006/picture">
                      <pic:pic xmlns:pic="http://schemas.openxmlformats.org/drawingml/2006/picture">
                        <pic:nvPicPr>
                          <pic:cNvPr id="28" name="图片_1"/>
                          <pic:cNvPicPr/>
                        </pic:nvPicPr>
                        <pic:blipFill>
                          <a:blip r:embed="rId27"/>
                          <a:stretch>
                            <a:fillRect/>
                          </a:stretch>
                        </pic:blipFill>
                        <pic:spPr>
                          <a:xfrm>
                            <a:off x="0" y="0"/>
                            <a:ext cx="830580" cy="57150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组合桌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2000*600*760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具体按现场实际尺寸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448310</wp:posOffset>
                  </wp:positionH>
                  <wp:positionV relativeFrom="paragraph">
                    <wp:posOffset>321310</wp:posOffset>
                  </wp:positionV>
                  <wp:extent cx="388620" cy="548640"/>
                  <wp:effectExtent l="0" t="0" r="11430" b="3810"/>
                  <wp:wrapNone/>
                  <wp:docPr id="30" name="图片_7"/>
                  <wp:cNvGraphicFramePr/>
                  <a:graphic xmlns:a="http://schemas.openxmlformats.org/drawingml/2006/main">
                    <a:graphicData uri="http://schemas.openxmlformats.org/drawingml/2006/picture">
                      <pic:pic xmlns:pic="http://schemas.openxmlformats.org/drawingml/2006/picture">
                        <pic:nvPicPr>
                          <pic:cNvPr id="30" name="图片_7"/>
                          <pic:cNvPicPr/>
                        </pic:nvPicPr>
                        <pic:blipFill>
                          <a:blip r:embed="rId28"/>
                          <a:stretch>
                            <a:fillRect/>
                          </a:stretch>
                        </pic:blipFill>
                        <pic:spPr>
                          <a:xfrm>
                            <a:off x="0" y="0"/>
                            <a:ext cx="38862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650*470*590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1.黑色全新料加纤背框，扪华宇透气网布；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2.黑色PP固定腰靠；</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3.黑色PP连体固定扶手；</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4.45高密度纯绵坐垫，扪华宇透气网布；</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5.2.0mm厚度的A3钢材喷黑弓形架。</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469265</wp:posOffset>
                  </wp:positionH>
                  <wp:positionV relativeFrom="paragraph">
                    <wp:posOffset>521970</wp:posOffset>
                  </wp:positionV>
                  <wp:extent cx="403860" cy="571500"/>
                  <wp:effectExtent l="0" t="0" r="15240" b="0"/>
                  <wp:wrapNone/>
                  <wp:docPr id="29" name="Picture_1_SpCnt_1"/>
                  <wp:cNvGraphicFramePr/>
                  <a:graphic xmlns:a="http://schemas.openxmlformats.org/drawingml/2006/main">
                    <a:graphicData uri="http://schemas.openxmlformats.org/drawingml/2006/picture">
                      <pic:pic xmlns:pic="http://schemas.openxmlformats.org/drawingml/2006/picture">
                        <pic:nvPicPr>
                          <pic:cNvPr id="29" name="Picture_1_SpCnt_1"/>
                          <pic:cNvPicPr/>
                        </pic:nvPicPr>
                        <pic:blipFill>
                          <a:blip r:embed="rId26"/>
                          <a:stretch>
                            <a:fillRect/>
                          </a:stretch>
                        </pic:blipFill>
                        <pic:spPr>
                          <a:xfrm>
                            <a:off x="0" y="0"/>
                            <a:ext cx="403860" cy="57150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更衣柜3门</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900*500*1800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优质冷轧钢板制作。材料厚度0.6MM，表面处理：采用优质粉末，高压静电喷塑前经过13道前期处理，无甲醛释放量，组合件表面应光滑、平整，表光泽度为60%～70%，耐冲击力大于60kg/cm2，不得有尖角、划口、凸起；涂膜厚度60-70um色泽应一致，漆面均匀光亮、无任何流漆划伤。</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222885</wp:posOffset>
                  </wp:positionH>
                  <wp:positionV relativeFrom="paragraph">
                    <wp:posOffset>184785</wp:posOffset>
                  </wp:positionV>
                  <wp:extent cx="678180" cy="563880"/>
                  <wp:effectExtent l="0" t="0" r="7620" b="7620"/>
                  <wp:wrapNone/>
                  <wp:docPr id="32" name="图片_19"/>
                  <wp:cNvGraphicFramePr/>
                  <a:graphic xmlns:a="http://schemas.openxmlformats.org/drawingml/2006/main">
                    <a:graphicData uri="http://schemas.openxmlformats.org/drawingml/2006/picture">
                      <pic:pic xmlns:pic="http://schemas.openxmlformats.org/drawingml/2006/picture">
                        <pic:nvPicPr>
                          <pic:cNvPr id="32" name="图片_19"/>
                          <pic:cNvPicPr/>
                        </pic:nvPicPr>
                        <pic:blipFill>
                          <a:blip r:embed="rId29"/>
                          <a:stretch>
                            <a:fillRect/>
                          </a:stretch>
                        </pic:blipFill>
                        <pic:spPr>
                          <a:xfrm>
                            <a:off x="0" y="0"/>
                            <a:ext cx="678180" cy="5638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床</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1200*2000*450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选用优质橡木，工艺：边缘抛圆处理，外表面和内表面以及手指可触及的隐蔽处，均不得有锐利的棱角、毛刺以及小五金部件露出的锐利尖锐。油漆：环保型全哑光聚脂清面。</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7</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328930</wp:posOffset>
                  </wp:positionH>
                  <wp:positionV relativeFrom="paragraph">
                    <wp:posOffset>424180</wp:posOffset>
                  </wp:positionV>
                  <wp:extent cx="701040" cy="518160"/>
                  <wp:effectExtent l="0" t="0" r="3810" b="15240"/>
                  <wp:wrapNone/>
                  <wp:docPr id="33" name="图片_83"/>
                  <wp:cNvGraphicFramePr/>
                  <a:graphic xmlns:a="http://schemas.openxmlformats.org/drawingml/2006/main">
                    <a:graphicData uri="http://schemas.openxmlformats.org/drawingml/2006/picture">
                      <pic:pic xmlns:pic="http://schemas.openxmlformats.org/drawingml/2006/picture">
                        <pic:nvPicPr>
                          <pic:cNvPr id="33" name="图片_83"/>
                          <pic:cNvPicPr/>
                        </pic:nvPicPr>
                        <pic:blipFill>
                          <a:blip r:embed="rId30"/>
                          <a:stretch>
                            <a:fillRect/>
                          </a:stretch>
                        </pic:blipFill>
                        <pic:spPr>
                          <a:xfrm>
                            <a:off x="0" y="0"/>
                            <a:ext cx="701040" cy="5181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棕垫</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1200*2000*60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纯天然椰软棕作基材和天然乳胶为原料。外套织锦棉面料，采用锦纹提花针织面料（A级面料）透气性好，经过抗菌卫生处理，具有防螨作用。其阻燃棉布耐燃等级须为B1级环保棉，面料无异味。面料颜色：淡米黄色（可略带浅印花图案）</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5"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8</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405130</wp:posOffset>
                  </wp:positionH>
                  <wp:positionV relativeFrom="paragraph">
                    <wp:posOffset>257175</wp:posOffset>
                  </wp:positionV>
                  <wp:extent cx="480060" cy="518160"/>
                  <wp:effectExtent l="0" t="0" r="15240" b="15240"/>
                  <wp:wrapNone/>
                  <wp:docPr id="31" name="图片_90"/>
                  <wp:cNvGraphicFramePr/>
                  <a:graphic xmlns:a="http://schemas.openxmlformats.org/drawingml/2006/main">
                    <a:graphicData uri="http://schemas.openxmlformats.org/drawingml/2006/picture">
                      <pic:pic xmlns:pic="http://schemas.openxmlformats.org/drawingml/2006/picture">
                        <pic:nvPicPr>
                          <pic:cNvPr id="31" name="图片_90"/>
                          <pic:cNvPicPr/>
                        </pic:nvPicPr>
                        <pic:blipFill>
                          <a:blip r:embed="rId31"/>
                          <a:stretch>
                            <a:fillRect/>
                          </a:stretch>
                        </pic:blipFill>
                        <pic:spPr>
                          <a:xfrm>
                            <a:off x="0" y="0"/>
                            <a:ext cx="480060" cy="5181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床头柜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400*350*480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选用优质橡木，工艺：边缘抛圆处理，外表面和内表面以及儿童手指可触及的隐蔽处，均不得有锐利的棱角、毛刺以及小五金部件露出的锐利尖锐。油漆：环保型全哑光聚脂清面。</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477520</wp:posOffset>
                  </wp:positionH>
                  <wp:positionV relativeFrom="paragraph">
                    <wp:posOffset>372745</wp:posOffset>
                  </wp:positionV>
                  <wp:extent cx="457200" cy="624840"/>
                  <wp:effectExtent l="0" t="0" r="0" b="3810"/>
                  <wp:wrapNone/>
                  <wp:docPr id="18" name="图片_91"/>
                  <wp:cNvGraphicFramePr/>
                  <a:graphic xmlns:a="http://schemas.openxmlformats.org/drawingml/2006/main">
                    <a:graphicData uri="http://schemas.openxmlformats.org/drawingml/2006/picture">
                      <pic:pic xmlns:pic="http://schemas.openxmlformats.org/drawingml/2006/picture">
                        <pic:nvPicPr>
                          <pic:cNvPr id="18" name="图片_91"/>
                          <pic:cNvPicPr/>
                        </pic:nvPicPr>
                        <pic:blipFill>
                          <a:blip r:embed="rId32"/>
                          <a:stretch>
                            <a:fillRect/>
                          </a:stretch>
                        </pic:blipFill>
                        <pic:spPr>
                          <a:xfrm>
                            <a:off x="0" y="0"/>
                            <a:ext cx="457200" cy="6248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更衣柜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800*550*2000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single" w:color="000000" w:sz="4" w:space="0"/>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保健室</w:t>
            </w:r>
          </w:p>
        </w:tc>
        <w:tc>
          <w:tcPr>
            <w:tcW w:w="777" w:type="dxa"/>
            <w:tcBorders>
              <w:top w:val="single" w:color="000000" w:sz="4" w:space="0"/>
              <w:left w:val="single" w:color="000000" w:sz="4" w:space="0"/>
              <w:bottom w:val="single" w:color="000000" w:sz="4" w:space="0"/>
              <w:right w:val="single" w:color="000000" w:sz="4" w:space="0"/>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single" w:color="000000" w:sz="4" w:space="0"/>
              <w:bottom w:val="single" w:color="000000" w:sz="4" w:space="0"/>
              <w:right w:val="single" w:color="000000" w:sz="4" w:space="0"/>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single" w:color="000000" w:sz="4" w:space="0"/>
              <w:bottom w:val="single" w:color="000000" w:sz="4" w:space="0"/>
              <w:right w:val="single" w:color="000000" w:sz="4" w:space="0"/>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5"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287655</wp:posOffset>
                  </wp:positionH>
                  <wp:positionV relativeFrom="paragraph">
                    <wp:posOffset>332740</wp:posOffset>
                  </wp:positionV>
                  <wp:extent cx="792480" cy="541020"/>
                  <wp:effectExtent l="0" t="0" r="7620" b="11430"/>
                  <wp:wrapNone/>
                  <wp:docPr id="19" name="图片_66"/>
                  <wp:cNvGraphicFramePr/>
                  <a:graphic xmlns:a="http://schemas.openxmlformats.org/drawingml/2006/main">
                    <a:graphicData uri="http://schemas.openxmlformats.org/drawingml/2006/picture">
                      <pic:pic xmlns:pic="http://schemas.openxmlformats.org/drawingml/2006/picture">
                        <pic:nvPicPr>
                          <pic:cNvPr id="19" name="图片_66"/>
                          <pic:cNvPicPr/>
                        </pic:nvPicPr>
                        <pic:blipFill>
                          <a:blip r:embed="rId33"/>
                          <a:stretch>
                            <a:fillRect/>
                          </a:stretch>
                        </pic:blipFill>
                        <pic:spPr>
                          <a:xfrm>
                            <a:off x="0" y="0"/>
                            <a:ext cx="792480" cy="5410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诊查床</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1600*1500*760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1、基材：1、基材：全部采用实木多层板材，甲醛释放量≤0.05mg/m³（检测方法按GB 18580-2017）。                                                          </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3、封边：同色PVC封边条，厚度2mm 以上。                                            4、 钢脚：直腿圆管设计，优质冷轧钢，磷化清洗后经高温300度粉末静电喷涂，PVC微调桌脚，壁厚2.0mm。</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5、五金配件：使用优质五金配件（阻尼不锈钢三节轨、机械密码锁具、拉手、阻尼不锈钢铰链等）。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6、隐藏室走线槽，并具安装强弱电线盒插板。                                                   7、颜色：由业主单位指定。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11</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232410</wp:posOffset>
                  </wp:positionH>
                  <wp:positionV relativeFrom="paragraph">
                    <wp:posOffset>623570</wp:posOffset>
                  </wp:positionV>
                  <wp:extent cx="666750" cy="782320"/>
                  <wp:effectExtent l="0" t="0" r="0" b="17780"/>
                  <wp:wrapNone/>
                  <wp:docPr id="15" name="图片_25"/>
                  <wp:cNvGraphicFramePr/>
                  <a:graphic xmlns:a="http://schemas.openxmlformats.org/drawingml/2006/main">
                    <a:graphicData uri="http://schemas.openxmlformats.org/drawingml/2006/picture">
                      <pic:pic xmlns:pic="http://schemas.openxmlformats.org/drawingml/2006/picture">
                        <pic:nvPicPr>
                          <pic:cNvPr id="15" name="图片_25"/>
                          <pic:cNvPicPr/>
                        </pic:nvPicPr>
                        <pic:blipFill>
                          <a:blip r:embed="rId34"/>
                          <a:stretch>
                            <a:fillRect/>
                          </a:stretch>
                        </pic:blipFill>
                        <pic:spPr>
                          <a:xfrm>
                            <a:off x="0" y="0"/>
                            <a:ext cx="666750" cy="7823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医用椅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595*660*1025-1125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1.白色全新料加纤背框，扪华宇透气网布；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2.灰色PP固定腰靠；</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3.白色PP连体固定扶手；</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4..座包一体成型定型海绵，永不变形扪华宇透气网布；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 2.5mm中班蝴蝶底盘，可倾仰；</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6.三级威亚斯气杆，100mm缩50mm；</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7.330mm黑色八爪脚，静压1000KG；</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8.60mm尼龙+PU静音脚轮过BIFMA。</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454660</wp:posOffset>
                  </wp:positionH>
                  <wp:positionV relativeFrom="paragraph">
                    <wp:posOffset>429895</wp:posOffset>
                  </wp:positionV>
                  <wp:extent cx="320040" cy="617220"/>
                  <wp:effectExtent l="0" t="0" r="3810" b="11430"/>
                  <wp:wrapNone/>
                  <wp:docPr id="27" name="图片_9"/>
                  <wp:cNvGraphicFramePr/>
                  <a:graphic xmlns:a="http://schemas.openxmlformats.org/drawingml/2006/main">
                    <a:graphicData uri="http://schemas.openxmlformats.org/drawingml/2006/picture">
                      <pic:pic xmlns:pic="http://schemas.openxmlformats.org/drawingml/2006/picture">
                        <pic:nvPicPr>
                          <pic:cNvPr id="27" name="图片_9"/>
                          <pic:cNvPicPr/>
                        </pic:nvPicPr>
                        <pic:blipFill>
                          <a:blip r:embed="rId35"/>
                          <a:stretch>
                            <a:fillRect/>
                          </a:stretch>
                        </pic:blipFill>
                        <pic:spPr>
                          <a:xfrm>
                            <a:off x="0" y="0"/>
                            <a:ext cx="320040" cy="6172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化药柜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800*450*1800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1" name="Picture_124"/>
                  <wp:cNvGraphicFramePr/>
                  <a:graphic xmlns:a="http://schemas.openxmlformats.org/drawingml/2006/main">
                    <a:graphicData uri="http://schemas.openxmlformats.org/drawingml/2006/picture">
                      <pic:pic xmlns:pic="http://schemas.openxmlformats.org/drawingml/2006/picture">
                        <pic:nvPicPr>
                          <pic:cNvPr id="21" name="Picture_12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3" name="Picture_124_SpCnt_1"/>
                  <wp:cNvGraphicFramePr/>
                  <a:graphic xmlns:a="http://schemas.openxmlformats.org/drawingml/2006/main">
                    <a:graphicData uri="http://schemas.openxmlformats.org/drawingml/2006/picture">
                      <pic:pic xmlns:pic="http://schemas.openxmlformats.org/drawingml/2006/picture">
                        <pic:nvPicPr>
                          <pic:cNvPr id="23" name="Picture_124_SpCnt_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75260"/>
                  <wp:effectExtent l="0" t="0" r="0" b="0"/>
                  <wp:wrapNone/>
                  <wp:docPr id="26" name="Picture_124_SpCnt_2"/>
                  <wp:cNvGraphicFramePr/>
                  <a:graphic xmlns:a="http://schemas.openxmlformats.org/drawingml/2006/main">
                    <a:graphicData uri="http://schemas.openxmlformats.org/drawingml/2006/picture">
                      <pic:pic xmlns:pic="http://schemas.openxmlformats.org/drawingml/2006/picture">
                        <pic:nvPicPr>
                          <pic:cNvPr id="26" name="Picture_124_SpCnt_2"/>
                          <pic:cNvPicPr/>
                        </pic:nvPicPr>
                        <pic:blipFill>
                          <a:blip r:embed="rId37"/>
                          <a:stretch>
                            <a:fillRect/>
                          </a:stretch>
                        </pic:blipFill>
                        <pic:spPr>
                          <a:xfrm>
                            <a:off x="0" y="0"/>
                            <a:ext cx="16002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75260"/>
                  <wp:effectExtent l="0" t="0" r="0" b="0"/>
                  <wp:wrapNone/>
                  <wp:docPr id="22" name="Picture_124_SpCnt_3"/>
                  <wp:cNvGraphicFramePr/>
                  <a:graphic xmlns:a="http://schemas.openxmlformats.org/drawingml/2006/main">
                    <a:graphicData uri="http://schemas.openxmlformats.org/drawingml/2006/picture">
                      <pic:pic xmlns:pic="http://schemas.openxmlformats.org/drawingml/2006/picture">
                        <pic:nvPicPr>
                          <pic:cNvPr id="22" name="Picture_124_SpCnt_3"/>
                          <pic:cNvPicPr/>
                        </pic:nvPicPr>
                        <pic:blipFill>
                          <a:blip r:embed="rId37"/>
                          <a:stretch>
                            <a:fillRect/>
                          </a:stretch>
                        </pic:blipFill>
                        <pic:spPr>
                          <a:xfrm>
                            <a:off x="0" y="0"/>
                            <a:ext cx="16002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1、基材：采用优质环保E1级实木多层板，甲醛释放量≤1.5mg/L、经过二次高温处理甲醛及甲苯。面板厚度60mm。</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2、贴面：采用优质耐磨三聚氢防火板，使用10年不褪色、耐磨耐高温。</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3、封边：无色差PVC封边条，厚度2mm 以上。</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4、五金配件：优质五金配件。</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5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13</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165100</wp:posOffset>
                  </wp:positionH>
                  <wp:positionV relativeFrom="paragraph">
                    <wp:posOffset>413385</wp:posOffset>
                  </wp:positionV>
                  <wp:extent cx="815340" cy="434340"/>
                  <wp:effectExtent l="0" t="0" r="3810" b="3810"/>
                  <wp:wrapNone/>
                  <wp:docPr id="16" name="图片_2"/>
                  <wp:cNvGraphicFramePr/>
                  <a:graphic xmlns:a="http://schemas.openxmlformats.org/drawingml/2006/main">
                    <a:graphicData uri="http://schemas.openxmlformats.org/drawingml/2006/picture">
                      <pic:pic xmlns:pic="http://schemas.openxmlformats.org/drawingml/2006/picture">
                        <pic:nvPicPr>
                          <pic:cNvPr id="16" name="图片_2"/>
                          <pic:cNvPicPr/>
                        </pic:nvPicPr>
                        <pic:blipFill>
                          <a:blip r:embed="rId38"/>
                          <a:stretch>
                            <a:fillRect/>
                          </a:stretch>
                        </pic:blipFill>
                        <pic:spPr>
                          <a:xfrm>
                            <a:off x="0" y="0"/>
                            <a:ext cx="815340" cy="4343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儿童诊查床   （床面颜色可换）</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1200*600*550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 name="Picture_124_SpCnt_4"/>
                  <wp:cNvGraphicFramePr/>
                  <a:graphic xmlns:a="http://schemas.openxmlformats.org/drawingml/2006/main">
                    <a:graphicData uri="http://schemas.openxmlformats.org/drawingml/2006/picture">
                      <pic:pic xmlns:pic="http://schemas.openxmlformats.org/drawingml/2006/picture">
                        <pic:nvPicPr>
                          <pic:cNvPr id="14" name="Picture_124_SpCnt_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4" name="Picture_124_SpCnt_5"/>
                  <wp:cNvGraphicFramePr/>
                  <a:graphic xmlns:a="http://schemas.openxmlformats.org/drawingml/2006/main">
                    <a:graphicData uri="http://schemas.openxmlformats.org/drawingml/2006/picture">
                      <pic:pic xmlns:pic="http://schemas.openxmlformats.org/drawingml/2006/picture">
                        <pic:nvPicPr>
                          <pic:cNvPr id="24" name="Picture_124_SpCnt_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75260"/>
                  <wp:effectExtent l="0" t="0" r="0" b="0"/>
                  <wp:wrapNone/>
                  <wp:docPr id="17" name="Picture_124_SpCnt_6"/>
                  <wp:cNvGraphicFramePr/>
                  <a:graphic xmlns:a="http://schemas.openxmlformats.org/drawingml/2006/main">
                    <a:graphicData uri="http://schemas.openxmlformats.org/drawingml/2006/picture">
                      <pic:pic xmlns:pic="http://schemas.openxmlformats.org/drawingml/2006/picture">
                        <pic:nvPicPr>
                          <pic:cNvPr id="17" name="Picture_124_SpCnt_6"/>
                          <pic:cNvPicPr/>
                        </pic:nvPicPr>
                        <pic:blipFill>
                          <a:blip r:embed="rId37"/>
                          <a:stretch>
                            <a:fillRect/>
                          </a:stretch>
                        </pic:blipFill>
                        <pic:spPr>
                          <a:xfrm>
                            <a:off x="0" y="0"/>
                            <a:ext cx="16002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75260"/>
                  <wp:effectExtent l="0" t="0" r="0" b="0"/>
                  <wp:wrapNone/>
                  <wp:docPr id="25" name="Picture_124_SpCnt_7"/>
                  <wp:cNvGraphicFramePr/>
                  <a:graphic xmlns:a="http://schemas.openxmlformats.org/drawingml/2006/main">
                    <a:graphicData uri="http://schemas.openxmlformats.org/drawingml/2006/picture">
                      <pic:pic xmlns:pic="http://schemas.openxmlformats.org/drawingml/2006/picture">
                        <pic:nvPicPr>
                          <pic:cNvPr id="25" name="Picture_124_SpCnt_7"/>
                          <pic:cNvPicPr/>
                        </pic:nvPicPr>
                        <pic:blipFill>
                          <a:blip r:embed="rId37"/>
                          <a:stretch>
                            <a:fillRect/>
                          </a:stretch>
                        </pic:blipFill>
                        <pic:spPr>
                          <a:xfrm>
                            <a:off x="0" y="0"/>
                            <a:ext cx="16002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1.贴面用材：采用防火板饰面，硬度高，耐磨、耐热性好，表面平滑光洁 。</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2.封边：优质PVC同色封边。 </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3.基材板材：E1级环保刨花板，性能指标均达到或优于国家标准。</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4.五金配件：采用优质三节轨、锁具。</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14</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396240</wp:posOffset>
                  </wp:positionH>
                  <wp:positionV relativeFrom="paragraph">
                    <wp:posOffset>678180</wp:posOffset>
                  </wp:positionV>
                  <wp:extent cx="350520" cy="716280"/>
                  <wp:effectExtent l="0" t="0" r="11430" b="7620"/>
                  <wp:wrapNone/>
                  <wp:docPr id="5" name="图片_94"/>
                  <wp:cNvGraphicFramePr/>
                  <a:graphic xmlns:a="http://schemas.openxmlformats.org/drawingml/2006/main">
                    <a:graphicData uri="http://schemas.openxmlformats.org/drawingml/2006/picture">
                      <pic:pic xmlns:pic="http://schemas.openxmlformats.org/drawingml/2006/picture">
                        <pic:nvPicPr>
                          <pic:cNvPr id="5" name="图片_94"/>
                          <pic:cNvPicPr/>
                        </pic:nvPicPr>
                        <pic:blipFill>
                          <a:blip r:embed="rId39"/>
                          <a:stretch>
                            <a:fillRect/>
                          </a:stretch>
                        </pic:blipFill>
                        <pic:spPr>
                          <a:xfrm>
                            <a:off x="0" y="0"/>
                            <a:ext cx="350520" cy="7162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二门柜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800*400*2000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隔离室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207645</wp:posOffset>
                  </wp:positionH>
                  <wp:positionV relativeFrom="paragraph">
                    <wp:posOffset>320675</wp:posOffset>
                  </wp:positionV>
                  <wp:extent cx="762000" cy="449580"/>
                  <wp:effectExtent l="0" t="0" r="0" b="7620"/>
                  <wp:wrapNone/>
                  <wp:docPr id="8" name="图片_23"/>
                  <wp:cNvGraphicFramePr/>
                  <a:graphic xmlns:a="http://schemas.openxmlformats.org/drawingml/2006/main">
                    <a:graphicData uri="http://schemas.openxmlformats.org/drawingml/2006/picture">
                      <pic:pic xmlns:pic="http://schemas.openxmlformats.org/drawingml/2006/picture">
                        <pic:nvPicPr>
                          <pic:cNvPr id="8" name="图片_23"/>
                          <pic:cNvPicPr/>
                        </pic:nvPicPr>
                        <pic:blipFill>
                          <a:blip r:embed="rId40"/>
                          <a:stretch>
                            <a:fillRect/>
                          </a:stretch>
                        </pic:blipFill>
                        <pic:spPr>
                          <a:xfrm>
                            <a:off x="0" y="0"/>
                            <a:ext cx="762000" cy="4495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幼儿床</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1400*650*550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选用优质橡木，工艺：边缘抛圆处理，外表面和内表面以及儿童手指可触及的隐蔽处，均不得有锐利的棱角、毛刺以及小五金部件露出的锐利尖锐</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油漆：环保型全哑光聚脂清面漆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餐厅</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16</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323850</wp:posOffset>
                  </wp:positionH>
                  <wp:positionV relativeFrom="paragraph">
                    <wp:posOffset>389890</wp:posOffset>
                  </wp:positionV>
                  <wp:extent cx="708660" cy="563880"/>
                  <wp:effectExtent l="0" t="0" r="15240" b="7620"/>
                  <wp:wrapNone/>
                  <wp:docPr id="11" name="图片_58"/>
                  <wp:cNvGraphicFramePr/>
                  <a:graphic xmlns:a="http://schemas.openxmlformats.org/drawingml/2006/main">
                    <a:graphicData uri="http://schemas.openxmlformats.org/drawingml/2006/picture">
                      <pic:pic xmlns:pic="http://schemas.openxmlformats.org/drawingml/2006/picture">
                        <pic:nvPicPr>
                          <pic:cNvPr id="11" name="图片_58"/>
                          <pic:cNvPicPr/>
                        </pic:nvPicPr>
                        <pic:blipFill>
                          <a:blip r:embed="rId41"/>
                          <a:stretch>
                            <a:fillRect/>
                          </a:stretch>
                        </pic:blipFill>
                        <pic:spPr>
                          <a:xfrm>
                            <a:off x="0" y="0"/>
                            <a:ext cx="708660" cy="5638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连体餐桌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1200*1600*735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质：木饰部分为实木多层板基材，表面贴防火防水装饰板，（正面SL-23茶色细接木，反面LT-31050-3白色），四周经过多次打磨清漆防水封边；桌面尺寸1200*650*18，凳面：430*400*12，钢架为直径38*1.5厚钢管，表面经酸洗、凝化、高温静电喷涂，白色钢架。五金配件：采用优质五金件，所有五金配件全部经过防锈、防腐处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17</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424815</wp:posOffset>
                  </wp:positionH>
                  <wp:positionV relativeFrom="paragraph">
                    <wp:posOffset>193040</wp:posOffset>
                  </wp:positionV>
                  <wp:extent cx="441960" cy="548640"/>
                  <wp:effectExtent l="0" t="0" r="15240" b="3810"/>
                  <wp:wrapNone/>
                  <wp:docPr id="6" name="图片_42"/>
                  <wp:cNvGraphicFramePr/>
                  <a:graphic xmlns:a="http://schemas.openxmlformats.org/drawingml/2006/main">
                    <a:graphicData uri="http://schemas.openxmlformats.org/drawingml/2006/picture">
                      <pic:pic xmlns:pic="http://schemas.openxmlformats.org/drawingml/2006/picture">
                        <pic:nvPicPr>
                          <pic:cNvPr id="6" name="图片_42"/>
                          <pic:cNvPicPr/>
                        </pic:nvPicPr>
                        <pic:blipFill>
                          <a:blip r:embed="rId42"/>
                          <a:stretch>
                            <a:fillRect/>
                          </a:stretch>
                        </pic:blipFill>
                        <pic:spPr>
                          <a:xfrm>
                            <a:off x="0" y="0"/>
                            <a:ext cx="44196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1、基材：采用优质多层板，甲醛释放量≤0.08mg/m³；                                2、贴面：选用双贴三聚氰胺浸渍面纸饰面材料；             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包厢</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18</w:t>
            </w:r>
          </w:p>
        </w:tc>
        <w:tc>
          <w:tcPr>
            <w:tcW w:w="19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98425</wp:posOffset>
                  </wp:positionH>
                  <wp:positionV relativeFrom="paragraph">
                    <wp:posOffset>268605</wp:posOffset>
                  </wp:positionV>
                  <wp:extent cx="891540" cy="784860"/>
                  <wp:effectExtent l="0" t="0" r="3810" b="15240"/>
                  <wp:wrapNone/>
                  <wp:docPr id="9" name="图片_7_SpCnt_1"/>
                  <wp:cNvGraphicFramePr/>
                  <a:graphic xmlns:a="http://schemas.openxmlformats.org/drawingml/2006/main">
                    <a:graphicData uri="http://schemas.openxmlformats.org/drawingml/2006/picture">
                      <pic:pic xmlns:pic="http://schemas.openxmlformats.org/drawingml/2006/picture">
                        <pic:nvPicPr>
                          <pic:cNvPr id="9" name="图片_7_SpCnt_1"/>
                          <pic:cNvPicPr/>
                        </pic:nvPicPr>
                        <pic:blipFill>
                          <a:blip r:embed="rId43"/>
                          <a:stretch>
                            <a:fillRect/>
                          </a:stretch>
                        </pic:blipFill>
                        <pic:spPr>
                          <a:xfrm>
                            <a:off x="0" y="0"/>
                            <a:ext cx="891540" cy="7848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圆餐桌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1800*1800*760</w:t>
            </w:r>
          </w:p>
        </w:tc>
        <w:tc>
          <w:tcPr>
            <w:tcW w:w="28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面材：采用优质胡桃木木皮贴面，无节疤，无裂纹，无朽木，色差过渡自然，木纹清晰，色泽一致，木皮拼接自然；基材：采用符合国家E1级标准的优质环保型中纤板，经国家绿色环保认证，环保标准。油漆：选用环保油漆，有害物质限量符合国标要求，达到色泽美观、不变色、光滑耐磨、手感好。五金配件：采用优质五金件，所有五金配件全部经过防锈、防腐处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19</w:t>
            </w:r>
          </w:p>
        </w:tc>
        <w:tc>
          <w:tcPr>
            <w:tcW w:w="19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餐椅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常规</w:t>
            </w:r>
          </w:p>
        </w:tc>
        <w:tc>
          <w:tcPr>
            <w:tcW w:w="28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459105</wp:posOffset>
                  </wp:positionH>
                  <wp:positionV relativeFrom="paragraph">
                    <wp:posOffset>287020</wp:posOffset>
                  </wp:positionV>
                  <wp:extent cx="441960" cy="548640"/>
                  <wp:effectExtent l="0" t="0" r="15240" b="3810"/>
                  <wp:wrapNone/>
                  <wp:docPr id="10" name="图片_42_SpCnt_1"/>
                  <wp:cNvGraphicFramePr/>
                  <a:graphic xmlns:a="http://schemas.openxmlformats.org/drawingml/2006/main">
                    <a:graphicData uri="http://schemas.openxmlformats.org/drawingml/2006/picture">
                      <pic:pic xmlns:pic="http://schemas.openxmlformats.org/drawingml/2006/picture">
                        <pic:nvPicPr>
                          <pic:cNvPr id="10" name="图片_42_SpCnt_1"/>
                          <pic:cNvPicPr/>
                        </pic:nvPicPr>
                        <pic:blipFill>
                          <a:blip r:embed="rId42"/>
                          <a:stretch>
                            <a:fillRect/>
                          </a:stretch>
                        </pic:blipFill>
                        <pic:spPr>
                          <a:xfrm>
                            <a:off x="0" y="0"/>
                            <a:ext cx="44196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1、基材：采用优质多层板，甲醛释放量≤0.08mg/m³；                                2、贴面：选用双贴三聚氰胺浸渍面纸饰面材料；             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DDEBF7"/>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DDEB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二层</w:t>
            </w:r>
          </w:p>
        </w:tc>
        <w:tc>
          <w:tcPr>
            <w:tcW w:w="777" w:type="dxa"/>
            <w:tcBorders>
              <w:top w:val="single" w:color="000000" w:sz="4" w:space="0"/>
              <w:left w:val="nil"/>
              <w:bottom w:val="single" w:color="000000" w:sz="4" w:space="0"/>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DDEBF7"/>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会议室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21</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155575</wp:posOffset>
                  </wp:positionH>
                  <wp:positionV relativeFrom="paragraph">
                    <wp:posOffset>626745</wp:posOffset>
                  </wp:positionV>
                  <wp:extent cx="883920" cy="617220"/>
                  <wp:effectExtent l="0" t="0" r="11430" b="11430"/>
                  <wp:wrapNone/>
                  <wp:docPr id="7" name="图片_202"/>
                  <wp:cNvGraphicFramePr/>
                  <a:graphic xmlns:a="http://schemas.openxmlformats.org/drawingml/2006/main">
                    <a:graphicData uri="http://schemas.openxmlformats.org/drawingml/2006/picture">
                      <pic:pic xmlns:pic="http://schemas.openxmlformats.org/drawingml/2006/picture">
                        <pic:nvPicPr>
                          <pic:cNvPr id="7" name="图片_202"/>
                          <pic:cNvPicPr/>
                        </pic:nvPicPr>
                        <pic:blipFill>
                          <a:blip r:embed="rId44"/>
                          <a:stretch>
                            <a:fillRect/>
                          </a:stretch>
                        </pic:blipFill>
                        <pic:spPr>
                          <a:xfrm>
                            <a:off x="0" y="0"/>
                            <a:ext cx="883920" cy="6172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会议桌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4500*1800*760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1、基材：采用优质环保实木多层板，符合GB/T 3324-2017、GB/T 35607-2017和GB 20286-2006标准；阻燃性能符合GB 20286-2006标准，甲醛释放量≤0.05mg/m3。</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2、贴面：采用优质耐磨三聚氰胺板，使用10年不褪色、耐磨耐高温</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3、封边：无色差PVC封边条，厚度2mm 以上。                  4、桌下设置检修门。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22</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371475</wp:posOffset>
                  </wp:positionH>
                  <wp:positionV relativeFrom="paragraph">
                    <wp:posOffset>528320</wp:posOffset>
                  </wp:positionV>
                  <wp:extent cx="381000" cy="480060"/>
                  <wp:effectExtent l="0" t="0" r="0" b="15240"/>
                  <wp:wrapNone/>
                  <wp:docPr id="12" name="图片_7_SpCnt_2"/>
                  <wp:cNvGraphicFramePr/>
                  <a:graphic xmlns:a="http://schemas.openxmlformats.org/drawingml/2006/main">
                    <a:graphicData uri="http://schemas.openxmlformats.org/drawingml/2006/picture">
                      <pic:pic xmlns:pic="http://schemas.openxmlformats.org/drawingml/2006/picture">
                        <pic:nvPicPr>
                          <pic:cNvPr id="12" name="图片_7_SpCnt_2"/>
                          <pic:cNvPicPr/>
                        </pic:nvPicPr>
                        <pic:blipFill>
                          <a:blip r:embed="rId45"/>
                          <a:stretch>
                            <a:fillRect/>
                          </a:stretch>
                        </pic:blipFill>
                        <pic:spPr>
                          <a:xfrm>
                            <a:off x="0" y="0"/>
                            <a:ext cx="381000" cy="4800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会议桌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495*590*965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1.白色全新料加纤背框，扪华宇透气网布；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2.龙骨设计，贴合腰部支撑，更加舒适；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3.白色全新料加纤宽边大扶手；</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4.座包一体成型定型海绵+座壳，永不变形，扪华宇透气网布；</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5.2.0mm厚度的A3钢材喷白弓形架。</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23</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440055</wp:posOffset>
                  </wp:positionH>
                  <wp:positionV relativeFrom="paragraph">
                    <wp:posOffset>259715</wp:posOffset>
                  </wp:positionV>
                  <wp:extent cx="441960" cy="548640"/>
                  <wp:effectExtent l="0" t="0" r="15240" b="3810"/>
                  <wp:wrapNone/>
                  <wp:docPr id="2" name="图片_42_SpCnt_2"/>
                  <wp:cNvGraphicFramePr/>
                  <a:graphic xmlns:a="http://schemas.openxmlformats.org/drawingml/2006/main">
                    <a:graphicData uri="http://schemas.openxmlformats.org/drawingml/2006/picture">
                      <pic:pic xmlns:pic="http://schemas.openxmlformats.org/drawingml/2006/picture">
                        <pic:nvPicPr>
                          <pic:cNvPr id="2" name="图片_42_SpCnt_2"/>
                          <pic:cNvPicPr/>
                        </pic:nvPicPr>
                        <pic:blipFill>
                          <a:blip r:embed="rId42"/>
                          <a:stretch>
                            <a:fillRect/>
                          </a:stretch>
                        </pic:blipFill>
                        <pic:spPr>
                          <a:xfrm>
                            <a:off x="0" y="0"/>
                            <a:ext cx="44196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1、基材：采用优质多层板，甲醛释放量≤0.08mg/m³；                                2、贴面：选用双贴三聚氰胺浸渍面纸饰面材料；             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工会活动室兼家长接待室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9"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24</w:t>
            </w:r>
          </w:p>
        </w:tc>
        <w:tc>
          <w:tcPr>
            <w:tcW w:w="19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148590</wp:posOffset>
                  </wp:positionH>
                  <wp:positionV relativeFrom="paragraph">
                    <wp:posOffset>576580</wp:posOffset>
                  </wp:positionV>
                  <wp:extent cx="906780" cy="723900"/>
                  <wp:effectExtent l="0" t="0" r="7620" b="0"/>
                  <wp:wrapNone/>
                  <wp:docPr id="13" name="图片_8"/>
                  <wp:cNvGraphicFramePr/>
                  <a:graphic xmlns:a="http://schemas.openxmlformats.org/drawingml/2006/main">
                    <a:graphicData uri="http://schemas.openxmlformats.org/drawingml/2006/picture">
                      <pic:pic xmlns:pic="http://schemas.openxmlformats.org/drawingml/2006/picture">
                        <pic:nvPicPr>
                          <pic:cNvPr id="13" name="图片_8"/>
                          <pic:cNvPicPr/>
                        </pic:nvPicPr>
                        <pic:blipFill>
                          <a:blip r:embed="rId46"/>
                          <a:stretch>
                            <a:fillRect/>
                          </a:stretch>
                        </pic:blipFill>
                        <pic:spPr>
                          <a:xfrm>
                            <a:off x="0" y="0"/>
                            <a:ext cx="906780" cy="72390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三人位</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常规</w:t>
            </w:r>
          </w:p>
        </w:tc>
        <w:tc>
          <w:tcPr>
            <w:tcW w:w="28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 name="Picture_124_SpCnt_8"/>
                  <wp:cNvGraphicFramePr/>
                  <a:graphic xmlns:a="http://schemas.openxmlformats.org/drawingml/2006/main">
                    <a:graphicData uri="http://schemas.openxmlformats.org/drawingml/2006/picture">
                      <pic:pic xmlns:pic="http://schemas.openxmlformats.org/drawingml/2006/picture">
                        <pic:nvPicPr>
                          <pic:cNvPr id="1" name="Picture_124_SpCnt_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35" name="Picture_124_SpCnt_9"/>
                  <wp:cNvGraphicFramePr/>
                  <a:graphic xmlns:a="http://schemas.openxmlformats.org/drawingml/2006/main">
                    <a:graphicData uri="http://schemas.openxmlformats.org/drawingml/2006/picture">
                      <pic:pic xmlns:pic="http://schemas.openxmlformats.org/drawingml/2006/picture">
                        <pic:nvPicPr>
                          <pic:cNvPr id="35" name="Picture_124_SpCnt_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40" name="Picture_124_SpCnt_10"/>
                  <wp:cNvGraphicFramePr/>
                  <a:graphic xmlns:a="http://schemas.openxmlformats.org/drawingml/2006/main">
                    <a:graphicData uri="http://schemas.openxmlformats.org/drawingml/2006/picture">
                      <pic:pic xmlns:pic="http://schemas.openxmlformats.org/drawingml/2006/picture">
                        <pic:nvPicPr>
                          <pic:cNvPr id="40" name="Picture_124_SpCnt_1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39" name="Picture_124_SpCnt_11"/>
                  <wp:cNvGraphicFramePr/>
                  <a:graphic xmlns:a="http://schemas.openxmlformats.org/drawingml/2006/main">
                    <a:graphicData uri="http://schemas.openxmlformats.org/drawingml/2006/picture">
                      <pic:pic xmlns:pic="http://schemas.openxmlformats.org/drawingml/2006/picture">
                        <pic:nvPicPr>
                          <pic:cNvPr id="39" name="Picture_124_SpCnt_1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44" name="Picture_124_SpCnt_12"/>
                  <wp:cNvGraphicFramePr/>
                  <a:graphic xmlns:a="http://schemas.openxmlformats.org/drawingml/2006/main">
                    <a:graphicData uri="http://schemas.openxmlformats.org/drawingml/2006/picture">
                      <pic:pic xmlns:pic="http://schemas.openxmlformats.org/drawingml/2006/picture">
                        <pic:nvPicPr>
                          <pic:cNvPr id="44" name="Picture_124_SpCnt_1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41" name="Picture_124_SpCnt_13"/>
                  <wp:cNvGraphicFramePr/>
                  <a:graphic xmlns:a="http://schemas.openxmlformats.org/drawingml/2006/main">
                    <a:graphicData uri="http://schemas.openxmlformats.org/drawingml/2006/picture">
                      <pic:pic xmlns:pic="http://schemas.openxmlformats.org/drawingml/2006/picture">
                        <pic:nvPicPr>
                          <pic:cNvPr id="41" name="Picture_124_SpCnt_1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38" name="Picture_124_SpCnt_14"/>
                  <wp:cNvGraphicFramePr/>
                  <a:graphic xmlns:a="http://schemas.openxmlformats.org/drawingml/2006/main">
                    <a:graphicData uri="http://schemas.openxmlformats.org/drawingml/2006/picture">
                      <pic:pic xmlns:pic="http://schemas.openxmlformats.org/drawingml/2006/picture">
                        <pic:nvPicPr>
                          <pic:cNvPr id="38" name="Picture_124_SpCnt_1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42" name="Picture_124_SpCnt_15"/>
                  <wp:cNvGraphicFramePr/>
                  <a:graphic xmlns:a="http://schemas.openxmlformats.org/drawingml/2006/main">
                    <a:graphicData uri="http://schemas.openxmlformats.org/drawingml/2006/picture">
                      <pic:pic xmlns:pic="http://schemas.openxmlformats.org/drawingml/2006/picture">
                        <pic:nvPicPr>
                          <pic:cNvPr id="42" name="Picture_124_SpCnt_1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36" name="Picture_124_SpCnt_16"/>
                  <wp:cNvGraphicFramePr/>
                  <a:graphic xmlns:a="http://schemas.openxmlformats.org/drawingml/2006/main">
                    <a:graphicData uri="http://schemas.openxmlformats.org/drawingml/2006/picture">
                      <pic:pic xmlns:pic="http://schemas.openxmlformats.org/drawingml/2006/picture">
                        <pic:nvPicPr>
                          <pic:cNvPr id="36" name="Picture_124_SpCnt_1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43" name="Picture_124_SpCnt_17"/>
                  <wp:cNvGraphicFramePr/>
                  <a:graphic xmlns:a="http://schemas.openxmlformats.org/drawingml/2006/main">
                    <a:graphicData uri="http://schemas.openxmlformats.org/drawingml/2006/picture">
                      <pic:pic xmlns:pic="http://schemas.openxmlformats.org/drawingml/2006/picture">
                        <pic:nvPicPr>
                          <pic:cNvPr id="43" name="Picture_124_SpCnt_1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37" name="Picture_124_SpCnt_18"/>
                  <wp:cNvGraphicFramePr/>
                  <a:graphic xmlns:a="http://schemas.openxmlformats.org/drawingml/2006/main">
                    <a:graphicData uri="http://schemas.openxmlformats.org/drawingml/2006/picture">
                      <pic:pic xmlns:pic="http://schemas.openxmlformats.org/drawingml/2006/picture">
                        <pic:nvPicPr>
                          <pic:cNvPr id="37" name="Picture_124_SpCnt_1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45" name="Picture_124_SpCnt_19"/>
                  <wp:cNvGraphicFramePr/>
                  <a:graphic xmlns:a="http://schemas.openxmlformats.org/drawingml/2006/main">
                    <a:graphicData uri="http://schemas.openxmlformats.org/drawingml/2006/picture">
                      <pic:pic xmlns:pic="http://schemas.openxmlformats.org/drawingml/2006/picture">
                        <pic:nvPicPr>
                          <pic:cNvPr id="45" name="Picture_124_SpCnt_1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46" name="Picture_124_SpCnt_20"/>
                  <wp:cNvGraphicFramePr/>
                  <a:graphic xmlns:a="http://schemas.openxmlformats.org/drawingml/2006/main">
                    <a:graphicData uri="http://schemas.openxmlformats.org/drawingml/2006/picture">
                      <pic:pic xmlns:pic="http://schemas.openxmlformats.org/drawingml/2006/picture">
                        <pic:nvPicPr>
                          <pic:cNvPr id="46" name="Picture_124_SpCnt_2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8" name="Picture_124_SpCnt_21"/>
                  <wp:cNvGraphicFramePr/>
                  <a:graphic xmlns:a="http://schemas.openxmlformats.org/drawingml/2006/main">
                    <a:graphicData uri="http://schemas.openxmlformats.org/drawingml/2006/picture">
                      <pic:pic xmlns:pic="http://schemas.openxmlformats.org/drawingml/2006/picture">
                        <pic:nvPicPr>
                          <pic:cNvPr id="138" name="Picture_124_SpCnt_2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2" name="Picture_124_SpCnt_22"/>
                  <wp:cNvGraphicFramePr/>
                  <a:graphic xmlns:a="http://schemas.openxmlformats.org/drawingml/2006/main">
                    <a:graphicData uri="http://schemas.openxmlformats.org/drawingml/2006/picture">
                      <pic:pic xmlns:pic="http://schemas.openxmlformats.org/drawingml/2006/picture">
                        <pic:nvPicPr>
                          <pic:cNvPr id="122" name="Picture_124_SpCnt_2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8" name="Picture_124_SpCnt_23"/>
                  <wp:cNvGraphicFramePr/>
                  <a:graphic xmlns:a="http://schemas.openxmlformats.org/drawingml/2006/main">
                    <a:graphicData uri="http://schemas.openxmlformats.org/drawingml/2006/picture">
                      <pic:pic xmlns:pic="http://schemas.openxmlformats.org/drawingml/2006/picture">
                        <pic:nvPicPr>
                          <pic:cNvPr id="128" name="Picture_124_SpCnt_2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4" name="Picture_124_SpCnt_24"/>
                  <wp:cNvGraphicFramePr/>
                  <a:graphic xmlns:a="http://schemas.openxmlformats.org/drawingml/2006/main">
                    <a:graphicData uri="http://schemas.openxmlformats.org/drawingml/2006/picture">
                      <pic:pic xmlns:pic="http://schemas.openxmlformats.org/drawingml/2006/picture">
                        <pic:nvPicPr>
                          <pic:cNvPr id="124" name="Picture_124_SpCnt_2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2" name="Picture_124_SpCnt_25"/>
                  <wp:cNvGraphicFramePr/>
                  <a:graphic xmlns:a="http://schemas.openxmlformats.org/drawingml/2006/main">
                    <a:graphicData uri="http://schemas.openxmlformats.org/drawingml/2006/picture">
                      <pic:pic xmlns:pic="http://schemas.openxmlformats.org/drawingml/2006/picture">
                        <pic:nvPicPr>
                          <pic:cNvPr id="112" name="Picture_124_SpCnt_2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5" name="Picture_124_SpCnt_26"/>
                  <wp:cNvGraphicFramePr/>
                  <a:graphic xmlns:a="http://schemas.openxmlformats.org/drawingml/2006/main">
                    <a:graphicData uri="http://schemas.openxmlformats.org/drawingml/2006/picture">
                      <pic:pic xmlns:pic="http://schemas.openxmlformats.org/drawingml/2006/picture">
                        <pic:nvPicPr>
                          <pic:cNvPr id="125" name="Picture_124_SpCnt_2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0" name="Picture_124_SpCnt_27"/>
                  <wp:cNvGraphicFramePr/>
                  <a:graphic xmlns:a="http://schemas.openxmlformats.org/drawingml/2006/main">
                    <a:graphicData uri="http://schemas.openxmlformats.org/drawingml/2006/picture">
                      <pic:pic xmlns:pic="http://schemas.openxmlformats.org/drawingml/2006/picture">
                        <pic:nvPicPr>
                          <pic:cNvPr id="130" name="Picture_124_SpCnt_2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1" name="Picture_124_SpCnt_28"/>
                  <wp:cNvGraphicFramePr/>
                  <a:graphic xmlns:a="http://schemas.openxmlformats.org/drawingml/2006/main">
                    <a:graphicData uri="http://schemas.openxmlformats.org/drawingml/2006/picture">
                      <pic:pic xmlns:pic="http://schemas.openxmlformats.org/drawingml/2006/picture">
                        <pic:nvPicPr>
                          <pic:cNvPr id="131" name="Picture_124_SpCnt_2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6" name="Picture_124_SpCnt_29"/>
                  <wp:cNvGraphicFramePr/>
                  <a:graphic xmlns:a="http://schemas.openxmlformats.org/drawingml/2006/main">
                    <a:graphicData uri="http://schemas.openxmlformats.org/drawingml/2006/picture">
                      <pic:pic xmlns:pic="http://schemas.openxmlformats.org/drawingml/2006/picture">
                        <pic:nvPicPr>
                          <pic:cNvPr id="116" name="Picture_124_SpCnt_2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6" name="Picture_124_SpCnt_30"/>
                  <wp:cNvGraphicFramePr/>
                  <a:graphic xmlns:a="http://schemas.openxmlformats.org/drawingml/2006/main">
                    <a:graphicData uri="http://schemas.openxmlformats.org/drawingml/2006/picture">
                      <pic:pic xmlns:pic="http://schemas.openxmlformats.org/drawingml/2006/picture">
                        <pic:nvPicPr>
                          <pic:cNvPr id="126" name="Picture_124_SpCnt_3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3" name="Picture_124_SpCnt_31"/>
                  <wp:cNvGraphicFramePr/>
                  <a:graphic xmlns:a="http://schemas.openxmlformats.org/drawingml/2006/main">
                    <a:graphicData uri="http://schemas.openxmlformats.org/drawingml/2006/picture">
                      <pic:pic xmlns:pic="http://schemas.openxmlformats.org/drawingml/2006/picture">
                        <pic:nvPicPr>
                          <pic:cNvPr id="133" name="Picture_124_SpCnt_3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1" name="Picture_124_SpCnt_32"/>
                  <wp:cNvGraphicFramePr/>
                  <a:graphic xmlns:a="http://schemas.openxmlformats.org/drawingml/2006/main">
                    <a:graphicData uri="http://schemas.openxmlformats.org/drawingml/2006/picture">
                      <pic:pic xmlns:pic="http://schemas.openxmlformats.org/drawingml/2006/picture">
                        <pic:nvPicPr>
                          <pic:cNvPr id="111" name="Picture_124_SpCnt_3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7" name="Picture_124_SpCnt_33"/>
                  <wp:cNvGraphicFramePr/>
                  <a:graphic xmlns:a="http://schemas.openxmlformats.org/drawingml/2006/main">
                    <a:graphicData uri="http://schemas.openxmlformats.org/drawingml/2006/picture">
                      <pic:pic xmlns:pic="http://schemas.openxmlformats.org/drawingml/2006/picture">
                        <pic:nvPicPr>
                          <pic:cNvPr id="127" name="Picture_124_SpCnt_3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3" name="Picture_124_SpCnt_34"/>
                  <wp:cNvGraphicFramePr/>
                  <a:graphic xmlns:a="http://schemas.openxmlformats.org/drawingml/2006/main">
                    <a:graphicData uri="http://schemas.openxmlformats.org/drawingml/2006/picture">
                      <pic:pic xmlns:pic="http://schemas.openxmlformats.org/drawingml/2006/picture">
                        <pic:nvPicPr>
                          <pic:cNvPr id="123" name="Picture_124_SpCnt_3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5" name="Picture_124_SpCnt_35"/>
                  <wp:cNvGraphicFramePr/>
                  <a:graphic xmlns:a="http://schemas.openxmlformats.org/drawingml/2006/main">
                    <a:graphicData uri="http://schemas.openxmlformats.org/drawingml/2006/picture">
                      <pic:pic xmlns:pic="http://schemas.openxmlformats.org/drawingml/2006/picture">
                        <pic:nvPicPr>
                          <pic:cNvPr id="115" name="Picture_124_SpCnt_3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9" name="Picture_124_SpCnt_36"/>
                  <wp:cNvGraphicFramePr/>
                  <a:graphic xmlns:a="http://schemas.openxmlformats.org/drawingml/2006/main">
                    <a:graphicData uri="http://schemas.openxmlformats.org/drawingml/2006/picture">
                      <pic:pic xmlns:pic="http://schemas.openxmlformats.org/drawingml/2006/picture">
                        <pic:nvPicPr>
                          <pic:cNvPr id="129" name="Picture_124_SpCnt_3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7" name="Picture_124_SpCnt_37"/>
                  <wp:cNvGraphicFramePr/>
                  <a:graphic xmlns:a="http://schemas.openxmlformats.org/drawingml/2006/main">
                    <a:graphicData uri="http://schemas.openxmlformats.org/drawingml/2006/picture">
                      <pic:pic xmlns:pic="http://schemas.openxmlformats.org/drawingml/2006/picture">
                        <pic:nvPicPr>
                          <pic:cNvPr id="117" name="Picture_124_SpCnt_3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3" name="Picture_124_SpCnt_38"/>
                  <wp:cNvGraphicFramePr/>
                  <a:graphic xmlns:a="http://schemas.openxmlformats.org/drawingml/2006/main">
                    <a:graphicData uri="http://schemas.openxmlformats.org/drawingml/2006/picture">
                      <pic:pic xmlns:pic="http://schemas.openxmlformats.org/drawingml/2006/picture">
                        <pic:nvPicPr>
                          <pic:cNvPr id="113" name="Picture_124_SpCnt_3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2" name="Picture_124_SpCnt_39"/>
                  <wp:cNvGraphicFramePr/>
                  <a:graphic xmlns:a="http://schemas.openxmlformats.org/drawingml/2006/main">
                    <a:graphicData uri="http://schemas.openxmlformats.org/drawingml/2006/picture">
                      <pic:pic xmlns:pic="http://schemas.openxmlformats.org/drawingml/2006/picture">
                        <pic:nvPicPr>
                          <pic:cNvPr id="132" name="Picture_124_SpCnt_3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9" name="Picture_124_SpCnt_40"/>
                  <wp:cNvGraphicFramePr/>
                  <a:graphic xmlns:a="http://schemas.openxmlformats.org/drawingml/2006/main">
                    <a:graphicData uri="http://schemas.openxmlformats.org/drawingml/2006/picture">
                      <pic:pic xmlns:pic="http://schemas.openxmlformats.org/drawingml/2006/picture">
                        <pic:nvPicPr>
                          <pic:cNvPr id="119" name="Picture_124_SpCnt_4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4" name="Picture_124_SpCnt_41"/>
                  <wp:cNvGraphicFramePr/>
                  <a:graphic xmlns:a="http://schemas.openxmlformats.org/drawingml/2006/main">
                    <a:graphicData uri="http://schemas.openxmlformats.org/drawingml/2006/picture">
                      <pic:pic xmlns:pic="http://schemas.openxmlformats.org/drawingml/2006/picture">
                        <pic:nvPicPr>
                          <pic:cNvPr id="134" name="Picture_124_SpCnt_4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7" name="Picture_124_SpCnt_42"/>
                  <wp:cNvGraphicFramePr/>
                  <a:graphic xmlns:a="http://schemas.openxmlformats.org/drawingml/2006/main">
                    <a:graphicData uri="http://schemas.openxmlformats.org/drawingml/2006/picture">
                      <pic:pic xmlns:pic="http://schemas.openxmlformats.org/drawingml/2006/picture">
                        <pic:nvPicPr>
                          <pic:cNvPr id="137" name="Picture_124_SpCnt_4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1" name="Picture_124_SpCnt_43"/>
                  <wp:cNvGraphicFramePr/>
                  <a:graphic xmlns:a="http://schemas.openxmlformats.org/drawingml/2006/main">
                    <a:graphicData uri="http://schemas.openxmlformats.org/drawingml/2006/picture">
                      <pic:pic xmlns:pic="http://schemas.openxmlformats.org/drawingml/2006/picture">
                        <pic:nvPicPr>
                          <pic:cNvPr id="121" name="Picture_124_SpCnt_4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5" name="Picture_124_SpCnt_44"/>
                  <wp:cNvGraphicFramePr/>
                  <a:graphic xmlns:a="http://schemas.openxmlformats.org/drawingml/2006/main">
                    <a:graphicData uri="http://schemas.openxmlformats.org/drawingml/2006/picture">
                      <pic:pic xmlns:pic="http://schemas.openxmlformats.org/drawingml/2006/picture">
                        <pic:nvPicPr>
                          <pic:cNvPr id="135" name="Picture_124_SpCnt_4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36" name="Picture_124_SpCnt_45"/>
                  <wp:cNvGraphicFramePr/>
                  <a:graphic xmlns:a="http://schemas.openxmlformats.org/drawingml/2006/main">
                    <a:graphicData uri="http://schemas.openxmlformats.org/drawingml/2006/picture">
                      <pic:pic xmlns:pic="http://schemas.openxmlformats.org/drawingml/2006/picture">
                        <pic:nvPicPr>
                          <pic:cNvPr id="136" name="Picture_124_SpCnt_4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8" name="Picture_124_SpCnt_46"/>
                  <wp:cNvGraphicFramePr/>
                  <a:graphic xmlns:a="http://schemas.openxmlformats.org/drawingml/2006/main">
                    <a:graphicData uri="http://schemas.openxmlformats.org/drawingml/2006/picture">
                      <pic:pic xmlns:pic="http://schemas.openxmlformats.org/drawingml/2006/picture">
                        <pic:nvPicPr>
                          <pic:cNvPr id="118" name="Picture_124_SpCnt_4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07" name="Picture_124_SpCnt_47"/>
                  <wp:cNvGraphicFramePr/>
                  <a:graphic xmlns:a="http://schemas.openxmlformats.org/drawingml/2006/main">
                    <a:graphicData uri="http://schemas.openxmlformats.org/drawingml/2006/picture">
                      <pic:pic xmlns:pic="http://schemas.openxmlformats.org/drawingml/2006/picture">
                        <pic:nvPicPr>
                          <pic:cNvPr id="107" name="Picture_124_SpCnt_4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08" name="Picture_124_SpCnt_48"/>
                  <wp:cNvGraphicFramePr/>
                  <a:graphic xmlns:a="http://schemas.openxmlformats.org/drawingml/2006/main">
                    <a:graphicData uri="http://schemas.openxmlformats.org/drawingml/2006/picture">
                      <pic:pic xmlns:pic="http://schemas.openxmlformats.org/drawingml/2006/picture">
                        <pic:nvPicPr>
                          <pic:cNvPr id="108" name="Picture_124_SpCnt_4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09" name="Picture_124_SpCnt_49"/>
                  <wp:cNvGraphicFramePr/>
                  <a:graphic xmlns:a="http://schemas.openxmlformats.org/drawingml/2006/main">
                    <a:graphicData uri="http://schemas.openxmlformats.org/drawingml/2006/picture">
                      <pic:pic xmlns:pic="http://schemas.openxmlformats.org/drawingml/2006/picture">
                        <pic:nvPicPr>
                          <pic:cNvPr id="109" name="Picture_124_SpCnt_4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0" name="Picture_124_SpCnt_50"/>
                  <wp:cNvGraphicFramePr/>
                  <a:graphic xmlns:a="http://schemas.openxmlformats.org/drawingml/2006/main">
                    <a:graphicData uri="http://schemas.openxmlformats.org/drawingml/2006/picture">
                      <pic:pic xmlns:pic="http://schemas.openxmlformats.org/drawingml/2006/picture">
                        <pic:nvPicPr>
                          <pic:cNvPr id="110" name="Picture_124_SpCnt_5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14" name="Picture_124_SpCnt_51"/>
                  <wp:cNvGraphicFramePr/>
                  <a:graphic xmlns:a="http://schemas.openxmlformats.org/drawingml/2006/main">
                    <a:graphicData uri="http://schemas.openxmlformats.org/drawingml/2006/picture">
                      <pic:pic xmlns:pic="http://schemas.openxmlformats.org/drawingml/2006/picture">
                        <pic:nvPicPr>
                          <pic:cNvPr id="114" name="Picture_124_SpCnt_5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20" name="Picture_124_SpCnt_52"/>
                  <wp:cNvGraphicFramePr/>
                  <a:graphic xmlns:a="http://schemas.openxmlformats.org/drawingml/2006/main">
                    <a:graphicData uri="http://schemas.openxmlformats.org/drawingml/2006/picture">
                      <pic:pic xmlns:pic="http://schemas.openxmlformats.org/drawingml/2006/picture">
                        <pic:nvPicPr>
                          <pic:cNvPr id="120" name="Picture_124_SpCnt_5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507365</wp:posOffset>
                  </wp:positionV>
                  <wp:extent cx="167640" cy="167640"/>
                  <wp:effectExtent l="0" t="0" r="0" b="0"/>
                  <wp:wrapNone/>
                  <wp:docPr id="148" name="Picture_124_SpCnt_53"/>
                  <wp:cNvGraphicFramePr/>
                  <a:graphic xmlns:a="http://schemas.openxmlformats.org/drawingml/2006/main">
                    <a:graphicData uri="http://schemas.openxmlformats.org/drawingml/2006/picture">
                      <pic:pic xmlns:pic="http://schemas.openxmlformats.org/drawingml/2006/picture">
                        <pic:nvPicPr>
                          <pic:cNvPr id="148" name="Picture_124_SpCnt_5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1、面料：进口优质西皮。</w:t>
            </w:r>
          </w:p>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2、泡棉：优质广东“圣诺盟”牌海绵，座垫海绵密度大于35kg/m3，回弹率≥40%，外衬丝棉。</w:t>
            </w:r>
          </w:p>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3、框架：内框架采用东北落叶松实木骨架+优质多层板成型框架，经去皮、烘干、防虫防腐处理，木材含水量≤13%（含水率可根据各地当地水平修改）。</w:t>
            </w:r>
          </w:p>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4、打底：高弹力弹簧+尼龙绷带。</w:t>
            </w:r>
          </w:p>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5、下架：实木下架。</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9"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w:t>
            </w:r>
          </w:p>
        </w:tc>
        <w:tc>
          <w:tcPr>
            <w:tcW w:w="19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单人位</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常规</w:t>
            </w:r>
          </w:p>
        </w:tc>
        <w:tc>
          <w:tcPr>
            <w:tcW w:w="28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4"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26</w:t>
            </w:r>
          </w:p>
        </w:tc>
        <w:tc>
          <w:tcPr>
            <w:tcW w:w="19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茶几</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1200*600*500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8" name="Picture_124_SpCnt_54"/>
                  <wp:cNvGraphicFramePr/>
                  <a:graphic xmlns:a="http://schemas.openxmlformats.org/drawingml/2006/main">
                    <a:graphicData uri="http://schemas.openxmlformats.org/drawingml/2006/picture">
                      <pic:pic xmlns:pic="http://schemas.openxmlformats.org/drawingml/2006/picture">
                        <pic:nvPicPr>
                          <pic:cNvPr id="158" name="Picture_124_SpCnt_5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4" name="Picture_124_SpCnt_55"/>
                  <wp:cNvGraphicFramePr/>
                  <a:graphic xmlns:a="http://schemas.openxmlformats.org/drawingml/2006/main">
                    <a:graphicData uri="http://schemas.openxmlformats.org/drawingml/2006/picture">
                      <pic:pic xmlns:pic="http://schemas.openxmlformats.org/drawingml/2006/picture">
                        <pic:nvPicPr>
                          <pic:cNvPr id="144" name="Picture_124_SpCnt_5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6" name="Picture_124_SpCnt_56"/>
                  <wp:cNvGraphicFramePr/>
                  <a:graphic xmlns:a="http://schemas.openxmlformats.org/drawingml/2006/main">
                    <a:graphicData uri="http://schemas.openxmlformats.org/drawingml/2006/picture">
                      <pic:pic xmlns:pic="http://schemas.openxmlformats.org/drawingml/2006/picture">
                        <pic:nvPicPr>
                          <pic:cNvPr id="146" name="Picture_124_SpCnt_5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9" name="Picture_124_SpCnt_57"/>
                  <wp:cNvGraphicFramePr/>
                  <a:graphic xmlns:a="http://schemas.openxmlformats.org/drawingml/2006/main">
                    <a:graphicData uri="http://schemas.openxmlformats.org/drawingml/2006/picture">
                      <pic:pic xmlns:pic="http://schemas.openxmlformats.org/drawingml/2006/picture">
                        <pic:nvPicPr>
                          <pic:cNvPr id="159" name="Picture_124_SpCnt_5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0" name="Picture_124_SpCnt_58"/>
                  <wp:cNvGraphicFramePr/>
                  <a:graphic xmlns:a="http://schemas.openxmlformats.org/drawingml/2006/main">
                    <a:graphicData uri="http://schemas.openxmlformats.org/drawingml/2006/picture">
                      <pic:pic xmlns:pic="http://schemas.openxmlformats.org/drawingml/2006/picture">
                        <pic:nvPicPr>
                          <pic:cNvPr id="170" name="Picture_124_SpCnt_5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0" name="Picture_124_SpCnt_59"/>
                  <wp:cNvGraphicFramePr/>
                  <a:graphic xmlns:a="http://schemas.openxmlformats.org/drawingml/2006/main">
                    <a:graphicData uri="http://schemas.openxmlformats.org/drawingml/2006/picture">
                      <pic:pic xmlns:pic="http://schemas.openxmlformats.org/drawingml/2006/picture">
                        <pic:nvPicPr>
                          <pic:cNvPr id="160" name="Picture_124_SpCnt_5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7" name="Picture_124_SpCnt_60"/>
                  <wp:cNvGraphicFramePr/>
                  <a:graphic xmlns:a="http://schemas.openxmlformats.org/drawingml/2006/main">
                    <a:graphicData uri="http://schemas.openxmlformats.org/drawingml/2006/picture">
                      <pic:pic xmlns:pic="http://schemas.openxmlformats.org/drawingml/2006/picture">
                        <pic:nvPicPr>
                          <pic:cNvPr id="157" name="Picture_124_SpCnt_6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1" name="Picture_124_SpCnt_61"/>
                  <wp:cNvGraphicFramePr/>
                  <a:graphic xmlns:a="http://schemas.openxmlformats.org/drawingml/2006/main">
                    <a:graphicData uri="http://schemas.openxmlformats.org/drawingml/2006/picture">
                      <pic:pic xmlns:pic="http://schemas.openxmlformats.org/drawingml/2006/picture">
                        <pic:nvPicPr>
                          <pic:cNvPr id="151" name="Picture_124_SpCnt_6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1" name="Picture_124_SpCnt_62"/>
                  <wp:cNvGraphicFramePr/>
                  <a:graphic xmlns:a="http://schemas.openxmlformats.org/drawingml/2006/main">
                    <a:graphicData uri="http://schemas.openxmlformats.org/drawingml/2006/picture">
                      <pic:pic xmlns:pic="http://schemas.openxmlformats.org/drawingml/2006/picture">
                        <pic:nvPicPr>
                          <pic:cNvPr id="161" name="Picture_124_SpCnt_6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9" name="Picture_124_SpCnt_63"/>
                  <wp:cNvGraphicFramePr/>
                  <a:graphic xmlns:a="http://schemas.openxmlformats.org/drawingml/2006/main">
                    <a:graphicData uri="http://schemas.openxmlformats.org/drawingml/2006/picture">
                      <pic:pic xmlns:pic="http://schemas.openxmlformats.org/drawingml/2006/picture">
                        <pic:nvPicPr>
                          <pic:cNvPr id="149" name="Picture_124_SpCnt_6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39" name="Picture_124_SpCnt_64"/>
                  <wp:cNvGraphicFramePr/>
                  <a:graphic xmlns:a="http://schemas.openxmlformats.org/drawingml/2006/main">
                    <a:graphicData uri="http://schemas.openxmlformats.org/drawingml/2006/picture">
                      <pic:pic xmlns:pic="http://schemas.openxmlformats.org/drawingml/2006/picture">
                        <pic:nvPicPr>
                          <pic:cNvPr id="139" name="Picture_124_SpCnt_6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9" name="Picture_124_SpCnt_65"/>
                  <wp:cNvGraphicFramePr/>
                  <a:graphic xmlns:a="http://schemas.openxmlformats.org/drawingml/2006/main">
                    <a:graphicData uri="http://schemas.openxmlformats.org/drawingml/2006/picture">
                      <pic:pic xmlns:pic="http://schemas.openxmlformats.org/drawingml/2006/picture">
                        <pic:nvPicPr>
                          <pic:cNvPr id="169" name="Picture_124_SpCnt_6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1" name="Picture_124_SpCnt_66"/>
                  <wp:cNvGraphicFramePr/>
                  <a:graphic xmlns:a="http://schemas.openxmlformats.org/drawingml/2006/main">
                    <a:graphicData uri="http://schemas.openxmlformats.org/drawingml/2006/picture">
                      <pic:pic xmlns:pic="http://schemas.openxmlformats.org/drawingml/2006/picture">
                        <pic:nvPicPr>
                          <pic:cNvPr id="141" name="Picture_124_SpCnt_6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0" name="Picture_124_SpCnt_67"/>
                  <wp:cNvGraphicFramePr/>
                  <a:graphic xmlns:a="http://schemas.openxmlformats.org/drawingml/2006/main">
                    <a:graphicData uri="http://schemas.openxmlformats.org/drawingml/2006/picture">
                      <pic:pic xmlns:pic="http://schemas.openxmlformats.org/drawingml/2006/picture">
                        <pic:nvPicPr>
                          <pic:cNvPr id="140" name="Picture_124_SpCnt_6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2" name="Picture_124_SpCnt_68"/>
                  <wp:cNvGraphicFramePr/>
                  <a:graphic xmlns:a="http://schemas.openxmlformats.org/drawingml/2006/main">
                    <a:graphicData uri="http://schemas.openxmlformats.org/drawingml/2006/picture">
                      <pic:pic xmlns:pic="http://schemas.openxmlformats.org/drawingml/2006/picture">
                        <pic:nvPicPr>
                          <pic:cNvPr id="142" name="Picture_124_SpCnt_6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2" name="Picture_124_SpCnt_69"/>
                  <wp:cNvGraphicFramePr/>
                  <a:graphic xmlns:a="http://schemas.openxmlformats.org/drawingml/2006/main">
                    <a:graphicData uri="http://schemas.openxmlformats.org/drawingml/2006/picture">
                      <pic:pic xmlns:pic="http://schemas.openxmlformats.org/drawingml/2006/picture">
                        <pic:nvPicPr>
                          <pic:cNvPr id="152" name="Picture_124_SpCnt_6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3" name="Picture_124_SpCnt_70"/>
                  <wp:cNvGraphicFramePr/>
                  <a:graphic xmlns:a="http://schemas.openxmlformats.org/drawingml/2006/main">
                    <a:graphicData uri="http://schemas.openxmlformats.org/drawingml/2006/picture">
                      <pic:pic xmlns:pic="http://schemas.openxmlformats.org/drawingml/2006/picture">
                        <pic:nvPicPr>
                          <pic:cNvPr id="143" name="Picture_124_SpCnt_7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2" name="Picture_124_SpCnt_71"/>
                  <wp:cNvGraphicFramePr/>
                  <a:graphic xmlns:a="http://schemas.openxmlformats.org/drawingml/2006/main">
                    <a:graphicData uri="http://schemas.openxmlformats.org/drawingml/2006/picture">
                      <pic:pic xmlns:pic="http://schemas.openxmlformats.org/drawingml/2006/picture">
                        <pic:nvPicPr>
                          <pic:cNvPr id="162" name="Picture_124_SpCnt_7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0" name="Picture_124_SpCnt_72"/>
                  <wp:cNvGraphicFramePr/>
                  <a:graphic xmlns:a="http://schemas.openxmlformats.org/drawingml/2006/main">
                    <a:graphicData uri="http://schemas.openxmlformats.org/drawingml/2006/picture">
                      <pic:pic xmlns:pic="http://schemas.openxmlformats.org/drawingml/2006/picture">
                        <pic:nvPicPr>
                          <pic:cNvPr id="150" name="Picture_124_SpCnt_7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5" name="Picture_124_SpCnt_73"/>
                  <wp:cNvGraphicFramePr/>
                  <a:graphic xmlns:a="http://schemas.openxmlformats.org/drawingml/2006/main">
                    <a:graphicData uri="http://schemas.openxmlformats.org/drawingml/2006/picture">
                      <pic:pic xmlns:pic="http://schemas.openxmlformats.org/drawingml/2006/picture">
                        <pic:nvPicPr>
                          <pic:cNvPr id="145" name="Picture_124_SpCnt_7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3" name="Picture_124_SpCnt_74"/>
                  <wp:cNvGraphicFramePr/>
                  <a:graphic xmlns:a="http://schemas.openxmlformats.org/drawingml/2006/main">
                    <a:graphicData uri="http://schemas.openxmlformats.org/drawingml/2006/picture">
                      <pic:pic xmlns:pic="http://schemas.openxmlformats.org/drawingml/2006/picture">
                        <pic:nvPicPr>
                          <pic:cNvPr id="153" name="Picture_124_SpCnt_7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47" name="Picture_124_SpCnt_75"/>
                  <wp:cNvGraphicFramePr/>
                  <a:graphic xmlns:a="http://schemas.openxmlformats.org/drawingml/2006/main">
                    <a:graphicData uri="http://schemas.openxmlformats.org/drawingml/2006/picture">
                      <pic:pic xmlns:pic="http://schemas.openxmlformats.org/drawingml/2006/picture">
                        <pic:nvPicPr>
                          <pic:cNvPr id="147" name="Picture_124_SpCnt_7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3" name="Picture_124_SpCnt_76"/>
                  <wp:cNvGraphicFramePr/>
                  <a:graphic xmlns:a="http://schemas.openxmlformats.org/drawingml/2006/main">
                    <a:graphicData uri="http://schemas.openxmlformats.org/drawingml/2006/picture">
                      <pic:pic xmlns:pic="http://schemas.openxmlformats.org/drawingml/2006/picture">
                        <pic:nvPicPr>
                          <pic:cNvPr id="163" name="Picture_124_SpCnt_7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4" name="Picture_124_SpCnt_77"/>
                  <wp:cNvGraphicFramePr/>
                  <a:graphic xmlns:a="http://schemas.openxmlformats.org/drawingml/2006/main">
                    <a:graphicData uri="http://schemas.openxmlformats.org/drawingml/2006/picture">
                      <pic:pic xmlns:pic="http://schemas.openxmlformats.org/drawingml/2006/picture">
                        <pic:nvPicPr>
                          <pic:cNvPr id="154" name="Picture_124_SpCnt_7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5" name="Picture_124_SpCnt_78"/>
                  <wp:cNvGraphicFramePr/>
                  <a:graphic xmlns:a="http://schemas.openxmlformats.org/drawingml/2006/main">
                    <a:graphicData uri="http://schemas.openxmlformats.org/drawingml/2006/picture">
                      <pic:pic xmlns:pic="http://schemas.openxmlformats.org/drawingml/2006/picture">
                        <pic:nvPicPr>
                          <pic:cNvPr id="155" name="Picture_124_SpCnt_7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4" name="Picture_124_SpCnt_79"/>
                  <wp:cNvGraphicFramePr/>
                  <a:graphic xmlns:a="http://schemas.openxmlformats.org/drawingml/2006/main">
                    <a:graphicData uri="http://schemas.openxmlformats.org/drawingml/2006/picture">
                      <pic:pic xmlns:pic="http://schemas.openxmlformats.org/drawingml/2006/picture">
                        <pic:nvPicPr>
                          <pic:cNvPr id="164" name="Picture_124_SpCnt_7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5" name="Picture_124_SpCnt_80"/>
                  <wp:cNvGraphicFramePr/>
                  <a:graphic xmlns:a="http://schemas.openxmlformats.org/drawingml/2006/main">
                    <a:graphicData uri="http://schemas.openxmlformats.org/drawingml/2006/picture">
                      <pic:pic xmlns:pic="http://schemas.openxmlformats.org/drawingml/2006/picture">
                        <pic:nvPicPr>
                          <pic:cNvPr id="165" name="Picture_124_SpCnt_8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8" name="Picture_124_SpCnt_81"/>
                  <wp:cNvGraphicFramePr/>
                  <a:graphic xmlns:a="http://schemas.openxmlformats.org/drawingml/2006/main">
                    <a:graphicData uri="http://schemas.openxmlformats.org/drawingml/2006/picture">
                      <pic:pic xmlns:pic="http://schemas.openxmlformats.org/drawingml/2006/picture">
                        <pic:nvPicPr>
                          <pic:cNvPr id="168" name="Picture_124_SpCnt_8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56" name="Picture_124_SpCnt_82"/>
                  <wp:cNvGraphicFramePr/>
                  <a:graphic xmlns:a="http://schemas.openxmlformats.org/drawingml/2006/main">
                    <a:graphicData uri="http://schemas.openxmlformats.org/drawingml/2006/picture">
                      <pic:pic xmlns:pic="http://schemas.openxmlformats.org/drawingml/2006/picture">
                        <pic:nvPicPr>
                          <pic:cNvPr id="156" name="Picture_124_SpCnt_8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6" name="Picture_124_SpCnt_83"/>
                  <wp:cNvGraphicFramePr/>
                  <a:graphic xmlns:a="http://schemas.openxmlformats.org/drawingml/2006/main">
                    <a:graphicData uri="http://schemas.openxmlformats.org/drawingml/2006/picture">
                      <pic:pic xmlns:pic="http://schemas.openxmlformats.org/drawingml/2006/picture">
                        <pic:nvPicPr>
                          <pic:cNvPr id="166" name="Picture_124_SpCnt_8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67" name="Picture_124_SpCnt_84"/>
                  <wp:cNvGraphicFramePr/>
                  <a:graphic xmlns:a="http://schemas.openxmlformats.org/drawingml/2006/main">
                    <a:graphicData uri="http://schemas.openxmlformats.org/drawingml/2006/picture">
                      <pic:pic xmlns:pic="http://schemas.openxmlformats.org/drawingml/2006/picture">
                        <pic:nvPicPr>
                          <pic:cNvPr id="167" name="Picture_124_SpCnt_8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3" name="Picture_124_SpCnt_85"/>
                  <wp:cNvGraphicFramePr/>
                  <a:graphic xmlns:a="http://schemas.openxmlformats.org/drawingml/2006/main">
                    <a:graphicData uri="http://schemas.openxmlformats.org/drawingml/2006/picture">
                      <pic:pic xmlns:pic="http://schemas.openxmlformats.org/drawingml/2006/picture">
                        <pic:nvPicPr>
                          <pic:cNvPr id="183" name="Picture_124_SpCnt_8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1" name="Picture_124_SpCnt_86"/>
                  <wp:cNvGraphicFramePr/>
                  <a:graphic xmlns:a="http://schemas.openxmlformats.org/drawingml/2006/main">
                    <a:graphicData uri="http://schemas.openxmlformats.org/drawingml/2006/picture">
                      <pic:pic xmlns:pic="http://schemas.openxmlformats.org/drawingml/2006/picture">
                        <pic:nvPicPr>
                          <pic:cNvPr id="201" name="Picture_124_SpCnt_8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2" name="Picture_124_SpCnt_87"/>
                  <wp:cNvGraphicFramePr/>
                  <a:graphic xmlns:a="http://schemas.openxmlformats.org/drawingml/2006/main">
                    <a:graphicData uri="http://schemas.openxmlformats.org/drawingml/2006/picture">
                      <pic:pic xmlns:pic="http://schemas.openxmlformats.org/drawingml/2006/picture">
                        <pic:nvPicPr>
                          <pic:cNvPr id="172" name="Picture_124_SpCnt_8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6" name="Picture_124_SpCnt_88"/>
                  <wp:cNvGraphicFramePr/>
                  <a:graphic xmlns:a="http://schemas.openxmlformats.org/drawingml/2006/main">
                    <a:graphicData uri="http://schemas.openxmlformats.org/drawingml/2006/picture">
                      <pic:pic xmlns:pic="http://schemas.openxmlformats.org/drawingml/2006/picture">
                        <pic:nvPicPr>
                          <pic:cNvPr id="196" name="Picture_124_SpCnt_8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2" name="Picture_124_SpCnt_89"/>
                  <wp:cNvGraphicFramePr/>
                  <a:graphic xmlns:a="http://schemas.openxmlformats.org/drawingml/2006/main">
                    <a:graphicData uri="http://schemas.openxmlformats.org/drawingml/2006/picture">
                      <pic:pic xmlns:pic="http://schemas.openxmlformats.org/drawingml/2006/picture">
                        <pic:nvPicPr>
                          <pic:cNvPr id="202" name="Picture_124_SpCnt_8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1" name="Picture_124_SpCnt_90"/>
                  <wp:cNvGraphicFramePr/>
                  <a:graphic xmlns:a="http://schemas.openxmlformats.org/drawingml/2006/main">
                    <a:graphicData uri="http://schemas.openxmlformats.org/drawingml/2006/picture">
                      <pic:pic xmlns:pic="http://schemas.openxmlformats.org/drawingml/2006/picture">
                        <pic:nvPicPr>
                          <pic:cNvPr id="171" name="Picture_124_SpCnt_9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3" name="Picture_124_SpCnt_91"/>
                  <wp:cNvGraphicFramePr/>
                  <a:graphic xmlns:a="http://schemas.openxmlformats.org/drawingml/2006/main">
                    <a:graphicData uri="http://schemas.openxmlformats.org/drawingml/2006/picture">
                      <pic:pic xmlns:pic="http://schemas.openxmlformats.org/drawingml/2006/picture">
                        <pic:nvPicPr>
                          <pic:cNvPr id="173" name="Picture_124_SpCnt_9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2" name="Picture_124_SpCnt_92"/>
                  <wp:cNvGraphicFramePr/>
                  <a:graphic xmlns:a="http://schemas.openxmlformats.org/drawingml/2006/main">
                    <a:graphicData uri="http://schemas.openxmlformats.org/drawingml/2006/picture">
                      <pic:pic xmlns:pic="http://schemas.openxmlformats.org/drawingml/2006/picture">
                        <pic:nvPicPr>
                          <pic:cNvPr id="192" name="Picture_124_SpCnt_9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4" name="Picture_124_SpCnt_93"/>
                  <wp:cNvGraphicFramePr/>
                  <a:graphic xmlns:a="http://schemas.openxmlformats.org/drawingml/2006/main">
                    <a:graphicData uri="http://schemas.openxmlformats.org/drawingml/2006/picture">
                      <pic:pic xmlns:pic="http://schemas.openxmlformats.org/drawingml/2006/picture">
                        <pic:nvPicPr>
                          <pic:cNvPr id="174" name="Picture_124_SpCnt_9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8" name="Picture_124_SpCnt_94"/>
                  <wp:cNvGraphicFramePr/>
                  <a:graphic xmlns:a="http://schemas.openxmlformats.org/drawingml/2006/main">
                    <a:graphicData uri="http://schemas.openxmlformats.org/drawingml/2006/picture">
                      <pic:pic xmlns:pic="http://schemas.openxmlformats.org/drawingml/2006/picture">
                        <pic:nvPicPr>
                          <pic:cNvPr id="188" name="Picture_124_SpCnt_9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5" name="Picture_124_SpCnt_95"/>
                  <wp:cNvGraphicFramePr/>
                  <a:graphic xmlns:a="http://schemas.openxmlformats.org/drawingml/2006/main">
                    <a:graphicData uri="http://schemas.openxmlformats.org/drawingml/2006/picture">
                      <pic:pic xmlns:pic="http://schemas.openxmlformats.org/drawingml/2006/picture">
                        <pic:nvPicPr>
                          <pic:cNvPr id="175" name="Picture_124_SpCnt_9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7" name="Picture_124_SpCnt_96"/>
                  <wp:cNvGraphicFramePr/>
                  <a:graphic xmlns:a="http://schemas.openxmlformats.org/drawingml/2006/main">
                    <a:graphicData uri="http://schemas.openxmlformats.org/drawingml/2006/picture">
                      <pic:pic xmlns:pic="http://schemas.openxmlformats.org/drawingml/2006/picture">
                        <pic:nvPicPr>
                          <pic:cNvPr id="177" name="Picture_124_SpCnt_9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4" name="Picture_124_SpCnt_97"/>
                  <wp:cNvGraphicFramePr/>
                  <a:graphic xmlns:a="http://schemas.openxmlformats.org/drawingml/2006/main">
                    <a:graphicData uri="http://schemas.openxmlformats.org/drawingml/2006/picture">
                      <pic:pic xmlns:pic="http://schemas.openxmlformats.org/drawingml/2006/picture">
                        <pic:nvPicPr>
                          <pic:cNvPr id="184" name="Picture_124_SpCnt_9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5" name="Picture_124_SpCnt_98"/>
                  <wp:cNvGraphicFramePr/>
                  <a:graphic xmlns:a="http://schemas.openxmlformats.org/drawingml/2006/main">
                    <a:graphicData uri="http://schemas.openxmlformats.org/drawingml/2006/picture">
                      <pic:pic xmlns:pic="http://schemas.openxmlformats.org/drawingml/2006/picture">
                        <pic:nvPicPr>
                          <pic:cNvPr id="195" name="Picture_124_SpCnt_9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9" name="Picture_124_SpCnt_99"/>
                  <wp:cNvGraphicFramePr/>
                  <a:graphic xmlns:a="http://schemas.openxmlformats.org/drawingml/2006/main">
                    <a:graphicData uri="http://schemas.openxmlformats.org/drawingml/2006/picture">
                      <pic:pic xmlns:pic="http://schemas.openxmlformats.org/drawingml/2006/picture">
                        <pic:nvPicPr>
                          <pic:cNvPr id="189" name="Picture_124_SpCnt_9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3" name="Picture_124_SpCnt_100"/>
                  <wp:cNvGraphicFramePr/>
                  <a:graphic xmlns:a="http://schemas.openxmlformats.org/drawingml/2006/main">
                    <a:graphicData uri="http://schemas.openxmlformats.org/drawingml/2006/picture">
                      <pic:pic xmlns:pic="http://schemas.openxmlformats.org/drawingml/2006/picture">
                        <pic:nvPicPr>
                          <pic:cNvPr id="193" name="Picture_124_SpCnt_10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4" name="Picture_124_SpCnt_101"/>
                  <wp:cNvGraphicFramePr/>
                  <a:graphic xmlns:a="http://schemas.openxmlformats.org/drawingml/2006/main">
                    <a:graphicData uri="http://schemas.openxmlformats.org/drawingml/2006/picture">
                      <pic:pic xmlns:pic="http://schemas.openxmlformats.org/drawingml/2006/picture">
                        <pic:nvPicPr>
                          <pic:cNvPr id="194" name="Picture_124_SpCnt_10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5" name="Picture_124_SpCnt_102"/>
                  <wp:cNvGraphicFramePr/>
                  <a:graphic xmlns:a="http://schemas.openxmlformats.org/drawingml/2006/main">
                    <a:graphicData uri="http://schemas.openxmlformats.org/drawingml/2006/picture">
                      <pic:pic xmlns:pic="http://schemas.openxmlformats.org/drawingml/2006/picture">
                        <pic:nvPicPr>
                          <pic:cNvPr id="185" name="Picture_124_SpCnt_10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6" name="Picture_124_SpCnt_103"/>
                  <wp:cNvGraphicFramePr/>
                  <a:graphic xmlns:a="http://schemas.openxmlformats.org/drawingml/2006/main">
                    <a:graphicData uri="http://schemas.openxmlformats.org/drawingml/2006/picture">
                      <pic:pic xmlns:pic="http://schemas.openxmlformats.org/drawingml/2006/picture">
                        <pic:nvPicPr>
                          <pic:cNvPr id="186" name="Picture_124_SpCnt_10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0" name="Picture_124_SpCnt_104"/>
                  <wp:cNvGraphicFramePr/>
                  <a:graphic xmlns:a="http://schemas.openxmlformats.org/drawingml/2006/main">
                    <a:graphicData uri="http://schemas.openxmlformats.org/drawingml/2006/picture">
                      <pic:pic xmlns:pic="http://schemas.openxmlformats.org/drawingml/2006/picture">
                        <pic:nvPicPr>
                          <pic:cNvPr id="180" name="Picture_124_SpCnt_10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7" name="Picture_124_SpCnt_105"/>
                  <wp:cNvGraphicFramePr/>
                  <a:graphic xmlns:a="http://schemas.openxmlformats.org/drawingml/2006/main">
                    <a:graphicData uri="http://schemas.openxmlformats.org/drawingml/2006/picture">
                      <pic:pic xmlns:pic="http://schemas.openxmlformats.org/drawingml/2006/picture">
                        <pic:nvPicPr>
                          <pic:cNvPr id="197" name="Picture_124_SpCnt_10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6" name="Picture_124_SpCnt_106"/>
                  <wp:cNvGraphicFramePr/>
                  <a:graphic xmlns:a="http://schemas.openxmlformats.org/drawingml/2006/main">
                    <a:graphicData uri="http://schemas.openxmlformats.org/drawingml/2006/picture">
                      <pic:pic xmlns:pic="http://schemas.openxmlformats.org/drawingml/2006/picture">
                        <pic:nvPicPr>
                          <pic:cNvPr id="176" name="Picture_124_SpCnt_10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2" name="Picture_124_SpCnt_107"/>
                  <wp:cNvGraphicFramePr/>
                  <a:graphic xmlns:a="http://schemas.openxmlformats.org/drawingml/2006/main">
                    <a:graphicData uri="http://schemas.openxmlformats.org/drawingml/2006/picture">
                      <pic:pic xmlns:pic="http://schemas.openxmlformats.org/drawingml/2006/picture">
                        <pic:nvPicPr>
                          <pic:cNvPr id="182" name="Picture_124_SpCnt_10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8" name="Picture_124_SpCnt_108"/>
                  <wp:cNvGraphicFramePr/>
                  <a:graphic xmlns:a="http://schemas.openxmlformats.org/drawingml/2006/main">
                    <a:graphicData uri="http://schemas.openxmlformats.org/drawingml/2006/picture">
                      <pic:pic xmlns:pic="http://schemas.openxmlformats.org/drawingml/2006/picture">
                        <pic:nvPicPr>
                          <pic:cNvPr id="178" name="Picture_124_SpCnt_10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1" name="Picture_124_SpCnt_109"/>
                  <wp:cNvGraphicFramePr/>
                  <a:graphic xmlns:a="http://schemas.openxmlformats.org/drawingml/2006/main">
                    <a:graphicData uri="http://schemas.openxmlformats.org/drawingml/2006/picture">
                      <pic:pic xmlns:pic="http://schemas.openxmlformats.org/drawingml/2006/picture">
                        <pic:nvPicPr>
                          <pic:cNvPr id="181" name="Picture_124_SpCnt_10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79" name="Picture_124_SpCnt_110"/>
                  <wp:cNvGraphicFramePr/>
                  <a:graphic xmlns:a="http://schemas.openxmlformats.org/drawingml/2006/main">
                    <a:graphicData uri="http://schemas.openxmlformats.org/drawingml/2006/picture">
                      <pic:pic xmlns:pic="http://schemas.openxmlformats.org/drawingml/2006/picture">
                        <pic:nvPicPr>
                          <pic:cNvPr id="179" name="Picture_124_SpCnt_11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87" name="Picture_124_SpCnt_111"/>
                  <wp:cNvGraphicFramePr/>
                  <a:graphic xmlns:a="http://schemas.openxmlformats.org/drawingml/2006/main">
                    <a:graphicData uri="http://schemas.openxmlformats.org/drawingml/2006/picture">
                      <pic:pic xmlns:pic="http://schemas.openxmlformats.org/drawingml/2006/picture">
                        <pic:nvPicPr>
                          <pic:cNvPr id="187" name="Picture_124_SpCnt_11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0" name="Picture_124_SpCnt_112"/>
                  <wp:cNvGraphicFramePr/>
                  <a:graphic xmlns:a="http://schemas.openxmlformats.org/drawingml/2006/main">
                    <a:graphicData uri="http://schemas.openxmlformats.org/drawingml/2006/picture">
                      <pic:pic xmlns:pic="http://schemas.openxmlformats.org/drawingml/2006/picture">
                        <pic:nvPicPr>
                          <pic:cNvPr id="190" name="Picture_124_SpCnt_11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1" name="Picture_124_SpCnt_113"/>
                  <wp:cNvGraphicFramePr/>
                  <a:graphic xmlns:a="http://schemas.openxmlformats.org/drawingml/2006/main">
                    <a:graphicData uri="http://schemas.openxmlformats.org/drawingml/2006/picture">
                      <pic:pic xmlns:pic="http://schemas.openxmlformats.org/drawingml/2006/picture">
                        <pic:nvPicPr>
                          <pic:cNvPr id="191" name="Picture_124_SpCnt_11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8" name="Picture_124_SpCnt_114"/>
                  <wp:cNvGraphicFramePr/>
                  <a:graphic xmlns:a="http://schemas.openxmlformats.org/drawingml/2006/main">
                    <a:graphicData uri="http://schemas.openxmlformats.org/drawingml/2006/picture">
                      <pic:pic xmlns:pic="http://schemas.openxmlformats.org/drawingml/2006/picture">
                        <pic:nvPicPr>
                          <pic:cNvPr id="198" name="Picture_124_SpCnt_11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99" name="Picture_124_SpCnt_115"/>
                  <wp:cNvGraphicFramePr/>
                  <a:graphic xmlns:a="http://schemas.openxmlformats.org/drawingml/2006/main">
                    <a:graphicData uri="http://schemas.openxmlformats.org/drawingml/2006/picture">
                      <pic:pic xmlns:pic="http://schemas.openxmlformats.org/drawingml/2006/picture">
                        <pic:nvPicPr>
                          <pic:cNvPr id="199" name="Picture_124_SpCnt_11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0" name="Picture_124_SpCnt_116"/>
                  <wp:cNvGraphicFramePr/>
                  <a:graphic xmlns:a="http://schemas.openxmlformats.org/drawingml/2006/main">
                    <a:graphicData uri="http://schemas.openxmlformats.org/drawingml/2006/picture">
                      <pic:pic xmlns:pic="http://schemas.openxmlformats.org/drawingml/2006/picture">
                        <pic:nvPicPr>
                          <pic:cNvPr id="200" name="Picture_124_SpCnt_11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27" name="Picture_124_SpCnt_117"/>
                  <wp:cNvGraphicFramePr/>
                  <a:graphic xmlns:a="http://schemas.openxmlformats.org/drawingml/2006/main">
                    <a:graphicData uri="http://schemas.openxmlformats.org/drawingml/2006/picture">
                      <pic:pic xmlns:pic="http://schemas.openxmlformats.org/drawingml/2006/picture">
                        <pic:nvPicPr>
                          <pic:cNvPr id="227" name="Picture_124_SpCnt_11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32" name="Picture_124_SpCnt_118"/>
                  <wp:cNvGraphicFramePr/>
                  <a:graphic xmlns:a="http://schemas.openxmlformats.org/drawingml/2006/main">
                    <a:graphicData uri="http://schemas.openxmlformats.org/drawingml/2006/picture">
                      <pic:pic xmlns:pic="http://schemas.openxmlformats.org/drawingml/2006/picture">
                        <pic:nvPicPr>
                          <pic:cNvPr id="232" name="Picture_124_SpCnt_11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4" name="Picture_124_SpCnt_119"/>
                  <wp:cNvGraphicFramePr/>
                  <a:graphic xmlns:a="http://schemas.openxmlformats.org/drawingml/2006/main">
                    <a:graphicData uri="http://schemas.openxmlformats.org/drawingml/2006/picture">
                      <pic:pic xmlns:pic="http://schemas.openxmlformats.org/drawingml/2006/picture">
                        <pic:nvPicPr>
                          <pic:cNvPr id="204" name="Picture_124_SpCnt_11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20" name="Picture_124_SpCnt_120"/>
                  <wp:cNvGraphicFramePr/>
                  <a:graphic xmlns:a="http://schemas.openxmlformats.org/drawingml/2006/main">
                    <a:graphicData uri="http://schemas.openxmlformats.org/drawingml/2006/picture">
                      <pic:pic xmlns:pic="http://schemas.openxmlformats.org/drawingml/2006/picture">
                        <pic:nvPicPr>
                          <pic:cNvPr id="220" name="Picture_124_SpCnt_12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5" name="Picture_124_SpCnt_121"/>
                  <wp:cNvGraphicFramePr/>
                  <a:graphic xmlns:a="http://schemas.openxmlformats.org/drawingml/2006/main">
                    <a:graphicData uri="http://schemas.openxmlformats.org/drawingml/2006/picture">
                      <pic:pic xmlns:pic="http://schemas.openxmlformats.org/drawingml/2006/picture">
                        <pic:nvPicPr>
                          <pic:cNvPr id="205" name="Picture_124_SpCnt_12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21" name="Picture_124_SpCnt_122"/>
                  <wp:cNvGraphicFramePr/>
                  <a:graphic xmlns:a="http://schemas.openxmlformats.org/drawingml/2006/main">
                    <a:graphicData uri="http://schemas.openxmlformats.org/drawingml/2006/picture">
                      <pic:pic xmlns:pic="http://schemas.openxmlformats.org/drawingml/2006/picture">
                        <pic:nvPicPr>
                          <pic:cNvPr id="221" name="Picture_124_SpCnt_12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6" name="Picture_124_SpCnt_123"/>
                  <wp:cNvGraphicFramePr/>
                  <a:graphic xmlns:a="http://schemas.openxmlformats.org/drawingml/2006/main">
                    <a:graphicData uri="http://schemas.openxmlformats.org/drawingml/2006/picture">
                      <pic:pic xmlns:pic="http://schemas.openxmlformats.org/drawingml/2006/picture">
                        <pic:nvPicPr>
                          <pic:cNvPr id="206" name="Picture_124_SpCnt_12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7" name="Picture_124_SpCnt_124"/>
                  <wp:cNvGraphicFramePr/>
                  <a:graphic xmlns:a="http://schemas.openxmlformats.org/drawingml/2006/main">
                    <a:graphicData uri="http://schemas.openxmlformats.org/drawingml/2006/picture">
                      <pic:pic xmlns:pic="http://schemas.openxmlformats.org/drawingml/2006/picture">
                        <pic:nvPicPr>
                          <pic:cNvPr id="207" name="Picture_124_SpCnt_12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33" name="Picture_124_SpCnt_125"/>
                  <wp:cNvGraphicFramePr/>
                  <a:graphic xmlns:a="http://schemas.openxmlformats.org/drawingml/2006/main">
                    <a:graphicData uri="http://schemas.openxmlformats.org/drawingml/2006/picture">
                      <pic:pic xmlns:pic="http://schemas.openxmlformats.org/drawingml/2006/picture">
                        <pic:nvPicPr>
                          <pic:cNvPr id="233" name="Picture_124_SpCnt_12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8" name="Picture_124_SpCnt_126"/>
                  <wp:cNvGraphicFramePr/>
                  <a:graphic xmlns:a="http://schemas.openxmlformats.org/drawingml/2006/main">
                    <a:graphicData uri="http://schemas.openxmlformats.org/drawingml/2006/picture">
                      <pic:pic xmlns:pic="http://schemas.openxmlformats.org/drawingml/2006/picture">
                        <pic:nvPicPr>
                          <pic:cNvPr id="208" name="Picture_124_SpCnt_12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28" name="Picture_124_SpCnt_127"/>
                  <wp:cNvGraphicFramePr/>
                  <a:graphic xmlns:a="http://schemas.openxmlformats.org/drawingml/2006/main">
                    <a:graphicData uri="http://schemas.openxmlformats.org/drawingml/2006/picture">
                      <pic:pic xmlns:pic="http://schemas.openxmlformats.org/drawingml/2006/picture">
                        <pic:nvPicPr>
                          <pic:cNvPr id="228" name="Picture_124_SpCnt_12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19" name="Picture_124_SpCnt_128"/>
                  <wp:cNvGraphicFramePr/>
                  <a:graphic xmlns:a="http://schemas.openxmlformats.org/drawingml/2006/main">
                    <a:graphicData uri="http://schemas.openxmlformats.org/drawingml/2006/picture">
                      <pic:pic xmlns:pic="http://schemas.openxmlformats.org/drawingml/2006/picture">
                        <pic:nvPicPr>
                          <pic:cNvPr id="219" name="Picture_124_SpCnt_12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29" name="Picture_124_SpCnt_129"/>
                  <wp:cNvGraphicFramePr/>
                  <a:graphic xmlns:a="http://schemas.openxmlformats.org/drawingml/2006/main">
                    <a:graphicData uri="http://schemas.openxmlformats.org/drawingml/2006/picture">
                      <pic:pic xmlns:pic="http://schemas.openxmlformats.org/drawingml/2006/picture">
                        <pic:nvPicPr>
                          <pic:cNvPr id="229" name="Picture_124_SpCnt_12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12" name="Picture_124_SpCnt_130"/>
                  <wp:cNvGraphicFramePr/>
                  <a:graphic xmlns:a="http://schemas.openxmlformats.org/drawingml/2006/main">
                    <a:graphicData uri="http://schemas.openxmlformats.org/drawingml/2006/picture">
                      <pic:pic xmlns:pic="http://schemas.openxmlformats.org/drawingml/2006/picture">
                        <pic:nvPicPr>
                          <pic:cNvPr id="212" name="Picture_124_SpCnt_13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09" name="Picture_124_SpCnt_131"/>
                  <wp:cNvGraphicFramePr/>
                  <a:graphic xmlns:a="http://schemas.openxmlformats.org/drawingml/2006/main">
                    <a:graphicData uri="http://schemas.openxmlformats.org/drawingml/2006/picture">
                      <pic:pic xmlns:pic="http://schemas.openxmlformats.org/drawingml/2006/picture">
                        <pic:nvPicPr>
                          <pic:cNvPr id="209" name="Picture_124_SpCnt_13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16" name="Picture_124_SpCnt_132"/>
                  <wp:cNvGraphicFramePr/>
                  <a:graphic xmlns:a="http://schemas.openxmlformats.org/drawingml/2006/main">
                    <a:graphicData uri="http://schemas.openxmlformats.org/drawingml/2006/picture">
                      <pic:pic xmlns:pic="http://schemas.openxmlformats.org/drawingml/2006/picture">
                        <pic:nvPicPr>
                          <pic:cNvPr id="216" name="Picture_124_SpCnt_13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10" name="Picture_124_SpCnt_133"/>
                  <wp:cNvGraphicFramePr/>
                  <a:graphic xmlns:a="http://schemas.openxmlformats.org/drawingml/2006/main">
                    <a:graphicData uri="http://schemas.openxmlformats.org/drawingml/2006/picture">
                      <pic:pic xmlns:pic="http://schemas.openxmlformats.org/drawingml/2006/picture">
                        <pic:nvPicPr>
                          <pic:cNvPr id="210" name="Picture_124_SpCnt_13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13" name="Picture_124_SpCnt_134"/>
                  <wp:cNvGraphicFramePr/>
                  <a:graphic xmlns:a="http://schemas.openxmlformats.org/drawingml/2006/main">
                    <a:graphicData uri="http://schemas.openxmlformats.org/drawingml/2006/picture">
                      <pic:pic xmlns:pic="http://schemas.openxmlformats.org/drawingml/2006/picture">
                        <pic:nvPicPr>
                          <pic:cNvPr id="213" name="Picture_124_SpCnt_13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11" name="Picture_124_SpCnt_135"/>
                  <wp:cNvGraphicFramePr/>
                  <a:graphic xmlns:a="http://schemas.openxmlformats.org/drawingml/2006/main">
                    <a:graphicData uri="http://schemas.openxmlformats.org/drawingml/2006/picture">
                      <pic:pic xmlns:pic="http://schemas.openxmlformats.org/drawingml/2006/picture">
                        <pic:nvPicPr>
                          <pic:cNvPr id="211" name="Picture_124_SpCnt_13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30" name="Picture_124_SpCnt_136"/>
                  <wp:cNvGraphicFramePr/>
                  <a:graphic xmlns:a="http://schemas.openxmlformats.org/drawingml/2006/main">
                    <a:graphicData uri="http://schemas.openxmlformats.org/drawingml/2006/picture">
                      <pic:pic xmlns:pic="http://schemas.openxmlformats.org/drawingml/2006/picture">
                        <pic:nvPicPr>
                          <pic:cNvPr id="230" name="Picture_124_SpCnt_13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14" name="Picture_124_SpCnt_137"/>
                  <wp:cNvGraphicFramePr/>
                  <a:graphic xmlns:a="http://schemas.openxmlformats.org/drawingml/2006/main">
                    <a:graphicData uri="http://schemas.openxmlformats.org/drawingml/2006/picture">
                      <pic:pic xmlns:pic="http://schemas.openxmlformats.org/drawingml/2006/picture">
                        <pic:nvPicPr>
                          <pic:cNvPr id="214" name="Picture_124_SpCnt_13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铁艺支架，木制面板</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27</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169545</wp:posOffset>
                  </wp:positionH>
                  <wp:positionV relativeFrom="paragraph">
                    <wp:posOffset>677545</wp:posOffset>
                  </wp:positionV>
                  <wp:extent cx="914400" cy="487680"/>
                  <wp:effectExtent l="0" t="0" r="0" b="7620"/>
                  <wp:wrapNone/>
                  <wp:docPr id="226" name="图片_95"/>
                  <wp:cNvGraphicFramePr/>
                  <a:graphic xmlns:a="http://schemas.openxmlformats.org/drawingml/2006/main">
                    <a:graphicData uri="http://schemas.openxmlformats.org/drawingml/2006/picture">
                      <pic:pic xmlns:pic="http://schemas.openxmlformats.org/drawingml/2006/picture">
                        <pic:nvPicPr>
                          <pic:cNvPr id="226" name="图片_95"/>
                          <pic:cNvPicPr/>
                        </pic:nvPicPr>
                        <pic:blipFill>
                          <a:blip r:embed="rId47"/>
                          <a:stretch>
                            <a:fillRect/>
                          </a:stretch>
                        </pic:blipFill>
                        <pic:spPr>
                          <a:xfrm>
                            <a:off x="0" y="0"/>
                            <a:ext cx="914400" cy="4876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休闲桌椅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桌子：面材：采用优质木皮贴面，无节疤，无裂纹，无朽木，色差过渡自然，木纹清晰，色泽一致，木皮拼接自然；基材：采用符合国家E1级标准的优质环保型中纤板，经国家绿色环保认证，环保标准。油漆：选用环保油漆，有害物质限量符合国标要求，达到色泽美观、不变色、光滑耐磨、手感好。五金配件：采用优质五金件，所有五金配件全部经过防锈、防腐处理。实木下架。椅子：采用优质环保皮饰面，柔软贴手，透气性好经精细裁剪，直接包面，沉稳舒适。海绵：座垫采用高密度海绵，软硬度适中。2、技术说明：面料光泽度好，透气性强，柔软且富有韧性。</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28</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440055</wp:posOffset>
                  </wp:positionH>
                  <wp:positionV relativeFrom="paragraph">
                    <wp:posOffset>317500</wp:posOffset>
                  </wp:positionV>
                  <wp:extent cx="441960" cy="548640"/>
                  <wp:effectExtent l="0" t="0" r="15240" b="3810"/>
                  <wp:wrapNone/>
                  <wp:docPr id="234" name="图片_69"/>
                  <wp:cNvGraphicFramePr/>
                  <a:graphic xmlns:a="http://schemas.openxmlformats.org/drawingml/2006/main">
                    <a:graphicData uri="http://schemas.openxmlformats.org/drawingml/2006/picture">
                      <pic:pic xmlns:pic="http://schemas.openxmlformats.org/drawingml/2006/picture">
                        <pic:nvPicPr>
                          <pic:cNvPr id="234" name="图片_69"/>
                          <pic:cNvPicPr/>
                        </pic:nvPicPr>
                        <pic:blipFill>
                          <a:blip r:embed="rId42"/>
                          <a:stretch>
                            <a:fillRect/>
                          </a:stretch>
                        </pic:blipFill>
                        <pic:spPr>
                          <a:xfrm>
                            <a:off x="0" y="0"/>
                            <a:ext cx="44196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1、基材：采用优质多层板，甲醛释放量≤0.08mg/m³；                                2、贴面：选用双贴三聚氰胺浸渍面纸饰面材料；             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29</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300990</wp:posOffset>
                  </wp:positionH>
                  <wp:positionV relativeFrom="paragraph">
                    <wp:posOffset>432435</wp:posOffset>
                  </wp:positionV>
                  <wp:extent cx="571500" cy="746760"/>
                  <wp:effectExtent l="0" t="0" r="0" b="15240"/>
                  <wp:wrapNone/>
                  <wp:docPr id="225" name="图片_15"/>
                  <wp:cNvGraphicFramePr/>
                  <a:graphic xmlns:a="http://schemas.openxmlformats.org/drawingml/2006/main">
                    <a:graphicData uri="http://schemas.openxmlformats.org/drawingml/2006/picture">
                      <pic:pic xmlns:pic="http://schemas.openxmlformats.org/drawingml/2006/picture">
                        <pic:nvPicPr>
                          <pic:cNvPr id="225" name="图片_15"/>
                          <pic:cNvPicPr/>
                        </pic:nvPicPr>
                        <pic:blipFill>
                          <a:blip r:embed="rId48"/>
                          <a:stretch>
                            <a:fillRect/>
                          </a:stretch>
                        </pic:blipFill>
                        <pic:spPr>
                          <a:xfrm>
                            <a:off x="0" y="0"/>
                            <a:ext cx="571500" cy="7467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隔断书柜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1800*350*2200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1、基材：采用优质环保实木多层板，符合GB/T 3324-2017、GB/T 35607-2017和GB 20286-2006标准；阻燃性能符合GB 20286-2006标准，甲醛释放量≤0.05mg/m3</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3、封边：同色PVC封边条，厚度2mm 以上。                           4、框架材质为高质25*25mm白钢铁管碳黑砂处理，管壁1.2mm。</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30</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139065</wp:posOffset>
                  </wp:positionH>
                  <wp:positionV relativeFrom="paragraph">
                    <wp:posOffset>532765</wp:posOffset>
                  </wp:positionV>
                  <wp:extent cx="914400" cy="731520"/>
                  <wp:effectExtent l="0" t="0" r="0" b="11430"/>
                  <wp:wrapNone/>
                  <wp:docPr id="224" name="图片_94_SpCnt_1"/>
                  <wp:cNvGraphicFramePr/>
                  <a:graphic xmlns:a="http://schemas.openxmlformats.org/drawingml/2006/main">
                    <a:graphicData uri="http://schemas.openxmlformats.org/drawingml/2006/picture">
                      <pic:pic xmlns:pic="http://schemas.openxmlformats.org/drawingml/2006/picture">
                        <pic:nvPicPr>
                          <pic:cNvPr id="224" name="图片_94_SpCnt_1"/>
                          <pic:cNvPicPr/>
                        </pic:nvPicPr>
                        <pic:blipFill>
                          <a:blip r:embed="rId49"/>
                          <a:stretch>
                            <a:fillRect/>
                          </a:stretch>
                        </pic:blipFill>
                        <pic:spPr>
                          <a:xfrm>
                            <a:off x="0" y="0"/>
                            <a:ext cx="914400" cy="7315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书柜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3250*380*2030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31</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262890</wp:posOffset>
                  </wp:positionH>
                  <wp:positionV relativeFrom="paragraph">
                    <wp:posOffset>371475</wp:posOffset>
                  </wp:positionV>
                  <wp:extent cx="830580" cy="693420"/>
                  <wp:effectExtent l="0" t="0" r="7620" b="11430"/>
                  <wp:wrapNone/>
                  <wp:docPr id="215" name="图片_6"/>
                  <wp:cNvGraphicFramePr/>
                  <a:graphic xmlns:a="http://schemas.openxmlformats.org/drawingml/2006/main">
                    <a:graphicData uri="http://schemas.openxmlformats.org/drawingml/2006/picture">
                      <pic:pic xmlns:pic="http://schemas.openxmlformats.org/drawingml/2006/picture">
                        <pic:nvPicPr>
                          <pic:cNvPr id="215" name="图片_6"/>
                          <pic:cNvPicPr/>
                        </pic:nvPicPr>
                        <pic:blipFill>
                          <a:blip r:embed="rId50"/>
                          <a:stretch>
                            <a:fillRect/>
                          </a:stretch>
                        </pic:blipFill>
                        <pic:spPr>
                          <a:xfrm>
                            <a:off x="0" y="0"/>
                            <a:ext cx="830580" cy="6934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大板桌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2400*1200*760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6"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32</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253365</wp:posOffset>
                  </wp:positionH>
                  <wp:positionV relativeFrom="paragraph">
                    <wp:posOffset>214630</wp:posOffset>
                  </wp:positionV>
                  <wp:extent cx="594360" cy="495300"/>
                  <wp:effectExtent l="0" t="0" r="15240" b="0"/>
                  <wp:wrapNone/>
                  <wp:docPr id="217" name="图片_4"/>
                  <wp:cNvGraphicFramePr/>
                  <a:graphic xmlns:a="http://schemas.openxmlformats.org/drawingml/2006/main">
                    <a:graphicData uri="http://schemas.openxmlformats.org/drawingml/2006/picture">
                      <pic:pic xmlns:pic="http://schemas.openxmlformats.org/drawingml/2006/picture">
                        <pic:nvPicPr>
                          <pic:cNvPr id="217" name="图片_4"/>
                          <pic:cNvPicPr/>
                        </pic:nvPicPr>
                        <pic:blipFill>
                          <a:blip r:embed="rId51"/>
                          <a:stretch>
                            <a:fillRect/>
                          </a:stretch>
                        </pic:blipFill>
                        <pic:spPr>
                          <a:xfrm>
                            <a:off x="0" y="0"/>
                            <a:ext cx="594360" cy="49530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椅子</w:t>
            </w:r>
          </w:p>
        </w:tc>
        <w:tc>
          <w:tcPr>
            <w:tcW w:w="13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常规</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1、人造板材:板材能承受102KG冲击测试2次, 破坏性冲击测试136KG冲击2次；均符合QB/T2280行业标准,经防潮、防腐、防虫化学处理。</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2、座：人造板材，曲木板材采用</w:t>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-2242185</wp:posOffset>
                  </wp:positionH>
                  <wp:positionV relativeFrom="paragraph">
                    <wp:posOffset>401955</wp:posOffset>
                  </wp:positionV>
                  <wp:extent cx="495300" cy="776605"/>
                  <wp:effectExtent l="0" t="0" r="0" b="4445"/>
                  <wp:wrapNone/>
                  <wp:docPr id="218" name="图片_5"/>
                  <wp:cNvGraphicFramePr/>
                  <a:graphic xmlns:a="http://schemas.openxmlformats.org/drawingml/2006/main">
                    <a:graphicData uri="http://schemas.openxmlformats.org/drawingml/2006/picture">
                      <pic:pic xmlns:pic="http://schemas.openxmlformats.org/drawingml/2006/picture">
                        <pic:nvPicPr>
                          <pic:cNvPr id="218" name="图片_5"/>
                          <pic:cNvPicPr/>
                        </pic:nvPicPr>
                        <pic:blipFill>
                          <a:blip r:embed="rId52"/>
                          <a:stretch>
                            <a:fillRect/>
                          </a:stretch>
                        </pic:blipFill>
                        <pic:spPr>
                          <a:xfrm>
                            <a:off x="0" y="0"/>
                            <a:ext cx="495300" cy="7766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厚度为15MM，能承受102KG冲击测试。采用定型海绵，曲线造型紧贴大腿。</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3、钢材：优质的A3钢材Ø29*1.8，表面电镀处理，时尚、高雅、明快、简洁。。</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4、扶手：尼龙+纤（PA+GF），简洁，易清洗。</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5：面料：背采用涤纶网；座采用厚度1.0mm以上半PU西皮或涤纶丝布，通过拉力、弹力、耐挠、脱色、耐摩擦测试。</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6、螺丝：经过冷热加硬、电脑烤漆处理。螺齿喷防退漆，长久使用螺丝不会松退，不会发出响声。</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教师办公室2间</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33</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85725</wp:posOffset>
                  </wp:positionH>
                  <wp:positionV relativeFrom="paragraph">
                    <wp:posOffset>507365</wp:posOffset>
                  </wp:positionV>
                  <wp:extent cx="967740" cy="693420"/>
                  <wp:effectExtent l="0" t="0" r="3810" b="11430"/>
                  <wp:wrapNone/>
                  <wp:docPr id="203" name="图片_57"/>
                  <wp:cNvGraphicFramePr/>
                  <a:graphic xmlns:a="http://schemas.openxmlformats.org/drawingml/2006/main">
                    <a:graphicData uri="http://schemas.openxmlformats.org/drawingml/2006/picture">
                      <pic:pic xmlns:pic="http://schemas.openxmlformats.org/drawingml/2006/picture">
                        <pic:nvPicPr>
                          <pic:cNvPr id="203" name="图片_57"/>
                          <pic:cNvPicPr/>
                        </pic:nvPicPr>
                        <pic:blipFill>
                          <a:blip r:embed="rId53"/>
                          <a:stretch>
                            <a:fillRect/>
                          </a:stretch>
                        </pic:blipFill>
                        <pic:spPr>
                          <a:xfrm>
                            <a:off x="0" y="0"/>
                            <a:ext cx="967740" cy="6934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4人位屏风桌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2400*1200*1100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34</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348615</wp:posOffset>
                  </wp:positionH>
                  <wp:positionV relativeFrom="paragraph">
                    <wp:posOffset>432435</wp:posOffset>
                  </wp:positionV>
                  <wp:extent cx="462915" cy="596265"/>
                  <wp:effectExtent l="0" t="0" r="13335" b="13335"/>
                  <wp:wrapNone/>
                  <wp:docPr id="231" name="图片_54997"/>
                  <wp:cNvGraphicFramePr/>
                  <a:graphic xmlns:a="http://schemas.openxmlformats.org/drawingml/2006/main">
                    <a:graphicData uri="http://schemas.openxmlformats.org/drawingml/2006/picture">
                      <pic:pic xmlns:pic="http://schemas.openxmlformats.org/drawingml/2006/picture">
                        <pic:nvPicPr>
                          <pic:cNvPr id="231" name="图片_54997"/>
                          <pic:cNvPicPr/>
                        </pic:nvPicPr>
                        <pic:blipFill>
                          <a:blip r:embed="rId54"/>
                          <a:stretch>
                            <a:fillRect/>
                          </a:stretch>
                        </pic:blipFill>
                        <pic:spPr>
                          <a:xfrm>
                            <a:off x="0" y="0"/>
                            <a:ext cx="462915" cy="596265"/>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办公椅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宋体" w:hAnsi="宋体" w:eastAsia="宋体" w:cs="宋体"/>
                <w:i w:val="0"/>
                <w:iCs w:val="0"/>
                <w:color w:val="000000"/>
                <w:kern w:val="0"/>
                <w:sz w:val="18"/>
                <w:szCs w:val="18"/>
                <w:u w:val="none"/>
                <w:lang w:val="en-US" w:eastAsia="zh-CN" w:bidi="ar"/>
              </w:rPr>
              <w:t>545*560*985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1.白色全新料加纤背框，扪华宇透气网布；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2.白色pp固定腰靠；</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3.白色pp扶手面；</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4.座包一体成型定型海绵，永不变形，扪华宇透气网布；</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5.2.0mm厚度的A3钢材电镀弓形架。</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35</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400050</wp:posOffset>
                  </wp:positionH>
                  <wp:positionV relativeFrom="paragraph">
                    <wp:posOffset>576580</wp:posOffset>
                  </wp:positionV>
                  <wp:extent cx="350520" cy="716280"/>
                  <wp:effectExtent l="0" t="0" r="11430" b="7620"/>
                  <wp:wrapNone/>
                  <wp:docPr id="223" name="图片_94_SpCnt_2"/>
                  <wp:cNvGraphicFramePr/>
                  <a:graphic xmlns:a="http://schemas.openxmlformats.org/drawingml/2006/main">
                    <a:graphicData uri="http://schemas.openxmlformats.org/drawingml/2006/picture">
                      <pic:pic xmlns:pic="http://schemas.openxmlformats.org/drawingml/2006/picture">
                        <pic:nvPicPr>
                          <pic:cNvPr id="223" name="图片_94_SpCnt_2"/>
                          <pic:cNvPicPr/>
                        </pic:nvPicPr>
                        <pic:blipFill>
                          <a:blip r:embed="rId39"/>
                          <a:stretch>
                            <a:fillRect/>
                          </a:stretch>
                        </pic:blipFill>
                        <pic:spPr>
                          <a:xfrm>
                            <a:off x="0" y="0"/>
                            <a:ext cx="350520" cy="7162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二门柜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800*400*2000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档案室、文印室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36</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480060</wp:posOffset>
                  </wp:positionH>
                  <wp:positionV relativeFrom="paragraph">
                    <wp:posOffset>833755</wp:posOffset>
                  </wp:positionV>
                  <wp:extent cx="266700" cy="556260"/>
                  <wp:effectExtent l="0" t="0" r="0" b="15240"/>
                  <wp:wrapNone/>
                  <wp:docPr id="266" name="Picture_22836"/>
                  <wp:cNvGraphicFramePr/>
                  <a:graphic xmlns:a="http://schemas.openxmlformats.org/drawingml/2006/main">
                    <a:graphicData uri="http://schemas.openxmlformats.org/drawingml/2006/picture">
                      <pic:pic xmlns:pic="http://schemas.openxmlformats.org/drawingml/2006/picture">
                        <pic:nvPicPr>
                          <pic:cNvPr id="266" name="Picture_22836"/>
                          <pic:cNvPicPr/>
                        </pic:nvPicPr>
                        <pic:blipFill>
                          <a:blip r:embed="rId55"/>
                          <a:stretch>
                            <a:fillRect/>
                          </a:stretch>
                        </pic:blipFill>
                        <pic:spPr>
                          <a:xfrm>
                            <a:off x="0" y="0"/>
                            <a:ext cx="266700" cy="5562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档案柜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860*350*2060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优质冷轧钢板制作。材料厚度0.6MM。表面处理：采用优质粉末，高压静电喷塑前经过13道前期处理，无甲醛释放量，各零部件（含搁板、挂板、顶板、脚板等）、组合件表面应光滑、平整，表光泽度为60%～70%，耐冲击力大于60kg/cm2，不得有尖角、划口、凸起；涂膜厚度60-70um色泽应一致，漆面均匀光亮、无任何流漆划伤。 *工艺：1、柜体侧板、顶板、层板等正面多道折弯形成凹槽（见图）以增加强度。2、顶板及侧板采用45度对角拼接。（如图）3、侧板和顶板采用一体成型无焊接工艺。</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37</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198755</wp:posOffset>
                  </wp:positionH>
                  <wp:positionV relativeFrom="paragraph">
                    <wp:posOffset>467360</wp:posOffset>
                  </wp:positionV>
                  <wp:extent cx="678180" cy="464820"/>
                  <wp:effectExtent l="0" t="0" r="7620" b="11430"/>
                  <wp:wrapNone/>
                  <wp:docPr id="248" name="Picture_15"/>
                  <wp:cNvGraphicFramePr/>
                  <a:graphic xmlns:a="http://schemas.openxmlformats.org/drawingml/2006/main">
                    <a:graphicData uri="http://schemas.openxmlformats.org/drawingml/2006/picture">
                      <pic:pic xmlns:pic="http://schemas.openxmlformats.org/drawingml/2006/picture">
                        <pic:nvPicPr>
                          <pic:cNvPr id="248" name="Picture_15"/>
                          <pic:cNvPicPr/>
                        </pic:nvPicPr>
                        <pic:blipFill>
                          <a:blip r:embed="rId56"/>
                          <a:stretch>
                            <a:fillRect/>
                          </a:stretch>
                        </pic:blipFill>
                        <pic:spPr>
                          <a:xfrm>
                            <a:off x="0" y="0"/>
                            <a:ext cx="678180" cy="4648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1200*600*760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1.贴面用材：采用防火板饰面，硬度高，耐磨、耐热性好，表面平滑光洁 。</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2.封边：优质PVC同色封边。 </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3.基材板材：E1级环保刨花板，性能指标均达到或优于国家标准。</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4.五金配件：采用优质三节轨、锁具。</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3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38</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340995</wp:posOffset>
                  </wp:positionH>
                  <wp:positionV relativeFrom="paragraph">
                    <wp:posOffset>394335</wp:posOffset>
                  </wp:positionV>
                  <wp:extent cx="358140" cy="510540"/>
                  <wp:effectExtent l="0" t="0" r="3810" b="3810"/>
                  <wp:wrapNone/>
                  <wp:docPr id="242" name="图片_54997_SpCnt_1"/>
                  <wp:cNvGraphicFramePr/>
                  <a:graphic xmlns:a="http://schemas.openxmlformats.org/drawingml/2006/main">
                    <a:graphicData uri="http://schemas.openxmlformats.org/drawingml/2006/picture">
                      <pic:pic xmlns:pic="http://schemas.openxmlformats.org/drawingml/2006/picture">
                        <pic:nvPicPr>
                          <pic:cNvPr id="242" name="图片_54997_SpCnt_1"/>
                          <pic:cNvPicPr/>
                        </pic:nvPicPr>
                        <pic:blipFill>
                          <a:blip r:embed="rId54"/>
                          <a:stretch>
                            <a:fillRect/>
                          </a:stretch>
                        </pic:blipFill>
                        <pic:spPr>
                          <a:xfrm>
                            <a:off x="0" y="0"/>
                            <a:ext cx="358140" cy="5105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办公椅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宋体" w:hAnsi="宋体" w:eastAsia="宋体" w:cs="宋体"/>
                <w:i w:val="0"/>
                <w:iCs w:val="0"/>
                <w:color w:val="000000"/>
                <w:kern w:val="0"/>
                <w:sz w:val="18"/>
                <w:szCs w:val="18"/>
                <w:u w:val="none"/>
                <w:lang w:val="en-US" w:eastAsia="zh-CN" w:bidi="ar"/>
              </w:rPr>
              <w:t>545*560*985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1.白色全新料加纤背框，扪华宇透气网布；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2.白色pp固定腰靠；</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3.白色pp扶手面；</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4.座包一体成型定型海绵，永不变形，扪华宇透气网布；</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5.2.0mm厚度的A3钢材电镀弓形架。</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nil"/>
              <w:left w:val="nil"/>
              <w:bottom w:val="nil"/>
              <w:right w:val="nil"/>
            </w:tcBorders>
            <w:shd w:val="clear" w:color="auto" w:fill="DDEBF7"/>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nil"/>
              <w:left w:val="nil"/>
              <w:bottom w:val="nil"/>
              <w:right w:val="nil"/>
            </w:tcBorders>
            <w:shd w:val="clear" w:color="auto" w:fill="DDEB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三层</w:t>
            </w:r>
          </w:p>
        </w:tc>
        <w:tc>
          <w:tcPr>
            <w:tcW w:w="777" w:type="dxa"/>
            <w:tcBorders>
              <w:top w:val="nil"/>
              <w:left w:val="nil"/>
              <w:bottom w:val="nil"/>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nil"/>
              <w:left w:val="nil"/>
              <w:bottom w:val="nil"/>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nil"/>
              <w:left w:val="nil"/>
              <w:bottom w:val="nil"/>
              <w:right w:val="nil"/>
            </w:tcBorders>
            <w:shd w:val="clear" w:color="auto" w:fill="DDEBF7"/>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nil"/>
              <w:left w:val="nil"/>
              <w:bottom w:val="nil"/>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nil"/>
              <w:left w:val="nil"/>
              <w:bottom w:val="nil"/>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nil"/>
              <w:left w:val="nil"/>
              <w:bottom w:val="nil"/>
              <w:right w:val="nil"/>
            </w:tcBorders>
            <w:shd w:val="clear" w:color="auto" w:fill="DDEBF7"/>
            <w:noWrap/>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多功能室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6"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39</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269240</wp:posOffset>
                  </wp:positionH>
                  <wp:positionV relativeFrom="paragraph">
                    <wp:posOffset>450850</wp:posOffset>
                  </wp:positionV>
                  <wp:extent cx="822960" cy="617220"/>
                  <wp:effectExtent l="0" t="0" r="15240" b="11430"/>
                  <wp:wrapNone/>
                  <wp:docPr id="255" name="图片_35"/>
                  <wp:cNvGraphicFramePr/>
                  <a:graphic xmlns:a="http://schemas.openxmlformats.org/drawingml/2006/main">
                    <a:graphicData uri="http://schemas.openxmlformats.org/drawingml/2006/picture">
                      <pic:pic xmlns:pic="http://schemas.openxmlformats.org/drawingml/2006/picture">
                        <pic:nvPicPr>
                          <pic:cNvPr id="255" name="图片_35"/>
                          <pic:cNvPicPr/>
                        </pic:nvPicPr>
                        <pic:blipFill>
                          <a:blip r:embed="rId57"/>
                          <a:stretch>
                            <a:fillRect/>
                          </a:stretch>
                        </pic:blipFill>
                        <pic:spPr>
                          <a:xfrm>
                            <a:off x="0" y="0"/>
                            <a:ext cx="822960" cy="6172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主席台</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1400*600*800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35" name="Picture_124_SpCnt_138"/>
                  <wp:cNvGraphicFramePr/>
                  <a:graphic xmlns:a="http://schemas.openxmlformats.org/drawingml/2006/main">
                    <a:graphicData uri="http://schemas.openxmlformats.org/drawingml/2006/picture">
                      <pic:pic xmlns:pic="http://schemas.openxmlformats.org/drawingml/2006/picture">
                        <pic:nvPicPr>
                          <pic:cNvPr id="235" name="Picture_124_SpCnt_13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49" name="Picture_124_SpCnt_139"/>
                  <wp:cNvGraphicFramePr/>
                  <a:graphic xmlns:a="http://schemas.openxmlformats.org/drawingml/2006/main">
                    <a:graphicData uri="http://schemas.openxmlformats.org/drawingml/2006/picture">
                      <pic:pic xmlns:pic="http://schemas.openxmlformats.org/drawingml/2006/picture">
                        <pic:nvPicPr>
                          <pic:cNvPr id="249" name="Picture_124_SpCnt_13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51" name="Picture_124_SpCnt_140"/>
                  <wp:cNvGraphicFramePr/>
                  <a:graphic xmlns:a="http://schemas.openxmlformats.org/drawingml/2006/main">
                    <a:graphicData uri="http://schemas.openxmlformats.org/drawingml/2006/picture">
                      <pic:pic xmlns:pic="http://schemas.openxmlformats.org/drawingml/2006/picture">
                        <pic:nvPicPr>
                          <pic:cNvPr id="251" name="Picture_124_SpCnt_14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43" name="Picture_124_SpCnt_141"/>
                  <wp:cNvGraphicFramePr/>
                  <a:graphic xmlns:a="http://schemas.openxmlformats.org/drawingml/2006/main">
                    <a:graphicData uri="http://schemas.openxmlformats.org/drawingml/2006/picture">
                      <pic:pic xmlns:pic="http://schemas.openxmlformats.org/drawingml/2006/picture">
                        <pic:nvPicPr>
                          <pic:cNvPr id="243" name="Picture_124_SpCnt_14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253" name="Picture_124_SpCnt_142"/>
                  <wp:cNvGraphicFramePr/>
                  <a:graphic xmlns:a="http://schemas.openxmlformats.org/drawingml/2006/main">
                    <a:graphicData uri="http://schemas.openxmlformats.org/drawingml/2006/picture">
                      <pic:pic xmlns:pic="http://schemas.openxmlformats.org/drawingml/2006/picture">
                        <pic:nvPicPr>
                          <pic:cNvPr id="253" name="Picture_124_SpCnt_142"/>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65" name="Picture_124_SpCnt_143"/>
                  <wp:cNvGraphicFramePr/>
                  <a:graphic xmlns:a="http://schemas.openxmlformats.org/drawingml/2006/main">
                    <a:graphicData uri="http://schemas.openxmlformats.org/drawingml/2006/picture">
                      <pic:pic xmlns:pic="http://schemas.openxmlformats.org/drawingml/2006/picture">
                        <pic:nvPicPr>
                          <pic:cNvPr id="265" name="Picture_124_SpCnt_14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52" name="Picture_124_SpCnt_144"/>
                  <wp:cNvGraphicFramePr/>
                  <a:graphic xmlns:a="http://schemas.openxmlformats.org/drawingml/2006/main">
                    <a:graphicData uri="http://schemas.openxmlformats.org/drawingml/2006/picture">
                      <pic:pic xmlns:pic="http://schemas.openxmlformats.org/drawingml/2006/picture">
                        <pic:nvPicPr>
                          <pic:cNvPr id="252" name="Picture_124_SpCnt_14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58" name="Picture_124_SpCnt_145"/>
                  <wp:cNvGraphicFramePr/>
                  <a:graphic xmlns:a="http://schemas.openxmlformats.org/drawingml/2006/main">
                    <a:graphicData uri="http://schemas.openxmlformats.org/drawingml/2006/picture">
                      <pic:pic xmlns:pic="http://schemas.openxmlformats.org/drawingml/2006/picture">
                        <pic:nvPicPr>
                          <pic:cNvPr id="258" name="Picture_124_SpCnt_14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54" name="Picture_124_SpCnt_146"/>
                  <wp:cNvGraphicFramePr/>
                  <a:graphic xmlns:a="http://schemas.openxmlformats.org/drawingml/2006/main">
                    <a:graphicData uri="http://schemas.openxmlformats.org/drawingml/2006/picture">
                      <pic:pic xmlns:pic="http://schemas.openxmlformats.org/drawingml/2006/picture">
                        <pic:nvPicPr>
                          <pic:cNvPr id="254" name="Picture_124_SpCnt_14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45" name="Picture_124_SpCnt_147"/>
                  <wp:cNvGraphicFramePr/>
                  <a:graphic xmlns:a="http://schemas.openxmlformats.org/drawingml/2006/main">
                    <a:graphicData uri="http://schemas.openxmlformats.org/drawingml/2006/picture">
                      <pic:pic xmlns:pic="http://schemas.openxmlformats.org/drawingml/2006/picture">
                        <pic:nvPicPr>
                          <pic:cNvPr id="245" name="Picture_124_SpCnt_14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60" name="Picture_124_SpCnt_148"/>
                  <wp:cNvGraphicFramePr/>
                  <a:graphic xmlns:a="http://schemas.openxmlformats.org/drawingml/2006/main">
                    <a:graphicData uri="http://schemas.openxmlformats.org/drawingml/2006/picture">
                      <pic:pic xmlns:pic="http://schemas.openxmlformats.org/drawingml/2006/picture">
                        <pic:nvPicPr>
                          <pic:cNvPr id="260" name="Picture_124_SpCnt_14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56" name="Picture_124_SpCnt_149"/>
                  <wp:cNvGraphicFramePr/>
                  <a:graphic xmlns:a="http://schemas.openxmlformats.org/drawingml/2006/main">
                    <a:graphicData uri="http://schemas.openxmlformats.org/drawingml/2006/picture">
                      <pic:pic xmlns:pic="http://schemas.openxmlformats.org/drawingml/2006/picture">
                        <pic:nvPicPr>
                          <pic:cNvPr id="256" name="Picture_124_SpCnt_14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50" name="Picture_124_SpCnt_150"/>
                  <wp:cNvGraphicFramePr/>
                  <a:graphic xmlns:a="http://schemas.openxmlformats.org/drawingml/2006/main">
                    <a:graphicData uri="http://schemas.openxmlformats.org/drawingml/2006/picture">
                      <pic:pic xmlns:pic="http://schemas.openxmlformats.org/drawingml/2006/picture">
                        <pic:nvPicPr>
                          <pic:cNvPr id="250" name="Picture_124_SpCnt_15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36" name="Picture_124_SpCnt_151"/>
                  <wp:cNvGraphicFramePr/>
                  <a:graphic xmlns:a="http://schemas.openxmlformats.org/drawingml/2006/main">
                    <a:graphicData uri="http://schemas.openxmlformats.org/drawingml/2006/picture">
                      <pic:pic xmlns:pic="http://schemas.openxmlformats.org/drawingml/2006/picture">
                        <pic:nvPicPr>
                          <pic:cNvPr id="236" name="Picture_124_SpCnt_15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57" name="Picture_124_SpCnt_152"/>
                  <wp:cNvGraphicFramePr/>
                  <a:graphic xmlns:a="http://schemas.openxmlformats.org/drawingml/2006/main">
                    <a:graphicData uri="http://schemas.openxmlformats.org/drawingml/2006/picture">
                      <pic:pic xmlns:pic="http://schemas.openxmlformats.org/drawingml/2006/picture">
                        <pic:nvPicPr>
                          <pic:cNvPr id="257" name="Picture_124_SpCnt_15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61" name="Picture_124_SpCnt_153"/>
                  <wp:cNvGraphicFramePr/>
                  <a:graphic xmlns:a="http://schemas.openxmlformats.org/drawingml/2006/main">
                    <a:graphicData uri="http://schemas.openxmlformats.org/drawingml/2006/picture">
                      <pic:pic xmlns:pic="http://schemas.openxmlformats.org/drawingml/2006/picture">
                        <pic:nvPicPr>
                          <pic:cNvPr id="261" name="Picture_124_SpCnt_15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38" name="Picture_124_SpCnt_154"/>
                  <wp:cNvGraphicFramePr/>
                  <a:graphic xmlns:a="http://schemas.openxmlformats.org/drawingml/2006/main">
                    <a:graphicData uri="http://schemas.openxmlformats.org/drawingml/2006/picture">
                      <pic:pic xmlns:pic="http://schemas.openxmlformats.org/drawingml/2006/picture">
                        <pic:nvPicPr>
                          <pic:cNvPr id="238" name="Picture_124_SpCnt_15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239" name="Picture_124_SpCnt_155"/>
                  <wp:cNvGraphicFramePr/>
                  <a:graphic xmlns:a="http://schemas.openxmlformats.org/drawingml/2006/main">
                    <a:graphicData uri="http://schemas.openxmlformats.org/drawingml/2006/picture">
                      <pic:pic xmlns:pic="http://schemas.openxmlformats.org/drawingml/2006/picture">
                        <pic:nvPicPr>
                          <pic:cNvPr id="239" name="Picture_124_SpCnt_155"/>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37" name="Picture_124_SpCnt_156"/>
                  <wp:cNvGraphicFramePr/>
                  <a:graphic xmlns:a="http://schemas.openxmlformats.org/drawingml/2006/main">
                    <a:graphicData uri="http://schemas.openxmlformats.org/drawingml/2006/picture">
                      <pic:pic xmlns:pic="http://schemas.openxmlformats.org/drawingml/2006/picture">
                        <pic:nvPicPr>
                          <pic:cNvPr id="237" name="Picture_124_SpCnt_15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62" name="Picture_124_SpCnt_157"/>
                  <wp:cNvGraphicFramePr/>
                  <a:graphic xmlns:a="http://schemas.openxmlformats.org/drawingml/2006/main">
                    <a:graphicData uri="http://schemas.openxmlformats.org/drawingml/2006/picture">
                      <pic:pic xmlns:pic="http://schemas.openxmlformats.org/drawingml/2006/picture">
                        <pic:nvPicPr>
                          <pic:cNvPr id="262" name="Picture_124_SpCnt_15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40" name="Picture_124_SpCnt_158"/>
                  <wp:cNvGraphicFramePr/>
                  <a:graphic xmlns:a="http://schemas.openxmlformats.org/drawingml/2006/main">
                    <a:graphicData uri="http://schemas.openxmlformats.org/drawingml/2006/picture">
                      <pic:pic xmlns:pic="http://schemas.openxmlformats.org/drawingml/2006/picture">
                        <pic:nvPicPr>
                          <pic:cNvPr id="240" name="Picture_124_SpCnt_15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63" name="Picture_124_SpCnt_159"/>
                  <wp:cNvGraphicFramePr/>
                  <a:graphic xmlns:a="http://schemas.openxmlformats.org/drawingml/2006/main">
                    <a:graphicData uri="http://schemas.openxmlformats.org/drawingml/2006/picture">
                      <pic:pic xmlns:pic="http://schemas.openxmlformats.org/drawingml/2006/picture">
                        <pic:nvPicPr>
                          <pic:cNvPr id="263" name="Picture_124_SpCnt_15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1、面材：选用国内优质三聚氰胺防火板饰面，表面平滑光洁，容易维护清洗，硬度高，耐磨、耐热性好。               2、基材：采用符合国家E1级标准的优质环保型实木颗粒板，性能指标均达到或优于国家标准。                        3、封边：选用同色PVC封边条。                          4、五金配件：优质五金件，所有五金配件全部经过防锈、防腐处理。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40</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18"/>
                <w:szCs w:val="18"/>
                <w:u w:val="none"/>
              </w:rPr>
            </w:pPr>
            <w:r>
              <w:rPr>
                <w:rFonts w:hint="eastAsia" w:ascii="宋体" w:hAnsi="宋体" w:eastAsia="宋体" w:cs="宋体"/>
                <w:i w:val="0"/>
                <w:iCs w:val="0"/>
                <w:color w:val="FF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397510</wp:posOffset>
                  </wp:positionH>
                  <wp:positionV relativeFrom="paragraph">
                    <wp:posOffset>579120</wp:posOffset>
                  </wp:positionV>
                  <wp:extent cx="358140" cy="502920"/>
                  <wp:effectExtent l="0" t="0" r="3810" b="11430"/>
                  <wp:wrapNone/>
                  <wp:docPr id="247" name="图片_36"/>
                  <wp:cNvGraphicFramePr/>
                  <a:graphic xmlns:a="http://schemas.openxmlformats.org/drawingml/2006/main">
                    <a:graphicData uri="http://schemas.openxmlformats.org/drawingml/2006/picture">
                      <pic:pic xmlns:pic="http://schemas.openxmlformats.org/drawingml/2006/picture">
                        <pic:nvPicPr>
                          <pic:cNvPr id="247" name="图片_36"/>
                          <pic:cNvPicPr/>
                        </pic:nvPicPr>
                        <pic:blipFill>
                          <a:blip r:embed="rId59"/>
                          <a:stretch>
                            <a:fillRect/>
                          </a:stretch>
                        </pic:blipFill>
                        <pic:spPr>
                          <a:xfrm>
                            <a:off x="0" y="0"/>
                            <a:ext cx="358140" cy="5029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主席台椅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常规</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5715</wp:posOffset>
                  </wp:positionV>
                  <wp:extent cx="167640" cy="175260"/>
                  <wp:effectExtent l="0" t="0" r="0" b="0"/>
                  <wp:wrapNone/>
                  <wp:docPr id="241" name="Picture_124_SpCnt_160"/>
                  <wp:cNvGraphicFramePr/>
                  <a:graphic xmlns:a="http://schemas.openxmlformats.org/drawingml/2006/main">
                    <a:graphicData uri="http://schemas.openxmlformats.org/drawingml/2006/picture">
                      <pic:pic xmlns:pic="http://schemas.openxmlformats.org/drawingml/2006/picture">
                        <pic:nvPicPr>
                          <pic:cNvPr id="241" name="Picture_124_SpCnt_160"/>
                          <pic:cNvPicPr/>
                        </pic:nvPicPr>
                        <pic:blipFill>
                          <a:blip r:embed="rId60"/>
                          <a:stretch>
                            <a:fillRect/>
                          </a:stretch>
                        </pic:blipFill>
                        <pic:spPr>
                          <a:xfrm>
                            <a:off x="0" y="0"/>
                            <a:ext cx="16764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5715</wp:posOffset>
                  </wp:positionV>
                  <wp:extent cx="167640" cy="175260"/>
                  <wp:effectExtent l="0" t="0" r="0" b="0"/>
                  <wp:wrapNone/>
                  <wp:docPr id="264" name="Picture_124_SpCnt_161"/>
                  <wp:cNvGraphicFramePr/>
                  <a:graphic xmlns:a="http://schemas.openxmlformats.org/drawingml/2006/main">
                    <a:graphicData uri="http://schemas.openxmlformats.org/drawingml/2006/picture">
                      <pic:pic xmlns:pic="http://schemas.openxmlformats.org/drawingml/2006/picture">
                        <pic:nvPicPr>
                          <pic:cNvPr id="264" name="Picture_124_SpCnt_161"/>
                          <pic:cNvPicPr/>
                        </pic:nvPicPr>
                        <pic:blipFill>
                          <a:blip r:embed="rId60"/>
                          <a:stretch>
                            <a:fillRect/>
                          </a:stretch>
                        </pic:blipFill>
                        <pic:spPr>
                          <a:xfrm>
                            <a:off x="0" y="0"/>
                            <a:ext cx="16764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5715</wp:posOffset>
                  </wp:positionV>
                  <wp:extent cx="167640" cy="175260"/>
                  <wp:effectExtent l="0" t="0" r="0" b="0"/>
                  <wp:wrapNone/>
                  <wp:docPr id="244" name="Picture_124_SpCnt_162"/>
                  <wp:cNvGraphicFramePr/>
                  <a:graphic xmlns:a="http://schemas.openxmlformats.org/drawingml/2006/main">
                    <a:graphicData uri="http://schemas.openxmlformats.org/drawingml/2006/picture">
                      <pic:pic xmlns:pic="http://schemas.openxmlformats.org/drawingml/2006/picture">
                        <pic:nvPicPr>
                          <pic:cNvPr id="244" name="Picture_124_SpCnt_162"/>
                          <pic:cNvPicPr/>
                        </pic:nvPicPr>
                        <pic:blipFill>
                          <a:blip r:embed="rId60"/>
                          <a:stretch>
                            <a:fillRect/>
                          </a:stretch>
                        </pic:blipFill>
                        <pic:spPr>
                          <a:xfrm>
                            <a:off x="0" y="0"/>
                            <a:ext cx="16764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5715</wp:posOffset>
                  </wp:positionV>
                  <wp:extent cx="167640" cy="175260"/>
                  <wp:effectExtent l="0" t="0" r="0" b="0"/>
                  <wp:wrapNone/>
                  <wp:docPr id="246" name="Picture_124_SpCnt_163"/>
                  <wp:cNvGraphicFramePr/>
                  <a:graphic xmlns:a="http://schemas.openxmlformats.org/drawingml/2006/main">
                    <a:graphicData uri="http://schemas.openxmlformats.org/drawingml/2006/picture">
                      <pic:pic xmlns:pic="http://schemas.openxmlformats.org/drawingml/2006/picture">
                        <pic:nvPicPr>
                          <pic:cNvPr id="246" name="Picture_124_SpCnt_163"/>
                          <pic:cNvPicPr/>
                        </pic:nvPicPr>
                        <pic:blipFill>
                          <a:blip r:embed="rId60"/>
                          <a:stretch>
                            <a:fillRect/>
                          </a:stretch>
                        </pic:blipFill>
                        <pic:spPr>
                          <a:xfrm>
                            <a:off x="0" y="0"/>
                            <a:ext cx="16764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 xml:space="preserve">1.皮料：西皮；耐寒性好，皮质感较强，耐磨耐刮，柔软弹性,通过拉力、弹力、耐挠、脱色、耐摩擦测试。                                    </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2.扶手：PU扶手面，性能稳定耐用，防撞防碰花，耐清洗。</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3.海绵：采用高密度发泡成型棉，35密度海绵，阻燃性能达到Ⅰ级。</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4.椅脚：采用1.5mm钢管，表面电镀处理，硬度大，韧性好安全性高。</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41</w:t>
            </w:r>
          </w:p>
        </w:tc>
        <w:tc>
          <w:tcPr>
            <w:tcW w:w="1904"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472440</wp:posOffset>
                  </wp:positionH>
                  <wp:positionV relativeFrom="paragraph">
                    <wp:posOffset>441960</wp:posOffset>
                  </wp:positionV>
                  <wp:extent cx="381000" cy="541020"/>
                  <wp:effectExtent l="0" t="0" r="0" b="11430"/>
                  <wp:wrapNone/>
                  <wp:docPr id="267" name="图片_49"/>
                  <wp:cNvGraphicFramePr/>
                  <a:graphic xmlns:a="http://schemas.openxmlformats.org/drawingml/2006/main">
                    <a:graphicData uri="http://schemas.openxmlformats.org/drawingml/2006/picture">
                      <pic:pic xmlns:pic="http://schemas.openxmlformats.org/drawingml/2006/picture">
                        <pic:nvPicPr>
                          <pic:cNvPr id="267" name="图片_49"/>
                          <pic:cNvPicPr/>
                        </pic:nvPicPr>
                        <pic:blipFill>
                          <a:blip r:embed="rId61"/>
                          <a:stretch>
                            <a:fillRect/>
                          </a:stretch>
                        </pic:blipFill>
                        <pic:spPr>
                          <a:xfrm>
                            <a:off x="0" y="0"/>
                            <a:ext cx="381000" cy="541020"/>
                          </a:xfrm>
                          <a:prstGeom prst="rect">
                            <a:avLst/>
                          </a:prstGeom>
                          <a:noFill/>
                          <a:ln>
                            <a:noFill/>
                          </a:ln>
                        </pic:spPr>
                      </pic:pic>
                    </a:graphicData>
                  </a:graphic>
                </wp:anchor>
              </w:drawing>
            </w:r>
          </w:p>
        </w:tc>
        <w:tc>
          <w:tcPr>
            <w:tcW w:w="77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演讲台</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常规</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1"/>
              </w:numPr>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68" name="Picture_124_SpCnt_164"/>
                  <wp:cNvGraphicFramePr/>
                  <a:graphic xmlns:a="http://schemas.openxmlformats.org/drawingml/2006/main">
                    <a:graphicData uri="http://schemas.openxmlformats.org/drawingml/2006/picture">
                      <pic:pic xmlns:pic="http://schemas.openxmlformats.org/drawingml/2006/picture">
                        <pic:nvPicPr>
                          <pic:cNvPr id="268" name="Picture_124_SpCnt_164"/>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269" name="Picture_124_SpCnt_165"/>
                  <wp:cNvGraphicFramePr/>
                  <a:graphic xmlns:a="http://schemas.openxmlformats.org/drawingml/2006/main">
                    <a:graphicData uri="http://schemas.openxmlformats.org/drawingml/2006/picture">
                      <pic:pic xmlns:pic="http://schemas.openxmlformats.org/drawingml/2006/picture">
                        <pic:nvPicPr>
                          <pic:cNvPr id="269" name="Picture_124_SpCnt_165"/>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56" name="Picture_124_SpCnt_166"/>
                  <wp:cNvGraphicFramePr/>
                  <a:graphic xmlns:a="http://schemas.openxmlformats.org/drawingml/2006/main">
                    <a:graphicData uri="http://schemas.openxmlformats.org/drawingml/2006/picture">
                      <pic:pic xmlns:pic="http://schemas.openxmlformats.org/drawingml/2006/picture">
                        <pic:nvPicPr>
                          <pic:cNvPr id="56" name="Picture_124_SpCnt_16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57" name="Picture_124_SpCnt_167"/>
                  <wp:cNvGraphicFramePr/>
                  <a:graphic xmlns:a="http://schemas.openxmlformats.org/drawingml/2006/main">
                    <a:graphicData uri="http://schemas.openxmlformats.org/drawingml/2006/picture">
                      <pic:pic xmlns:pic="http://schemas.openxmlformats.org/drawingml/2006/picture">
                        <pic:nvPicPr>
                          <pic:cNvPr id="57" name="Picture_124_SpCnt_16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60" name="Picture_124_SpCnt_168"/>
                  <wp:cNvGraphicFramePr/>
                  <a:graphic xmlns:a="http://schemas.openxmlformats.org/drawingml/2006/main">
                    <a:graphicData uri="http://schemas.openxmlformats.org/drawingml/2006/picture">
                      <pic:pic xmlns:pic="http://schemas.openxmlformats.org/drawingml/2006/picture">
                        <pic:nvPicPr>
                          <pic:cNvPr id="60" name="Picture_124_SpCnt_16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74" name="Picture_124_SpCnt_169"/>
                  <wp:cNvGraphicFramePr/>
                  <a:graphic xmlns:a="http://schemas.openxmlformats.org/drawingml/2006/main">
                    <a:graphicData uri="http://schemas.openxmlformats.org/drawingml/2006/picture">
                      <pic:pic xmlns:pic="http://schemas.openxmlformats.org/drawingml/2006/picture">
                        <pic:nvPicPr>
                          <pic:cNvPr id="74" name="Picture_124_SpCnt_16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47" name="Picture_124_SpCnt_170"/>
                  <wp:cNvGraphicFramePr/>
                  <a:graphic xmlns:a="http://schemas.openxmlformats.org/drawingml/2006/main">
                    <a:graphicData uri="http://schemas.openxmlformats.org/drawingml/2006/picture">
                      <pic:pic xmlns:pic="http://schemas.openxmlformats.org/drawingml/2006/picture">
                        <pic:nvPicPr>
                          <pic:cNvPr id="47" name="Picture_124_SpCnt_17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50" name="Picture_124_SpCnt_171"/>
                  <wp:cNvGraphicFramePr/>
                  <a:graphic xmlns:a="http://schemas.openxmlformats.org/drawingml/2006/main">
                    <a:graphicData uri="http://schemas.openxmlformats.org/drawingml/2006/picture">
                      <pic:pic xmlns:pic="http://schemas.openxmlformats.org/drawingml/2006/picture">
                        <pic:nvPicPr>
                          <pic:cNvPr id="50" name="Picture_124_SpCnt_17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 xml:space="preserve">面材：选用国内优质三聚氰胺防火板饰面，表面平滑光洁，容易维护清洗，硬度高，耐磨、耐热性好。              </w:t>
            </w:r>
          </w:p>
          <w:p>
            <w:pPr>
              <w:keepNext w:val="0"/>
              <w:keepLines w:val="0"/>
              <w:widowControl/>
              <w:numPr>
                <w:ilvl w:val="0"/>
                <w:numId w:val="1"/>
              </w:numPr>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基材：采用符合国家E1级标准的优质环保型实木颗粒板，性能指标均达到或优于国家标准。                        3、封边：选用同色PVC封边条。                          4、五金配件：优质五金件，所有五金配件全部经过防锈、防腐处理。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42</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720090</wp:posOffset>
                  </wp:positionH>
                  <wp:positionV relativeFrom="paragraph">
                    <wp:posOffset>805815</wp:posOffset>
                  </wp:positionV>
                  <wp:extent cx="327660" cy="571500"/>
                  <wp:effectExtent l="0" t="0" r="15240" b="0"/>
                  <wp:wrapNone/>
                  <wp:docPr id="58" name="图片_23_SpCnt_1"/>
                  <wp:cNvGraphicFramePr/>
                  <a:graphic xmlns:a="http://schemas.openxmlformats.org/drawingml/2006/main">
                    <a:graphicData uri="http://schemas.openxmlformats.org/drawingml/2006/picture">
                      <pic:pic xmlns:pic="http://schemas.openxmlformats.org/drawingml/2006/picture">
                        <pic:nvPicPr>
                          <pic:cNvPr id="58" name="图片_23_SpCnt_1"/>
                          <pic:cNvPicPr/>
                        </pic:nvPicPr>
                        <pic:blipFill>
                          <a:blip r:embed="rId62"/>
                          <a:stretch>
                            <a:fillRect/>
                          </a:stretch>
                        </pic:blipFill>
                        <pic:spPr>
                          <a:xfrm>
                            <a:off x="0" y="0"/>
                            <a:ext cx="327660" cy="5715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112395</wp:posOffset>
                  </wp:positionH>
                  <wp:positionV relativeFrom="paragraph">
                    <wp:posOffset>751205</wp:posOffset>
                  </wp:positionV>
                  <wp:extent cx="449580" cy="586740"/>
                  <wp:effectExtent l="0" t="0" r="7620" b="3810"/>
                  <wp:wrapNone/>
                  <wp:docPr id="73" name="图片_22"/>
                  <wp:cNvGraphicFramePr/>
                  <a:graphic xmlns:a="http://schemas.openxmlformats.org/drawingml/2006/main">
                    <a:graphicData uri="http://schemas.openxmlformats.org/drawingml/2006/picture">
                      <pic:pic xmlns:pic="http://schemas.openxmlformats.org/drawingml/2006/picture">
                        <pic:nvPicPr>
                          <pic:cNvPr id="73" name="图片_22"/>
                          <pic:cNvPicPr/>
                        </pic:nvPicPr>
                        <pic:blipFill>
                          <a:blip r:embed="rId63"/>
                          <a:stretch>
                            <a:fillRect/>
                          </a:stretch>
                        </pic:blipFill>
                        <pic:spPr>
                          <a:xfrm>
                            <a:off x="0" y="0"/>
                            <a:ext cx="449580" cy="5867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折叠椅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490*553*848</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68" name="Picture_124_SpCnt_172"/>
                  <wp:cNvGraphicFramePr/>
                  <a:graphic xmlns:a="http://schemas.openxmlformats.org/drawingml/2006/main">
                    <a:graphicData uri="http://schemas.openxmlformats.org/drawingml/2006/picture">
                      <pic:pic xmlns:pic="http://schemas.openxmlformats.org/drawingml/2006/picture">
                        <pic:nvPicPr>
                          <pic:cNvPr id="68" name="Picture_124_SpCnt_17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71" name="Picture_124_SpCnt_173"/>
                  <wp:cNvGraphicFramePr/>
                  <a:graphic xmlns:a="http://schemas.openxmlformats.org/drawingml/2006/main">
                    <a:graphicData uri="http://schemas.openxmlformats.org/drawingml/2006/picture">
                      <pic:pic xmlns:pic="http://schemas.openxmlformats.org/drawingml/2006/picture">
                        <pic:nvPicPr>
                          <pic:cNvPr id="71" name="Picture_124_SpCnt_173"/>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1.靠背尼龙加玻纤白色背框扪华宇透气网布，带倾仰机构设计，有效缓解疲劳功能；</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2.坐垫45高密度纯海绵+白色塑胶底壳+高级耐磨弹力绒布座饰面；</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3.白色PP扶手面可前后活动；</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4.后背与架子链接采用铝合金连接件，稳固性强；</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5.铝合金连接头+ABS写字板面，可180°翻转；</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6.架子1.5厚喷涂白色蛋型管4脚椅架+固定脚固定脚/ 50mm静音轮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7.功能坐垫可翻起，架子可全折叠。</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220</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43</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417195</wp:posOffset>
                  </wp:positionH>
                  <wp:positionV relativeFrom="paragraph">
                    <wp:posOffset>497840</wp:posOffset>
                  </wp:positionV>
                  <wp:extent cx="441960" cy="548640"/>
                  <wp:effectExtent l="0" t="0" r="15240" b="3810"/>
                  <wp:wrapNone/>
                  <wp:docPr id="75" name="图片_42_SpCnt_3"/>
                  <wp:cNvGraphicFramePr/>
                  <a:graphic xmlns:a="http://schemas.openxmlformats.org/drawingml/2006/main">
                    <a:graphicData uri="http://schemas.openxmlformats.org/drawingml/2006/picture">
                      <pic:pic xmlns:pic="http://schemas.openxmlformats.org/drawingml/2006/picture">
                        <pic:nvPicPr>
                          <pic:cNvPr id="75" name="图片_42_SpCnt_3"/>
                          <pic:cNvPicPr/>
                        </pic:nvPicPr>
                        <pic:blipFill>
                          <a:blip r:embed="rId42"/>
                          <a:stretch>
                            <a:fillRect/>
                          </a:stretch>
                        </pic:blipFill>
                        <pic:spPr>
                          <a:xfrm>
                            <a:off x="0" y="0"/>
                            <a:ext cx="44196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2"/>
              </w:numPr>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基材：采用优质多层板，甲醛释放量≤0.08mg/m³；                                2、贴面：选用双贴三聚氰胺浸渍面纸饰面材料；            </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园长室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44</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127000</wp:posOffset>
                  </wp:positionH>
                  <wp:positionV relativeFrom="paragraph">
                    <wp:posOffset>548640</wp:posOffset>
                  </wp:positionV>
                  <wp:extent cx="929640" cy="632460"/>
                  <wp:effectExtent l="0" t="0" r="3810" b="15240"/>
                  <wp:wrapNone/>
                  <wp:docPr id="70" name="图片_47"/>
                  <wp:cNvGraphicFramePr/>
                  <a:graphic xmlns:a="http://schemas.openxmlformats.org/drawingml/2006/main">
                    <a:graphicData uri="http://schemas.openxmlformats.org/drawingml/2006/picture">
                      <pic:pic xmlns:pic="http://schemas.openxmlformats.org/drawingml/2006/picture">
                        <pic:nvPicPr>
                          <pic:cNvPr id="70" name="图片_47"/>
                          <pic:cNvPicPr/>
                        </pic:nvPicPr>
                        <pic:blipFill>
                          <a:blip r:embed="rId64"/>
                          <a:stretch>
                            <a:fillRect/>
                          </a:stretch>
                        </pic:blipFill>
                        <pic:spPr>
                          <a:xfrm>
                            <a:off x="0" y="0"/>
                            <a:ext cx="929640" cy="6324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班台</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1800*1600*760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45</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18"/>
                <w:szCs w:val="18"/>
                <w:u w:val="none"/>
              </w:rPr>
            </w:pPr>
            <w:r>
              <w:rPr>
                <w:rFonts w:hint="eastAsia" w:ascii="宋体" w:hAnsi="宋体" w:eastAsia="宋体" w:cs="宋体"/>
                <w:i w:val="0"/>
                <w:iCs w:val="0"/>
                <w:color w:val="FF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542290</wp:posOffset>
                  </wp:positionH>
                  <wp:positionV relativeFrom="paragraph">
                    <wp:posOffset>590550</wp:posOffset>
                  </wp:positionV>
                  <wp:extent cx="358140" cy="502920"/>
                  <wp:effectExtent l="0" t="0" r="3810" b="11430"/>
                  <wp:wrapNone/>
                  <wp:docPr id="76" name="图片_67"/>
                  <wp:cNvGraphicFramePr/>
                  <a:graphic xmlns:a="http://schemas.openxmlformats.org/drawingml/2006/main">
                    <a:graphicData uri="http://schemas.openxmlformats.org/drawingml/2006/picture">
                      <pic:pic xmlns:pic="http://schemas.openxmlformats.org/drawingml/2006/picture">
                        <pic:nvPicPr>
                          <pic:cNvPr id="76" name="图片_67"/>
                          <pic:cNvPicPr/>
                        </pic:nvPicPr>
                        <pic:blipFill>
                          <a:blip r:embed="rId59"/>
                          <a:stretch>
                            <a:fillRect/>
                          </a:stretch>
                        </pic:blipFill>
                        <pic:spPr>
                          <a:xfrm>
                            <a:off x="0" y="0"/>
                            <a:ext cx="358140" cy="5029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主席台椅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常规</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5715</wp:posOffset>
                  </wp:positionV>
                  <wp:extent cx="167640" cy="175260"/>
                  <wp:effectExtent l="0" t="0" r="0" b="0"/>
                  <wp:wrapNone/>
                  <wp:docPr id="66" name="Picture_124_SpCnt_174"/>
                  <wp:cNvGraphicFramePr/>
                  <a:graphic xmlns:a="http://schemas.openxmlformats.org/drawingml/2006/main">
                    <a:graphicData uri="http://schemas.openxmlformats.org/drawingml/2006/picture">
                      <pic:pic xmlns:pic="http://schemas.openxmlformats.org/drawingml/2006/picture">
                        <pic:nvPicPr>
                          <pic:cNvPr id="66" name="Picture_124_SpCnt_174"/>
                          <pic:cNvPicPr/>
                        </pic:nvPicPr>
                        <pic:blipFill>
                          <a:blip r:embed="rId60"/>
                          <a:stretch>
                            <a:fillRect/>
                          </a:stretch>
                        </pic:blipFill>
                        <pic:spPr>
                          <a:xfrm>
                            <a:off x="0" y="0"/>
                            <a:ext cx="16764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5715</wp:posOffset>
                  </wp:positionV>
                  <wp:extent cx="167640" cy="175260"/>
                  <wp:effectExtent l="0" t="0" r="0" b="0"/>
                  <wp:wrapNone/>
                  <wp:docPr id="69" name="Picture_124_SpCnt_175"/>
                  <wp:cNvGraphicFramePr/>
                  <a:graphic xmlns:a="http://schemas.openxmlformats.org/drawingml/2006/main">
                    <a:graphicData uri="http://schemas.openxmlformats.org/drawingml/2006/picture">
                      <pic:pic xmlns:pic="http://schemas.openxmlformats.org/drawingml/2006/picture">
                        <pic:nvPicPr>
                          <pic:cNvPr id="69" name="Picture_124_SpCnt_175"/>
                          <pic:cNvPicPr/>
                        </pic:nvPicPr>
                        <pic:blipFill>
                          <a:blip r:embed="rId60"/>
                          <a:stretch>
                            <a:fillRect/>
                          </a:stretch>
                        </pic:blipFill>
                        <pic:spPr>
                          <a:xfrm>
                            <a:off x="0" y="0"/>
                            <a:ext cx="16764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5715</wp:posOffset>
                  </wp:positionV>
                  <wp:extent cx="167640" cy="175260"/>
                  <wp:effectExtent l="0" t="0" r="0" b="0"/>
                  <wp:wrapNone/>
                  <wp:docPr id="67" name="Picture_124_SpCnt_176"/>
                  <wp:cNvGraphicFramePr/>
                  <a:graphic xmlns:a="http://schemas.openxmlformats.org/drawingml/2006/main">
                    <a:graphicData uri="http://schemas.openxmlformats.org/drawingml/2006/picture">
                      <pic:pic xmlns:pic="http://schemas.openxmlformats.org/drawingml/2006/picture">
                        <pic:nvPicPr>
                          <pic:cNvPr id="67" name="Picture_124_SpCnt_176"/>
                          <pic:cNvPicPr/>
                        </pic:nvPicPr>
                        <pic:blipFill>
                          <a:blip r:embed="rId60"/>
                          <a:stretch>
                            <a:fillRect/>
                          </a:stretch>
                        </pic:blipFill>
                        <pic:spPr>
                          <a:xfrm>
                            <a:off x="0" y="0"/>
                            <a:ext cx="16764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5715</wp:posOffset>
                  </wp:positionV>
                  <wp:extent cx="167640" cy="175260"/>
                  <wp:effectExtent l="0" t="0" r="0" b="0"/>
                  <wp:wrapNone/>
                  <wp:docPr id="72" name="Picture_124_SpCnt_177"/>
                  <wp:cNvGraphicFramePr/>
                  <a:graphic xmlns:a="http://schemas.openxmlformats.org/drawingml/2006/main">
                    <a:graphicData uri="http://schemas.openxmlformats.org/drawingml/2006/picture">
                      <pic:pic xmlns:pic="http://schemas.openxmlformats.org/drawingml/2006/picture">
                        <pic:nvPicPr>
                          <pic:cNvPr id="72" name="Picture_124_SpCnt_177"/>
                          <pic:cNvPicPr/>
                        </pic:nvPicPr>
                        <pic:blipFill>
                          <a:blip r:embed="rId60"/>
                          <a:stretch>
                            <a:fillRect/>
                          </a:stretch>
                        </pic:blipFill>
                        <pic:spPr>
                          <a:xfrm>
                            <a:off x="0" y="0"/>
                            <a:ext cx="167640" cy="17526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 xml:space="preserve">1.皮料：西皮；耐寒性好，皮质感较强，耐磨耐刮，柔软弹性,通过拉力、弹力、耐挠、脱色、耐摩擦测试。                                    </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2.扶手：PU扶手面，性能稳定耐用，防撞防碰花，耐清洗。</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3.海绵：采用高密度发泡成型棉，35密度海绵，阻燃性能达到Ⅰ级。</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4.椅脚：采用1.5mm钢管，表面电镀处理，硬度大，韧性好安全性高。</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8"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46</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226695</wp:posOffset>
                  </wp:positionH>
                  <wp:positionV relativeFrom="paragraph">
                    <wp:posOffset>526415</wp:posOffset>
                  </wp:positionV>
                  <wp:extent cx="685800" cy="701040"/>
                  <wp:effectExtent l="0" t="0" r="0" b="3810"/>
                  <wp:wrapNone/>
                  <wp:docPr id="63" name="图片_43"/>
                  <wp:cNvGraphicFramePr/>
                  <a:graphic xmlns:a="http://schemas.openxmlformats.org/drawingml/2006/main">
                    <a:graphicData uri="http://schemas.openxmlformats.org/drawingml/2006/picture">
                      <pic:pic xmlns:pic="http://schemas.openxmlformats.org/drawingml/2006/picture">
                        <pic:nvPicPr>
                          <pic:cNvPr id="63" name="图片_43"/>
                          <pic:cNvPicPr/>
                        </pic:nvPicPr>
                        <pic:blipFill>
                          <a:blip r:embed="rId65"/>
                          <a:stretch>
                            <a:fillRect/>
                          </a:stretch>
                        </pic:blipFill>
                        <pic:spPr>
                          <a:xfrm>
                            <a:off x="0" y="0"/>
                            <a:ext cx="685800" cy="7010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书柜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1800*400*2000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47</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273050</wp:posOffset>
                  </wp:positionH>
                  <wp:positionV relativeFrom="paragraph">
                    <wp:posOffset>387985</wp:posOffset>
                  </wp:positionV>
                  <wp:extent cx="632460" cy="571500"/>
                  <wp:effectExtent l="0" t="0" r="15240" b="0"/>
                  <wp:wrapNone/>
                  <wp:docPr id="51" name="图片_52"/>
                  <wp:cNvGraphicFramePr/>
                  <a:graphic xmlns:a="http://schemas.openxmlformats.org/drawingml/2006/main">
                    <a:graphicData uri="http://schemas.openxmlformats.org/drawingml/2006/picture">
                      <pic:pic xmlns:pic="http://schemas.openxmlformats.org/drawingml/2006/picture">
                        <pic:nvPicPr>
                          <pic:cNvPr id="51" name="图片_52"/>
                          <pic:cNvPicPr/>
                        </pic:nvPicPr>
                        <pic:blipFill>
                          <a:blip r:embed="rId66"/>
                          <a:stretch>
                            <a:fillRect/>
                          </a:stretch>
                        </pic:blipFill>
                        <pic:spPr>
                          <a:xfrm>
                            <a:off x="0" y="0"/>
                            <a:ext cx="632460" cy="57150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1、基材：采用优质实木多层板，甲醛释放量≤0.08mg/m³；                                2、贴面：选用双贴三聚氰胺浸渍面纸饰面材料；             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48</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768350</wp:posOffset>
                  </wp:positionH>
                  <wp:positionV relativeFrom="paragraph">
                    <wp:posOffset>281940</wp:posOffset>
                  </wp:positionV>
                  <wp:extent cx="243840" cy="525780"/>
                  <wp:effectExtent l="0" t="0" r="3810" b="7620"/>
                  <wp:wrapNone/>
                  <wp:docPr id="48" name="图片_2875_SpCnt_1"/>
                  <wp:cNvGraphicFramePr/>
                  <a:graphic xmlns:a="http://schemas.openxmlformats.org/drawingml/2006/main">
                    <a:graphicData uri="http://schemas.openxmlformats.org/drawingml/2006/picture">
                      <pic:pic xmlns:pic="http://schemas.openxmlformats.org/drawingml/2006/picture">
                        <pic:nvPicPr>
                          <pic:cNvPr id="48" name="图片_2875_SpCnt_1"/>
                          <pic:cNvPicPr/>
                        </pic:nvPicPr>
                        <pic:blipFill>
                          <a:blip r:embed="rId67"/>
                          <a:stretch>
                            <a:fillRect/>
                          </a:stretch>
                        </pic:blipFill>
                        <pic:spPr>
                          <a:xfrm>
                            <a:off x="0" y="0"/>
                            <a:ext cx="243840" cy="52578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436880</wp:posOffset>
                  </wp:positionH>
                  <wp:positionV relativeFrom="paragraph">
                    <wp:posOffset>468630</wp:posOffset>
                  </wp:positionV>
                  <wp:extent cx="236220" cy="281940"/>
                  <wp:effectExtent l="0" t="0" r="11430" b="3810"/>
                  <wp:wrapNone/>
                  <wp:docPr id="49" name="图片_169"/>
                  <wp:cNvGraphicFramePr/>
                  <a:graphic xmlns:a="http://schemas.openxmlformats.org/drawingml/2006/main">
                    <a:graphicData uri="http://schemas.openxmlformats.org/drawingml/2006/picture">
                      <pic:pic xmlns:pic="http://schemas.openxmlformats.org/drawingml/2006/picture">
                        <pic:nvPicPr>
                          <pic:cNvPr id="49" name="图片_169"/>
                          <pic:cNvPicPr/>
                        </pic:nvPicPr>
                        <pic:blipFill>
                          <a:blip r:embed="rId68"/>
                          <a:stretch>
                            <a:fillRect/>
                          </a:stretch>
                        </pic:blipFill>
                        <pic:spPr>
                          <a:xfrm>
                            <a:off x="0" y="0"/>
                            <a:ext cx="236220" cy="2819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41275</wp:posOffset>
                  </wp:positionH>
                  <wp:positionV relativeFrom="paragraph">
                    <wp:posOffset>317500</wp:posOffset>
                  </wp:positionV>
                  <wp:extent cx="342900" cy="525780"/>
                  <wp:effectExtent l="0" t="0" r="0" b="7620"/>
                  <wp:wrapNone/>
                  <wp:docPr id="61" name="图片_2875"/>
                  <wp:cNvGraphicFramePr/>
                  <a:graphic xmlns:a="http://schemas.openxmlformats.org/drawingml/2006/main">
                    <a:graphicData uri="http://schemas.openxmlformats.org/drawingml/2006/picture">
                      <pic:pic xmlns:pic="http://schemas.openxmlformats.org/drawingml/2006/picture">
                        <pic:nvPicPr>
                          <pic:cNvPr id="61" name="图片_2875"/>
                          <pic:cNvPicPr/>
                        </pic:nvPicPr>
                        <pic:blipFill>
                          <a:blip r:embed="rId69"/>
                          <a:stretch>
                            <a:fillRect/>
                          </a:stretch>
                        </pic:blipFill>
                        <pic:spPr>
                          <a:xfrm>
                            <a:off x="0" y="0"/>
                            <a:ext cx="342900" cy="5257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接待椅组合</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1+1+茶几</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￭背框：优质全新PP料加纤维                                                         ￭面料：办公专用尼龙网镂空背配不含金属座布料                                                                              ￭扶手：优质全新PP料加纤维                                                     ￭坐垫棉：60密高回弹科技切割定型棉：                                                        ￭2.0MM喷黑磨砂承受力150kg </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副园长室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49</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132715</wp:posOffset>
                  </wp:positionH>
                  <wp:positionV relativeFrom="paragraph">
                    <wp:posOffset>580390</wp:posOffset>
                  </wp:positionV>
                  <wp:extent cx="830580" cy="670560"/>
                  <wp:effectExtent l="0" t="0" r="7620" b="15240"/>
                  <wp:wrapNone/>
                  <wp:docPr id="52" name="图片_73"/>
                  <wp:cNvGraphicFramePr/>
                  <a:graphic xmlns:a="http://schemas.openxmlformats.org/drawingml/2006/main">
                    <a:graphicData uri="http://schemas.openxmlformats.org/drawingml/2006/picture">
                      <pic:pic xmlns:pic="http://schemas.openxmlformats.org/drawingml/2006/picture">
                        <pic:nvPicPr>
                          <pic:cNvPr id="52" name="图片_73"/>
                          <pic:cNvPicPr/>
                        </pic:nvPicPr>
                        <pic:blipFill>
                          <a:blip r:embed="rId70"/>
                          <a:stretch>
                            <a:fillRect/>
                          </a:stretch>
                        </pic:blipFill>
                        <pic:spPr>
                          <a:xfrm>
                            <a:off x="0" y="0"/>
                            <a:ext cx="830580" cy="6705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1400*700*760（单个位）</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53" name="Picture_124_SpCnt_178"/>
                  <wp:cNvGraphicFramePr/>
                  <a:graphic xmlns:a="http://schemas.openxmlformats.org/drawingml/2006/main">
                    <a:graphicData uri="http://schemas.openxmlformats.org/drawingml/2006/picture">
                      <pic:pic xmlns:pic="http://schemas.openxmlformats.org/drawingml/2006/picture">
                        <pic:nvPicPr>
                          <pic:cNvPr id="53" name="Picture_124_SpCnt_178"/>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54" name="Picture_124_SpCnt_179"/>
                  <wp:cNvGraphicFramePr/>
                  <a:graphic xmlns:a="http://schemas.openxmlformats.org/drawingml/2006/main">
                    <a:graphicData uri="http://schemas.openxmlformats.org/drawingml/2006/picture">
                      <pic:pic xmlns:pic="http://schemas.openxmlformats.org/drawingml/2006/picture">
                        <pic:nvPicPr>
                          <pic:cNvPr id="54" name="Picture_124_SpCnt_179"/>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55" name="Picture_124_SpCnt_180"/>
                  <wp:cNvGraphicFramePr/>
                  <a:graphic xmlns:a="http://schemas.openxmlformats.org/drawingml/2006/main">
                    <a:graphicData uri="http://schemas.openxmlformats.org/drawingml/2006/picture">
                      <pic:pic xmlns:pic="http://schemas.openxmlformats.org/drawingml/2006/picture">
                        <pic:nvPicPr>
                          <pic:cNvPr id="55" name="Picture_124_SpCnt_180"/>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65" name="Picture_124_SpCnt_181"/>
                  <wp:cNvGraphicFramePr/>
                  <a:graphic xmlns:a="http://schemas.openxmlformats.org/drawingml/2006/main">
                    <a:graphicData uri="http://schemas.openxmlformats.org/drawingml/2006/picture">
                      <pic:pic xmlns:pic="http://schemas.openxmlformats.org/drawingml/2006/picture">
                        <pic:nvPicPr>
                          <pic:cNvPr id="65" name="Picture_124_SpCnt_181"/>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1、基材：采用优质环保三聚氰胺贴面实多层板，甲醛释放量≤0.5mg/L，符合GB18580-2001标准要求。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4、五金配件：使用优质五金配件（阻尼不锈钢三节轨、机械密码锁具、拉手、阻尼不锈钢铰链等）。                                                         5、颜色：由业主单位指定。                                        </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5"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50</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347980</wp:posOffset>
                  </wp:positionH>
                  <wp:positionV relativeFrom="paragraph">
                    <wp:posOffset>462280</wp:posOffset>
                  </wp:positionV>
                  <wp:extent cx="358140" cy="510540"/>
                  <wp:effectExtent l="0" t="0" r="3810" b="3810"/>
                  <wp:wrapNone/>
                  <wp:docPr id="62" name="图片_54997_SpCnt_2"/>
                  <wp:cNvGraphicFramePr/>
                  <a:graphic xmlns:a="http://schemas.openxmlformats.org/drawingml/2006/main">
                    <a:graphicData uri="http://schemas.openxmlformats.org/drawingml/2006/picture">
                      <pic:pic xmlns:pic="http://schemas.openxmlformats.org/drawingml/2006/picture">
                        <pic:nvPicPr>
                          <pic:cNvPr id="62" name="图片_54997_SpCnt_2"/>
                          <pic:cNvPicPr/>
                        </pic:nvPicPr>
                        <pic:blipFill>
                          <a:blip r:embed="rId54"/>
                          <a:stretch>
                            <a:fillRect/>
                          </a:stretch>
                        </pic:blipFill>
                        <pic:spPr>
                          <a:xfrm>
                            <a:off x="0" y="0"/>
                            <a:ext cx="358140" cy="5105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办公椅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宋体" w:hAnsi="宋体" w:eastAsia="宋体" w:cs="宋体"/>
                <w:i w:val="0"/>
                <w:iCs w:val="0"/>
                <w:color w:val="000000"/>
                <w:kern w:val="0"/>
                <w:sz w:val="18"/>
                <w:szCs w:val="18"/>
                <w:u w:val="none"/>
                <w:lang w:val="en-US" w:eastAsia="zh-CN" w:bidi="ar"/>
              </w:rPr>
              <w:t>545*560*985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1.白色全新料加纤背框，扪华宇透气网布；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2.白色pp固定腰靠；</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3.白色pp扶手面；</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4.座包一体成型定型海绵，永不变形，扪华宇透气网布；</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5.2.0mm厚度的A3钢材电镀弓形架。</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79"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51</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373380</wp:posOffset>
                  </wp:positionH>
                  <wp:positionV relativeFrom="paragraph">
                    <wp:posOffset>624205</wp:posOffset>
                  </wp:positionV>
                  <wp:extent cx="350520" cy="716280"/>
                  <wp:effectExtent l="0" t="0" r="11430" b="7620"/>
                  <wp:wrapNone/>
                  <wp:docPr id="64" name="图片_94_SpCnt_3"/>
                  <wp:cNvGraphicFramePr/>
                  <a:graphic xmlns:a="http://schemas.openxmlformats.org/drawingml/2006/main">
                    <a:graphicData uri="http://schemas.openxmlformats.org/drawingml/2006/picture">
                      <pic:pic xmlns:pic="http://schemas.openxmlformats.org/drawingml/2006/picture">
                        <pic:nvPicPr>
                          <pic:cNvPr id="64" name="图片_94_SpCnt_3"/>
                          <pic:cNvPicPr/>
                        </pic:nvPicPr>
                        <pic:blipFill>
                          <a:blip r:embed="rId39"/>
                          <a:stretch>
                            <a:fillRect/>
                          </a:stretch>
                        </pic:blipFill>
                        <pic:spPr>
                          <a:xfrm>
                            <a:off x="0" y="0"/>
                            <a:ext cx="350520" cy="7162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二门柜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800*400*2000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5"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52</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373380</wp:posOffset>
                  </wp:positionH>
                  <wp:positionV relativeFrom="paragraph">
                    <wp:posOffset>409575</wp:posOffset>
                  </wp:positionV>
                  <wp:extent cx="441960" cy="548640"/>
                  <wp:effectExtent l="0" t="0" r="15240" b="3810"/>
                  <wp:wrapNone/>
                  <wp:docPr id="77" name="图片_42_SpCnt_4"/>
                  <wp:cNvGraphicFramePr/>
                  <a:graphic xmlns:a="http://schemas.openxmlformats.org/drawingml/2006/main">
                    <a:graphicData uri="http://schemas.openxmlformats.org/drawingml/2006/picture">
                      <pic:pic xmlns:pic="http://schemas.openxmlformats.org/drawingml/2006/picture">
                        <pic:nvPicPr>
                          <pic:cNvPr id="77" name="图片_42_SpCnt_4"/>
                          <pic:cNvPicPr/>
                        </pic:nvPicPr>
                        <pic:blipFill>
                          <a:blip r:embed="rId42"/>
                          <a:stretch>
                            <a:fillRect/>
                          </a:stretch>
                        </pic:blipFill>
                        <pic:spPr>
                          <a:xfrm>
                            <a:off x="0" y="0"/>
                            <a:ext cx="44196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1、基材：采用优质实木多层板，甲醛释放量≤0.08mg/m³；                                2、贴面：选用双贴三聚氰胺浸渍面纸饰面材料；             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53</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818515</wp:posOffset>
                  </wp:positionH>
                  <wp:positionV relativeFrom="paragraph">
                    <wp:posOffset>346710</wp:posOffset>
                  </wp:positionV>
                  <wp:extent cx="289560" cy="541020"/>
                  <wp:effectExtent l="0" t="0" r="15240" b="11430"/>
                  <wp:wrapNone/>
                  <wp:docPr id="104" name="图片_13_SpCnt_1"/>
                  <wp:cNvGraphicFramePr/>
                  <a:graphic xmlns:a="http://schemas.openxmlformats.org/drawingml/2006/main">
                    <a:graphicData uri="http://schemas.openxmlformats.org/drawingml/2006/picture">
                      <pic:pic xmlns:pic="http://schemas.openxmlformats.org/drawingml/2006/picture">
                        <pic:nvPicPr>
                          <pic:cNvPr id="104" name="图片_13_SpCnt_1"/>
                          <pic:cNvPicPr/>
                        </pic:nvPicPr>
                        <pic:blipFill>
                          <a:blip r:embed="rId71"/>
                          <a:stretch>
                            <a:fillRect/>
                          </a:stretch>
                        </pic:blipFill>
                        <pic:spPr>
                          <a:xfrm>
                            <a:off x="0" y="0"/>
                            <a:ext cx="289560" cy="541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486410</wp:posOffset>
                  </wp:positionH>
                  <wp:positionV relativeFrom="paragraph">
                    <wp:posOffset>536575</wp:posOffset>
                  </wp:positionV>
                  <wp:extent cx="236220" cy="281940"/>
                  <wp:effectExtent l="0" t="0" r="11430" b="3810"/>
                  <wp:wrapNone/>
                  <wp:docPr id="99" name="图片_169_SpCnt_1"/>
                  <wp:cNvGraphicFramePr/>
                  <a:graphic xmlns:a="http://schemas.openxmlformats.org/drawingml/2006/main">
                    <a:graphicData uri="http://schemas.openxmlformats.org/drawingml/2006/picture">
                      <pic:pic xmlns:pic="http://schemas.openxmlformats.org/drawingml/2006/picture">
                        <pic:nvPicPr>
                          <pic:cNvPr id="99" name="图片_169_SpCnt_1"/>
                          <pic:cNvPicPr/>
                        </pic:nvPicPr>
                        <pic:blipFill>
                          <a:blip r:embed="rId68"/>
                          <a:stretch>
                            <a:fillRect/>
                          </a:stretch>
                        </pic:blipFill>
                        <pic:spPr>
                          <a:xfrm>
                            <a:off x="0" y="0"/>
                            <a:ext cx="236220" cy="2819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9525</wp:posOffset>
                  </wp:positionH>
                  <wp:positionV relativeFrom="paragraph">
                    <wp:posOffset>375285</wp:posOffset>
                  </wp:positionV>
                  <wp:extent cx="396240" cy="541020"/>
                  <wp:effectExtent l="0" t="0" r="3810" b="11430"/>
                  <wp:wrapNone/>
                  <wp:docPr id="78" name="图片_13"/>
                  <wp:cNvGraphicFramePr/>
                  <a:graphic xmlns:a="http://schemas.openxmlformats.org/drawingml/2006/main">
                    <a:graphicData uri="http://schemas.openxmlformats.org/drawingml/2006/picture">
                      <pic:pic xmlns:pic="http://schemas.openxmlformats.org/drawingml/2006/picture">
                        <pic:nvPicPr>
                          <pic:cNvPr id="78" name="图片_13"/>
                          <pic:cNvPicPr/>
                        </pic:nvPicPr>
                        <pic:blipFill>
                          <a:blip r:embed="rId72"/>
                          <a:stretch>
                            <a:fillRect/>
                          </a:stretch>
                        </pic:blipFill>
                        <pic:spPr>
                          <a:xfrm>
                            <a:off x="0" y="0"/>
                            <a:ext cx="396240" cy="54102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接待椅组合</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1+1+茶几</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￭背框：优质全新PP料加纤维                                                         ￭面料：办公专用尼龙网镂空背配韩国进口不含金属座布料                                                                              ￭扶手：优质全新PP料加纤维                                                     ￭坐垫棉：60密高回弹科技切割定型棉：                                                        ￭2.0MM喷黑磨砂承受力150kg </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小会议室</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jc w:val="left"/>
              <w:rPr>
                <w:rFonts w:hint="eastAsia" w:ascii="宋体" w:hAnsi="宋体" w:eastAsia="宋体" w:cs="宋体"/>
                <w:b/>
                <w:bCs/>
                <w:i w:val="0"/>
                <w:iCs w:val="0"/>
                <w:color w:val="000000"/>
                <w:sz w:val="18"/>
                <w:szCs w:val="18"/>
                <w:u w:val="none"/>
              </w:rPr>
            </w:pP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2"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54</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98425</wp:posOffset>
                  </wp:positionH>
                  <wp:positionV relativeFrom="paragraph">
                    <wp:posOffset>149860</wp:posOffset>
                  </wp:positionV>
                  <wp:extent cx="929640" cy="647700"/>
                  <wp:effectExtent l="0" t="0" r="3810" b="0"/>
                  <wp:wrapNone/>
                  <wp:docPr id="105" name="图片_44"/>
                  <wp:cNvGraphicFramePr/>
                  <a:graphic xmlns:a="http://schemas.openxmlformats.org/drawingml/2006/main">
                    <a:graphicData uri="http://schemas.openxmlformats.org/drawingml/2006/picture">
                      <pic:pic xmlns:pic="http://schemas.openxmlformats.org/drawingml/2006/picture">
                        <pic:nvPicPr>
                          <pic:cNvPr id="105" name="图片_44"/>
                          <pic:cNvPicPr/>
                        </pic:nvPicPr>
                        <pic:blipFill>
                          <a:blip r:embed="rId73"/>
                          <a:stretch>
                            <a:fillRect/>
                          </a:stretch>
                        </pic:blipFill>
                        <pic:spPr>
                          <a:xfrm>
                            <a:off x="0" y="0"/>
                            <a:ext cx="929640" cy="64770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会议桌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3200*1200*760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1、框架采用PP全新料，可通过水平拉力86KG拉背测试；</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2、面料采用华宇优质网布。靠背采用优质单网，不抽丝；座包采用优质弹力布，透气性强。                                        3、PPT型固定扶手，可通过68kg的水平拉力测试；</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4、5.5公分纯绵，密度≥30kg/m³； </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5、座板：采用12mm的成型板；</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6、弓形架采用2.0厚度的A3优质钢材喷漆，垂直弯曲部位加套管,直径≥25mm钢管，符合GB/T3325-2017金属家具通用技术条件要求。</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2"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55</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350520</wp:posOffset>
                  </wp:positionH>
                  <wp:positionV relativeFrom="paragraph">
                    <wp:posOffset>467995</wp:posOffset>
                  </wp:positionV>
                  <wp:extent cx="358140" cy="510540"/>
                  <wp:effectExtent l="0" t="0" r="3810" b="3810"/>
                  <wp:wrapNone/>
                  <wp:docPr id="90" name="图片_54997_SpCnt_3"/>
                  <wp:cNvGraphicFramePr/>
                  <a:graphic xmlns:a="http://schemas.openxmlformats.org/drawingml/2006/main">
                    <a:graphicData uri="http://schemas.openxmlformats.org/drawingml/2006/picture">
                      <pic:pic xmlns:pic="http://schemas.openxmlformats.org/drawingml/2006/picture">
                        <pic:nvPicPr>
                          <pic:cNvPr id="90" name="图片_54997_SpCnt_3"/>
                          <pic:cNvPicPr/>
                        </pic:nvPicPr>
                        <pic:blipFill>
                          <a:blip r:embed="rId54"/>
                          <a:stretch>
                            <a:fillRect/>
                          </a:stretch>
                        </pic:blipFill>
                        <pic:spPr>
                          <a:xfrm>
                            <a:off x="0" y="0"/>
                            <a:ext cx="358140" cy="5105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办公椅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default" w:ascii="宋体" w:hAnsi="宋体" w:eastAsia="宋体" w:cs="宋体"/>
                <w:i w:val="0"/>
                <w:iCs w:val="0"/>
                <w:color w:val="000000"/>
                <w:kern w:val="0"/>
                <w:sz w:val="18"/>
                <w:szCs w:val="18"/>
                <w:u w:val="none"/>
                <w:lang w:val="en-US" w:eastAsia="zh-CN" w:bidi="ar"/>
              </w:rPr>
              <w:t>545*560*985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1.白色全新料加纤背框，扪华宇透气网布；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2.白色pp固定腰靠；</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3.白色pp扶手面；</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4.座包一体成型定型海绵，永不变形，扪华宇透气网布；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5.2.0mm厚度的A3钢材电镀弓形架。</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95"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56</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411480</wp:posOffset>
                  </wp:positionH>
                  <wp:positionV relativeFrom="paragraph">
                    <wp:posOffset>452755</wp:posOffset>
                  </wp:positionV>
                  <wp:extent cx="441960" cy="548640"/>
                  <wp:effectExtent l="0" t="0" r="15240" b="3810"/>
                  <wp:wrapNone/>
                  <wp:docPr id="82" name="图片_42_SpCnt_5"/>
                  <wp:cNvGraphicFramePr/>
                  <a:graphic xmlns:a="http://schemas.openxmlformats.org/drawingml/2006/main">
                    <a:graphicData uri="http://schemas.openxmlformats.org/drawingml/2006/picture">
                      <pic:pic xmlns:pic="http://schemas.openxmlformats.org/drawingml/2006/picture">
                        <pic:nvPicPr>
                          <pic:cNvPr id="82" name="图片_42_SpCnt_5"/>
                          <pic:cNvPicPr/>
                        </pic:nvPicPr>
                        <pic:blipFill>
                          <a:blip r:embed="rId42"/>
                          <a:stretch>
                            <a:fillRect/>
                          </a:stretch>
                        </pic:blipFill>
                        <pic:spPr>
                          <a:xfrm>
                            <a:off x="0" y="0"/>
                            <a:ext cx="44196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3"/>
              </w:numPr>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基材：采用优质实木多层板，甲醛释放量≤0.08mg/m³；                                2、贴面：选用双贴三聚氰胺浸渍面纸饰面材料；             </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6847" w:type="dxa"/>
            <w:gridSpan w:val="4"/>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保教室、教科室、总务处、财务室4间，每间2人</w:t>
            </w: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57</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161290</wp:posOffset>
                  </wp:positionH>
                  <wp:positionV relativeFrom="paragraph">
                    <wp:posOffset>598805</wp:posOffset>
                  </wp:positionV>
                  <wp:extent cx="830580" cy="670560"/>
                  <wp:effectExtent l="0" t="0" r="7620" b="15240"/>
                  <wp:wrapNone/>
                  <wp:docPr id="95" name="图片_73_SpCnt_1"/>
                  <wp:cNvGraphicFramePr/>
                  <a:graphic xmlns:a="http://schemas.openxmlformats.org/drawingml/2006/main">
                    <a:graphicData uri="http://schemas.openxmlformats.org/drawingml/2006/picture">
                      <pic:pic xmlns:pic="http://schemas.openxmlformats.org/drawingml/2006/picture">
                        <pic:nvPicPr>
                          <pic:cNvPr id="95" name="图片_73_SpCnt_1"/>
                          <pic:cNvPicPr/>
                        </pic:nvPicPr>
                        <pic:blipFill>
                          <a:blip r:embed="rId70"/>
                          <a:stretch>
                            <a:fillRect/>
                          </a:stretch>
                        </pic:blipFill>
                        <pic:spPr>
                          <a:xfrm>
                            <a:off x="0" y="0"/>
                            <a:ext cx="830580" cy="6705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1400*700*760（单个位）</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98" name="Picture_124_SpCnt_182"/>
                  <wp:cNvGraphicFramePr/>
                  <a:graphic xmlns:a="http://schemas.openxmlformats.org/drawingml/2006/main">
                    <a:graphicData uri="http://schemas.openxmlformats.org/drawingml/2006/picture">
                      <pic:pic xmlns:pic="http://schemas.openxmlformats.org/drawingml/2006/picture">
                        <pic:nvPicPr>
                          <pic:cNvPr id="98" name="Picture_124_SpCnt_182"/>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80" name="Picture_124_SpCnt_183"/>
                  <wp:cNvGraphicFramePr/>
                  <a:graphic xmlns:a="http://schemas.openxmlformats.org/drawingml/2006/main">
                    <a:graphicData uri="http://schemas.openxmlformats.org/drawingml/2006/picture">
                      <pic:pic xmlns:pic="http://schemas.openxmlformats.org/drawingml/2006/picture">
                        <pic:nvPicPr>
                          <pic:cNvPr id="80" name="Picture_124_SpCnt_183"/>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106" name="Picture_124_SpCnt_184"/>
                  <wp:cNvGraphicFramePr/>
                  <a:graphic xmlns:a="http://schemas.openxmlformats.org/drawingml/2006/main">
                    <a:graphicData uri="http://schemas.openxmlformats.org/drawingml/2006/picture">
                      <pic:pic xmlns:pic="http://schemas.openxmlformats.org/drawingml/2006/picture">
                        <pic:nvPicPr>
                          <pic:cNvPr id="106" name="Picture_124_SpCnt_184"/>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86" name="Picture_124_SpCnt_185"/>
                  <wp:cNvGraphicFramePr/>
                  <a:graphic xmlns:a="http://schemas.openxmlformats.org/drawingml/2006/main">
                    <a:graphicData uri="http://schemas.openxmlformats.org/drawingml/2006/picture">
                      <pic:pic xmlns:pic="http://schemas.openxmlformats.org/drawingml/2006/picture">
                        <pic:nvPicPr>
                          <pic:cNvPr id="86" name="Picture_124_SpCnt_185"/>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4、五金配件：使用优质五金配件（阻尼不锈钢三节轨、机械密码锁具、拉手、阻尼不锈钢铰链等）。                                                         5、颜色：由业主单位指定。                                        </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2"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58</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339090</wp:posOffset>
                  </wp:positionH>
                  <wp:positionV relativeFrom="paragraph">
                    <wp:posOffset>384175</wp:posOffset>
                  </wp:positionV>
                  <wp:extent cx="358140" cy="510540"/>
                  <wp:effectExtent l="0" t="0" r="3810" b="3810"/>
                  <wp:wrapNone/>
                  <wp:docPr id="87" name="图片_54997_SpCnt_4"/>
                  <wp:cNvGraphicFramePr/>
                  <a:graphic xmlns:a="http://schemas.openxmlformats.org/drawingml/2006/main">
                    <a:graphicData uri="http://schemas.openxmlformats.org/drawingml/2006/picture">
                      <pic:pic xmlns:pic="http://schemas.openxmlformats.org/drawingml/2006/picture">
                        <pic:nvPicPr>
                          <pic:cNvPr id="87" name="图片_54997_SpCnt_4"/>
                          <pic:cNvPicPr/>
                        </pic:nvPicPr>
                        <pic:blipFill>
                          <a:blip r:embed="rId54"/>
                          <a:stretch>
                            <a:fillRect/>
                          </a:stretch>
                        </pic:blipFill>
                        <pic:spPr>
                          <a:xfrm>
                            <a:off x="0" y="0"/>
                            <a:ext cx="358140" cy="5105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办公椅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i w:val="0"/>
                <w:iCs w:val="0"/>
                <w:color w:val="000000"/>
                <w:sz w:val="18"/>
                <w:szCs w:val="18"/>
                <w:u w:val="none"/>
              </w:rPr>
            </w:pPr>
            <w:r>
              <w:rPr>
                <w:rFonts w:hint="default" w:ascii="宋体" w:hAnsi="宋体" w:eastAsia="宋体" w:cs="宋体"/>
                <w:i w:val="0"/>
                <w:iCs w:val="0"/>
                <w:color w:val="000000"/>
                <w:kern w:val="0"/>
                <w:sz w:val="18"/>
                <w:szCs w:val="18"/>
                <w:u w:val="none"/>
                <w:lang w:val="en-US" w:eastAsia="zh-CN" w:bidi="ar"/>
              </w:rPr>
              <w:t>545*560*985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1.白色全新料加纤背框，扪华宇透气网布；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2.白色pp固定腰靠；</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3.白色pp扶手面；</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4.座包一体成型定型海绵，永不变形，扪华宇透气网布；</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5.2.0mm厚度的A3钢材电镀弓形架。</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59</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407670</wp:posOffset>
                  </wp:positionH>
                  <wp:positionV relativeFrom="paragraph">
                    <wp:posOffset>494665</wp:posOffset>
                  </wp:positionV>
                  <wp:extent cx="350520" cy="716280"/>
                  <wp:effectExtent l="0" t="0" r="11430" b="7620"/>
                  <wp:wrapNone/>
                  <wp:docPr id="84" name="图片_94_SpCnt_4"/>
                  <wp:cNvGraphicFramePr/>
                  <a:graphic xmlns:a="http://schemas.openxmlformats.org/drawingml/2006/main">
                    <a:graphicData uri="http://schemas.openxmlformats.org/drawingml/2006/picture">
                      <pic:pic xmlns:pic="http://schemas.openxmlformats.org/drawingml/2006/picture">
                        <pic:nvPicPr>
                          <pic:cNvPr id="84" name="图片_94_SpCnt_4"/>
                          <pic:cNvPicPr/>
                        </pic:nvPicPr>
                        <pic:blipFill>
                          <a:blip r:embed="rId39"/>
                          <a:stretch>
                            <a:fillRect/>
                          </a:stretch>
                        </pic:blipFill>
                        <pic:spPr>
                          <a:xfrm>
                            <a:off x="0" y="0"/>
                            <a:ext cx="350520" cy="71628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二门柜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800*400*2000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4、五金配件：使用优质五金配件（阻尼不锈钢三节轨、机械密码锁具、拉手、阻尼不锈钢铰链等）。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7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60</w:t>
            </w:r>
          </w:p>
        </w:tc>
        <w:tc>
          <w:tcPr>
            <w:tcW w:w="19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400050</wp:posOffset>
                  </wp:positionH>
                  <wp:positionV relativeFrom="paragraph">
                    <wp:posOffset>505460</wp:posOffset>
                  </wp:positionV>
                  <wp:extent cx="441960" cy="548640"/>
                  <wp:effectExtent l="0" t="0" r="15240" b="3810"/>
                  <wp:wrapNone/>
                  <wp:docPr id="83" name="图片_42_SpCnt_6"/>
                  <wp:cNvGraphicFramePr/>
                  <a:graphic xmlns:a="http://schemas.openxmlformats.org/drawingml/2006/main">
                    <a:graphicData uri="http://schemas.openxmlformats.org/drawingml/2006/picture">
                      <pic:pic xmlns:pic="http://schemas.openxmlformats.org/drawingml/2006/picture">
                        <pic:nvPicPr>
                          <pic:cNvPr id="83" name="图片_42_SpCnt_6"/>
                          <pic:cNvPicPr/>
                        </pic:nvPicPr>
                        <pic:blipFill>
                          <a:blip r:embed="rId42"/>
                          <a:stretch>
                            <a:fillRect/>
                          </a:stretch>
                        </pic:blipFill>
                        <pic:spPr>
                          <a:xfrm>
                            <a:off x="0" y="0"/>
                            <a:ext cx="44196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茶水柜</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800*400*800</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4"/>
              </w:numPr>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基材：采用优质实木多层板，甲醛释放量≤0.08mg/m³；                                2、贴面：选用双贴三聚氰胺浸渍面纸饰面材料；            </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3、优质五金配件；                                       4、抽屉：含二抽屉及开门柜，抽屉内抽旁采用45°拼接，表面PVC包覆，抽底板采用5MM中纤板，与抽旁采用拉槽连接方式。                        5、颜色：由业主单位指定。</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23"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904" w:type="dxa"/>
            <w:tcBorders>
              <w:top w:val="single" w:color="000000" w:sz="4" w:space="0"/>
              <w:left w:val="single" w:color="000000" w:sz="4" w:space="0"/>
              <w:bottom w:val="single" w:color="000000" w:sz="4" w:space="0"/>
              <w:right w:val="nil"/>
            </w:tcBorders>
            <w:shd w:val="clear" w:color="auto" w:fill="E2EFDA"/>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教室18间</w:t>
            </w:r>
          </w:p>
        </w:tc>
        <w:tc>
          <w:tcPr>
            <w:tcW w:w="77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1327"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2839" w:type="dxa"/>
            <w:tcBorders>
              <w:top w:val="single" w:color="000000" w:sz="4" w:space="0"/>
              <w:left w:val="nil"/>
              <w:bottom w:val="single" w:color="000000" w:sz="4" w:space="0"/>
              <w:right w:val="nil"/>
            </w:tcBorders>
            <w:shd w:val="clear" w:color="auto" w:fill="E2EFDA"/>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shd w:val="clear" w:fill="E2EFDA"/>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85" name="Picture_124_SpCnt_186"/>
                  <wp:cNvGraphicFramePr/>
                  <a:graphic xmlns:a="http://schemas.openxmlformats.org/drawingml/2006/main">
                    <a:graphicData uri="http://schemas.openxmlformats.org/drawingml/2006/picture">
                      <pic:pic xmlns:pic="http://schemas.openxmlformats.org/drawingml/2006/picture">
                        <pic:nvPicPr>
                          <pic:cNvPr id="85" name="Picture_124_SpCnt_186"/>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shd w:val="clear" w:fill="E2EFDA"/>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03" name="Picture_124_SpCnt_187"/>
                  <wp:cNvGraphicFramePr/>
                  <a:graphic xmlns:a="http://schemas.openxmlformats.org/drawingml/2006/main">
                    <a:graphicData uri="http://schemas.openxmlformats.org/drawingml/2006/picture">
                      <pic:pic xmlns:pic="http://schemas.openxmlformats.org/drawingml/2006/picture">
                        <pic:nvPicPr>
                          <pic:cNvPr id="103" name="Picture_124_SpCnt_187"/>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shd w:val="clear" w:fill="E2EFDA"/>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88" name="Picture_124_SpCnt_188"/>
                  <wp:cNvGraphicFramePr/>
                  <a:graphic xmlns:a="http://schemas.openxmlformats.org/drawingml/2006/main">
                    <a:graphicData uri="http://schemas.openxmlformats.org/drawingml/2006/picture">
                      <pic:pic xmlns:pic="http://schemas.openxmlformats.org/drawingml/2006/picture">
                        <pic:nvPicPr>
                          <pic:cNvPr id="88" name="Picture_124_SpCnt_188"/>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shd w:val="clear" w:fill="E2EFDA"/>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89" name="Picture_124_SpCnt_189"/>
                  <wp:cNvGraphicFramePr/>
                  <a:graphic xmlns:a="http://schemas.openxmlformats.org/drawingml/2006/main">
                    <a:graphicData uri="http://schemas.openxmlformats.org/drawingml/2006/picture">
                      <pic:pic xmlns:pic="http://schemas.openxmlformats.org/drawingml/2006/picture">
                        <pic:nvPicPr>
                          <pic:cNvPr id="89" name="Picture_124_SpCnt_189"/>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shd w:val="clear" w:fill="E2EFDA"/>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01" name="Picture_124_SpCnt_190"/>
                  <wp:cNvGraphicFramePr/>
                  <a:graphic xmlns:a="http://schemas.openxmlformats.org/drawingml/2006/main">
                    <a:graphicData uri="http://schemas.openxmlformats.org/drawingml/2006/picture">
                      <pic:pic xmlns:pic="http://schemas.openxmlformats.org/drawingml/2006/picture">
                        <pic:nvPicPr>
                          <pic:cNvPr id="101" name="Picture_124_SpCnt_190"/>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shd w:val="clear" w:fill="E2EFDA"/>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102" name="Picture_124_SpCnt_191"/>
                  <wp:cNvGraphicFramePr/>
                  <a:graphic xmlns:a="http://schemas.openxmlformats.org/drawingml/2006/main">
                    <a:graphicData uri="http://schemas.openxmlformats.org/drawingml/2006/picture">
                      <pic:pic xmlns:pic="http://schemas.openxmlformats.org/drawingml/2006/picture">
                        <pic:nvPicPr>
                          <pic:cNvPr id="102" name="Picture_124_SpCnt_191"/>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shd w:val="clear" w:fill="E2EFDA"/>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92" name="Picture_124_SpCnt_192"/>
                  <wp:cNvGraphicFramePr/>
                  <a:graphic xmlns:a="http://schemas.openxmlformats.org/drawingml/2006/main">
                    <a:graphicData uri="http://schemas.openxmlformats.org/drawingml/2006/picture">
                      <pic:pic xmlns:pic="http://schemas.openxmlformats.org/drawingml/2006/picture">
                        <pic:nvPicPr>
                          <pic:cNvPr id="92" name="Picture_124_SpCnt_192"/>
                          <pic:cNvPicPr/>
                        </pic:nvPicPr>
                        <pic:blipFill>
                          <a:blip r:embed="rId36"/>
                          <a:stretch>
                            <a:fillRect/>
                          </a:stretch>
                        </pic:blipFill>
                        <pic:spPr>
                          <a:xfrm>
                            <a:off x="0" y="0"/>
                            <a:ext cx="167640" cy="16764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shd w:val="clear" w:fill="E2EFDA"/>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7640" cy="167640"/>
                  <wp:effectExtent l="0" t="0" r="0" b="0"/>
                  <wp:wrapNone/>
                  <wp:docPr id="91" name="Picture_124_SpCnt_193"/>
                  <wp:cNvGraphicFramePr/>
                  <a:graphic xmlns:a="http://schemas.openxmlformats.org/drawingml/2006/main">
                    <a:graphicData uri="http://schemas.openxmlformats.org/drawingml/2006/picture">
                      <pic:pic xmlns:pic="http://schemas.openxmlformats.org/drawingml/2006/picture">
                        <pic:nvPicPr>
                          <pic:cNvPr id="91" name="Picture_124_SpCnt_193"/>
                          <pic:cNvPicPr/>
                        </pic:nvPicPr>
                        <pic:blipFill>
                          <a:blip r:embed="rId36"/>
                          <a:stretch>
                            <a:fillRect/>
                          </a:stretch>
                        </pic:blipFill>
                        <pic:spPr>
                          <a:xfrm>
                            <a:off x="0" y="0"/>
                            <a:ext cx="167640" cy="167640"/>
                          </a:xfrm>
                          <a:prstGeom prst="rect">
                            <a:avLst/>
                          </a:prstGeom>
                          <a:noFill/>
                          <a:ln>
                            <a:noFill/>
                          </a:ln>
                        </pic:spPr>
                      </pic:pic>
                    </a:graphicData>
                  </a:graphic>
                </wp:anchor>
              </w:drawing>
            </w:r>
          </w:p>
        </w:tc>
        <w:tc>
          <w:tcPr>
            <w:tcW w:w="684"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32" w:type="dxa"/>
            <w:tcBorders>
              <w:top w:val="single" w:color="000000" w:sz="4" w:space="0"/>
              <w:left w:val="nil"/>
              <w:bottom w:val="single" w:color="000000" w:sz="4" w:space="0"/>
              <w:right w:val="nil"/>
            </w:tcBorders>
            <w:shd w:val="clear" w:color="auto" w:fill="E2EFDA"/>
            <w:noWrap/>
            <w:vAlign w:val="center"/>
          </w:tcPr>
          <w:p>
            <w:pPr>
              <w:jc w:val="center"/>
              <w:rPr>
                <w:rFonts w:hint="eastAsia" w:ascii="宋体" w:hAnsi="宋体" w:eastAsia="宋体" w:cs="宋体"/>
                <w:b/>
                <w:bCs/>
                <w:i w:val="0"/>
                <w:iCs w:val="0"/>
                <w:color w:val="000000"/>
                <w:sz w:val="18"/>
                <w:szCs w:val="18"/>
                <w:u w:val="none"/>
              </w:rPr>
            </w:pP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4"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61</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154305</wp:posOffset>
                  </wp:positionH>
                  <wp:positionV relativeFrom="paragraph">
                    <wp:posOffset>579120</wp:posOffset>
                  </wp:positionV>
                  <wp:extent cx="830580" cy="670560"/>
                  <wp:effectExtent l="0" t="0" r="7620" b="15240"/>
                  <wp:wrapNone/>
                  <wp:docPr id="93" name="图片_73_SpCnt_2"/>
                  <wp:cNvGraphicFramePr/>
                  <a:graphic xmlns:a="http://schemas.openxmlformats.org/drawingml/2006/main">
                    <a:graphicData uri="http://schemas.openxmlformats.org/drawingml/2006/picture">
                      <pic:pic xmlns:pic="http://schemas.openxmlformats.org/drawingml/2006/picture">
                        <pic:nvPicPr>
                          <pic:cNvPr id="93" name="图片_73_SpCnt_2"/>
                          <pic:cNvPicPr/>
                        </pic:nvPicPr>
                        <pic:blipFill>
                          <a:blip r:embed="rId70"/>
                          <a:stretch>
                            <a:fillRect/>
                          </a:stretch>
                        </pic:blipFill>
                        <pic:spPr>
                          <a:xfrm>
                            <a:off x="0" y="0"/>
                            <a:ext cx="830580" cy="67056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办公桌</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1200*600*760（单个位）</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97" name="Picture_124_SpCnt_194"/>
                  <wp:cNvGraphicFramePr/>
                  <a:graphic xmlns:a="http://schemas.openxmlformats.org/drawingml/2006/main">
                    <a:graphicData uri="http://schemas.openxmlformats.org/drawingml/2006/picture">
                      <pic:pic xmlns:pic="http://schemas.openxmlformats.org/drawingml/2006/picture">
                        <pic:nvPicPr>
                          <pic:cNvPr id="97" name="Picture_124_SpCnt_194"/>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94" name="Picture_124_SpCnt_195"/>
                  <wp:cNvGraphicFramePr/>
                  <a:graphic xmlns:a="http://schemas.openxmlformats.org/drawingml/2006/main">
                    <a:graphicData uri="http://schemas.openxmlformats.org/drawingml/2006/picture">
                      <pic:pic xmlns:pic="http://schemas.openxmlformats.org/drawingml/2006/picture">
                        <pic:nvPicPr>
                          <pic:cNvPr id="94" name="Picture_124_SpCnt_195"/>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96" name="Picture_124_SpCnt_196"/>
                  <wp:cNvGraphicFramePr/>
                  <a:graphic xmlns:a="http://schemas.openxmlformats.org/drawingml/2006/main">
                    <a:graphicData uri="http://schemas.openxmlformats.org/drawingml/2006/picture">
                      <pic:pic xmlns:pic="http://schemas.openxmlformats.org/drawingml/2006/picture">
                        <pic:nvPicPr>
                          <pic:cNvPr id="96" name="Picture_124_SpCnt_196"/>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60020" cy="160020"/>
                  <wp:effectExtent l="0" t="0" r="0" b="0"/>
                  <wp:wrapNone/>
                  <wp:docPr id="100" name="Picture_124_SpCnt_197"/>
                  <wp:cNvGraphicFramePr/>
                  <a:graphic xmlns:a="http://schemas.openxmlformats.org/drawingml/2006/main">
                    <a:graphicData uri="http://schemas.openxmlformats.org/drawingml/2006/picture">
                      <pic:pic xmlns:pic="http://schemas.openxmlformats.org/drawingml/2006/picture">
                        <pic:nvPicPr>
                          <pic:cNvPr id="100" name="Picture_124_SpCnt_197"/>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4、五金配件：使用优质五金配件（阻尼不锈钢三节轨、机械密码锁具、拉手、阻尼不锈钢铰链等）。                                                         5、颜色：由业主单位指定。                                        </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62</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305435</wp:posOffset>
                  </wp:positionH>
                  <wp:positionV relativeFrom="paragraph">
                    <wp:posOffset>407670</wp:posOffset>
                  </wp:positionV>
                  <wp:extent cx="396240" cy="548640"/>
                  <wp:effectExtent l="0" t="0" r="3810" b="3810"/>
                  <wp:wrapNone/>
                  <wp:docPr id="271" name="图片_13_SpCnt_2"/>
                  <wp:cNvGraphicFramePr/>
                  <a:graphic xmlns:a="http://schemas.openxmlformats.org/drawingml/2006/main">
                    <a:graphicData uri="http://schemas.openxmlformats.org/drawingml/2006/picture">
                      <pic:pic xmlns:pic="http://schemas.openxmlformats.org/drawingml/2006/picture">
                        <pic:nvPicPr>
                          <pic:cNvPr id="271" name="图片_13_SpCnt_2"/>
                          <pic:cNvPicPr/>
                        </pic:nvPicPr>
                        <pic:blipFill>
                          <a:blip r:embed="rId74"/>
                          <a:stretch>
                            <a:fillRect/>
                          </a:stretch>
                        </pic:blipFill>
                        <pic:spPr>
                          <a:xfrm>
                            <a:off x="0" y="0"/>
                            <a:ext cx="396240" cy="548640"/>
                          </a:xfrm>
                          <a:prstGeom prst="rect">
                            <a:avLst/>
                          </a:prstGeom>
                          <a:noFill/>
                          <a:ln>
                            <a:noFill/>
                          </a:ln>
                        </pic:spPr>
                      </pic:pic>
                    </a:graphicData>
                  </a:graphic>
                </wp:anchor>
              </w:drawing>
            </w: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办公椅</w:t>
            </w:r>
          </w:p>
        </w:tc>
        <w:tc>
          <w:tcPr>
            <w:tcW w:w="13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490*560*1005</w:t>
            </w:r>
          </w:p>
        </w:tc>
        <w:tc>
          <w:tcPr>
            <w:tcW w:w="28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1.白色全新料加纤背框，扪华宇透气网布；</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2.白色PP固定腰靠；</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3.白色PP连体固定扶手；</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4.45高密度纯绵坐垫，扪华宇透气网布；</w:t>
            </w:r>
          </w:p>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5.2.0mm厚度的A3钢材喷白弓形架。</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756" w:type="dxa"/>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r>
    </w:tbl>
    <w:p>
      <w:pPr>
        <w:jc w:val="center"/>
        <w:rPr>
          <w:rFonts w:hint="eastAsia"/>
          <w:b/>
          <w:bCs/>
          <w:sz w:val="32"/>
          <w:szCs w:val="32"/>
        </w:rPr>
      </w:pPr>
    </w:p>
    <w:p>
      <w:pPr>
        <w:jc w:val="center"/>
        <w:rPr>
          <w:rFonts w:hint="eastAsia"/>
          <w:b/>
          <w:bCs/>
          <w:sz w:val="32"/>
          <w:szCs w:val="32"/>
        </w:rPr>
      </w:pPr>
      <w:r>
        <w:rPr>
          <w:rFonts w:hint="eastAsia"/>
          <w:b/>
          <w:bCs/>
          <w:sz w:val="32"/>
          <w:szCs w:val="32"/>
        </w:rPr>
        <w:t>小班教室常规配置</w:t>
      </w:r>
    </w:p>
    <w:tbl>
      <w:tblPr>
        <w:tblStyle w:val="62"/>
        <w:tblW w:w="571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2"/>
        <w:gridCol w:w="1021"/>
        <w:gridCol w:w="1434"/>
        <w:gridCol w:w="4387"/>
        <w:gridCol w:w="695"/>
        <w:gridCol w:w="806"/>
        <w:gridCol w:w="7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jc w:val="center"/>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kern w:val="0"/>
                <w:sz w:val="18"/>
                <w:szCs w:val="18"/>
                <w:u w:val="none"/>
                <w:lang w:val="en-US" w:eastAsia="zh-CN" w:bidi="ar"/>
              </w:rPr>
            </w:pPr>
            <w:r>
              <w:rPr>
                <w:rFonts w:hint="eastAsia" w:ascii="微软雅黑" w:hAnsi="微软雅黑" w:eastAsia="微软雅黑" w:cs="微软雅黑"/>
                <w:b/>
                <w:bCs/>
                <w:i w:val="0"/>
                <w:iCs w:val="0"/>
                <w:color w:val="000000"/>
                <w:kern w:val="0"/>
                <w:sz w:val="18"/>
                <w:szCs w:val="18"/>
                <w:u w:val="none"/>
                <w:lang w:val="en-US" w:eastAsia="zh-CN" w:bidi="ar"/>
              </w:rPr>
              <w:t xml:space="preserve"> 幼儿园（小班6个班）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小班按30人配置，6个班，效果图仅供参考，具体以提供的产品清单为准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序号</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产品名称</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参考图片</w:t>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参数</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单位</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 xml:space="preserve"> 数量</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椅子(小班）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27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图片 1" descr="IMG_256"/>
                          <pic:cNvPicPr>
                            <a:picLocks noChangeAspect="1"/>
                          </pic:cNvPicPr>
                        </pic:nvPicPr>
                        <pic:blipFill>
                          <a:blip r:embed="rId75"/>
                          <a:stretch>
                            <a:fillRect/>
                          </a:stretch>
                        </pic:blipFill>
                        <pic:spPr>
                          <a:xfrm>
                            <a:off x="0" y="0"/>
                            <a:ext cx="676275" cy="53340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尺寸：270×280×445mm，坐高240mm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主材：椅子主构架采用22mm厚橡胶木实木料，坐板采用18mm厚橡胶木实木板，靠板采用16mm厚橡胶木曲形实木板，甲醛释放量符合GB18580-2017《室内装饰装修材料人造板及其制品中甲醛释放限量》标准要求。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特有：靠背呈弧形凹陷设计，贴合幼儿身体曲线，符合人体工程，前腿连接处采用45°斜头拼接，后腿特征呈弧形，美观牢固。</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180</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2"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圆腿正方桌(小班）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27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图片 2" descr="IMG_257"/>
                          <pic:cNvPicPr>
                            <a:picLocks noChangeAspect="1"/>
                          </pic:cNvPicPr>
                        </pic:nvPicPr>
                        <pic:blipFill>
                          <a:blip r:embed="rId76"/>
                          <a:stretch>
                            <a:fillRect/>
                          </a:stretch>
                        </pic:blipFill>
                        <pic:spPr>
                          <a:xfrm>
                            <a:off x="0" y="0"/>
                            <a:ext cx="676275" cy="53340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尺寸：600×600×500mm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主材：桌面采用18mm厚橡胶木实木板，甲醛释放量符合GB18580-2017《室内装饰装修材料人造板及其制品中甲醛释放限量》标准要求，桌腿采用φ62mm橡胶木实木料。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特有：桌面板边缘斜切后修大圆角,无框架连接档以增加桌面下活动空间。</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FF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12</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圆腿长方桌(小班）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27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图片 3" descr="IMG_258"/>
                          <pic:cNvPicPr>
                            <a:picLocks noChangeAspect="1"/>
                          </pic:cNvPicPr>
                        </pic:nvPicPr>
                        <pic:blipFill>
                          <a:blip r:embed="rId77"/>
                          <a:stretch>
                            <a:fillRect/>
                          </a:stretch>
                        </pic:blipFill>
                        <pic:spPr>
                          <a:xfrm>
                            <a:off x="0" y="0"/>
                            <a:ext cx="676275" cy="5048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尺寸：1200×600×500mm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主材：桌面采用18mm厚橡胶木实木板，甲醛释放量符合GB18580-2017《室内装饰装修材料人造板及其制品中甲醛释放限量》标准要求，桌腿采用φ62mm橡胶木实木料。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特有：桌面板边缘斜切后修大圆角,无框架连接档以增加桌面下活动空间。</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张</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30</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7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4</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原木金典·橡胶木经典椅子(教师椅）</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52450"/>
                  <wp:effectExtent l="0" t="0" r="9525" b="0"/>
                  <wp:docPr id="275"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图片 4" descr="IMG_259"/>
                          <pic:cNvPicPr>
                            <a:picLocks noChangeAspect="1"/>
                          </pic:cNvPicPr>
                        </pic:nvPicPr>
                        <pic:blipFill>
                          <a:blip r:embed="rId78"/>
                          <a:stretch>
                            <a:fillRect/>
                          </a:stretch>
                        </pic:blipFill>
                        <pic:spPr>
                          <a:xfrm>
                            <a:off x="0" y="0"/>
                            <a:ext cx="676275" cy="5524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尺寸：350*350*750mm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材质：橡胶木(进口料)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坐背板:16mm指接板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椅架：全榫头工艺制作，22×50mm实心脚</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工艺：表面光洁，无裂缝，无毛刺，无锐边，连接牢固、安全。边缘抛圆处理，外表面和内表面以及儿童手指可触及的隐蔽处，均不得有锐利的棱角、毛刺以及小五金部件露出的锐利尖锐。</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油漆：水性漆。</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12</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组合竖柜</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276"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图片 5" descr="IMG_260"/>
                          <pic:cNvPicPr>
                            <a:picLocks noChangeAspect="1"/>
                          </pic:cNvPicPr>
                        </pic:nvPicPr>
                        <pic:blipFill>
                          <a:blip r:embed="rId79"/>
                          <a:stretch>
                            <a:fillRect/>
                          </a:stretch>
                        </pic:blipFill>
                        <pic:spPr>
                          <a:xfrm>
                            <a:off x="0" y="0"/>
                            <a:ext cx="676275" cy="5048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尺寸：927×300×778mm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四层抽拉床</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277"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图片 6" descr="IMG_261"/>
                          <pic:cNvPicPr>
                            <a:picLocks noChangeAspect="1"/>
                          </pic:cNvPicPr>
                        </pic:nvPicPr>
                        <pic:blipFill>
                          <a:blip r:embed="rId80"/>
                          <a:stretch>
                            <a:fillRect/>
                          </a:stretch>
                        </pic:blipFill>
                        <pic:spPr>
                          <a:xfrm>
                            <a:off x="0" y="0"/>
                            <a:ext cx="676275" cy="53340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尺寸：四层：1500×600×1000mm 三层：1414×600×780mm 二层：1328×600×560mm 一层：1242×600×340mm （可置入床垫尺寸：四层：1444×550mm 三层：1358×550mm 二层：1272×550mm 一层：1186×550mm）主材：床架采用70×28mm厚松木实木料，围栏采用45×28mm厚松木实木料，床板采用12mm厚松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钉：重金属检测符合GB28481-2012《塑料家具中有害物质限量》标准要求。脚轮：抗盐雾符合GB28007-2011《儿童家具通用技术条件》标准要求。工艺：表面光洁，无裂缝，无毛刺，无锐边，连接牢固安全,边缘抛圆处理,安全缝隙和孔洞均符合GB28007-2011儿童家具通用技术条件的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48</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10</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多功能黑板</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52450"/>
                  <wp:effectExtent l="0" t="0" r="9525" b="0"/>
                  <wp:docPr id="278"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图片 7" descr="IMG_262"/>
                          <pic:cNvPicPr>
                            <a:picLocks noChangeAspect="1"/>
                          </pic:cNvPicPr>
                        </pic:nvPicPr>
                        <pic:blipFill>
                          <a:blip r:embed="rId81"/>
                          <a:stretch>
                            <a:fillRect/>
                          </a:stretch>
                        </pic:blipFill>
                        <pic:spPr>
                          <a:xfrm>
                            <a:off x="0" y="0"/>
                            <a:ext cx="676275" cy="5524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尺寸：1036×410×1200mm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主材：采用18mm厚橡胶木实木板，甲醛释放量符合GB18580-2017《室内装饰装修材料人造板及其制品中甲醛释放限量》标准要求。美术板采用磁性铁质画板和软木。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脚轮：抗盐雾符合GB28007-2011《儿童家具通用技术条件》标准要求。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11</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独立毛巾架</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61975"/>
                  <wp:effectExtent l="0" t="0" r="9525" b="9525"/>
                  <wp:docPr id="279"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8" descr="IMG_263"/>
                          <pic:cNvPicPr>
                            <a:picLocks noChangeAspect="1"/>
                          </pic:cNvPicPr>
                        </pic:nvPicPr>
                        <pic:blipFill>
                          <a:blip r:embed="rId82"/>
                          <a:stretch>
                            <a:fillRect/>
                          </a:stretch>
                        </pic:blipFill>
                        <pic:spPr>
                          <a:xfrm>
                            <a:off x="0" y="0"/>
                            <a:ext cx="676275" cy="56197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尺寸：1100×370×1000mm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主材：采用25mm厚橡胶木实木料。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工艺：表面光洁，无裂缝，无毛刺，无锐边，连接牢固安全,边缘抛圆处理,安全缝隙和孔洞均符合GB28007-2011儿童家具通用技术条件的要求。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小厨房</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微软雅黑" w:hAnsi="微软雅黑" w:eastAsia="微软雅黑" w:cs="微软雅黑"/>
                <w:i w:val="0"/>
                <w:iCs w:val="0"/>
                <w:color w:val="000000"/>
                <w:sz w:val="18"/>
                <w:szCs w:val="18"/>
                <w:u w:val="none"/>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2"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12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90度弯柜（小班）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81050"/>
                  <wp:effectExtent l="0" t="0" r="9525" b="0"/>
                  <wp:docPr id="280"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图片 9" descr="IMG_264"/>
                          <pic:cNvPicPr>
                            <a:picLocks noChangeAspect="1"/>
                          </pic:cNvPicPr>
                        </pic:nvPicPr>
                        <pic:blipFill>
                          <a:blip r:embed="rId83"/>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848×300×592mm主材：采用18mm厚橡胶木实木板，甲醛释放量符合GB18580-2017《室内装饰装修材料人造板及其制品中甲醛释放限量》标准要求。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12</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2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13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售卖台(装饰)</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281"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图片 10" descr="IMG_265"/>
                          <pic:cNvPicPr>
                            <a:picLocks noChangeAspect="1"/>
                          </pic:cNvPicPr>
                        </pic:nvPicPr>
                        <pic:blipFill>
                          <a:blip r:embed="rId84"/>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836×300×1226mm主材：采用18mm厚橡胶木实木板，甲醛释放量符合GB18580-2017《室内装饰装修材料人造板及其制品中甲醛释放限量》标准要求。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14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炊柜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282"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11" descr="IMG_266"/>
                          <pic:cNvPicPr>
                            <a:picLocks noChangeAspect="1"/>
                          </pic:cNvPicPr>
                        </pic:nvPicPr>
                        <pic:blipFill>
                          <a:blip r:embed="rId85"/>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400×300×574mm主材：采用18mm厚橡胶木实木板，甲醛释放量符合GB18580-2017《室内装饰装修材料人造板及其制品中甲醛释放限量》标准要求。透明板采用优质PC塑料板。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塑料件：塑料耐老化性符合QB/T4071-2010《课桌椅》标准要求。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中纤板：含水率，甲醛释放量符合GB/T11718-2009《中密度纤维板》标准要求。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15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洗衣机</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283"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图片 12" descr="IMG_267"/>
                          <pic:cNvPicPr>
                            <a:picLocks noChangeAspect="1"/>
                          </pic:cNvPicPr>
                        </pic:nvPicPr>
                        <pic:blipFill>
                          <a:blip r:embed="rId86"/>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400×300×574mm主材：采用18mm厚橡胶木实木板，甲醛释放量符合GB18580-2017《室内装饰装修材料人造板及其制品中甲醛释放限量》标准要求。透明板采用优质PC塑料板。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塑料件：塑料耐老化性符合QB/T4071-2010《课桌椅》标准要求。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16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双层长柜（小班）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66750" cy="561975"/>
                  <wp:effectExtent l="0" t="0" r="0" b="9525"/>
                  <wp:docPr id="284"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图片 13" descr="IMG_268"/>
                          <pic:cNvPicPr>
                            <a:picLocks noChangeAspect="1"/>
                          </pic:cNvPicPr>
                        </pic:nvPicPr>
                        <pic:blipFill>
                          <a:blip r:embed="rId87"/>
                          <a:stretch>
                            <a:fillRect/>
                          </a:stretch>
                        </pic:blipFill>
                        <pic:spPr>
                          <a:xfrm>
                            <a:off x="0" y="0"/>
                            <a:ext cx="666750" cy="56197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836×300×592mm</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24</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建构区</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微软雅黑" w:hAnsi="微软雅黑" w:eastAsia="微软雅黑" w:cs="微软雅黑"/>
                <w:i w:val="0"/>
                <w:iCs w:val="0"/>
                <w:color w:val="000000"/>
                <w:sz w:val="18"/>
                <w:szCs w:val="18"/>
                <w:u w:val="none"/>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17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直角柜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85"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图片 14" descr="IMG_269"/>
                          <pic:cNvPicPr>
                            <a:picLocks noChangeAspect="1"/>
                          </pic:cNvPicPr>
                        </pic:nvPicPr>
                        <pic:blipFill>
                          <a:blip r:embed="rId88"/>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600×600×592mm主材：采用18mm厚橡胶木实木板，甲醛释放量符合GB18580-2017《室内装饰装修材料人造板及其制品中甲醛释放限量》标准要求。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18</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六格柜（小班）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66750" cy="533400"/>
                  <wp:effectExtent l="0" t="0" r="0" b="0"/>
                  <wp:docPr id="286"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图片 15" descr="IMG_270"/>
                          <pic:cNvPicPr>
                            <a:picLocks noChangeAspect="1"/>
                          </pic:cNvPicPr>
                        </pic:nvPicPr>
                        <pic:blipFill>
                          <a:blip r:embed="rId89"/>
                          <a:stretch>
                            <a:fillRect/>
                          </a:stretch>
                        </pic:blipFill>
                        <pic:spPr>
                          <a:xfrm>
                            <a:off x="0" y="0"/>
                            <a:ext cx="666750" cy="53340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尺寸：891×300×592mm主材：采用18mm厚橡胶木实木板，甲醛释放量符合GB18580-2017《室内装饰装修材料人造板及其制品中甲醛释放限量》标准要求。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19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五格柜（小班）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287"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图片 16" descr="IMG_271"/>
                          <pic:cNvPicPr>
                            <a:picLocks noChangeAspect="1"/>
                          </pic:cNvPicPr>
                        </pic:nvPicPr>
                        <pic:blipFill>
                          <a:blip r:embed="rId90"/>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891×300×592mm主材：采用18mm厚橡胶木实木板，甲醛释放量符合GB18580-2017《室内装饰装修材料人造板及其制品中甲醛释放限量》标准要求。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20</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双层小屋造型柜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88"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图片 17" descr="IMG_272"/>
                          <pic:cNvPicPr>
                            <a:picLocks noChangeAspect="1"/>
                          </pic:cNvPicPr>
                        </pic:nvPicPr>
                        <pic:blipFill>
                          <a:blip r:embed="rId91"/>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600×300×940mm主材：采用18mm厚橡胶木实木板，甲醛释放量符合GB18580-2017《室内装饰装修材料人造板及其制品中甲醛释放限量》标准要求。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21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神秘森林树门</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289"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图片 18" descr="IMG_273"/>
                          <pic:cNvPicPr>
                            <a:picLocks noChangeAspect="1"/>
                          </pic:cNvPicPr>
                        </pic:nvPicPr>
                        <pic:blipFill>
                          <a:blip r:embed="rId92"/>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1160×1600×42mm主材：树干采用18mm厚橡胶木实木板，甲醛释放量符合GB18580-2017《室内装饰装修材料人造板及其制品中甲醛释放限量》标准要求。树冠采用12mm厚橡胶木饰面多层胶合板，含水率符合GB/T9846-2015《普通胶合板》标准要求，甲醛释放量符合GB18580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娃娃家</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微软雅黑" w:hAnsi="微软雅黑" w:eastAsia="微软雅黑" w:cs="微软雅黑"/>
                <w:i w:val="0"/>
                <w:iCs w:val="0"/>
                <w:color w:val="000000"/>
                <w:sz w:val="18"/>
                <w:szCs w:val="18"/>
                <w:u w:val="none"/>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22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娃娃扮演家具柜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90"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19" descr="IMG_274"/>
                          <pic:cNvPicPr>
                            <a:picLocks noChangeAspect="1"/>
                          </pic:cNvPicPr>
                        </pic:nvPicPr>
                        <pic:blipFill>
                          <a:blip r:embed="rId93"/>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400×250×463mm主材：采用18mm厚橡胶木实木板，甲醛释放量符合GB18580-2017《室内装饰装修材料人造板及其制品中甲醛释放限量》标准要求。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23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玄关柜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291"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图片 20" descr="IMG_275"/>
                          <pic:cNvPicPr>
                            <a:picLocks noChangeAspect="1"/>
                          </pic:cNvPicPr>
                        </pic:nvPicPr>
                        <pic:blipFill>
                          <a:blip r:embed="rId94"/>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400×300×1080mm主材：采用18mm厚橡胶木实木板，甲醛释放量符合GB18580-2017《室内装饰装修材料人造板及其制品中甲醛释放限量》标准要求。镜子采用亚克力镜面板。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塑料件：塑料耐老化性符合QB/T4071-2010《课桌椅》标准要求。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24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娃娃床</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92"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图片 21" descr="IMG_276"/>
                          <pic:cNvPicPr>
                            <a:picLocks noChangeAspect="1"/>
                          </pic:cNvPicPr>
                        </pic:nvPicPr>
                        <pic:blipFill>
                          <a:blip r:embed="rId95"/>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560×330×410mm主材：采用18mm厚橡胶木实木板，甲醛释放量符合GB18580-2017《室内装饰装修材料人造板及其制品中甲醛释放限量》标准要求。立柱采用35×35mm厚橡胶木实木料。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25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娃娃扮演家具椅</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93"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图片 22" descr="IMG_277"/>
                          <pic:cNvPicPr>
                            <a:picLocks noChangeAspect="1"/>
                          </pic:cNvPicPr>
                        </pic:nvPicPr>
                        <pic:blipFill>
                          <a:blip r:embed="rId96"/>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230×230×220mm主材：采用18mm厚橡胶木实木板，甲醛释放量符合GB18580-2017《室内装饰装修材料人造板及其制品中甲醛释放限量》标准要求。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24</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26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90度弯柜（小班）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94"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图片 23" descr="IMG_278"/>
                          <pic:cNvPicPr>
                            <a:picLocks noChangeAspect="1"/>
                          </pic:cNvPicPr>
                        </pic:nvPicPr>
                        <pic:blipFill>
                          <a:blip r:embed="rId97"/>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848×300×592mm主材：采用18mm厚橡胶木实木板，甲醛释放量符合GB18580-2017《室内装饰装修材料人造板及其制品中甲醛释放限量》标准要求。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27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娃娃扮演家具桌</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95"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图片 24" descr="IMG_279"/>
                          <pic:cNvPicPr>
                            <a:picLocks noChangeAspect="1"/>
                          </pic:cNvPicPr>
                        </pic:nvPicPr>
                        <pic:blipFill>
                          <a:blip r:embed="rId98"/>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440×440×420mm主材：采用18mm厚橡胶木实木板，甲醛释放量符合GB18580-2017《室内装饰装修材料人造板及其制品中甲醛释放限量》标准要求。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绘本区</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微软雅黑" w:hAnsi="微软雅黑" w:eastAsia="微软雅黑" w:cs="微软雅黑"/>
                <w:i w:val="0"/>
                <w:iCs w:val="0"/>
                <w:color w:val="000000"/>
                <w:sz w:val="18"/>
                <w:szCs w:val="18"/>
                <w:u w:val="none"/>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28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双面多层书柜（装饰）</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296"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图片 25" descr="IMG_280"/>
                          <pic:cNvPicPr>
                            <a:picLocks noChangeAspect="1"/>
                          </pic:cNvPicPr>
                        </pic:nvPicPr>
                        <pic:blipFill>
                          <a:blip r:embed="rId99"/>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800×300×778mm主材：采用18mm厚橡胶木实木板，甲醛释放量符合GB18580-2017《室内装饰装修材料人造板及其制品中甲醛释放限量》标准要求。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29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双层书柜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97"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图片 26" descr="IMG_281"/>
                          <pic:cNvPicPr>
                            <a:picLocks noChangeAspect="1"/>
                          </pic:cNvPicPr>
                        </pic:nvPicPr>
                        <pic:blipFill>
                          <a:blip r:embed="rId100"/>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891×300×778mm主材：采用18mm厚橡胶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钉：重金属检测符合GB28481-2012《塑料家具中有害物质限量》标准要求。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30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小书屋（含坐垫）</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298"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图片 27" descr="IMG_282"/>
                          <pic:cNvPicPr>
                            <a:picLocks noChangeAspect="1"/>
                          </pic:cNvPicPr>
                        </pic:nvPicPr>
                        <pic:blipFill>
                          <a:blip r:embed="rId101"/>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1200×480×1520mm主材：采用18mm厚橡胶木实木板，甲醛释放量符合GB18580-2017《室内装饰装修材料人造板及其制品中甲醛释放限量》标准要求。垫子采用优质耐磨PU皮。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31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可坐式方柜（含坐垫）</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299"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图片 28" descr="IMG_283"/>
                          <pic:cNvPicPr>
                            <a:picLocks noChangeAspect="1"/>
                          </pic:cNvPicPr>
                        </pic:nvPicPr>
                        <pic:blipFill>
                          <a:blip r:embed="rId102"/>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600×300×254mm主材：采用18mm厚橡胶木实木板，甲醛释放量符合GB18580-2017《室内装饰装修材料人造板及其制品中甲醛释放限量》标准要求。垫子采用优质耐磨PU皮，高密度海绵。</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32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小书柜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00"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图片 29" descr="IMG_284"/>
                          <pic:cNvPicPr>
                            <a:picLocks noChangeAspect="1"/>
                          </pic:cNvPicPr>
                        </pic:nvPicPr>
                        <pic:blipFill>
                          <a:blip r:embed="rId103"/>
                          <a:stretch>
                            <a:fillRect/>
                          </a:stretch>
                        </pic:blipFill>
                        <pic:spPr>
                          <a:xfrm>
                            <a:off x="0" y="0"/>
                            <a:ext cx="676275" cy="78105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309×300×490mm主材：采用18mm厚橡胶木实木板，甲醛释放量符合GB18580-2017《室内装饰装修材料人造板及其制品中甲醛释放限量》标准要求。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33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双人沙发</w:t>
            </w:r>
          </w:p>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(含垫子）</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42925"/>
                  <wp:effectExtent l="0" t="0" r="9525" b="9525"/>
                  <wp:docPr id="301"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30" descr="IMG_285"/>
                          <pic:cNvPicPr>
                            <a:picLocks noChangeAspect="1"/>
                          </pic:cNvPicPr>
                        </pic:nvPicPr>
                        <pic:blipFill>
                          <a:blip r:embed="rId104"/>
                          <a:stretch>
                            <a:fillRect/>
                          </a:stretch>
                        </pic:blipFill>
                        <pic:spPr>
                          <a:xfrm>
                            <a:off x="0" y="0"/>
                            <a:ext cx="676275" cy="5429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800×350×380mm主材：层板，面板采用18mm厚三聚氰胺饰面实木板，边板采用25mm厚三聚氰胺饰面实木板，含水率符合GB/T9846-2015《普通胶合板》标准要求，甲醛释放量符合GB18580标准要求。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塑料件：塑料耐老化性符合QB/T4071-2010《课桌椅》标准要求。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34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单人沙发</w:t>
            </w:r>
          </w:p>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(含垫子）</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23875"/>
                  <wp:effectExtent l="0" t="0" r="9525" b="9525"/>
                  <wp:docPr id="302"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图片 31" descr="IMG_286"/>
                          <pic:cNvPicPr>
                            <a:picLocks noChangeAspect="1"/>
                          </pic:cNvPicPr>
                        </pic:nvPicPr>
                        <pic:blipFill>
                          <a:blip r:embed="rId105"/>
                          <a:stretch>
                            <a:fillRect/>
                          </a:stretch>
                        </pic:blipFill>
                        <pic:spPr>
                          <a:xfrm>
                            <a:off x="0" y="0"/>
                            <a:ext cx="676275" cy="52387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500×380×350mm主材：层板，面板采用18mm厚三聚氰胺饰面实木板，边板采用25mm厚三聚氰胺饰面实木板，含水率符合GB/T9846-2015《普通胶合板》标准要求，甲醛释放量符合GB18580标准要求。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塑料件：塑料耐老化性符合QB/T4071-2010《课桌椅》标准要求。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35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圆腿正方桌(小班）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303"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图片 32" descr="IMG_287"/>
                          <pic:cNvPicPr>
                            <a:picLocks noChangeAspect="1"/>
                          </pic:cNvPicPr>
                        </pic:nvPicPr>
                        <pic:blipFill>
                          <a:blip r:embed="rId76"/>
                          <a:stretch>
                            <a:fillRect/>
                          </a:stretch>
                        </pic:blipFill>
                        <pic:spPr>
                          <a:xfrm>
                            <a:off x="0" y="0"/>
                            <a:ext cx="676275" cy="53340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尺寸：600×600×500mm</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主材：桌面采用18mm厚橡胶木实木板，甲醛释放量符合GB18580-2017《室内装饰装修材料人造板及其制品中甲醛释放限量》标准要求，桌腿采用φ62mm橡胶木实木料。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特有：桌面板边缘斜切后修大圆角,无框架连接档以增加桌面下活动空间。</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张</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美术区</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微软雅黑" w:hAnsi="微软雅黑" w:eastAsia="微软雅黑" w:cs="微软雅黑"/>
                <w:i w:val="0"/>
                <w:iCs w:val="0"/>
                <w:color w:val="000000"/>
                <w:sz w:val="18"/>
                <w:szCs w:val="18"/>
                <w:u w:val="none"/>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36</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教具盒柜（小）</w:t>
            </w:r>
          </w:p>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（含教具盒 ）</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304"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图片 33" descr="IMG_288"/>
                          <pic:cNvPicPr>
                            <a:picLocks noChangeAspect="1"/>
                          </pic:cNvPicPr>
                        </pic:nvPicPr>
                        <pic:blipFill>
                          <a:blip r:embed="rId106"/>
                          <a:stretch>
                            <a:fillRect/>
                          </a:stretch>
                        </pic:blipFill>
                        <pic:spPr>
                          <a:xfrm>
                            <a:off x="0" y="0"/>
                            <a:ext cx="676275" cy="533400"/>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尺寸：800×300×592mm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玩具盒：重金属，邻苯二甲酸酯，多环芳烃，多溴联苯，多溴二苯醚符合GB28481-2012《塑料家具中有害物质限量》标准要求。塑料件外观，其他外观，塑料件冷热循环，硬度符合GB/T32487-2016《塑料家具通用技术条件》标准要求。塑料耐老化性符合QB/T4071-2010《课桌椅》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其他：教具盒尺寸小盒260×230×100mm，大盒260×230×180mm，材质聚丙烯。盒子前方自带标签卡槽，并附透明标签挡牌。盒子滑轨采用盒子上端放入式设计，此举即可快速放入取出盒子，又可保证盒子不会在水平方向上滑出柜体。</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37</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90度弯柜（小班）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05"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图片 34" descr="IMG_289"/>
                          <pic:cNvPicPr>
                            <a:picLocks noChangeAspect="1"/>
                          </pic:cNvPicPr>
                        </pic:nvPicPr>
                        <pic:blipFill>
                          <a:blip r:embed="rId97"/>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848×300×592mm主材：采用18mm厚橡胶木实木板，甲醛释放量符合GB18580-2017《室内装饰装修材料人造板及其制品中甲醛释放限量》标准要求。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2"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38</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活动美术柜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06"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图片 35" descr="IMG_290"/>
                          <pic:cNvPicPr>
                            <a:picLocks noChangeAspect="1"/>
                          </pic:cNvPicPr>
                        </pic:nvPicPr>
                        <pic:blipFill>
                          <a:blip r:embed="rId107"/>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尺寸：1036×336×635mm主材：采用18mm厚橡胶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轮：抗盐雾符合GB28007-2011《儿童家具通用技术条件》标准要求。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8"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39 </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直角柜</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71525"/>
                  <wp:effectExtent l="0" t="0" r="9525" b="9525"/>
                  <wp:docPr id="307"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图片 36" descr="IMG_291"/>
                          <pic:cNvPicPr>
                            <a:picLocks noChangeAspect="1"/>
                          </pic:cNvPicPr>
                        </pic:nvPicPr>
                        <pic:blipFill>
                          <a:blip r:embed="rId88"/>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600×600×592mm主材：采用18mm厚橡胶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钉：重金属检测符合GB28481-2012《塑料家具中有害物质限量》标准要求。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12</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40</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铭牌门</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08"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图片 37" descr="IMG_292"/>
                          <pic:cNvPicPr>
                            <a:picLocks noChangeAspect="1"/>
                          </pic:cNvPicPr>
                        </pic:nvPicPr>
                        <pic:blipFill>
                          <a:blip r:embed="rId108"/>
                          <a:stretch>
                            <a:fillRect/>
                          </a:stretch>
                        </pic:blipFill>
                        <pic:spPr>
                          <a:xfrm>
                            <a:off x="0" y="0"/>
                            <a:ext cx="676275" cy="77152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800×40×1425mm主材：立柱采用40×40mm厚橡胶木实心料，造型板采用18mm厚橡胶木饰面多层胶合板，含水率符合GB/T9846-2015《普通胶合板》标准要求，甲醛释放量符合GB18580标准要求。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41</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六格柜（小班）</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66750" cy="523875"/>
                  <wp:effectExtent l="0" t="0" r="0" b="9525"/>
                  <wp:docPr id="309"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图片 38" descr="IMG_293"/>
                          <pic:cNvPicPr>
                            <a:picLocks noChangeAspect="1"/>
                          </pic:cNvPicPr>
                        </pic:nvPicPr>
                        <pic:blipFill>
                          <a:blip r:embed="rId109"/>
                          <a:stretch>
                            <a:fillRect/>
                          </a:stretch>
                        </pic:blipFill>
                        <pic:spPr>
                          <a:xfrm>
                            <a:off x="0" y="0"/>
                            <a:ext cx="666750" cy="523875"/>
                          </a:xfrm>
                          <a:prstGeom prst="rect">
                            <a:avLst/>
                          </a:prstGeom>
                          <a:noFill/>
                          <a:ln w="9525">
                            <a:noFill/>
                          </a:ln>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尺寸：891×300×592mm主材：采用18mm厚橡胶木实木板，甲醛释放量符合GB18580-2017《室内装饰装修材料人造板及其制品中甲醛释放限量》标准要求。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4"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42</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美术纸筒柜</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sz w:val="18"/>
                <w:szCs w:val="18"/>
                <w:u w:val="none"/>
                <w:lang w:eastAsia="zh-CN"/>
              </w:rPr>
              <w:drawing>
                <wp:inline distT="0" distB="0" distL="114300" distR="114300">
                  <wp:extent cx="552450" cy="714375"/>
                  <wp:effectExtent l="0" t="0" r="0" b="9525"/>
                  <wp:docPr id="310" name="图片 310"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图片 310" descr="图片1"/>
                          <pic:cNvPicPr>
                            <a:picLocks noChangeAspect="1"/>
                          </pic:cNvPicPr>
                        </pic:nvPicPr>
                        <pic:blipFill>
                          <a:blip r:embed="rId110"/>
                          <a:stretch>
                            <a:fillRect/>
                          </a:stretch>
                        </pic:blipFill>
                        <pic:spPr>
                          <a:xfrm>
                            <a:off x="0" y="0"/>
                            <a:ext cx="552450" cy="714375"/>
                          </a:xfrm>
                          <a:prstGeom prst="rect">
                            <a:avLst/>
                          </a:prstGeom>
                        </pic:spPr>
                      </pic:pic>
                    </a:graphicData>
                  </a:graphic>
                </wp:inline>
              </w:drawing>
            </w:r>
          </w:p>
        </w:tc>
        <w:tc>
          <w:tcPr>
            <w:tcW w:w="22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400× 400× 580mm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1.板材：采用健康环保12mm实木板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2.油漆：采用环保安全水性漆，水性漆经久耐用，不易黄变，耐霉菌性能好，耐人工气候老化，涂层无起泡无剥落，耐黄变性能符合GB/T 23999-2009标准要求，耐霉菌性能符合GB/T 1741-2007标准要求，耐人工气候老化符合GB/T 1865-2009、GB/T 1766-2008标准要求。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3.五金：采用优质环保五金，安全无毒，表面特定元素的迁移符合标准要求，锑、砷、钡、镉、铬、铅、汞、硒等八大重金属含量符合GB6675.4-2014标准要求。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4.脚轮：采用TPR静音万向轮，方便移动，脚轮外观要求符合QB/T4765-2014标准要求。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5.产品：底板离地高度：53mm；上下格内空尺寸：115*115*390mm.外表面和内表面等儿童手指可触及的隐蔽处，均不得有锋利的锐角、毛刺，五金部件不得露出锐利尖端，产品外角均倒圆处理，以保证儿童的安全，成品表面涂层耐刮、耐热、耐冲击，结构安全稳固。</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6.其它：9格收纳格设计，方便美术成品的统一收纳。</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4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r>
    </w:tbl>
    <w:p>
      <w:pPr>
        <w:jc w:val="center"/>
        <w:rPr>
          <w:rFonts w:hint="eastAsia"/>
          <w:b/>
          <w:bCs/>
          <w:sz w:val="32"/>
          <w:szCs w:val="32"/>
        </w:rPr>
      </w:pPr>
    </w:p>
    <w:p>
      <w:pPr>
        <w:jc w:val="center"/>
        <w:rPr>
          <w:rFonts w:hint="eastAsia"/>
          <w:b/>
          <w:bCs/>
          <w:sz w:val="32"/>
          <w:szCs w:val="32"/>
        </w:rPr>
      </w:pPr>
    </w:p>
    <w:p>
      <w:pPr>
        <w:jc w:val="center"/>
        <w:rPr>
          <w:rFonts w:hint="eastAsia"/>
          <w:b/>
          <w:bCs/>
          <w:sz w:val="32"/>
          <w:szCs w:val="32"/>
        </w:rPr>
      </w:pPr>
      <w:r>
        <w:rPr>
          <w:rFonts w:hint="eastAsia"/>
          <w:b/>
          <w:bCs/>
          <w:sz w:val="32"/>
          <w:szCs w:val="32"/>
        </w:rPr>
        <w:t>中班教室常规配置</w:t>
      </w:r>
    </w:p>
    <w:tbl>
      <w:tblPr>
        <w:tblStyle w:val="62"/>
        <w:tblW w:w="5771"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11"/>
        <w:gridCol w:w="1005"/>
        <w:gridCol w:w="1425"/>
        <w:gridCol w:w="4380"/>
        <w:gridCol w:w="735"/>
        <w:gridCol w:w="765"/>
        <w:gridCol w:w="7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5000" w:type="pct"/>
            <w:gridSpan w:val="7"/>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微软雅黑" w:hAnsi="微软雅黑" w:eastAsia="微软雅黑" w:cs="微软雅黑"/>
                <w:b/>
                <w:bCs/>
                <w:i w:val="0"/>
                <w:iCs w:val="0"/>
                <w:color w:val="000000"/>
                <w:kern w:val="0"/>
                <w:sz w:val="18"/>
                <w:szCs w:val="18"/>
                <w:u w:val="none"/>
                <w:lang w:val="en-US" w:eastAsia="zh-CN" w:bidi="ar"/>
              </w:rPr>
            </w:pPr>
            <w:r>
              <w:rPr>
                <w:rFonts w:hint="eastAsia" w:ascii="微软雅黑" w:hAnsi="微软雅黑" w:eastAsia="微软雅黑" w:cs="微软雅黑"/>
                <w:b/>
                <w:bCs/>
                <w:i w:val="0"/>
                <w:iCs w:val="0"/>
                <w:color w:val="000000"/>
                <w:kern w:val="0"/>
                <w:sz w:val="18"/>
                <w:szCs w:val="18"/>
                <w:u w:val="none"/>
                <w:lang w:val="en-US" w:eastAsia="zh-CN" w:bidi="ar"/>
              </w:rPr>
              <w:t>幼儿园（中班6个班）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jc w:val="center"/>
        </w:trPr>
        <w:tc>
          <w:tcPr>
            <w:tcW w:w="5000" w:type="pct"/>
            <w:gridSpan w:val="7"/>
            <w:tcBorders>
              <w:top w:val="single" w:color="000000" w:sz="4" w:space="0"/>
              <w:left w:val="single" w:color="000000" w:sz="4" w:space="0"/>
              <w:bottom w:val="nil"/>
              <w:right w:val="nil"/>
            </w:tcBorders>
            <w:shd w:val="clear" w:color="auto" w:fill="auto"/>
            <w:noWrap/>
            <w:vAlign w:val="center"/>
          </w:tcPr>
          <w:p>
            <w:pPr>
              <w:jc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中班按30人配置，6个班，效果图仅供参考，具体以提供的产品清单为准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序号</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产品名称</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产品图片</w:t>
            </w:r>
          </w:p>
        </w:tc>
        <w:tc>
          <w:tcPr>
            <w:tcW w:w="22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材质参数</w:t>
            </w:r>
          </w:p>
        </w:tc>
        <w:tc>
          <w:tcPr>
            <w:tcW w:w="3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单位</w:t>
            </w:r>
          </w:p>
        </w:tc>
        <w:tc>
          <w:tcPr>
            <w:tcW w:w="3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数量</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sz w:val="18"/>
                <w:szCs w:val="18"/>
                <w:u w:val="none"/>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6"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椅子(中班）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14350"/>
                  <wp:effectExtent l="0" t="0" r="9525" b="0"/>
                  <wp:docPr id="311"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图片 40" descr="IMG_295"/>
                          <pic:cNvPicPr>
                            <a:picLocks noChangeAspect="1"/>
                          </pic:cNvPicPr>
                        </pic:nvPicPr>
                        <pic:blipFill>
                          <a:blip r:embed="rId111"/>
                          <a:stretch>
                            <a:fillRect/>
                          </a:stretch>
                        </pic:blipFill>
                        <pic:spPr>
                          <a:xfrm>
                            <a:off x="0" y="0"/>
                            <a:ext cx="676275" cy="5143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尺寸：280×290×490mm，坐高270mm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主材：椅子主构架采用22mm厚橡胶木实心料，坐板采用18mm厚橡胶木实木板，靠板采用16mm厚橡胶木曲形实木板，甲醛释放量符合GB18580-2017《室内装饰装修材料人造板及其制品中甲醛释放限量》标准要求。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特有：靠背呈弧形凹陷设计，贴合幼儿身体曲线，符合人体工程，前腿连接处采用45°斜头拼接，后腿特征呈弧形，美观牢固。</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180</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圆腿长方桌(中班）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14350"/>
                  <wp:effectExtent l="0" t="0" r="9525" b="0"/>
                  <wp:docPr id="312"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图片 41" descr="IMG_296"/>
                          <pic:cNvPicPr>
                            <a:picLocks noChangeAspect="1"/>
                          </pic:cNvPicPr>
                        </pic:nvPicPr>
                        <pic:blipFill>
                          <a:blip r:embed="rId112"/>
                          <a:stretch>
                            <a:fillRect/>
                          </a:stretch>
                        </pic:blipFill>
                        <pic:spPr>
                          <a:xfrm>
                            <a:off x="0" y="0"/>
                            <a:ext cx="676275" cy="5143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 xml:space="preserve">尺寸：1200×600×550mm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主材：桌面采用18mm厚橡胶木实木板，甲醛释放量符合GB18580-2017《室内装饰装修材料人造板及其制品中甲醛释放限量》标准要求，桌腿采用φ62mm橡胶木实木料。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特有：桌面板边缘斜切后修大圆角,无框架连接档以增加桌面下活动空间。</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30</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圆腿正方桌(中班）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13"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图片 42" descr="IMG_297"/>
                          <pic:cNvPicPr>
                            <a:picLocks noChangeAspect="1"/>
                          </pic:cNvPicPr>
                        </pic:nvPicPr>
                        <pic:blipFill>
                          <a:blip r:embed="rId113"/>
                          <a:stretch>
                            <a:fillRect/>
                          </a:stretch>
                        </pic:blipFill>
                        <pic:spPr>
                          <a:xfrm>
                            <a:off x="0" y="0"/>
                            <a:ext cx="676275" cy="5048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 xml:space="preserve">尺寸：600×600×550mm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主材：桌面采用18mm厚橡胶木实木板，甲醛释放量符合GB18580-2017《室内装饰装修材料人造板及其制品中甲醛释放限量》标准要求，桌腿采用φ62mm橡胶木实木料。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特有：桌面板边缘斜切后修大圆角,无框架连接档以增加桌面下活动空间。</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FF0000"/>
                <w:sz w:val="18"/>
                <w:szCs w:val="18"/>
                <w:u w:val="none"/>
              </w:rPr>
            </w:pPr>
            <w:r>
              <w:rPr>
                <w:rFonts w:hint="eastAsia" w:ascii="微软雅黑" w:hAnsi="微软雅黑" w:eastAsia="微软雅黑" w:cs="微软雅黑"/>
                <w:i w:val="0"/>
                <w:iCs w:val="0"/>
                <w:color w:val="FF0000"/>
                <w:kern w:val="0"/>
                <w:sz w:val="18"/>
                <w:szCs w:val="18"/>
                <w:u w:val="none"/>
                <w:lang w:val="en-US" w:eastAsia="zh-CN" w:bidi="ar"/>
              </w:rPr>
              <w:t>12</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76"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4</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椅子(教师椅）</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14"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图片 43" descr="IMG_298"/>
                          <pic:cNvPicPr>
                            <a:picLocks noChangeAspect="1"/>
                          </pic:cNvPicPr>
                        </pic:nvPicPr>
                        <pic:blipFill>
                          <a:blip r:embed="rId114"/>
                          <a:stretch>
                            <a:fillRect/>
                          </a:stretch>
                        </pic:blipFill>
                        <pic:spPr>
                          <a:xfrm>
                            <a:off x="0" y="0"/>
                            <a:ext cx="676275" cy="5048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350*350*750mm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材质：橡胶木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坐背板:16mm指接板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椅架：全榫头工艺制作，22×50mm实心脚</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工艺：表面光洁，无裂缝，无毛刺，无锐边，连接牢固、安全。边缘抛圆处理，外表面和内表面以及儿童手指可触及的隐蔽处，均不得有锐利的棱角、毛刺以及小五金部件露出的锐利尖锐。</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油漆：水性漆。</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12</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2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5</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多功能黑板</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23875"/>
                  <wp:effectExtent l="0" t="0" r="9525" b="9525"/>
                  <wp:docPr id="315"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图片 44" descr="IMG_299"/>
                          <pic:cNvPicPr>
                            <a:picLocks noChangeAspect="1"/>
                          </pic:cNvPicPr>
                        </pic:nvPicPr>
                        <pic:blipFill>
                          <a:blip r:embed="rId115"/>
                          <a:stretch>
                            <a:fillRect/>
                          </a:stretch>
                        </pic:blipFill>
                        <pic:spPr>
                          <a:xfrm>
                            <a:off x="0" y="0"/>
                            <a:ext cx="676275" cy="52387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尺寸：1036×410×1200mm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主材：采用18mm厚橡胶木实木板，甲醛释放量符合GB18580-2017《室内装饰装修材料人造板及其制品中甲醛释放限量》标准要求。美术板采用磁性铁质画板和软木。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脚轮：抗盐雾符合GB28007-2011《儿童家具通用技术条件》标准要求。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0"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四层抽拉床</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16"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图片 45" descr="IMG_300"/>
                          <pic:cNvPicPr>
                            <a:picLocks noChangeAspect="1"/>
                          </pic:cNvPicPr>
                        </pic:nvPicPr>
                        <pic:blipFill>
                          <a:blip r:embed="rId116"/>
                          <a:stretch>
                            <a:fillRect/>
                          </a:stretch>
                        </pic:blipFill>
                        <pic:spPr>
                          <a:xfrm>
                            <a:off x="0" y="0"/>
                            <a:ext cx="676275" cy="5048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尺寸：四层：1500×600×1000mm 三层：1414×600×780mm 二层：1328×600×560mm 一层：1242×600×340mm （可置入床垫尺寸：四层：1444×550mm 三层：1358×550mm 二层：1272×550mm 一层：1186×550mm）主材：床架采用70×28mm厚松木实木料，围栏采用45×28mm厚松木实木料，床板采用12mm厚松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钉：重金属检测符合GB28481-2012《塑料家具中有害物质限量》标准要求。脚轮：抗盐雾符合GB28007-2011《儿童家具通用技术条件》标准要求。工艺：表面光洁，无裂缝，无毛刺，无锐边，连接牢固安全,边缘抛圆处理,安全缝隙和孔洞均符合GB28007-2011儿童家具通用技术条件的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48</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6"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7</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组合竖柜</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17"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图片 46" descr="IMG_301"/>
                          <pic:cNvPicPr>
                            <a:picLocks noChangeAspect="1"/>
                          </pic:cNvPicPr>
                        </pic:nvPicPr>
                        <pic:blipFill>
                          <a:blip r:embed="rId117"/>
                          <a:stretch>
                            <a:fillRect/>
                          </a:stretch>
                        </pic:blipFill>
                        <pic:spPr>
                          <a:xfrm>
                            <a:off x="0" y="0"/>
                            <a:ext cx="676275" cy="5048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927×300×778mm主材：采用18mm厚橡胶木实木板，甲醛释放量符合GB18580-2017《室内装饰装修材料人造板及其制品中甲醛释放限量》标准要求。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8</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独立毛巾架</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18"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图片 47" descr="IMG_302"/>
                          <pic:cNvPicPr>
                            <a:picLocks noChangeAspect="1"/>
                          </pic:cNvPicPr>
                        </pic:nvPicPr>
                        <pic:blipFill>
                          <a:blip r:embed="rId118"/>
                          <a:stretch>
                            <a:fillRect/>
                          </a:stretch>
                        </pic:blipFill>
                        <pic:spPr>
                          <a:xfrm>
                            <a:off x="0" y="0"/>
                            <a:ext cx="676275" cy="5048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尺寸：1100×370×1000mm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主材：采用25mm厚橡胶木实木料。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工艺：表面光洁，无裂缝，无毛刺，无锐边，连接牢固安全,边缘抛圆处理,安全缝隙和孔洞均符合GB28007-2011儿童家具通用技术条件的要求。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2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高低花架</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319"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图片 48" descr="IMG_303"/>
                          <pic:cNvPicPr>
                            <a:picLocks noChangeAspect="1"/>
                          </pic:cNvPicPr>
                        </pic:nvPicPr>
                        <pic:blipFill>
                          <a:blip r:embed="rId119"/>
                          <a:stretch>
                            <a:fillRect/>
                          </a:stretch>
                        </pic:blipFill>
                        <pic:spPr>
                          <a:xfrm>
                            <a:off x="0" y="0"/>
                            <a:ext cx="676275" cy="53340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尺寸：900×300×900mm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主材：支架采用40×28mm厚松木实木料，隔板采用12mm厚松木实木板，甲醛释放量符合GB18580-2017《室内装饰装修材料人造板及其制品中甲醛释放限量》标准要求。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工艺：表面光洁，无裂缝，无毛刺，无锐边，连接牢固安全,边缘抛圆处理,安全缝隙和孔洞均符合GB28007-2011儿童家具通用技术条件的要求。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10</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两层花架</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320"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图片 49" descr="IMG_304"/>
                          <pic:cNvPicPr>
                            <a:picLocks noChangeAspect="1"/>
                          </pic:cNvPicPr>
                        </pic:nvPicPr>
                        <pic:blipFill>
                          <a:blip r:embed="rId120"/>
                          <a:stretch>
                            <a:fillRect/>
                          </a:stretch>
                        </pic:blipFill>
                        <pic:spPr>
                          <a:xfrm>
                            <a:off x="0" y="0"/>
                            <a:ext cx="676275" cy="53340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尺寸：800×350×600mm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主材：支架采用40×28mm厚松木实木料，隔板采用12mm厚松木实木板，甲醛释放量符合GB18580-2017《室内装饰装修材料人造板及其制品中甲醛释放限量》标准要求。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工艺：表面光洁，无裂缝，无毛刺，无锐边，连接牢固安全,边缘抛圆处理,安全缝隙和孔洞均符合GB28007-2011儿童家具通用技术条件的要求。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建构区</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11</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三层竖柜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21"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图片 50" descr="IMG_305"/>
                          <pic:cNvPicPr>
                            <a:picLocks noChangeAspect="1"/>
                          </pic:cNvPicPr>
                        </pic:nvPicPr>
                        <pic:blipFill>
                          <a:blip r:embed="rId121"/>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309×300×778mm主材：采用18mm厚橡胶木实木板，甲醛释放量符合GB18580-2017《室内装饰装修材料人造板及其制品中甲醛释放限量》标准要求。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12</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双层竖柜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22"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图片 51" descr="IMG_306"/>
                          <pic:cNvPicPr>
                            <a:picLocks noChangeAspect="1"/>
                          </pic:cNvPicPr>
                        </pic:nvPicPr>
                        <pic:blipFill>
                          <a:blip r:embed="rId122"/>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309×300×548mm主材：采用18mm厚橡胶木实木板，甲醛释放量符合GB18580-2017《室内装饰装修材料人造板及其制品中甲醛释放限量》标准要求。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13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三层长柜（中班）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71525"/>
                  <wp:effectExtent l="0" t="0" r="9525" b="9525"/>
                  <wp:docPr id="323"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 name="图片 52" descr="IMG_307"/>
                          <pic:cNvPicPr>
                            <a:picLocks noChangeAspect="1"/>
                          </pic:cNvPicPr>
                        </pic:nvPicPr>
                        <pic:blipFill>
                          <a:blip r:embed="rId123"/>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836×300×685mm主材：采用18mm厚橡胶木实木板，甲醛释放量符合GB18580-2017《室内装饰装修材料人造板及其制品中甲醛释放限量》标准要求。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18</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default" w:ascii="Arial" w:hAnsi="Arial" w:eastAsia="宋体" w:cs="Arial"/>
                <w:i w:val="0"/>
                <w:iCs w:val="0"/>
                <w:color w:val="000000"/>
                <w:sz w:val="18"/>
                <w:szCs w:val="18"/>
                <w:u w:val="none"/>
              </w:rPr>
            </w:pPr>
            <w:r>
              <w:rPr>
                <w:rFonts w:hint="eastAsia" w:ascii="Arial" w:hAnsi="Arial" w:eastAsia="宋体" w:cs="Arial"/>
                <w:i w:val="0"/>
                <w:iCs w:val="0"/>
                <w:color w:val="000000"/>
                <w:kern w:val="0"/>
                <w:sz w:val="18"/>
                <w:szCs w:val="18"/>
                <w:u w:val="none"/>
                <w:lang w:val="en-US" w:eastAsia="zh-CN" w:bidi="ar"/>
              </w:rPr>
              <w:t>14</w:t>
            </w:r>
            <w:r>
              <w:rPr>
                <w:rFonts w:hint="default" w:ascii="Arial" w:hAnsi="Arial" w:eastAsia="宋体" w:cs="Arial"/>
                <w:i w:val="0"/>
                <w:iCs w:val="0"/>
                <w:color w:val="000000"/>
                <w:kern w:val="0"/>
                <w:sz w:val="18"/>
                <w:szCs w:val="18"/>
                <w:u w:val="none"/>
                <w:lang w:val="en-US" w:eastAsia="zh-CN" w:bidi="ar"/>
              </w:rPr>
              <w:t xml:space="preserve">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90度弯柜（中班）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24"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图片 53" descr="IMG_308"/>
                          <pic:cNvPicPr>
                            <a:picLocks noChangeAspect="1"/>
                          </pic:cNvPicPr>
                        </pic:nvPicPr>
                        <pic:blipFill>
                          <a:blip r:embed="rId124"/>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848×300×685mm主材：采用18mm厚橡胶木实木板，甲醛释放量符合GB18580-2017《室内装饰装修材料人造板及其制品中甲醛释放限量》标准要求。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绘本区</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8"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15</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可坐式方柜（含坐垫）</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25"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 name="图片 54" descr="IMG_309"/>
                          <pic:cNvPicPr>
                            <a:picLocks noChangeAspect="1"/>
                          </pic:cNvPicPr>
                        </pic:nvPicPr>
                        <pic:blipFill>
                          <a:blip r:embed="rId102"/>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600×300×254mm主材：采用18mm厚橡胶木实木板，甲醛释放量符合GB18580-2017《室内装饰装修材料人造板及其制品中甲醛释放限量》标准要求。垫子采用优质耐磨PU皮，高密度海绵。</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16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双人小沙发(含坐垫）</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476250"/>
                  <wp:effectExtent l="0" t="0" r="9525" b="0"/>
                  <wp:docPr id="326"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图片 55" descr="IMG_310"/>
                          <pic:cNvPicPr>
                            <a:picLocks noChangeAspect="1"/>
                          </pic:cNvPicPr>
                        </pic:nvPicPr>
                        <pic:blipFill>
                          <a:blip r:embed="rId125"/>
                          <a:stretch>
                            <a:fillRect/>
                          </a:stretch>
                        </pic:blipFill>
                        <pic:spPr>
                          <a:xfrm>
                            <a:off x="0" y="0"/>
                            <a:ext cx="676275" cy="4762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836×380×500mm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主材：采用18mm厚三聚氰胺饰面多层胶合板，含水率符合GB/T9846-2015《普通胶合板》标准要求，甲醛释放量符合GB18580标准要求。垫子采用优质耐磨PU皮。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工艺：表面光洁，无裂缝，无毛刺，无锐边，连接牢固安全,边缘抛圆处理,安全缝隙和孔洞均符合GB28007-2011儿童家具通用技术条件的要求。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17</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单人小沙发(含坐垫）</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27"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 name="图片 56" descr="IMG_311"/>
                          <pic:cNvPicPr>
                            <a:picLocks noChangeAspect="1"/>
                          </pic:cNvPicPr>
                        </pic:nvPicPr>
                        <pic:blipFill>
                          <a:blip r:embed="rId126"/>
                          <a:stretch>
                            <a:fillRect/>
                          </a:stretch>
                        </pic:blipFill>
                        <pic:spPr>
                          <a:xfrm>
                            <a:off x="0" y="0"/>
                            <a:ext cx="676275" cy="5048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436×380×500mm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主材：采用18mm厚三聚氰胺饰面多层胶合板，含水率符合GB/T9846-2015《普通胶合板》标准要求，甲醛释放量符合GB18580标准要求。垫子采用优质耐磨PU皮。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工艺：表面光洁，无裂缝，无毛刺，无锐边，连接牢固安全,边缘抛圆处理,安全缝隙和孔洞均符合GB28007-2011儿童家具通用技术条件的要求。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18</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双层书柜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28"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图片 57" descr="IMG_312"/>
                          <pic:cNvPicPr>
                            <a:picLocks noChangeAspect="1"/>
                          </pic:cNvPicPr>
                        </pic:nvPicPr>
                        <pic:blipFill>
                          <a:blip r:embed="rId100"/>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891×300×778mm主材：采用18mm厚橡胶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钉：重金属检测符合GB28481-2012《塑料家具中有害物质限量》标准要求。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19</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双面多层书柜（装饰）</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29"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图片 58" descr="IMG_313"/>
                          <pic:cNvPicPr>
                            <a:picLocks noChangeAspect="1"/>
                          </pic:cNvPicPr>
                        </pic:nvPicPr>
                        <pic:blipFill>
                          <a:blip r:embed="rId127"/>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800×300×778mm主材：采用18mm厚橡胶木实木板，甲醛释放量符合GB18580-2017《室内装饰装修材料人造板及其制品中甲醛释放限量》标准要求。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86"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20</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小书柜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30"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图片 59" descr="IMG_314"/>
                          <pic:cNvPicPr>
                            <a:picLocks noChangeAspect="1"/>
                          </pic:cNvPicPr>
                        </pic:nvPicPr>
                        <pic:blipFill>
                          <a:blip r:embed="rId128"/>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309×300×490mm主材：采用18mm厚橡胶木实木板，甲醛释放量符合GB18580-2017《室内装饰装修材料人造板及其制品中甲醛释放限量》标准要求。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21</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圆腿正方桌(中班）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31"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 name="图片 60" descr="IMG_315"/>
                          <pic:cNvPicPr>
                            <a:picLocks noChangeAspect="1"/>
                          </pic:cNvPicPr>
                        </pic:nvPicPr>
                        <pic:blipFill>
                          <a:blip r:embed="rId113"/>
                          <a:stretch>
                            <a:fillRect/>
                          </a:stretch>
                        </pic:blipFill>
                        <pic:spPr>
                          <a:xfrm>
                            <a:off x="0" y="0"/>
                            <a:ext cx="676275" cy="5048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 xml:space="preserve">尺寸：600×600×550mm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主材：桌面采用18mm厚橡胶木实木板，甲醛释放量符合GB18580-2017《室内装饰装修材料人造板及其制品中甲醛释放限量》标准要求，桌腿采用φ62mm橡胶木实木料。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特有：桌面板边缘斜切后修大圆角,无框架连接档以增加桌面下活动空间。</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FF0000"/>
                <w:sz w:val="18"/>
                <w:szCs w:val="18"/>
                <w:u w:val="none"/>
              </w:rPr>
            </w:pPr>
            <w:r>
              <w:rPr>
                <w:rFonts w:hint="eastAsia" w:ascii="微软雅黑" w:hAnsi="微软雅黑" w:eastAsia="微软雅黑" w:cs="微软雅黑"/>
                <w:i w:val="0"/>
                <w:iCs w:val="0"/>
                <w:color w:val="FF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售卖区</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22</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90度弯柜（中班）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32"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图片 61" descr="IMG_316"/>
                          <pic:cNvPicPr>
                            <a:picLocks noChangeAspect="1"/>
                          </pic:cNvPicPr>
                        </pic:nvPicPr>
                        <pic:blipFill>
                          <a:blip r:embed="rId124"/>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848×300×685mm主材：采用18mm厚橡胶木实木板，甲醛释放量符合GB18580-2017《室内装饰装修材料人造板及其制品中甲醛释放限量》标准要求。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0"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23</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小橱柜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33"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图片 62" descr="IMG_317"/>
                          <pic:cNvPicPr>
                            <a:picLocks noChangeAspect="1"/>
                          </pic:cNvPicPr>
                        </pic:nvPicPr>
                        <pic:blipFill>
                          <a:blip r:embed="rId129"/>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836×300×610mm主材：采用18mm厚橡胶木实木板，甲醛释放量符合GB18580-2017《室内装饰装修材料人造板及其制品中甲醛释放限量》标准要求。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中纤板：含水率，甲醛释放量符合GB/T11718-2009《中密度纤维板》标准要求。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24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多格窄柜（中班）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34"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图片 63" descr="IMG_318"/>
                          <pic:cNvPicPr>
                            <a:picLocks noChangeAspect="1"/>
                          </pic:cNvPicPr>
                        </pic:nvPicPr>
                        <pic:blipFill>
                          <a:blip r:embed="rId130"/>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600×300×685mm主材：采用18mm厚橡胶木实木板，甲醛释放量符合GB18580-2017《室内装饰装修材料人造板及其制品中甲醛释放限量》标准要求。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12</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5"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25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超市柜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35"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图片 64" descr="IMG_319"/>
                          <pic:cNvPicPr>
                            <a:picLocks noChangeAspect="1"/>
                          </pic:cNvPicPr>
                        </pic:nvPicPr>
                        <pic:blipFill>
                          <a:blip r:embed="rId131"/>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836×300×1300mm主材：采用18mm厚橡胶木实木板，甲醛释放量符合GB18580-2017《室内装饰装修材料人造板及其制品中甲醛释放限量》标准要求。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default" w:ascii="Arial" w:hAnsi="Arial" w:eastAsia="宋体" w:cs="Arial"/>
                <w:i w:val="0"/>
                <w:iCs w:val="0"/>
                <w:color w:val="000000"/>
                <w:sz w:val="18"/>
                <w:szCs w:val="18"/>
                <w:u w:val="none"/>
              </w:rPr>
            </w:pP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美工区</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6"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26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教具盒柜</w:t>
            </w:r>
          </w:p>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（含教具盒 ）</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336"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图片 65" descr="IMG_320"/>
                          <pic:cNvPicPr>
                            <a:picLocks noChangeAspect="1"/>
                          </pic:cNvPicPr>
                        </pic:nvPicPr>
                        <pic:blipFill>
                          <a:blip r:embed="rId132"/>
                          <a:stretch>
                            <a:fillRect/>
                          </a:stretch>
                        </pic:blipFill>
                        <pic:spPr>
                          <a:xfrm>
                            <a:off x="0" y="0"/>
                            <a:ext cx="676275" cy="53340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尺寸：800×300×845mm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玩具盒：重金属，邻苯二甲酸酯，多环芳烃，多溴联苯，多溴二苯醚符合GB28481-2012《塑料家具中有害物质限量》标准要求。塑料件外观，其他外观，塑料件冷热循环，硬度符合GB/T32487-2016《塑料家具通用技术条件》标准要求。塑料耐老化性符合QB/T4071-2010《课桌椅》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其他：教具盒尺寸小盒260×230×100mm，大盒260×230×180mm，材质聚丙烯。盒子前方自带标签卡槽，并附透明标签挡牌。盒子滑轨采用盒子上端放入式设计，此举即可快速放入取出盒子，又可保证盒子不会在水平方向上滑出柜体。</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27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 45度角扇形柜（中班）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37"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图片 66" descr="IMG_321"/>
                          <pic:cNvPicPr>
                            <a:picLocks noChangeAspect="1"/>
                          </pic:cNvPicPr>
                        </pic:nvPicPr>
                        <pic:blipFill>
                          <a:blip r:embed="rId133"/>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570×300×685mm主材：采用18mm厚橡胶木实木板，甲醛释放量符合GB18580-2017《室内装饰装修材料人造板及其制品中甲醛释放限量》标准要求。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28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活动美术柜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71525"/>
                  <wp:effectExtent l="0" t="0" r="9525" b="9525"/>
                  <wp:docPr id="338"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图片 67" descr="IMG_322"/>
                          <pic:cNvPicPr>
                            <a:picLocks noChangeAspect="1"/>
                          </pic:cNvPicPr>
                        </pic:nvPicPr>
                        <pic:blipFill>
                          <a:blip r:embed="rId107"/>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尺寸：1036×336×635mm主材：采用18mm厚橡胶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轮：抗盐雾符合GB28007-2011《儿童家具通用技术条件》标准要求。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auto"/>
                <w:sz w:val="18"/>
                <w:szCs w:val="18"/>
                <w:u w:val="none"/>
                <w:lang w:val="en-US"/>
              </w:rPr>
            </w:pPr>
            <w:r>
              <w:rPr>
                <w:rFonts w:hint="eastAsia" w:ascii="微软雅黑" w:hAnsi="微软雅黑" w:eastAsia="微软雅黑" w:cs="微软雅黑"/>
                <w:i w:val="0"/>
                <w:iCs w:val="0"/>
                <w:color w:val="auto"/>
                <w:kern w:val="0"/>
                <w:sz w:val="18"/>
                <w:szCs w:val="18"/>
                <w:u w:val="none"/>
                <w:lang w:val="en-US" w:eastAsia="zh-CN" w:bidi="ar"/>
              </w:rPr>
              <w:t>29</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三层长柜（中班）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71525"/>
                  <wp:effectExtent l="0" t="0" r="9525" b="9525"/>
                  <wp:docPr id="339"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图片 68" descr="IMG_323"/>
                          <pic:cNvPicPr>
                            <a:picLocks noChangeAspect="1"/>
                          </pic:cNvPicPr>
                        </pic:nvPicPr>
                        <pic:blipFill>
                          <a:blip r:embed="rId123"/>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836×300×685mm主材：采用18mm厚橡胶木实木板，甲醛释放量符合GB18580-2017《室内装饰装修材料人造板及其制品中甲醛释放限量》标准要求。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30</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30</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直角柜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40"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图片 69" descr="IMG_324"/>
                          <pic:cNvPicPr>
                            <a:picLocks noChangeAspect="1"/>
                          </pic:cNvPicPr>
                        </pic:nvPicPr>
                        <pic:blipFill>
                          <a:blip r:embed="rId134"/>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600×600×592mm主材：采用18mm厚橡胶木实木板，甲醛释放量符合GB18580-2017《室内装饰装修材料人造板及其制品中甲醛释放限量》标准要求。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31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造型区域门</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41"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 name="图片 70" descr="IMG_325"/>
                          <pic:cNvPicPr>
                            <a:picLocks noChangeAspect="1"/>
                          </pic:cNvPicPr>
                        </pic:nvPicPr>
                        <pic:blipFill>
                          <a:blip r:embed="rId135"/>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800×324×1420mm主材：框架采用48×22mm橡胶木实木料，边板采用18mm厚橡胶木实木板,甲醛释放量符合GB18580-2017《室内装饰装修材料人造板及其制品中甲醛释放限量》标准要求。造型板采用12mm厚橡胶木饰面多层胶合板，含水率符合GB/T9846-2015《普通胶合板》标准要求，甲醛释放量符合GB18580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bottom"/>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32</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美术纸筒柜</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微软雅黑" w:hAnsi="微软雅黑" w:eastAsia="微软雅黑" w:cs="微软雅黑"/>
                <w:i w:val="0"/>
                <w:iCs w:val="0"/>
                <w:color w:val="000000"/>
                <w:sz w:val="18"/>
                <w:szCs w:val="18"/>
                <w:u w:val="none"/>
                <w:lang w:eastAsia="zh-CN"/>
              </w:rPr>
              <w:drawing>
                <wp:inline distT="0" distB="0" distL="114300" distR="114300">
                  <wp:extent cx="552450" cy="714375"/>
                  <wp:effectExtent l="0" t="0" r="0" b="9525"/>
                  <wp:docPr id="342" name="图片 34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图片 342" descr="图片1"/>
                          <pic:cNvPicPr>
                            <a:picLocks noChangeAspect="1"/>
                          </pic:cNvPicPr>
                        </pic:nvPicPr>
                        <pic:blipFill>
                          <a:blip r:embed="rId110"/>
                          <a:stretch>
                            <a:fillRect/>
                          </a:stretch>
                        </pic:blipFill>
                        <pic:spPr>
                          <a:xfrm>
                            <a:off x="0" y="0"/>
                            <a:ext cx="552450" cy="714375"/>
                          </a:xfrm>
                          <a:prstGeom prst="rect">
                            <a:avLst/>
                          </a:prstGeom>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 xml:space="preserve">  400× 400× 580mm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1.板材：采用健康环保12mm实木板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2.油漆：采用环保安全水性漆，水性漆经久耐用，不易黄变，耐霉菌性能好，耐人工气候老化，涂层无起泡无剥落，耐黄变性能符合GB/T 23999-2009标准要求，耐霉菌性能符合GB/T 1741-2007标准要求，耐人工气候老化符合GB/T 1865-2009、GB/T 1766-2008标准要求。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3.五金：采用优质环保五金，安全无毒，表面特定元素的迁移符合标准要求，锑、砷、钡、镉、铬、铅、汞、硒等八大重金属含量符合GB6675.4-2014标准要求。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4.脚轮：采用TPR静音万向轮，方便移动，脚轮外观要求符合QB/T4765-2014标准要求。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5.产品：底板离地高度：53mm；  上下格内空尺寸：115*115*390mm.外表面和内表面等儿童手指可触及的隐蔽处，均不得有锋利的锐角、毛刺，五金部件不得露出锐利尖端，产品外角均倒圆处理，以保证儿童的安全，成品表面涂层耐刮、耐热、耐冲击，结构安全稳固。</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6.其它：9格收纳格设计，方便美术成品的统一收纳。</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益智区</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33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90度弯柜（中班）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43"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图片 72" descr="IMG_327"/>
                          <pic:cNvPicPr>
                            <a:picLocks noChangeAspect="1"/>
                          </pic:cNvPicPr>
                        </pic:nvPicPr>
                        <pic:blipFill>
                          <a:blip r:embed="rId124"/>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848×300×685mm主材：采用18mm厚橡胶木实木板，甲醛释放量符合GB18580-2017《室内装饰装修材料人造板及其制品中甲醛释放限量》标准要求。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FF0000"/>
                <w:sz w:val="18"/>
                <w:szCs w:val="18"/>
                <w:u w:val="none"/>
                <w:lang w:val="en-US"/>
              </w:rPr>
            </w:pPr>
            <w:r>
              <w:rPr>
                <w:rFonts w:hint="eastAsia" w:ascii="微软雅黑" w:hAnsi="微软雅黑" w:eastAsia="微软雅黑" w:cs="微软雅黑"/>
                <w:i w:val="0"/>
                <w:iCs w:val="0"/>
                <w:color w:val="000000" w:themeColor="text1"/>
                <w:kern w:val="0"/>
                <w:sz w:val="18"/>
                <w:szCs w:val="18"/>
                <w:u w:val="none"/>
                <w:lang w:val="en-US" w:eastAsia="zh-CN" w:bidi="ar"/>
                <w14:textFill>
                  <w14:solidFill>
                    <w14:schemeClr w14:val="tx1"/>
                  </w14:solidFill>
                </w14:textFill>
              </w:rPr>
              <w:t>34</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直角柜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44"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图片 73" descr="IMG_328"/>
                          <pic:cNvPicPr>
                            <a:picLocks noChangeAspect="1"/>
                          </pic:cNvPicPr>
                        </pic:nvPicPr>
                        <pic:blipFill>
                          <a:blip r:embed="rId134"/>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600×600×592mm主材：采用18mm厚橡胶木实木板，甲醛释放量符合GB18580-2017《室内装饰装修材料人造板及其制品中甲醛释放限量》标准要求。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bidi="ar"/>
              </w:rPr>
              <w:t>35</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三层长柜（中班）</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71525"/>
                  <wp:effectExtent l="0" t="0" r="9525" b="9525"/>
                  <wp:docPr id="345"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图片 74" descr="IMG_329"/>
                          <pic:cNvPicPr>
                            <a:picLocks noChangeAspect="1"/>
                          </pic:cNvPicPr>
                        </pic:nvPicPr>
                        <pic:blipFill>
                          <a:blip r:embed="rId123"/>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836×300×685mm主材：采用18mm厚橡胶木实木板，甲醛释放量符合GB18580-2017《室内装饰装修材料人造板及其制品中甲醛释放限量》标准要求。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18</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36 </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区域门</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46"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图片 75" descr="IMG_330"/>
                          <pic:cNvPicPr>
                            <a:picLocks noChangeAspect="1"/>
                          </pic:cNvPicPr>
                        </pic:nvPicPr>
                        <pic:blipFill>
                          <a:blip r:embed="rId136"/>
                          <a:stretch>
                            <a:fillRect/>
                          </a:stretch>
                        </pic:blipFill>
                        <pic:spPr>
                          <a:xfrm>
                            <a:off x="0" y="0"/>
                            <a:ext cx="676275" cy="781050"/>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800×324×1540mm主材：框架采用48×22mm橡胶木实木料，边板采用18mm厚橡胶木实木板,甲醛释放量符合GB18580-2017《室内装饰装修材料人造板及其制品中甲醛释放限量》标准要求。造型板采用12mm厚橡胶木饰面多层胶合板，含水率符合GB/T9846-2015《普通胶合板》标准要求，甲醛释放量符合GB18580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2" w:hRule="atLeast"/>
          <w:jc w:val="center"/>
        </w:trPr>
        <w:tc>
          <w:tcPr>
            <w:tcW w:w="3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微软雅黑" w:hAnsi="微软雅黑" w:eastAsia="微软雅黑" w:cs="微软雅黑"/>
                <w:i w:val="0"/>
                <w:iCs w:val="0"/>
                <w:color w:val="000000"/>
                <w:sz w:val="18"/>
                <w:szCs w:val="18"/>
                <w:u w:val="none"/>
                <w:lang w:val="en-US" w:eastAsia="zh-CN"/>
              </w:rPr>
            </w:pPr>
            <w:r>
              <w:rPr>
                <w:rFonts w:hint="eastAsia" w:ascii="微软雅黑" w:hAnsi="微软雅黑" w:eastAsia="微软雅黑" w:cs="微软雅黑"/>
                <w:i w:val="0"/>
                <w:iCs w:val="0"/>
                <w:color w:val="000000"/>
                <w:sz w:val="18"/>
                <w:szCs w:val="18"/>
                <w:u w:val="none"/>
                <w:lang w:val="en-US" w:eastAsia="zh-CN"/>
              </w:rPr>
              <w:t>37</w:t>
            </w:r>
          </w:p>
        </w:tc>
        <w:tc>
          <w:tcPr>
            <w:tcW w:w="5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三层小屋造型柜</w:t>
            </w:r>
          </w:p>
        </w:tc>
        <w:tc>
          <w:tcPr>
            <w:tcW w:w="7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47"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 name="图片 76" descr="IMG_331"/>
                          <pic:cNvPicPr>
                            <a:picLocks noChangeAspect="1"/>
                          </pic:cNvPicPr>
                        </pic:nvPicPr>
                        <pic:blipFill>
                          <a:blip r:embed="rId137"/>
                          <a:stretch>
                            <a:fillRect/>
                          </a:stretch>
                        </pic:blipFill>
                        <pic:spPr>
                          <a:xfrm>
                            <a:off x="0" y="0"/>
                            <a:ext cx="676275" cy="771525"/>
                          </a:xfrm>
                          <a:prstGeom prst="rect">
                            <a:avLst/>
                          </a:prstGeom>
                          <a:noFill/>
                          <a:ln w="9525">
                            <a:noFill/>
                          </a:ln>
                        </pic:spPr>
                      </pic:pic>
                    </a:graphicData>
                  </a:graphic>
                </wp:inline>
              </w:drawing>
            </w:r>
          </w:p>
        </w:tc>
        <w:tc>
          <w:tcPr>
            <w:tcW w:w="2233"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600×300×1170mm主材：采用18mm厚橡胶木实木板，甲醛释放量符合GB18580-2017《室内装饰装修材料人造板及其制品中甲醛释放限量》标准要求。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p>
        </w:tc>
      </w:tr>
    </w:tbl>
    <w:p>
      <w:pPr>
        <w:jc w:val="center"/>
        <w:rPr>
          <w:rFonts w:hint="eastAsia"/>
          <w:b/>
          <w:bCs/>
          <w:sz w:val="32"/>
          <w:szCs w:val="32"/>
        </w:rPr>
      </w:pPr>
    </w:p>
    <w:p>
      <w:pPr>
        <w:jc w:val="center"/>
        <w:rPr>
          <w:rFonts w:hint="eastAsia"/>
          <w:b/>
          <w:bCs/>
          <w:sz w:val="32"/>
          <w:szCs w:val="32"/>
        </w:rPr>
      </w:pPr>
      <w:r>
        <w:rPr>
          <w:rFonts w:hint="eastAsia"/>
          <w:b/>
          <w:bCs/>
          <w:sz w:val="32"/>
          <w:szCs w:val="32"/>
        </w:rPr>
        <w:t>大班教室常规配置</w:t>
      </w:r>
    </w:p>
    <w:tbl>
      <w:tblPr>
        <w:tblStyle w:val="62"/>
        <w:tblW w:w="585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95"/>
        <w:gridCol w:w="1005"/>
        <w:gridCol w:w="1440"/>
        <w:gridCol w:w="4380"/>
        <w:gridCol w:w="690"/>
        <w:gridCol w:w="780"/>
        <w:gridCol w:w="85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5000" w:type="pct"/>
            <w:gridSpan w:val="7"/>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微软雅黑" w:hAnsi="微软雅黑" w:eastAsia="微软雅黑" w:cs="微软雅黑"/>
                <w:b/>
                <w:bCs/>
                <w:i w:val="0"/>
                <w:iCs w:val="0"/>
                <w:color w:val="000000"/>
                <w:kern w:val="0"/>
                <w:sz w:val="18"/>
                <w:szCs w:val="18"/>
                <w:u w:val="none"/>
                <w:lang w:val="en-US" w:eastAsia="zh-CN" w:bidi="ar"/>
              </w:rPr>
            </w:pPr>
            <w:r>
              <w:rPr>
                <w:rFonts w:hint="eastAsia" w:ascii="微软雅黑" w:hAnsi="微软雅黑" w:eastAsia="微软雅黑" w:cs="微软雅黑"/>
                <w:b/>
                <w:bCs/>
                <w:i w:val="0"/>
                <w:iCs w:val="0"/>
                <w:color w:val="000000"/>
                <w:kern w:val="0"/>
                <w:sz w:val="18"/>
                <w:szCs w:val="18"/>
                <w:u w:val="none"/>
                <w:lang w:val="en-US" w:eastAsia="zh-CN" w:bidi="ar"/>
              </w:rPr>
              <w:t>幼儿园（大班6个班）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jc w:val="center"/>
        </w:trPr>
        <w:tc>
          <w:tcPr>
            <w:tcW w:w="5000" w:type="pct"/>
            <w:gridSpan w:val="7"/>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大班按35人配置，6个班，效果图仅供参考，具体以提供的产品清单为准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399" w:type="pc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序号</w:t>
            </w:r>
          </w:p>
        </w:tc>
        <w:tc>
          <w:tcPr>
            <w:tcW w:w="505"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产品名称</w:t>
            </w:r>
          </w:p>
        </w:tc>
        <w:tc>
          <w:tcPr>
            <w:tcW w:w="724"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产品图片</w:t>
            </w:r>
          </w:p>
        </w:tc>
        <w:tc>
          <w:tcPr>
            <w:tcW w:w="2202" w:type="pc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材质参数</w:t>
            </w:r>
          </w:p>
        </w:tc>
        <w:tc>
          <w:tcPr>
            <w:tcW w:w="346" w:type="pc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单位</w:t>
            </w:r>
          </w:p>
        </w:tc>
        <w:tc>
          <w:tcPr>
            <w:tcW w:w="392" w:type="pc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数量</w:t>
            </w:r>
          </w:p>
        </w:tc>
        <w:tc>
          <w:tcPr>
            <w:tcW w:w="429" w:type="pct"/>
            <w:tcBorders>
              <w:top w:val="nil"/>
              <w:left w:val="nil"/>
              <w:bottom w:val="nil"/>
              <w:right w:val="nil"/>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lang w:val="en-US" w:eastAsia="zh-CN"/>
              </w:rPr>
            </w:pPr>
            <w:r>
              <w:rPr>
                <w:rFonts w:hint="eastAsia" w:ascii="微软雅黑" w:hAnsi="微软雅黑" w:eastAsia="微软雅黑" w:cs="微软雅黑"/>
                <w:b/>
                <w:bCs/>
                <w:i w:val="0"/>
                <w:iCs w:val="0"/>
                <w:color w:val="000000"/>
                <w:sz w:val="18"/>
                <w:szCs w:val="18"/>
                <w:u w:val="none"/>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圆腿长方桌(大班）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485775"/>
                  <wp:effectExtent l="0" t="0" r="9525" b="9525"/>
                  <wp:docPr id="348"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图片 77" descr="IMG_332"/>
                          <pic:cNvPicPr>
                            <a:picLocks noChangeAspect="1"/>
                          </pic:cNvPicPr>
                        </pic:nvPicPr>
                        <pic:blipFill>
                          <a:blip r:embed="rId138"/>
                          <a:stretch>
                            <a:fillRect/>
                          </a:stretch>
                        </pic:blipFill>
                        <pic:spPr>
                          <a:xfrm>
                            <a:off x="0" y="0"/>
                            <a:ext cx="676275" cy="48577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 xml:space="preserve">尺寸：1200×600×600mm </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主材：桌面采用25mm厚橡胶木实木板，甲醛释放量符合GB18580-2017《室内装饰装修材料人造板及其制品中甲醛释放限量》标准要求，桌腿采用φ62mm橡胶木实木料。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特有：桌面板边缘斜切后修大圆角,无框架连接档以增加桌面下活动空间。</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张</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36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微软雅黑" w:hAnsi="微软雅黑" w:eastAsia="微软雅黑" w:cs="微软雅黑"/>
                <w:i w:val="0"/>
                <w:iCs w:val="0"/>
                <w:color w:val="auto"/>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圆腿正方桌(大班）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23875"/>
                  <wp:effectExtent l="0" t="0" r="9525" b="9525"/>
                  <wp:docPr id="349"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图片 78" descr="IMG_333"/>
                          <pic:cNvPicPr>
                            <a:picLocks noChangeAspect="1"/>
                          </pic:cNvPicPr>
                        </pic:nvPicPr>
                        <pic:blipFill>
                          <a:blip r:embed="rId139"/>
                          <a:stretch>
                            <a:fillRect/>
                          </a:stretch>
                        </pic:blipFill>
                        <pic:spPr>
                          <a:xfrm>
                            <a:off x="0" y="0"/>
                            <a:ext cx="676275" cy="52387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 xml:space="preserve">尺寸：600×600×600mm </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主材：桌面采用25mm厚橡胶木实木板，甲醛释放量符合GB18580-2017《室内装饰装修材料人造板及其制品中甲醛释放限量》标准要求，桌腿采用φ62mm橡胶木实木料。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特有：桌面板边缘斜切后修大圆角,无框架连接档以增加桌面下活动空间。</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张</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12</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椅子(大班）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476250"/>
                  <wp:effectExtent l="0" t="0" r="9525" b="0"/>
                  <wp:docPr id="350"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图片 79" descr="IMG_334"/>
                          <pic:cNvPicPr>
                            <a:picLocks noChangeAspect="1"/>
                          </pic:cNvPicPr>
                        </pic:nvPicPr>
                        <pic:blipFill>
                          <a:blip r:embed="rId140"/>
                          <a:stretch>
                            <a:fillRect/>
                          </a:stretch>
                        </pic:blipFill>
                        <pic:spPr>
                          <a:xfrm>
                            <a:off x="0" y="0"/>
                            <a:ext cx="676275" cy="4762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尺寸：290×300×530mm，坐高300mm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主材：椅子主构架采用22mm厚橡胶木实心料，坐板采用18mm厚橡胶木实木板，靠板采用16mm厚橡胶木曲形实木板，甲醛释放量符合GB18580-2017《室内装饰装修材料人造板及其制品中甲醛释放限量》标准要求。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特有：靠背呈弧形凹陷设计，贴合幼儿身体曲线，符合人体工程，前腿连接处采用45°斜头拼接，后腿特征呈弧形，美观牢固。</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210</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33"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4</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椅子(教师椅）</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14350"/>
                  <wp:effectExtent l="0" t="0" r="9525" b="0"/>
                  <wp:docPr id="351"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图片 80" descr="IMG_335"/>
                          <pic:cNvPicPr>
                            <a:picLocks noChangeAspect="1"/>
                          </pic:cNvPicPr>
                        </pic:nvPicPr>
                        <pic:blipFill>
                          <a:blip r:embed="rId141"/>
                          <a:stretch>
                            <a:fillRect/>
                          </a:stretch>
                        </pic:blipFill>
                        <pic:spPr>
                          <a:xfrm>
                            <a:off x="0" y="0"/>
                            <a:ext cx="676275" cy="5143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350*350*750mm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材质：橡胶木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坐背板:16mm指接板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椅架：全榫头工艺制作，22×50mm实心脚</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工艺：表面光洁，无裂缝，无毛刺，无锐边，连接牢固、安全。边缘抛圆处理，外表面和内表面以及儿童手指可触及的隐蔽处，均不得有锐利的棱角、毛刺以及小五金部件露出的锐利尖锐。</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油漆：水性漆。</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12</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4"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5</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多功能黑板</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23875"/>
                  <wp:effectExtent l="0" t="0" r="9525" b="9525"/>
                  <wp:docPr id="352"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图片 81" descr="IMG_336"/>
                          <pic:cNvPicPr>
                            <a:picLocks noChangeAspect="1"/>
                          </pic:cNvPicPr>
                        </pic:nvPicPr>
                        <pic:blipFill>
                          <a:blip r:embed="rId142"/>
                          <a:stretch>
                            <a:fillRect/>
                          </a:stretch>
                        </pic:blipFill>
                        <pic:spPr>
                          <a:xfrm>
                            <a:off x="0" y="0"/>
                            <a:ext cx="676275" cy="52387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尺寸：1036×410×1200mm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主材：采用18mm厚橡胶木实木板，甲醛释放量符合GB18580-2017《室内装饰装修材料人造板及其制品中甲醛释放限量》标准要求。美术板采用磁性铁质画板和软木。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脚轮：抗盐雾符合GB28007-2011《儿童家具通用技术条件》标准要求。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4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四层抽拉床</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485775"/>
                  <wp:effectExtent l="0" t="0" r="9525" b="9525"/>
                  <wp:docPr id="353"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图片 82" descr="IMG_337"/>
                          <pic:cNvPicPr>
                            <a:picLocks noChangeAspect="1"/>
                          </pic:cNvPicPr>
                        </pic:nvPicPr>
                        <pic:blipFill>
                          <a:blip r:embed="rId143"/>
                          <a:stretch>
                            <a:fillRect/>
                          </a:stretch>
                        </pic:blipFill>
                        <pic:spPr>
                          <a:xfrm>
                            <a:off x="0" y="0"/>
                            <a:ext cx="676275" cy="48577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尺寸：四层：1500×600×1000mm 三层：1414×600×780mm 二层：1328×600×560mm 一层：1242×600×340mm （可置入床垫尺寸：四层：1444×550mm 三层：1358×550mm 二层：1272×550mm 一层：1186×550mm）主材：床架采用70×28mm厚松木实木料，围栏采用45×28mm厚松木实木料，床板采用12mm厚松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钉：重金属检测符合GB28481-2012《塑料家具中有害物质限量》标准要求。脚轮：抗盐雾符合GB28007-2011《儿童家具通用技术条件》标准要求。工艺：表面光洁，无裂缝，无毛刺，无锐边，连接牢固安全,边缘抛圆处理,安全缝隙和孔洞均符合GB28007-2011儿童家具通用技术条件的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张</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54</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2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7</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组合竖柜</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54"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图片 83" descr="IMG_338"/>
                          <pic:cNvPicPr>
                            <a:picLocks noChangeAspect="1"/>
                          </pic:cNvPicPr>
                        </pic:nvPicPr>
                        <pic:blipFill>
                          <a:blip r:embed="rId144"/>
                          <a:stretch>
                            <a:fillRect/>
                          </a:stretch>
                        </pic:blipFill>
                        <pic:spPr>
                          <a:xfrm>
                            <a:off x="0" y="0"/>
                            <a:ext cx="676275" cy="5048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927×300×778mm主材：采用18mm厚橡胶木实木板，甲醛释放量符合GB18580-2017《室内装饰装修材料人造板及其制品中甲醛释放限量》标准要求。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28"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8</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独立毛巾架</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04825"/>
                  <wp:effectExtent l="0" t="0" r="9525" b="9525"/>
                  <wp:docPr id="355"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图片 84" descr="IMG_339"/>
                          <pic:cNvPicPr>
                            <a:picLocks noChangeAspect="1"/>
                          </pic:cNvPicPr>
                        </pic:nvPicPr>
                        <pic:blipFill>
                          <a:blip r:embed="rId145"/>
                          <a:stretch>
                            <a:fillRect/>
                          </a:stretch>
                        </pic:blipFill>
                        <pic:spPr>
                          <a:xfrm>
                            <a:off x="0" y="0"/>
                            <a:ext cx="676275" cy="5048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尺寸：1100×370×1000mm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主材：采用25mm厚橡胶木实木料。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工艺：表面光洁，无裂缝，无毛刺，无锐边，连接牢固安全,边缘抛圆处理,安全缝隙和孔洞均符合GB28007-2011儿童家具通用技术条件的要求。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科学区</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4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9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集市入口</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56" name="图片 85"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图片 85" descr="IMG_340"/>
                          <pic:cNvPicPr>
                            <a:picLocks noChangeAspect="1"/>
                          </pic:cNvPicPr>
                        </pic:nvPicPr>
                        <pic:blipFill>
                          <a:blip r:embed="rId146"/>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800×300×1167mm主材：采用18mm厚橡胶木实木板，甲醛释放量符合GB18580-2017《室内装饰装修材料人造板及其制品中甲醛释放限量》标准要求。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10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90度弯柜（大班）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57" name="图片 86"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 name="图片 86" descr="IMG_341"/>
                          <pic:cNvPicPr>
                            <a:picLocks noChangeAspect="1"/>
                          </pic:cNvPicPr>
                        </pic:nvPicPr>
                        <pic:blipFill>
                          <a:blip r:embed="rId147"/>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848×300×778mm主材：采用18mm厚橡胶木实木板，甲醛释放量符合GB18580-2017《室内装饰装修材料人造板及其制品中甲醛释放限量》标准要求。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1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11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三层长柜（大班）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71525"/>
                  <wp:effectExtent l="0" t="0" r="9525" b="9525"/>
                  <wp:docPr id="358" name="图片 87"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图片 87" descr="IMG_342"/>
                          <pic:cNvPicPr>
                            <a:picLocks noChangeAspect="1"/>
                          </pic:cNvPicPr>
                        </pic:nvPicPr>
                        <pic:blipFill>
                          <a:blip r:embed="rId148"/>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836×300×778mm主材：采用18mm厚橡胶木实木板，甲醛释放量符合GB18580-2017《室内装饰装修材料人造板及其制品中甲醛释放限量》标准要求。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6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12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五格分区柜</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59" name="图片 88"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 name="图片 88" descr="IMG_343"/>
                          <pic:cNvPicPr>
                            <a:picLocks noChangeAspect="1"/>
                          </pic:cNvPicPr>
                        </pic:nvPicPr>
                        <pic:blipFill>
                          <a:blip r:embed="rId149"/>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836×300×778mm主材：采用18mm厚橡胶木实木板，甲醛释放量符合GB18580-2017《室内装饰装修材料人造板及其制品中甲醛释放限量》标准要求。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建构区</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13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三层小屋造型柜</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60" name="图片 89"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图片 89" descr="IMG_344"/>
                          <pic:cNvPicPr>
                            <a:picLocks noChangeAspect="1"/>
                          </pic:cNvPicPr>
                        </pic:nvPicPr>
                        <pic:blipFill>
                          <a:blip r:embed="rId150"/>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600×300×1170mm主材：采用18mm厚橡胶木实木板，甲醛释放量符合GB18580-2017《室内装饰装修材料人造板及其制品中甲醛释放限量》标准要求。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14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90度弯柜（大班）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61"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图片 90" descr="IMG_345"/>
                          <pic:cNvPicPr>
                            <a:picLocks noChangeAspect="1"/>
                          </pic:cNvPicPr>
                        </pic:nvPicPr>
                        <pic:blipFill>
                          <a:blip r:embed="rId147"/>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848×300×778mm主材：采用18mm厚橡胶木实木板，甲醛释放量符合GB18580-2017《室内装饰装修材料人造板及其制品中甲醛释放限量》标准要求。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3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15</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三层长柜（大班）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71525"/>
                  <wp:effectExtent l="0" t="0" r="9525" b="9525"/>
                  <wp:docPr id="362" name="图片 91"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图片 91" descr="IMG_346"/>
                          <pic:cNvPicPr>
                            <a:picLocks noChangeAspect="1"/>
                          </pic:cNvPicPr>
                        </pic:nvPicPr>
                        <pic:blipFill>
                          <a:blip r:embed="rId148"/>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836×300×778mm主材：采用18mm厚橡胶木实木板，甲醛释放量符合GB18580-2017《室内装饰装修材料人造板及其制品中甲醛释放限量》标准要求。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7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16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组合竖柜</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63" name="图片 92"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图片 92" descr="IMG_347"/>
                          <pic:cNvPicPr>
                            <a:picLocks noChangeAspect="1"/>
                          </pic:cNvPicPr>
                        </pic:nvPicPr>
                        <pic:blipFill>
                          <a:blip r:embed="rId151"/>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927×300×778mm主材：采用18mm厚橡胶木实木板，甲醛释放量符合GB18580-2017《室内装饰装修材料人造板及其制品中甲醛释放限量》标准要求。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12</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绘本区</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17</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双层书柜</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64" name="图片 93"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图片 93" descr="IMG_348"/>
                          <pic:cNvPicPr>
                            <a:picLocks noChangeAspect="1"/>
                          </pic:cNvPicPr>
                        </pic:nvPicPr>
                        <pic:blipFill>
                          <a:blip r:embed="rId152"/>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891×300×778mm主材：采用18mm厚橡胶木实木板，甲醛释放量符合GB18580-2017《室内装饰装修材料人造板及其制品中甲醛释放限量》标准要求。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18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双面多层书柜（装饰）</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65" name="图片 94"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图片 94" descr="IMG_349"/>
                          <pic:cNvPicPr>
                            <a:picLocks noChangeAspect="1"/>
                          </pic:cNvPicPr>
                        </pic:nvPicPr>
                        <pic:blipFill>
                          <a:blip r:embed="rId153"/>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800×300×778mm主材：采用18mm厚橡胶木实木板，甲醛释放量符合GB18580-2017《室内装饰装修材料人造板及其制品中甲醛释放限量》标准要求。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19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小书柜</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66" name="图片 95"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图片 95" descr="IMG_350"/>
                          <pic:cNvPicPr>
                            <a:picLocks noChangeAspect="1"/>
                          </pic:cNvPicPr>
                        </pic:nvPicPr>
                        <pic:blipFill>
                          <a:blip r:embed="rId154"/>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309×300×490mm主材：采用18mm厚橡胶木实木板，甲醛释放量符合GB18580-2017《室内装饰装修材料人造板及其制品中甲醛释放限量》标准要求。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2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20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沙发书柜(含坐垫）</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23875"/>
                  <wp:effectExtent l="0" t="0" r="9525" b="9525"/>
                  <wp:docPr id="367" name="图片 96"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图片 96" descr="IMG_351"/>
                          <pic:cNvPicPr>
                            <a:picLocks noChangeAspect="1"/>
                          </pic:cNvPicPr>
                        </pic:nvPicPr>
                        <pic:blipFill>
                          <a:blip r:embed="rId155"/>
                          <a:stretch>
                            <a:fillRect/>
                          </a:stretch>
                        </pic:blipFill>
                        <pic:spPr>
                          <a:xfrm>
                            <a:off x="0" y="0"/>
                            <a:ext cx="676275" cy="52387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 xml:space="preserve"> 891×420×480mm主材：采用18mm厚橡胶木实木板，甲醛释放量符合GB18580-2017《室内装饰装修材料人造板及其制品中甲醛释放限量》标准要求。垫子采用优质耐磨PU皮，高密度海绵。</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组</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18</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83"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21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可坐式方柜（含坐垫）</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81050"/>
                  <wp:effectExtent l="0" t="0" r="9525" b="0"/>
                  <wp:docPr id="368" name="图片 97"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图片 97" descr="IMG_352"/>
                          <pic:cNvPicPr>
                            <a:picLocks noChangeAspect="1"/>
                          </pic:cNvPicPr>
                        </pic:nvPicPr>
                        <pic:blipFill>
                          <a:blip r:embed="rId156"/>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600×300×254mm主材：采用18mm厚橡胶木实木板，甲醛释放量符合GB18580-2017《室内装饰装修材料人造板及其制品中甲醛释放限量》标准要求。垫子采用优质耐磨PU皮，高密度海绵。</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22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圆腿正方桌(大班）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23875"/>
                  <wp:effectExtent l="0" t="0" r="9525" b="9525"/>
                  <wp:docPr id="369" name="图片 98"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图片 98" descr="IMG_353"/>
                          <pic:cNvPicPr>
                            <a:picLocks noChangeAspect="1"/>
                          </pic:cNvPicPr>
                        </pic:nvPicPr>
                        <pic:blipFill>
                          <a:blip r:embed="rId139"/>
                          <a:stretch>
                            <a:fillRect/>
                          </a:stretch>
                        </pic:blipFill>
                        <pic:spPr>
                          <a:xfrm>
                            <a:off x="0" y="0"/>
                            <a:ext cx="676275" cy="52387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 xml:space="preserve">尺寸：600×600×600mm </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主材：桌面采用25mm厚橡胶木实木板，甲醛释放量符合GB18580-2017《室内装饰装修材料人造板及其制品中甲醛释放限量》标准要求，桌腿采用φ62mm橡胶木实木料。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特有：桌面板边缘斜切后修大圆角,无框架连接档以增加桌面下活动空间。</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张</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扮演区</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23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双面储物售卖台（装饰）</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70" name="图片 99"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图片 99" descr="IMG_354"/>
                          <pic:cNvPicPr>
                            <a:picLocks noChangeAspect="1"/>
                          </pic:cNvPicPr>
                        </pic:nvPicPr>
                        <pic:blipFill>
                          <a:blip r:embed="rId157"/>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891×400×1300mm</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布料：甲醛含量符合GB/T2912.1-2009，燃烧性能（装饰用织物）符合GB/T5455-2014标准要求。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24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90度弯柜（大班）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81050"/>
                  <wp:effectExtent l="0" t="0" r="9525" b="0"/>
                  <wp:docPr id="371" name="图片 100"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图片 100" descr="IMG_355"/>
                          <pic:cNvPicPr>
                            <a:picLocks noChangeAspect="1"/>
                          </pic:cNvPicPr>
                        </pic:nvPicPr>
                        <pic:blipFill>
                          <a:blip r:embed="rId147"/>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848×300×778mm主材：采用18mm厚橡胶木实木板，甲醛释放量符合GB18580-2017《室内装饰装修材料人造板及其制品中甲醛释放限量》标准要求。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5"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25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三层长柜（大班）</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71525"/>
                  <wp:effectExtent l="0" t="0" r="9525" b="9525"/>
                  <wp:docPr id="372" name="图片 101"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图片 101" descr="IMG_356"/>
                          <pic:cNvPicPr>
                            <a:picLocks noChangeAspect="1"/>
                          </pic:cNvPicPr>
                        </pic:nvPicPr>
                        <pic:blipFill>
                          <a:blip r:embed="rId148"/>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836×300×778mm主材：采用18mm厚橡胶木实木板，甲醛释放量符合GB18580-2017《室内装饰装修材料人造板及其制品中甲醛释放限量》标准要求。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8"/>
                <w:szCs w:val="18"/>
                <w:u w:val="none"/>
              </w:rPr>
            </w:pP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美术区</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000000"/>
                <w:sz w:val="18"/>
                <w:szCs w:val="18"/>
                <w:u w:val="none"/>
              </w:rPr>
            </w:pPr>
          </w:p>
        </w:tc>
        <w:tc>
          <w:tcPr>
            <w:tcW w:w="22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微软雅黑" w:hAnsi="微软雅黑" w:eastAsia="微软雅黑" w:cs="微软雅黑"/>
                <w:b/>
                <w:bCs/>
                <w:i w:val="0"/>
                <w:iCs w:val="0"/>
                <w:color w:val="000000"/>
                <w:sz w:val="18"/>
                <w:szCs w:val="18"/>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37"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26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教具盒柜</w:t>
            </w:r>
          </w:p>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（含教具盒 ）</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533400"/>
                  <wp:effectExtent l="0" t="0" r="9525" b="0"/>
                  <wp:docPr id="373" name="图片 102"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 name="图片 102" descr="IMG_357"/>
                          <pic:cNvPicPr>
                            <a:picLocks noChangeAspect="1"/>
                          </pic:cNvPicPr>
                        </pic:nvPicPr>
                        <pic:blipFill>
                          <a:blip r:embed="rId158"/>
                          <a:stretch>
                            <a:fillRect/>
                          </a:stretch>
                        </pic:blipFill>
                        <pic:spPr>
                          <a:xfrm>
                            <a:off x="0" y="0"/>
                            <a:ext cx="676275" cy="53340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尺寸：800×300×845mm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玩具盒：重金属，邻苯二甲酸酯，多环芳烃，多溴联苯，多溴二苯醚符合GB28481-2012《塑料家具中有害物质限量》标准要求。塑料件外观，其他外观，塑料件冷热循环，硬度符合GB/T32487-2016《塑料家具通用技术条件》标准要求。塑料耐老化性符合QB/T4071-2010《课桌椅》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其他：教具盒尺寸小盒260×230×100mm，大盒260×230×180mm，材质聚丙烯。盒子前方自带标签卡槽，并附透明标签挡牌。盒子滑轨采用盒子上端放入式设计，此举即可快速放入取出盒子，又可保证盒子不会在水平方向上滑出柜体。</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4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27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活动美术柜</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74" name="图片 103"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图片 103" descr="IMG_358"/>
                          <pic:cNvPicPr>
                            <a:picLocks noChangeAspect="1"/>
                          </pic:cNvPicPr>
                        </pic:nvPicPr>
                        <pic:blipFill>
                          <a:blip r:embed="rId159"/>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尺寸：1036×336×635mm主材：采用18mm厚橡胶木实木板，甲醛释放量符合GB18580-2017《室内装饰装修材料人造板及其制品中甲醛释放限量》标准要求。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脚轮：抗盐雾符合GB28007-2011《儿童家具通用技术条件》标准要求。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6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28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直角柜</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drawing>
                <wp:inline distT="0" distB="0" distL="114300" distR="114300">
                  <wp:extent cx="676275" cy="771525"/>
                  <wp:effectExtent l="0" t="0" r="9525" b="9525"/>
                  <wp:docPr id="375" name="图片 104"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图片 104" descr="IMG_359"/>
                          <pic:cNvPicPr>
                            <a:picLocks noChangeAspect="1"/>
                          </pic:cNvPicPr>
                        </pic:nvPicPr>
                        <pic:blipFill>
                          <a:blip r:embed="rId160"/>
                          <a:stretch>
                            <a:fillRect/>
                          </a:stretch>
                        </pic:blipFill>
                        <pic:spPr>
                          <a:xfrm>
                            <a:off x="0" y="0"/>
                            <a:ext cx="676275" cy="771525"/>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600×600×592mm主材：采用18mm厚橡胶木实木板，甲醛释放量符合GB18580-2017《室内装饰装修材料人造板及其制品中甲醛释放限量》标准要求。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 xml:space="preserve">29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三层长柜（中班）</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drawing>
                <wp:inline distT="0" distB="0" distL="114300" distR="114300">
                  <wp:extent cx="676275" cy="781050"/>
                  <wp:effectExtent l="0" t="0" r="9525" b="0"/>
                  <wp:docPr id="376" name="图片 105"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图片 105" descr="IMG_360"/>
                          <pic:cNvPicPr>
                            <a:picLocks noChangeAspect="1"/>
                          </pic:cNvPicPr>
                        </pic:nvPicPr>
                        <pic:blipFill>
                          <a:blip r:embed="rId161"/>
                          <a:stretch>
                            <a:fillRect/>
                          </a:stretch>
                        </pic:blipFill>
                        <pic:spPr>
                          <a:xfrm>
                            <a:off x="0" y="0"/>
                            <a:ext cx="676275" cy="781050"/>
                          </a:xfrm>
                          <a:prstGeom prst="rect">
                            <a:avLst/>
                          </a:prstGeom>
                          <a:noFill/>
                          <a:ln w="9525">
                            <a:noFill/>
                          </a:ln>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836×300×685mm主材：采用18mm厚橡胶木实木板，甲醛释放量符合GB18580-2017《室内装饰装修材料人造板及其制品中甲醛释放限量》标准要求。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top"/>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top"/>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6</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FF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18" w:hRule="atLeast"/>
          <w:jc w:val="center"/>
        </w:trPr>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30 </w:t>
            </w:r>
          </w:p>
        </w:tc>
        <w:tc>
          <w:tcPr>
            <w:tcW w:w="5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美术纸筒柜</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lang w:eastAsia="zh-CN"/>
              </w:rPr>
            </w:pPr>
            <w:r>
              <w:rPr>
                <w:rFonts w:hint="eastAsia" w:ascii="微软雅黑" w:hAnsi="微软雅黑" w:eastAsia="微软雅黑" w:cs="微软雅黑"/>
                <w:i w:val="0"/>
                <w:iCs w:val="0"/>
                <w:color w:val="000000"/>
                <w:sz w:val="18"/>
                <w:szCs w:val="18"/>
                <w:u w:val="none"/>
                <w:lang w:eastAsia="zh-CN"/>
              </w:rPr>
              <w:drawing>
                <wp:inline distT="0" distB="0" distL="114300" distR="114300">
                  <wp:extent cx="552450" cy="714375"/>
                  <wp:effectExtent l="0" t="0" r="0" b="9525"/>
                  <wp:docPr id="270" name="图片 270"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图片 270" descr="图片1"/>
                          <pic:cNvPicPr>
                            <a:picLocks noChangeAspect="1"/>
                          </pic:cNvPicPr>
                        </pic:nvPicPr>
                        <pic:blipFill>
                          <a:blip r:embed="rId110"/>
                          <a:stretch>
                            <a:fillRect/>
                          </a:stretch>
                        </pic:blipFill>
                        <pic:spPr>
                          <a:xfrm>
                            <a:off x="0" y="0"/>
                            <a:ext cx="552450" cy="714375"/>
                          </a:xfrm>
                          <a:prstGeom prst="rect">
                            <a:avLst/>
                          </a:prstGeom>
                        </pic:spPr>
                      </pic:pic>
                    </a:graphicData>
                  </a:graphic>
                </wp:inline>
              </w:drawing>
            </w:r>
          </w:p>
        </w:tc>
        <w:tc>
          <w:tcPr>
            <w:tcW w:w="2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 xml:space="preserve">  400× 400× 580mm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1.板材：采用健康环保12mm实木板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2.油漆：采用环保安全水性漆，水性漆经久耐用，不易黄变，耐霉菌性能好，耐人工气候老化，涂层无起泡无剥落，耐黄变性能符合GB/T 23999-2009标准要求，耐霉菌性能符合GB/T 1741-2007标准要求，耐人工气候老化符合GB/T 1865-2009、GB/T 1766-2008标准要求。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3.五金：采用优质环保五金，安全无毒，表面特定元素的迁移符合标准要求，锑、砷、钡、镉、铬、铅、汞、硒等八大重金属含量符合GB6675.4-2014标准要求。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4.脚轮：采用TPR静音万向轮，方便移动，脚轮外观要求符合QB/T4765-2014标准要求。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5.产品：底板离地高度：53mm；  上下格内空尺寸：115*115*390mm.外表面和内表面等儿童手指可触及的隐蔽处，均不得有锋利的锐角、毛刺，五金部件不得露出锐利尖端，产品外角均倒圆处理，以保证儿童的安全，成品表面涂层耐刮、耐热、耐冲击，结构安全稳固。</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6.其它：9格收纳格设计，方便美术成品的统一收纳。  </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18</w:t>
            </w:r>
          </w:p>
        </w:tc>
        <w:tc>
          <w:tcPr>
            <w:tcW w:w="42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hint="eastAsia" w:ascii="微软雅黑" w:hAnsi="微软雅黑" w:eastAsia="微软雅黑" w:cs="微软雅黑"/>
                <w:i w:val="0"/>
                <w:iCs w:val="0"/>
                <w:color w:val="000000"/>
                <w:sz w:val="18"/>
                <w:szCs w:val="18"/>
                <w:u w:val="none"/>
              </w:rPr>
            </w:pPr>
          </w:p>
        </w:tc>
      </w:tr>
    </w:tbl>
    <w:p>
      <w:pPr>
        <w:jc w:val="center"/>
        <w:rPr>
          <w:rFonts w:hint="eastAsia"/>
          <w:b/>
          <w:bCs/>
          <w:sz w:val="32"/>
          <w:szCs w:val="32"/>
        </w:rPr>
      </w:pPr>
    </w:p>
    <w:p>
      <w:pPr>
        <w:jc w:val="center"/>
        <w:rPr>
          <w:rFonts w:hint="eastAsia"/>
          <w:b/>
          <w:bCs/>
          <w:sz w:val="32"/>
          <w:szCs w:val="32"/>
        </w:rPr>
      </w:pPr>
    </w:p>
    <w:p>
      <w:pPr>
        <w:jc w:val="center"/>
        <w:rPr>
          <w:rFonts w:hint="eastAsia"/>
          <w:b/>
          <w:bCs/>
          <w:sz w:val="32"/>
          <w:szCs w:val="32"/>
        </w:rPr>
      </w:pPr>
    </w:p>
    <w:p>
      <w:pPr>
        <w:jc w:val="center"/>
        <w:rPr>
          <w:rFonts w:hint="default" w:eastAsiaTheme="minorEastAsia"/>
          <w:b/>
          <w:bCs/>
          <w:sz w:val="32"/>
          <w:szCs w:val="32"/>
          <w:lang w:val="en-US" w:eastAsia="zh-CN"/>
        </w:rPr>
      </w:pPr>
      <w:r>
        <w:rPr>
          <w:rFonts w:hint="eastAsia"/>
          <w:b/>
          <w:bCs/>
          <w:sz w:val="32"/>
          <w:szCs w:val="32"/>
        </w:rPr>
        <w:t>储物柜</w:t>
      </w:r>
      <w:r>
        <w:rPr>
          <w:rFonts w:hint="eastAsia"/>
          <w:b/>
          <w:bCs/>
          <w:sz w:val="32"/>
          <w:szCs w:val="32"/>
          <w:lang w:eastAsia="zh-CN"/>
        </w:rPr>
        <w:t>、</w:t>
      </w:r>
      <w:r>
        <w:rPr>
          <w:rFonts w:hint="eastAsia"/>
          <w:b/>
          <w:bCs/>
          <w:sz w:val="32"/>
          <w:szCs w:val="32"/>
          <w:lang w:val="en-US" w:eastAsia="zh-CN"/>
        </w:rPr>
        <w:t>洗手台</w:t>
      </w:r>
    </w:p>
    <w:tbl>
      <w:tblPr>
        <w:tblStyle w:val="62"/>
        <w:tblW w:w="6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35"/>
        <w:gridCol w:w="2115"/>
        <w:gridCol w:w="1172"/>
        <w:gridCol w:w="4222"/>
        <w:gridCol w:w="837"/>
        <w:gridCol w:w="9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6" w:hRule="atLeast"/>
          <w:jc w:val="center"/>
        </w:trPr>
        <w:tc>
          <w:tcPr>
            <w:tcW w:w="4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FF"/>
                <w:sz w:val="20"/>
                <w:szCs w:val="20"/>
                <w:u w:val="none"/>
                <w:lang w:val="en-US" w:eastAsia="zh-CN"/>
              </w:rPr>
            </w:pPr>
            <w:r>
              <w:rPr>
                <w:rFonts w:hint="eastAsia" w:ascii="宋体" w:hAnsi="宋体" w:eastAsia="宋体" w:cs="宋体"/>
                <w:b/>
                <w:bCs/>
                <w:i w:val="0"/>
                <w:iCs w:val="0"/>
                <w:color w:val="auto"/>
                <w:sz w:val="20"/>
                <w:szCs w:val="20"/>
                <w:u w:val="none"/>
                <w:lang w:val="en-US" w:eastAsia="zh-CN"/>
              </w:rPr>
              <w:t>序号</w:t>
            </w:r>
          </w:p>
        </w:tc>
        <w:tc>
          <w:tcPr>
            <w:tcW w:w="10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 xml:space="preserve">工程项目或费用名称 </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图片</w:t>
            </w:r>
          </w:p>
        </w:tc>
        <w:tc>
          <w:tcPr>
            <w:tcW w:w="20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参数</w:t>
            </w:r>
          </w:p>
        </w:tc>
        <w:tc>
          <w:tcPr>
            <w:tcW w:w="4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单位</w:t>
            </w:r>
          </w:p>
        </w:tc>
        <w:tc>
          <w:tcPr>
            <w:tcW w:w="4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个数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60" w:hRule="atLeast"/>
          <w:jc w:val="center"/>
        </w:trPr>
        <w:tc>
          <w:tcPr>
            <w:tcW w:w="4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1</w:t>
            </w:r>
          </w:p>
        </w:tc>
        <w:tc>
          <w:tcPr>
            <w:tcW w:w="21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微软雅黑" w:hAnsi="微软雅黑" w:eastAsia="微软雅黑" w:cs="微软雅黑"/>
                <w:i w:val="0"/>
                <w:iCs w:val="0"/>
                <w:color w:val="000000"/>
                <w:kern w:val="0"/>
                <w:sz w:val="18"/>
                <w:szCs w:val="18"/>
                <w:u w:val="none"/>
                <w:lang w:val="en-US" w:eastAsia="zh-CN" w:bidi="ar"/>
              </w:rPr>
              <w:t xml:space="preserve">地柜4.6*0.8*0.6m +吊柜4.6*0.65*0.45m  边柜 1.6*0.8*0.6m </w:t>
            </w:r>
            <w:r>
              <w:rPr>
                <w:rFonts w:hint="eastAsia"/>
                <w:lang w:val="en-US" w:eastAsia="zh-CN"/>
              </w:rPr>
              <w:t xml:space="preserve">   </w:t>
            </w:r>
            <w:r>
              <w:rPr>
                <w:rFonts w:hint="eastAsia" w:ascii="宋体" w:hAnsi="宋体" w:eastAsia="宋体" w:cs="宋体"/>
                <w:b w:val="0"/>
                <w:bCs w:val="0"/>
                <w:i w:val="0"/>
                <w:iCs w:val="0"/>
                <w:color w:val="000000"/>
                <w:kern w:val="0"/>
                <w:sz w:val="20"/>
                <w:szCs w:val="20"/>
                <w:u w:val="none"/>
                <w:lang w:val="en-US" w:eastAsia="zh-CN" w:bidi="ar"/>
              </w:rPr>
              <w:t xml:space="preserve">   </w:t>
            </w:r>
          </w:p>
        </w:tc>
        <w:tc>
          <w:tcPr>
            <w:tcW w:w="1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FF00FF"/>
                <w:sz w:val="20"/>
                <w:szCs w:val="20"/>
                <w:u w:val="none"/>
              </w:rPr>
            </w:pPr>
            <w:r>
              <w:rPr>
                <w:rFonts w:hint="eastAsia" w:ascii="宋体" w:hAnsi="宋体" w:eastAsia="宋体" w:cs="宋体"/>
                <w:b w:val="0"/>
                <w:bCs w:val="0"/>
                <w:i w:val="0"/>
                <w:iCs w:val="0"/>
                <w:color w:val="FF00FF"/>
                <w:kern w:val="0"/>
                <w:sz w:val="20"/>
                <w:szCs w:val="20"/>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6985</wp:posOffset>
                  </wp:positionH>
                  <wp:positionV relativeFrom="paragraph">
                    <wp:posOffset>295275</wp:posOffset>
                  </wp:positionV>
                  <wp:extent cx="624205" cy="762000"/>
                  <wp:effectExtent l="0" t="0" r="4445" b="0"/>
                  <wp:wrapNone/>
                  <wp:docPr id="81" name="图片_3"/>
                  <wp:cNvGraphicFramePr/>
                  <a:graphic xmlns:a="http://schemas.openxmlformats.org/drawingml/2006/main">
                    <a:graphicData uri="http://schemas.openxmlformats.org/drawingml/2006/picture">
                      <pic:pic xmlns:pic="http://schemas.openxmlformats.org/drawingml/2006/picture">
                        <pic:nvPicPr>
                          <pic:cNvPr id="81" name="图片_3"/>
                          <pic:cNvPicPr/>
                        </pic:nvPicPr>
                        <pic:blipFill>
                          <a:blip r:embed="rId162"/>
                          <a:stretch>
                            <a:fillRect/>
                          </a:stretch>
                        </pic:blipFill>
                        <pic:spPr>
                          <a:xfrm>
                            <a:off x="0" y="0"/>
                            <a:ext cx="624205" cy="762000"/>
                          </a:xfrm>
                          <a:prstGeom prst="rect">
                            <a:avLst/>
                          </a:prstGeom>
                          <a:noFill/>
                          <a:ln>
                            <a:noFill/>
                          </a:ln>
                        </pic:spPr>
                      </pic:pic>
                    </a:graphicData>
                  </a:graphic>
                </wp:anchor>
              </w:drawing>
            </w:r>
          </w:p>
        </w:tc>
        <w:tc>
          <w:tcPr>
            <w:tcW w:w="42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b w:val="0"/>
                <w:bCs w:val="0"/>
                <w:i w:val="0"/>
                <w:iCs w:val="0"/>
                <w:color w:val="000000"/>
                <w:kern w:val="0"/>
                <w:sz w:val="20"/>
                <w:szCs w:val="20"/>
                <w:u w:val="none"/>
                <w:lang w:val="en-US" w:eastAsia="zh-CN" w:bidi="ar"/>
              </w:rPr>
            </w:pPr>
            <w:r>
              <w:rPr>
                <w:rFonts w:hint="eastAsia" w:ascii="宋体" w:hAnsi="宋体" w:eastAsia="宋体" w:cs="宋体"/>
                <w:b w:val="0"/>
                <w:bCs w:val="0"/>
                <w:i w:val="0"/>
                <w:iCs w:val="0"/>
                <w:color w:val="000000"/>
                <w:kern w:val="0"/>
                <w:sz w:val="20"/>
                <w:szCs w:val="20"/>
                <w:u w:val="none"/>
                <w:lang w:val="en-US" w:eastAsia="zh-CN" w:bidi="ar"/>
              </w:rPr>
              <w:t xml:space="preserve">规格：地柜4.6*0.8*0.6m  +吊柜4.6*0.65*0.45m                           柜体材质：多层实木免漆板；                           门板材质：多层实木PET板；                         台面材质：高端石英石；                           五金材质：不锈钢；                           </w:t>
            </w:r>
          </w:p>
        </w:tc>
        <w:tc>
          <w:tcPr>
            <w:tcW w:w="8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新宋体" w:hAnsi="新宋体" w:eastAsia="新宋体" w:cs="新宋体"/>
                <w:b w:val="0"/>
                <w:bCs w:val="0"/>
                <w:i w:val="0"/>
                <w:iCs w:val="0"/>
                <w:color w:val="000000"/>
                <w:sz w:val="20"/>
                <w:szCs w:val="20"/>
                <w:u w:val="none"/>
              </w:rPr>
            </w:pPr>
            <w:r>
              <w:rPr>
                <w:rFonts w:hint="eastAsia" w:ascii="新宋体" w:hAnsi="新宋体" w:eastAsia="新宋体" w:cs="新宋体"/>
                <w:b w:val="0"/>
                <w:bCs w:val="0"/>
                <w:i w:val="0"/>
                <w:iCs w:val="0"/>
                <w:color w:val="000000"/>
                <w:kern w:val="0"/>
                <w:sz w:val="20"/>
                <w:szCs w:val="20"/>
                <w:u w:val="none"/>
                <w:lang w:val="en-US" w:eastAsia="zh-CN" w:bidi="ar"/>
              </w:rPr>
              <w:t>组</w:t>
            </w:r>
          </w:p>
        </w:tc>
        <w:tc>
          <w:tcPr>
            <w:tcW w:w="9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b w:val="0"/>
                <w:bCs w:val="0"/>
                <w:i w:val="0"/>
                <w:iCs w:val="0"/>
                <w:color w:val="000000"/>
                <w:sz w:val="20"/>
                <w:szCs w:val="20"/>
                <w:u w:val="none"/>
              </w:rPr>
            </w:pPr>
            <w:r>
              <w:rPr>
                <w:rFonts w:hint="eastAsia" w:ascii="新宋体" w:hAnsi="新宋体" w:eastAsia="新宋体" w:cs="新宋体"/>
                <w:b w:val="0"/>
                <w:bCs w:val="0"/>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4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2</w:t>
            </w:r>
          </w:p>
        </w:tc>
        <w:tc>
          <w:tcPr>
            <w:tcW w:w="21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微软雅黑" w:hAnsi="微软雅黑" w:eastAsia="微软雅黑" w:cs="微软雅黑"/>
                <w:i w:val="0"/>
                <w:iCs w:val="0"/>
                <w:color w:val="000000"/>
                <w:kern w:val="0"/>
                <w:sz w:val="18"/>
                <w:szCs w:val="18"/>
                <w:u w:val="none"/>
                <w:lang w:val="en-US" w:eastAsia="zh-CN" w:bidi="ar"/>
              </w:rPr>
              <w:t xml:space="preserve">地柜4.6*0.8*0.6m +吊柜4.6*0.65*0.45m  边柜 1.6*0.8*0.6m </w:t>
            </w:r>
            <w:r>
              <w:rPr>
                <w:rFonts w:hint="eastAsia"/>
                <w:lang w:val="en-US" w:eastAsia="zh-CN"/>
              </w:rPr>
              <w:t xml:space="preserve">   </w:t>
            </w:r>
            <w:r>
              <w:rPr>
                <w:rFonts w:hint="eastAsia" w:ascii="宋体" w:hAnsi="宋体" w:eastAsia="宋体" w:cs="宋体"/>
                <w:b w:val="0"/>
                <w:bCs w:val="0"/>
                <w:i w:val="0"/>
                <w:iCs w:val="0"/>
                <w:color w:val="000000"/>
                <w:kern w:val="0"/>
                <w:sz w:val="20"/>
                <w:szCs w:val="20"/>
                <w:u w:val="none"/>
                <w:lang w:val="en-US" w:eastAsia="zh-CN" w:bidi="ar"/>
              </w:rPr>
              <w:t xml:space="preserve">    </w:t>
            </w:r>
          </w:p>
        </w:tc>
        <w:tc>
          <w:tcPr>
            <w:tcW w:w="1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FF00FF"/>
                <w:sz w:val="20"/>
                <w:szCs w:val="20"/>
                <w:u w:val="none"/>
              </w:rPr>
            </w:pPr>
            <w:r>
              <w:rPr>
                <w:rFonts w:hint="eastAsia" w:ascii="宋体" w:hAnsi="宋体" w:eastAsia="宋体" w:cs="宋体"/>
                <w:b w:val="0"/>
                <w:bCs w:val="0"/>
                <w:i w:val="0"/>
                <w:iCs w:val="0"/>
                <w:color w:val="FF00FF"/>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18415</wp:posOffset>
                  </wp:positionH>
                  <wp:positionV relativeFrom="paragraph">
                    <wp:posOffset>128905</wp:posOffset>
                  </wp:positionV>
                  <wp:extent cx="560070" cy="712470"/>
                  <wp:effectExtent l="0" t="0" r="11430" b="11430"/>
                  <wp:wrapNone/>
                  <wp:docPr id="222" name="图片_1"/>
                  <wp:cNvGraphicFramePr/>
                  <a:graphic xmlns:a="http://schemas.openxmlformats.org/drawingml/2006/main">
                    <a:graphicData uri="http://schemas.openxmlformats.org/drawingml/2006/picture">
                      <pic:pic xmlns:pic="http://schemas.openxmlformats.org/drawingml/2006/picture">
                        <pic:nvPicPr>
                          <pic:cNvPr id="222" name="图片_1"/>
                          <pic:cNvPicPr/>
                        </pic:nvPicPr>
                        <pic:blipFill>
                          <a:blip r:embed="rId163"/>
                          <a:stretch>
                            <a:fillRect/>
                          </a:stretch>
                        </pic:blipFill>
                        <pic:spPr>
                          <a:xfrm>
                            <a:off x="0" y="0"/>
                            <a:ext cx="560070" cy="712470"/>
                          </a:xfrm>
                          <a:prstGeom prst="rect">
                            <a:avLst/>
                          </a:prstGeom>
                          <a:noFill/>
                          <a:ln>
                            <a:noFill/>
                          </a:ln>
                        </pic:spPr>
                      </pic:pic>
                    </a:graphicData>
                  </a:graphic>
                </wp:anchor>
              </w:drawing>
            </w:r>
          </w:p>
        </w:tc>
        <w:tc>
          <w:tcPr>
            <w:tcW w:w="42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0"/>
                <w:szCs w:val="20"/>
                <w:u w:val="none"/>
                <w:lang w:val="en-US" w:eastAsia="zh-CN" w:bidi="ar"/>
              </w:rPr>
            </w:pPr>
            <w:r>
              <w:rPr>
                <w:rFonts w:hint="eastAsia" w:ascii="宋体" w:hAnsi="宋体" w:eastAsia="宋体" w:cs="宋体"/>
                <w:b w:val="0"/>
                <w:bCs w:val="0"/>
                <w:i w:val="0"/>
                <w:iCs w:val="0"/>
                <w:color w:val="000000"/>
                <w:kern w:val="0"/>
                <w:sz w:val="20"/>
                <w:szCs w:val="20"/>
                <w:u w:val="none"/>
                <w:lang w:val="en-US" w:eastAsia="zh-CN" w:bidi="ar"/>
              </w:rPr>
              <w:t xml:space="preserve">规格：地柜4.6*0.8*0.6m  +吊柜4.6*0.65*0.45m                           柜体材质：多层实木免漆板；                           门板材质：多层实木PET板；                       台面材质：高端石英石；                           五金材质：不锈钢；                           </w:t>
            </w:r>
          </w:p>
        </w:tc>
        <w:tc>
          <w:tcPr>
            <w:tcW w:w="8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新宋体" w:hAnsi="新宋体" w:eastAsia="新宋体" w:cs="新宋体"/>
                <w:b w:val="0"/>
                <w:bCs w:val="0"/>
                <w:i w:val="0"/>
                <w:iCs w:val="0"/>
                <w:color w:val="000000"/>
                <w:sz w:val="20"/>
                <w:szCs w:val="20"/>
                <w:u w:val="none"/>
              </w:rPr>
            </w:pPr>
            <w:r>
              <w:rPr>
                <w:rFonts w:hint="eastAsia" w:ascii="新宋体" w:hAnsi="新宋体" w:eastAsia="新宋体" w:cs="新宋体"/>
                <w:b w:val="0"/>
                <w:bCs w:val="0"/>
                <w:i w:val="0"/>
                <w:iCs w:val="0"/>
                <w:color w:val="000000"/>
                <w:kern w:val="0"/>
                <w:sz w:val="20"/>
                <w:szCs w:val="20"/>
                <w:u w:val="none"/>
                <w:lang w:val="en-US" w:eastAsia="zh-CN" w:bidi="ar"/>
              </w:rPr>
              <w:t>组</w:t>
            </w:r>
          </w:p>
        </w:tc>
        <w:tc>
          <w:tcPr>
            <w:tcW w:w="9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b w:val="0"/>
                <w:bCs w:val="0"/>
                <w:i w:val="0"/>
                <w:iCs w:val="0"/>
                <w:color w:val="000000"/>
                <w:sz w:val="20"/>
                <w:szCs w:val="20"/>
                <w:u w:val="none"/>
              </w:rPr>
            </w:pPr>
            <w:r>
              <w:rPr>
                <w:rFonts w:hint="eastAsia" w:ascii="新宋体" w:hAnsi="新宋体" w:eastAsia="新宋体" w:cs="新宋体"/>
                <w:b w:val="0"/>
                <w:bCs w:val="0"/>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30" w:hRule="atLeast"/>
          <w:jc w:val="center"/>
        </w:trPr>
        <w:tc>
          <w:tcPr>
            <w:tcW w:w="4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3</w:t>
            </w:r>
          </w:p>
        </w:tc>
        <w:tc>
          <w:tcPr>
            <w:tcW w:w="21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微软雅黑" w:hAnsi="微软雅黑" w:eastAsia="微软雅黑" w:cs="微软雅黑"/>
                <w:i w:val="0"/>
                <w:iCs w:val="0"/>
                <w:color w:val="000000"/>
                <w:kern w:val="0"/>
                <w:sz w:val="18"/>
                <w:szCs w:val="18"/>
                <w:u w:val="none"/>
                <w:lang w:val="en-US" w:eastAsia="zh-CN" w:bidi="ar"/>
              </w:rPr>
              <w:t xml:space="preserve">地柜4.6*0.8*0.6m +吊柜4.6*0.65*0.45m  边柜 1.6*0.8*0.6m </w:t>
            </w:r>
            <w:r>
              <w:rPr>
                <w:rFonts w:hint="eastAsia"/>
                <w:lang w:val="en-US" w:eastAsia="zh-CN"/>
              </w:rPr>
              <w:t xml:space="preserve">   </w:t>
            </w:r>
          </w:p>
        </w:tc>
        <w:tc>
          <w:tcPr>
            <w:tcW w:w="1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val="0"/>
                <w:bCs w:val="0"/>
                <w:i w:val="0"/>
                <w:iCs w:val="0"/>
                <w:color w:val="FF00FF"/>
                <w:sz w:val="20"/>
                <w:szCs w:val="20"/>
                <w:u w:val="none"/>
              </w:rPr>
            </w:pPr>
            <w:r>
              <w:rPr>
                <w:rFonts w:hint="eastAsia" w:ascii="宋体" w:hAnsi="宋体" w:eastAsia="宋体" w:cs="宋体"/>
                <w:b w:val="0"/>
                <w:bCs w:val="0"/>
                <w:i w:val="0"/>
                <w:iCs w:val="0"/>
                <w:color w:val="FF00FF"/>
                <w:kern w:val="0"/>
                <w:sz w:val="20"/>
                <w:szCs w:val="20"/>
                <w:u w:val="none"/>
                <w:bdr w:val="single" w:color="000000" w:sz="4" w:space="0"/>
                <w:lang w:val="en-US" w:eastAsia="zh-CN" w:bidi="ar"/>
              </w:rPr>
              <w:drawing>
                <wp:anchor distT="0" distB="0" distL="114300" distR="114300" simplePos="0" relativeHeight="251667456" behindDoc="0" locked="0" layoutInCell="1" allowOverlap="1">
                  <wp:simplePos x="0" y="0"/>
                  <wp:positionH relativeFrom="column">
                    <wp:posOffset>36830</wp:posOffset>
                  </wp:positionH>
                  <wp:positionV relativeFrom="paragraph">
                    <wp:posOffset>212725</wp:posOffset>
                  </wp:positionV>
                  <wp:extent cx="517525" cy="728345"/>
                  <wp:effectExtent l="0" t="0" r="15875" b="14605"/>
                  <wp:wrapNone/>
                  <wp:docPr id="259" name="图片_2"/>
                  <wp:cNvGraphicFramePr/>
                  <a:graphic xmlns:a="http://schemas.openxmlformats.org/drawingml/2006/main">
                    <a:graphicData uri="http://schemas.openxmlformats.org/drawingml/2006/picture">
                      <pic:pic xmlns:pic="http://schemas.openxmlformats.org/drawingml/2006/picture">
                        <pic:nvPicPr>
                          <pic:cNvPr id="259" name="图片_2"/>
                          <pic:cNvPicPr/>
                        </pic:nvPicPr>
                        <pic:blipFill>
                          <a:blip r:embed="rId164"/>
                          <a:stretch>
                            <a:fillRect/>
                          </a:stretch>
                        </pic:blipFill>
                        <pic:spPr>
                          <a:xfrm>
                            <a:off x="0" y="0"/>
                            <a:ext cx="517525" cy="728345"/>
                          </a:xfrm>
                          <a:prstGeom prst="rect">
                            <a:avLst/>
                          </a:prstGeom>
                          <a:noFill/>
                          <a:ln>
                            <a:noFill/>
                          </a:ln>
                        </pic:spPr>
                      </pic:pic>
                    </a:graphicData>
                  </a:graphic>
                </wp:anchor>
              </w:drawing>
            </w:r>
          </w:p>
        </w:tc>
        <w:tc>
          <w:tcPr>
            <w:tcW w:w="42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b w:val="0"/>
                <w:bCs w:val="0"/>
                <w:i w:val="0"/>
                <w:iCs w:val="0"/>
                <w:color w:val="000000"/>
                <w:kern w:val="0"/>
                <w:sz w:val="20"/>
                <w:szCs w:val="20"/>
                <w:u w:val="none"/>
                <w:lang w:val="en-US" w:eastAsia="zh-CN" w:bidi="ar"/>
              </w:rPr>
            </w:pPr>
            <w:r>
              <w:rPr>
                <w:rFonts w:hint="eastAsia" w:ascii="宋体" w:hAnsi="宋体" w:eastAsia="宋体" w:cs="宋体"/>
                <w:b w:val="0"/>
                <w:bCs w:val="0"/>
                <w:i w:val="0"/>
                <w:iCs w:val="0"/>
                <w:color w:val="000000"/>
                <w:kern w:val="0"/>
                <w:sz w:val="20"/>
                <w:szCs w:val="20"/>
                <w:u w:val="none"/>
                <w:lang w:val="en-US" w:eastAsia="zh-CN" w:bidi="ar"/>
              </w:rPr>
              <w:t xml:space="preserve">规格：地柜4.6*0.8*0.6m  +吊柜4.6*0.65*0.45m  边柜 1.6*0.8*0.6m                                       柜体材质：多层实木免漆板；                           门板材质：多层实木PET板；                         台面材质：高端石英石；                           五金材质：不锈钢；                           </w:t>
            </w:r>
          </w:p>
        </w:tc>
        <w:tc>
          <w:tcPr>
            <w:tcW w:w="8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新宋体" w:hAnsi="新宋体" w:eastAsia="新宋体" w:cs="新宋体"/>
                <w:b w:val="0"/>
                <w:bCs w:val="0"/>
                <w:i w:val="0"/>
                <w:iCs w:val="0"/>
                <w:color w:val="000000"/>
                <w:sz w:val="20"/>
                <w:szCs w:val="20"/>
                <w:u w:val="none"/>
              </w:rPr>
            </w:pPr>
            <w:r>
              <w:rPr>
                <w:rFonts w:hint="eastAsia" w:ascii="新宋体" w:hAnsi="新宋体" w:eastAsia="新宋体" w:cs="新宋体"/>
                <w:b w:val="0"/>
                <w:bCs w:val="0"/>
                <w:i w:val="0"/>
                <w:iCs w:val="0"/>
                <w:color w:val="000000"/>
                <w:kern w:val="0"/>
                <w:sz w:val="20"/>
                <w:szCs w:val="20"/>
                <w:u w:val="none"/>
                <w:lang w:val="en-US" w:eastAsia="zh-CN" w:bidi="ar"/>
              </w:rPr>
              <w:t>组</w:t>
            </w:r>
          </w:p>
        </w:tc>
        <w:tc>
          <w:tcPr>
            <w:tcW w:w="9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b w:val="0"/>
                <w:bCs w:val="0"/>
                <w:i w:val="0"/>
                <w:iCs w:val="0"/>
                <w:color w:val="000000"/>
                <w:sz w:val="20"/>
                <w:szCs w:val="20"/>
                <w:u w:val="none"/>
              </w:rPr>
            </w:pPr>
            <w:r>
              <w:rPr>
                <w:rFonts w:hint="eastAsia" w:ascii="新宋体" w:hAnsi="新宋体" w:eastAsia="新宋体" w:cs="新宋体"/>
                <w:b w:val="0"/>
                <w:bCs w:val="0"/>
                <w:i w:val="0"/>
                <w:iCs w:val="0"/>
                <w:color w:val="000000"/>
                <w:kern w:val="0"/>
                <w:sz w:val="20"/>
                <w:szCs w:val="20"/>
                <w:u w:val="none"/>
                <w:lang w:val="en-US" w:eastAsia="zh-CN" w:bidi="ar"/>
              </w:rPr>
              <w:t>6</w:t>
            </w:r>
          </w:p>
        </w:tc>
      </w:tr>
    </w:tbl>
    <w:p>
      <w:pPr>
        <w:spacing w:line="360" w:lineRule="auto"/>
        <w:jc w:val="left"/>
        <w:rPr>
          <w:rFonts w:hint="eastAsia" w:ascii="仿宋" w:hAnsi="仿宋" w:eastAsia="仿宋" w:cs="仿宋"/>
          <w:b/>
          <w:sz w:val="24"/>
        </w:rPr>
      </w:pPr>
    </w:p>
    <w:p>
      <w:pPr>
        <w:spacing w:line="360" w:lineRule="auto"/>
        <w:jc w:val="left"/>
        <w:rPr>
          <w:rFonts w:hint="eastAsia" w:ascii="仿宋" w:hAnsi="仿宋" w:eastAsia="仿宋" w:cs="仿宋"/>
          <w:b/>
          <w:sz w:val="24"/>
        </w:rPr>
      </w:pPr>
      <w:r>
        <w:rPr>
          <w:rFonts w:hint="eastAsia" w:ascii="仿宋" w:hAnsi="仿宋" w:eastAsia="仿宋" w:cs="仿宋"/>
          <w:b/>
          <w:sz w:val="24"/>
        </w:rPr>
        <w:t>注：1、招标人</w:t>
      </w:r>
      <w:r>
        <w:rPr>
          <w:rFonts w:hint="eastAsia" w:ascii="仿宋" w:hAnsi="仿宋" w:eastAsia="仿宋" w:cs="仿宋"/>
          <w:b/>
          <w:sz w:val="24"/>
          <w:lang w:eastAsia="zh-CN"/>
        </w:rPr>
        <w:t>符合</w:t>
      </w:r>
      <w:r>
        <w:rPr>
          <w:rFonts w:hint="eastAsia" w:ascii="仿宋" w:hAnsi="仿宋" w:eastAsia="仿宋" w:cs="仿宋"/>
          <w:b/>
          <w:sz w:val="24"/>
        </w:rPr>
        <w:t>的图片为参考式样和颜色，投标人请</w:t>
      </w:r>
      <w:r>
        <w:rPr>
          <w:rFonts w:hint="eastAsia" w:ascii="仿宋" w:hAnsi="仿宋" w:eastAsia="仿宋" w:cs="仿宋"/>
          <w:b/>
          <w:sz w:val="24"/>
          <w:lang w:eastAsia="zh-CN"/>
        </w:rPr>
        <w:t>符合</w:t>
      </w:r>
      <w:r>
        <w:rPr>
          <w:rFonts w:hint="eastAsia" w:ascii="仿宋" w:hAnsi="仿宋" w:eastAsia="仿宋" w:cs="仿宋"/>
          <w:b/>
          <w:sz w:val="24"/>
        </w:rPr>
        <w:t>所投产品的图片。</w:t>
      </w:r>
    </w:p>
    <w:p>
      <w:pPr>
        <w:jc w:val="left"/>
        <w:rPr>
          <w:rFonts w:hint="default" w:ascii="仿宋" w:hAnsi="仿宋" w:eastAsia="仿宋" w:cs="仿宋"/>
          <w:b/>
          <w:sz w:val="24"/>
          <w:szCs w:val="24"/>
          <w:highlight w:val="none"/>
          <w:lang w:val="en-US" w:eastAsia="zh-CN"/>
        </w:rPr>
      </w:pPr>
      <w:r>
        <w:rPr>
          <w:rFonts w:hint="eastAsia" w:ascii="仿宋" w:hAnsi="仿宋" w:eastAsia="仿宋" w:cs="仿宋"/>
          <w:b/>
          <w:sz w:val="24"/>
        </w:rPr>
        <w:t>投标人所投设备货物的技术参数不应低于本项目的技术要求和档次。上述技术要求如出现某类品牌型号特有的技术指标或性能，则供投标人参考,不作为实质性响应条</w:t>
      </w:r>
      <w:r>
        <w:rPr>
          <w:rFonts w:hint="eastAsia" w:ascii="仿宋" w:hAnsi="仿宋" w:eastAsia="仿宋" w:cs="仿宋"/>
          <w:b/>
          <w:sz w:val="24"/>
          <w:highlight w:val="none"/>
        </w:rPr>
        <w:t>款</w:t>
      </w:r>
      <w:r>
        <w:rPr>
          <w:rFonts w:hint="eastAsia" w:ascii="仿宋" w:hAnsi="仿宋" w:eastAsia="仿宋" w:cs="仿宋"/>
          <w:b/>
          <w:sz w:val="24"/>
          <w:highlight w:val="none"/>
          <w:lang w:eastAsia="zh-CN"/>
        </w:rPr>
        <w:t>。</w:t>
      </w:r>
      <w:r>
        <w:rPr>
          <w:rFonts w:hint="eastAsia" w:ascii="仿宋" w:hAnsi="仿宋" w:eastAsia="仿宋" w:cs="仿宋"/>
          <w:b/>
          <w:sz w:val="24"/>
          <w:highlight w:val="none"/>
          <w:lang w:val="en-US" w:eastAsia="zh-CN"/>
        </w:rPr>
        <w:t>3、</w:t>
      </w:r>
      <w:r>
        <w:rPr>
          <w:rFonts w:hint="eastAsia" w:ascii="仿宋" w:hAnsi="仿宋" w:eastAsia="仿宋" w:cs="仿宋"/>
          <w:b/>
          <w:bCs/>
          <w:sz w:val="24"/>
          <w:szCs w:val="24"/>
          <w:highlight w:val="none"/>
        </w:rPr>
        <w:t>储物柜</w:t>
      </w:r>
      <w:r>
        <w:rPr>
          <w:rFonts w:hint="eastAsia" w:ascii="仿宋" w:hAnsi="仿宋" w:eastAsia="仿宋" w:cs="仿宋"/>
          <w:b/>
          <w:bCs/>
          <w:sz w:val="24"/>
          <w:szCs w:val="24"/>
          <w:highlight w:val="none"/>
          <w:lang w:eastAsia="zh-CN"/>
        </w:rPr>
        <w:t>、</w:t>
      </w:r>
      <w:r>
        <w:rPr>
          <w:rFonts w:hint="eastAsia" w:ascii="仿宋" w:hAnsi="仿宋" w:eastAsia="仿宋" w:cs="仿宋"/>
          <w:b/>
          <w:bCs/>
          <w:sz w:val="24"/>
          <w:szCs w:val="24"/>
          <w:highlight w:val="none"/>
          <w:lang w:val="en-US" w:eastAsia="zh-CN"/>
        </w:rPr>
        <w:t>洗手台</w:t>
      </w:r>
      <w:r>
        <w:rPr>
          <w:rFonts w:hint="eastAsia" w:ascii="仿宋" w:hAnsi="仿宋" w:eastAsia="仿宋" w:cs="仿宋"/>
          <w:b/>
          <w:sz w:val="24"/>
          <w:szCs w:val="24"/>
          <w:highlight w:val="none"/>
          <w:lang w:val="en-US" w:eastAsia="zh-CN"/>
        </w:rPr>
        <w:t>为暂定尺寸，</w:t>
      </w:r>
      <w:r>
        <w:rPr>
          <w:rFonts w:hint="eastAsia" w:ascii="仿宋" w:hAnsi="仿宋" w:eastAsia="仿宋" w:cs="仿宋"/>
          <w:b/>
          <w:bCs/>
          <w:sz w:val="24"/>
          <w:szCs w:val="24"/>
          <w:highlight w:val="none"/>
          <w:lang w:val="en-US" w:eastAsia="zh-CN"/>
        </w:rPr>
        <w:t>需现场按照图纸实量后定制，价格参照中标尺寸单价进行结算，如小于招标尺寸资金进行扣减，如大于招标尺寸资金进行增加。</w:t>
      </w:r>
    </w:p>
    <w:p>
      <w:pPr>
        <w:spacing w:line="440" w:lineRule="exact"/>
        <w:rPr>
          <w:rFonts w:ascii="仿宋" w:hAnsi="仿宋" w:eastAsia="仿宋" w:cs="仿宋"/>
          <w:b/>
          <w:sz w:val="24"/>
        </w:rPr>
      </w:pPr>
      <w:r>
        <w:rPr>
          <w:rFonts w:hint="eastAsia" w:ascii="仿宋" w:hAnsi="仿宋" w:eastAsia="仿宋" w:cs="仿宋"/>
          <w:b/>
          <w:sz w:val="24"/>
        </w:rPr>
        <w:t>二、工作范围</w:t>
      </w:r>
    </w:p>
    <w:p>
      <w:pPr>
        <w:spacing w:line="440" w:lineRule="exact"/>
        <w:ind w:firstLine="480" w:firstLineChars="200"/>
        <w:rPr>
          <w:rFonts w:hint="eastAsia" w:ascii="仿宋" w:hAnsi="仿宋" w:eastAsia="仿宋" w:cs="仿宋"/>
          <w:sz w:val="24"/>
          <w:highlight w:val="none"/>
          <w:shd w:val="clear" w:color="auto" w:fill="auto"/>
          <w:lang w:val="en-US" w:eastAsia="zh-CN"/>
        </w:rPr>
      </w:pPr>
      <w:r>
        <w:rPr>
          <w:rFonts w:hint="eastAsia" w:ascii="仿宋" w:hAnsi="仿宋" w:eastAsia="仿宋" w:cs="仿宋"/>
          <w:sz w:val="24"/>
        </w:rPr>
        <w:t>根据招标文件，投标人须按国家有关标准及规范完成下列工作：材料及相关附件的</w:t>
      </w:r>
      <w:r>
        <w:rPr>
          <w:rFonts w:hint="eastAsia" w:ascii="仿宋" w:hAnsi="仿宋" w:eastAsia="仿宋" w:cs="仿宋"/>
          <w:sz w:val="24"/>
          <w:lang w:eastAsia="zh-CN"/>
        </w:rPr>
        <w:t>符合</w:t>
      </w:r>
      <w:r>
        <w:rPr>
          <w:rFonts w:hint="eastAsia" w:ascii="仿宋" w:hAnsi="仿宋" w:eastAsia="仿宋" w:cs="仿宋"/>
          <w:sz w:val="24"/>
        </w:rPr>
        <w:t>、运输、安装、检验、通过验收；</w:t>
      </w:r>
      <w:r>
        <w:rPr>
          <w:rFonts w:hint="eastAsia" w:ascii="仿宋" w:hAnsi="仿宋" w:eastAsia="仿宋" w:cs="仿宋"/>
          <w:sz w:val="24"/>
          <w:highlight w:val="none"/>
        </w:rPr>
        <w:t>供货期：</w:t>
      </w:r>
      <w:r>
        <w:rPr>
          <w:rFonts w:hint="eastAsia" w:ascii="仿宋" w:hAnsi="仿宋" w:eastAsia="仿宋" w:cs="仿宋"/>
          <w:sz w:val="24"/>
          <w:highlight w:val="none"/>
          <w:lang w:val="en-US" w:eastAsia="zh-CN"/>
        </w:rPr>
        <w:t>60</w:t>
      </w:r>
      <w:r>
        <w:rPr>
          <w:rFonts w:hint="eastAsia" w:ascii="仿宋" w:hAnsi="仿宋" w:eastAsia="仿宋" w:cs="仿宋"/>
          <w:sz w:val="24"/>
          <w:highlight w:val="none"/>
        </w:rPr>
        <w:t>天</w:t>
      </w:r>
      <w:r>
        <w:rPr>
          <w:rFonts w:hint="eastAsia" w:ascii="仿宋" w:hAnsi="仿宋" w:eastAsia="仿宋" w:cs="仿宋"/>
          <w:sz w:val="24"/>
          <w:highlight w:val="none"/>
          <w:lang w:eastAsia="zh-CN"/>
        </w:rPr>
        <w:t>内完成供货、安装</w:t>
      </w:r>
      <w:r>
        <w:rPr>
          <w:rFonts w:hint="eastAsia" w:ascii="仿宋" w:hAnsi="仿宋" w:eastAsia="仿宋" w:cs="仿宋"/>
          <w:sz w:val="24"/>
          <w:highlight w:val="none"/>
        </w:rPr>
        <w:t>；供货地点</w:t>
      </w:r>
      <w:r>
        <w:rPr>
          <w:rFonts w:hint="eastAsia" w:ascii="仿宋" w:hAnsi="仿宋" w:eastAsia="仿宋" w:cs="仿宋"/>
          <w:sz w:val="24"/>
          <w:highlight w:val="none"/>
          <w:shd w:val="clear" w:color="auto" w:fill="auto"/>
        </w:rPr>
        <w:t>：於潜镇中心幼儿园</w:t>
      </w:r>
      <w:r>
        <w:rPr>
          <w:rFonts w:hint="eastAsia" w:ascii="仿宋" w:hAnsi="仿宋" w:eastAsia="仿宋" w:cs="仿宋"/>
          <w:sz w:val="24"/>
          <w:highlight w:val="none"/>
          <w:shd w:val="clear" w:color="auto" w:fill="auto"/>
          <w:lang w:eastAsia="zh-CN"/>
        </w:rPr>
        <w:t>（於潜镇天风街与金家巷交叉口）</w:t>
      </w:r>
    </w:p>
    <w:p>
      <w:pPr>
        <w:spacing w:line="440" w:lineRule="exact"/>
        <w:rPr>
          <w:rFonts w:ascii="仿宋" w:hAnsi="仿宋" w:eastAsia="仿宋" w:cs="仿宋"/>
          <w:b/>
          <w:sz w:val="24"/>
        </w:rPr>
      </w:pPr>
      <w:r>
        <w:rPr>
          <w:rFonts w:hint="eastAsia" w:ascii="仿宋" w:hAnsi="仿宋" w:eastAsia="仿宋" w:cs="仿宋"/>
          <w:b/>
          <w:sz w:val="24"/>
        </w:rPr>
        <w:t>三、中标人的工作内容</w:t>
      </w:r>
    </w:p>
    <w:p>
      <w:pPr>
        <w:spacing w:line="440" w:lineRule="exact"/>
        <w:ind w:firstLine="480" w:firstLineChars="200"/>
        <w:rPr>
          <w:rFonts w:ascii="仿宋" w:hAnsi="仿宋" w:eastAsia="仿宋" w:cs="仿宋"/>
          <w:sz w:val="24"/>
        </w:rPr>
      </w:pPr>
      <w:r>
        <w:rPr>
          <w:rFonts w:hint="eastAsia" w:ascii="仿宋" w:hAnsi="仿宋" w:eastAsia="仿宋" w:cs="仿宋"/>
          <w:sz w:val="24"/>
        </w:rPr>
        <w:t>中标人的工作内容需包含但不局限于以下内容：</w:t>
      </w:r>
    </w:p>
    <w:p>
      <w:pPr>
        <w:spacing w:line="440" w:lineRule="exact"/>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rPr>
        <w:tab/>
      </w:r>
      <w:r>
        <w:rPr>
          <w:rFonts w:hint="eastAsia" w:ascii="仿宋" w:hAnsi="仿宋" w:eastAsia="仿宋" w:cs="仿宋"/>
          <w:sz w:val="24"/>
        </w:rPr>
        <w:t>设备的制造与供货及</w:t>
      </w:r>
      <w:r>
        <w:rPr>
          <w:rFonts w:hint="eastAsia" w:ascii="仿宋" w:hAnsi="仿宋" w:eastAsia="仿宋" w:cs="仿宋"/>
          <w:sz w:val="24"/>
          <w:lang w:eastAsia="zh-CN"/>
        </w:rPr>
        <w:t>符合</w:t>
      </w:r>
      <w:r>
        <w:rPr>
          <w:rFonts w:hint="eastAsia" w:ascii="仿宋" w:hAnsi="仿宋" w:eastAsia="仿宋" w:cs="仿宋"/>
          <w:sz w:val="24"/>
        </w:rPr>
        <w:t>相关资料；</w:t>
      </w:r>
    </w:p>
    <w:p>
      <w:pPr>
        <w:spacing w:line="440" w:lineRule="exact"/>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rPr>
        <w:tab/>
      </w:r>
      <w:r>
        <w:rPr>
          <w:rFonts w:hint="eastAsia" w:ascii="仿宋" w:hAnsi="仿宋" w:eastAsia="仿宋" w:cs="仿宋"/>
          <w:sz w:val="24"/>
        </w:rPr>
        <w:t>设备及部件的检查、检验及测试（该费用计入总价）；</w:t>
      </w:r>
    </w:p>
    <w:p>
      <w:pPr>
        <w:spacing w:line="440" w:lineRule="exact"/>
        <w:rPr>
          <w:rFonts w:ascii="仿宋" w:hAnsi="仿宋" w:eastAsia="仿宋" w:cs="仿宋"/>
          <w:sz w:val="24"/>
        </w:rPr>
      </w:pPr>
      <w:r>
        <w:rPr>
          <w:rFonts w:hint="eastAsia" w:ascii="仿宋" w:hAnsi="仿宋" w:eastAsia="仿宋" w:cs="仿宋"/>
          <w:sz w:val="24"/>
        </w:rPr>
        <w:t>3.</w:t>
      </w:r>
      <w:r>
        <w:rPr>
          <w:rFonts w:hint="eastAsia" w:ascii="仿宋" w:hAnsi="仿宋" w:eastAsia="仿宋" w:cs="仿宋"/>
          <w:sz w:val="24"/>
        </w:rPr>
        <w:tab/>
      </w:r>
      <w:r>
        <w:rPr>
          <w:rFonts w:hint="eastAsia" w:ascii="仿宋" w:hAnsi="仿宋" w:eastAsia="仿宋" w:cs="仿宋"/>
          <w:sz w:val="24"/>
        </w:rPr>
        <w:t>按照招标人要求完成设备的安装及部件的就位和固定；</w:t>
      </w:r>
    </w:p>
    <w:p>
      <w:pPr>
        <w:spacing w:line="440" w:lineRule="exact"/>
        <w:rPr>
          <w:rFonts w:ascii="仿宋" w:hAnsi="仿宋" w:eastAsia="仿宋" w:cs="仿宋"/>
          <w:sz w:val="24"/>
        </w:rPr>
      </w:pPr>
      <w:r>
        <w:rPr>
          <w:rFonts w:hint="eastAsia" w:ascii="仿宋" w:hAnsi="仿宋" w:eastAsia="仿宋" w:cs="仿宋"/>
          <w:sz w:val="24"/>
        </w:rPr>
        <w:t>4.</w:t>
      </w:r>
      <w:r>
        <w:rPr>
          <w:rFonts w:hint="eastAsia" w:ascii="仿宋" w:hAnsi="仿宋" w:eastAsia="仿宋" w:cs="仿宋"/>
          <w:sz w:val="24"/>
        </w:rPr>
        <w:tab/>
      </w:r>
      <w:r>
        <w:rPr>
          <w:rFonts w:hint="eastAsia" w:ascii="仿宋" w:hAnsi="仿宋" w:eastAsia="仿宋" w:cs="仿宋"/>
          <w:sz w:val="24"/>
        </w:rPr>
        <w:t>设备及部件的连接和检查；</w:t>
      </w:r>
    </w:p>
    <w:p>
      <w:pPr>
        <w:spacing w:line="440" w:lineRule="exact"/>
        <w:rPr>
          <w:rFonts w:ascii="仿宋" w:hAnsi="仿宋" w:eastAsia="仿宋" w:cs="仿宋"/>
          <w:sz w:val="24"/>
        </w:rPr>
      </w:pPr>
      <w:r>
        <w:rPr>
          <w:rFonts w:hint="eastAsia" w:ascii="仿宋" w:hAnsi="仿宋" w:eastAsia="仿宋" w:cs="仿宋"/>
          <w:sz w:val="24"/>
        </w:rPr>
        <w:t>5.</w:t>
      </w:r>
      <w:r>
        <w:rPr>
          <w:rFonts w:hint="eastAsia" w:ascii="仿宋" w:hAnsi="仿宋" w:eastAsia="仿宋" w:cs="仿宋"/>
          <w:sz w:val="24"/>
        </w:rPr>
        <w:tab/>
      </w:r>
      <w:r>
        <w:rPr>
          <w:rFonts w:hint="eastAsia" w:ascii="仿宋" w:hAnsi="仿宋" w:eastAsia="仿宋" w:cs="仿宋"/>
          <w:sz w:val="24"/>
        </w:rPr>
        <w:t>验收（包括负责通过相关部门的整体验收，资料整理交接）；</w:t>
      </w:r>
    </w:p>
    <w:p>
      <w:pPr>
        <w:spacing w:line="440" w:lineRule="exact"/>
        <w:rPr>
          <w:rFonts w:ascii="仿宋" w:hAnsi="仿宋" w:eastAsia="仿宋" w:cs="仿宋"/>
          <w:sz w:val="24"/>
        </w:rPr>
      </w:pPr>
      <w:r>
        <w:rPr>
          <w:rFonts w:hint="eastAsia" w:ascii="仿宋" w:hAnsi="仿宋" w:eastAsia="仿宋" w:cs="仿宋"/>
          <w:sz w:val="24"/>
        </w:rPr>
        <w:t>6.</w:t>
      </w:r>
      <w:r>
        <w:rPr>
          <w:rFonts w:hint="eastAsia" w:ascii="仿宋" w:hAnsi="仿宋" w:eastAsia="仿宋" w:cs="仿宋"/>
          <w:sz w:val="24"/>
        </w:rPr>
        <w:tab/>
      </w:r>
      <w:r>
        <w:rPr>
          <w:rFonts w:hint="eastAsia" w:ascii="仿宋" w:hAnsi="仿宋" w:eastAsia="仿宋" w:cs="仿宋"/>
          <w:sz w:val="24"/>
        </w:rPr>
        <w:t>负责培训资料的编写和技术培训；</w:t>
      </w:r>
    </w:p>
    <w:p>
      <w:pPr>
        <w:spacing w:line="440" w:lineRule="exact"/>
        <w:rPr>
          <w:rFonts w:ascii="仿宋" w:hAnsi="仿宋" w:eastAsia="仿宋" w:cs="仿宋"/>
          <w:sz w:val="24"/>
        </w:rPr>
      </w:pPr>
      <w:r>
        <w:rPr>
          <w:rFonts w:hint="eastAsia" w:ascii="仿宋" w:hAnsi="仿宋" w:eastAsia="仿宋" w:cs="仿宋"/>
          <w:sz w:val="24"/>
        </w:rPr>
        <w:t>7.</w:t>
      </w:r>
      <w:r>
        <w:rPr>
          <w:rFonts w:hint="eastAsia" w:ascii="仿宋" w:hAnsi="仿宋" w:eastAsia="仿宋" w:cs="仿宋"/>
          <w:sz w:val="24"/>
        </w:rPr>
        <w:tab/>
      </w:r>
      <w:r>
        <w:rPr>
          <w:rFonts w:hint="eastAsia" w:ascii="仿宋" w:hAnsi="仿宋" w:eastAsia="仿宋" w:cs="仿宋"/>
          <w:sz w:val="24"/>
        </w:rPr>
        <w:t>售后服务。</w:t>
      </w:r>
    </w:p>
    <w:p>
      <w:pPr>
        <w:spacing w:line="440" w:lineRule="exact"/>
        <w:rPr>
          <w:rFonts w:ascii="仿宋" w:hAnsi="仿宋" w:eastAsia="仿宋" w:cs="仿宋"/>
          <w:b/>
          <w:sz w:val="24"/>
        </w:rPr>
      </w:pPr>
      <w:r>
        <w:rPr>
          <w:rFonts w:hint="eastAsia" w:ascii="仿宋" w:hAnsi="仿宋" w:eastAsia="仿宋" w:cs="仿宋"/>
          <w:b/>
          <w:sz w:val="24"/>
        </w:rPr>
        <w:t>四、质量保证</w:t>
      </w:r>
    </w:p>
    <w:p>
      <w:pPr>
        <w:spacing w:line="440" w:lineRule="exact"/>
        <w:rPr>
          <w:rFonts w:ascii="仿宋" w:hAnsi="仿宋" w:eastAsia="仿宋" w:cs="仿宋"/>
          <w:sz w:val="24"/>
        </w:rPr>
      </w:pPr>
      <w:r>
        <w:rPr>
          <w:rFonts w:hint="eastAsia" w:ascii="仿宋" w:hAnsi="仿宋" w:eastAsia="仿宋" w:cs="仿宋"/>
          <w:sz w:val="24"/>
        </w:rPr>
        <w:t>1、质量要求</w:t>
      </w:r>
    </w:p>
    <w:p>
      <w:pPr>
        <w:spacing w:line="440" w:lineRule="exact"/>
        <w:rPr>
          <w:rFonts w:ascii="仿宋" w:hAnsi="仿宋" w:eastAsia="仿宋" w:cs="仿宋"/>
          <w:sz w:val="24"/>
        </w:rPr>
      </w:pPr>
      <w:r>
        <w:rPr>
          <w:rFonts w:hint="eastAsia" w:ascii="仿宋" w:hAnsi="仿宋" w:eastAsia="仿宋" w:cs="仿宋"/>
          <w:sz w:val="24"/>
        </w:rPr>
        <w:t>（1）合格及以上，符合国家规定的质量要求。验收标准：货到现场安装完毕后开始验收,所供应的全部设备应符合技术参数和配置要求，要求外观无瑕疵,结构无松动,货物名称、规格、颜色、材质、数量符合要求。设备摆放形式依采购人要求为准。</w:t>
      </w:r>
    </w:p>
    <w:p>
      <w:pPr>
        <w:spacing w:line="440" w:lineRule="exact"/>
        <w:rPr>
          <w:rFonts w:ascii="仿宋" w:hAnsi="仿宋" w:eastAsia="仿宋" w:cs="仿宋"/>
          <w:sz w:val="24"/>
        </w:rPr>
      </w:pPr>
      <w:r>
        <w:rPr>
          <w:rFonts w:hint="eastAsia" w:ascii="仿宋" w:hAnsi="仿宋" w:eastAsia="仿宋" w:cs="仿宋"/>
          <w:sz w:val="24"/>
        </w:rPr>
        <w:t>（2）货物验收过程中，由于质量不合格或运输等原因所造成的一切费用均由供应商负责。</w:t>
      </w:r>
    </w:p>
    <w:p>
      <w:pPr>
        <w:spacing w:line="440" w:lineRule="exact"/>
        <w:rPr>
          <w:rFonts w:ascii="仿宋" w:hAnsi="仿宋" w:eastAsia="仿宋" w:cs="仿宋"/>
          <w:sz w:val="24"/>
        </w:rPr>
      </w:pPr>
      <w:r>
        <w:rPr>
          <w:rFonts w:hint="eastAsia" w:ascii="仿宋" w:hAnsi="仿宋" w:eastAsia="仿宋" w:cs="仿宋"/>
          <w:sz w:val="24"/>
        </w:rPr>
        <w:t>（3）中标供应商须对因投标货物使用期内本身的固有缺陷和瑕疵承担责任。</w:t>
      </w:r>
    </w:p>
    <w:p>
      <w:pPr>
        <w:spacing w:line="440" w:lineRule="exact"/>
        <w:rPr>
          <w:rFonts w:ascii="仿宋" w:hAnsi="仿宋" w:eastAsia="仿宋" w:cs="仿宋"/>
          <w:sz w:val="24"/>
        </w:rPr>
      </w:pPr>
      <w:r>
        <w:rPr>
          <w:rFonts w:hint="eastAsia" w:ascii="仿宋" w:hAnsi="仿宋" w:eastAsia="仿宋" w:cs="仿宋"/>
          <w:sz w:val="24"/>
        </w:rPr>
        <w:t>（4）合同签订前，采购人需查看投标文件中涉及的相关证书、检测报告、合同业绩等原件资料，如发现与投标文件不符，以虚假应标处理。</w:t>
      </w:r>
    </w:p>
    <w:p>
      <w:pPr>
        <w:spacing w:line="440" w:lineRule="exact"/>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b/>
          <w:bCs w:val="0"/>
          <w:color w:val="auto"/>
          <w:sz w:val="24"/>
        </w:rPr>
        <w:t>保修期：均不少于5年免费保修期（供应商可</w:t>
      </w:r>
      <w:r>
        <w:rPr>
          <w:rFonts w:hint="eastAsia" w:ascii="仿宋" w:hAnsi="仿宋" w:eastAsia="仿宋" w:cs="仿宋"/>
          <w:b/>
          <w:bCs w:val="0"/>
          <w:color w:val="auto"/>
          <w:sz w:val="24"/>
          <w:lang w:eastAsia="zh-CN"/>
        </w:rPr>
        <w:t>符合</w:t>
      </w:r>
      <w:r>
        <w:rPr>
          <w:rFonts w:hint="eastAsia" w:ascii="仿宋" w:hAnsi="仿宋" w:eastAsia="仿宋" w:cs="仿宋"/>
          <w:b/>
          <w:bCs w:val="0"/>
          <w:color w:val="auto"/>
          <w:sz w:val="24"/>
        </w:rPr>
        <w:t>更优惠的保修期）。</w:t>
      </w:r>
    </w:p>
    <w:p>
      <w:pPr>
        <w:spacing w:line="440" w:lineRule="exact"/>
        <w:rPr>
          <w:rFonts w:ascii="仿宋" w:hAnsi="仿宋" w:eastAsia="仿宋" w:cs="仿宋"/>
          <w:sz w:val="24"/>
        </w:rPr>
      </w:pPr>
      <w:r>
        <w:rPr>
          <w:rFonts w:hint="eastAsia" w:ascii="仿宋" w:hAnsi="仿宋" w:eastAsia="仿宋" w:cs="仿宋"/>
          <w:sz w:val="24"/>
        </w:rPr>
        <w:t>（1）保修期内，如因修理货物或更换部件，而非人为因素出现故障而造成短期停用时，则保修期和免费维修期相应顺延。如停用时间累计超过20天，则货物保修期重新计算。</w:t>
      </w:r>
    </w:p>
    <w:p>
      <w:pPr>
        <w:spacing w:line="440" w:lineRule="exact"/>
        <w:rPr>
          <w:rFonts w:ascii="仿宋" w:hAnsi="仿宋" w:eastAsia="仿宋" w:cs="仿宋"/>
          <w:sz w:val="24"/>
        </w:rPr>
      </w:pPr>
      <w:r>
        <w:rPr>
          <w:rFonts w:hint="eastAsia" w:ascii="仿宋" w:hAnsi="仿宋" w:eastAsia="仿宋" w:cs="仿宋"/>
          <w:sz w:val="24"/>
        </w:rPr>
        <w:t>（2）保修期内，采购人无须自行付费，中标供应商负责修理和替换任何由于货物自身的质量问题造成的损坏及故障。</w:t>
      </w:r>
    </w:p>
    <w:p>
      <w:pPr>
        <w:spacing w:line="440" w:lineRule="exact"/>
        <w:rPr>
          <w:rFonts w:ascii="仿宋" w:hAnsi="仿宋" w:eastAsia="仿宋" w:cs="仿宋"/>
          <w:sz w:val="24"/>
        </w:rPr>
      </w:pPr>
      <w:r>
        <w:rPr>
          <w:rFonts w:hint="eastAsia" w:ascii="仿宋" w:hAnsi="仿宋" w:eastAsia="仿宋" w:cs="仿宋"/>
          <w:sz w:val="24"/>
        </w:rPr>
        <w:t>（3）保修期内，须指定一名人员专门负责本项目的售后服务工作；如有更换，须采购人同意。</w:t>
      </w:r>
    </w:p>
    <w:p>
      <w:pPr>
        <w:spacing w:line="440" w:lineRule="exact"/>
        <w:rPr>
          <w:rFonts w:ascii="仿宋" w:hAnsi="仿宋" w:eastAsia="仿宋" w:cs="仿宋"/>
          <w:sz w:val="24"/>
        </w:rPr>
      </w:pPr>
      <w:r>
        <w:rPr>
          <w:rFonts w:hint="eastAsia" w:ascii="仿宋" w:hAnsi="仿宋" w:eastAsia="仿宋" w:cs="仿宋"/>
          <w:sz w:val="24"/>
        </w:rPr>
        <w:t>（4）中标供应商在保修期内安装（更换）的任何零配件，必须是货物制造商原产的或是经采购人认可的。</w:t>
      </w:r>
    </w:p>
    <w:p>
      <w:pPr>
        <w:spacing w:line="440" w:lineRule="exact"/>
        <w:rPr>
          <w:rFonts w:ascii="仿宋" w:hAnsi="仿宋" w:eastAsia="仿宋" w:cs="仿宋"/>
          <w:sz w:val="24"/>
        </w:rPr>
      </w:pPr>
      <w:r>
        <w:rPr>
          <w:rFonts w:hint="eastAsia" w:ascii="仿宋" w:hAnsi="仿宋" w:eastAsia="仿宋" w:cs="仿宋"/>
          <w:sz w:val="24"/>
        </w:rPr>
        <w:t>（5）所有的替代零配件必须是新的未使用和未经修复的,除非最终用户</w:t>
      </w:r>
      <w:r>
        <w:rPr>
          <w:rFonts w:hint="eastAsia" w:ascii="仿宋" w:hAnsi="仿宋" w:eastAsia="仿宋" w:cs="仿宋"/>
          <w:sz w:val="24"/>
          <w:lang w:eastAsia="zh-CN"/>
        </w:rPr>
        <w:t>符合</w:t>
      </w:r>
      <w:r>
        <w:rPr>
          <w:rFonts w:hint="eastAsia" w:ascii="仿宋" w:hAnsi="仿宋" w:eastAsia="仿宋" w:cs="仿宋"/>
          <w:sz w:val="24"/>
        </w:rPr>
        <w:t>书面许可，否则不可使用此范围外的其他（非新的）配件。</w:t>
      </w:r>
    </w:p>
    <w:p>
      <w:pPr>
        <w:spacing w:line="440" w:lineRule="exact"/>
        <w:rPr>
          <w:rFonts w:ascii="仿宋" w:hAnsi="仿宋" w:eastAsia="仿宋" w:cs="仿宋"/>
          <w:sz w:val="24"/>
        </w:rPr>
      </w:pPr>
      <w:r>
        <w:rPr>
          <w:rFonts w:hint="eastAsia" w:ascii="仿宋" w:hAnsi="仿宋" w:eastAsia="仿宋" w:cs="仿宋"/>
          <w:sz w:val="24"/>
        </w:rPr>
        <w:t>（6）保修期结束前，须由中标供应商和采购人进行一次全面检查，任何缺陷必须由中标供应商负责修理，在修理之后，中标供应商应将缺陷原因、修理内容、完成修理及恢复正常的时间和日期等报告给采购人，报告一式两份。</w:t>
      </w:r>
    </w:p>
    <w:p>
      <w:pPr>
        <w:spacing w:line="440" w:lineRule="exact"/>
        <w:rPr>
          <w:rFonts w:ascii="仿宋" w:hAnsi="仿宋" w:eastAsia="仿宋" w:cs="仿宋"/>
          <w:sz w:val="24"/>
        </w:rPr>
      </w:pPr>
      <w:r>
        <w:rPr>
          <w:rFonts w:hint="eastAsia" w:ascii="仿宋" w:hAnsi="仿宋" w:eastAsia="仿宋" w:cs="仿宋"/>
          <w:sz w:val="24"/>
        </w:rPr>
        <w:t>（7）中标供应商或原厂家的承诺的保修期不符的，以最高标准为准，除非供应商事前正式声明，否则均视为认同，并将在合同中载明。</w:t>
      </w:r>
    </w:p>
    <w:p>
      <w:pPr>
        <w:spacing w:line="440" w:lineRule="exact"/>
        <w:rPr>
          <w:rFonts w:ascii="仿宋" w:hAnsi="仿宋" w:eastAsia="仿宋" w:cs="仿宋"/>
          <w:b/>
          <w:sz w:val="24"/>
        </w:rPr>
      </w:pPr>
      <w:r>
        <w:rPr>
          <w:rFonts w:hint="eastAsia" w:ascii="仿宋" w:hAnsi="仿宋" w:eastAsia="仿宋" w:cs="仿宋"/>
          <w:b/>
          <w:sz w:val="24"/>
        </w:rPr>
        <w:t>五、售后服务要求</w:t>
      </w:r>
    </w:p>
    <w:p>
      <w:pPr>
        <w:spacing w:line="440" w:lineRule="exact"/>
        <w:rPr>
          <w:rFonts w:ascii="仿宋" w:hAnsi="仿宋" w:eastAsia="仿宋" w:cs="仿宋"/>
          <w:sz w:val="24"/>
        </w:rPr>
      </w:pPr>
      <w:r>
        <w:rPr>
          <w:rFonts w:hint="eastAsia" w:ascii="仿宋" w:hAnsi="仿宋" w:eastAsia="仿宋" w:cs="仿宋"/>
          <w:sz w:val="24"/>
        </w:rPr>
        <w:t>1、中标人必须有可靠的售后服务保障，能</w:t>
      </w:r>
      <w:r>
        <w:rPr>
          <w:rFonts w:hint="eastAsia" w:ascii="仿宋" w:hAnsi="仿宋" w:eastAsia="仿宋" w:cs="仿宋"/>
          <w:sz w:val="24"/>
          <w:lang w:eastAsia="zh-CN"/>
        </w:rPr>
        <w:t>符合</w:t>
      </w:r>
      <w:r>
        <w:rPr>
          <w:rFonts w:hint="eastAsia" w:ascii="仿宋" w:hAnsi="仿宋" w:eastAsia="仿宋" w:cs="仿宋"/>
          <w:sz w:val="24"/>
        </w:rPr>
        <w:t>正常的技术、备品备件服务。当发生故障时，中标人在接到采购单位通知后，1小时内做出回应，24小时内修复，24小时内不能修复的，则无偿</w:t>
      </w:r>
      <w:r>
        <w:rPr>
          <w:rFonts w:hint="eastAsia" w:ascii="仿宋" w:hAnsi="仿宋" w:eastAsia="仿宋" w:cs="仿宋"/>
          <w:sz w:val="24"/>
          <w:lang w:eastAsia="zh-CN"/>
        </w:rPr>
        <w:t>符合</w:t>
      </w:r>
      <w:r>
        <w:rPr>
          <w:rFonts w:hint="eastAsia" w:ascii="仿宋" w:hAnsi="仿宋" w:eastAsia="仿宋" w:cs="仿宋"/>
          <w:sz w:val="24"/>
        </w:rPr>
        <w:t>备机或备用零件供采购单位使用。</w:t>
      </w:r>
    </w:p>
    <w:p>
      <w:pPr>
        <w:spacing w:line="440" w:lineRule="exact"/>
        <w:rPr>
          <w:rFonts w:ascii="仿宋" w:hAnsi="仿宋" w:eastAsia="仿宋" w:cs="仿宋"/>
          <w:sz w:val="24"/>
        </w:rPr>
      </w:pPr>
      <w:r>
        <w:rPr>
          <w:rFonts w:hint="eastAsia" w:ascii="仿宋" w:hAnsi="仿宋" w:eastAsia="仿宋" w:cs="仿宋"/>
          <w:sz w:val="24"/>
        </w:rPr>
        <w:t>2、中标人服务维修人员均经过良好的系统技术培训，并有丰富的现场维修经验。</w:t>
      </w:r>
    </w:p>
    <w:p>
      <w:pPr>
        <w:spacing w:line="440" w:lineRule="exact"/>
        <w:rPr>
          <w:rFonts w:hint="eastAsia" w:ascii="仿宋" w:hAnsi="仿宋" w:eastAsia="仿宋" w:cs="仿宋"/>
          <w:sz w:val="24"/>
        </w:rPr>
      </w:pPr>
      <w:r>
        <w:rPr>
          <w:rFonts w:hint="eastAsia" w:ascii="仿宋" w:hAnsi="仿宋" w:eastAsia="仿宋" w:cs="仿宋"/>
          <w:sz w:val="24"/>
        </w:rPr>
        <w:t>3、若中标人未能满足上述售后服务要求中的任何一条，采购单位有权委托第三方单位</w:t>
      </w:r>
      <w:r>
        <w:rPr>
          <w:rFonts w:hint="eastAsia" w:ascii="仿宋" w:hAnsi="仿宋" w:eastAsia="仿宋" w:cs="仿宋"/>
          <w:sz w:val="24"/>
          <w:lang w:eastAsia="zh-CN"/>
        </w:rPr>
        <w:t>符合</w:t>
      </w:r>
      <w:r>
        <w:rPr>
          <w:rFonts w:hint="eastAsia" w:ascii="仿宋" w:hAnsi="仿宋" w:eastAsia="仿宋" w:cs="仿宋"/>
          <w:sz w:val="24"/>
        </w:rPr>
        <w:t>售后服务，由此产生的一切费用由中标人承担。</w:t>
      </w:r>
    </w:p>
    <w:p>
      <w:pPr>
        <w:spacing w:line="440" w:lineRule="exact"/>
        <w:rPr>
          <w:rFonts w:hint="eastAsia" w:ascii="仿宋" w:hAnsi="仿宋" w:eastAsia="仿宋" w:cs="仿宋"/>
          <w:b/>
          <w:bCs/>
          <w:sz w:val="24"/>
          <w:lang w:val="en-US" w:eastAsia="zh-CN"/>
        </w:rPr>
      </w:pPr>
      <w:r>
        <w:rPr>
          <w:rFonts w:hint="eastAsia" w:ascii="仿宋" w:hAnsi="仿宋" w:eastAsia="仿宋" w:cs="仿宋"/>
          <w:b/>
          <w:bCs/>
          <w:sz w:val="24"/>
          <w:lang w:val="en-US" w:eastAsia="zh-CN"/>
        </w:rPr>
        <w:t>六、支付方式</w:t>
      </w:r>
    </w:p>
    <w:p>
      <w:pPr>
        <w:spacing w:line="440" w:lineRule="exact"/>
        <w:ind w:firstLine="480" w:firstLineChars="200"/>
        <w:rPr>
          <w:rFonts w:hint="eastAsia" w:ascii="仿宋" w:hAnsi="仿宋" w:eastAsia="仿宋" w:cs="仿宋"/>
          <w:sz w:val="24"/>
        </w:rPr>
      </w:pPr>
      <w:r>
        <w:rPr>
          <w:rFonts w:hint="eastAsia" w:ascii="仿宋" w:hAnsi="仿宋" w:eastAsia="仿宋" w:cs="仿宋"/>
          <w:sz w:val="24"/>
        </w:rPr>
        <w:t>合同签订后</w:t>
      </w:r>
      <w:r>
        <w:rPr>
          <w:rFonts w:hint="eastAsia" w:ascii="仿宋" w:hAnsi="仿宋" w:eastAsia="仿宋" w:cs="仿宋"/>
          <w:sz w:val="24"/>
          <w:lang w:val="en-US" w:eastAsia="zh-CN"/>
        </w:rPr>
        <w:t>7</w:t>
      </w:r>
      <w:r>
        <w:rPr>
          <w:rFonts w:hint="eastAsia" w:ascii="仿宋" w:hAnsi="仿宋" w:eastAsia="仿宋" w:cs="仿宋"/>
          <w:sz w:val="24"/>
        </w:rPr>
        <w:t>个工作日内预付合同款的</w:t>
      </w:r>
      <w:r>
        <w:rPr>
          <w:rFonts w:hint="eastAsia" w:ascii="仿宋" w:hAnsi="仿宋" w:eastAsia="仿宋" w:cs="仿宋"/>
          <w:sz w:val="24"/>
          <w:lang w:val="en-US" w:eastAsia="zh-CN"/>
        </w:rPr>
        <w:t>4</w:t>
      </w:r>
      <w:r>
        <w:rPr>
          <w:rFonts w:hint="eastAsia" w:ascii="仿宋" w:hAnsi="仿宋" w:eastAsia="仿宋" w:cs="仿宋"/>
          <w:sz w:val="24"/>
        </w:rPr>
        <w:t>0%</w:t>
      </w:r>
      <w:r>
        <w:rPr>
          <w:rFonts w:hint="eastAsia" w:ascii="仿宋" w:hAnsi="仿宋" w:eastAsia="仿宋" w:cs="仿宋"/>
          <w:sz w:val="24"/>
          <w:lang w:val="en-US" w:eastAsia="zh-CN"/>
        </w:rPr>
        <w:t>，</w:t>
      </w:r>
      <w:r>
        <w:rPr>
          <w:rFonts w:hint="eastAsia" w:ascii="仿宋" w:hAnsi="仿宋" w:eastAsia="仿宋" w:cs="仿宋"/>
          <w:sz w:val="24"/>
        </w:rPr>
        <w:t>验收合格</w:t>
      </w:r>
      <w:r>
        <w:rPr>
          <w:rFonts w:hint="eastAsia" w:ascii="仿宋" w:hAnsi="仿宋" w:eastAsia="仿宋" w:cs="仿宋"/>
          <w:sz w:val="24"/>
          <w:lang w:val="en-US" w:eastAsia="zh-CN"/>
        </w:rPr>
        <w:t>后7个工作日支付合同价的60%。</w:t>
      </w:r>
    </w:p>
    <w:p>
      <w:pPr>
        <w:pStyle w:val="232"/>
      </w:pPr>
    </w:p>
    <w:p>
      <w:pPr>
        <w:pStyle w:val="61"/>
        <w:rPr>
          <w:rFonts w:hint="eastAsia"/>
          <w:lang w:eastAsia="zh-CN"/>
        </w:rPr>
      </w:pPr>
    </w:p>
    <w:p>
      <w:pPr>
        <w:jc w:val="left"/>
        <w:rPr>
          <w:rFonts w:hint="eastAsia"/>
          <w:b/>
          <w:bCs/>
          <w:sz w:val="32"/>
          <w:szCs w:val="32"/>
        </w:rPr>
      </w:pPr>
      <w:r>
        <w:rPr>
          <w:rFonts w:hint="eastAsia" w:ascii="仿宋" w:hAnsi="仿宋" w:eastAsia="仿宋" w:cs="仿宋"/>
          <w:b/>
          <w:sz w:val="32"/>
          <w:szCs w:val="32"/>
          <w:highlight w:val="none"/>
        </w:rPr>
        <w:t>样品清单：</w:t>
      </w:r>
    </w:p>
    <w:tbl>
      <w:tblPr>
        <w:tblStyle w:val="62"/>
        <w:tblW w:w="5133" w:type="pct"/>
        <w:tblInd w:w="-23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2"/>
        <w:gridCol w:w="1529"/>
        <w:gridCol w:w="1049"/>
        <w:gridCol w:w="4034"/>
        <w:gridCol w:w="698"/>
        <w:gridCol w:w="69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cs="宋体"/>
                <w:b/>
                <w:bCs/>
                <w:i w:val="0"/>
                <w:iCs w:val="0"/>
                <w:color w:val="000000"/>
                <w:kern w:val="0"/>
                <w:sz w:val="24"/>
                <w:szCs w:val="24"/>
                <w:u w:val="none"/>
                <w:lang w:val="en-US" w:eastAsia="zh-CN" w:bidi="ar"/>
              </w:rPr>
              <w:t>序号</w:t>
            </w:r>
          </w:p>
        </w:tc>
        <w:tc>
          <w:tcPr>
            <w:tcW w:w="876" w:type="pct"/>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图片</w:t>
            </w:r>
          </w:p>
        </w:tc>
        <w:tc>
          <w:tcPr>
            <w:tcW w:w="601" w:type="pct"/>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2311" w:type="pct"/>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材质说明</w:t>
            </w:r>
          </w:p>
        </w:tc>
        <w:tc>
          <w:tcPr>
            <w:tcW w:w="400" w:type="pct"/>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400" w:type="pct"/>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1</w:t>
            </w:r>
          </w:p>
        </w:tc>
        <w:tc>
          <w:tcPr>
            <w:tcW w:w="8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63360" behindDoc="0" locked="0" layoutInCell="1" allowOverlap="1">
                  <wp:simplePos x="0" y="0"/>
                  <wp:positionH relativeFrom="column">
                    <wp:posOffset>120015</wp:posOffset>
                  </wp:positionH>
                  <wp:positionV relativeFrom="paragraph">
                    <wp:posOffset>345440</wp:posOffset>
                  </wp:positionV>
                  <wp:extent cx="688340" cy="565785"/>
                  <wp:effectExtent l="0" t="0" r="16510" b="5715"/>
                  <wp:wrapNone/>
                  <wp:docPr id="388" name="图片_73_SpCnt_2"/>
                  <wp:cNvGraphicFramePr/>
                  <a:graphic xmlns:a="http://schemas.openxmlformats.org/drawingml/2006/main">
                    <a:graphicData uri="http://schemas.openxmlformats.org/drawingml/2006/picture">
                      <pic:pic xmlns:pic="http://schemas.openxmlformats.org/drawingml/2006/picture">
                        <pic:nvPicPr>
                          <pic:cNvPr id="388" name="图片_73_SpCnt_2"/>
                          <pic:cNvPicPr/>
                        </pic:nvPicPr>
                        <pic:blipFill>
                          <a:blip r:embed="rId70"/>
                          <a:stretch>
                            <a:fillRect/>
                          </a:stretch>
                        </pic:blipFill>
                        <pic:spPr>
                          <a:xfrm>
                            <a:off x="0" y="0"/>
                            <a:ext cx="688340" cy="565785"/>
                          </a:xfrm>
                          <a:prstGeom prst="rect">
                            <a:avLst/>
                          </a:prstGeom>
                          <a:noFill/>
                          <a:ln>
                            <a:noFill/>
                          </a:ln>
                        </pic:spPr>
                      </pic:pic>
                    </a:graphicData>
                  </a:graphic>
                </wp:anchor>
              </w:drawing>
            </w:r>
          </w:p>
        </w:tc>
        <w:tc>
          <w:tcPr>
            <w:tcW w:w="6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办公桌</w:t>
            </w:r>
          </w:p>
        </w:tc>
        <w:tc>
          <w:tcPr>
            <w:tcW w:w="23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bdr w:val="single" w:color="000000" w:sz="4" w:space="0"/>
                <w:lang w:val="en-US" w:eastAsia="zh-CN" w:bidi="ar"/>
              </w:rPr>
            </w:pPr>
            <w:r>
              <w:rPr>
                <w:rFonts w:hint="eastAsia" w:ascii="宋体" w:hAnsi="宋体" w:eastAsia="宋体" w:cs="宋体"/>
                <w:i w:val="0"/>
                <w:iCs w:val="0"/>
                <w:color w:val="000000"/>
                <w:kern w:val="0"/>
                <w:sz w:val="18"/>
                <w:szCs w:val="18"/>
                <w:u w:val="none"/>
                <w:lang w:val="en-US" w:eastAsia="zh-CN" w:bidi="ar"/>
              </w:rPr>
              <w:t>尺寸：1200*600*760（单个位）</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160020" cy="160020"/>
                  <wp:effectExtent l="0" t="0" r="0" b="0"/>
                  <wp:wrapNone/>
                  <wp:docPr id="392" name="Picture_124_SpCnt_197"/>
                  <wp:cNvGraphicFramePr/>
                  <a:graphic xmlns:a="http://schemas.openxmlformats.org/drawingml/2006/main">
                    <a:graphicData uri="http://schemas.openxmlformats.org/drawingml/2006/picture">
                      <pic:pic xmlns:pic="http://schemas.openxmlformats.org/drawingml/2006/picture">
                        <pic:nvPicPr>
                          <pic:cNvPr id="392" name="Picture_124_SpCnt_197"/>
                          <pic:cNvPicPr/>
                        </pic:nvPicPr>
                        <pic:blipFill>
                          <a:blip r:embed="rId58"/>
                          <a:stretch>
                            <a:fillRect/>
                          </a:stretch>
                        </pic:blipFill>
                        <pic:spPr>
                          <a:xfrm>
                            <a:off x="0" y="0"/>
                            <a:ext cx="160020" cy="16002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1、基材：采用优质环保三聚氰胺贴面实木多层板，甲醛释放量≤0.5mg/L，符合GB18580-2001标准要求。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2、饰面材料：采用浸渍胶膜纸，表面耐磨、耐污、耐划伤，易清洁，耐磨测试250R无透底现象。</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3、封边：同色PVC封边条，厚度2mm 以上。   </w:t>
            </w:r>
          </w:p>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 xml:space="preserve">4、五金配件：使用优质五金配件（阻尼不锈钢三节轨、机械密码锁具、拉手、阻尼不锈钢铰链等）。                                                         5、颜色：由业主单位指定。                                        </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2</w:t>
            </w:r>
          </w:p>
        </w:tc>
        <w:tc>
          <w:tcPr>
            <w:tcW w:w="8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bdr w:val="single" w:color="000000" w:sz="4" w:space="0"/>
                <w:lang w:val="en-US" w:eastAsia="zh-CN" w:bidi="ar"/>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124460</wp:posOffset>
                  </wp:positionH>
                  <wp:positionV relativeFrom="paragraph">
                    <wp:posOffset>955675</wp:posOffset>
                  </wp:positionV>
                  <wp:extent cx="584200" cy="715645"/>
                  <wp:effectExtent l="0" t="0" r="6350" b="8255"/>
                  <wp:wrapNone/>
                  <wp:docPr id="518" name="Picture_1"/>
                  <wp:cNvGraphicFramePr/>
                  <a:graphic xmlns:a="http://schemas.openxmlformats.org/drawingml/2006/main">
                    <a:graphicData uri="http://schemas.openxmlformats.org/drawingml/2006/picture">
                      <pic:pic xmlns:pic="http://schemas.openxmlformats.org/drawingml/2006/picture">
                        <pic:nvPicPr>
                          <pic:cNvPr id="518" name="Picture_1"/>
                          <pic:cNvPicPr/>
                        </pic:nvPicPr>
                        <pic:blipFill>
                          <a:blip r:embed="rId165"/>
                          <a:stretch>
                            <a:fillRect/>
                          </a:stretch>
                        </pic:blipFill>
                        <pic:spPr>
                          <a:xfrm>
                            <a:off x="0" y="0"/>
                            <a:ext cx="584200" cy="715645"/>
                          </a:xfrm>
                          <a:prstGeom prst="rect">
                            <a:avLst/>
                          </a:prstGeom>
                          <a:noFill/>
                          <a:ln>
                            <a:noFill/>
                          </a:ln>
                        </pic:spPr>
                      </pic:pic>
                    </a:graphicData>
                  </a:graphic>
                </wp:anchor>
              </w:drawing>
            </w:r>
          </w:p>
        </w:tc>
        <w:tc>
          <w:tcPr>
            <w:tcW w:w="6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椅子(小班）</w:t>
            </w:r>
          </w:p>
        </w:tc>
        <w:tc>
          <w:tcPr>
            <w:tcW w:w="23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尺寸：270×280×445mm，坐高240mm</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主材：椅子主构架采用22mm厚橡胶木实木料，坐板采用18mm厚橡胶木实木板，靠板采用16mm厚橡胶木曲形实木板，甲醛释放量符合GB18580-2017《室内装饰装修材料人造板及其制品中甲醛释放限量》标准要求。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特有：靠背呈弧形凹陷设计，贴合幼儿身体曲线，符合人体工程，前腿连接处采用45°斜头拼接，后腿特征呈弧形，美观牢固。</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5"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3</w:t>
            </w:r>
          </w:p>
        </w:tc>
        <w:tc>
          <w:tcPr>
            <w:tcW w:w="8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bdr w:val="single" w:color="000000" w:sz="4" w:space="0"/>
                <w:lang w:val="en-US" w:eastAsia="zh-CN" w:bidi="ar"/>
              </w:rPr>
            </w:pP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232410</wp:posOffset>
                  </wp:positionH>
                  <wp:positionV relativeFrom="paragraph">
                    <wp:posOffset>937895</wp:posOffset>
                  </wp:positionV>
                  <wp:extent cx="590550" cy="649605"/>
                  <wp:effectExtent l="0" t="0" r="0" b="17145"/>
                  <wp:wrapNone/>
                  <wp:docPr id="519" name="Picture_1_SpCnt_1"/>
                  <wp:cNvGraphicFramePr/>
                  <a:graphic xmlns:a="http://schemas.openxmlformats.org/drawingml/2006/main">
                    <a:graphicData uri="http://schemas.openxmlformats.org/drawingml/2006/picture">
                      <pic:pic xmlns:pic="http://schemas.openxmlformats.org/drawingml/2006/picture">
                        <pic:nvPicPr>
                          <pic:cNvPr id="519" name="Picture_1_SpCnt_1"/>
                          <pic:cNvPicPr/>
                        </pic:nvPicPr>
                        <pic:blipFill>
                          <a:blip r:embed="rId166"/>
                          <a:stretch>
                            <a:fillRect/>
                          </a:stretch>
                        </pic:blipFill>
                        <pic:spPr>
                          <a:xfrm>
                            <a:off x="0" y="0"/>
                            <a:ext cx="590550" cy="649605"/>
                          </a:xfrm>
                          <a:prstGeom prst="rect">
                            <a:avLst/>
                          </a:prstGeom>
                          <a:noFill/>
                          <a:ln>
                            <a:noFill/>
                          </a:ln>
                        </pic:spPr>
                      </pic:pic>
                    </a:graphicData>
                  </a:graphic>
                </wp:anchor>
              </w:drawing>
            </w:r>
          </w:p>
        </w:tc>
        <w:tc>
          <w:tcPr>
            <w:tcW w:w="6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圆腿正方桌(小班）</w:t>
            </w:r>
          </w:p>
        </w:tc>
        <w:tc>
          <w:tcPr>
            <w:tcW w:w="23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尺寸：600×600×500mm</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主材：桌面采用18mm厚橡胶木实木板，甲醛释放量符合GB18580-2017《室内装饰装修材料人造板及其制品中甲醛释放限量》标准要求，桌腿采用φ62mm橡胶木实木料。</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特有：桌面板边缘斜切后修大圆角,无框架连接档以增加桌面下活动空间。</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kern w:val="2"/>
                <w:sz w:val="18"/>
                <w:szCs w:val="18"/>
                <w:u w:val="none"/>
                <w:lang w:val="en-US" w:eastAsia="zh-CN" w:bidi="ar-SA"/>
              </w:rPr>
            </w:pPr>
            <w:r>
              <w:rPr>
                <w:rFonts w:hint="eastAsia" w:ascii="微软雅黑" w:hAnsi="微软雅黑" w:eastAsia="微软雅黑" w:cs="微软雅黑"/>
                <w:i w:val="0"/>
                <w:iCs w:val="0"/>
                <w:color w:val="auto"/>
                <w:kern w:val="0"/>
                <w:sz w:val="18"/>
                <w:szCs w:val="18"/>
                <w:u w:val="none"/>
                <w:lang w:val="en-US" w:eastAsia="zh-CN" w:bidi="ar"/>
              </w:rPr>
              <w:t>1</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kern w:val="2"/>
                <w:sz w:val="18"/>
                <w:szCs w:val="18"/>
                <w:u w:val="none"/>
                <w:lang w:val="en-US" w:eastAsia="zh-CN" w:bidi="ar-SA"/>
              </w:rPr>
            </w:pPr>
            <w:r>
              <w:rPr>
                <w:rFonts w:hint="eastAsia" w:ascii="微软雅黑" w:hAnsi="微软雅黑" w:eastAsia="微软雅黑" w:cs="微软雅黑"/>
                <w:i w:val="0"/>
                <w:iCs w:val="0"/>
                <w:color w:val="auto"/>
                <w:kern w:val="0"/>
                <w:sz w:val="18"/>
                <w:szCs w:val="1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5"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4</w:t>
            </w:r>
          </w:p>
        </w:tc>
        <w:tc>
          <w:tcPr>
            <w:tcW w:w="8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bdr w:val="single" w:color="000000" w:sz="4" w:space="0"/>
                <w:lang w:val="en-US" w:eastAsia="zh-CN" w:bidi="ar"/>
              </w:rPr>
            </w:pPr>
          </w:p>
        </w:tc>
        <w:tc>
          <w:tcPr>
            <w:tcW w:w="6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四层抽拉床</w:t>
            </w:r>
          </w:p>
        </w:tc>
        <w:tc>
          <w:tcPr>
            <w:tcW w:w="23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尺寸：四层：1500×600×1000mm 三层：1414×600×780mm 二层：1328×600×560mm 一层：1242×600×340mm （可置入床垫尺寸：四层：1444×550mm 三层：1358×550mm 二层：1272×550mm 一层：1186×550mm）主材：床架采用70×28mm厚松木实木料，围栏采用45×28mm厚松木实木料，床板采用12mm</w:t>
            </w:r>
            <w:r>
              <w:rPr>
                <w:rFonts w:hint="eastAsia" w:ascii="微软雅黑" w:hAnsi="微软雅黑" w:eastAsia="微软雅黑" w:cs="微软雅黑"/>
                <w:i w:val="0"/>
                <w:iCs w:val="0"/>
                <w:color w:val="000000"/>
                <w:kern w:val="0"/>
                <w:sz w:val="18"/>
                <w:szCs w:val="18"/>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-1607820</wp:posOffset>
                  </wp:positionH>
                  <wp:positionV relativeFrom="paragraph">
                    <wp:posOffset>302260</wp:posOffset>
                  </wp:positionV>
                  <wp:extent cx="651510" cy="876935"/>
                  <wp:effectExtent l="0" t="0" r="15240" b="18415"/>
                  <wp:wrapNone/>
                  <wp:docPr id="523" name="Picture_1_SpCnt_5"/>
                  <wp:cNvGraphicFramePr/>
                  <a:graphic xmlns:a="http://schemas.openxmlformats.org/drawingml/2006/main">
                    <a:graphicData uri="http://schemas.openxmlformats.org/drawingml/2006/picture">
                      <pic:pic xmlns:pic="http://schemas.openxmlformats.org/drawingml/2006/picture">
                        <pic:nvPicPr>
                          <pic:cNvPr id="523" name="Picture_1_SpCnt_5"/>
                          <pic:cNvPicPr/>
                        </pic:nvPicPr>
                        <pic:blipFill>
                          <a:blip r:embed="rId167"/>
                          <a:stretch>
                            <a:fillRect/>
                          </a:stretch>
                        </pic:blipFill>
                        <pic:spPr>
                          <a:xfrm>
                            <a:off x="0" y="0"/>
                            <a:ext cx="651510" cy="87693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厚松木实木板，甲醛释放量符合GB18580-2017《室内装饰装修材料人造板及其制品中甲醛释放限量》标准要求。水性漆：涂料采用水性漆表面喷涂处理，甲醛，VOC，乙二醇醚及醚酯总和，苯系物总和，烷基酚聚氧乙烯醚总和含量符合GB18581-2020《木器涂料中有害物质限量》标准要求。五金件：抗盐雾符合GB28007-2011《儿童家具通用技术条件》标准要求。脚钉：重金属检测符合GB28481-2012《塑料家具中有害物质限量》标准要求。脚轮：抗盐雾符合GB28007-2011《儿童家具通用技术条件》标准要求。工艺：表面光洁，无裂缝，无毛刺，无锐边，连接牢固安全,边缘抛圆处理,安全缝隙和孔洞均符合GB28007-2011儿童家具通用技术条件的要求。</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1</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kern w:val="0"/>
                <w:sz w:val="18"/>
                <w:szCs w:val="18"/>
                <w:u w:val="none"/>
                <w:lang w:val="en-US" w:eastAsia="zh-CN" w:bidi="ar"/>
              </w:rPr>
            </w:pPr>
            <w:r>
              <w:rPr>
                <w:rFonts w:hint="eastAsia" w:ascii="微软雅黑" w:hAnsi="微软雅黑" w:eastAsia="微软雅黑" w:cs="微软雅黑"/>
                <w:i w:val="0"/>
                <w:iCs w:val="0"/>
                <w:color w:val="auto"/>
                <w:kern w:val="0"/>
                <w:sz w:val="18"/>
                <w:szCs w:val="1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5"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5</w:t>
            </w:r>
          </w:p>
        </w:tc>
        <w:tc>
          <w:tcPr>
            <w:tcW w:w="8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2"/>
                <w:sz w:val="18"/>
                <w:szCs w:val="18"/>
                <w:u w:val="none"/>
                <w:lang w:val="en-US" w:eastAsia="zh-CN" w:bidi="ar-SA"/>
              </w:rPr>
            </w:pPr>
            <w:r>
              <w:rPr>
                <w:rFonts w:hint="eastAsia" w:asciiTheme="minorEastAsia" w:hAnsiTheme="minorEastAsia" w:eastAsiaTheme="minorEastAsia" w:cstheme="minorEastAsia"/>
                <w:i w:val="0"/>
                <w:iCs w:val="0"/>
                <w:color w:val="000000"/>
                <w:kern w:val="0"/>
                <w:sz w:val="18"/>
                <w:szCs w:val="18"/>
                <w:u w:val="none"/>
                <w:lang w:val="en-US" w:eastAsia="zh-CN" w:bidi="ar"/>
              </w:rPr>
              <w:drawing>
                <wp:inline distT="0" distB="0" distL="114300" distR="114300">
                  <wp:extent cx="676275" cy="781050"/>
                  <wp:effectExtent l="0" t="0" r="9525" b="0"/>
                  <wp:docPr id="59"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90" descr="IMG_345"/>
                          <pic:cNvPicPr>
                            <a:picLocks noChangeAspect="1"/>
                          </pic:cNvPicPr>
                        </pic:nvPicPr>
                        <pic:blipFill>
                          <a:blip r:embed="rId147"/>
                          <a:stretch>
                            <a:fillRect/>
                          </a:stretch>
                        </pic:blipFill>
                        <pic:spPr>
                          <a:xfrm>
                            <a:off x="0" y="0"/>
                            <a:ext cx="676275" cy="781050"/>
                          </a:xfrm>
                          <a:prstGeom prst="rect">
                            <a:avLst/>
                          </a:prstGeom>
                          <a:noFill/>
                          <a:ln w="9525">
                            <a:noFill/>
                          </a:ln>
                        </pic:spPr>
                      </pic:pic>
                    </a:graphicData>
                  </a:graphic>
                </wp:inline>
              </w:drawing>
            </w:r>
          </w:p>
        </w:tc>
        <w:tc>
          <w:tcPr>
            <w:tcW w:w="6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2"/>
                <w:sz w:val="18"/>
                <w:szCs w:val="18"/>
                <w:u w:val="none"/>
                <w:lang w:val="en-US" w:eastAsia="zh-CN" w:bidi="ar-SA"/>
              </w:rPr>
            </w:pPr>
            <w:r>
              <w:rPr>
                <w:rFonts w:hint="eastAsia" w:asciiTheme="minorEastAsia" w:hAnsiTheme="minorEastAsia" w:eastAsiaTheme="minorEastAsia" w:cstheme="minorEastAsia"/>
                <w:i w:val="0"/>
                <w:iCs w:val="0"/>
                <w:color w:val="000000"/>
                <w:kern w:val="0"/>
                <w:sz w:val="18"/>
                <w:szCs w:val="18"/>
                <w:u w:val="none"/>
                <w:lang w:val="en-US" w:eastAsia="zh-CN" w:bidi="ar"/>
              </w:rPr>
              <w:t>90度弯柜（大班）</w:t>
            </w:r>
          </w:p>
        </w:tc>
        <w:tc>
          <w:tcPr>
            <w:tcW w:w="23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18"/>
                <w:szCs w:val="18"/>
                <w:u w:val="none"/>
                <w:lang w:val="en-US" w:eastAsia="zh-CN" w:bidi="ar"/>
              </w:rPr>
            </w:pPr>
            <w:r>
              <w:rPr>
                <w:rFonts w:hint="eastAsia" w:asciiTheme="minorEastAsia" w:hAnsiTheme="minorEastAsia" w:eastAsiaTheme="minorEastAsia" w:cstheme="minorEastAsia"/>
                <w:i w:val="0"/>
                <w:iCs w:val="0"/>
                <w:color w:val="000000"/>
                <w:kern w:val="0"/>
                <w:sz w:val="18"/>
                <w:szCs w:val="18"/>
                <w:u w:val="none"/>
                <w:lang w:val="en-US" w:eastAsia="zh-CN" w:bidi="ar"/>
              </w:rPr>
              <w:t>848×300×778mm主材：采用18mm厚橡胶木实木板，甲醛释放量符合GB18580-2017《室内装饰装修材料人造板及其制品中甲醛释放限量》标准要求。</w:t>
            </w:r>
          </w:p>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18"/>
                <w:szCs w:val="18"/>
                <w:u w:val="none"/>
                <w:lang w:val="en-US" w:eastAsia="zh-CN" w:bidi="ar"/>
              </w:rPr>
            </w:pPr>
            <w:r>
              <w:rPr>
                <w:rFonts w:hint="eastAsia" w:asciiTheme="minorEastAsia" w:hAnsiTheme="minorEastAsia" w:eastAsiaTheme="minorEastAsia" w:cstheme="minorEastAsia"/>
                <w:i w:val="0"/>
                <w:iCs w:val="0"/>
                <w:color w:val="000000"/>
                <w:kern w:val="0"/>
                <w:sz w:val="18"/>
                <w:szCs w:val="18"/>
                <w:u w:val="none"/>
                <w:lang w:val="en-US" w:eastAsia="zh-CN" w:bidi="ar"/>
              </w:rPr>
              <w:t>水性漆：涂料采用水性漆表面喷涂处理，甲醛，VOC，乙二醇醚及醚酯总和，苯系物总和，烷基酚聚氧乙烯醚总和含量符合GB18581-2020《木器涂料中有害物质限量》标准要求。</w:t>
            </w:r>
          </w:p>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18"/>
                <w:szCs w:val="18"/>
                <w:u w:val="none"/>
                <w:lang w:val="en-US" w:eastAsia="zh-CN" w:bidi="ar"/>
              </w:rPr>
            </w:pPr>
            <w:r>
              <w:rPr>
                <w:rFonts w:hint="eastAsia" w:asciiTheme="minorEastAsia" w:hAnsiTheme="minorEastAsia" w:eastAsiaTheme="minorEastAsia" w:cstheme="minorEastAsia"/>
                <w:i w:val="0"/>
                <w:iCs w:val="0"/>
                <w:color w:val="000000"/>
                <w:kern w:val="0"/>
                <w:sz w:val="18"/>
                <w:szCs w:val="18"/>
                <w:u w:val="none"/>
                <w:lang w:val="en-US" w:eastAsia="zh-CN" w:bidi="ar"/>
              </w:rPr>
              <w:t>五金件：抗盐雾符合GB28007-2011《儿童家具通用技术条件》标准要求。</w:t>
            </w:r>
          </w:p>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18"/>
                <w:szCs w:val="18"/>
                <w:u w:val="none"/>
                <w:lang w:val="en-US" w:eastAsia="zh-CN" w:bidi="ar"/>
              </w:rPr>
            </w:pPr>
            <w:r>
              <w:rPr>
                <w:rFonts w:hint="eastAsia" w:asciiTheme="minorEastAsia" w:hAnsiTheme="minorEastAsia" w:eastAsiaTheme="minorEastAsia" w:cstheme="minorEastAsia"/>
                <w:i w:val="0"/>
                <w:iCs w:val="0"/>
                <w:color w:val="000000"/>
                <w:kern w:val="0"/>
                <w:sz w:val="18"/>
                <w:szCs w:val="18"/>
                <w:u w:val="none"/>
                <w:lang w:val="en-US" w:eastAsia="zh-CN" w:bidi="ar"/>
              </w:rPr>
              <w:t>脚钉：重金属检测符合GB28481-2012《塑料家具中有害物质限量》标准要求。</w:t>
            </w:r>
          </w:p>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2"/>
                <w:sz w:val="18"/>
                <w:szCs w:val="18"/>
                <w:u w:val="none"/>
                <w:lang w:val="en-US" w:eastAsia="zh-CN" w:bidi="ar-SA"/>
              </w:rPr>
            </w:pPr>
            <w:r>
              <w:rPr>
                <w:rFonts w:hint="eastAsia" w:asciiTheme="minorEastAsia" w:hAnsiTheme="minorEastAsia" w:eastAsiaTheme="minorEastAsia" w:cstheme="minorEastAsia"/>
                <w:i w:val="0"/>
                <w:iCs w:val="0"/>
                <w:color w:val="000000"/>
                <w:kern w:val="0"/>
                <w:sz w:val="18"/>
                <w:szCs w:val="18"/>
                <w:u w:val="none"/>
                <w:lang w:val="en-US" w:eastAsia="zh-CN" w:bidi="ar"/>
              </w:rPr>
              <w:t>工艺：表面光洁，无裂缝，无毛刺，无锐边，连接牢固安全,边缘抛圆处理,安全缝隙和孔洞均符合GB28007-2011《儿童家具通用技术条件》标准要求。</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18"/>
                <w:szCs w:val="18"/>
                <w:u w:val="none"/>
                <w:lang w:val="en-US" w:eastAsia="zh-CN" w:bidi="ar"/>
              </w:rPr>
            </w:pPr>
            <w:r>
              <w:rPr>
                <w:rFonts w:hint="eastAsia" w:asciiTheme="minorEastAsia" w:hAnsiTheme="minorEastAsia" w:eastAsiaTheme="minorEastAsia" w:cstheme="minorEastAsia"/>
                <w:i w:val="0"/>
                <w:iCs w:val="0"/>
                <w:color w:val="auto"/>
                <w:kern w:val="0"/>
                <w:sz w:val="18"/>
                <w:szCs w:val="18"/>
                <w:u w:val="none"/>
                <w:lang w:val="en-US" w:eastAsia="zh-CN" w:bidi="ar"/>
              </w:rPr>
              <w:t>1</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18"/>
                <w:szCs w:val="18"/>
                <w:u w:val="none"/>
                <w:lang w:val="en-US" w:eastAsia="zh-CN" w:bidi="ar"/>
              </w:rPr>
            </w:pPr>
            <w:r>
              <w:rPr>
                <w:rFonts w:hint="eastAsia" w:asciiTheme="minorEastAsia" w:hAnsiTheme="minorEastAsia" w:eastAsiaTheme="minorEastAsia" w:cstheme="minorEastAsia"/>
                <w:i w:val="0"/>
                <w:iCs w:val="0"/>
                <w:color w:val="auto"/>
                <w:kern w:val="0"/>
                <w:sz w:val="18"/>
                <w:szCs w:val="18"/>
                <w:u w:val="none"/>
                <w:lang w:val="en-US" w:eastAsia="zh-CN" w:bidi="ar"/>
              </w:rPr>
              <w:t>张</w:t>
            </w:r>
          </w:p>
        </w:tc>
      </w:tr>
    </w:tbl>
    <w:p>
      <w:pPr>
        <w:jc w:val="center"/>
        <w:rPr>
          <w:rFonts w:hint="eastAsia"/>
          <w:b/>
          <w:bCs/>
          <w:sz w:val="32"/>
          <w:szCs w:val="32"/>
        </w:rPr>
      </w:pP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备注：</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（1）按采购需求规定</w:t>
      </w:r>
      <w:r>
        <w:rPr>
          <w:rFonts w:hint="eastAsia" w:ascii="仿宋_GB2312" w:hAnsi="仿宋" w:eastAsia="仿宋_GB2312" w:cs="Times New Roman"/>
          <w:sz w:val="24"/>
          <w:szCs w:val="24"/>
          <w:highlight w:val="none"/>
        </w:rPr>
        <w:t>的规格和要求</w:t>
      </w:r>
      <w:r>
        <w:rPr>
          <w:rFonts w:hint="eastAsia" w:ascii="仿宋_GB2312" w:hAnsi="仿宋" w:eastAsia="仿宋_GB2312" w:cs="Times New Roman"/>
          <w:sz w:val="24"/>
          <w:szCs w:val="24"/>
          <w:highlight w:val="none"/>
          <w:lang w:eastAsia="zh-CN"/>
        </w:rPr>
        <w:t>提供</w:t>
      </w:r>
      <w:r>
        <w:rPr>
          <w:rFonts w:hint="eastAsia" w:ascii="仿宋_GB2312" w:hAnsi="仿宋" w:eastAsia="仿宋_GB2312" w:cs="Times New Roman"/>
          <w:sz w:val="24"/>
          <w:szCs w:val="24"/>
          <w:highlight w:val="none"/>
        </w:rPr>
        <w:t>样品：</w:t>
      </w:r>
      <w:r>
        <w:rPr>
          <w:rFonts w:hint="eastAsia" w:ascii="仿宋_GB2312" w:hAnsi="仿宋" w:eastAsia="仿宋_GB2312" w:cs="Times New Roman"/>
          <w:b/>
          <w:bCs/>
          <w:sz w:val="24"/>
          <w:szCs w:val="24"/>
          <w:highlight w:val="none"/>
          <w:lang w:val="en-US" w:eastAsia="zh-CN"/>
        </w:rPr>
        <w:t>1、办公桌1张；2、椅子(小班）1张；3、圆腿正方桌(小班）1张；4、四层抽拉床1张；5、90度弯柜（详见样品清单）</w:t>
      </w:r>
      <w:r>
        <w:rPr>
          <w:rFonts w:hint="eastAsia" w:ascii="仿宋_GB2312" w:hAnsi="仿宋" w:eastAsia="仿宋_GB2312" w:cs="Times New Roman"/>
          <w:sz w:val="24"/>
          <w:szCs w:val="24"/>
          <w:highlight w:val="none"/>
        </w:rPr>
        <w:t>。评标</w:t>
      </w:r>
      <w:r>
        <w:rPr>
          <w:rFonts w:hint="eastAsia" w:ascii="仿宋_GB2312" w:hAnsi="仿宋" w:eastAsia="仿宋_GB2312" w:cs="Times New Roman"/>
          <w:sz w:val="24"/>
          <w:szCs w:val="24"/>
        </w:rPr>
        <w:t>委员会将根据评标方法及评分标准的规定对样品的进行评审。</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（2）</w:t>
      </w:r>
      <w:r>
        <w:rPr>
          <w:rFonts w:hint="eastAsia" w:ascii="仿宋_GB2312" w:hAnsi="仿宋" w:eastAsia="仿宋_GB2312" w:cs="Times New Roman"/>
          <w:sz w:val="24"/>
          <w:szCs w:val="24"/>
          <w:lang w:eastAsia="zh-CN"/>
        </w:rPr>
        <w:t>提供</w:t>
      </w:r>
      <w:r>
        <w:rPr>
          <w:rFonts w:hint="eastAsia" w:ascii="仿宋_GB2312" w:hAnsi="仿宋" w:eastAsia="仿宋_GB2312" w:cs="Times New Roman"/>
          <w:sz w:val="24"/>
          <w:szCs w:val="24"/>
        </w:rPr>
        <w:t>样品的</w:t>
      </w:r>
      <w:r>
        <w:rPr>
          <w:rFonts w:hint="eastAsia" w:ascii="仿宋_GB2312" w:hAnsi="仿宋" w:eastAsia="仿宋_GB2312" w:cs="Times New Roman"/>
          <w:sz w:val="24"/>
          <w:szCs w:val="24"/>
          <w:highlight w:val="none"/>
        </w:rPr>
        <w:t>时</w:t>
      </w:r>
      <w:r>
        <w:rPr>
          <w:rFonts w:hint="eastAsia" w:ascii="仿宋_GB2312" w:hAnsi="仿宋" w:eastAsia="仿宋_GB2312" w:cs="Times New Roman"/>
          <w:sz w:val="24"/>
          <w:szCs w:val="24"/>
          <w:highlight w:val="none"/>
        </w:rPr>
        <w:t>间：</w:t>
      </w:r>
      <w:r>
        <w:rPr>
          <w:rFonts w:hint="eastAsia" w:ascii="仿宋_GB2312" w:hAnsi="仿宋" w:eastAsia="仿宋_GB2312" w:cs="Times New Roman"/>
          <w:b/>
          <w:bCs/>
          <w:color w:val="auto"/>
          <w:sz w:val="24"/>
          <w:szCs w:val="24"/>
          <w:highlight w:val="none"/>
        </w:rPr>
        <w:t>2022年</w:t>
      </w:r>
      <w:r>
        <w:rPr>
          <w:rFonts w:hint="eastAsia" w:ascii="仿宋_GB2312" w:hAnsi="仿宋" w:eastAsia="仿宋_GB2312" w:cs="Times New Roman"/>
          <w:b/>
          <w:bCs/>
          <w:color w:val="auto"/>
          <w:sz w:val="24"/>
          <w:szCs w:val="24"/>
          <w:highlight w:val="none"/>
          <w:lang w:val="en-US" w:eastAsia="zh-CN"/>
        </w:rPr>
        <w:t>11</w:t>
      </w:r>
      <w:r>
        <w:rPr>
          <w:rFonts w:hint="eastAsia" w:ascii="仿宋_GB2312" w:hAnsi="仿宋" w:eastAsia="仿宋_GB2312" w:cs="Times New Roman"/>
          <w:b/>
          <w:bCs/>
          <w:color w:val="auto"/>
          <w:sz w:val="24"/>
          <w:szCs w:val="24"/>
          <w:highlight w:val="none"/>
        </w:rPr>
        <w:t>月</w:t>
      </w:r>
      <w:r>
        <w:rPr>
          <w:rFonts w:hint="eastAsia" w:ascii="仿宋_GB2312" w:hAnsi="仿宋" w:eastAsia="仿宋_GB2312" w:cs="Times New Roman"/>
          <w:b/>
          <w:bCs/>
          <w:color w:val="auto"/>
          <w:sz w:val="24"/>
          <w:szCs w:val="24"/>
          <w:highlight w:val="none"/>
          <w:lang w:val="en-US" w:eastAsia="zh-CN"/>
        </w:rPr>
        <w:t>26</w:t>
      </w:r>
      <w:r>
        <w:rPr>
          <w:rFonts w:hint="eastAsia" w:ascii="仿宋_GB2312" w:hAnsi="仿宋" w:eastAsia="仿宋_GB2312" w:cs="Times New Roman"/>
          <w:b/>
          <w:bCs/>
          <w:color w:val="auto"/>
          <w:sz w:val="24"/>
          <w:szCs w:val="24"/>
          <w:highlight w:val="none"/>
        </w:rPr>
        <w:t>日 8:</w:t>
      </w:r>
      <w:r>
        <w:rPr>
          <w:rFonts w:hint="eastAsia" w:ascii="仿宋_GB2312" w:hAnsi="仿宋" w:eastAsia="仿宋_GB2312" w:cs="Times New Roman"/>
          <w:b/>
          <w:bCs/>
          <w:color w:val="auto"/>
          <w:sz w:val="24"/>
          <w:szCs w:val="24"/>
          <w:highlight w:val="none"/>
          <w:lang w:val="en-US" w:eastAsia="zh-CN"/>
        </w:rPr>
        <w:t>3</w:t>
      </w:r>
      <w:r>
        <w:rPr>
          <w:rFonts w:hint="eastAsia" w:ascii="仿宋_GB2312" w:hAnsi="仿宋" w:eastAsia="仿宋_GB2312" w:cs="Times New Roman"/>
          <w:b/>
          <w:bCs/>
          <w:color w:val="auto"/>
          <w:sz w:val="24"/>
          <w:szCs w:val="24"/>
          <w:highlight w:val="none"/>
        </w:rPr>
        <w:t>0:00至2022年</w:t>
      </w:r>
      <w:r>
        <w:rPr>
          <w:rFonts w:hint="eastAsia" w:ascii="仿宋_GB2312" w:hAnsi="仿宋" w:eastAsia="仿宋_GB2312" w:cs="Times New Roman"/>
          <w:b/>
          <w:bCs/>
          <w:color w:val="auto"/>
          <w:sz w:val="24"/>
          <w:szCs w:val="24"/>
          <w:highlight w:val="none"/>
          <w:lang w:val="en-US" w:eastAsia="zh-CN"/>
        </w:rPr>
        <w:t>11</w:t>
      </w:r>
      <w:r>
        <w:rPr>
          <w:rFonts w:hint="eastAsia" w:ascii="仿宋_GB2312" w:hAnsi="仿宋" w:eastAsia="仿宋_GB2312" w:cs="Times New Roman"/>
          <w:b/>
          <w:bCs/>
          <w:color w:val="auto"/>
          <w:sz w:val="24"/>
          <w:szCs w:val="24"/>
          <w:highlight w:val="none"/>
        </w:rPr>
        <w:t>月</w:t>
      </w:r>
      <w:r>
        <w:rPr>
          <w:rFonts w:hint="eastAsia" w:ascii="仿宋_GB2312" w:hAnsi="仿宋" w:eastAsia="仿宋_GB2312" w:cs="Times New Roman"/>
          <w:b/>
          <w:bCs/>
          <w:color w:val="auto"/>
          <w:sz w:val="24"/>
          <w:szCs w:val="24"/>
          <w:highlight w:val="none"/>
          <w:lang w:val="en-US" w:eastAsia="zh-CN"/>
        </w:rPr>
        <w:t>26</w:t>
      </w:r>
      <w:r>
        <w:rPr>
          <w:rFonts w:hint="eastAsia" w:ascii="仿宋_GB2312" w:hAnsi="仿宋" w:eastAsia="仿宋_GB2312" w:cs="Times New Roman"/>
          <w:b/>
          <w:bCs/>
          <w:color w:val="auto"/>
          <w:sz w:val="24"/>
          <w:szCs w:val="24"/>
          <w:highlight w:val="none"/>
        </w:rPr>
        <w:t>日13:30:00</w:t>
      </w:r>
      <w:r>
        <w:rPr>
          <w:rFonts w:hint="eastAsia" w:ascii="仿宋_GB2312" w:hAnsi="仿宋" w:eastAsia="仿宋_GB2312" w:cs="Times New Roman"/>
          <w:b/>
          <w:bCs/>
          <w:color w:val="auto"/>
          <w:sz w:val="24"/>
          <w:szCs w:val="24"/>
          <w:highlight w:val="none"/>
          <w:lang w:eastAsia="zh-CN"/>
        </w:rPr>
        <w:t>。</w:t>
      </w:r>
      <w:r>
        <w:rPr>
          <w:rFonts w:hint="eastAsia" w:ascii="仿宋_GB2312" w:hAnsi="仿宋" w:eastAsia="仿宋_GB2312" w:cs="Times New Roman"/>
          <w:sz w:val="24"/>
          <w:szCs w:val="24"/>
          <w:highlight w:val="none"/>
        </w:rPr>
        <w:t>请投标人在上述时间内</w:t>
      </w:r>
      <w:r>
        <w:rPr>
          <w:rFonts w:hint="eastAsia" w:ascii="仿宋_GB2312" w:hAnsi="仿宋" w:eastAsia="仿宋_GB2312" w:cs="Times New Roman"/>
          <w:sz w:val="24"/>
          <w:szCs w:val="24"/>
          <w:highlight w:val="none"/>
          <w:lang w:eastAsia="zh-CN"/>
        </w:rPr>
        <w:t>提供</w:t>
      </w:r>
      <w:r>
        <w:rPr>
          <w:rFonts w:hint="eastAsia" w:ascii="仿宋_GB2312" w:hAnsi="仿宋" w:eastAsia="仿宋_GB2312" w:cs="Times New Roman"/>
          <w:sz w:val="24"/>
          <w:szCs w:val="24"/>
          <w:highlight w:val="none"/>
        </w:rPr>
        <w:t>样品并按规定位置安装完毕。超过截止时间的，采购人将不</w:t>
      </w:r>
      <w:r>
        <w:rPr>
          <w:rFonts w:hint="eastAsia" w:ascii="仿宋_GB2312" w:hAnsi="仿宋" w:eastAsia="仿宋_GB2312" w:cs="Times New Roman"/>
          <w:sz w:val="24"/>
          <w:szCs w:val="24"/>
        </w:rPr>
        <w:t>予接收。截止时间过后，采购人将清场并封闭样品现场。样</w:t>
      </w:r>
      <w:r>
        <w:rPr>
          <w:rFonts w:hint="eastAsia" w:ascii="仿宋_GB2312" w:hAnsi="仿宋" w:eastAsia="仿宋_GB2312" w:cs="Times New Roman"/>
          <w:color w:val="auto"/>
          <w:sz w:val="24"/>
          <w:szCs w:val="24"/>
        </w:rPr>
        <w:t>品接收地点：</w:t>
      </w:r>
      <w:r>
        <w:rPr>
          <w:rFonts w:hint="eastAsia" w:ascii="仿宋_GB2312" w:hAnsi="仿宋" w:eastAsia="仿宋_GB2312" w:cs="Times New Roman"/>
          <w:b/>
          <w:bCs/>
          <w:color w:val="auto"/>
          <w:sz w:val="24"/>
          <w:szCs w:val="24"/>
        </w:rPr>
        <w:t>浙江省杭州市临安区锦北街道科技大道4398号市民中心1号楼B座4楼询标室B436</w:t>
      </w:r>
      <w:r>
        <w:rPr>
          <w:rFonts w:hint="eastAsia" w:ascii="仿宋_GB2312" w:hAnsi="仿宋" w:eastAsia="仿宋_GB2312" w:cs="Times New Roman"/>
          <w:color w:val="auto"/>
          <w:sz w:val="24"/>
          <w:szCs w:val="24"/>
        </w:rPr>
        <w:t>。所有</w:t>
      </w:r>
      <w:r>
        <w:rPr>
          <w:rFonts w:hint="eastAsia" w:ascii="仿宋_GB2312" w:hAnsi="仿宋" w:eastAsia="仿宋_GB2312" w:cs="Times New Roman"/>
          <w:color w:val="auto"/>
          <w:sz w:val="24"/>
          <w:szCs w:val="24"/>
          <w:lang w:eastAsia="zh-CN"/>
        </w:rPr>
        <w:t>提供</w:t>
      </w:r>
      <w:r>
        <w:rPr>
          <w:rFonts w:hint="eastAsia" w:ascii="仿宋_GB2312" w:hAnsi="仿宋" w:eastAsia="仿宋_GB2312" w:cs="Times New Roman"/>
          <w:sz w:val="24"/>
          <w:szCs w:val="24"/>
        </w:rPr>
        <w:t>的样品不能出现公司名称或与公司有关的商标和标记，如发现有，所有样品分作零分处理；样品未</w:t>
      </w:r>
      <w:r>
        <w:rPr>
          <w:rFonts w:hint="eastAsia" w:ascii="仿宋_GB2312" w:hAnsi="仿宋" w:eastAsia="仿宋_GB2312" w:cs="Times New Roman"/>
          <w:sz w:val="24"/>
          <w:szCs w:val="24"/>
          <w:lang w:eastAsia="zh-CN"/>
        </w:rPr>
        <w:t>提供</w:t>
      </w:r>
      <w:r>
        <w:rPr>
          <w:rFonts w:hint="eastAsia" w:ascii="仿宋_GB2312" w:hAnsi="仿宋" w:eastAsia="仿宋_GB2312" w:cs="Times New Roman"/>
          <w:sz w:val="24"/>
          <w:szCs w:val="24"/>
        </w:rPr>
        <w:t>或样品</w:t>
      </w:r>
      <w:r>
        <w:rPr>
          <w:rFonts w:hint="eastAsia" w:ascii="仿宋_GB2312" w:hAnsi="仿宋" w:eastAsia="仿宋_GB2312" w:cs="Times New Roman"/>
          <w:sz w:val="24"/>
          <w:szCs w:val="24"/>
          <w:lang w:eastAsia="zh-CN"/>
        </w:rPr>
        <w:t>提供</w:t>
      </w:r>
      <w:r>
        <w:rPr>
          <w:rFonts w:hint="eastAsia" w:ascii="仿宋_GB2312" w:hAnsi="仿宋" w:eastAsia="仿宋_GB2312" w:cs="Times New Roman"/>
          <w:sz w:val="24"/>
          <w:szCs w:val="24"/>
        </w:rPr>
        <w:t>不全，样品分作零分处理。</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(3)</w:t>
      </w:r>
      <w:r>
        <w:rPr>
          <w:rFonts w:ascii="仿宋_GB2312" w:hAnsi="仿宋" w:eastAsia="仿宋_GB2312" w:cs="Times New Roman"/>
          <w:sz w:val="24"/>
          <w:szCs w:val="24"/>
        </w:rPr>
        <w:t>采购活动结束后，对于未中标人</w:t>
      </w:r>
      <w:r>
        <w:rPr>
          <w:rFonts w:hint="eastAsia" w:ascii="仿宋_GB2312" w:hAnsi="仿宋" w:eastAsia="仿宋_GB2312" w:cs="Times New Roman"/>
          <w:sz w:val="24"/>
          <w:szCs w:val="24"/>
          <w:lang w:eastAsia="zh-CN"/>
        </w:rPr>
        <w:t>提供</w:t>
      </w:r>
      <w:r>
        <w:rPr>
          <w:rFonts w:ascii="仿宋_GB2312" w:hAnsi="仿宋" w:eastAsia="仿宋_GB2312" w:cs="Times New Roman"/>
          <w:sz w:val="24"/>
          <w:szCs w:val="24"/>
        </w:rPr>
        <w:t>的样品，</w:t>
      </w:r>
      <w:r>
        <w:rPr>
          <w:rFonts w:hint="eastAsia" w:ascii="仿宋_GB2312" w:hAnsi="仿宋" w:eastAsia="仿宋_GB2312" w:cs="Times New Roman"/>
          <w:sz w:val="24"/>
          <w:szCs w:val="24"/>
        </w:rPr>
        <w:t>采购人、采购机构将通知</w:t>
      </w:r>
      <w:r>
        <w:rPr>
          <w:rFonts w:ascii="仿宋_GB2312" w:hAnsi="仿宋" w:eastAsia="仿宋_GB2312" w:cs="Times New Roman"/>
          <w:sz w:val="24"/>
          <w:szCs w:val="24"/>
        </w:rPr>
        <w:t>未中标人</w:t>
      </w:r>
      <w:r>
        <w:rPr>
          <w:rFonts w:hint="eastAsia" w:ascii="仿宋_GB2312" w:hAnsi="仿宋" w:eastAsia="仿宋_GB2312" w:cs="Times New Roman"/>
          <w:sz w:val="24"/>
          <w:szCs w:val="24"/>
        </w:rPr>
        <w:t>在规定的时间内取回，逾期未取回的，采购人、采购机构不负保管义务</w:t>
      </w:r>
      <w:r>
        <w:rPr>
          <w:rFonts w:ascii="仿宋_GB2312" w:hAnsi="仿宋" w:eastAsia="仿宋_GB2312" w:cs="Times New Roman"/>
          <w:sz w:val="24"/>
          <w:szCs w:val="24"/>
        </w:rPr>
        <w:t>；对于中标人</w:t>
      </w:r>
      <w:r>
        <w:rPr>
          <w:rFonts w:hint="eastAsia" w:ascii="仿宋_GB2312" w:hAnsi="仿宋" w:eastAsia="仿宋_GB2312" w:cs="Times New Roman"/>
          <w:sz w:val="24"/>
          <w:szCs w:val="24"/>
          <w:lang w:eastAsia="zh-CN"/>
        </w:rPr>
        <w:t>符合</w:t>
      </w:r>
      <w:r>
        <w:rPr>
          <w:rFonts w:ascii="仿宋_GB2312" w:hAnsi="仿宋" w:eastAsia="仿宋_GB2312" w:cs="Times New Roman"/>
          <w:sz w:val="24"/>
          <w:szCs w:val="24"/>
        </w:rPr>
        <w:t>的样品，</w:t>
      </w:r>
      <w:r>
        <w:rPr>
          <w:rFonts w:hint="eastAsia" w:ascii="仿宋_GB2312" w:hAnsi="仿宋" w:eastAsia="仿宋_GB2312" w:cs="Times New Roman"/>
          <w:sz w:val="24"/>
          <w:szCs w:val="24"/>
        </w:rPr>
        <w:t>采购人将进</w:t>
      </w:r>
      <w:r>
        <w:rPr>
          <w:rFonts w:ascii="仿宋_GB2312" w:hAnsi="仿宋" w:eastAsia="仿宋_GB2312" w:cs="Times New Roman"/>
          <w:sz w:val="24"/>
          <w:szCs w:val="24"/>
        </w:rPr>
        <w:t>行保管、封存，并作为履约验收的参考。</w:t>
      </w:r>
    </w:p>
    <w:p>
      <w:pPr>
        <w:ind w:firstLine="480" w:firstLineChars="200"/>
        <w:jc w:val="both"/>
        <w:rPr>
          <w:rFonts w:hint="eastAsia" w:ascii="仿宋_GB2312" w:hAnsi="仿宋" w:eastAsia="仿宋_GB2312" w:cs="Times New Roman"/>
          <w:sz w:val="24"/>
          <w:szCs w:val="24"/>
          <w:lang w:eastAsia="zh-CN"/>
        </w:rPr>
      </w:pPr>
      <w:r>
        <w:rPr>
          <w:rFonts w:hint="eastAsia" w:ascii="仿宋_GB2312" w:hAnsi="仿宋" w:eastAsia="仿宋_GB2312" w:cs="Times New Roman"/>
          <w:sz w:val="24"/>
          <w:szCs w:val="24"/>
        </w:rPr>
        <w:t>（4）制作、运输、安装和保管样品所发生的一切费用由投标人自理</w:t>
      </w:r>
      <w:r>
        <w:rPr>
          <w:rFonts w:hint="eastAsia" w:ascii="仿宋_GB2312" w:hAnsi="仿宋" w:eastAsia="仿宋_GB2312" w:cs="Times New Roman"/>
          <w:sz w:val="24"/>
          <w:szCs w:val="24"/>
          <w:lang w:eastAsia="zh-CN"/>
        </w:rPr>
        <w:t>。</w:t>
      </w:r>
    </w:p>
    <w:p>
      <w:pPr>
        <w:pStyle w:val="61"/>
        <w:ind w:left="0" w:leftChars="0" w:firstLine="0" w:firstLineChars="0"/>
        <w:rPr>
          <w:rFonts w:hint="default"/>
          <w:lang w:val="en-US" w:eastAsia="zh-CN"/>
        </w:rPr>
      </w:pPr>
    </w:p>
    <w:p>
      <w:pPr>
        <w:spacing w:line="360" w:lineRule="auto"/>
        <w:ind w:firstLine="181" w:firstLineChars="50"/>
        <w:rPr>
          <w:rFonts w:hint="eastAsia" w:ascii="仿宋" w:hAnsi="仿宋" w:eastAsia="仿宋" w:cs="仿宋"/>
          <w:b/>
          <w:sz w:val="36"/>
          <w:szCs w:val="36"/>
        </w:rPr>
      </w:pPr>
    </w:p>
    <w:p>
      <w:pPr>
        <w:spacing w:line="360" w:lineRule="auto"/>
        <w:rPr>
          <w:rFonts w:hint="eastAsia" w:ascii="仿宋" w:hAnsi="仿宋" w:eastAsia="仿宋" w:cs="仿宋"/>
          <w:sz w:val="24"/>
        </w:rPr>
      </w:pPr>
    </w:p>
    <w:p>
      <w:pPr>
        <w:widowControl/>
        <w:ind w:firstLine="720" w:firstLineChars="300"/>
        <w:jc w:val="left"/>
        <w:rPr>
          <w:rFonts w:hint="eastAsia" w:ascii="仿宋" w:hAnsi="仿宋" w:eastAsia="仿宋" w:cs="仿宋"/>
          <w:bCs/>
          <w:sz w:val="24"/>
        </w:rPr>
      </w:pPr>
    </w:p>
    <w:p>
      <w:pPr>
        <w:rPr>
          <w:rFonts w:hint="eastAsia" w:ascii="仿宋" w:hAnsi="仿宋" w:eastAsia="仿宋" w:cs="仿宋"/>
          <w:snapToGrid w:val="0"/>
          <w:kern w:val="0"/>
          <w:sz w:val="24"/>
        </w:rPr>
      </w:pPr>
    </w:p>
    <w:p>
      <w:pPr>
        <w:snapToGrid w:val="0"/>
        <w:spacing w:line="360" w:lineRule="auto"/>
        <w:jc w:val="center"/>
        <w:rPr>
          <w:rFonts w:hint="eastAsia" w:ascii="仿宋" w:hAnsi="仿宋" w:eastAsia="仿宋" w:cs="仿宋"/>
          <w:b/>
          <w:sz w:val="36"/>
          <w:szCs w:val="36"/>
        </w:rPr>
      </w:pPr>
      <w:r>
        <w:rPr>
          <w:rFonts w:hint="eastAsia" w:ascii="仿宋" w:hAnsi="仿宋" w:eastAsia="仿宋" w:cs="仿宋"/>
          <w:b/>
          <w:sz w:val="24"/>
        </w:rPr>
        <w:br w:type="page"/>
      </w:r>
      <w:r>
        <w:rPr>
          <w:rFonts w:hint="eastAsia" w:ascii="仿宋" w:hAnsi="仿宋" w:eastAsia="仿宋" w:cs="仿宋"/>
          <w:b/>
          <w:sz w:val="36"/>
          <w:szCs w:val="36"/>
        </w:rPr>
        <w:t xml:space="preserve">第四部分   </w:t>
      </w:r>
      <w:bookmarkStart w:id="33" w:name="_Toc184308044"/>
      <w:bookmarkEnd w:id="33"/>
      <w:bookmarkStart w:id="34" w:name="_Toc184312104"/>
      <w:bookmarkEnd w:id="34"/>
      <w:bookmarkStart w:id="35" w:name="_Toc184312074"/>
      <w:bookmarkEnd w:id="35"/>
      <w:bookmarkStart w:id="36" w:name="_Toc184308086"/>
      <w:bookmarkEnd w:id="36"/>
      <w:bookmarkStart w:id="37" w:name="_Toc184308108"/>
      <w:bookmarkEnd w:id="37"/>
      <w:bookmarkStart w:id="38" w:name="_Toc184310296"/>
      <w:bookmarkEnd w:id="38"/>
      <w:bookmarkStart w:id="39" w:name="_Toc184308079"/>
      <w:bookmarkEnd w:id="39"/>
      <w:bookmarkStart w:id="40" w:name="_Toc184310297"/>
      <w:bookmarkEnd w:id="40"/>
      <w:bookmarkStart w:id="41" w:name="_Toc184314472"/>
      <w:bookmarkEnd w:id="41"/>
      <w:bookmarkStart w:id="42" w:name="_Toc184308100"/>
      <w:bookmarkEnd w:id="42"/>
      <w:bookmarkStart w:id="43" w:name="_Toc184310272"/>
      <w:bookmarkEnd w:id="43"/>
      <w:bookmarkStart w:id="44" w:name="_Toc184308041"/>
      <w:bookmarkEnd w:id="44"/>
      <w:bookmarkStart w:id="45" w:name="_Toc184314460"/>
      <w:bookmarkEnd w:id="45"/>
      <w:bookmarkStart w:id="46" w:name="_Toc184313262"/>
      <w:bookmarkEnd w:id="46"/>
      <w:bookmarkStart w:id="47" w:name="_Toc184313255"/>
      <w:bookmarkEnd w:id="47"/>
      <w:bookmarkStart w:id="48" w:name="_Toc184310319"/>
      <w:bookmarkEnd w:id="48"/>
      <w:bookmarkStart w:id="49" w:name="_Toc184313305"/>
      <w:bookmarkEnd w:id="49"/>
      <w:bookmarkStart w:id="50" w:name="_Toc184310300"/>
      <w:bookmarkEnd w:id="50"/>
      <w:bookmarkStart w:id="51" w:name="_Toc184308053"/>
      <w:bookmarkEnd w:id="51"/>
      <w:bookmarkStart w:id="52" w:name="_Toc184313275"/>
      <w:bookmarkEnd w:id="52"/>
      <w:bookmarkStart w:id="53" w:name="_Toc184314415"/>
      <w:bookmarkEnd w:id="53"/>
      <w:bookmarkStart w:id="54" w:name="_Toc184310312"/>
      <w:bookmarkEnd w:id="54"/>
      <w:bookmarkStart w:id="55" w:name="_Toc184312085"/>
      <w:bookmarkEnd w:id="55"/>
      <w:bookmarkStart w:id="56" w:name="_Toc184308039"/>
      <w:bookmarkEnd w:id="56"/>
      <w:bookmarkStart w:id="57" w:name="_Toc184312099"/>
      <w:bookmarkEnd w:id="57"/>
      <w:bookmarkStart w:id="58" w:name="_Toc184310318"/>
      <w:bookmarkEnd w:id="58"/>
      <w:bookmarkStart w:id="59" w:name="_Toc184312110"/>
      <w:bookmarkEnd w:id="59"/>
      <w:bookmarkStart w:id="60" w:name="_Toc184314420"/>
      <w:bookmarkEnd w:id="60"/>
      <w:bookmarkStart w:id="61" w:name="_Toc184314478"/>
      <w:bookmarkEnd w:id="61"/>
      <w:bookmarkStart w:id="62" w:name="_Toc184314449"/>
      <w:bookmarkEnd w:id="62"/>
      <w:bookmarkStart w:id="63" w:name="_Toc184312107"/>
      <w:bookmarkEnd w:id="63"/>
      <w:bookmarkStart w:id="64" w:name="_Toc184314422"/>
      <w:bookmarkEnd w:id="64"/>
      <w:bookmarkStart w:id="65" w:name="_Toc184314464"/>
      <w:bookmarkEnd w:id="65"/>
      <w:bookmarkStart w:id="66" w:name="_Toc184314482"/>
      <w:bookmarkEnd w:id="66"/>
      <w:bookmarkStart w:id="67" w:name="_Toc184313238"/>
      <w:bookmarkEnd w:id="67"/>
      <w:bookmarkStart w:id="68" w:name="_Toc184314444"/>
      <w:bookmarkEnd w:id="68"/>
      <w:bookmarkStart w:id="69" w:name="_Toc184313292"/>
      <w:bookmarkEnd w:id="69"/>
      <w:bookmarkStart w:id="70" w:name="_Toc184314451"/>
      <w:bookmarkEnd w:id="70"/>
      <w:bookmarkStart w:id="71" w:name="_Toc184313274"/>
      <w:bookmarkEnd w:id="71"/>
      <w:bookmarkStart w:id="72" w:name="_Toc184310281"/>
      <w:bookmarkEnd w:id="72"/>
      <w:bookmarkStart w:id="73" w:name="_Toc184310299"/>
      <w:bookmarkEnd w:id="73"/>
      <w:bookmarkStart w:id="74" w:name="_Toc184314428"/>
      <w:bookmarkEnd w:id="74"/>
      <w:bookmarkStart w:id="75" w:name="_Toc184310295"/>
      <w:bookmarkEnd w:id="75"/>
      <w:bookmarkStart w:id="76" w:name="_Toc184310320"/>
      <w:bookmarkEnd w:id="76"/>
      <w:bookmarkStart w:id="77" w:name="_Toc184310282"/>
      <w:bookmarkEnd w:id="77"/>
      <w:bookmarkStart w:id="78" w:name="_Toc184312070"/>
      <w:bookmarkEnd w:id="78"/>
      <w:bookmarkStart w:id="79" w:name="_Toc184312115"/>
      <w:bookmarkEnd w:id="79"/>
      <w:bookmarkStart w:id="80" w:name="_Toc184310343"/>
      <w:bookmarkEnd w:id="80"/>
      <w:bookmarkStart w:id="81" w:name="_Toc184314410"/>
      <w:bookmarkEnd w:id="81"/>
      <w:bookmarkStart w:id="82" w:name="_Toc184312138"/>
      <w:bookmarkEnd w:id="82"/>
      <w:bookmarkStart w:id="83" w:name="_Toc184310289"/>
      <w:bookmarkEnd w:id="83"/>
      <w:bookmarkStart w:id="84" w:name="_Toc184312075"/>
      <w:bookmarkEnd w:id="84"/>
      <w:bookmarkStart w:id="85" w:name="_Toc184308082"/>
      <w:bookmarkEnd w:id="85"/>
      <w:bookmarkStart w:id="86" w:name="_Toc184312139"/>
      <w:bookmarkEnd w:id="86"/>
      <w:bookmarkStart w:id="87" w:name="_Toc184313295"/>
      <w:bookmarkEnd w:id="87"/>
      <w:bookmarkStart w:id="88" w:name="_Toc184313282"/>
      <w:bookmarkEnd w:id="88"/>
      <w:bookmarkStart w:id="89" w:name="_Toc184308050"/>
      <w:bookmarkEnd w:id="89"/>
      <w:bookmarkStart w:id="90" w:name="_Toc184313306"/>
      <w:bookmarkEnd w:id="90"/>
      <w:bookmarkStart w:id="91" w:name="_Toc184308045"/>
      <w:bookmarkEnd w:id="91"/>
      <w:bookmarkStart w:id="92" w:name="_Toc184308052"/>
      <w:bookmarkEnd w:id="92"/>
      <w:bookmarkStart w:id="93" w:name="_Toc184310283"/>
      <w:bookmarkEnd w:id="93"/>
      <w:bookmarkStart w:id="94" w:name="_Toc184313244"/>
      <w:bookmarkEnd w:id="94"/>
      <w:bookmarkStart w:id="95" w:name="_Toc184313302"/>
      <w:bookmarkEnd w:id="95"/>
      <w:bookmarkStart w:id="96" w:name="_Toc184310293"/>
      <w:bookmarkEnd w:id="96"/>
      <w:bookmarkStart w:id="97" w:name="_Toc184314414"/>
      <w:bookmarkEnd w:id="97"/>
      <w:bookmarkStart w:id="98" w:name="_Toc184313284"/>
      <w:bookmarkEnd w:id="98"/>
      <w:bookmarkStart w:id="99" w:name="_Toc184312079"/>
      <w:bookmarkEnd w:id="99"/>
      <w:bookmarkStart w:id="100" w:name="_Toc184312101"/>
      <w:bookmarkEnd w:id="100"/>
      <w:bookmarkStart w:id="101" w:name="_Toc184314445"/>
      <w:bookmarkEnd w:id="101"/>
      <w:bookmarkStart w:id="102" w:name="_Toc184312102"/>
      <w:bookmarkEnd w:id="102"/>
      <w:bookmarkStart w:id="103" w:name="_Toc184313240"/>
      <w:bookmarkEnd w:id="103"/>
      <w:bookmarkStart w:id="104" w:name="_Toc184310323"/>
      <w:bookmarkEnd w:id="104"/>
      <w:bookmarkStart w:id="105" w:name="_Toc184312103"/>
      <w:bookmarkEnd w:id="105"/>
      <w:bookmarkStart w:id="106" w:name="_Toc184314421"/>
      <w:bookmarkEnd w:id="106"/>
      <w:bookmarkStart w:id="107" w:name="_Toc184314426"/>
      <w:bookmarkEnd w:id="107"/>
      <w:bookmarkStart w:id="108" w:name="_Toc184310332"/>
      <w:bookmarkEnd w:id="108"/>
      <w:bookmarkStart w:id="109" w:name="_Toc184313269"/>
      <w:bookmarkEnd w:id="109"/>
      <w:bookmarkStart w:id="110" w:name="_Toc184314455"/>
      <w:bookmarkEnd w:id="110"/>
      <w:bookmarkStart w:id="111" w:name="_Toc184312080"/>
      <w:bookmarkEnd w:id="111"/>
      <w:bookmarkStart w:id="112" w:name="_Toc184313268"/>
      <w:bookmarkEnd w:id="112"/>
      <w:bookmarkStart w:id="113" w:name="_Toc184312067"/>
      <w:bookmarkEnd w:id="113"/>
      <w:bookmarkStart w:id="114" w:name="_Toc184310313"/>
      <w:bookmarkEnd w:id="114"/>
      <w:bookmarkStart w:id="115" w:name="_Toc184313271"/>
      <w:bookmarkEnd w:id="115"/>
      <w:bookmarkStart w:id="116" w:name="_Toc184314429"/>
      <w:bookmarkEnd w:id="116"/>
      <w:bookmarkStart w:id="117" w:name="_Toc184310284"/>
      <w:bookmarkEnd w:id="117"/>
      <w:bookmarkStart w:id="118" w:name="_Toc184312105"/>
      <w:bookmarkEnd w:id="118"/>
      <w:bookmarkStart w:id="119" w:name="_Toc184314448"/>
      <w:bookmarkEnd w:id="119"/>
      <w:bookmarkStart w:id="120" w:name="_Toc184314471"/>
      <w:bookmarkEnd w:id="120"/>
      <w:bookmarkStart w:id="121" w:name="_Toc184308063"/>
      <w:bookmarkEnd w:id="121"/>
      <w:bookmarkStart w:id="122" w:name="_Toc184313309"/>
      <w:bookmarkEnd w:id="122"/>
      <w:bookmarkStart w:id="123" w:name="_Toc184314450"/>
      <w:bookmarkEnd w:id="123"/>
      <w:bookmarkStart w:id="124" w:name="_Toc184310292"/>
      <w:bookmarkEnd w:id="124"/>
      <w:bookmarkStart w:id="125" w:name="_Toc184308093"/>
      <w:bookmarkEnd w:id="125"/>
      <w:bookmarkStart w:id="126" w:name="_Toc184313276"/>
      <w:bookmarkEnd w:id="126"/>
      <w:bookmarkStart w:id="127" w:name="_Toc184313277"/>
      <w:bookmarkEnd w:id="127"/>
      <w:bookmarkStart w:id="128" w:name="_Toc184313283"/>
      <w:bookmarkEnd w:id="128"/>
      <w:bookmarkStart w:id="129" w:name="_Toc184314430"/>
      <w:bookmarkEnd w:id="129"/>
      <w:bookmarkStart w:id="130" w:name="_Toc184310302"/>
      <w:bookmarkEnd w:id="130"/>
      <w:bookmarkStart w:id="131" w:name="_Toc184313249"/>
      <w:bookmarkEnd w:id="131"/>
      <w:bookmarkStart w:id="132" w:name="_Toc184308060"/>
      <w:bookmarkEnd w:id="132"/>
      <w:bookmarkStart w:id="133" w:name="_Toc184313252"/>
      <w:bookmarkEnd w:id="133"/>
      <w:bookmarkStart w:id="134" w:name="_Toc184312134"/>
      <w:bookmarkEnd w:id="134"/>
      <w:bookmarkStart w:id="135" w:name="_Toc184308040"/>
      <w:bookmarkEnd w:id="135"/>
      <w:bookmarkStart w:id="136" w:name="_Toc184313304"/>
      <w:bookmarkEnd w:id="136"/>
      <w:bookmarkStart w:id="137" w:name="_Toc184310339"/>
      <w:bookmarkEnd w:id="137"/>
      <w:bookmarkStart w:id="138" w:name="_Toc184308105"/>
      <w:bookmarkEnd w:id="138"/>
      <w:bookmarkStart w:id="139" w:name="_Toc184313301"/>
      <w:bookmarkEnd w:id="139"/>
      <w:bookmarkStart w:id="140" w:name="_Toc184308061"/>
      <w:bookmarkEnd w:id="140"/>
      <w:bookmarkStart w:id="141" w:name="_Toc184308094"/>
      <w:bookmarkEnd w:id="141"/>
      <w:bookmarkStart w:id="142" w:name="_Toc184308096"/>
      <w:bookmarkEnd w:id="142"/>
      <w:bookmarkStart w:id="143" w:name="_Toc184314457"/>
      <w:bookmarkEnd w:id="143"/>
      <w:bookmarkStart w:id="144" w:name="_Toc184310291"/>
      <w:bookmarkEnd w:id="144"/>
      <w:bookmarkStart w:id="145" w:name="_Toc184312078"/>
      <w:bookmarkEnd w:id="145"/>
      <w:bookmarkStart w:id="146" w:name="_Toc184308103"/>
      <w:bookmarkEnd w:id="146"/>
      <w:bookmarkStart w:id="147" w:name="_Toc184308075"/>
      <w:bookmarkEnd w:id="147"/>
      <w:bookmarkStart w:id="148" w:name="_Toc184308083"/>
      <w:bookmarkEnd w:id="148"/>
      <w:bookmarkStart w:id="149" w:name="_Toc184314459"/>
      <w:bookmarkEnd w:id="149"/>
      <w:bookmarkStart w:id="150" w:name="_Toc184310333"/>
      <w:bookmarkEnd w:id="150"/>
      <w:bookmarkStart w:id="151" w:name="_Toc184310273"/>
      <w:bookmarkEnd w:id="151"/>
      <w:bookmarkStart w:id="152" w:name="_Toc184313248"/>
      <w:bookmarkEnd w:id="152"/>
      <w:bookmarkStart w:id="153" w:name="_Toc184314468"/>
      <w:bookmarkEnd w:id="153"/>
      <w:bookmarkStart w:id="154" w:name="_Toc184308043"/>
      <w:bookmarkEnd w:id="154"/>
      <w:bookmarkStart w:id="155" w:name="_Toc184314475"/>
      <w:bookmarkEnd w:id="155"/>
      <w:bookmarkStart w:id="156" w:name="_Toc184314433"/>
      <w:bookmarkEnd w:id="156"/>
      <w:bookmarkStart w:id="157" w:name="_Toc184314473"/>
      <w:bookmarkEnd w:id="157"/>
      <w:bookmarkStart w:id="158" w:name="_Toc184312083"/>
      <w:bookmarkEnd w:id="158"/>
      <w:bookmarkStart w:id="159" w:name="_Toc184308084"/>
      <w:bookmarkEnd w:id="159"/>
      <w:bookmarkStart w:id="160" w:name="_Toc184312120"/>
      <w:bookmarkEnd w:id="160"/>
      <w:bookmarkStart w:id="161" w:name="_Toc184312135"/>
      <w:bookmarkEnd w:id="161"/>
      <w:bookmarkStart w:id="162" w:name="_Toc184310326"/>
      <w:bookmarkEnd w:id="162"/>
      <w:bookmarkStart w:id="163" w:name="_Toc184314461"/>
      <w:bookmarkEnd w:id="163"/>
      <w:bookmarkStart w:id="164" w:name="_Toc184312123"/>
      <w:bookmarkEnd w:id="164"/>
      <w:bookmarkStart w:id="165" w:name="_Toc184313281"/>
      <w:bookmarkEnd w:id="165"/>
      <w:bookmarkStart w:id="166" w:name="_Toc184308059"/>
      <w:bookmarkEnd w:id="166"/>
      <w:bookmarkStart w:id="167" w:name="_Toc184310276"/>
      <w:bookmarkEnd w:id="167"/>
      <w:bookmarkStart w:id="168" w:name="_Toc184310275"/>
      <w:bookmarkEnd w:id="168"/>
      <w:bookmarkStart w:id="169" w:name="_Toc184313299"/>
      <w:bookmarkEnd w:id="169"/>
      <w:bookmarkStart w:id="170" w:name="_Toc184312117"/>
      <w:bookmarkEnd w:id="170"/>
      <w:bookmarkStart w:id="171" w:name="_Toc184313308"/>
      <w:bookmarkEnd w:id="171"/>
      <w:bookmarkStart w:id="172" w:name="_Toc184308071"/>
      <w:bookmarkEnd w:id="172"/>
      <w:bookmarkStart w:id="173" w:name="_Toc184308087"/>
      <w:bookmarkEnd w:id="173"/>
      <w:bookmarkStart w:id="174" w:name="_Toc184314479"/>
      <w:bookmarkEnd w:id="174"/>
      <w:bookmarkStart w:id="175" w:name="_Toc184310303"/>
      <w:bookmarkEnd w:id="175"/>
      <w:bookmarkStart w:id="176" w:name="_Toc184314467"/>
      <w:bookmarkEnd w:id="176"/>
      <w:bookmarkStart w:id="177" w:name="_Toc184308046"/>
      <w:bookmarkEnd w:id="177"/>
      <w:bookmarkStart w:id="178" w:name="_Toc184310341"/>
      <w:bookmarkEnd w:id="178"/>
      <w:bookmarkStart w:id="179" w:name="_Toc184314453"/>
      <w:bookmarkEnd w:id="179"/>
      <w:bookmarkStart w:id="180" w:name="_Toc184310301"/>
      <w:bookmarkEnd w:id="180"/>
      <w:bookmarkStart w:id="181" w:name="_Toc184313239"/>
      <w:bookmarkEnd w:id="181"/>
      <w:bookmarkStart w:id="182" w:name="_Toc184313270"/>
      <w:bookmarkEnd w:id="182"/>
      <w:bookmarkStart w:id="183" w:name="_Toc184310316"/>
      <w:bookmarkEnd w:id="183"/>
      <w:bookmarkStart w:id="184" w:name="_Toc184308081"/>
      <w:bookmarkEnd w:id="184"/>
      <w:bookmarkStart w:id="185" w:name="_Toc184313245"/>
      <w:bookmarkEnd w:id="185"/>
      <w:bookmarkStart w:id="186" w:name="_Toc184312091"/>
      <w:bookmarkEnd w:id="186"/>
      <w:bookmarkStart w:id="187" w:name="_Toc184313298"/>
      <w:bookmarkEnd w:id="187"/>
      <w:bookmarkStart w:id="188" w:name="_Toc184310285"/>
      <w:bookmarkEnd w:id="188"/>
      <w:bookmarkStart w:id="189" w:name="_Toc184313267"/>
      <w:bookmarkEnd w:id="189"/>
      <w:bookmarkStart w:id="190" w:name="_Toc184310287"/>
      <w:bookmarkEnd w:id="190"/>
      <w:bookmarkStart w:id="191" w:name="_Toc184310335"/>
      <w:bookmarkEnd w:id="191"/>
      <w:bookmarkStart w:id="192" w:name="_Toc184314465"/>
      <w:bookmarkEnd w:id="192"/>
      <w:bookmarkStart w:id="193" w:name="_Toc184314432"/>
      <w:bookmarkEnd w:id="193"/>
      <w:bookmarkStart w:id="194" w:name="_Toc184312068"/>
      <w:bookmarkEnd w:id="194"/>
      <w:bookmarkStart w:id="195" w:name="_Toc184313310"/>
      <w:bookmarkEnd w:id="195"/>
      <w:bookmarkStart w:id="196" w:name="_Toc184312084"/>
      <w:bookmarkEnd w:id="196"/>
      <w:bookmarkStart w:id="197" w:name="_Toc184314419"/>
      <w:bookmarkEnd w:id="197"/>
      <w:bookmarkStart w:id="198" w:name="_Toc184312096"/>
      <w:bookmarkEnd w:id="198"/>
      <w:bookmarkStart w:id="199" w:name="_Toc184312137"/>
      <w:bookmarkEnd w:id="199"/>
      <w:bookmarkStart w:id="200" w:name="_Toc184310328"/>
      <w:bookmarkEnd w:id="200"/>
      <w:bookmarkStart w:id="201" w:name="_Toc184312116"/>
      <w:bookmarkEnd w:id="201"/>
      <w:bookmarkStart w:id="202" w:name="_Toc184313254"/>
      <w:bookmarkEnd w:id="202"/>
      <w:bookmarkStart w:id="203" w:name="_Toc184308089"/>
      <w:bookmarkEnd w:id="203"/>
      <w:bookmarkStart w:id="204" w:name="_Toc184312108"/>
      <w:bookmarkEnd w:id="204"/>
      <w:bookmarkStart w:id="205" w:name="_Toc184314418"/>
      <w:bookmarkEnd w:id="205"/>
      <w:bookmarkStart w:id="206" w:name="_Toc184313260"/>
      <w:bookmarkEnd w:id="206"/>
      <w:bookmarkStart w:id="207" w:name="_Toc184310305"/>
      <w:bookmarkEnd w:id="207"/>
      <w:bookmarkStart w:id="208" w:name="_Toc184313300"/>
      <w:bookmarkEnd w:id="208"/>
      <w:bookmarkStart w:id="209" w:name="_Toc184314431"/>
      <w:bookmarkEnd w:id="209"/>
      <w:bookmarkStart w:id="210" w:name="_Toc184314443"/>
      <w:bookmarkEnd w:id="210"/>
      <w:bookmarkStart w:id="211" w:name="_Toc184314462"/>
      <w:bookmarkEnd w:id="211"/>
      <w:bookmarkStart w:id="212" w:name="_Toc184310308"/>
      <w:bookmarkEnd w:id="212"/>
      <w:bookmarkStart w:id="213" w:name="_Toc184314434"/>
      <w:bookmarkEnd w:id="213"/>
      <w:bookmarkStart w:id="214" w:name="_Toc184312112"/>
      <w:bookmarkEnd w:id="214"/>
      <w:bookmarkStart w:id="215" w:name="_Toc184308085"/>
      <w:bookmarkEnd w:id="215"/>
      <w:bookmarkStart w:id="216" w:name="_Toc184314423"/>
      <w:bookmarkEnd w:id="216"/>
      <w:bookmarkStart w:id="217" w:name="_Toc184312114"/>
      <w:bookmarkEnd w:id="217"/>
      <w:bookmarkStart w:id="218" w:name="_Toc184308057"/>
      <w:bookmarkEnd w:id="218"/>
      <w:bookmarkStart w:id="219" w:name="_Toc184313265"/>
      <w:bookmarkEnd w:id="219"/>
      <w:bookmarkStart w:id="220" w:name="_Toc184308088"/>
      <w:bookmarkEnd w:id="220"/>
      <w:bookmarkStart w:id="221" w:name="_Toc184310314"/>
      <w:bookmarkEnd w:id="221"/>
      <w:bookmarkStart w:id="222" w:name="_Toc184313273"/>
      <w:bookmarkEnd w:id="222"/>
      <w:bookmarkStart w:id="223" w:name="_Toc184308091"/>
      <w:bookmarkEnd w:id="223"/>
      <w:bookmarkStart w:id="224" w:name="_Toc184314447"/>
      <w:bookmarkEnd w:id="224"/>
      <w:bookmarkStart w:id="225" w:name="_Toc184312127"/>
      <w:bookmarkEnd w:id="225"/>
      <w:bookmarkStart w:id="226" w:name="_Toc184312109"/>
      <w:bookmarkEnd w:id="226"/>
      <w:bookmarkStart w:id="227" w:name="_Toc184314474"/>
      <w:bookmarkEnd w:id="227"/>
      <w:bookmarkStart w:id="228" w:name="_Toc184312111"/>
      <w:bookmarkEnd w:id="228"/>
      <w:bookmarkStart w:id="229" w:name="_Toc184314438"/>
      <w:bookmarkEnd w:id="229"/>
      <w:bookmarkStart w:id="230" w:name="_Toc184310274"/>
      <w:bookmarkEnd w:id="230"/>
      <w:bookmarkStart w:id="231" w:name="_Toc184312077"/>
      <w:bookmarkEnd w:id="231"/>
      <w:bookmarkStart w:id="232" w:name="_Toc184313287"/>
      <w:bookmarkEnd w:id="232"/>
      <w:bookmarkStart w:id="233" w:name="_Toc184314411"/>
      <w:bookmarkEnd w:id="233"/>
      <w:bookmarkStart w:id="234" w:name="_Toc184308042"/>
      <w:bookmarkEnd w:id="234"/>
      <w:bookmarkStart w:id="235" w:name="_Toc184310342"/>
      <w:bookmarkEnd w:id="235"/>
      <w:bookmarkStart w:id="236" w:name="_Toc184313242"/>
      <w:bookmarkEnd w:id="236"/>
      <w:bookmarkStart w:id="237" w:name="_Toc184312113"/>
      <w:bookmarkEnd w:id="237"/>
      <w:bookmarkStart w:id="238" w:name="_Toc184312094"/>
      <w:bookmarkEnd w:id="238"/>
      <w:bookmarkStart w:id="239" w:name="_Toc184312082"/>
      <w:bookmarkEnd w:id="239"/>
      <w:bookmarkStart w:id="240" w:name="_Toc184312087"/>
      <w:bookmarkEnd w:id="240"/>
      <w:bookmarkStart w:id="241" w:name="_Toc184313266"/>
      <w:bookmarkEnd w:id="241"/>
      <w:bookmarkStart w:id="242" w:name="_Toc184312129"/>
      <w:bookmarkEnd w:id="242"/>
      <w:bookmarkStart w:id="243" w:name="_Toc184308106"/>
      <w:bookmarkEnd w:id="243"/>
      <w:bookmarkStart w:id="244" w:name="_Toc184310277"/>
      <w:bookmarkEnd w:id="244"/>
      <w:bookmarkStart w:id="245" w:name="_Toc184314440"/>
      <w:bookmarkEnd w:id="245"/>
      <w:bookmarkStart w:id="246" w:name="_Toc184308102"/>
      <w:bookmarkEnd w:id="246"/>
      <w:bookmarkStart w:id="247" w:name="_Toc184308068"/>
      <w:bookmarkEnd w:id="247"/>
      <w:bookmarkStart w:id="248" w:name="_Toc184312100"/>
      <w:bookmarkEnd w:id="248"/>
      <w:bookmarkStart w:id="249" w:name="_Toc184310290"/>
      <w:bookmarkEnd w:id="249"/>
      <w:bookmarkStart w:id="250" w:name="_Toc184312086"/>
      <w:bookmarkEnd w:id="250"/>
      <w:bookmarkStart w:id="251" w:name="_Toc184308055"/>
      <w:bookmarkEnd w:id="251"/>
      <w:bookmarkStart w:id="252" w:name="_Toc184314470"/>
      <w:bookmarkEnd w:id="252"/>
      <w:bookmarkStart w:id="253" w:name="_Toc184312071"/>
      <w:bookmarkEnd w:id="253"/>
      <w:bookmarkStart w:id="254" w:name="_Toc184308064"/>
      <w:bookmarkEnd w:id="254"/>
      <w:bookmarkStart w:id="255" w:name="_Toc184313294"/>
      <w:bookmarkEnd w:id="255"/>
      <w:bookmarkStart w:id="256" w:name="_Toc184313259"/>
      <w:bookmarkEnd w:id="256"/>
      <w:bookmarkStart w:id="257" w:name="_Toc184310344"/>
      <w:bookmarkEnd w:id="257"/>
      <w:bookmarkStart w:id="258" w:name="_Toc184312076"/>
      <w:bookmarkEnd w:id="258"/>
      <w:bookmarkStart w:id="259" w:name="_Toc184314442"/>
      <w:bookmarkEnd w:id="259"/>
      <w:bookmarkStart w:id="260" w:name="_Toc184312095"/>
      <w:bookmarkEnd w:id="260"/>
      <w:bookmarkStart w:id="261" w:name="_Toc184312081"/>
      <w:bookmarkEnd w:id="261"/>
      <w:bookmarkStart w:id="262" w:name="_Toc184312121"/>
      <w:bookmarkEnd w:id="262"/>
      <w:bookmarkStart w:id="263" w:name="_Toc184308104"/>
      <w:bookmarkEnd w:id="263"/>
      <w:bookmarkStart w:id="264" w:name="_Toc184308037"/>
      <w:bookmarkEnd w:id="264"/>
      <w:bookmarkStart w:id="265" w:name="_Toc184308048"/>
      <w:bookmarkEnd w:id="265"/>
      <w:bookmarkStart w:id="266" w:name="_Toc184310311"/>
      <w:bookmarkEnd w:id="266"/>
      <w:bookmarkStart w:id="267" w:name="_Toc184313272"/>
      <w:bookmarkEnd w:id="267"/>
      <w:bookmarkStart w:id="268" w:name="_Toc184313257"/>
      <w:bookmarkEnd w:id="268"/>
      <w:bookmarkStart w:id="269" w:name="_Toc184314458"/>
      <w:bookmarkEnd w:id="269"/>
      <w:bookmarkStart w:id="270" w:name="_Toc184314412"/>
      <w:bookmarkEnd w:id="270"/>
      <w:bookmarkStart w:id="271" w:name="_Toc184310325"/>
      <w:bookmarkEnd w:id="271"/>
      <w:bookmarkStart w:id="272" w:name="_Toc184312097"/>
      <w:bookmarkEnd w:id="272"/>
      <w:bookmarkStart w:id="273" w:name="_Toc184312088"/>
      <w:bookmarkEnd w:id="273"/>
      <w:bookmarkStart w:id="274" w:name="_Toc184312106"/>
      <w:bookmarkEnd w:id="274"/>
      <w:bookmarkStart w:id="275" w:name="_Toc184313243"/>
      <w:bookmarkEnd w:id="275"/>
      <w:bookmarkStart w:id="276" w:name="_Toc184312119"/>
      <w:bookmarkEnd w:id="276"/>
      <w:bookmarkStart w:id="277" w:name="_Toc184308090"/>
      <w:bookmarkEnd w:id="277"/>
      <w:bookmarkStart w:id="278" w:name="_Toc184314439"/>
      <w:bookmarkEnd w:id="278"/>
      <w:bookmarkStart w:id="279" w:name="_Toc184312093"/>
      <w:bookmarkEnd w:id="279"/>
      <w:bookmarkStart w:id="280" w:name="_Toc184310278"/>
      <w:bookmarkEnd w:id="280"/>
      <w:bookmarkStart w:id="281" w:name="_Toc184310324"/>
      <w:bookmarkEnd w:id="281"/>
      <w:bookmarkStart w:id="282" w:name="_Toc184314417"/>
      <w:bookmarkEnd w:id="282"/>
      <w:bookmarkStart w:id="283" w:name="_Toc184313264"/>
      <w:bookmarkEnd w:id="283"/>
      <w:bookmarkStart w:id="284" w:name="_Toc184313246"/>
      <w:bookmarkEnd w:id="284"/>
      <w:bookmarkStart w:id="285" w:name="_Toc184310304"/>
      <w:bookmarkEnd w:id="285"/>
      <w:bookmarkStart w:id="286" w:name="_Toc184310286"/>
      <w:bookmarkEnd w:id="286"/>
      <w:bookmarkStart w:id="287" w:name="_Toc184308066"/>
      <w:bookmarkEnd w:id="287"/>
      <w:bookmarkStart w:id="288" w:name="_Toc184314476"/>
      <w:bookmarkEnd w:id="288"/>
      <w:bookmarkStart w:id="289" w:name="_Toc184312130"/>
      <w:bookmarkEnd w:id="289"/>
      <w:bookmarkStart w:id="290" w:name="_Toc184310279"/>
      <w:bookmarkEnd w:id="290"/>
      <w:bookmarkStart w:id="291" w:name="_Toc184310331"/>
      <w:bookmarkEnd w:id="291"/>
      <w:bookmarkStart w:id="292" w:name="_Toc184314425"/>
      <w:bookmarkEnd w:id="292"/>
      <w:bookmarkStart w:id="293" w:name="_Toc184310337"/>
      <w:bookmarkEnd w:id="293"/>
      <w:bookmarkStart w:id="294" w:name="_Toc184314463"/>
      <w:bookmarkEnd w:id="294"/>
      <w:bookmarkStart w:id="295" w:name="_Toc184313241"/>
      <w:bookmarkEnd w:id="295"/>
      <w:bookmarkStart w:id="296" w:name="_Toc184308062"/>
      <w:bookmarkEnd w:id="296"/>
      <w:bookmarkStart w:id="297" w:name="_Toc184308038"/>
      <w:bookmarkEnd w:id="297"/>
      <w:bookmarkStart w:id="298" w:name="_Toc184308067"/>
      <w:bookmarkEnd w:id="298"/>
      <w:bookmarkStart w:id="299" w:name="_Toc184308049"/>
      <w:bookmarkEnd w:id="299"/>
      <w:bookmarkStart w:id="300" w:name="_Toc184313256"/>
      <w:bookmarkEnd w:id="300"/>
      <w:bookmarkStart w:id="301" w:name="_Toc184314480"/>
      <w:bookmarkEnd w:id="301"/>
      <w:bookmarkStart w:id="302" w:name="_Toc184313261"/>
      <w:bookmarkEnd w:id="302"/>
      <w:bookmarkStart w:id="303" w:name="_Toc184308065"/>
      <w:bookmarkEnd w:id="303"/>
      <w:bookmarkStart w:id="304" w:name="_Toc184314416"/>
      <w:bookmarkEnd w:id="304"/>
      <w:bookmarkStart w:id="305" w:name="_Toc184312132"/>
      <w:bookmarkEnd w:id="305"/>
      <w:bookmarkStart w:id="306" w:name="_Toc184314466"/>
      <w:bookmarkEnd w:id="306"/>
      <w:bookmarkStart w:id="307" w:name="_Toc184312092"/>
      <w:bookmarkEnd w:id="307"/>
      <w:bookmarkStart w:id="308" w:name="_Toc184312073"/>
      <w:bookmarkEnd w:id="308"/>
      <w:bookmarkStart w:id="309" w:name="_Toc184314477"/>
      <w:bookmarkEnd w:id="309"/>
      <w:bookmarkStart w:id="310" w:name="_Toc184310317"/>
      <w:bookmarkEnd w:id="310"/>
      <w:bookmarkStart w:id="311" w:name="_Toc184312089"/>
      <w:bookmarkEnd w:id="311"/>
      <w:bookmarkStart w:id="312" w:name="_Toc184312072"/>
      <w:bookmarkEnd w:id="312"/>
      <w:bookmarkStart w:id="313" w:name="_Toc184310334"/>
      <w:bookmarkEnd w:id="313"/>
      <w:bookmarkStart w:id="314" w:name="_Toc184314436"/>
      <w:bookmarkEnd w:id="314"/>
      <w:bookmarkStart w:id="315" w:name="_Toc184313288"/>
      <w:bookmarkEnd w:id="315"/>
      <w:bookmarkStart w:id="316" w:name="_Toc184314413"/>
      <w:bookmarkEnd w:id="316"/>
      <w:bookmarkStart w:id="317" w:name="_Toc184313303"/>
      <w:bookmarkEnd w:id="317"/>
      <w:bookmarkStart w:id="318" w:name="_Toc184310288"/>
      <w:bookmarkEnd w:id="318"/>
      <w:bookmarkStart w:id="319" w:name="_Toc184314424"/>
      <w:bookmarkEnd w:id="319"/>
      <w:bookmarkStart w:id="320" w:name="_Toc184308099"/>
      <w:bookmarkEnd w:id="320"/>
      <w:bookmarkStart w:id="321" w:name="_Toc184313263"/>
      <w:bookmarkEnd w:id="321"/>
      <w:bookmarkStart w:id="322" w:name="_Toc184313285"/>
      <w:bookmarkEnd w:id="322"/>
      <w:bookmarkStart w:id="323" w:name="_Toc184313251"/>
      <w:bookmarkEnd w:id="323"/>
      <w:bookmarkStart w:id="324" w:name="_Toc184310340"/>
      <w:bookmarkEnd w:id="324"/>
      <w:bookmarkStart w:id="325" w:name="_Toc184310322"/>
      <w:bookmarkEnd w:id="325"/>
      <w:bookmarkStart w:id="326" w:name="_Toc184312125"/>
      <w:bookmarkEnd w:id="326"/>
      <w:bookmarkStart w:id="327" w:name="_Toc184312136"/>
      <w:bookmarkEnd w:id="327"/>
      <w:bookmarkStart w:id="328" w:name="_Toc184312069"/>
      <w:bookmarkEnd w:id="328"/>
      <w:bookmarkStart w:id="329" w:name="_Toc184314452"/>
      <w:bookmarkEnd w:id="329"/>
      <w:bookmarkStart w:id="330" w:name="_Toc184308051"/>
      <w:bookmarkEnd w:id="330"/>
      <w:bookmarkStart w:id="331" w:name="_Toc184312098"/>
      <w:bookmarkEnd w:id="331"/>
      <w:bookmarkStart w:id="332" w:name="_Toc184308054"/>
      <w:bookmarkEnd w:id="332"/>
      <w:bookmarkStart w:id="333" w:name="_Toc184313258"/>
      <w:bookmarkEnd w:id="333"/>
      <w:bookmarkStart w:id="334" w:name="_Toc184308056"/>
      <w:bookmarkEnd w:id="334"/>
      <w:bookmarkStart w:id="335" w:name="_Toc184314454"/>
      <w:bookmarkEnd w:id="335"/>
      <w:bookmarkStart w:id="336" w:name="_Toc184310329"/>
      <w:bookmarkEnd w:id="336"/>
      <w:bookmarkStart w:id="337" w:name="_Toc184308098"/>
      <w:bookmarkEnd w:id="337"/>
      <w:bookmarkStart w:id="338" w:name="_Toc184312126"/>
      <w:bookmarkEnd w:id="338"/>
      <w:bookmarkStart w:id="339" w:name="_Toc184308073"/>
      <w:bookmarkEnd w:id="339"/>
      <w:bookmarkStart w:id="340" w:name="_Toc184314446"/>
      <w:bookmarkEnd w:id="340"/>
      <w:bookmarkStart w:id="341" w:name="_Toc184308077"/>
      <w:bookmarkEnd w:id="341"/>
      <w:bookmarkStart w:id="342" w:name="_Toc184308072"/>
      <w:bookmarkEnd w:id="342"/>
      <w:bookmarkStart w:id="343" w:name="_Toc184314441"/>
      <w:bookmarkEnd w:id="343"/>
      <w:bookmarkStart w:id="344" w:name="_Toc184312122"/>
      <w:bookmarkEnd w:id="344"/>
      <w:bookmarkStart w:id="345" w:name="_Toc184310321"/>
      <w:bookmarkEnd w:id="345"/>
      <w:bookmarkStart w:id="346" w:name="_Toc184310315"/>
      <w:bookmarkEnd w:id="346"/>
      <w:bookmarkStart w:id="347" w:name="_Toc184314435"/>
      <w:bookmarkEnd w:id="347"/>
      <w:bookmarkStart w:id="348" w:name="_Toc184308107"/>
      <w:bookmarkEnd w:id="348"/>
      <w:bookmarkStart w:id="349" w:name="_Toc184313280"/>
      <w:bookmarkEnd w:id="349"/>
      <w:bookmarkStart w:id="350" w:name="_Toc184314481"/>
      <w:bookmarkEnd w:id="350"/>
      <w:bookmarkStart w:id="351" w:name="_Toc184310309"/>
      <w:bookmarkEnd w:id="351"/>
      <w:bookmarkStart w:id="352" w:name="_Toc184313253"/>
      <w:bookmarkEnd w:id="352"/>
      <w:bookmarkStart w:id="353" w:name="_Toc184313247"/>
      <w:bookmarkEnd w:id="353"/>
      <w:bookmarkStart w:id="354" w:name="_Toc184310280"/>
      <w:bookmarkEnd w:id="354"/>
      <w:bookmarkStart w:id="355" w:name="_Toc184310294"/>
      <w:bookmarkEnd w:id="355"/>
      <w:bookmarkStart w:id="356" w:name="_Toc184310338"/>
      <w:bookmarkEnd w:id="356"/>
      <w:bookmarkStart w:id="357" w:name="_Toc184312090"/>
      <w:bookmarkEnd w:id="357"/>
      <w:bookmarkStart w:id="358" w:name="_Toc184308078"/>
      <w:bookmarkEnd w:id="358"/>
      <w:bookmarkStart w:id="359" w:name="_Toc184313290"/>
      <w:bookmarkEnd w:id="359"/>
      <w:bookmarkStart w:id="360" w:name="_Toc184310307"/>
      <w:bookmarkEnd w:id="360"/>
      <w:bookmarkStart w:id="361" w:name="_Toc184310330"/>
      <w:bookmarkEnd w:id="361"/>
      <w:bookmarkStart w:id="362" w:name="_Toc184312133"/>
      <w:bookmarkEnd w:id="362"/>
      <w:bookmarkStart w:id="363" w:name="_Toc184312131"/>
      <w:bookmarkEnd w:id="363"/>
      <w:bookmarkStart w:id="364" w:name="_Toc184312128"/>
      <w:bookmarkEnd w:id="364"/>
      <w:bookmarkStart w:id="365" w:name="_Toc184313279"/>
      <w:bookmarkEnd w:id="365"/>
      <w:bookmarkStart w:id="366" w:name="_Toc184314437"/>
      <w:bookmarkEnd w:id="366"/>
      <w:bookmarkStart w:id="367" w:name="_Toc184308095"/>
      <w:bookmarkEnd w:id="367"/>
      <w:bookmarkStart w:id="368" w:name="_Toc184308058"/>
      <w:bookmarkEnd w:id="368"/>
      <w:bookmarkStart w:id="369" w:name="_Toc184308076"/>
      <w:bookmarkEnd w:id="369"/>
      <w:bookmarkStart w:id="370" w:name="_Toc184312118"/>
      <w:bookmarkEnd w:id="370"/>
      <w:bookmarkStart w:id="371" w:name="_Toc184308047"/>
      <w:bookmarkEnd w:id="371"/>
      <w:bookmarkStart w:id="372" w:name="_Toc184308074"/>
      <w:bookmarkEnd w:id="372"/>
      <w:bookmarkStart w:id="373" w:name="_Toc184310336"/>
      <w:bookmarkEnd w:id="373"/>
      <w:bookmarkStart w:id="374" w:name="_Toc184314427"/>
      <w:bookmarkEnd w:id="374"/>
      <w:bookmarkStart w:id="375" w:name="_Toc184313293"/>
      <w:bookmarkEnd w:id="375"/>
      <w:bookmarkStart w:id="376" w:name="_Toc184313278"/>
      <w:bookmarkEnd w:id="376"/>
      <w:bookmarkStart w:id="377" w:name="_Toc184313297"/>
      <w:bookmarkEnd w:id="377"/>
      <w:bookmarkStart w:id="378" w:name="_Toc184314456"/>
      <w:bookmarkEnd w:id="378"/>
      <w:bookmarkStart w:id="379" w:name="_Toc184313307"/>
      <w:bookmarkEnd w:id="379"/>
      <w:bookmarkStart w:id="380" w:name="_Toc184313286"/>
      <w:bookmarkEnd w:id="380"/>
      <w:bookmarkStart w:id="381" w:name="_Toc184308080"/>
      <w:bookmarkEnd w:id="381"/>
      <w:bookmarkStart w:id="382" w:name="_Toc184310298"/>
      <w:bookmarkEnd w:id="382"/>
      <w:bookmarkStart w:id="383" w:name="_Toc184308036"/>
      <w:bookmarkEnd w:id="383"/>
      <w:bookmarkStart w:id="384" w:name="_Toc184310310"/>
      <w:bookmarkEnd w:id="384"/>
      <w:bookmarkStart w:id="385" w:name="_Toc184313296"/>
      <w:bookmarkEnd w:id="385"/>
      <w:bookmarkStart w:id="386" w:name="_Toc184313289"/>
      <w:bookmarkEnd w:id="386"/>
      <w:bookmarkStart w:id="387" w:name="_Toc184308092"/>
      <w:bookmarkEnd w:id="387"/>
      <w:bookmarkStart w:id="388" w:name="_Toc184310327"/>
      <w:bookmarkEnd w:id="388"/>
      <w:bookmarkStart w:id="389" w:name="_Toc184308101"/>
      <w:bookmarkEnd w:id="389"/>
      <w:bookmarkStart w:id="390" w:name="_Toc184310306"/>
      <w:bookmarkEnd w:id="390"/>
      <w:bookmarkStart w:id="391" w:name="_Toc184308097"/>
      <w:bookmarkEnd w:id="391"/>
      <w:bookmarkStart w:id="392" w:name="_Toc184313250"/>
      <w:bookmarkEnd w:id="392"/>
      <w:bookmarkStart w:id="393" w:name="_Toc184314469"/>
      <w:bookmarkEnd w:id="393"/>
      <w:bookmarkStart w:id="394" w:name="_Toc184313291"/>
      <w:bookmarkEnd w:id="394"/>
      <w:bookmarkStart w:id="395" w:name="_Toc184312124"/>
      <w:bookmarkEnd w:id="395"/>
      <w:bookmarkStart w:id="396" w:name="_Toc184308069"/>
      <w:bookmarkEnd w:id="396"/>
      <w:bookmarkStart w:id="397" w:name="_Toc184308070"/>
      <w:bookmarkEnd w:id="397"/>
      <w:r>
        <w:rPr>
          <w:rFonts w:hint="eastAsia" w:ascii="仿宋" w:hAnsi="仿宋" w:eastAsia="仿宋" w:cs="仿宋"/>
          <w:b/>
          <w:sz w:val="36"/>
          <w:szCs w:val="36"/>
        </w:rPr>
        <w:t>评标办法</w:t>
      </w:r>
    </w:p>
    <w:p>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评标办法前附表</w:t>
      </w:r>
    </w:p>
    <w:tbl>
      <w:tblPr>
        <w:tblStyle w:val="62"/>
        <w:tblpPr w:leftFromText="180" w:rightFromText="180" w:vertAnchor="text" w:horzAnchor="page" w:tblpXSpec="center" w:tblpY="126"/>
        <w:tblW w:w="54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5778"/>
        <w:gridCol w:w="727"/>
        <w:gridCol w:w="19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jc w:val="center"/>
        </w:trPr>
        <w:tc>
          <w:tcPr>
            <w:tcW w:w="402" w:type="pct"/>
            <w:vAlign w:val="center"/>
          </w:tcPr>
          <w:p>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序号</w:t>
            </w:r>
          </w:p>
        </w:tc>
        <w:tc>
          <w:tcPr>
            <w:tcW w:w="3141" w:type="pct"/>
            <w:vAlign w:val="center"/>
          </w:tcPr>
          <w:p>
            <w:pPr>
              <w:spacing w:line="360" w:lineRule="auto"/>
              <w:ind w:firstLine="1560" w:firstLineChars="650"/>
              <w:outlineLvl w:val="0"/>
              <w:rPr>
                <w:rFonts w:ascii="仿宋" w:hAnsi="仿宋" w:eastAsia="仿宋" w:cs="仿宋_GB2312"/>
                <w:bCs/>
                <w:sz w:val="24"/>
                <w:highlight w:val="none"/>
              </w:rPr>
            </w:pPr>
            <w:r>
              <w:rPr>
                <w:rFonts w:hint="eastAsia" w:ascii="仿宋" w:hAnsi="仿宋" w:eastAsia="仿宋" w:cs="仿宋_GB2312"/>
                <w:bCs/>
                <w:sz w:val="24"/>
                <w:highlight w:val="none"/>
              </w:rPr>
              <w:t>评标标准</w:t>
            </w:r>
          </w:p>
        </w:tc>
        <w:tc>
          <w:tcPr>
            <w:tcW w:w="395" w:type="pct"/>
            <w:vAlign w:val="center"/>
          </w:tcPr>
          <w:p>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权重</w:t>
            </w:r>
          </w:p>
        </w:tc>
        <w:tc>
          <w:tcPr>
            <w:tcW w:w="1060" w:type="pct"/>
          </w:tcPr>
          <w:p>
            <w:pPr>
              <w:spacing w:line="360" w:lineRule="auto"/>
              <w:outlineLvl w:val="0"/>
              <w:rPr>
                <w:rFonts w:ascii="仿宋" w:hAnsi="仿宋" w:eastAsia="仿宋" w:cs="仿宋_GB2312"/>
                <w:bCs/>
                <w:sz w:val="24"/>
                <w:highlight w:val="none"/>
              </w:rPr>
            </w:pPr>
            <w:r>
              <w:rPr>
                <w:rFonts w:hint="eastAsia" w:ascii="仿宋" w:hAnsi="仿宋" w:eastAsia="仿宋" w:cs="仿宋_GB2312"/>
                <w:bCs/>
                <w:sz w:val="24"/>
                <w:highlight w:val="none"/>
              </w:rPr>
              <w:t>投标文件中评标标准相应的商务技术资料目录</w:t>
            </w:r>
            <w:r>
              <w:rPr>
                <w:rFonts w:hint="eastAsia" w:ascii="宋体" w:hAnsi="宋体" w:cs="宋体"/>
                <w:sz w:val="24"/>
                <w:highlight w:val="none"/>
                <w:shd w:val="clear" w:color="auto" w:fill="FFFFFF"/>
              </w:rPr>
              <w:t> </w:t>
            </w:r>
            <w:r>
              <w:rPr>
                <w:rFonts w:ascii="仿宋" w:hAnsi="仿宋" w:eastAsia="仿宋" w:cs="Arial"/>
                <w:sz w:val="24"/>
                <w:highlight w:val="none"/>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000" w:type="pct"/>
            <w:gridSpan w:val="4"/>
            <w:vAlign w:val="center"/>
          </w:tcPr>
          <w:p>
            <w:pPr>
              <w:spacing w:line="360" w:lineRule="auto"/>
              <w:jc w:val="center"/>
              <w:outlineLvl w:val="0"/>
              <w:rPr>
                <w:rFonts w:hint="eastAsia" w:ascii="仿宋" w:hAnsi="仿宋" w:eastAsia="仿宋" w:cs="仿宋_GB2312"/>
                <w:sz w:val="24"/>
                <w:highlight w:val="none"/>
                <w:lang w:eastAsia="zh-CN"/>
              </w:rPr>
            </w:pPr>
            <w:r>
              <w:rPr>
                <w:rFonts w:hint="eastAsia" w:ascii="仿宋" w:hAnsi="仿宋" w:eastAsia="仿宋" w:cs="仿宋_GB2312"/>
                <w:sz w:val="24"/>
                <w:highlight w:val="none"/>
                <w:lang w:eastAsia="zh-CN"/>
              </w:rPr>
              <w:t>商务部分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402" w:type="pct"/>
            <w:vAlign w:val="center"/>
          </w:tcPr>
          <w:p>
            <w:pPr>
              <w:spacing w:line="360" w:lineRule="auto"/>
              <w:jc w:val="center"/>
              <w:outlineLvl w:val="0"/>
              <w:rPr>
                <w:rFonts w:hint="eastAsia" w:ascii="仿宋" w:hAnsi="仿宋" w:eastAsia="仿宋" w:cs="仿宋_GB2312"/>
                <w:sz w:val="24"/>
                <w:highlight w:val="none"/>
                <w:lang w:eastAsia="zh-CN"/>
              </w:rPr>
            </w:pPr>
            <w:r>
              <w:rPr>
                <w:rFonts w:hint="eastAsia" w:ascii="仿宋" w:hAnsi="仿宋" w:eastAsia="仿宋" w:cs="仿宋_GB2312"/>
                <w:sz w:val="24"/>
                <w:highlight w:val="none"/>
                <w:lang w:val="en-US" w:eastAsia="zh-CN"/>
              </w:rPr>
              <w:t>1</w:t>
            </w:r>
          </w:p>
        </w:tc>
        <w:tc>
          <w:tcPr>
            <w:tcW w:w="3141" w:type="pct"/>
            <w:vAlign w:val="center"/>
          </w:tcPr>
          <w:p>
            <w:pPr>
              <w:spacing w:line="360" w:lineRule="auto"/>
              <w:outlineLvl w:val="0"/>
              <w:rPr>
                <w:rFonts w:hint="eastAsia" w:ascii="仿宋" w:hAnsi="仿宋" w:eastAsia="仿宋" w:cs="仿宋_GB2312"/>
                <w:sz w:val="24"/>
                <w:highlight w:val="none"/>
              </w:rPr>
            </w:pPr>
            <w:r>
              <w:rPr>
                <w:rFonts w:hint="eastAsia" w:ascii="仿宋" w:hAnsi="仿宋" w:eastAsia="仿宋" w:cs="仿宋_GB2312"/>
                <w:sz w:val="24"/>
                <w:highlight w:val="none"/>
                <w:lang w:eastAsia="zh-CN"/>
              </w:rPr>
              <w:t>①</w:t>
            </w:r>
            <w:r>
              <w:rPr>
                <w:rFonts w:hint="eastAsia" w:ascii="仿宋" w:hAnsi="仿宋" w:eastAsia="仿宋" w:cs="仿宋_GB2312"/>
                <w:sz w:val="24"/>
                <w:highlight w:val="none"/>
              </w:rPr>
              <w:t>投标人具有有效期内的ISO9001质量管理体系认证证书，提供有效证明材料。满足得1分，否则不得分。</w:t>
            </w:r>
          </w:p>
          <w:p>
            <w:pPr>
              <w:spacing w:line="360" w:lineRule="auto"/>
              <w:outlineLvl w:val="0"/>
              <w:rPr>
                <w:rFonts w:hint="eastAsia" w:ascii="仿宋" w:hAnsi="仿宋" w:eastAsia="仿宋" w:cs="仿宋_GB2312"/>
                <w:sz w:val="24"/>
                <w:highlight w:val="none"/>
              </w:rPr>
            </w:pPr>
            <w:r>
              <w:rPr>
                <w:rFonts w:hint="eastAsia" w:ascii="仿宋" w:hAnsi="仿宋" w:eastAsia="仿宋" w:cs="仿宋_GB2312"/>
                <w:sz w:val="24"/>
                <w:highlight w:val="none"/>
                <w:lang w:eastAsia="zh-CN"/>
              </w:rPr>
              <w:t>②</w:t>
            </w:r>
            <w:r>
              <w:rPr>
                <w:rFonts w:hint="eastAsia" w:ascii="仿宋" w:hAnsi="仿宋" w:eastAsia="仿宋" w:cs="仿宋_GB2312"/>
                <w:sz w:val="24"/>
                <w:highlight w:val="none"/>
              </w:rPr>
              <w:t>投标人具有有效期内的ISO14001环境管理体系认证证书，提供有效证明材料。满足得1分，否则不得分。</w:t>
            </w:r>
          </w:p>
          <w:p>
            <w:pPr>
              <w:spacing w:line="360" w:lineRule="auto"/>
              <w:outlineLvl w:val="0"/>
              <w:rPr>
                <w:rFonts w:ascii="仿宋" w:hAnsi="仿宋" w:eastAsia="仿宋" w:cs="仿宋_GB2312"/>
                <w:sz w:val="24"/>
                <w:highlight w:val="none"/>
              </w:rPr>
            </w:pPr>
            <w:r>
              <w:rPr>
                <w:rFonts w:hint="eastAsia" w:ascii="仿宋" w:hAnsi="仿宋" w:eastAsia="仿宋" w:cs="仿宋_GB2312"/>
                <w:sz w:val="24"/>
                <w:highlight w:val="none"/>
                <w:lang w:eastAsia="zh-CN"/>
              </w:rPr>
              <w:t>③</w:t>
            </w:r>
            <w:r>
              <w:rPr>
                <w:rFonts w:hint="eastAsia" w:ascii="仿宋" w:hAnsi="仿宋" w:eastAsia="仿宋" w:cs="仿宋_GB2312"/>
                <w:sz w:val="24"/>
                <w:highlight w:val="none"/>
              </w:rPr>
              <w:t>投标人具有有效期内的ISO45001职业健康安全管理体系认证证书</w:t>
            </w:r>
            <w:r>
              <w:rPr>
                <w:rFonts w:hint="eastAsia" w:ascii="仿宋" w:hAnsi="仿宋" w:eastAsia="仿宋" w:cs="仿宋_GB2312"/>
                <w:sz w:val="24"/>
                <w:highlight w:val="none"/>
                <w:lang w:val="en-US" w:eastAsia="zh-CN"/>
              </w:rPr>
              <w:t>或(GB/T 28001 职业健康安全管理体系认证证书)，</w:t>
            </w:r>
            <w:r>
              <w:rPr>
                <w:rFonts w:hint="eastAsia" w:ascii="仿宋" w:hAnsi="仿宋" w:eastAsia="仿宋" w:cs="仿宋_GB2312"/>
                <w:sz w:val="24"/>
                <w:highlight w:val="none"/>
              </w:rPr>
              <w:t>提供有效证明材料。满足得1分，否则不得分。</w:t>
            </w:r>
          </w:p>
        </w:tc>
        <w:tc>
          <w:tcPr>
            <w:tcW w:w="395" w:type="pct"/>
            <w:vAlign w:val="center"/>
          </w:tcPr>
          <w:p>
            <w:pPr>
              <w:spacing w:line="360" w:lineRule="auto"/>
              <w:jc w:val="center"/>
              <w:outlineLvl w:val="0"/>
              <w:rPr>
                <w:rFonts w:hint="eastAsia"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c>
          <w:tcPr>
            <w:tcW w:w="1060" w:type="pct"/>
            <w:vAlign w:val="center"/>
          </w:tcPr>
          <w:p>
            <w:pPr>
              <w:spacing w:line="360" w:lineRule="auto"/>
              <w:jc w:val="center"/>
              <w:outlineLvl w:val="0"/>
              <w:rPr>
                <w:rFonts w:ascii="仿宋" w:hAnsi="仿宋" w:eastAsia="仿宋" w:cs="仿宋_GB2312"/>
                <w:sz w:val="24"/>
                <w:highlight w:val="none"/>
              </w:rPr>
            </w:pPr>
            <w:r>
              <w:rPr>
                <w:rFonts w:hint="eastAsia" w:ascii="仿宋" w:hAnsi="仿宋" w:eastAsia="仿宋" w:cs="仿宋_GB2312"/>
                <w:sz w:val="24"/>
                <w:highlight w:val="none"/>
                <w:lang w:eastAsia="zh-CN"/>
              </w:rPr>
              <w:t>（一）</w:t>
            </w:r>
            <w:r>
              <w:rPr>
                <w:rFonts w:hint="eastAsia" w:ascii="仿宋" w:hAnsi="仿宋" w:eastAsia="仿宋" w:cs="仿宋_GB2312"/>
                <w:sz w:val="24"/>
                <w:highlight w:val="none"/>
                <w:lang w:val="en-US" w:eastAsia="zh-CN"/>
              </w:rPr>
              <w:t>体系证书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eastAsia" w:ascii="仿宋" w:hAnsi="仿宋" w:eastAsia="仿宋" w:cs="仿宋_GB2312"/>
                <w:sz w:val="24"/>
                <w:highlight w:val="none"/>
                <w:lang w:eastAsia="zh-CN"/>
              </w:rPr>
            </w:pPr>
            <w:r>
              <w:rPr>
                <w:rFonts w:hint="eastAsia" w:ascii="仿宋" w:hAnsi="仿宋" w:eastAsia="仿宋" w:cs="仿宋_GB2312"/>
                <w:sz w:val="24"/>
                <w:highlight w:val="none"/>
                <w:lang w:val="en-US" w:eastAsia="zh-CN"/>
              </w:rPr>
              <w:t>2</w:t>
            </w:r>
          </w:p>
        </w:tc>
        <w:tc>
          <w:tcPr>
            <w:tcW w:w="3141" w:type="pct"/>
            <w:vAlign w:val="center"/>
          </w:tcPr>
          <w:p>
            <w:pPr>
              <w:spacing w:line="360" w:lineRule="auto"/>
              <w:outlineLvl w:val="0"/>
              <w:rPr>
                <w:rFonts w:hint="eastAsia" w:ascii="仿宋" w:hAnsi="仿宋" w:eastAsia="仿宋" w:cs="仿宋_GB2312"/>
                <w:sz w:val="24"/>
                <w:highlight w:val="none"/>
                <w:lang w:eastAsia="zh-CN"/>
              </w:rPr>
            </w:pPr>
            <w:r>
              <w:rPr>
                <w:rFonts w:hint="eastAsia" w:ascii="仿宋" w:hAnsi="仿宋" w:eastAsia="仿宋" w:cs="仿宋_GB2312"/>
                <w:sz w:val="24"/>
                <w:highlight w:val="none"/>
              </w:rPr>
              <w:t>投标产品（</w:t>
            </w:r>
            <w:r>
              <w:rPr>
                <w:rFonts w:hint="eastAsia" w:ascii="仿宋" w:hAnsi="仿宋" w:eastAsia="仿宋" w:cs="仿宋_GB2312"/>
                <w:sz w:val="24"/>
                <w:highlight w:val="none"/>
                <w:lang w:eastAsia="zh-CN"/>
              </w:rPr>
              <w:t>幼儿正方</w:t>
            </w:r>
            <w:r>
              <w:rPr>
                <w:rFonts w:hint="eastAsia" w:ascii="仿宋" w:hAnsi="仿宋" w:eastAsia="仿宋" w:cs="仿宋_GB2312"/>
                <w:sz w:val="24"/>
                <w:highlight w:val="none"/>
              </w:rPr>
              <w:t>桌或其同品类、</w:t>
            </w:r>
            <w:r>
              <w:rPr>
                <w:rFonts w:hint="eastAsia" w:ascii="仿宋" w:hAnsi="仿宋" w:eastAsia="仿宋" w:cs="仿宋_GB2312"/>
                <w:sz w:val="24"/>
                <w:highlight w:val="none"/>
                <w:lang w:eastAsia="zh-CN"/>
              </w:rPr>
              <w:t>幼儿椅子</w:t>
            </w:r>
            <w:r>
              <w:rPr>
                <w:rFonts w:hint="eastAsia" w:ascii="仿宋" w:hAnsi="仿宋" w:eastAsia="仿宋" w:cs="仿宋_GB2312"/>
                <w:sz w:val="24"/>
                <w:highlight w:val="none"/>
              </w:rPr>
              <w:t>或其同品类、</w:t>
            </w:r>
            <w:r>
              <w:rPr>
                <w:rFonts w:hint="eastAsia" w:ascii="仿宋" w:hAnsi="仿宋" w:eastAsia="仿宋" w:cs="仿宋_GB2312"/>
                <w:sz w:val="24"/>
                <w:highlight w:val="none"/>
                <w:lang w:eastAsia="zh-CN"/>
              </w:rPr>
              <w:t>幼儿抽拉床</w:t>
            </w:r>
            <w:r>
              <w:rPr>
                <w:rFonts w:hint="eastAsia" w:ascii="仿宋" w:hAnsi="仿宋" w:eastAsia="仿宋" w:cs="仿宋_GB2312"/>
                <w:sz w:val="24"/>
                <w:highlight w:val="none"/>
              </w:rPr>
              <w:t>或其同品类、玩具柜或其同品类）获得</w:t>
            </w:r>
            <w:r>
              <w:rPr>
                <w:rFonts w:hint="eastAsia" w:ascii="仿宋" w:hAnsi="仿宋" w:eastAsia="仿宋" w:cs="仿宋_GB2312"/>
                <w:sz w:val="24"/>
                <w:highlight w:val="none"/>
                <w:lang w:eastAsia="zh-CN"/>
              </w:rPr>
              <w:t>有效期内的中国</w:t>
            </w:r>
            <w:r>
              <w:rPr>
                <w:rFonts w:hint="eastAsia" w:ascii="仿宋" w:hAnsi="仿宋" w:eastAsia="仿宋" w:cs="仿宋_GB2312"/>
                <w:sz w:val="24"/>
                <w:highlight w:val="none"/>
              </w:rPr>
              <w:t>环境标志产品认证证书的，提供有效证明材料</w:t>
            </w:r>
            <w:r>
              <w:rPr>
                <w:rFonts w:hint="eastAsia" w:ascii="仿宋" w:hAnsi="仿宋" w:eastAsia="仿宋" w:cs="仿宋_GB2312"/>
                <w:sz w:val="24"/>
                <w:highlight w:val="none"/>
                <w:lang w:eastAsia="zh-CN"/>
              </w:rPr>
              <w:t>，</w:t>
            </w:r>
            <w:r>
              <w:rPr>
                <w:rFonts w:hint="eastAsia" w:ascii="仿宋" w:hAnsi="仿宋" w:eastAsia="仿宋" w:cs="仿宋_GB2312"/>
                <w:sz w:val="24"/>
                <w:highlight w:val="none"/>
              </w:rPr>
              <w:t>每项产品得</w:t>
            </w:r>
            <w:r>
              <w:rPr>
                <w:rFonts w:hint="eastAsia" w:ascii="仿宋" w:hAnsi="仿宋" w:eastAsia="仿宋" w:cs="仿宋_GB2312"/>
                <w:sz w:val="24"/>
                <w:highlight w:val="none"/>
                <w:lang w:val="en-US" w:eastAsia="zh-CN"/>
              </w:rPr>
              <w:t>0.5</w:t>
            </w:r>
            <w:r>
              <w:rPr>
                <w:rFonts w:hint="eastAsia" w:ascii="仿宋" w:hAnsi="仿宋" w:eastAsia="仿宋" w:cs="仿宋_GB2312"/>
                <w:sz w:val="24"/>
                <w:highlight w:val="none"/>
              </w:rPr>
              <w:t>分，</w:t>
            </w:r>
            <w:r>
              <w:rPr>
                <w:rFonts w:hint="eastAsia" w:ascii="仿宋" w:hAnsi="仿宋" w:eastAsia="仿宋" w:cs="仿宋_GB2312"/>
                <w:sz w:val="24"/>
                <w:highlight w:val="none"/>
                <w:lang w:eastAsia="zh-CN"/>
              </w:rPr>
              <w:t>共</w:t>
            </w:r>
            <w:r>
              <w:rPr>
                <w:rFonts w:hint="eastAsia" w:ascii="仿宋" w:hAnsi="仿宋" w:eastAsia="仿宋" w:cs="仿宋_GB2312"/>
                <w:sz w:val="24"/>
                <w:highlight w:val="none"/>
                <w:lang w:val="en-US" w:eastAsia="zh-CN"/>
              </w:rPr>
              <w:t>2</w:t>
            </w:r>
            <w:r>
              <w:rPr>
                <w:rFonts w:hint="eastAsia" w:ascii="仿宋" w:hAnsi="仿宋" w:eastAsia="仿宋" w:cs="仿宋_GB2312"/>
                <w:sz w:val="24"/>
                <w:highlight w:val="none"/>
              </w:rPr>
              <w:t>分</w:t>
            </w:r>
            <w:r>
              <w:rPr>
                <w:rFonts w:hint="eastAsia" w:ascii="仿宋" w:hAnsi="仿宋" w:eastAsia="仿宋" w:cs="仿宋_GB2312"/>
                <w:sz w:val="24"/>
                <w:highlight w:val="none"/>
                <w:lang w:eastAsia="zh-CN"/>
              </w:rPr>
              <w:t>。</w:t>
            </w:r>
          </w:p>
        </w:tc>
        <w:tc>
          <w:tcPr>
            <w:tcW w:w="395" w:type="pct"/>
            <w:vAlign w:val="center"/>
          </w:tcPr>
          <w:p>
            <w:pPr>
              <w:spacing w:line="360" w:lineRule="auto"/>
              <w:jc w:val="center"/>
              <w:outlineLvl w:val="0"/>
              <w:rPr>
                <w:rFonts w:hint="default" w:ascii="仿宋" w:hAnsi="仿宋" w:eastAsia="仿宋" w:cs="仿宋_GB2312"/>
                <w:sz w:val="24"/>
                <w:highlight w:val="none"/>
                <w:lang w:val="en-US"/>
              </w:rPr>
            </w:pPr>
            <w:r>
              <w:rPr>
                <w:rFonts w:hint="eastAsia" w:ascii="仿宋" w:hAnsi="仿宋" w:eastAsia="仿宋" w:cs="仿宋_GB2312"/>
                <w:sz w:val="24"/>
                <w:highlight w:val="none"/>
                <w:lang w:val="en-US" w:eastAsia="zh-CN"/>
              </w:rPr>
              <w:t>2</w:t>
            </w:r>
          </w:p>
        </w:tc>
        <w:tc>
          <w:tcPr>
            <w:tcW w:w="1060" w:type="pct"/>
            <w:vAlign w:val="center"/>
          </w:tcPr>
          <w:p>
            <w:pPr>
              <w:spacing w:line="360" w:lineRule="auto"/>
              <w:jc w:val="center"/>
              <w:outlineLvl w:val="0"/>
              <w:rPr>
                <w:rFonts w:hint="eastAsia" w:ascii="仿宋" w:hAnsi="仿宋" w:eastAsia="仿宋" w:cs="仿宋_GB2312"/>
                <w:sz w:val="24"/>
                <w:highlight w:val="none"/>
                <w:lang w:eastAsia="zh-CN"/>
              </w:rPr>
            </w:pPr>
            <w:r>
              <w:rPr>
                <w:rFonts w:hint="eastAsia" w:ascii="仿宋" w:hAnsi="仿宋" w:eastAsia="仿宋" w:cs="仿宋_GB2312"/>
                <w:sz w:val="24"/>
                <w:highlight w:val="none"/>
                <w:lang w:eastAsia="zh-CN"/>
              </w:rPr>
              <w:t>（二）中国环境标志产品认证（即十环认证）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c>
          <w:tcPr>
            <w:tcW w:w="3141" w:type="pct"/>
            <w:vAlign w:val="center"/>
          </w:tcPr>
          <w:p>
            <w:pPr>
              <w:numPr>
                <w:ilvl w:val="0"/>
                <w:numId w:val="0"/>
              </w:numPr>
              <w:spacing w:line="360" w:lineRule="auto"/>
              <w:jc w:val="both"/>
              <w:rPr>
                <w:rFonts w:hint="eastAsia" w:ascii="仿宋" w:hAnsi="仿宋" w:eastAsia="仿宋" w:cs="仿宋"/>
                <w:sz w:val="24"/>
                <w:highlight w:val="none"/>
              </w:rPr>
            </w:pPr>
            <w:r>
              <w:rPr>
                <w:rFonts w:hint="eastAsia" w:ascii="仿宋" w:hAnsi="仿宋" w:eastAsia="仿宋" w:cs="仿宋"/>
                <w:sz w:val="24"/>
                <w:highlight w:val="none"/>
                <w:lang w:val="en-US" w:eastAsia="zh-CN"/>
              </w:rPr>
              <w:t>投标产品（</w:t>
            </w:r>
            <w:r>
              <w:rPr>
                <w:rFonts w:hint="eastAsia" w:ascii="仿宋" w:hAnsi="仿宋" w:eastAsia="仿宋" w:cs="仿宋_GB2312"/>
                <w:sz w:val="24"/>
                <w:highlight w:val="none"/>
                <w:lang w:eastAsia="zh-CN"/>
              </w:rPr>
              <w:t>幼儿正方</w:t>
            </w:r>
            <w:r>
              <w:rPr>
                <w:rFonts w:hint="eastAsia" w:ascii="仿宋" w:hAnsi="仿宋" w:eastAsia="仿宋" w:cs="仿宋_GB2312"/>
                <w:sz w:val="24"/>
                <w:highlight w:val="none"/>
              </w:rPr>
              <w:t>桌或其同品类、</w:t>
            </w:r>
            <w:r>
              <w:rPr>
                <w:rFonts w:hint="eastAsia" w:ascii="仿宋" w:hAnsi="仿宋" w:eastAsia="仿宋" w:cs="仿宋_GB2312"/>
                <w:sz w:val="24"/>
                <w:highlight w:val="none"/>
                <w:lang w:eastAsia="zh-CN"/>
              </w:rPr>
              <w:t>幼儿椅子</w:t>
            </w:r>
            <w:r>
              <w:rPr>
                <w:rFonts w:hint="eastAsia" w:ascii="仿宋" w:hAnsi="仿宋" w:eastAsia="仿宋" w:cs="仿宋_GB2312"/>
                <w:sz w:val="24"/>
                <w:highlight w:val="none"/>
              </w:rPr>
              <w:t>或其同品类、</w:t>
            </w:r>
            <w:r>
              <w:rPr>
                <w:rFonts w:hint="eastAsia" w:ascii="仿宋" w:hAnsi="仿宋" w:eastAsia="仿宋" w:cs="仿宋_GB2312"/>
                <w:sz w:val="24"/>
                <w:highlight w:val="none"/>
                <w:lang w:eastAsia="zh-CN"/>
              </w:rPr>
              <w:t>幼儿抽拉床</w:t>
            </w:r>
            <w:r>
              <w:rPr>
                <w:rFonts w:hint="eastAsia" w:ascii="仿宋" w:hAnsi="仿宋" w:eastAsia="仿宋" w:cs="仿宋_GB2312"/>
                <w:sz w:val="24"/>
                <w:highlight w:val="none"/>
              </w:rPr>
              <w:t>或其同品类、玩具柜或其同品类</w:t>
            </w:r>
            <w:r>
              <w:rPr>
                <w:rFonts w:hint="eastAsia" w:ascii="仿宋" w:hAnsi="仿宋" w:eastAsia="仿宋" w:cs="仿宋"/>
                <w:sz w:val="24"/>
                <w:highlight w:val="none"/>
                <w:lang w:val="en-US" w:eastAsia="zh-CN"/>
              </w:rPr>
              <w:t>）及生产厂家具有效期内的CEC家具产品环保卫士认证证书，提供有效证明材料，全部满足得2分，缺1类扣0.5分，扣完为止</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（三）</w:t>
            </w:r>
            <w:r>
              <w:rPr>
                <w:rFonts w:hint="eastAsia" w:ascii="仿宋" w:hAnsi="仿宋" w:eastAsia="仿宋" w:cs="仿宋"/>
                <w:sz w:val="24"/>
                <w:highlight w:val="none"/>
                <w:lang w:val="en-US" w:eastAsia="zh-CN"/>
              </w:rPr>
              <w:t>CEC家具产品环保卫士认证证书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402" w:type="pct"/>
            <w:vAlign w:val="center"/>
          </w:tcPr>
          <w:p>
            <w:pPr>
              <w:spacing w:line="360" w:lineRule="auto"/>
              <w:jc w:val="center"/>
              <w:outlineLvl w:val="0"/>
              <w:rPr>
                <w:rFonts w:hint="eastAsia"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4</w:t>
            </w:r>
          </w:p>
        </w:tc>
        <w:tc>
          <w:tcPr>
            <w:tcW w:w="3141" w:type="pct"/>
            <w:vAlign w:val="center"/>
          </w:tcPr>
          <w:p>
            <w:pPr>
              <w:spacing w:after="240" w:afterAutospacing="0" w:line="360" w:lineRule="auto"/>
              <w:outlineLvl w:val="0"/>
              <w:rPr>
                <w:rFonts w:hint="default" w:ascii="仿宋" w:hAnsi="仿宋" w:eastAsia="仿宋"/>
                <w:sz w:val="24"/>
                <w:highlight w:val="none"/>
                <w:lang w:val="en-US" w:eastAsia="zh-CN"/>
              </w:rPr>
            </w:pPr>
            <w:r>
              <w:rPr>
                <w:rFonts w:hint="eastAsia" w:ascii="仿宋" w:hAnsi="仿宋" w:eastAsia="仿宋" w:cs="仿宋"/>
                <w:sz w:val="24"/>
                <w:highlight w:val="none"/>
                <w:lang w:val="en-US" w:eastAsia="zh-CN"/>
              </w:rPr>
              <w:t>投标产品（</w:t>
            </w:r>
            <w:r>
              <w:rPr>
                <w:rFonts w:hint="eastAsia" w:ascii="仿宋" w:hAnsi="仿宋" w:eastAsia="仿宋" w:cs="仿宋_GB2312"/>
                <w:sz w:val="24"/>
                <w:highlight w:val="none"/>
                <w:lang w:eastAsia="zh-CN"/>
              </w:rPr>
              <w:t>幼儿正方</w:t>
            </w:r>
            <w:r>
              <w:rPr>
                <w:rFonts w:hint="eastAsia" w:ascii="仿宋" w:hAnsi="仿宋" w:eastAsia="仿宋" w:cs="仿宋_GB2312"/>
                <w:sz w:val="24"/>
                <w:highlight w:val="none"/>
              </w:rPr>
              <w:t>桌或其同品类、</w:t>
            </w:r>
            <w:r>
              <w:rPr>
                <w:rFonts w:hint="eastAsia" w:ascii="仿宋" w:hAnsi="仿宋" w:eastAsia="仿宋" w:cs="仿宋_GB2312"/>
                <w:sz w:val="24"/>
                <w:highlight w:val="none"/>
                <w:lang w:eastAsia="zh-CN"/>
              </w:rPr>
              <w:t>幼儿椅子</w:t>
            </w:r>
            <w:r>
              <w:rPr>
                <w:rFonts w:hint="eastAsia" w:ascii="仿宋" w:hAnsi="仿宋" w:eastAsia="仿宋" w:cs="仿宋_GB2312"/>
                <w:sz w:val="24"/>
                <w:highlight w:val="none"/>
              </w:rPr>
              <w:t>或其同品类、</w:t>
            </w:r>
            <w:r>
              <w:rPr>
                <w:rFonts w:hint="eastAsia" w:ascii="仿宋" w:hAnsi="仿宋" w:eastAsia="仿宋" w:cs="仿宋_GB2312"/>
                <w:sz w:val="24"/>
                <w:highlight w:val="none"/>
                <w:lang w:eastAsia="zh-CN"/>
              </w:rPr>
              <w:t>幼儿抽拉床</w:t>
            </w:r>
            <w:r>
              <w:rPr>
                <w:rFonts w:hint="eastAsia" w:ascii="仿宋" w:hAnsi="仿宋" w:eastAsia="仿宋" w:cs="仿宋_GB2312"/>
                <w:sz w:val="24"/>
                <w:highlight w:val="none"/>
              </w:rPr>
              <w:t>或其同品类、玩具柜或其同品类</w:t>
            </w:r>
            <w:r>
              <w:rPr>
                <w:rFonts w:hint="eastAsia" w:ascii="仿宋" w:hAnsi="仿宋" w:eastAsia="仿宋" w:cs="仿宋"/>
                <w:sz w:val="24"/>
                <w:highlight w:val="none"/>
                <w:lang w:val="en-US" w:eastAsia="zh-CN"/>
              </w:rPr>
              <w:t>）及生产厂家具有效期内的CQC中国环保产品认证证书，提供有效证明材料，全部满足得2分，缺1类扣0.5分，扣完为止</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w:t>
            </w:r>
          </w:p>
        </w:tc>
        <w:tc>
          <w:tcPr>
            <w:tcW w:w="1060" w:type="pct"/>
            <w:vAlign w:val="center"/>
          </w:tcPr>
          <w:p>
            <w:pPr>
              <w:spacing w:line="360" w:lineRule="auto"/>
              <w:jc w:val="center"/>
              <w:outlineLvl w:val="0"/>
              <w:rPr>
                <w:rFonts w:hint="eastAsia" w:ascii="仿宋" w:hAnsi="仿宋" w:eastAsia="仿宋"/>
                <w:sz w:val="24"/>
                <w:highlight w:val="none"/>
              </w:rPr>
            </w:pPr>
            <w:r>
              <w:rPr>
                <w:rFonts w:hint="eastAsia" w:ascii="仿宋" w:hAnsi="仿宋" w:eastAsia="仿宋"/>
                <w:sz w:val="24"/>
                <w:highlight w:val="none"/>
                <w:lang w:eastAsia="zh-CN"/>
              </w:rPr>
              <w:t>（四）</w:t>
            </w:r>
            <w:r>
              <w:rPr>
                <w:rFonts w:hint="eastAsia" w:ascii="仿宋" w:hAnsi="仿宋" w:eastAsia="仿宋"/>
                <w:sz w:val="24"/>
                <w:highlight w:val="none"/>
              </w:rPr>
              <w:t>CQC中国环保产品认证证书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5</w:t>
            </w:r>
          </w:p>
        </w:tc>
        <w:tc>
          <w:tcPr>
            <w:tcW w:w="3141" w:type="pct"/>
            <w:vAlign w:val="center"/>
          </w:tcPr>
          <w:p>
            <w:pPr>
              <w:spacing w:line="360" w:lineRule="auto"/>
              <w:outlineLvl w:val="0"/>
              <w:rPr>
                <w:rFonts w:hint="default" w:ascii="仿宋" w:hAnsi="仿宋" w:eastAsia="仿宋" w:cs="仿宋"/>
                <w:sz w:val="24"/>
                <w:highlight w:val="none"/>
                <w:lang w:val="en-US" w:eastAsia="zh-CN"/>
              </w:rPr>
            </w:pPr>
            <w:r>
              <w:rPr>
                <w:rFonts w:hint="default" w:ascii="仿宋" w:hAnsi="仿宋" w:eastAsia="仿宋"/>
                <w:sz w:val="24"/>
                <w:highlight w:val="none"/>
                <w:lang w:val="en-US" w:eastAsia="zh-CN"/>
              </w:rPr>
              <w:t>投标人</w:t>
            </w:r>
            <w:r>
              <w:rPr>
                <w:rFonts w:hint="eastAsia" w:ascii="仿宋" w:hAnsi="仿宋" w:eastAsia="仿宋"/>
                <w:sz w:val="24"/>
                <w:highlight w:val="none"/>
                <w:lang w:val="en-US" w:eastAsia="zh-CN"/>
              </w:rPr>
              <w:t>或</w:t>
            </w:r>
            <w:r>
              <w:rPr>
                <w:rFonts w:hint="default" w:ascii="仿宋" w:hAnsi="仿宋" w:eastAsia="仿宋" w:cs="仿宋"/>
                <w:sz w:val="24"/>
                <w:highlight w:val="none"/>
                <w:lang w:val="en-US" w:eastAsia="zh-CN"/>
              </w:rPr>
              <w:t>生产厂商具有有效期内的CQTA品质验证证书，</w:t>
            </w:r>
            <w:r>
              <w:rPr>
                <w:rFonts w:hint="eastAsia" w:ascii="仿宋" w:hAnsi="仿宋" w:eastAsia="仿宋" w:cs="仿宋_GB2312"/>
                <w:sz w:val="24"/>
                <w:highlight w:val="none"/>
              </w:rPr>
              <w:t>提供有效证明材料。满足得1分，否则不得分。</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val="en-US" w:eastAsia="zh-CN"/>
              </w:rPr>
              <w:t>（五）CQTA品质验证证书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402" w:type="pct"/>
            <w:vAlign w:val="center"/>
          </w:tcPr>
          <w:p>
            <w:pPr>
              <w:spacing w:line="360" w:lineRule="auto"/>
              <w:jc w:val="center"/>
              <w:outlineLvl w:val="0"/>
              <w:rPr>
                <w:rFonts w:hint="eastAsia"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6</w:t>
            </w:r>
          </w:p>
        </w:tc>
        <w:tc>
          <w:tcPr>
            <w:tcW w:w="3141" w:type="pct"/>
            <w:vAlign w:val="center"/>
          </w:tcPr>
          <w:p>
            <w:pPr>
              <w:spacing w:line="360" w:lineRule="auto"/>
              <w:outlineLvl w:val="0"/>
              <w:rPr>
                <w:rFonts w:hint="default" w:ascii="仿宋" w:hAnsi="仿宋" w:eastAsia="仿宋" w:cs="仿宋"/>
                <w:sz w:val="24"/>
                <w:highlight w:val="none"/>
                <w:lang w:val="en-US" w:eastAsia="zh-CN"/>
              </w:rPr>
            </w:pPr>
            <w:r>
              <w:rPr>
                <w:rFonts w:hint="default" w:ascii="仿宋" w:hAnsi="仿宋" w:eastAsia="仿宋" w:cs="仿宋"/>
                <w:sz w:val="24"/>
                <w:highlight w:val="none"/>
                <w:lang w:val="en-US" w:eastAsia="zh-CN"/>
              </w:rPr>
              <w:t>投标人自</w:t>
            </w:r>
            <w:r>
              <w:rPr>
                <w:rFonts w:hint="eastAsia" w:ascii="仿宋" w:hAnsi="仿宋" w:eastAsia="仿宋" w:cs="仿宋"/>
                <w:sz w:val="24"/>
                <w:highlight w:val="none"/>
                <w:lang w:val="en-US" w:eastAsia="zh-CN"/>
              </w:rPr>
              <w:t>2019</w:t>
            </w:r>
            <w:r>
              <w:rPr>
                <w:rFonts w:hint="default" w:ascii="仿宋" w:hAnsi="仿宋" w:eastAsia="仿宋" w:cs="仿宋"/>
                <w:sz w:val="24"/>
                <w:highlight w:val="none"/>
                <w:lang w:val="en-US" w:eastAsia="zh-CN"/>
              </w:rPr>
              <w:t>年1月1日（含）至开标时间止（以合同签订时间为准）承接过</w:t>
            </w:r>
            <w:r>
              <w:rPr>
                <w:rFonts w:hint="eastAsia" w:ascii="仿宋" w:hAnsi="仿宋" w:eastAsia="仿宋" w:cs="仿宋"/>
                <w:sz w:val="24"/>
                <w:highlight w:val="none"/>
                <w:lang w:val="en-US" w:eastAsia="zh-CN"/>
              </w:rPr>
              <w:t>同类</w:t>
            </w:r>
            <w:r>
              <w:rPr>
                <w:rFonts w:hint="default" w:ascii="仿宋" w:hAnsi="仿宋" w:eastAsia="仿宋" w:cs="仿宋"/>
                <w:sz w:val="24"/>
                <w:highlight w:val="none"/>
                <w:lang w:val="en-US" w:eastAsia="zh-CN"/>
              </w:rPr>
              <w:t>家具项目案例</w:t>
            </w:r>
            <w:r>
              <w:rPr>
                <w:rFonts w:hint="eastAsia" w:ascii="仿宋" w:hAnsi="仿宋" w:eastAsia="仿宋" w:cs="仿宋"/>
                <w:sz w:val="24"/>
                <w:highlight w:val="none"/>
                <w:lang w:val="en-US" w:eastAsia="zh-CN"/>
              </w:rPr>
              <w:t>（须含幼儿家具）</w:t>
            </w:r>
            <w:r>
              <w:rPr>
                <w:rFonts w:hint="default" w:ascii="仿宋" w:hAnsi="仿宋" w:eastAsia="仿宋" w:cs="仿宋"/>
                <w:sz w:val="24"/>
                <w:highlight w:val="none"/>
                <w:lang w:val="en-US" w:eastAsia="zh-CN"/>
              </w:rPr>
              <w:t>，同时提供中标通知书、合同、验收合格报告</w:t>
            </w:r>
            <w:r>
              <w:rPr>
                <w:rFonts w:hint="eastAsia" w:ascii="仿宋" w:hAnsi="仿宋" w:eastAsia="仿宋" w:cs="仿宋"/>
                <w:sz w:val="24"/>
                <w:highlight w:val="none"/>
                <w:lang w:val="en-US" w:eastAsia="zh-CN"/>
              </w:rPr>
              <w:t>，</w:t>
            </w:r>
            <w:r>
              <w:rPr>
                <w:rFonts w:hint="default" w:ascii="仿宋" w:hAnsi="仿宋" w:eastAsia="仿宋" w:cs="仿宋"/>
                <w:sz w:val="24"/>
                <w:highlight w:val="none"/>
                <w:lang w:val="en-US" w:eastAsia="zh-CN"/>
              </w:rPr>
              <w:t>一个案例得1分，</w:t>
            </w:r>
            <w:r>
              <w:rPr>
                <w:rFonts w:hint="eastAsia" w:ascii="仿宋" w:hAnsi="仿宋" w:eastAsia="仿宋" w:cs="仿宋"/>
                <w:sz w:val="24"/>
                <w:highlight w:val="none"/>
                <w:lang w:val="en-US" w:eastAsia="zh-CN"/>
              </w:rPr>
              <w:t>共3</w:t>
            </w:r>
            <w:r>
              <w:rPr>
                <w:rFonts w:hint="default" w:ascii="仿宋" w:hAnsi="仿宋" w:eastAsia="仿宋" w:cs="仿宋"/>
                <w:sz w:val="24"/>
                <w:highlight w:val="none"/>
                <w:lang w:val="en-US" w:eastAsia="zh-CN"/>
              </w:rPr>
              <w:t>分。</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（六）同类案例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5000" w:type="pct"/>
            <w:gridSpan w:val="4"/>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技术部分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eastAsia"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7</w:t>
            </w:r>
          </w:p>
        </w:tc>
        <w:tc>
          <w:tcPr>
            <w:tcW w:w="3141" w:type="pct"/>
            <w:vAlign w:val="center"/>
          </w:tcPr>
          <w:p>
            <w:pPr>
              <w:spacing w:line="360" w:lineRule="auto"/>
              <w:outlineLvl w:val="0"/>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提供自</w:t>
            </w:r>
            <w:r>
              <w:rPr>
                <w:rFonts w:hint="default" w:ascii="仿宋" w:hAnsi="仿宋" w:eastAsia="仿宋" w:cs="仿宋"/>
                <w:color w:val="000000"/>
                <w:sz w:val="24"/>
                <w:highlight w:val="none"/>
                <w:lang w:val="en-US" w:eastAsia="zh-CN"/>
              </w:rPr>
              <w:t>2021年1月1日</w:t>
            </w:r>
            <w:r>
              <w:rPr>
                <w:rFonts w:hint="eastAsia" w:ascii="仿宋" w:hAnsi="仿宋" w:eastAsia="仿宋" w:cs="仿宋"/>
                <w:color w:val="000000"/>
                <w:sz w:val="24"/>
                <w:highlight w:val="none"/>
                <w:lang w:val="en-US" w:eastAsia="zh-CN"/>
              </w:rPr>
              <w:t>至开标时间止的</w:t>
            </w:r>
            <w:r>
              <w:rPr>
                <w:rFonts w:hint="default" w:ascii="仿宋" w:hAnsi="仿宋" w:eastAsia="仿宋" w:cs="仿宋"/>
                <w:color w:val="000000"/>
                <w:sz w:val="24"/>
                <w:highlight w:val="none"/>
                <w:lang w:val="en-US" w:eastAsia="zh-CN"/>
              </w:rPr>
              <w:t>符合核心技术性能要求的投标产品（</w:t>
            </w:r>
            <w:r>
              <w:rPr>
                <w:rFonts w:hint="eastAsia" w:ascii="仿宋" w:hAnsi="仿宋" w:eastAsia="仿宋" w:cs="仿宋_GB2312"/>
                <w:sz w:val="24"/>
                <w:highlight w:val="none"/>
                <w:lang w:eastAsia="zh-CN"/>
              </w:rPr>
              <w:t>幼儿正方</w:t>
            </w:r>
            <w:r>
              <w:rPr>
                <w:rFonts w:hint="eastAsia" w:ascii="仿宋" w:hAnsi="仿宋" w:eastAsia="仿宋" w:cs="仿宋_GB2312"/>
                <w:sz w:val="24"/>
                <w:highlight w:val="none"/>
              </w:rPr>
              <w:t>桌或其同品类、</w:t>
            </w:r>
            <w:r>
              <w:rPr>
                <w:rFonts w:hint="eastAsia" w:ascii="仿宋" w:hAnsi="仿宋" w:eastAsia="仿宋" w:cs="仿宋_GB2312"/>
                <w:sz w:val="24"/>
                <w:highlight w:val="none"/>
                <w:lang w:eastAsia="zh-CN"/>
              </w:rPr>
              <w:t>幼儿椅子</w:t>
            </w:r>
            <w:r>
              <w:rPr>
                <w:rFonts w:hint="eastAsia" w:ascii="仿宋" w:hAnsi="仿宋" w:eastAsia="仿宋" w:cs="仿宋_GB2312"/>
                <w:sz w:val="24"/>
                <w:highlight w:val="none"/>
              </w:rPr>
              <w:t>或其同品类、</w:t>
            </w:r>
            <w:r>
              <w:rPr>
                <w:rFonts w:hint="eastAsia" w:ascii="仿宋" w:hAnsi="仿宋" w:eastAsia="仿宋" w:cs="仿宋_GB2312"/>
                <w:sz w:val="24"/>
                <w:highlight w:val="none"/>
                <w:lang w:eastAsia="zh-CN"/>
              </w:rPr>
              <w:t>幼儿抽拉床</w:t>
            </w:r>
            <w:r>
              <w:rPr>
                <w:rFonts w:hint="eastAsia" w:ascii="仿宋" w:hAnsi="仿宋" w:eastAsia="仿宋" w:cs="仿宋_GB2312"/>
                <w:sz w:val="24"/>
                <w:highlight w:val="none"/>
              </w:rPr>
              <w:t>或其同品类、玩具柜或其同品类</w:t>
            </w:r>
            <w:r>
              <w:rPr>
                <w:rFonts w:hint="default" w:ascii="仿宋" w:hAnsi="仿宋" w:eastAsia="仿宋" w:cs="仿宋"/>
                <w:color w:val="000000"/>
                <w:sz w:val="24"/>
                <w:highlight w:val="none"/>
                <w:lang w:val="en-US" w:eastAsia="zh-CN"/>
              </w:rPr>
              <w:t>）的成品检测报告。</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每个产品的核心技术指标评分应包含以下内容，内容完全符合要求且报告提供齐全的每个产品得</w:t>
            </w:r>
            <w:r>
              <w:rPr>
                <w:rFonts w:hint="eastAsia" w:ascii="仿宋" w:hAnsi="仿宋" w:eastAsia="仿宋" w:cs="仿宋"/>
                <w:color w:val="000000"/>
                <w:sz w:val="24"/>
                <w:highlight w:val="none"/>
                <w:lang w:val="en-US" w:eastAsia="zh-CN"/>
              </w:rPr>
              <w:t>2</w:t>
            </w:r>
            <w:r>
              <w:rPr>
                <w:rFonts w:hint="default" w:ascii="仿宋" w:hAnsi="仿宋" w:eastAsia="仿宋" w:cs="仿宋"/>
                <w:color w:val="000000"/>
                <w:sz w:val="24"/>
                <w:highlight w:val="none"/>
                <w:lang w:val="en-US" w:eastAsia="zh-CN"/>
              </w:rPr>
              <w:t>分，最高</w:t>
            </w:r>
            <w:r>
              <w:rPr>
                <w:rFonts w:hint="eastAsia" w:ascii="仿宋" w:hAnsi="仿宋" w:eastAsia="仿宋" w:cs="仿宋"/>
                <w:color w:val="000000"/>
                <w:sz w:val="24"/>
                <w:highlight w:val="none"/>
                <w:lang w:val="en-US" w:eastAsia="zh-CN"/>
              </w:rPr>
              <w:t>8</w:t>
            </w:r>
            <w:r>
              <w:rPr>
                <w:rFonts w:hint="default" w:ascii="仿宋" w:hAnsi="仿宋" w:eastAsia="仿宋" w:cs="仿宋"/>
                <w:color w:val="000000"/>
                <w:sz w:val="24"/>
                <w:highlight w:val="none"/>
                <w:lang w:val="en-US" w:eastAsia="zh-CN"/>
              </w:rPr>
              <w:t>分，缺项不得分：</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1.力学性能(稳定性全项、符合采购需求的强度及耐久性全项）；</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2.产品涉及的表面理化性能（如：漆膜、软硬质覆面、金属件、封边条表面胶合强度等）；</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3.甲醛释放量按对应的国家标准执行评分（选取两项中的其中一项）：</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 xml:space="preserve">  （1）按GB 18580-2017执行，甲醛释放量≤0.05mg/m3 ；</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 xml:space="preserve">  （2）按GB 18584-2001执行，甲醛释放量≤0.5mg/L。</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4.除第3项所涉及的甲醛释放量以外的安全性能和有害物质限量。</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备注：出具的检测报告必须由具备家具成品及其原辅材料检测能力并通过国家计量认证（CMA资质）的第三方检测机构提供。</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8</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（七）</w:t>
            </w:r>
            <w:r>
              <w:rPr>
                <w:rFonts w:hint="eastAsia" w:ascii="仿宋" w:hAnsi="仿宋" w:eastAsia="仿宋"/>
                <w:sz w:val="24"/>
                <w:highlight w:val="none"/>
                <w:lang w:val="en-US" w:eastAsia="zh-CN"/>
              </w:rPr>
              <w:t>成品检测报告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6" w:hRule="atLeast"/>
          <w:jc w:val="center"/>
        </w:trPr>
        <w:tc>
          <w:tcPr>
            <w:tcW w:w="402" w:type="pct"/>
            <w:vAlign w:val="center"/>
          </w:tcPr>
          <w:p>
            <w:pPr>
              <w:spacing w:line="360" w:lineRule="auto"/>
              <w:jc w:val="center"/>
              <w:outlineLvl w:val="0"/>
              <w:rPr>
                <w:rFonts w:hint="eastAsia"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8</w:t>
            </w:r>
          </w:p>
        </w:tc>
        <w:tc>
          <w:tcPr>
            <w:tcW w:w="3141" w:type="pct"/>
            <w:vAlign w:val="center"/>
          </w:tcPr>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提供符合国家标准或行业标准要求的主要原材料（如胶粘剂、热熔胶、塑粉、塑料胶套、钢管、</w:t>
            </w:r>
            <w:r>
              <w:rPr>
                <w:rFonts w:hint="eastAsia" w:ascii="仿宋" w:hAnsi="仿宋" w:eastAsia="仿宋" w:cs="仿宋"/>
                <w:color w:val="000000"/>
                <w:sz w:val="24"/>
                <w:highlight w:val="none"/>
                <w:lang w:val="en-US" w:eastAsia="zh-CN"/>
              </w:rPr>
              <w:t>多层板、</w:t>
            </w:r>
            <w:r>
              <w:rPr>
                <w:rFonts w:hint="default" w:ascii="仿宋" w:hAnsi="仿宋" w:eastAsia="仿宋" w:cs="仿宋"/>
                <w:color w:val="000000"/>
                <w:sz w:val="24"/>
                <w:highlight w:val="none"/>
                <w:lang w:val="en-US" w:eastAsia="zh-CN"/>
              </w:rPr>
              <w:t>橡胶木、脚轮、五金件</w:t>
            </w:r>
            <w:r>
              <w:rPr>
                <w:rFonts w:hint="eastAsia" w:ascii="仿宋" w:hAnsi="仿宋" w:eastAsia="仿宋" w:cs="仿宋"/>
                <w:color w:val="000000"/>
                <w:sz w:val="24"/>
                <w:highlight w:val="none"/>
                <w:lang w:val="en-US" w:eastAsia="zh-CN"/>
              </w:rPr>
              <w:t>、</w:t>
            </w:r>
            <w:r>
              <w:rPr>
                <w:rFonts w:hint="default" w:ascii="仿宋" w:hAnsi="仿宋" w:eastAsia="仿宋" w:cs="仿宋"/>
                <w:color w:val="000000"/>
                <w:sz w:val="24"/>
                <w:highlight w:val="none"/>
                <w:lang w:val="en-US" w:eastAsia="zh-CN"/>
              </w:rPr>
              <w:t>海绵、封边条、胶水、水性漆</w:t>
            </w:r>
            <w:r>
              <w:rPr>
                <w:rFonts w:hint="eastAsia" w:ascii="仿宋" w:hAnsi="仿宋" w:eastAsia="仿宋" w:cs="仿宋"/>
                <w:color w:val="000000"/>
                <w:sz w:val="24"/>
                <w:highlight w:val="none"/>
                <w:lang w:val="en-US" w:eastAsia="zh-CN"/>
              </w:rPr>
              <w:t>、水基型胶粘剂、实木板材</w:t>
            </w:r>
            <w:r>
              <w:rPr>
                <w:rFonts w:hint="default" w:ascii="仿宋" w:hAnsi="仿宋" w:eastAsia="仿宋" w:cs="仿宋"/>
                <w:color w:val="000000"/>
                <w:sz w:val="24"/>
                <w:highlight w:val="none"/>
                <w:lang w:val="en-US" w:eastAsia="zh-CN"/>
              </w:rPr>
              <w:t>等）的检测报告（投标截止时间前一年内）。每提供一个种类的原材料检测报告，得</w:t>
            </w:r>
            <w:r>
              <w:rPr>
                <w:rFonts w:hint="eastAsia" w:ascii="仿宋" w:hAnsi="仿宋" w:eastAsia="仿宋" w:cs="仿宋"/>
                <w:color w:val="000000"/>
                <w:sz w:val="24"/>
                <w:highlight w:val="none"/>
                <w:lang w:val="en-US" w:eastAsia="zh-CN"/>
              </w:rPr>
              <w:t>1</w:t>
            </w:r>
            <w:r>
              <w:rPr>
                <w:rFonts w:hint="default" w:ascii="仿宋" w:hAnsi="仿宋" w:eastAsia="仿宋" w:cs="仿宋"/>
                <w:color w:val="000000"/>
                <w:sz w:val="24"/>
                <w:highlight w:val="none"/>
                <w:lang w:val="en-US" w:eastAsia="zh-CN"/>
              </w:rPr>
              <w:t>分，最高得</w:t>
            </w:r>
            <w:r>
              <w:rPr>
                <w:rFonts w:hint="eastAsia" w:ascii="仿宋" w:hAnsi="仿宋" w:eastAsia="仿宋" w:cs="仿宋"/>
                <w:color w:val="000000"/>
                <w:sz w:val="24"/>
                <w:highlight w:val="none"/>
                <w:lang w:val="en-US" w:eastAsia="zh-CN"/>
              </w:rPr>
              <w:t>8</w:t>
            </w:r>
            <w:r>
              <w:rPr>
                <w:rFonts w:hint="default" w:ascii="仿宋" w:hAnsi="仿宋" w:eastAsia="仿宋" w:cs="仿宋"/>
                <w:color w:val="000000"/>
                <w:sz w:val="24"/>
                <w:highlight w:val="none"/>
                <w:lang w:val="en-US" w:eastAsia="zh-CN"/>
              </w:rPr>
              <w:t>分。</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原材料供应商提供符合上述要求的检测报告也可采用，但必须提供供应商购买对应原材料的发票复印件（投标截止时间前一年内）或者预购对应原材料的预约合同等证明材料。</w:t>
            </w:r>
          </w:p>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备注：出具的检测报告必须由具备家具成品及其原辅材料检测能力并通过国家计量认证（CMA资质）的第三方检测机构提供。</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8</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cs="仿宋"/>
                <w:color w:val="000000"/>
                <w:sz w:val="24"/>
                <w:highlight w:val="none"/>
                <w:lang w:val="en-US" w:eastAsia="zh-CN"/>
              </w:rPr>
              <w:t>（八）原材料</w:t>
            </w:r>
            <w:r>
              <w:rPr>
                <w:rFonts w:hint="default" w:ascii="仿宋" w:hAnsi="仿宋" w:eastAsia="仿宋" w:cs="仿宋"/>
                <w:color w:val="000000"/>
                <w:sz w:val="24"/>
                <w:highlight w:val="none"/>
                <w:lang w:val="en-US" w:eastAsia="zh-CN"/>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eastAsia"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9</w:t>
            </w:r>
          </w:p>
        </w:tc>
        <w:tc>
          <w:tcPr>
            <w:tcW w:w="3141" w:type="pct"/>
            <w:vAlign w:val="center"/>
          </w:tcPr>
          <w:p>
            <w:pPr>
              <w:spacing w:line="360" w:lineRule="auto"/>
              <w:outlineLvl w:val="0"/>
              <w:rPr>
                <w:rFonts w:hint="default" w:ascii="仿宋" w:hAnsi="仿宋" w:eastAsia="仿宋"/>
                <w:sz w:val="24"/>
                <w:highlight w:val="none"/>
                <w:lang w:val="en-US" w:eastAsia="zh-CN"/>
              </w:rPr>
            </w:pPr>
            <w:r>
              <w:rPr>
                <w:rFonts w:hint="default" w:ascii="仿宋" w:hAnsi="仿宋" w:eastAsia="仿宋"/>
                <w:sz w:val="24"/>
                <w:highlight w:val="none"/>
                <w:lang w:val="en-US" w:eastAsia="zh-CN"/>
              </w:rPr>
              <w:t>投标人或生产厂家完成本项目所具备下列主要生产设备（</w:t>
            </w:r>
            <w:r>
              <w:rPr>
                <w:rFonts w:hint="eastAsia" w:ascii="仿宋" w:hAnsi="仿宋" w:eastAsia="仿宋"/>
                <w:sz w:val="24"/>
                <w:highlight w:val="none"/>
                <w:lang w:val="en-US" w:eastAsia="zh-CN"/>
              </w:rPr>
              <w:t>同时</w:t>
            </w:r>
            <w:r>
              <w:rPr>
                <w:rFonts w:hint="default" w:ascii="仿宋" w:hAnsi="仿宋" w:eastAsia="仿宋"/>
                <w:sz w:val="24"/>
                <w:highlight w:val="none"/>
                <w:lang w:val="en-US" w:eastAsia="zh-CN"/>
              </w:rPr>
              <w:t>提供生产设备现场实景图、生产设备采购发票原件</w:t>
            </w:r>
            <w:r>
              <w:rPr>
                <w:rFonts w:hint="eastAsia" w:ascii="仿宋" w:hAnsi="仿宋" w:eastAsia="仿宋"/>
                <w:sz w:val="24"/>
                <w:highlight w:val="none"/>
                <w:lang w:val="en-US" w:eastAsia="zh-CN"/>
              </w:rPr>
              <w:t>扫描件</w:t>
            </w:r>
            <w:r>
              <w:rPr>
                <w:rFonts w:hint="default" w:ascii="仿宋" w:hAnsi="仿宋" w:eastAsia="仿宋"/>
                <w:sz w:val="24"/>
                <w:highlight w:val="none"/>
                <w:lang w:val="en-US" w:eastAsia="zh-CN"/>
              </w:rPr>
              <w:t>,</w:t>
            </w:r>
            <w:r>
              <w:rPr>
                <w:rFonts w:hint="eastAsia" w:ascii="仿宋" w:hAnsi="仿宋" w:eastAsia="仿宋"/>
                <w:sz w:val="24"/>
                <w:highlight w:val="none"/>
                <w:lang w:val="en-US" w:eastAsia="zh-CN"/>
              </w:rPr>
              <w:t>提供不全或</w:t>
            </w:r>
            <w:r>
              <w:rPr>
                <w:rFonts w:hint="default" w:ascii="仿宋" w:hAnsi="仿宋" w:eastAsia="仿宋"/>
                <w:sz w:val="24"/>
                <w:highlight w:val="none"/>
                <w:lang w:val="en-US" w:eastAsia="zh-CN"/>
              </w:rPr>
              <w:t>不提供不得分）：</w:t>
            </w:r>
          </w:p>
          <w:p>
            <w:pPr>
              <w:spacing w:line="360" w:lineRule="auto"/>
              <w:outlineLvl w:val="0"/>
              <w:rPr>
                <w:rFonts w:hint="default" w:ascii="仿宋" w:hAnsi="仿宋" w:eastAsia="仿宋"/>
                <w:sz w:val="24"/>
                <w:highlight w:val="none"/>
                <w:lang w:val="en-US" w:eastAsia="zh-CN"/>
              </w:rPr>
            </w:pPr>
            <w:r>
              <w:rPr>
                <w:rFonts w:hint="default" w:ascii="仿宋" w:hAnsi="仿宋" w:eastAsia="仿宋"/>
                <w:sz w:val="24"/>
                <w:highlight w:val="none"/>
                <w:lang w:val="en-US" w:eastAsia="zh-CN"/>
              </w:rPr>
              <w:t>1.人造板类：开料锯机、封边机、排钻床、冷压机、热压机、涂装设备、加工中心等；</w:t>
            </w:r>
          </w:p>
          <w:p>
            <w:pPr>
              <w:spacing w:line="360" w:lineRule="auto"/>
              <w:outlineLvl w:val="0"/>
              <w:rPr>
                <w:rFonts w:hint="default" w:ascii="仿宋" w:hAnsi="仿宋" w:eastAsia="仿宋"/>
                <w:sz w:val="24"/>
                <w:highlight w:val="none"/>
                <w:lang w:val="en-US" w:eastAsia="zh-CN"/>
              </w:rPr>
            </w:pPr>
            <w:r>
              <w:rPr>
                <w:rFonts w:hint="default" w:ascii="仿宋" w:hAnsi="仿宋" w:eastAsia="仿宋"/>
                <w:sz w:val="24"/>
                <w:highlight w:val="none"/>
                <w:lang w:val="en-US" w:eastAsia="zh-CN"/>
              </w:rPr>
              <w:t>2.实木类：纵解锯机、横截锯机、平刨床、压刨床、拼板机、开榫机、加工中心、干燥房、涂装设备等；</w:t>
            </w:r>
          </w:p>
          <w:p>
            <w:pPr>
              <w:spacing w:line="360" w:lineRule="auto"/>
              <w:outlineLvl w:val="0"/>
              <w:rPr>
                <w:rFonts w:hint="default" w:ascii="仿宋" w:hAnsi="仿宋" w:eastAsia="仿宋"/>
                <w:sz w:val="24"/>
                <w:highlight w:val="none"/>
                <w:lang w:val="en-US" w:eastAsia="zh-CN"/>
              </w:rPr>
            </w:pPr>
            <w:r>
              <w:rPr>
                <w:rFonts w:hint="default" w:ascii="仿宋" w:hAnsi="仿宋" w:eastAsia="仿宋"/>
                <w:sz w:val="24"/>
                <w:highlight w:val="none"/>
                <w:lang w:val="en-US" w:eastAsia="zh-CN"/>
              </w:rPr>
              <w:t>3.钢制类：切割设备、折弯机、焊接设备、涂装设备、冲床、钻床、加工中心等；</w:t>
            </w:r>
          </w:p>
          <w:p>
            <w:pPr>
              <w:spacing w:line="360" w:lineRule="auto"/>
              <w:outlineLvl w:val="0"/>
              <w:rPr>
                <w:rFonts w:hint="default" w:ascii="仿宋" w:hAnsi="仿宋" w:eastAsia="仿宋"/>
                <w:sz w:val="24"/>
                <w:highlight w:val="none"/>
                <w:lang w:val="en-US" w:eastAsia="zh-CN"/>
              </w:rPr>
            </w:pPr>
            <w:r>
              <w:rPr>
                <w:rFonts w:hint="default" w:ascii="仿宋" w:hAnsi="仿宋" w:eastAsia="仿宋"/>
                <w:sz w:val="24"/>
                <w:highlight w:val="none"/>
                <w:lang w:val="en-US" w:eastAsia="zh-CN"/>
              </w:rPr>
              <w:t>4.钢木类：切割设备、弯管机、焊接设备、涂装设备、开料锯机、封边机、排钻床等；</w:t>
            </w:r>
          </w:p>
          <w:p>
            <w:pPr>
              <w:spacing w:line="360" w:lineRule="auto"/>
              <w:outlineLvl w:val="0"/>
              <w:rPr>
                <w:rFonts w:hint="default" w:ascii="仿宋" w:hAnsi="仿宋" w:eastAsia="仿宋"/>
                <w:sz w:val="24"/>
                <w:highlight w:val="none"/>
                <w:lang w:val="en-US" w:eastAsia="zh-CN"/>
              </w:rPr>
            </w:pPr>
            <w:r>
              <w:rPr>
                <w:rFonts w:hint="eastAsia" w:ascii="仿宋" w:hAnsi="仿宋" w:eastAsia="仿宋"/>
                <w:sz w:val="24"/>
                <w:highlight w:val="none"/>
                <w:lang w:val="en-US" w:eastAsia="zh-CN"/>
              </w:rPr>
              <w:t>以上</w:t>
            </w:r>
            <w:r>
              <w:rPr>
                <w:rFonts w:hint="default" w:ascii="仿宋" w:hAnsi="仿宋" w:eastAsia="仿宋"/>
                <w:sz w:val="24"/>
                <w:highlight w:val="none"/>
                <w:lang w:val="en-US" w:eastAsia="zh-CN"/>
              </w:rPr>
              <w:t>每提供一项得0.5分</w:t>
            </w:r>
            <w:r>
              <w:rPr>
                <w:rFonts w:hint="eastAsia" w:ascii="仿宋" w:hAnsi="仿宋" w:eastAsia="仿宋"/>
                <w:sz w:val="24"/>
                <w:highlight w:val="none"/>
                <w:lang w:val="en-US" w:eastAsia="zh-CN"/>
              </w:rPr>
              <w:t>，共2分。</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（九）生产设备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eastAsia" w:ascii="仿宋" w:hAnsi="仿宋" w:eastAsia="仿宋" w:cs="仿宋_GB2312"/>
                <w:sz w:val="24"/>
                <w:highlight w:val="none"/>
                <w:lang w:val="en-US" w:eastAsia="zh-CN"/>
              </w:rPr>
            </w:pPr>
          </w:p>
        </w:tc>
        <w:tc>
          <w:tcPr>
            <w:tcW w:w="3141" w:type="pct"/>
            <w:vAlign w:val="center"/>
          </w:tcPr>
          <w:p>
            <w:pPr>
              <w:spacing w:line="360" w:lineRule="auto"/>
              <w:outlineLvl w:val="0"/>
              <w:rPr>
                <w:rFonts w:hint="eastAsia" w:ascii="仿宋" w:hAnsi="仿宋" w:eastAsia="仿宋" w:cs="仿宋"/>
                <w:color w:val="000000"/>
                <w:sz w:val="24"/>
                <w:highlight w:val="none"/>
                <w:lang w:eastAsia="zh-CN"/>
              </w:rPr>
            </w:pPr>
            <w:r>
              <w:rPr>
                <w:rFonts w:hint="eastAsia" w:ascii="仿宋" w:hAnsi="仿宋" w:eastAsia="仿宋" w:cs="仿宋"/>
                <w:color w:val="000000"/>
                <w:sz w:val="24"/>
                <w:highlight w:val="none"/>
                <w:lang w:eastAsia="zh-CN"/>
              </w:rPr>
              <w:t>其余技术规格响应情况。其余技术规格均满足得</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lang w:eastAsia="zh-CN"/>
              </w:rPr>
              <w:t>分，每一项负偏离扣0.5分，扣完为止。</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4</w:t>
            </w:r>
          </w:p>
        </w:tc>
        <w:tc>
          <w:tcPr>
            <w:tcW w:w="1060" w:type="pct"/>
            <w:vAlign w:val="center"/>
          </w:tcPr>
          <w:p>
            <w:pPr>
              <w:spacing w:line="360" w:lineRule="auto"/>
              <w:jc w:val="center"/>
              <w:outlineLvl w:val="0"/>
              <w:rPr>
                <w:rFonts w:hint="eastAsia" w:ascii="仿宋" w:hAnsi="仿宋" w:eastAsia="仿宋"/>
                <w:sz w:val="24"/>
                <w:highlight w:val="none"/>
              </w:rPr>
            </w:pPr>
            <w:r>
              <w:rPr>
                <w:rFonts w:hint="eastAsia" w:ascii="仿宋" w:hAnsi="仿宋" w:eastAsia="仿宋" w:cs="仿宋"/>
                <w:color w:val="000000"/>
                <w:sz w:val="24"/>
                <w:highlight w:val="none"/>
                <w:lang w:eastAsia="zh-CN"/>
              </w:rPr>
              <w:t>技术规格响应情况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10</w:t>
            </w:r>
          </w:p>
        </w:tc>
        <w:tc>
          <w:tcPr>
            <w:tcW w:w="3141" w:type="pct"/>
            <w:vAlign w:val="center"/>
          </w:tcPr>
          <w:p>
            <w:pPr>
              <w:spacing w:line="360" w:lineRule="auto"/>
              <w:outlineLvl w:val="0"/>
              <w:rPr>
                <w:rFonts w:hint="eastAsia" w:ascii="仿宋" w:hAnsi="仿宋" w:eastAsia="仿宋" w:cs="仿宋"/>
                <w:color w:val="000000"/>
                <w:sz w:val="24"/>
                <w:highlight w:val="none"/>
                <w:lang w:eastAsia="zh-CN"/>
              </w:rPr>
            </w:pPr>
            <w:r>
              <w:rPr>
                <w:rFonts w:hint="eastAsia" w:ascii="仿宋" w:hAnsi="仿宋" w:eastAsia="仿宋" w:cs="仿宋"/>
                <w:color w:val="000000"/>
                <w:sz w:val="24"/>
                <w:highlight w:val="none"/>
                <w:lang w:eastAsia="zh-CN"/>
              </w:rPr>
              <w:t>项目整体实施规划方案，提出合理的项目整体规划设计与生产实施方案，能按照项目分解节点，并可跟踪实施。根据投标人提供的方案能否满足采购需求判定评分，内容完整、措施有效、符合采购人实际。完全满足得2分，部分满足得1分,不满足不得分，共</w:t>
            </w:r>
            <w:r>
              <w:rPr>
                <w:rFonts w:hint="eastAsia" w:ascii="仿宋" w:hAnsi="仿宋" w:eastAsia="仿宋" w:cs="仿宋"/>
                <w:color w:val="000000"/>
                <w:sz w:val="24"/>
                <w:highlight w:val="none"/>
                <w:lang w:val="en-US" w:eastAsia="zh-CN"/>
              </w:rPr>
              <w:t>2分</w:t>
            </w:r>
            <w:r>
              <w:rPr>
                <w:rFonts w:hint="eastAsia" w:ascii="仿宋" w:hAnsi="仿宋" w:eastAsia="仿宋" w:cs="仿宋"/>
                <w:color w:val="000000"/>
                <w:sz w:val="24"/>
                <w:highlight w:val="none"/>
                <w:lang w:eastAsia="zh-CN"/>
              </w:rPr>
              <w:t>。</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w:t>
            </w:r>
          </w:p>
        </w:tc>
        <w:tc>
          <w:tcPr>
            <w:tcW w:w="1060" w:type="pct"/>
            <w:vAlign w:val="center"/>
          </w:tcPr>
          <w:p>
            <w:pPr>
              <w:spacing w:line="360" w:lineRule="auto"/>
              <w:jc w:val="center"/>
              <w:outlineLvl w:val="0"/>
              <w:rPr>
                <w:rFonts w:hint="eastAsia" w:ascii="仿宋" w:hAnsi="仿宋" w:eastAsia="仿宋"/>
                <w:sz w:val="24"/>
                <w:highlight w:val="none"/>
              </w:rPr>
            </w:pPr>
            <w:r>
              <w:rPr>
                <w:rFonts w:hint="eastAsia" w:ascii="仿宋" w:hAnsi="仿宋" w:eastAsia="仿宋"/>
                <w:sz w:val="24"/>
                <w:highlight w:val="none"/>
                <w:lang w:eastAsia="zh-CN"/>
              </w:rPr>
              <w:t>（十）</w:t>
            </w:r>
            <w:r>
              <w:rPr>
                <w:rFonts w:hint="eastAsia" w:ascii="仿宋" w:hAnsi="仿宋" w:eastAsia="仿宋"/>
                <w:sz w:val="24"/>
                <w:highlight w:val="none"/>
              </w:rPr>
              <w:t>项目整体实施规划方案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11</w:t>
            </w:r>
          </w:p>
        </w:tc>
        <w:tc>
          <w:tcPr>
            <w:tcW w:w="3141" w:type="pct"/>
            <w:vAlign w:val="top"/>
          </w:tcPr>
          <w:p>
            <w:pPr>
              <w:spacing w:line="360" w:lineRule="auto"/>
              <w:outlineLvl w:val="0"/>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技术团队履历及能力说明，须提供项目团队成员名单、与本项目有关的能力证明（包括但不限于职称证明或经验证明等）、社保证明等材料。每满足一项能力证明得1分，最高得 2 分，材料提供不全不得分。</w:t>
            </w:r>
          </w:p>
        </w:tc>
        <w:tc>
          <w:tcPr>
            <w:tcW w:w="395" w:type="pct"/>
            <w:vAlign w:val="center"/>
          </w:tcPr>
          <w:p>
            <w:pPr>
              <w:spacing w:line="360" w:lineRule="auto"/>
              <w:jc w:val="center"/>
              <w:outlineLvl w:val="0"/>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2</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cs="仿宋"/>
                <w:color w:val="000000"/>
                <w:sz w:val="24"/>
                <w:highlight w:val="none"/>
                <w:lang w:val="en-US" w:eastAsia="zh-CN"/>
              </w:rPr>
              <w:t>（十一）技术团队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12</w:t>
            </w:r>
          </w:p>
        </w:tc>
        <w:tc>
          <w:tcPr>
            <w:tcW w:w="3141" w:type="pct"/>
            <w:vAlign w:val="top"/>
          </w:tcPr>
          <w:p>
            <w:pPr>
              <w:spacing w:line="360" w:lineRule="auto"/>
              <w:outlineLvl w:val="0"/>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品质管理管控过程，有独立品管部门和专门品管人员，确保产品生产过程中的质量控制完善。满足得1分，不满足不得分，共1分。</w:t>
            </w:r>
          </w:p>
        </w:tc>
        <w:tc>
          <w:tcPr>
            <w:tcW w:w="395" w:type="pct"/>
            <w:vAlign w:val="center"/>
          </w:tcPr>
          <w:p>
            <w:pPr>
              <w:spacing w:line="360" w:lineRule="auto"/>
              <w:jc w:val="center"/>
              <w:outlineLvl w:val="0"/>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1</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cs="仿宋"/>
                <w:color w:val="000000"/>
                <w:sz w:val="24"/>
                <w:highlight w:val="none"/>
                <w:lang w:val="en-US" w:eastAsia="zh-CN"/>
              </w:rPr>
              <w:t>（十二）品质管理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13</w:t>
            </w:r>
          </w:p>
        </w:tc>
        <w:tc>
          <w:tcPr>
            <w:tcW w:w="3141" w:type="pct"/>
            <w:vAlign w:val="top"/>
          </w:tcPr>
          <w:p>
            <w:pPr>
              <w:spacing w:line="360" w:lineRule="auto"/>
              <w:outlineLvl w:val="0"/>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安装服务实施方案，安装方案的制定，根据货物交付时间节点，落实送货安装时间和人员安排，确保按期交付使用。满足得2分，不满足不得分，共2分。</w:t>
            </w:r>
          </w:p>
        </w:tc>
        <w:tc>
          <w:tcPr>
            <w:tcW w:w="395" w:type="pct"/>
            <w:vAlign w:val="center"/>
          </w:tcPr>
          <w:p>
            <w:pPr>
              <w:spacing w:line="360" w:lineRule="auto"/>
              <w:jc w:val="center"/>
              <w:outlineLvl w:val="0"/>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2</w:t>
            </w:r>
          </w:p>
        </w:tc>
        <w:tc>
          <w:tcPr>
            <w:tcW w:w="1060"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（十三）</w:t>
            </w:r>
            <w:r>
              <w:rPr>
                <w:rFonts w:hint="eastAsia" w:ascii="仿宋" w:hAnsi="仿宋" w:eastAsia="仿宋" w:cs="仿宋"/>
                <w:color w:val="000000"/>
                <w:sz w:val="24"/>
                <w:highlight w:val="none"/>
                <w:lang w:val="en-US" w:eastAsia="zh-CN"/>
              </w:rPr>
              <w:t>安装服务实施方案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14</w:t>
            </w:r>
          </w:p>
        </w:tc>
        <w:tc>
          <w:tcPr>
            <w:tcW w:w="3141" w:type="pct"/>
            <w:vAlign w:val="top"/>
          </w:tcPr>
          <w:p>
            <w:pPr>
              <w:spacing w:line="360" w:lineRule="auto"/>
              <w:outlineLvl w:val="0"/>
              <w:rPr>
                <w:rFonts w:hint="default" w:ascii="仿宋" w:hAnsi="仿宋" w:eastAsia="仿宋" w:cs="仿宋"/>
                <w:color w:val="000000"/>
                <w:sz w:val="24"/>
                <w:highlight w:val="none"/>
                <w:lang w:val="en-US" w:eastAsia="zh-CN"/>
              </w:rPr>
            </w:pPr>
            <w:r>
              <w:rPr>
                <w:rFonts w:hint="default" w:ascii="仿宋" w:hAnsi="仿宋" w:eastAsia="仿宋" w:cs="仿宋"/>
                <w:color w:val="000000"/>
                <w:sz w:val="24"/>
                <w:highlight w:val="none"/>
                <w:lang w:val="en-US" w:eastAsia="zh-CN"/>
              </w:rPr>
              <w:t>售后服务方案及承诺：提供详细完整的“三包”措施及售后服务措施和方案（包括服务措施、产品质量保证、回访、技术培训等）。根据投标人提供的方案能否满足采购需求判定评分，内容完整、措施有效、符合采购人实际完全。满足得</w:t>
            </w:r>
            <w:r>
              <w:rPr>
                <w:rFonts w:hint="eastAsia" w:ascii="仿宋" w:hAnsi="仿宋" w:eastAsia="仿宋" w:cs="仿宋"/>
                <w:color w:val="000000"/>
                <w:sz w:val="24"/>
                <w:highlight w:val="none"/>
                <w:lang w:val="en-US" w:eastAsia="zh-CN"/>
              </w:rPr>
              <w:t>3</w:t>
            </w:r>
            <w:r>
              <w:rPr>
                <w:rFonts w:hint="default" w:ascii="仿宋" w:hAnsi="仿宋" w:eastAsia="仿宋" w:cs="仿宋"/>
                <w:color w:val="000000"/>
                <w:sz w:val="24"/>
                <w:highlight w:val="none"/>
                <w:lang w:val="en-US" w:eastAsia="zh-CN"/>
              </w:rPr>
              <w:t>分，部分满足得1分,不满足不得分。</w:t>
            </w:r>
          </w:p>
        </w:tc>
        <w:tc>
          <w:tcPr>
            <w:tcW w:w="395" w:type="pct"/>
            <w:vAlign w:val="center"/>
          </w:tcPr>
          <w:p>
            <w:pPr>
              <w:spacing w:line="360" w:lineRule="auto"/>
              <w:jc w:val="center"/>
              <w:outlineLvl w:val="0"/>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3</w:t>
            </w:r>
          </w:p>
        </w:tc>
        <w:tc>
          <w:tcPr>
            <w:tcW w:w="1060" w:type="pct"/>
            <w:vMerge w:val="restar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（十四）</w:t>
            </w:r>
            <w:r>
              <w:rPr>
                <w:rFonts w:hint="eastAsia" w:ascii="仿宋" w:hAnsi="仿宋" w:eastAsia="仿宋"/>
                <w:sz w:val="24"/>
                <w:highlight w:val="none"/>
                <w:lang w:val="en-US" w:eastAsia="zh-CN"/>
              </w:rPr>
              <w:t>售后服务方案及承诺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15</w:t>
            </w:r>
          </w:p>
        </w:tc>
        <w:tc>
          <w:tcPr>
            <w:tcW w:w="3141" w:type="pct"/>
            <w:vAlign w:val="center"/>
          </w:tcPr>
          <w:p>
            <w:pPr>
              <w:spacing w:line="360" w:lineRule="auto"/>
              <w:outlineLvl w:val="0"/>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质保期在满足招标文件的基础上每增加一年得1分，共3 分。</w:t>
            </w:r>
          </w:p>
        </w:tc>
        <w:tc>
          <w:tcPr>
            <w:tcW w:w="395"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c>
          <w:tcPr>
            <w:tcW w:w="1060"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16</w:t>
            </w:r>
          </w:p>
        </w:tc>
        <w:tc>
          <w:tcPr>
            <w:tcW w:w="3141" w:type="pct"/>
            <w:vAlign w:val="center"/>
          </w:tcPr>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一.产品主要尺寸、形状及位置公差（5分）：每偏离一个参数指标扣1分，扣完为止。采购人有明确要求且明示的产品尺寸偏差控制在±3mm以内(测量工具：0～3m钢卷尺，精度1mm)。</w:t>
            </w:r>
          </w:p>
        </w:tc>
        <w:tc>
          <w:tcPr>
            <w:tcW w:w="395" w:type="pct"/>
            <w:vAlign w:val="center"/>
          </w:tcPr>
          <w:p>
            <w:pPr>
              <w:pStyle w:val="963"/>
              <w:spacing w:line="320" w:lineRule="exact"/>
              <w:ind w:firstLine="0" w:firstLineChars="0"/>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5</w:t>
            </w:r>
          </w:p>
        </w:tc>
        <w:tc>
          <w:tcPr>
            <w:tcW w:w="1060" w:type="pct"/>
            <w:vMerge w:val="restart"/>
            <w:vAlign w:val="center"/>
          </w:tcPr>
          <w:p>
            <w:pPr>
              <w:spacing w:line="360" w:lineRule="auto"/>
              <w:jc w:val="center"/>
              <w:outlineLvl w:val="0"/>
              <w:rPr>
                <w:rFonts w:hint="default" w:ascii="仿宋" w:hAnsi="仿宋" w:eastAsia="仿宋"/>
                <w:sz w:val="24"/>
                <w:highlight w:val="none"/>
                <w:lang w:val="en-US" w:eastAsia="zh-CN"/>
              </w:rPr>
            </w:pPr>
            <w:r>
              <w:rPr>
                <w:rFonts w:hint="eastAsia" w:ascii="仿宋" w:hAnsi="仿宋" w:eastAsia="仿宋"/>
                <w:sz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42"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17</w:t>
            </w:r>
          </w:p>
        </w:tc>
        <w:tc>
          <w:tcPr>
            <w:tcW w:w="3141" w:type="pct"/>
            <w:vAlign w:val="center"/>
          </w:tcPr>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二.外观要求（5分）：如存在下列不合格的，每个不合格项扣1分，扣完为止。</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1.金属件外观要求：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(1)管材：管材应无裂缝、叠缝，外露管口端面应封闭；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(2)焊接件：焊接处应无脱焊、虚焊、焊穿、错位，焊接处应无夹渣、气孔、焊瘤、焊丝头、咬边、飞溅，焊接处表面波纹应均匀；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(3)冲压件：冲压件应无脱层、裂缝；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(4)铆接件：铆接处应铆接牢固，无漏铆、脱铆，铆钉应端正圆滑，无明显锤印；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(5)金属合金件：无锈蚀、氧化膜脱落、刃口、锐棱，表面细密，应无裂纹、毛刺、黑斑等缺陷；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(6)皱纹或波纹：圆管和扁线管弯曲处弧形应圆滑一致；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(7)喷涂层：涂层应无漏喷、锈蚀和脱色、掉色现象，涂层应光滑均匀，色泽一致，应无流挂、疙瘩、皱皮、飞漆等缺陷；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(8)电镀层：表面应无剥落、返锈、毛刺，表面应无烧焦、起泡、针孔、裂纹、花斑（不包括镀彩锌）和划痕。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2.木制件外观要求：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(1)不应有蛀虫现象；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(2)应无贯通裂缝；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(3)外表应无腐朽材，内表腐朽材面积不应超过零件面积的5%；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(4)外表节子宽度不应超过材宽的1/3，直径不应超过12mm（特殊设计要求除外）；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(5)结合处应无崩茬；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(6)薄木、塑料等材料贴面应无明显透胶、脱胶、凹陷、压痕、鼓泡、胶迹。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3.人造板件外观要求: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(1)外表应无干花、湿花,内表干花、湿花面积不超过板面的5%；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(2)外表应无明显划痕、压痕；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(3)表面应无明显色差；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(4)外表应无鼓泡、龟裂、分层。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4.漆膜外观要求：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(1)同色部件的色泽应相似；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(2)应无褪色、掉色现象；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(3)涂层不应有皱皮、发粘或漏漆现象；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(4)涂层应平整光滑、清晰、无明显粒子、涨边现象；应无明显加工痕迹、划痕、雾光、白棱、白点、鼓泡、油白、流挂、缩孔、刷毛、积粉和杂渣。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5.软包件外观要求：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软面包覆表面：包覆的面料拼接对称图案应完整；同一部位绒面料的绒毛方向应一致；不应有明显色差，包覆的面料应无破损、严重划痕、色污、油污，应平服饱满，松紧均匀，不应有明显皱折，对称工艺性皱折应匀称，层次分明；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(2)外露泡钉：应排列应整齐，间距基本相等，不应有泡钉明显敲扁或脱漆；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(3)缝纫：线迹间距应均匀，无明显浮线、跳针或外露线头、脱线、开缝、脱胶。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6.塑料件外观要求:应无裂纹，无明显变形，应无明显缩孔、气泡、杂质、伤痕，外表用塑料件表面应光洁、无划痕、无污渍、无明显色差。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7.玻璃件外观要求：玻璃外露部件不应有裂纹或缺角。</w:t>
            </w:r>
          </w:p>
        </w:tc>
        <w:tc>
          <w:tcPr>
            <w:tcW w:w="395" w:type="pct"/>
            <w:vAlign w:val="center"/>
          </w:tcPr>
          <w:p>
            <w:pPr>
              <w:pStyle w:val="963"/>
              <w:spacing w:line="320" w:lineRule="exact"/>
              <w:ind w:firstLine="0" w:firstLineChars="0"/>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5</w:t>
            </w:r>
          </w:p>
        </w:tc>
        <w:tc>
          <w:tcPr>
            <w:tcW w:w="1060"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18</w:t>
            </w:r>
          </w:p>
        </w:tc>
        <w:tc>
          <w:tcPr>
            <w:tcW w:w="3141" w:type="pct"/>
            <w:vAlign w:val="center"/>
          </w:tcPr>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三.材料要求（3分）：样品所选用木材、人造板、钢材、面料、封边条等原辅材料，以及铰链、拉手、锁、脚轮等配件与采购需求一致。每偏离一个参数指标扣1分，扣完为止。</w:t>
            </w:r>
          </w:p>
        </w:tc>
        <w:tc>
          <w:tcPr>
            <w:tcW w:w="395" w:type="pct"/>
            <w:vAlign w:val="center"/>
          </w:tcPr>
          <w:p>
            <w:pPr>
              <w:pStyle w:val="963"/>
              <w:spacing w:line="320" w:lineRule="exact"/>
              <w:ind w:firstLine="0" w:firstLineChars="0"/>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3</w:t>
            </w:r>
          </w:p>
        </w:tc>
        <w:tc>
          <w:tcPr>
            <w:tcW w:w="1060"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19</w:t>
            </w:r>
          </w:p>
        </w:tc>
        <w:tc>
          <w:tcPr>
            <w:tcW w:w="3141" w:type="pct"/>
            <w:vAlign w:val="center"/>
          </w:tcPr>
          <w:p>
            <w:pPr>
              <w:pStyle w:val="963"/>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四、功能性要求（3分）：如存在下列不合格的，每个不合格项扣1分，扣完为止。 </w:t>
            </w:r>
          </w:p>
          <w:p>
            <w:pPr>
              <w:pStyle w:val="963"/>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1.铰链、合页、反弹装置、吸合装置、滑轨、倾斜机构、升降机构、翻转机构、插销等部件，安装后应灵活使用；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2.折叠机构：无非预期的自行折叠现象；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3.家具锁锁定到位，开启应灵活；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4.锁定脚轮的锁定装置完好，在开锁状态下应运动灵活；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5.设计美观、实用，能够实现产品的整体使用功能。</w:t>
            </w:r>
          </w:p>
        </w:tc>
        <w:tc>
          <w:tcPr>
            <w:tcW w:w="395" w:type="pct"/>
            <w:vAlign w:val="center"/>
          </w:tcPr>
          <w:p>
            <w:pPr>
              <w:pStyle w:val="963"/>
              <w:spacing w:line="320" w:lineRule="exact"/>
              <w:ind w:firstLine="0" w:firstLineChars="0"/>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3</w:t>
            </w:r>
          </w:p>
        </w:tc>
        <w:tc>
          <w:tcPr>
            <w:tcW w:w="1060"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20</w:t>
            </w:r>
          </w:p>
        </w:tc>
        <w:tc>
          <w:tcPr>
            <w:tcW w:w="3141" w:type="pct"/>
            <w:vAlign w:val="center"/>
          </w:tcPr>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五、制作工艺（3分） ：如存在下列不合格的，每个不合格项扣1分，扣完为止。</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1.人造板部件的非交接面应进行封边或涂饰处理；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2.板件或部件在接触人体或贮物部位不应有毛刺、刃口或棱角；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3.板件或部件的外表应光滑，倒棱、圆角、圆线应均匀一致；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4.榫、塞角、零部件等结合处不应断裂；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5.零部件的结合应严密、牢固；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6.各种配件、连接件安装不应有少件、漏钉、透钉（预留孔、选择孔除外）；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7.各种配件特别是连接件的安装应严密、平整、端正、牢固，结合处应无开裂或松动；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8.雕刻的图案应均匀、清晰、层次分明，对称部位应对称，凹凸和大挖、过桥、棱角、圆弧处应无缺角；铲底应平整，各部位不应有锤印或毛刺；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9.车木的线形应一致，凹凸台阶应匀称，对称部位应对称，车削线条应清晰，加工表面不应有崩茬、刀痕、砂痕。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10.涂层无刺激性气味，成膜后应能形成平整的饰面,无明显凹凸或条痕，无气泡龟裂、斑点等现象。 </w:t>
            </w:r>
          </w:p>
        </w:tc>
        <w:tc>
          <w:tcPr>
            <w:tcW w:w="395" w:type="pct"/>
            <w:vAlign w:val="center"/>
          </w:tcPr>
          <w:p>
            <w:pPr>
              <w:pStyle w:val="963"/>
              <w:spacing w:line="320" w:lineRule="exact"/>
              <w:ind w:firstLine="0" w:firstLineChars="0"/>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3</w:t>
            </w:r>
          </w:p>
        </w:tc>
        <w:tc>
          <w:tcPr>
            <w:tcW w:w="1060"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21</w:t>
            </w:r>
          </w:p>
        </w:tc>
        <w:tc>
          <w:tcPr>
            <w:tcW w:w="3141" w:type="pct"/>
            <w:vAlign w:val="center"/>
          </w:tcPr>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六、结构及安全要求（3分）：如存在下列不合格的，每个不合格项扣1分，扣完为止。</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1.活动部件间距离≤5mm或≥25mm；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2.所有垂直滑行的部件，在高于闭合点50mm的任一位置，不应自行下落；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3.抽屉、键盘、拉篮等推拉构件应有防脱落装置； </w:t>
            </w:r>
          </w:p>
          <w:p>
            <w:pPr>
              <w:pStyle w:val="963"/>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000000"/>
                <w:kern w:val="2"/>
                <w:sz w:val="24"/>
                <w:szCs w:val="22"/>
                <w:highlight w:val="none"/>
                <w:lang w:val="en-US" w:eastAsia="zh-CN" w:bidi="ar-SA"/>
              </w:rPr>
            </w:pPr>
            <w:r>
              <w:rPr>
                <w:rFonts w:hint="eastAsia" w:ascii="仿宋" w:hAnsi="仿宋" w:eastAsia="仿宋" w:cs="仿宋"/>
                <w:color w:val="000000"/>
                <w:kern w:val="2"/>
                <w:sz w:val="24"/>
                <w:szCs w:val="22"/>
                <w:highlight w:val="none"/>
                <w:lang w:val="en-US" w:eastAsia="zh-CN" w:bidi="ar-SA"/>
              </w:rPr>
              <w:t xml:space="preserve">4.其他结构安全项目通过眼观和手感等方法进行检测。 </w:t>
            </w:r>
          </w:p>
        </w:tc>
        <w:tc>
          <w:tcPr>
            <w:tcW w:w="395" w:type="pct"/>
            <w:vAlign w:val="center"/>
          </w:tcPr>
          <w:p>
            <w:pPr>
              <w:pStyle w:val="963"/>
              <w:spacing w:line="320" w:lineRule="exact"/>
              <w:ind w:firstLine="0" w:firstLineChars="0"/>
              <w:jc w:val="center"/>
              <w:rPr>
                <w:rFonts w:hint="default"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3</w:t>
            </w:r>
          </w:p>
        </w:tc>
        <w:tc>
          <w:tcPr>
            <w:tcW w:w="1060"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402" w:type="pct"/>
            <w:vAlign w:val="center"/>
          </w:tcPr>
          <w:p>
            <w:pPr>
              <w:spacing w:line="360" w:lineRule="auto"/>
              <w:jc w:val="center"/>
              <w:outlineLvl w:val="0"/>
              <w:rPr>
                <w:rFonts w:hint="default" w:ascii="仿宋" w:hAnsi="仿宋" w:eastAsia="仿宋" w:cs="仿宋"/>
                <w:kern w:val="2"/>
                <w:sz w:val="24"/>
                <w:szCs w:val="22"/>
                <w:highlight w:val="none"/>
                <w:lang w:val="en-US" w:eastAsia="zh-CN" w:bidi="ar-SA"/>
              </w:rPr>
            </w:pPr>
            <w:r>
              <w:rPr>
                <w:rFonts w:hint="eastAsia" w:ascii="仿宋" w:hAnsi="仿宋" w:eastAsia="仿宋" w:cs="仿宋"/>
                <w:sz w:val="24"/>
                <w:highlight w:val="none"/>
                <w:lang w:val="en-US" w:eastAsia="zh-CN"/>
              </w:rPr>
              <w:t>22</w:t>
            </w:r>
          </w:p>
        </w:tc>
        <w:tc>
          <w:tcPr>
            <w:tcW w:w="3141" w:type="pct"/>
            <w:vAlign w:val="top"/>
          </w:tcPr>
          <w:p>
            <w:pPr>
              <w:keepNext w:val="0"/>
              <w:keepLines w:val="0"/>
              <w:pageBreakBefore w:val="0"/>
              <w:kinsoku/>
              <w:wordWrap/>
              <w:overflowPunct/>
              <w:topLinePunct w:val="0"/>
              <w:autoSpaceDE/>
              <w:autoSpaceDN/>
              <w:bidi w:val="0"/>
              <w:adjustRightInd/>
              <w:snapToGrid/>
              <w:spacing w:line="360" w:lineRule="auto"/>
              <w:textAlignment w:val="auto"/>
              <w:outlineLvl w:val="0"/>
              <w:rPr>
                <w:rFonts w:hint="eastAsia" w:ascii="仿宋" w:hAnsi="仿宋" w:eastAsia="仿宋" w:cs="仿宋_GB2312"/>
                <w:sz w:val="24"/>
                <w:highlight w:val="none"/>
              </w:rPr>
            </w:pPr>
            <w:r>
              <w:rPr>
                <w:rFonts w:hint="eastAsia" w:ascii="仿宋" w:hAnsi="仿宋" w:eastAsia="仿宋" w:cs="仿宋_GB2312"/>
                <w:sz w:val="24"/>
                <w:highlight w:val="none"/>
              </w:rPr>
              <w:t>有效投标报价的最低价作为评标基准价，其最低报价为满分；按［投标报价得分=（评标基准价/投标报价）*30］的计算公式计算。</w:t>
            </w:r>
          </w:p>
          <w:p>
            <w:pPr>
              <w:keepNext w:val="0"/>
              <w:keepLines w:val="0"/>
              <w:pageBreakBefore w:val="0"/>
              <w:kinsoku/>
              <w:wordWrap/>
              <w:overflowPunct/>
              <w:topLinePunct w:val="0"/>
              <w:autoSpaceDE/>
              <w:autoSpaceDN/>
              <w:bidi w:val="0"/>
              <w:adjustRightInd/>
              <w:snapToGrid/>
              <w:spacing w:line="360" w:lineRule="auto"/>
              <w:textAlignment w:val="auto"/>
              <w:outlineLvl w:val="0"/>
              <w:rPr>
                <w:rFonts w:hint="eastAsia" w:ascii="仿宋" w:hAnsi="仿宋" w:eastAsia="仿宋" w:cs="仿宋_GB2312"/>
                <w:sz w:val="24"/>
                <w:highlight w:val="none"/>
              </w:rPr>
            </w:pPr>
            <w:r>
              <w:rPr>
                <w:rFonts w:hint="eastAsia" w:ascii="仿宋" w:hAnsi="仿宋" w:eastAsia="仿宋" w:cs="仿宋_GB2312"/>
                <w:sz w:val="24"/>
                <w:highlight w:val="none"/>
              </w:rPr>
              <w:t>评标过程中，不得去掉报价中的最高报价和最低报价。</w:t>
            </w:r>
          </w:p>
          <w:p>
            <w:pPr>
              <w:keepNext w:val="0"/>
              <w:keepLines w:val="0"/>
              <w:pageBreakBefore w:val="0"/>
              <w:kinsoku/>
              <w:wordWrap/>
              <w:overflowPunct/>
              <w:topLinePunct w:val="0"/>
              <w:autoSpaceDE/>
              <w:autoSpaceDN/>
              <w:bidi w:val="0"/>
              <w:adjustRightInd/>
              <w:snapToGrid/>
              <w:spacing w:line="360" w:lineRule="auto"/>
              <w:textAlignment w:val="auto"/>
              <w:outlineLvl w:val="0"/>
              <w:rPr>
                <w:rFonts w:hint="eastAsia"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rPr>
              <w:t>因落实政府采购政策需要进行价格调整的，以调整后的价格计算评标基准价和投标报价。</w:t>
            </w:r>
          </w:p>
        </w:tc>
        <w:tc>
          <w:tcPr>
            <w:tcW w:w="395" w:type="pct"/>
            <w:vAlign w:val="center"/>
          </w:tcPr>
          <w:p>
            <w:pPr>
              <w:spacing w:line="360" w:lineRule="auto"/>
              <w:jc w:val="center"/>
              <w:outlineLvl w:val="0"/>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30</w:t>
            </w:r>
          </w:p>
        </w:tc>
        <w:tc>
          <w:tcPr>
            <w:tcW w:w="1060" w:type="pct"/>
            <w:vAlign w:val="center"/>
          </w:tcPr>
          <w:p>
            <w:pPr>
              <w:spacing w:line="360" w:lineRule="auto"/>
              <w:jc w:val="center"/>
              <w:outlineLvl w:val="0"/>
              <w:rPr>
                <w:rFonts w:hint="eastAsia" w:ascii="仿宋" w:hAnsi="仿宋" w:eastAsia="仿宋" w:cs="仿宋"/>
                <w:kern w:val="2"/>
                <w:sz w:val="24"/>
                <w:szCs w:val="22"/>
                <w:highlight w:val="none"/>
                <w:lang w:val="en-US" w:eastAsia="zh-CN" w:bidi="ar-SA"/>
              </w:rPr>
            </w:pPr>
            <w:r>
              <w:rPr>
                <w:rFonts w:hint="eastAsia" w:ascii="仿宋" w:hAnsi="仿宋" w:eastAsia="仿宋" w:cs="仿宋"/>
                <w:sz w:val="24"/>
                <w:highlight w:val="none"/>
              </w:rPr>
              <w:t>/</w:t>
            </w:r>
          </w:p>
        </w:tc>
      </w:tr>
    </w:tbl>
    <w:p>
      <w:pPr>
        <w:snapToGrid w:val="0"/>
        <w:spacing w:line="360" w:lineRule="auto"/>
        <w:rPr>
          <w:rFonts w:hint="eastAsia" w:ascii="仿宋" w:hAnsi="仿宋" w:eastAsia="仿宋" w:cs="仿宋"/>
          <w:b/>
          <w:sz w:val="24"/>
        </w:rPr>
      </w:pPr>
      <w:r>
        <w:rPr>
          <w:rFonts w:hint="eastAsia" w:ascii="仿宋" w:hAnsi="仿宋" w:eastAsia="仿宋" w:cs="仿宋"/>
          <w:sz w:val="20"/>
          <w:szCs w:val="20"/>
          <w:shd w:val="clear" w:color="auto" w:fill="FFFFFF"/>
        </w:rPr>
        <w:t> *</w:t>
      </w: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pPr>
        <w:snapToGrid w:val="0"/>
        <w:spacing w:line="360" w:lineRule="auto"/>
        <w:rPr>
          <w:rFonts w:hint="eastAsia" w:ascii="仿宋" w:hAnsi="仿宋" w:eastAsia="仿宋" w:cs="仿宋"/>
          <w:b/>
          <w:sz w:val="28"/>
          <w:szCs w:val="28"/>
        </w:rPr>
      </w:pPr>
      <w:r>
        <w:rPr>
          <w:rFonts w:hint="eastAsia" w:ascii="仿宋" w:hAnsi="仿宋" w:eastAsia="仿宋" w:cs="仿宋"/>
          <w:b/>
          <w:sz w:val="32"/>
        </w:rPr>
        <w:t>一、评标方法</w:t>
      </w:r>
    </w:p>
    <w:p>
      <w:pPr>
        <w:adjustRightInd/>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hint="eastAsia" w:ascii="仿宋" w:hAnsi="仿宋" w:eastAsia="仿宋" w:cs="仿宋"/>
          <w:kern w:val="0"/>
          <w:sz w:val="24"/>
        </w:rPr>
      </w:pPr>
      <w:r>
        <w:rPr>
          <w:rFonts w:hint="eastAsia" w:ascii="仿宋" w:hAnsi="仿宋" w:eastAsia="仿宋" w:cs="仿宋"/>
          <w:b/>
          <w:sz w:val="32"/>
        </w:rPr>
        <w:t>二、评标标准</w:t>
      </w:r>
    </w:p>
    <w:p>
      <w:pPr>
        <w:spacing w:line="360" w:lineRule="auto"/>
        <w:ind w:firstLine="472" w:firstLineChars="196"/>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pPr>
        <w:spacing w:line="360" w:lineRule="auto"/>
        <w:outlineLvl w:val="0"/>
        <w:rPr>
          <w:rFonts w:hint="eastAsia" w:ascii="仿宋" w:hAnsi="仿宋" w:eastAsia="仿宋" w:cs="仿宋"/>
          <w:b/>
          <w:sz w:val="36"/>
          <w:szCs w:val="36"/>
        </w:rPr>
      </w:pPr>
      <w:r>
        <w:rPr>
          <w:rFonts w:hint="eastAsia" w:ascii="仿宋" w:hAnsi="仿宋" w:eastAsia="仿宋" w:cs="仿宋"/>
          <w:b/>
          <w:sz w:val="36"/>
          <w:szCs w:val="36"/>
        </w:rPr>
        <w:t>三、评标程序</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kern w:val="0"/>
          <w:sz w:val="24"/>
        </w:rPr>
      </w:pPr>
      <w:r>
        <w:rPr>
          <w:rFonts w:hint="eastAsia" w:ascii="仿宋" w:hAnsi="仿宋" w:eastAsia="仿宋" w:cs="仿宋"/>
          <w:b/>
          <w:kern w:val="0"/>
          <w:sz w:val="24"/>
        </w:rPr>
        <w:t>3.4报价评审。</w:t>
      </w:r>
    </w:p>
    <w:p>
      <w:pPr>
        <w:pStyle w:val="128"/>
        <w:spacing w:before="0"/>
        <w:ind w:firstLine="508" w:firstLineChars="212"/>
        <w:rPr>
          <w:rFonts w:hint="eastAsia" w:ascii="仿宋" w:hAnsi="仿宋" w:eastAsia="仿宋" w:cs="仿宋"/>
          <w:kern w:val="0"/>
        </w:rPr>
      </w:pPr>
      <w:r>
        <w:rPr>
          <w:rFonts w:hint="eastAsia" w:ascii="仿宋" w:hAnsi="仿宋" w:eastAsia="仿宋" w:cs="仿宋"/>
          <w:kern w:val="0"/>
        </w:rPr>
        <w:t>3.4.1投标文件报价出现前后不一致的，按照下列规定修正：</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3.4.1.2大写金额和小写金额不一致的，以大写金额为准;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3.4.5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仿宋" w:hAnsi="仿宋" w:eastAsia="仿宋" w:cs="仿宋"/>
          <w:b/>
          <w:kern w:val="0"/>
          <w:sz w:val="24"/>
        </w:rPr>
      </w:pPr>
      <w:r>
        <w:rPr>
          <w:rFonts w:hint="eastAsia" w:ascii="仿宋" w:hAnsi="仿宋" w:eastAsia="仿宋" w:cs="仿宋"/>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仿宋" w:hAnsi="仿宋" w:eastAsia="仿宋" w:cs="仿宋"/>
          <w:b/>
          <w:sz w:val="32"/>
        </w:rPr>
      </w:pPr>
      <w:r>
        <w:rPr>
          <w:rFonts w:hint="eastAsia" w:ascii="仿宋" w:hAnsi="仿宋" w:eastAsia="仿宋" w:cs="仿宋"/>
          <w:b/>
          <w:sz w:val="32"/>
        </w:rPr>
        <w:t>四、评标中的其他事项</w:t>
      </w:r>
    </w:p>
    <w:p>
      <w:pPr>
        <w:pStyle w:val="128"/>
        <w:spacing w:before="0"/>
        <w:ind w:firstLine="472" w:firstLineChars="196"/>
        <w:rPr>
          <w:rFonts w:hint="eastAsia" w:ascii="仿宋" w:hAnsi="仿宋" w:eastAsia="仿宋" w:cs="仿宋"/>
          <w:kern w:val="0"/>
          <w:szCs w:val="24"/>
        </w:rPr>
      </w:pPr>
      <w:r>
        <w:rPr>
          <w:rFonts w:hint="eastAsia" w:ascii="仿宋" w:hAnsi="仿宋" w:eastAsia="仿宋" w:cs="仿宋"/>
          <w:b/>
          <w:kern w:val="0"/>
          <w:szCs w:val="24"/>
        </w:rPr>
        <w:t>4.1投标人澄清、说明或者补正。</w:t>
      </w:r>
      <w:r>
        <w:rPr>
          <w:rFonts w:hint="eastAsia" w:ascii="仿宋" w:hAnsi="仿宋" w:eastAsia="仿宋" w:cs="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
        <w:spacing w:line="360" w:lineRule="auto"/>
        <w:ind w:left="954" w:leftChars="226" w:hanging="479" w:firstLineChars="0"/>
        <w:rPr>
          <w:rFonts w:hint="eastAsia" w:ascii="仿宋" w:hAnsi="仿宋" w:eastAsia="仿宋" w:cs="仿宋"/>
          <w:szCs w:val="21"/>
        </w:rPr>
      </w:pPr>
      <w:r>
        <w:rPr>
          <w:rFonts w:hint="eastAsia" w:ascii="仿宋" w:hAnsi="仿宋" w:eastAsia="仿宋" w:cs="仿宋"/>
          <w:b/>
          <w:kern w:val="0"/>
        </w:rPr>
        <w:t>4.2投标无效。</w:t>
      </w:r>
      <w:r>
        <w:rPr>
          <w:rFonts w:hint="eastAsia" w:ascii="仿宋" w:hAnsi="仿宋" w:eastAsia="仿宋" w:cs="仿宋"/>
          <w:szCs w:val="21"/>
        </w:rPr>
        <w:t>有下列情形之一的，投标无效：</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4.2.2投标文件未按照招标文件要求签署、盖章的；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4.2.4投标文件含有采购人不能接受的附加条件的；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4.2.5投标文件中承诺的投标有效期少于招标文件中载明的投标有效期的；</w:t>
      </w:r>
    </w:p>
    <w:p>
      <w:pPr>
        <w:snapToGrid w:val="0"/>
        <w:spacing w:line="360" w:lineRule="auto"/>
        <w:ind w:firstLine="120" w:firstLineChars="50"/>
        <w:jc w:val="left"/>
        <w:rPr>
          <w:rFonts w:hint="eastAsia" w:ascii="仿宋" w:hAnsi="仿宋" w:eastAsia="仿宋" w:cs="仿宋"/>
          <w:kern w:val="0"/>
          <w:sz w:val="24"/>
        </w:rPr>
      </w:pPr>
      <w:r>
        <w:rPr>
          <w:rFonts w:hint="eastAsia" w:ascii="仿宋" w:hAnsi="仿宋" w:eastAsia="仿宋" w:cs="仿宋"/>
          <w:kern w:val="0"/>
          <w:sz w:val="24"/>
        </w:rPr>
        <w:t xml:space="preserve">   4.2.6投标文件出现不是唯一的、有选择性投标报价的;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4.2.7投标报价超过招标文件中规定的预算金额或者最高限价的;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4.2.9投标人对根据修正原则修正后的报价不确认的；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4.2.10投标人提供虚假材料投标的；</w:t>
      </w:r>
    </w:p>
    <w:p>
      <w:pPr>
        <w:spacing w:line="360" w:lineRule="auto"/>
        <w:ind w:firstLine="240" w:firstLineChars="100"/>
        <w:rPr>
          <w:rFonts w:hint="eastAsia" w:ascii="仿宋" w:hAnsi="仿宋" w:eastAsia="仿宋" w:cs="仿宋"/>
          <w:kern w:val="0"/>
          <w:sz w:val="24"/>
        </w:rPr>
      </w:pPr>
      <w:r>
        <w:rPr>
          <w:rFonts w:hint="eastAsia" w:ascii="仿宋" w:hAnsi="仿宋" w:eastAsia="仿宋" w:cs="仿宋"/>
          <w:kern w:val="0"/>
          <w:sz w:val="24"/>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4.2.12投标人仅提交备份投标文件，未在电子交易平台传输递交投标文件的，投标无效；</w:t>
      </w:r>
    </w:p>
    <w:p>
      <w:pPr>
        <w:pStyle w:val="5"/>
        <w:ind w:left="862" w:leftChars="205"/>
        <w:rPr>
          <w:rFonts w:hint="eastAsia" w:ascii="仿宋" w:hAnsi="仿宋" w:eastAsia="仿宋" w:cs="仿宋"/>
          <w:b w:val="0"/>
          <w:bCs w:val="0"/>
          <w:kern w:val="0"/>
          <w:sz w:val="24"/>
          <w:szCs w:val="24"/>
          <w:lang w:val="en-US"/>
        </w:rPr>
      </w:pPr>
      <w:r>
        <w:rPr>
          <w:rFonts w:hint="eastAsia" w:ascii="仿宋" w:hAnsi="仿宋" w:eastAsia="仿宋" w:cs="仿宋"/>
          <w:b w:val="0"/>
          <w:bCs w:val="0"/>
          <w:kern w:val="0"/>
          <w:sz w:val="24"/>
          <w:szCs w:val="24"/>
          <w:lang w:val="en-US"/>
        </w:rPr>
        <w:t>4.2.13 投标文件不满足招标文件的其它实质性要求的；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4.2.14法律、法规、规章（适用本市的）及省级以上规范性文件（适用本市的）规定的其他无效情形。</w:t>
      </w:r>
    </w:p>
    <w:p>
      <w:pPr>
        <w:pStyle w:val="2"/>
        <w:snapToGrid w:val="0"/>
        <w:spacing w:line="360" w:lineRule="auto"/>
        <w:ind w:firstLine="472" w:firstLineChars="196"/>
        <w:rPr>
          <w:rFonts w:hint="eastAsia"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pPr>
        <w:pStyle w:val="2"/>
        <w:snapToGrid w:val="0"/>
        <w:spacing w:line="360" w:lineRule="auto"/>
        <w:rPr>
          <w:rFonts w:hint="eastAsia" w:ascii="仿宋" w:hAnsi="仿宋" w:eastAsia="仿宋" w:cs="仿宋"/>
        </w:rPr>
      </w:pPr>
      <w:r>
        <w:rPr>
          <w:rFonts w:hint="eastAsia" w:ascii="仿宋" w:hAnsi="仿宋" w:eastAsia="仿宋" w:cs="仿宋"/>
        </w:rPr>
        <w:t>5.1符合专业条件的供应商或者对招标文件作实质响应的供应商不足3家的；</w:t>
      </w:r>
    </w:p>
    <w:p>
      <w:pPr>
        <w:pStyle w:val="2"/>
        <w:snapToGrid w:val="0"/>
        <w:spacing w:line="360" w:lineRule="auto"/>
        <w:rPr>
          <w:rFonts w:hint="eastAsia" w:ascii="仿宋" w:hAnsi="仿宋" w:eastAsia="仿宋" w:cs="仿宋"/>
        </w:rPr>
      </w:pPr>
      <w:r>
        <w:rPr>
          <w:rFonts w:hint="eastAsia" w:ascii="仿宋" w:hAnsi="仿宋" w:eastAsia="仿宋" w:cs="仿宋"/>
        </w:rPr>
        <w:t>5.2出现影响采购公正的违法、违规行为的；</w:t>
      </w:r>
    </w:p>
    <w:p>
      <w:pPr>
        <w:pStyle w:val="2"/>
        <w:snapToGrid w:val="0"/>
        <w:spacing w:line="360" w:lineRule="auto"/>
        <w:rPr>
          <w:rFonts w:hint="eastAsia" w:ascii="仿宋" w:hAnsi="仿宋" w:eastAsia="仿宋" w:cs="仿宋"/>
        </w:rPr>
      </w:pPr>
      <w:r>
        <w:rPr>
          <w:rFonts w:hint="eastAsia" w:ascii="仿宋" w:hAnsi="仿宋" w:eastAsia="仿宋" w:cs="仿宋"/>
        </w:rPr>
        <w:t>5.3投标人的报价均超过了采购预算，采购人不能支付的；</w:t>
      </w:r>
    </w:p>
    <w:p>
      <w:pPr>
        <w:pStyle w:val="2"/>
        <w:snapToGrid w:val="0"/>
        <w:spacing w:line="360" w:lineRule="auto"/>
        <w:rPr>
          <w:rFonts w:hint="eastAsia" w:ascii="仿宋" w:hAnsi="仿宋" w:eastAsia="仿宋" w:cs="仿宋"/>
        </w:rPr>
      </w:pPr>
      <w:r>
        <w:rPr>
          <w:rFonts w:hint="eastAsia" w:ascii="仿宋" w:hAnsi="仿宋" w:eastAsia="仿宋" w:cs="仿宋"/>
        </w:rPr>
        <w:t>5.4因重大变故，采购任务取消的。</w:t>
      </w:r>
    </w:p>
    <w:p>
      <w:pPr>
        <w:pStyle w:val="2"/>
        <w:snapToGrid w:val="0"/>
        <w:spacing w:line="360" w:lineRule="auto"/>
        <w:rPr>
          <w:rFonts w:hint="eastAsia" w:ascii="仿宋" w:hAnsi="仿宋" w:eastAsia="仿宋" w:cs="仿宋"/>
        </w:rPr>
      </w:pPr>
      <w:r>
        <w:rPr>
          <w:rFonts w:hint="eastAsia" w:ascii="仿宋" w:hAnsi="仿宋" w:eastAsia="仿宋" w:cs="仿宋"/>
        </w:rPr>
        <w:t>废标后，采购机构应当将废标理由通知所有投标人。</w:t>
      </w:r>
    </w:p>
    <w:p>
      <w:pPr>
        <w:pStyle w:val="2"/>
        <w:snapToGrid w:val="0"/>
        <w:spacing w:line="360" w:lineRule="auto"/>
        <w:ind w:firstLine="590" w:firstLineChars="245"/>
        <w:rPr>
          <w:rFonts w:hint="eastAsia" w:ascii="仿宋" w:hAnsi="仿宋" w:eastAsia="仿宋" w:cs="仿宋"/>
        </w:rPr>
      </w:pPr>
      <w:r>
        <w:rPr>
          <w:rFonts w:hint="eastAsia" w:ascii="仿宋" w:hAnsi="仿宋" w:eastAsia="仿宋" w:cs="仿宋"/>
          <w:b/>
        </w:rPr>
        <w:t>6.修改招标文件，重新组织采购活动。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
        <w:snapToGrid w:val="0"/>
        <w:spacing w:line="360" w:lineRule="auto"/>
        <w:ind w:firstLine="482"/>
        <w:rPr>
          <w:rFonts w:hint="eastAsia"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有政府采购法第七十一条、第七十二条规定的违法行为之一，影响或者可能影响中标结果的，依照下列规定处理：</w:t>
      </w:r>
    </w:p>
    <w:p>
      <w:pPr>
        <w:pStyle w:val="2"/>
        <w:snapToGrid w:val="0"/>
        <w:spacing w:line="360" w:lineRule="auto"/>
        <w:rPr>
          <w:rFonts w:hint="eastAsia" w:ascii="仿宋" w:hAnsi="仿宋" w:eastAsia="仿宋" w:cs="仿宋"/>
        </w:rPr>
      </w:pPr>
      <w:r>
        <w:rPr>
          <w:rFonts w:hint="eastAsia" w:ascii="仿宋" w:hAnsi="仿宋" w:eastAsia="仿宋" w:cs="仿宋"/>
        </w:rPr>
        <w:t>7.1未确定中标供应商的，终止本次政府采购活动，重新开展政府采购活动。</w:t>
      </w:r>
    </w:p>
    <w:p>
      <w:pPr>
        <w:pStyle w:val="2"/>
        <w:snapToGrid w:val="0"/>
        <w:spacing w:line="360" w:lineRule="auto"/>
        <w:rPr>
          <w:rFonts w:hint="eastAsia" w:ascii="仿宋" w:hAnsi="仿宋" w:eastAsia="仿宋" w:cs="仿宋"/>
        </w:rPr>
      </w:pPr>
      <w:r>
        <w:rPr>
          <w:rFonts w:hint="eastAsia" w:ascii="仿宋" w:hAnsi="仿宋" w:eastAsia="仿宋" w:cs="仿宋"/>
        </w:rPr>
        <w:t>7.2已确定中标供应商但尚未签订政府采购合同的，中标结果无效，从合格的中标候选人中另行确定中标供应商；没有合格的中标候选人的，重新开展政府采购活动。</w:t>
      </w:r>
    </w:p>
    <w:p>
      <w:pPr>
        <w:pStyle w:val="2"/>
        <w:snapToGrid w:val="0"/>
        <w:spacing w:line="360" w:lineRule="auto"/>
        <w:rPr>
          <w:rFonts w:hint="eastAsia" w:ascii="仿宋" w:hAnsi="仿宋" w:eastAsia="仿宋" w:cs="仿宋"/>
        </w:rPr>
      </w:pPr>
      <w:r>
        <w:rPr>
          <w:rFonts w:hint="eastAsia" w:ascii="仿宋" w:hAnsi="仿宋" w:eastAsia="仿宋" w:cs="仿宋"/>
        </w:rPr>
        <w:t>7.3政府采购合同已签订但尚未履行的，撤销合同，从合格的中标候选人中另行确定中标供应商；没有合格的中标候选人的，重新开展政府采购活动。</w:t>
      </w:r>
    </w:p>
    <w:p>
      <w:pPr>
        <w:pStyle w:val="2"/>
        <w:snapToGrid w:val="0"/>
        <w:spacing w:line="360" w:lineRule="auto"/>
        <w:rPr>
          <w:rFonts w:hint="eastAsia" w:ascii="仿宋" w:hAnsi="仿宋" w:eastAsia="仿宋" w:cs="仿宋"/>
        </w:rPr>
      </w:pPr>
      <w:r>
        <w:rPr>
          <w:rFonts w:hint="eastAsia" w:ascii="仿宋" w:hAnsi="仿宋" w:eastAsia="仿宋" w:cs="仿宋"/>
        </w:rPr>
        <w:t>7.4政府采购合同已经履行，给采购人、供应商造成损失的，由责任人承担赔偿责任。</w:t>
      </w:r>
    </w:p>
    <w:p>
      <w:pPr>
        <w:pStyle w:val="2"/>
        <w:snapToGrid w:val="0"/>
        <w:spacing w:line="360" w:lineRule="auto"/>
        <w:rPr>
          <w:rFonts w:hint="eastAsia" w:ascii="仿宋" w:hAnsi="仿宋" w:eastAsia="仿宋" w:cs="仿宋"/>
        </w:rPr>
      </w:pPr>
      <w:r>
        <w:rPr>
          <w:rFonts w:hint="eastAsia" w:ascii="仿宋" w:hAnsi="仿宋" w:eastAsia="仿宋" w:cs="仿宋"/>
        </w:rPr>
        <w:t>7.5政府采购当事人有其他违反政府采购法或者政府采购法实施条例等法律法规规定的行为，经改正后仍然影响或者可能影响中标结果或者依法被认定为中标无效的，依照7.1-7.4规定处理。</w:t>
      </w:r>
    </w:p>
    <w:p>
      <w:pPr>
        <w:pStyle w:val="2"/>
        <w:snapToGrid w:val="0"/>
        <w:spacing w:line="360" w:lineRule="auto"/>
        <w:ind w:firstLine="0" w:firstLineChars="0"/>
        <w:rPr>
          <w:rFonts w:hint="eastAsia" w:ascii="仿宋" w:hAnsi="仿宋" w:eastAsia="仿宋" w:cs="仿宋"/>
        </w:rPr>
      </w:pPr>
    </w:p>
    <w:bookmarkEnd w:id="32"/>
    <w:p>
      <w:pPr>
        <w:spacing w:line="360" w:lineRule="auto"/>
        <w:ind w:left="720" w:leftChars="343" w:firstLine="1084" w:firstLineChars="300"/>
        <w:outlineLvl w:val="0"/>
        <w:rPr>
          <w:rFonts w:hint="eastAsia" w:ascii="仿宋" w:hAnsi="仿宋" w:eastAsia="仿宋" w:cs="仿宋"/>
          <w:b/>
          <w:sz w:val="36"/>
          <w:szCs w:val="36"/>
        </w:rPr>
      </w:pPr>
      <w:bookmarkStart w:id="398" w:name="第五部分"/>
      <w:bookmarkStart w:id="399" w:name="_Toc86217003"/>
    </w:p>
    <w:p>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 xml:space="preserve">    </w:t>
      </w: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第五部分 拟签订的合同文本</w:t>
      </w:r>
    </w:p>
    <w:p>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pPr>
        <w:spacing w:line="480" w:lineRule="auto"/>
        <w:jc w:val="center"/>
        <w:rPr>
          <w:rFonts w:hint="eastAsia" w:ascii="仿宋" w:hAnsi="仿宋" w:eastAsia="仿宋" w:cs="仿宋"/>
          <w:b/>
          <w:sz w:val="28"/>
          <w:szCs w:val="28"/>
        </w:rPr>
      </w:pPr>
    </w:p>
    <w:p>
      <w:pPr>
        <w:spacing w:line="480" w:lineRule="auto"/>
        <w:jc w:val="center"/>
        <w:rPr>
          <w:rFonts w:hint="eastAsia" w:ascii="仿宋" w:hAnsi="仿宋" w:eastAsia="仿宋" w:cs="仿宋"/>
          <w:b/>
          <w:sz w:val="24"/>
        </w:rPr>
      </w:pPr>
    </w:p>
    <w:p>
      <w:pPr>
        <w:spacing w:line="480" w:lineRule="auto"/>
        <w:jc w:val="center"/>
        <w:rPr>
          <w:rFonts w:hint="eastAsia" w:ascii="仿宋" w:hAnsi="仿宋" w:eastAsia="仿宋" w:cs="仿宋"/>
          <w:b/>
          <w:sz w:val="24"/>
        </w:rPr>
      </w:pPr>
    </w:p>
    <w:p>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（货物类）</w:t>
      </w:r>
    </w:p>
    <w:p>
      <w:pPr>
        <w:pStyle w:val="699"/>
        <w:rPr>
          <w:rFonts w:hint="eastAsia" w:ascii="仿宋" w:hAnsi="仿宋" w:eastAsia="仿宋" w:cs="仿宋"/>
          <w:szCs w:val="24"/>
        </w:rPr>
      </w:pPr>
    </w:p>
    <w:p>
      <w:pPr>
        <w:pStyle w:val="699"/>
        <w:rPr>
          <w:rFonts w:hint="eastAsia" w:ascii="仿宋" w:hAnsi="仿宋" w:eastAsia="仿宋" w:cs="仿宋"/>
          <w:szCs w:val="24"/>
        </w:rPr>
      </w:pPr>
    </w:p>
    <w:p>
      <w:pPr>
        <w:pStyle w:val="699"/>
        <w:jc w:val="center"/>
        <w:rPr>
          <w:rFonts w:hint="eastAsia" w:ascii="仿宋" w:hAnsi="仿宋" w:eastAsia="仿宋" w:cs="仿宋"/>
          <w:szCs w:val="24"/>
        </w:rPr>
      </w:pPr>
    </w:p>
    <w:p>
      <w:pPr>
        <w:pStyle w:val="699"/>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pPr>
        <w:pStyle w:val="699"/>
        <w:rPr>
          <w:rFonts w:hint="eastAsia" w:ascii="仿宋" w:hAnsi="仿宋" w:eastAsia="仿宋" w:cs="仿宋"/>
          <w:szCs w:val="24"/>
        </w:rPr>
      </w:pPr>
    </w:p>
    <w:p>
      <w:pPr>
        <w:pStyle w:val="699"/>
        <w:rPr>
          <w:rFonts w:hint="eastAsia" w:ascii="仿宋" w:hAnsi="仿宋" w:eastAsia="仿宋" w:cs="仿宋"/>
          <w:szCs w:val="24"/>
        </w:rPr>
      </w:pPr>
    </w:p>
    <w:p>
      <w:pPr>
        <w:spacing w:before="120" w:line="22" w:lineRule="atLeast"/>
        <w:rPr>
          <w:rFonts w:hint="eastAsia" w:ascii="仿宋" w:hAnsi="仿宋" w:eastAsia="仿宋" w:cs="仿宋"/>
          <w:sz w:val="24"/>
        </w:rPr>
      </w:pPr>
    </w:p>
    <w:p>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pPr>
        <w:pStyle w:val="596"/>
        <w:spacing w:before="120" w:line="22" w:lineRule="atLeast"/>
        <w:rPr>
          <w:rFonts w:hint="eastAsia" w:ascii="仿宋" w:hAnsi="仿宋" w:eastAsia="仿宋" w:cs="仿宋"/>
          <w:szCs w:val="24"/>
        </w:rPr>
      </w:pPr>
    </w:p>
    <w:p>
      <w:pPr>
        <w:pStyle w:val="596"/>
        <w:spacing w:before="120" w:line="22" w:lineRule="atLeast"/>
        <w:rPr>
          <w:rFonts w:hint="eastAsia" w:ascii="仿宋" w:hAnsi="仿宋" w:eastAsia="仿宋" w:cs="仿宋"/>
          <w:szCs w:val="24"/>
        </w:rPr>
      </w:pPr>
    </w:p>
    <w:p>
      <w:pPr>
        <w:rPr>
          <w:rFonts w:hint="eastAsia" w:ascii="仿宋" w:hAnsi="仿宋" w:eastAsia="仿宋" w:cs="仿宋"/>
          <w:sz w:val="24"/>
        </w:rPr>
      </w:pPr>
    </w:p>
    <w:p>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pPr>
        <w:widowControl/>
        <w:jc w:val="left"/>
        <w:rPr>
          <w:rFonts w:hint="eastAsia" w:ascii="仿宋" w:hAnsi="仿宋" w:eastAsia="仿宋" w:cs="仿宋"/>
          <w:kern w:val="0"/>
          <w:sz w:val="24"/>
        </w:rPr>
        <w:sectPr>
          <w:pgSz w:w="11907" w:h="16840"/>
          <w:pgMar w:top="1474" w:right="1814" w:bottom="1474" w:left="1814" w:header="851" w:footer="851" w:gutter="0"/>
          <w:cols w:space="720" w:num="1"/>
        </w:sectPr>
      </w:pPr>
    </w:p>
    <w:p>
      <w:pPr>
        <w:spacing w:line="560" w:lineRule="exact"/>
        <w:ind w:firstLine="480" w:firstLineChars="200"/>
        <w:rPr>
          <w:rFonts w:hint="eastAsia"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（同前页项目名称）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（中标供应商名称）</w:t>
      </w:r>
      <w:r>
        <w:rPr>
          <w:rFonts w:hint="eastAsia" w:ascii="仿宋" w:hAnsi="仿宋" w:eastAsia="仿宋" w:cs="仿宋"/>
          <w:sz w:val="24"/>
        </w:rPr>
        <w:t>为该项目中标供应商。现于中标通知书发出之日起10个工作日内，按照采购文件确定的事项签订本合同。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根据《中华人民共和国民法典》《中华人民共和国政府采购法》等相关法律法规之规定，按照平等、自愿、公平、诚实信用和绿色的原则，经</w:t>
      </w:r>
      <w:r>
        <w:rPr>
          <w:rFonts w:hint="eastAsia" w:ascii="仿宋" w:hAnsi="仿宋" w:eastAsia="仿宋" w:cs="仿宋"/>
          <w:sz w:val="24"/>
          <w:u w:val="single"/>
        </w:rPr>
        <w:t xml:space="preserve">   （采购人）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pPr>
        <w:spacing w:line="560" w:lineRule="exact"/>
        <w:ind w:firstLine="482" w:firstLineChars="200"/>
        <w:outlineLvl w:val="0"/>
        <w:rPr>
          <w:rFonts w:hint="eastAsia" w:ascii="仿宋" w:hAnsi="仿宋" w:eastAsia="仿宋" w:cs="仿宋"/>
          <w:b/>
          <w:sz w:val="24"/>
        </w:rPr>
      </w:pPr>
      <w:bookmarkStart w:id="400" w:name="_Toc3029"/>
      <w:bookmarkStart w:id="401" w:name="_Toc2232"/>
      <w:bookmarkStart w:id="402" w:name="_Toc24059"/>
      <w:r>
        <w:rPr>
          <w:rFonts w:hint="eastAsia" w:ascii="仿宋" w:hAnsi="仿宋" w:eastAsia="仿宋" w:cs="仿宋"/>
          <w:b/>
          <w:sz w:val="24"/>
        </w:rPr>
        <w:t>1.1 合同组成部分</w:t>
      </w:r>
      <w:bookmarkEnd w:id="400"/>
      <w:bookmarkEnd w:id="401"/>
      <w:bookmarkEnd w:id="402"/>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1.1.1 本合同及其补充合同、变更协议；</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1.1.2 中标通知书；</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1.1.3 投标文件（含澄清或者说明文件）；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1.1.4 招标文件（含澄清或者修改文件）；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1.1.5 其他相关采购文件。</w:t>
      </w:r>
    </w:p>
    <w:p>
      <w:pPr>
        <w:spacing w:line="560" w:lineRule="exact"/>
        <w:ind w:firstLine="482" w:firstLineChars="200"/>
        <w:outlineLvl w:val="0"/>
        <w:rPr>
          <w:rFonts w:hint="eastAsia" w:ascii="仿宋" w:hAnsi="仿宋" w:eastAsia="仿宋" w:cs="仿宋"/>
          <w:b/>
          <w:sz w:val="24"/>
        </w:rPr>
      </w:pPr>
      <w:bookmarkStart w:id="403" w:name="_Toc27126"/>
      <w:bookmarkStart w:id="404" w:name="_Toc21295"/>
      <w:bookmarkStart w:id="405" w:name="_Toc24300"/>
      <w:r>
        <w:rPr>
          <w:rFonts w:hint="eastAsia" w:ascii="仿宋" w:hAnsi="仿宋" w:eastAsia="仿宋" w:cs="仿宋"/>
          <w:b/>
          <w:sz w:val="24"/>
        </w:rPr>
        <w:t>1.2 货物</w:t>
      </w:r>
      <w:bookmarkEnd w:id="403"/>
      <w:bookmarkEnd w:id="404"/>
      <w:bookmarkEnd w:id="405"/>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1.2.1 货物名称：</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1.2.2 货物数量：</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1.2.3 货物质量：</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06" w:name="_Toc21631"/>
      <w:bookmarkStart w:id="407" w:name="_Toc21551"/>
      <w:bookmarkStart w:id="408" w:name="_Toc23292"/>
      <w:r>
        <w:rPr>
          <w:rFonts w:hint="eastAsia" w:ascii="仿宋" w:hAnsi="仿宋" w:eastAsia="仿宋" w:cs="仿宋"/>
          <w:b/>
          <w:sz w:val="24"/>
        </w:rPr>
        <w:t>1.3 价款</w:t>
      </w:r>
      <w:bookmarkEnd w:id="406"/>
      <w:bookmarkEnd w:id="407"/>
      <w:bookmarkEnd w:id="408"/>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bl>
    <w:p>
      <w:pPr>
        <w:spacing w:line="560" w:lineRule="exact"/>
        <w:ind w:firstLine="482" w:firstLineChars="200"/>
        <w:outlineLvl w:val="0"/>
        <w:rPr>
          <w:rFonts w:hint="eastAsia" w:ascii="仿宋" w:hAnsi="仿宋" w:eastAsia="仿宋" w:cs="仿宋"/>
          <w:b/>
          <w:sz w:val="24"/>
        </w:rPr>
      </w:pPr>
      <w:bookmarkStart w:id="409" w:name="_Toc22618"/>
      <w:bookmarkStart w:id="410" w:name="_Toc10340"/>
      <w:bookmarkStart w:id="411" w:name="_Toc1814"/>
      <w:r>
        <w:rPr>
          <w:rFonts w:hint="eastAsia" w:ascii="仿宋" w:hAnsi="仿宋" w:eastAsia="仿宋" w:cs="仿宋"/>
          <w:b/>
          <w:sz w:val="24"/>
        </w:rPr>
        <w:t>1.4 付款</w:t>
      </w:r>
      <w:bookmarkEnd w:id="409"/>
      <w:bookmarkEnd w:id="410"/>
      <w:bookmarkEnd w:id="411"/>
      <w:r>
        <w:rPr>
          <w:rFonts w:hint="eastAsia" w:ascii="仿宋" w:hAnsi="仿宋" w:eastAsia="仿宋" w:cs="仿宋"/>
          <w:b/>
          <w:sz w:val="24"/>
        </w:rPr>
        <w:t>方式、时间和条件</w:t>
      </w:r>
    </w:p>
    <w:p>
      <w:pPr>
        <w:pStyle w:val="957"/>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1.4.2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1.4.4资金支付的方式、时间和条件详见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spacing w:line="560" w:lineRule="exact"/>
        <w:ind w:firstLine="482" w:firstLineChars="200"/>
        <w:outlineLvl w:val="0"/>
        <w:rPr>
          <w:rFonts w:hint="eastAsia" w:ascii="仿宋" w:hAnsi="仿宋" w:eastAsia="仿宋" w:cs="仿宋"/>
          <w:b/>
          <w:sz w:val="24"/>
        </w:rPr>
      </w:pPr>
      <w:bookmarkStart w:id="412" w:name="_Toc32071"/>
      <w:bookmarkStart w:id="413" w:name="_Toc19304"/>
      <w:bookmarkStart w:id="414" w:name="_Toc2846"/>
      <w:r>
        <w:rPr>
          <w:rFonts w:hint="eastAsia" w:ascii="仿宋" w:hAnsi="仿宋" w:eastAsia="仿宋" w:cs="仿宋"/>
          <w:b/>
          <w:sz w:val="24"/>
        </w:rPr>
        <w:t>1.5 货物交付期限、地点和方式</w:t>
      </w:r>
      <w:bookmarkEnd w:id="412"/>
      <w:bookmarkEnd w:id="413"/>
      <w:bookmarkEnd w:id="414"/>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1.5.1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1.5.2 交付地点：</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1.5.3 交付方式：</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15" w:name="_Toc21423"/>
      <w:bookmarkStart w:id="416" w:name="_Toc19554"/>
      <w:bookmarkStart w:id="417" w:name="_Toc27250"/>
      <w:r>
        <w:rPr>
          <w:rFonts w:hint="eastAsia" w:ascii="仿宋" w:hAnsi="仿宋" w:eastAsia="仿宋" w:cs="仿宋"/>
          <w:b/>
          <w:sz w:val="24"/>
        </w:rPr>
        <w:t>1.6 违约责任</w:t>
      </w:r>
      <w:bookmarkEnd w:id="415"/>
      <w:bookmarkEnd w:id="416"/>
      <w:bookmarkEnd w:id="417"/>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hint="eastAsia" w:ascii="仿宋" w:hAnsi="仿宋" w:eastAsia="仿宋" w:cs="仿宋"/>
        </w:rPr>
      </w:pPr>
      <w:r>
        <w:rPr>
          <w:rFonts w:hint="eastAsia" w:ascii="仿宋" w:hAnsi="仿宋" w:eastAsia="仿宋" w:cs="仿宋"/>
          <w:sz w:val="24"/>
        </w:rPr>
        <w:t>1.6.7违约责任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p>
      <w:pPr>
        <w:spacing w:line="560" w:lineRule="exact"/>
        <w:ind w:firstLine="482" w:firstLineChars="200"/>
        <w:outlineLvl w:val="0"/>
        <w:rPr>
          <w:rFonts w:hint="eastAsia" w:ascii="仿宋" w:hAnsi="仿宋" w:eastAsia="仿宋" w:cs="仿宋"/>
          <w:b/>
          <w:sz w:val="24"/>
        </w:rPr>
      </w:pPr>
      <w:bookmarkStart w:id="418" w:name="_Toc15583"/>
      <w:bookmarkStart w:id="419" w:name="_Toc28375"/>
      <w:bookmarkStart w:id="420" w:name="_Toc16021"/>
      <w:r>
        <w:rPr>
          <w:rFonts w:hint="eastAsia" w:ascii="仿宋" w:hAnsi="仿宋" w:eastAsia="仿宋" w:cs="仿宋"/>
          <w:b/>
          <w:sz w:val="24"/>
        </w:rPr>
        <w:t>1.7 合同争议的解决</w:t>
      </w:r>
      <w:bookmarkEnd w:id="418"/>
      <w:bookmarkEnd w:id="419"/>
      <w:bookmarkEnd w:id="420"/>
    </w:p>
    <w:p>
      <w:pPr>
        <w:spacing w:line="560" w:lineRule="exact"/>
        <w:ind w:left="-61" w:leftChars="-29" w:right="-420" w:rightChars="-200" w:firstLine="240" w:firstLineChars="100"/>
        <w:rPr>
          <w:rFonts w:hint="eastAsia"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4"/>
          <w:u w:val="single"/>
        </w:rPr>
        <w:t xml:space="preserve"> 合同专用条款  </w:t>
      </w:r>
      <w:r>
        <w:rPr>
          <w:rFonts w:hint="eastAsia" w:ascii="仿宋" w:hAnsi="仿宋" w:eastAsia="仿宋" w:cs="仿宋"/>
          <w:sz w:val="24"/>
        </w:rPr>
        <w:t>条款规定的方式解决：</w:t>
      </w:r>
    </w:p>
    <w:p>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b/>
          <w:i/>
          <w:sz w:val="24"/>
          <w:u w:val="single"/>
        </w:rPr>
        <w:t>合同专用条款</w:t>
      </w:r>
      <w:r>
        <w:rPr>
          <w:rFonts w:hint="eastAsia" w:ascii="仿宋" w:hAnsi="仿宋" w:eastAsia="仿宋" w:cs="仿宋"/>
          <w:sz w:val="24"/>
        </w:rPr>
        <w:t>仲裁委员会依申请仲裁时其现行有效的仲裁规则裁决；</w:t>
      </w:r>
    </w:p>
    <w:p>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1.7.2 向</w:t>
      </w:r>
      <w:r>
        <w:rPr>
          <w:rFonts w:hint="eastAsia" w:ascii="仿宋" w:hAnsi="仿宋" w:eastAsia="仿宋" w:cs="仿宋"/>
          <w:b/>
          <w:i/>
          <w:sz w:val="24"/>
          <w:u w:val="single"/>
        </w:rPr>
        <w:t>合同专用条款</w:t>
      </w:r>
      <w:r>
        <w:rPr>
          <w:rFonts w:hint="eastAsia" w:ascii="仿宋" w:hAnsi="仿宋" w:eastAsia="仿宋" w:cs="仿宋"/>
          <w:sz w:val="24"/>
        </w:rPr>
        <w:t>人民法院起诉。</w:t>
      </w:r>
    </w:p>
    <w:p>
      <w:pPr>
        <w:spacing w:line="560" w:lineRule="exact"/>
        <w:ind w:firstLine="482" w:firstLineChars="200"/>
        <w:outlineLvl w:val="0"/>
        <w:rPr>
          <w:rFonts w:hint="eastAsia" w:ascii="仿宋" w:hAnsi="仿宋" w:eastAsia="仿宋" w:cs="仿宋"/>
          <w:b/>
          <w:sz w:val="24"/>
        </w:rPr>
      </w:pPr>
      <w:bookmarkStart w:id="421" w:name="_Toc15322"/>
      <w:bookmarkStart w:id="422" w:name="_Toc7245"/>
      <w:bookmarkStart w:id="423" w:name="_Toc11173"/>
      <w:r>
        <w:rPr>
          <w:rFonts w:hint="eastAsia" w:ascii="仿宋" w:hAnsi="仿宋" w:eastAsia="仿宋" w:cs="仿宋"/>
          <w:b/>
          <w:sz w:val="24"/>
        </w:rPr>
        <w:t>1.8 合同生效</w:t>
      </w:r>
      <w:bookmarkEnd w:id="421"/>
      <w:bookmarkEnd w:id="422"/>
      <w:bookmarkEnd w:id="423"/>
    </w:p>
    <w:p>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本合同自双方当事人盖章或者签字时生效。</w:t>
      </w:r>
    </w:p>
    <w:p>
      <w:pPr>
        <w:autoSpaceDE w:val="0"/>
        <w:autoSpaceDN w:val="0"/>
        <w:spacing w:line="560" w:lineRule="exact"/>
        <w:rPr>
          <w:rFonts w:hint="eastAsia" w:ascii="仿宋" w:hAnsi="仿宋" w:eastAsia="仿宋" w:cs="仿宋"/>
          <w:sz w:val="24"/>
          <w:lang w:val="zh-CN"/>
        </w:rPr>
      </w:pP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pPr>
        <w:autoSpaceDE w:val="0"/>
        <w:autoSpaceDN w:val="0"/>
        <w:spacing w:line="560" w:lineRule="exact"/>
        <w:rPr>
          <w:rFonts w:hint="eastAsia" w:ascii="仿宋" w:hAnsi="仿宋" w:eastAsia="仿宋" w:cs="仿宋"/>
          <w:sz w:val="24"/>
          <w:lang w:val="zh-CN"/>
        </w:rPr>
      </w:pP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住所：                                   住所：</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法定代表人或                             法定代表人</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授权代表（签字）：                        或授权代表（签字）: </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联系人：                                 联系人：</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邮政编码：                               邮政编码：</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电话:                                    电话: </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传真:                                    传真:</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lang w:val="zh-CN"/>
        </w:rPr>
        <w:t>电子邮箱：                               电子邮箱：</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开户银行：                               开户银行： </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开户名称：                               开户名称： </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pPr>
        <w:widowControl/>
        <w:spacing w:line="560" w:lineRule="exact"/>
        <w:jc w:val="left"/>
        <w:rPr>
          <w:rFonts w:hint="eastAsia" w:ascii="仿宋" w:hAnsi="仿宋" w:eastAsia="仿宋" w:cs="仿宋"/>
          <w:b/>
          <w:sz w:val="24"/>
        </w:rPr>
      </w:pPr>
      <w:bookmarkStart w:id="424" w:name="_Toc331685783"/>
    </w:p>
    <w:p>
      <w:pPr>
        <w:pStyle w:val="699"/>
        <w:spacing w:line="560" w:lineRule="exact"/>
        <w:ind w:firstLine="482"/>
        <w:jc w:val="center"/>
        <w:rPr>
          <w:rFonts w:hint="eastAsia" w:ascii="仿宋" w:hAnsi="仿宋" w:eastAsia="仿宋" w:cs="仿宋"/>
          <w:b/>
          <w:szCs w:val="24"/>
        </w:rPr>
      </w:pPr>
      <w:r>
        <w:rPr>
          <w:rFonts w:hint="eastAsia" w:ascii="仿宋" w:hAnsi="仿宋" w:eastAsia="仿宋" w:cs="仿宋"/>
          <w:b/>
          <w:szCs w:val="24"/>
        </w:rPr>
        <w:t>第二部分 合同一般条款</w:t>
      </w:r>
      <w:bookmarkEnd w:id="424"/>
    </w:p>
    <w:p>
      <w:pPr>
        <w:spacing w:line="560" w:lineRule="exact"/>
        <w:ind w:firstLine="482" w:firstLineChars="200"/>
        <w:outlineLvl w:val="0"/>
        <w:rPr>
          <w:rFonts w:hint="eastAsia" w:ascii="仿宋" w:hAnsi="仿宋" w:eastAsia="仿宋" w:cs="仿宋"/>
          <w:b/>
          <w:sz w:val="24"/>
        </w:rPr>
      </w:pPr>
      <w:bookmarkStart w:id="425" w:name="_Ref467378499"/>
      <w:bookmarkStart w:id="426" w:name="_Toc487900349"/>
      <w:bookmarkStart w:id="427" w:name="_Toc28763"/>
      <w:bookmarkStart w:id="428" w:name="_Ref467379094"/>
      <w:bookmarkStart w:id="429" w:name="_Toc259093669"/>
      <w:bookmarkStart w:id="430" w:name="_Ref467379214"/>
      <w:bookmarkStart w:id="431" w:name="_Ref467379195"/>
      <w:bookmarkStart w:id="432" w:name="_Ref467379101"/>
      <w:bookmarkStart w:id="433" w:name="_Toc16917"/>
      <w:bookmarkStart w:id="434" w:name="_Ref467378404"/>
      <w:bookmarkStart w:id="435" w:name="_Toc19614"/>
      <w:bookmarkStart w:id="436" w:name="_Ref467379225"/>
      <w:bookmarkStart w:id="437" w:name="_Ref467378463"/>
      <w:bookmarkStart w:id="438" w:name="_Toc279701240"/>
      <w:bookmarkStart w:id="439" w:name="_Ref467379205"/>
      <w:bookmarkStart w:id="440" w:name="_Ref467379109"/>
      <w:r>
        <w:rPr>
          <w:rFonts w:hint="eastAsia" w:ascii="仿宋" w:hAnsi="仿宋" w:eastAsia="仿宋" w:cs="仿宋"/>
          <w:b/>
          <w:sz w:val="24"/>
        </w:rPr>
        <w:t>2.1 定义</w:t>
      </w:r>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 “合同”系指采购人和中标供应商签订的载明双方当事人所达成的协议，并包括所有的附件、附录和构成合同的其他文件。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 “合同价”系指根据合同约定，中标供应商在完全履行合同义务后，采购人应支付给中标供应商的价格。</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hint="eastAsia" w:ascii="仿宋" w:hAnsi="仿宋" w:eastAsia="仿宋" w:cs="仿宋"/>
          <w:sz w:val="24"/>
        </w:rPr>
      </w:pPr>
      <w:bookmarkStart w:id="441" w:name="_Ref467378840"/>
      <w:r>
        <w:rPr>
          <w:rFonts w:hint="eastAsia" w:ascii="仿宋" w:hAnsi="仿宋" w:eastAsia="仿宋" w:cs="仿宋"/>
          <w:sz w:val="24"/>
        </w:rPr>
        <w:t>2.1.4 “甲方”系指与中标供应商签署合同的采购人</w:t>
      </w:r>
      <w:bookmarkEnd w:id="441"/>
      <w:r>
        <w:rPr>
          <w:rFonts w:hint="eastAsia" w:ascii="仿宋" w:hAnsi="仿宋" w:eastAsia="仿宋" w:cs="仿宋"/>
          <w:sz w:val="24"/>
        </w:rPr>
        <w:t>；采购人委托采购代理机构代表其与乙方签订合同的，采购人的授权委托书作为合同附件。</w:t>
      </w:r>
    </w:p>
    <w:p>
      <w:pPr>
        <w:spacing w:line="560" w:lineRule="exact"/>
        <w:ind w:firstLine="480" w:firstLineChars="200"/>
        <w:rPr>
          <w:rFonts w:hint="eastAsia" w:ascii="仿宋" w:hAnsi="仿宋" w:eastAsia="仿宋" w:cs="仿宋"/>
          <w:sz w:val="24"/>
        </w:rPr>
      </w:pPr>
      <w:bookmarkStart w:id="442" w:name="_Ref467379400"/>
      <w:r>
        <w:rPr>
          <w:rFonts w:hint="eastAsia" w:ascii="仿宋" w:hAnsi="仿宋" w:eastAsia="仿宋" w:cs="仿宋"/>
          <w:sz w:val="24"/>
        </w:rPr>
        <w:t>2.1.5 “乙方”系指根据合同约定交付货物的中标供应商</w:t>
      </w:r>
      <w:bookmarkEnd w:id="442"/>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sz w:val="24"/>
        </w:rPr>
      </w:pPr>
      <w:bookmarkStart w:id="443" w:name="_Ref467379436"/>
      <w:r>
        <w:rPr>
          <w:rFonts w:hint="eastAsia" w:ascii="仿宋" w:hAnsi="仿宋" w:eastAsia="仿宋" w:cs="仿宋"/>
          <w:sz w:val="24"/>
        </w:rPr>
        <w:t>2.1.6 “现场”系指合同约定货物将要运至或者安装的地点。</w:t>
      </w:r>
      <w:bookmarkEnd w:id="443"/>
    </w:p>
    <w:p>
      <w:pPr>
        <w:spacing w:line="560" w:lineRule="exact"/>
        <w:ind w:firstLine="482" w:firstLineChars="200"/>
        <w:outlineLvl w:val="0"/>
        <w:rPr>
          <w:rFonts w:hint="eastAsia" w:ascii="仿宋" w:hAnsi="仿宋" w:eastAsia="仿宋" w:cs="仿宋"/>
          <w:b/>
          <w:sz w:val="24"/>
        </w:rPr>
      </w:pPr>
      <w:bookmarkStart w:id="444" w:name="_Toc259093670"/>
      <w:bookmarkStart w:id="445" w:name="_Toc13336"/>
      <w:bookmarkStart w:id="446" w:name="_Toc27635"/>
      <w:bookmarkStart w:id="447" w:name="_Toc487900350"/>
      <w:bookmarkStart w:id="448" w:name="_Toc279701241"/>
      <w:bookmarkStart w:id="449" w:name="_Toc32504"/>
      <w:r>
        <w:rPr>
          <w:rFonts w:hint="eastAsia" w:ascii="仿宋" w:hAnsi="仿宋" w:eastAsia="仿宋" w:cs="仿宋"/>
          <w:b/>
          <w:sz w:val="24"/>
        </w:rPr>
        <w:t>2.2 技术规范</w:t>
      </w:r>
      <w:bookmarkEnd w:id="444"/>
      <w:bookmarkEnd w:id="445"/>
      <w:bookmarkEnd w:id="446"/>
      <w:bookmarkEnd w:id="447"/>
      <w:bookmarkEnd w:id="448"/>
      <w:bookmarkEnd w:id="449"/>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sz w:val="24"/>
        </w:rPr>
      </w:pPr>
      <w:bookmarkStart w:id="450" w:name="_Toc9829"/>
      <w:bookmarkStart w:id="451" w:name="_Toc259093671"/>
      <w:bookmarkStart w:id="452" w:name="_Toc487900351"/>
      <w:bookmarkStart w:id="453" w:name="_Toc31634"/>
      <w:bookmarkStart w:id="454" w:name="_Toc279701242"/>
      <w:bookmarkStart w:id="455" w:name="_Toc27853"/>
      <w:r>
        <w:rPr>
          <w:rFonts w:hint="eastAsia" w:ascii="仿宋" w:hAnsi="仿宋" w:eastAsia="仿宋" w:cs="仿宋"/>
          <w:b/>
          <w:sz w:val="24"/>
        </w:rPr>
        <w:t>2.3 知识产权</w:t>
      </w:r>
      <w:bookmarkEnd w:id="450"/>
      <w:bookmarkEnd w:id="451"/>
      <w:bookmarkEnd w:id="452"/>
      <w:bookmarkEnd w:id="453"/>
      <w:bookmarkEnd w:id="454"/>
      <w:bookmarkEnd w:id="455"/>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2.3.2具有知识产权的计算机软件等货物的知识产权归属，详见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56" w:name="_Toc29149"/>
      <w:bookmarkStart w:id="457" w:name="_Toc11932"/>
      <w:bookmarkStart w:id="458" w:name="_Toc4194"/>
      <w:r>
        <w:rPr>
          <w:rFonts w:hint="eastAsia" w:ascii="仿宋" w:hAnsi="仿宋" w:eastAsia="仿宋" w:cs="仿宋"/>
          <w:b/>
          <w:sz w:val="24"/>
        </w:rPr>
        <w:t>2.4 包装和装运</w:t>
      </w:r>
      <w:bookmarkEnd w:id="456"/>
      <w:bookmarkEnd w:id="457"/>
      <w:bookmarkEnd w:id="458"/>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2.4.1除</w:t>
      </w:r>
      <w:r>
        <w:rPr>
          <w:rFonts w:hint="eastAsia" w:ascii="仿宋" w:hAnsi="仿宋" w:eastAsia="仿宋" w:cs="仿宋"/>
          <w:b/>
          <w:i/>
          <w:sz w:val="24"/>
          <w:u w:val="single"/>
        </w:rPr>
        <w:t>合同专用条款</w:t>
      </w:r>
      <w:r>
        <w:rPr>
          <w:rFonts w:hint="eastAsia" w:ascii="仿宋" w:hAnsi="仿宋" w:eastAsia="仿宋" w:cs="仿宋"/>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2.4.2 装运货物的要求和通知，详见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59" w:name="_Ref467379542"/>
      <w:bookmarkStart w:id="460" w:name="_Toc487900354"/>
      <w:bookmarkStart w:id="461" w:name="_Toc259093674"/>
      <w:bookmarkStart w:id="462" w:name="_Ref467379527"/>
      <w:bookmarkStart w:id="463" w:name="_Ref467378591"/>
      <w:bookmarkStart w:id="464" w:name="_Toc279701245"/>
      <w:bookmarkStart w:id="465" w:name="_Ref467379536"/>
      <w:bookmarkStart w:id="466" w:name="_Ref467378541"/>
      <w:bookmarkStart w:id="467" w:name="_Toc30272"/>
      <w:bookmarkStart w:id="468" w:name="_Toc19074"/>
      <w:bookmarkStart w:id="469" w:name="_Toc26182"/>
      <w:r>
        <w:rPr>
          <w:rFonts w:hint="eastAsia" w:ascii="仿宋" w:hAnsi="仿宋" w:eastAsia="仿宋" w:cs="仿宋"/>
          <w:b/>
          <w:sz w:val="24"/>
        </w:rPr>
        <w:t>2.</w:t>
      </w:r>
      <w:bookmarkEnd w:id="459"/>
      <w:bookmarkEnd w:id="460"/>
      <w:bookmarkEnd w:id="461"/>
      <w:bookmarkEnd w:id="462"/>
      <w:bookmarkEnd w:id="463"/>
      <w:bookmarkEnd w:id="464"/>
      <w:bookmarkEnd w:id="465"/>
      <w:bookmarkEnd w:id="466"/>
      <w:r>
        <w:rPr>
          <w:rFonts w:hint="eastAsia" w:ascii="仿宋" w:hAnsi="仿宋" w:eastAsia="仿宋" w:cs="仿宋"/>
          <w:b/>
          <w:sz w:val="24"/>
        </w:rPr>
        <w:t>5 履约检查和问题反馈</w:t>
      </w:r>
      <w:bookmarkEnd w:id="467"/>
      <w:bookmarkEnd w:id="468"/>
      <w:bookmarkEnd w:id="469"/>
    </w:p>
    <w:p>
      <w:pPr>
        <w:spacing w:line="560" w:lineRule="exact"/>
        <w:ind w:firstLine="480" w:firstLineChars="200"/>
        <w:rPr>
          <w:rFonts w:hint="eastAsia" w:ascii="仿宋" w:hAnsi="仿宋" w:eastAsia="仿宋" w:cs="仿宋"/>
          <w:sz w:val="24"/>
        </w:rPr>
      </w:pPr>
      <w:bookmarkStart w:id="470" w:name="_Ref467379657"/>
      <w:r>
        <w:rPr>
          <w:rFonts w:hint="eastAsia" w:ascii="仿宋" w:hAnsi="仿宋" w:eastAsia="仿宋" w:cs="仿宋"/>
          <w:sz w:val="24"/>
        </w:rPr>
        <w:t>2.5.1</w:t>
      </w:r>
      <w:bookmarkEnd w:id="470"/>
      <w:bookmarkStart w:id="471" w:name="_Toc186431854"/>
      <w:bookmarkStart w:id="472" w:name="_Toc487900357"/>
      <w:bookmarkStart w:id="473" w:name="_Toc259093676"/>
      <w:bookmarkStart w:id="474" w:name="_Ref467379807"/>
      <w:bookmarkStart w:id="475" w:name="_Ref467379793"/>
      <w:bookmarkStart w:id="476" w:name="_Toc279701247"/>
      <w:r>
        <w:rPr>
          <w:rFonts w:hint="eastAsia" w:ascii="仿宋" w:hAnsi="仿宋" w:eastAsia="仿宋" w:cs="仿宋"/>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2.5.2 合同履行期间，甲方有权将履行过程中出现的问题反馈给乙方，双方当事人应以书面形式约定需要完善和改进的内容</w:t>
      </w:r>
      <w:bookmarkEnd w:id="471"/>
      <w:bookmarkStart w:id="477" w:name="_Toc186431855"/>
      <w:r>
        <w:rPr>
          <w:rFonts w:hint="eastAsia" w:ascii="仿宋" w:hAnsi="仿宋" w:eastAsia="仿宋" w:cs="仿宋"/>
          <w:sz w:val="24"/>
        </w:rPr>
        <w:t>。</w:t>
      </w:r>
    </w:p>
    <w:bookmarkEnd w:id="472"/>
    <w:bookmarkEnd w:id="473"/>
    <w:bookmarkEnd w:id="474"/>
    <w:bookmarkEnd w:id="475"/>
    <w:bookmarkEnd w:id="476"/>
    <w:bookmarkEnd w:id="477"/>
    <w:p>
      <w:pPr>
        <w:spacing w:line="560" w:lineRule="exact"/>
        <w:ind w:firstLine="482" w:firstLineChars="200"/>
        <w:outlineLvl w:val="0"/>
        <w:rPr>
          <w:rFonts w:hint="eastAsia" w:ascii="仿宋" w:hAnsi="仿宋" w:eastAsia="仿宋" w:cs="仿宋"/>
          <w:b/>
          <w:sz w:val="24"/>
        </w:rPr>
      </w:pPr>
      <w:bookmarkStart w:id="478" w:name="_Toc487900358"/>
      <w:bookmarkStart w:id="479" w:name="_Ref467379923"/>
      <w:bookmarkStart w:id="480" w:name="_Ref467379852"/>
      <w:bookmarkStart w:id="481" w:name="_Toc259093677"/>
      <w:bookmarkStart w:id="482" w:name="_Toc279701248"/>
      <w:bookmarkStart w:id="483" w:name="_Ref467379863"/>
      <w:bookmarkStart w:id="484" w:name="_Toc3225"/>
      <w:bookmarkStart w:id="485" w:name="_Toc16110"/>
      <w:bookmarkStart w:id="486" w:name="_Toc774"/>
      <w:r>
        <w:rPr>
          <w:rFonts w:hint="eastAsia" w:ascii="仿宋" w:hAnsi="仿宋" w:eastAsia="仿宋" w:cs="仿宋"/>
          <w:b/>
          <w:sz w:val="24"/>
        </w:rPr>
        <w:t>2.6 技术资料</w:t>
      </w:r>
      <w:bookmarkEnd w:id="478"/>
      <w:bookmarkEnd w:id="479"/>
      <w:bookmarkEnd w:id="480"/>
      <w:bookmarkEnd w:id="481"/>
      <w:bookmarkEnd w:id="482"/>
      <w:bookmarkEnd w:id="483"/>
      <w:r>
        <w:rPr>
          <w:rFonts w:hint="eastAsia" w:ascii="仿宋" w:hAnsi="仿宋" w:eastAsia="仿宋" w:cs="仿宋"/>
          <w:b/>
          <w:sz w:val="24"/>
        </w:rPr>
        <w:t>和保密义务</w:t>
      </w:r>
      <w:bookmarkEnd w:id="484"/>
      <w:bookmarkEnd w:id="485"/>
      <w:bookmarkEnd w:id="486"/>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sz w:val="24"/>
        </w:rPr>
      </w:pPr>
      <w:bookmarkStart w:id="487" w:name="_Toc7860"/>
      <w:r>
        <w:rPr>
          <w:rFonts w:hint="eastAsia" w:ascii="仿宋" w:hAnsi="仿宋" w:eastAsia="仿宋" w:cs="仿宋"/>
          <w:b/>
          <w:sz w:val="24"/>
        </w:rPr>
        <w:t>2.7 质量保证</w:t>
      </w:r>
      <w:bookmarkEnd w:id="487"/>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sz w:val="24"/>
        </w:rPr>
      </w:pPr>
      <w:bookmarkStart w:id="488" w:name="_Toc17244"/>
      <w:bookmarkStart w:id="489" w:name="_Toc279701252"/>
      <w:bookmarkStart w:id="490" w:name="_Toc259093681"/>
      <w:bookmarkStart w:id="491" w:name="_Toc487900362"/>
      <w:r>
        <w:rPr>
          <w:rFonts w:hint="eastAsia" w:ascii="仿宋" w:hAnsi="仿宋" w:eastAsia="仿宋" w:cs="仿宋"/>
          <w:b/>
          <w:sz w:val="24"/>
        </w:rPr>
        <w:t>2.8 货物的风险负担</w:t>
      </w:r>
      <w:bookmarkEnd w:id="488"/>
    </w:p>
    <w:p>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货物或者在途货物或者交付给第一承运人后的货物毁损、灭失的风险负担详见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92" w:name="_Toc14055"/>
      <w:r>
        <w:rPr>
          <w:rFonts w:hint="eastAsia" w:ascii="仿宋" w:hAnsi="仿宋" w:eastAsia="仿宋" w:cs="仿宋"/>
          <w:b/>
          <w:sz w:val="24"/>
        </w:rPr>
        <w:t>2.9 延迟交货</w:t>
      </w:r>
      <w:bookmarkEnd w:id="489"/>
      <w:bookmarkEnd w:id="490"/>
      <w:bookmarkEnd w:id="491"/>
      <w:bookmarkEnd w:id="492"/>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hint="eastAsia" w:ascii="仿宋" w:hAnsi="仿宋" w:eastAsia="仿宋" w:cs="仿宋"/>
          <w:b/>
          <w:sz w:val="24"/>
        </w:rPr>
      </w:pPr>
      <w:bookmarkStart w:id="493" w:name="_Toc7502"/>
      <w:bookmarkStart w:id="494" w:name="_Toc279701254"/>
      <w:bookmarkStart w:id="495" w:name="_Toc259093683"/>
      <w:bookmarkStart w:id="496" w:name="_Ref467378121"/>
      <w:bookmarkStart w:id="497" w:name="_Toc487900364"/>
      <w:r>
        <w:rPr>
          <w:rFonts w:hint="eastAsia" w:ascii="仿宋" w:hAnsi="仿宋" w:eastAsia="仿宋" w:cs="仿宋"/>
          <w:b/>
          <w:sz w:val="24"/>
        </w:rPr>
        <w:t>2.10 合同变更</w:t>
      </w:r>
      <w:bookmarkEnd w:id="493"/>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bookmarkStart w:id="498" w:name="_Toc487900369"/>
      <w:bookmarkStart w:id="499" w:name="_Toc259093688"/>
      <w:bookmarkStart w:id="500" w:name="_Toc279701259"/>
    </w:p>
    <w:p>
      <w:pPr>
        <w:spacing w:line="560" w:lineRule="exact"/>
        <w:ind w:firstLine="482" w:firstLineChars="200"/>
        <w:outlineLvl w:val="0"/>
        <w:rPr>
          <w:rFonts w:hint="eastAsia" w:ascii="仿宋" w:hAnsi="仿宋" w:eastAsia="仿宋" w:cs="仿宋"/>
          <w:b/>
          <w:sz w:val="24"/>
        </w:rPr>
      </w:pPr>
      <w:bookmarkStart w:id="501" w:name="_Toc15237"/>
      <w:bookmarkStart w:id="502" w:name="_Toc22955"/>
      <w:bookmarkStart w:id="503" w:name="_Toc10366"/>
      <w:r>
        <w:rPr>
          <w:rFonts w:hint="eastAsia" w:ascii="仿宋" w:hAnsi="仿宋" w:eastAsia="仿宋" w:cs="仿宋"/>
          <w:b/>
          <w:sz w:val="24"/>
        </w:rPr>
        <w:t>2.11 合同转让</w:t>
      </w:r>
      <w:bookmarkEnd w:id="498"/>
      <w:bookmarkEnd w:id="499"/>
      <w:bookmarkEnd w:id="500"/>
      <w:r>
        <w:rPr>
          <w:rFonts w:hint="eastAsia" w:ascii="仿宋" w:hAnsi="仿宋" w:eastAsia="仿宋" w:cs="仿宋"/>
          <w:b/>
          <w:sz w:val="24"/>
        </w:rPr>
        <w:t>和分包</w:t>
      </w:r>
      <w:bookmarkEnd w:id="501"/>
      <w:bookmarkEnd w:id="502"/>
      <w:bookmarkEnd w:id="503"/>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2.11.2乙方采取分包方式履行合同的，甲方可直接向分包供应商支付款项。</w:t>
      </w:r>
    </w:p>
    <w:p>
      <w:pPr>
        <w:spacing w:line="560" w:lineRule="exact"/>
        <w:ind w:firstLine="482" w:firstLineChars="200"/>
        <w:outlineLvl w:val="0"/>
        <w:rPr>
          <w:rFonts w:hint="eastAsia" w:ascii="仿宋" w:hAnsi="仿宋" w:eastAsia="仿宋" w:cs="仿宋"/>
          <w:b/>
          <w:sz w:val="24"/>
        </w:rPr>
      </w:pPr>
      <w:bookmarkStart w:id="504" w:name="_Toc16508"/>
      <w:bookmarkStart w:id="505" w:name="_Toc13566"/>
      <w:bookmarkStart w:id="506" w:name="_Toc14066"/>
      <w:r>
        <w:rPr>
          <w:rFonts w:hint="eastAsia" w:ascii="仿宋" w:hAnsi="仿宋" w:eastAsia="仿宋" w:cs="仿宋"/>
          <w:b/>
          <w:sz w:val="24"/>
        </w:rPr>
        <w:t>2.12 不可抗力</w:t>
      </w:r>
      <w:bookmarkEnd w:id="504"/>
      <w:bookmarkEnd w:id="505"/>
      <w:bookmarkEnd w:id="506"/>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2.12.2 因不可抗力致使不能实现合同目的的，当事人可以解除合同；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pPr>
        <w:spacing w:line="560" w:lineRule="exact"/>
        <w:ind w:firstLine="482" w:firstLineChars="200"/>
        <w:outlineLvl w:val="0"/>
        <w:rPr>
          <w:rFonts w:hint="eastAsia" w:ascii="仿宋" w:hAnsi="仿宋" w:eastAsia="仿宋" w:cs="仿宋"/>
          <w:b/>
          <w:sz w:val="24"/>
        </w:rPr>
      </w:pPr>
      <w:bookmarkStart w:id="507" w:name="_Toc30676"/>
      <w:bookmarkStart w:id="508" w:name="_Toc259093684"/>
      <w:bookmarkStart w:id="509" w:name="_Toc6969"/>
      <w:bookmarkStart w:id="510" w:name="_Toc689"/>
      <w:bookmarkStart w:id="511" w:name="_Toc487900365"/>
      <w:bookmarkStart w:id="512" w:name="_Toc279701255"/>
      <w:r>
        <w:rPr>
          <w:rFonts w:hint="eastAsia" w:ascii="仿宋" w:hAnsi="仿宋" w:eastAsia="仿宋" w:cs="仿宋"/>
          <w:b/>
          <w:sz w:val="24"/>
        </w:rPr>
        <w:t>2.13 税费</w:t>
      </w:r>
      <w:bookmarkEnd w:id="507"/>
      <w:bookmarkEnd w:id="508"/>
      <w:bookmarkEnd w:id="509"/>
      <w:bookmarkEnd w:id="510"/>
      <w:bookmarkEnd w:id="511"/>
      <w:bookmarkEnd w:id="512"/>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w:t>
      </w:r>
    </w:p>
    <w:p>
      <w:pPr>
        <w:spacing w:line="560" w:lineRule="exact"/>
        <w:ind w:firstLine="482" w:firstLineChars="200"/>
        <w:outlineLvl w:val="0"/>
        <w:rPr>
          <w:rFonts w:hint="eastAsia" w:ascii="仿宋" w:hAnsi="仿宋" w:eastAsia="仿宋" w:cs="仿宋"/>
          <w:b/>
          <w:sz w:val="24"/>
        </w:rPr>
      </w:pPr>
      <w:bookmarkStart w:id="513" w:name="_Toc259093687"/>
      <w:bookmarkStart w:id="514" w:name="_Toc16959"/>
      <w:bookmarkStart w:id="515" w:name="_Toc279701258"/>
      <w:bookmarkStart w:id="516" w:name="_Toc8298"/>
      <w:bookmarkStart w:id="517" w:name="_Toc7102"/>
      <w:bookmarkStart w:id="518" w:name="_Toc487900368"/>
      <w:r>
        <w:rPr>
          <w:rFonts w:hint="eastAsia" w:ascii="仿宋" w:hAnsi="仿宋" w:eastAsia="仿宋" w:cs="仿宋"/>
          <w:b/>
          <w:sz w:val="24"/>
        </w:rPr>
        <w:t>2.14乙方破产</w:t>
      </w:r>
      <w:bookmarkEnd w:id="513"/>
      <w:bookmarkEnd w:id="514"/>
      <w:bookmarkEnd w:id="515"/>
      <w:bookmarkEnd w:id="516"/>
      <w:bookmarkEnd w:id="517"/>
      <w:bookmarkEnd w:id="518"/>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sz w:val="24"/>
        </w:rPr>
      </w:pPr>
      <w:bookmarkStart w:id="519" w:name="_Toc15387"/>
      <w:bookmarkStart w:id="520" w:name="_Toc6134"/>
      <w:bookmarkStart w:id="521" w:name="_Toc29333"/>
      <w:r>
        <w:rPr>
          <w:rFonts w:hint="eastAsia" w:ascii="仿宋" w:hAnsi="仿宋" w:eastAsia="仿宋" w:cs="仿宋"/>
          <w:b/>
          <w:sz w:val="24"/>
        </w:rPr>
        <w:t>2.15 合同中止、终止</w:t>
      </w:r>
      <w:bookmarkEnd w:id="519"/>
      <w:bookmarkEnd w:id="520"/>
      <w:bookmarkEnd w:id="521"/>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2.15.1 双方当事人不得擅自中止或者终止合同；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sz w:val="24"/>
        </w:rPr>
      </w:pPr>
      <w:bookmarkStart w:id="522" w:name="_Toc14563"/>
      <w:bookmarkStart w:id="523" w:name="_Toc6596"/>
      <w:bookmarkStart w:id="524" w:name="_Toc1125"/>
      <w:r>
        <w:rPr>
          <w:rFonts w:hint="eastAsia" w:ascii="仿宋" w:hAnsi="仿宋" w:eastAsia="仿宋" w:cs="仿宋"/>
          <w:b/>
          <w:sz w:val="24"/>
        </w:rPr>
        <w:t>2.16检验和验收</w:t>
      </w:r>
      <w:bookmarkEnd w:id="522"/>
      <w:bookmarkEnd w:id="523"/>
      <w:bookmarkEnd w:id="524"/>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2.16.1货物交付前，乙方应对货物的质量、数量等方面进行详细、全面的检验，并向甲方出具证明货物符合合同约定的文件；货物交付时，甲方在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494"/>
    <w:bookmarkEnd w:id="495"/>
    <w:bookmarkEnd w:id="496"/>
    <w:bookmarkEnd w:id="497"/>
    <w:p>
      <w:pPr>
        <w:spacing w:line="560" w:lineRule="exact"/>
        <w:ind w:firstLine="482" w:firstLineChars="200"/>
        <w:outlineLvl w:val="0"/>
        <w:rPr>
          <w:rFonts w:hint="eastAsia" w:ascii="仿宋" w:hAnsi="仿宋" w:eastAsia="仿宋" w:cs="仿宋"/>
          <w:b/>
          <w:sz w:val="24"/>
        </w:rPr>
      </w:pPr>
      <w:bookmarkStart w:id="525" w:name="_Toc259093690"/>
      <w:bookmarkStart w:id="526" w:name="_Toc487900371"/>
      <w:bookmarkStart w:id="527" w:name="_Toc279701261"/>
      <w:bookmarkStart w:id="528" w:name="_Toc19604"/>
      <w:bookmarkStart w:id="529" w:name="_Toc25182"/>
      <w:bookmarkStart w:id="530" w:name="_Toc11284"/>
      <w:r>
        <w:rPr>
          <w:rFonts w:hint="eastAsia" w:ascii="仿宋" w:hAnsi="仿宋" w:eastAsia="仿宋" w:cs="仿宋"/>
          <w:b/>
          <w:sz w:val="24"/>
        </w:rPr>
        <w:t>2.17 通知</w:t>
      </w:r>
      <w:bookmarkEnd w:id="525"/>
      <w:bookmarkEnd w:id="526"/>
      <w:bookmarkEnd w:id="527"/>
      <w:r>
        <w:rPr>
          <w:rFonts w:hint="eastAsia" w:ascii="仿宋" w:hAnsi="仿宋" w:eastAsia="仿宋" w:cs="仿宋"/>
          <w:b/>
          <w:sz w:val="24"/>
        </w:rPr>
        <w:t>和送达</w:t>
      </w:r>
      <w:bookmarkEnd w:id="528"/>
      <w:bookmarkEnd w:id="529"/>
      <w:bookmarkEnd w:id="530"/>
    </w:p>
    <w:p>
      <w:pPr>
        <w:spacing w:line="560" w:lineRule="exact"/>
        <w:ind w:firstLine="480" w:firstLineChars="200"/>
        <w:rPr>
          <w:rFonts w:hint="eastAsia" w:ascii="仿宋" w:hAnsi="仿宋" w:eastAsia="仿宋" w:cs="仿宋"/>
          <w:sz w:val="24"/>
        </w:rPr>
      </w:pPr>
      <w:bookmarkStart w:id="531" w:name="_Toc3135"/>
      <w:bookmarkStart w:id="532" w:name="_Toc6698"/>
      <w:bookmarkStart w:id="533" w:name="_Toc259093691"/>
      <w:bookmarkStart w:id="534" w:name="_Toc487900372"/>
      <w:bookmarkStart w:id="535" w:name="_Toc279701262"/>
      <w:r>
        <w:rPr>
          <w:rFonts w:hint="eastAsia" w:ascii="仿宋" w:hAnsi="仿宋" w:eastAsia="仿宋" w:cs="仿宋"/>
          <w:sz w:val="24"/>
        </w:rPr>
        <w:t xml:space="preserve">2.17.1任何一方因履行合同而以合同第一部分尾部所列明的传真或电子邮件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bookmarkEnd w:id="531"/>
      <w:bookmarkEnd w:id="532"/>
    </w:p>
    <w:p>
      <w:pPr>
        <w:spacing w:line="560" w:lineRule="exact"/>
        <w:ind w:firstLine="480" w:firstLineChars="200"/>
        <w:rPr>
          <w:rFonts w:hint="eastAsia" w:ascii="仿宋" w:hAnsi="仿宋" w:eastAsia="仿宋" w:cs="仿宋"/>
          <w:sz w:val="24"/>
        </w:rPr>
      </w:pPr>
      <w:bookmarkStart w:id="536" w:name="_Toc23294"/>
      <w:bookmarkStart w:id="537" w:name="_Toc23128"/>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6"/>
      <w:bookmarkEnd w:id="537"/>
    </w:p>
    <w:p>
      <w:pPr>
        <w:spacing w:line="560" w:lineRule="exact"/>
        <w:ind w:firstLine="482" w:firstLineChars="200"/>
        <w:outlineLvl w:val="0"/>
        <w:rPr>
          <w:rFonts w:hint="eastAsia" w:ascii="仿宋" w:hAnsi="仿宋" w:eastAsia="仿宋" w:cs="仿宋"/>
          <w:b/>
          <w:sz w:val="24"/>
        </w:rPr>
      </w:pPr>
      <w:bookmarkStart w:id="538" w:name="_Toc30599"/>
      <w:bookmarkStart w:id="539" w:name="_Toc4355"/>
      <w:bookmarkStart w:id="540" w:name="_Toc18540"/>
      <w:r>
        <w:rPr>
          <w:rFonts w:hint="eastAsia" w:ascii="仿宋" w:hAnsi="仿宋" w:eastAsia="仿宋" w:cs="仿宋"/>
          <w:b/>
          <w:sz w:val="24"/>
        </w:rPr>
        <w:t>2.18 计量单位</w:t>
      </w:r>
      <w:bookmarkEnd w:id="533"/>
      <w:bookmarkEnd w:id="534"/>
      <w:bookmarkEnd w:id="535"/>
      <w:bookmarkEnd w:id="538"/>
      <w:bookmarkEnd w:id="539"/>
      <w:bookmarkEnd w:id="540"/>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pPr>
        <w:spacing w:line="560" w:lineRule="exact"/>
        <w:ind w:firstLine="482" w:firstLineChars="200"/>
        <w:outlineLvl w:val="0"/>
        <w:rPr>
          <w:rFonts w:hint="eastAsia" w:ascii="仿宋" w:hAnsi="仿宋" w:eastAsia="仿宋" w:cs="仿宋"/>
          <w:b/>
          <w:sz w:val="24"/>
        </w:rPr>
      </w:pPr>
      <w:bookmarkStart w:id="541" w:name="_Toc10330"/>
      <w:bookmarkStart w:id="542" w:name="_Toc279701263"/>
      <w:bookmarkStart w:id="543" w:name="_Toc487900373"/>
      <w:bookmarkStart w:id="544" w:name="_Toc18567"/>
      <w:bookmarkStart w:id="545" w:name="_Toc259093692"/>
      <w:bookmarkStart w:id="546" w:name="_Toc12773"/>
      <w:r>
        <w:rPr>
          <w:rFonts w:hint="eastAsia" w:ascii="仿宋" w:hAnsi="仿宋" w:eastAsia="仿宋" w:cs="仿宋"/>
          <w:b/>
          <w:sz w:val="24"/>
        </w:rPr>
        <w:t>2.19 合同使用的文字和适用的法律</w:t>
      </w:r>
      <w:bookmarkEnd w:id="541"/>
      <w:bookmarkEnd w:id="542"/>
      <w:bookmarkEnd w:id="543"/>
      <w:bookmarkEnd w:id="544"/>
      <w:bookmarkEnd w:id="545"/>
      <w:bookmarkEnd w:id="546"/>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2.19.1 合同使用汉语书就、变更和解释；</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2.19.2 合同适用中华人民共和国法律。</w:t>
      </w:r>
    </w:p>
    <w:p>
      <w:pPr>
        <w:spacing w:line="560" w:lineRule="exact"/>
        <w:ind w:firstLine="482" w:firstLineChars="200"/>
        <w:outlineLvl w:val="0"/>
        <w:rPr>
          <w:rFonts w:hint="eastAsia" w:ascii="仿宋" w:hAnsi="仿宋" w:eastAsia="仿宋" w:cs="仿宋"/>
          <w:b/>
          <w:sz w:val="24"/>
        </w:rPr>
      </w:pPr>
      <w:bookmarkStart w:id="547" w:name="_Toc279701264"/>
      <w:bookmarkStart w:id="548" w:name="_Toc259093693"/>
      <w:bookmarkStart w:id="549" w:name="_Toc16673"/>
      <w:bookmarkStart w:id="550" w:name="_Toc3148"/>
      <w:bookmarkStart w:id="551" w:name="_Toc12004"/>
      <w:bookmarkStart w:id="552" w:name="_Toc487900374"/>
      <w:r>
        <w:rPr>
          <w:rFonts w:hint="eastAsia" w:ascii="仿宋" w:hAnsi="仿宋" w:eastAsia="仿宋" w:cs="仿宋"/>
          <w:b/>
          <w:sz w:val="24"/>
        </w:rPr>
        <w:t>2.20 履约保证金</w:t>
      </w:r>
      <w:bookmarkEnd w:id="547"/>
      <w:bookmarkEnd w:id="548"/>
      <w:bookmarkEnd w:id="549"/>
      <w:bookmarkEnd w:id="550"/>
      <w:bookmarkEnd w:id="551"/>
    </w:p>
    <w:p>
      <w:pPr>
        <w:pStyle w:val="957"/>
        <w:spacing w:before="0" w:beforeAutospacing="0" w:after="0" w:afterAutospacing="0" w:line="360" w:lineRule="auto"/>
        <w:ind w:firstLine="420"/>
        <w:rPr>
          <w:rFonts w:hint="eastAsia" w:ascii="仿宋" w:hAnsi="仿宋" w:eastAsia="仿宋" w:cs="仿宋"/>
        </w:rPr>
      </w:pPr>
      <w:r>
        <w:rPr>
          <w:rFonts w:hint="eastAsia" w:ascii="仿宋" w:hAnsi="仿宋" w:eastAsia="仿宋" w:cs="仿宋"/>
        </w:rPr>
        <w:t>2.20.1 采购文件要求乙方提交履约保证金的，乙方应按</w:t>
      </w:r>
      <w:r>
        <w:rPr>
          <w:rFonts w:hint="eastAsia" w:ascii="仿宋" w:hAnsi="仿宋" w:eastAsia="仿宋" w:cs="仿宋"/>
          <w:b/>
          <w:i/>
          <w:u w:val="single"/>
        </w:rPr>
        <w:t>合同专用条款</w:t>
      </w:r>
      <w:r>
        <w:rPr>
          <w:rFonts w:hint="eastAsia" w:ascii="仿宋" w:hAnsi="仿宋" w:eastAsia="仿宋" w:cs="仿宋"/>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2.20.2  甲方在项目验收结束后及时退还履约保证金。甲方在项目通过验收之日起</w:t>
      </w:r>
      <w:r>
        <w:rPr>
          <w:rFonts w:hint="eastAsia" w:ascii="仿宋" w:hAnsi="仿宋" w:eastAsia="仿宋" w:cs="仿宋"/>
          <w:sz w:val="24"/>
          <w:u w:val="single"/>
        </w:rPr>
        <w:t xml:space="preserve"> 5 </w:t>
      </w:r>
      <w:r>
        <w:rPr>
          <w:rFonts w:hint="eastAsia" w:ascii="仿宋" w:hAnsi="仿宋" w:eastAsia="仿宋" w:cs="仿宋"/>
          <w:sz w:val="24"/>
        </w:rPr>
        <w:t>个工作日内，按</w:t>
      </w:r>
      <w:r>
        <w:rPr>
          <w:rFonts w:hint="eastAsia" w:ascii="仿宋" w:hAnsi="仿宋" w:eastAsia="仿宋" w:cs="仿宋"/>
          <w:b/>
          <w:i/>
          <w:sz w:val="24"/>
          <w:u w:val="single"/>
        </w:rPr>
        <w:t>合同专用条款</w:t>
      </w:r>
      <w:r>
        <w:rPr>
          <w:rFonts w:hint="eastAsia" w:ascii="仿宋" w:hAnsi="仿宋" w:eastAsia="仿宋" w:cs="仿宋"/>
          <w:sz w:val="24"/>
        </w:rPr>
        <w:t>约定的方式将履约保证金退还乙方，逾期退还的，乙方可要求甲方支付违约金，违约金按每迟延退还一日的应退还而未退还金额的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%计算，最高限额为本合同履约保证金的</w:t>
      </w:r>
      <w:r>
        <w:rPr>
          <w:rFonts w:hint="eastAsia" w:ascii="仿宋" w:hAnsi="仿宋" w:eastAsia="仿宋" w:cs="仿宋"/>
          <w:sz w:val="24"/>
          <w:u w:val="single"/>
        </w:rPr>
        <w:t xml:space="preserve">  20   </w:t>
      </w:r>
      <w:r>
        <w:rPr>
          <w:rFonts w:hint="eastAsia" w:ascii="仿宋" w:hAnsi="仿宋" w:eastAsia="仿宋" w:cs="仿宋"/>
          <w:sz w:val="24"/>
        </w:rPr>
        <w:t xml:space="preserve">%； </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2.20.4 甲方根据杭州市政府采购网公布的供应商履约评价情况减免履约保证金。乙方履约验收评价总分为100分的，甲方免收履约保证金。</w:t>
      </w:r>
    </w:p>
    <w:p>
      <w:pPr>
        <w:spacing w:line="560" w:lineRule="exact"/>
        <w:ind w:firstLine="480" w:firstLineChars="200"/>
        <w:rPr>
          <w:rFonts w:hint="eastAsia" w:ascii="仿宋" w:hAnsi="仿宋" w:eastAsia="仿宋" w:cs="仿宋"/>
        </w:rPr>
      </w:pPr>
      <w:r>
        <w:rPr>
          <w:rFonts w:hint="eastAsia" w:ascii="仿宋" w:hAnsi="仿宋" w:eastAsia="仿宋" w:cs="仿宋"/>
          <w:sz w:val="24"/>
        </w:rPr>
        <w:t>2.20.5甲方在乙方履行完合同约定义务事项后及时退还，延迟退还的，应当按照合同约定和法律规定承担相应的赔偿责任。</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2.21对于因甲方原因导致变更、中止或者终止政府采购合同的，甲方应当依照合同约定对供应商受到的损失予以赔偿或者补偿。</w:t>
      </w:r>
    </w:p>
    <w:bookmarkEnd w:id="552"/>
    <w:p>
      <w:pPr>
        <w:spacing w:line="560" w:lineRule="exact"/>
        <w:ind w:firstLine="482" w:firstLineChars="200"/>
        <w:outlineLvl w:val="0"/>
        <w:rPr>
          <w:rFonts w:hint="eastAsia" w:ascii="仿宋" w:hAnsi="仿宋" w:eastAsia="仿宋" w:cs="仿宋"/>
          <w:b/>
          <w:sz w:val="24"/>
        </w:rPr>
      </w:pPr>
      <w:bookmarkStart w:id="553" w:name="_Toc19890"/>
      <w:bookmarkStart w:id="554" w:name="_Toc14001"/>
      <w:bookmarkStart w:id="555" w:name="_Toc6885"/>
      <w:r>
        <w:rPr>
          <w:rFonts w:hint="eastAsia" w:ascii="仿宋" w:hAnsi="仿宋" w:eastAsia="仿宋" w:cs="仿宋"/>
          <w:b/>
          <w:sz w:val="24"/>
        </w:rPr>
        <w:t>2.22合同份数</w:t>
      </w:r>
      <w:bookmarkEnd w:id="553"/>
      <w:bookmarkEnd w:id="554"/>
      <w:bookmarkEnd w:id="555"/>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pPr>
        <w:pStyle w:val="699"/>
        <w:spacing w:line="560" w:lineRule="exact"/>
        <w:jc w:val="center"/>
        <w:rPr>
          <w:rFonts w:hint="eastAsia" w:ascii="仿宋" w:hAnsi="仿宋" w:eastAsia="仿宋" w:cs="仿宋"/>
          <w:b/>
          <w:szCs w:val="24"/>
        </w:rPr>
      </w:pPr>
      <w:r>
        <w:rPr>
          <w:rFonts w:hint="eastAsia" w:ascii="仿宋" w:hAnsi="仿宋" w:eastAsia="仿宋" w:cs="仿宋"/>
          <w:kern w:val="0"/>
          <w:szCs w:val="24"/>
        </w:rPr>
        <w:br w:type="page"/>
      </w:r>
      <w:bookmarkStart w:id="556" w:name="_Toc331685784"/>
      <w:r>
        <w:rPr>
          <w:rFonts w:hint="eastAsia" w:ascii="仿宋" w:hAnsi="仿宋" w:eastAsia="仿宋" w:cs="仿宋"/>
          <w:b/>
          <w:szCs w:val="24"/>
        </w:rPr>
        <w:t xml:space="preserve"> </w:t>
      </w:r>
      <w:bookmarkEnd w:id="556"/>
      <w:r>
        <w:rPr>
          <w:rFonts w:hint="eastAsia" w:ascii="仿宋" w:hAnsi="仿宋" w:eastAsia="仿宋" w:cs="仿宋"/>
          <w:b/>
          <w:szCs w:val="24"/>
        </w:rPr>
        <w:t>第三部分  合同专用条款</w:t>
      </w:r>
    </w:p>
    <w:p>
      <w:pPr>
        <w:spacing w:line="560" w:lineRule="exact"/>
        <w:ind w:left="-420" w:leftChars="-200" w:right="-420" w:rightChars="-200" w:firstLine="480" w:firstLineChars="200"/>
        <w:rPr>
          <w:rFonts w:hint="eastAsia" w:ascii="仿宋" w:hAnsi="仿宋" w:eastAsia="仿宋" w:cs="仿宋"/>
          <w:highlight w:val="none"/>
        </w:rPr>
      </w:pPr>
      <w:r>
        <w:rPr>
          <w:rFonts w:hint="eastAsia" w:ascii="仿宋" w:hAnsi="仿宋" w:eastAsia="仿宋" w:cs="仿宋"/>
          <w:sz w:val="24"/>
        </w:rPr>
        <w:t>本部分是对前两部分的补充和修改，如果前两部分和本部分的约定不一致，应以本部分的约定为准。本部分的条款</w:t>
      </w:r>
      <w:r>
        <w:rPr>
          <w:rFonts w:hint="eastAsia" w:ascii="仿宋" w:hAnsi="仿宋" w:eastAsia="仿宋" w:cs="仿宋"/>
          <w:sz w:val="24"/>
          <w:highlight w:val="none"/>
        </w:rPr>
        <w:t>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条款号</w:t>
            </w:r>
          </w:p>
        </w:tc>
        <w:tc>
          <w:tcPr>
            <w:tcW w:w="4534" w:type="pct"/>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1.4.4</w:t>
            </w:r>
          </w:p>
        </w:tc>
        <w:tc>
          <w:tcPr>
            <w:tcW w:w="4534" w:type="pct"/>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资金支付</w:t>
            </w:r>
            <w:r>
              <w:rPr>
                <w:rFonts w:hint="eastAsia" w:ascii="仿宋" w:hAnsi="仿宋" w:eastAsia="仿宋" w:cs="仿宋"/>
                <w:sz w:val="24"/>
                <w:highlight w:val="none"/>
                <w:lang w:eastAsia="zh-CN"/>
              </w:rPr>
              <w:t>：</w:t>
            </w:r>
            <w:r>
              <w:rPr>
                <w:rFonts w:hint="eastAsia" w:ascii="仿宋" w:hAnsi="仿宋" w:eastAsia="仿宋" w:cs="仿宋"/>
                <w:sz w:val="24"/>
                <w:highlight w:val="none"/>
              </w:rPr>
              <w:t>本次项目合同总价为大写人民币元整（￥元），采用分期付款方式，具体如下：合同签订后</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个工作日内预付合同款的</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0%</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验收合格</w:t>
            </w:r>
            <w:r>
              <w:rPr>
                <w:rFonts w:hint="eastAsia" w:ascii="仿宋" w:hAnsi="仿宋" w:eastAsia="仿宋" w:cs="仿宋"/>
                <w:sz w:val="24"/>
                <w:highlight w:val="none"/>
                <w:lang w:val="en-US" w:eastAsia="zh-CN"/>
              </w:rPr>
              <w:t>后7个工作日支付合同价的60%。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1.5.1 </w:t>
            </w:r>
          </w:p>
        </w:tc>
        <w:tc>
          <w:tcPr>
            <w:tcW w:w="8275" w:type="dxa"/>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交付期限</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60</w:t>
            </w:r>
            <w:r>
              <w:rPr>
                <w:rFonts w:hint="eastAsia" w:ascii="仿宋" w:hAnsi="仿宋" w:eastAsia="仿宋" w:cs="仿宋"/>
                <w:sz w:val="24"/>
                <w:highlight w:val="none"/>
                <w:lang w:eastAsia="zh-CN"/>
              </w:rPr>
              <w:t>天内完成供货、安装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1.5.2</w:t>
            </w:r>
          </w:p>
        </w:tc>
        <w:tc>
          <w:tcPr>
            <w:tcW w:w="8275" w:type="dxa"/>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交付地点</w:t>
            </w:r>
            <w:r>
              <w:rPr>
                <w:rFonts w:hint="eastAsia" w:ascii="仿宋" w:hAnsi="仿宋" w:eastAsia="仿宋" w:cs="仿宋"/>
                <w:sz w:val="24"/>
                <w:highlight w:val="none"/>
                <w:lang w:eastAsia="zh-CN"/>
              </w:rPr>
              <w:t>：於潜镇中心幼儿园（於潜镇天风街与金家巷交叉口）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1.5.3 </w:t>
            </w:r>
          </w:p>
        </w:tc>
        <w:tc>
          <w:tcPr>
            <w:tcW w:w="8275" w:type="dxa"/>
            <w:vAlign w:val="center"/>
          </w:tcPr>
          <w:p>
            <w:pPr>
              <w:spacing w:line="360" w:lineRule="auto"/>
              <w:rPr>
                <w:rFonts w:hint="eastAsia" w:ascii="仿宋" w:hAnsi="仿宋" w:eastAsia="仿宋" w:cs="仿宋"/>
                <w:sz w:val="24"/>
                <w:highlight w:val="none"/>
                <w:lang w:val="en-US"/>
              </w:rPr>
            </w:pPr>
            <w:r>
              <w:rPr>
                <w:rFonts w:hint="eastAsia" w:ascii="仿宋" w:hAnsi="仿宋" w:eastAsia="仿宋" w:cs="仿宋"/>
                <w:sz w:val="24"/>
                <w:highlight w:val="none"/>
              </w:rPr>
              <w:t>交付方式</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1.6.7</w:t>
            </w:r>
          </w:p>
        </w:tc>
        <w:tc>
          <w:tcPr>
            <w:tcW w:w="4534" w:type="pct"/>
            <w:vAlign w:val="center"/>
          </w:tcPr>
          <w:p>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w:t>
            </w:r>
          </w:p>
        </w:tc>
        <w:tc>
          <w:tcPr>
            <w:tcW w:w="4534" w:type="pct"/>
            <w:vAlign w:val="center"/>
          </w:tcPr>
          <w:p>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1.7.1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1.7.1</w:t>
            </w:r>
          </w:p>
        </w:tc>
        <w:tc>
          <w:tcPr>
            <w:tcW w:w="4534" w:type="pct"/>
            <w:vAlign w:val="center"/>
          </w:tcPr>
          <w:p>
            <w:pPr>
              <w:spacing w:line="360" w:lineRule="auto"/>
              <w:rPr>
                <w:rFonts w:hint="eastAsia" w:ascii="仿宋" w:hAnsi="仿宋" w:eastAsia="仿宋" w:cs="仿宋"/>
                <w:sz w:val="24"/>
                <w:highlight w:val="none"/>
              </w:rPr>
            </w:pPr>
            <w:r>
              <w:rPr>
                <w:rFonts w:hint="eastAsia" w:ascii="仿宋" w:hAnsi="仿宋" w:eastAsia="仿宋" w:cs="仿宋"/>
                <w:color w:val="auto"/>
                <w:sz w:val="24"/>
                <w:highlight w:val="none"/>
                <w:lang w:val="en-US" w:eastAsia="zh-CN"/>
              </w:rPr>
              <w:t>甲方所在地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1.7.2</w:t>
            </w:r>
          </w:p>
        </w:tc>
        <w:tc>
          <w:tcPr>
            <w:tcW w:w="4534" w:type="pct"/>
            <w:vAlign w:val="center"/>
          </w:tcPr>
          <w:p>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2.3.2</w:t>
            </w:r>
          </w:p>
        </w:tc>
        <w:tc>
          <w:tcPr>
            <w:tcW w:w="4534" w:type="pct"/>
            <w:vAlign w:val="center"/>
          </w:tcPr>
          <w:p>
            <w:pPr>
              <w:spacing w:line="360" w:lineRule="auto"/>
              <w:ind w:left="-420" w:leftChars="-200" w:right="-420" w:rightChars="-200" w:firstLine="480" w:firstLineChars="200"/>
              <w:rPr>
                <w:rFonts w:hint="eastAsia" w:ascii="仿宋" w:hAnsi="仿宋" w:eastAsia="仿宋" w:cs="仿宋"/>
                <w:sz w:val="24"/>
                <w:highlight w:val="none"/>
              </w:rPr>
            </w:pPr>
            <w:r>
              <w:rPr>
                <w:rFonts w:hint="eastAsia" w:ascii="仿宋" w:hAnsi="仿宋" w:eastAsia="仿宋" w:cs="仿宋"/>
                <w:color w:val="auto"/>
                <w:sz w:val="24"/>
                <w:highlight w:val="none"/>
              </w:rPr>
              <w:t>知识产权归甲方所有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2.4.1</w:t>
            </w:r>
          </w:p>
        </w:tc>
        <w:tc>
          <w:tcPr>
            <w:tcW w:w="4534" w:type="pct"/>
            <w:vAlign w:val="center"/>
          </w:tcPr>
          <w:p>
            <w:pPr>
              <w:spacing w:line="360" w:lineRule="auto"/>
              <w:ind w:left="-420" w:leftChars="-200" w:right="-420" w:rightChars="-200"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2.4.2</w:t>
            </w:r>
          </w:p>
        </w:tc>
        <w:tc>
          <w:tcPr>
            <w:tcW w:w="4534" w:type="pct"/>
            <w:vAlign w:val="center"/>
          </w:tcPr>
          <w:p>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2.8 </w:t>
            </w:r>
          </w:p>
        </w:tc>
        <w:tc>
          <w:tcPr>
            <w:tcW w:w="4534" w:type="pct"/>
          </w:tcPr>
          <w:p>
            <w:pPr>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由乙方负责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2.12.3</w:t>
            </w:r>
          </w:p>
        </w:tc>
        <w:tc>
          <w:tcPr>
            <w:tcW w:w="8275" w:type="dxa"/>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color w:val="auto"/>
                <w:sz w:val="24"/>
                <w:szCs w:val="24"/>
                <w:highlight w:val="none"/>
              </w:rPr>
              <w:t>因不可抗力致使合同有变更必要的，双方当事人应在15日内以书面形式变更合同；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2.12.4</w:t>
            </w:r>
          </w:p>
        </w:tc>
        <w:tc>
          <w:tcPr>
            <w:tcW w:w="8275" w:type="dxa"/>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color w:val="auto"/>
                <w:sz w:val="24"/>
                <w:szCs w:val="24"/>
                <w:highlight w:val="none"/>
              </w:rPr>
              <w:t>受不可抗力影响的一方在不可抗力发生后，应在15日内以书面形式通知对方当事人，并在15日内，将有关部门出具的证明文件送达对方当事人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2.16.1</w:t>
            </w:r>
          </w:p>
        </w:tc>
        <w:tc>
          <w:tcPr>
            <w:tcW w:w="8275" w:type="dxa"/>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color w:val="auto"/>
                <w:sz w:val="24"/>
                <w:szCs w:val="24"/>
                <w:highlight w:val="none"/>
              </w:rPr>
              <w:t>项目交付前，乙方应对服务的质量、数量等方面进行详细、全面的检验，并向甲方出具证明服务符合合同约定的文件，提出验收申请；甲方根据乙方的验收申请发起验收，并可依法邀请相关方参加，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2.16.3</w:t>
            </w:r>
          </w:p>
        </w:tc>
        <w:tc>
          <w:tcPr>
            <w:tcW w:w="8275" w:type="dxa"/>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color w:val="auto"/>
                <w:sz w:val="24"/>
                <w:szCs w:val="24"/>
                <w:highlight w:val="none"/>
              </w:rPr>
              <w:t>采用本行业通用标准。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2.20.1</w:t>
            </w:r>
          </w:p>
        </w:tc>
        <w:tc>
          <w:tcPr>
            <w:tcW w:w="8275" w:type="dxa"/>
            <w:vAlign w:val="center"/>
          </w:tcPr>
          <w:p>
            <w:pPr>
              <w:spacing w:line="360" w:lineRule="auto"/>
              <w:jc w:val="left"/>
              <w:rPr>
                <w:rFonts w:hint="eastAsia" w:ascii="仿宋" w:hAnsi="仿宋" w:eastAsia="仿宋" w:cs="仿宋"/>
                <w:sz w:val="24"/>
                <w:highlight w:val="none"/>
                <w:lang w:eastAsia="zh-CN"/>
              </w:rPr>
            </w:pPr>
            <w:r>
              <w:rPr>
                <w:rFonts w:hint="eastAsia" w:ascii="仿宋" w:hAnsi="仿宋" w:eastAsia="仿宋" w:cs="仿宋"/>
                <w:color w:val="auto"/>
                <w:sz w:val="24"/>
                <w:szCs w:val="24"/>
                <w:highlight w:val="none"/>
                <w:lang w:eastAsia="zh-CN"/>
              </w:rPr>
              <w:t>履约保证金：</w:t>
            </w:r>
            <w:r>
              <w:rPr>
                <w:rFonts w:hint="eastAsia" w:ascii="仿宋" w:hAnsi="仿宋" w:eastAsia="仿宋" w:cs="仿宋"/>
                <w:color w:val="auto"/>
                <w:sz w:val="24"/>
                <w:szCs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5"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2.20.2 </w:t>
            </w:r>
          </w:p>
        </w:tc>
        <w:tc>
          <w:tcPr>
            <w:tcW w:w="8275" w:type="dxa"/>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color w:val="auto"/>
                <w:sz w:val="24"/>
                <w:szCs w:val="24"/>
                <w:highlight w:val="none"/>
              </w:rPr>
              <w:t>履约保证金在项目通过验收前不予退还，甲方在项目通过验收之日起5个工作日内，将履约保证金退还乙方。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ind w:left="-420" w:leftChars="-200" w:right="-420" w:rightChars="-200" w:firstLine="480" w:firstLineChars="200"/>
              <w:outlineLvl w:val="0"/>
              <w:rPr>
                <w:rFonts w:hint="eastAsia" w:ascii="仿宋" w:hAnsi="仿宋" w:eastAsia="仿宋" w:cs="仿宋"/>
                <w:sz w:val="24"/>
              </w:rPr>
            </w:pPr>
            <w:r>
              <w:rPr>
                <w:rFonts w:hint="eastAsia" w:ascii="仿宋" w:hAnsi="仿宋" w:eastAsia="仿宋" w:cs="仿宋"/>
                <w:sz w:val="24"/>
              </w:rPr>
              <w:t xml:space="preserve">2.22 </w:t>
            </w:r>
          </w:p>
        </w:tc>
        <w:tc>
          <w:tcPr>
            <w:tcW w:w="4534" w:type="pct"/>
            <w:vAlign w:val="center"/>
          </w:tcPr>
          <w:p>
            <w:pPr>
              <w:spacing w:line="360" w:lineRule="auto"/>
              <w:rPr>
                <w:rFonts w:hint="eastAsia" w:ascii="仿宋" w:hAnsi="仿宋" w:eastAsia="仿宋" w:cs="仿宋"/>
                <w:sz w:val="24"/>
              </w:rPr>
            </w:pPr>
            <w:r>
              <w:rPr>
                <w:rFonts w:hint="eastAsia" w:ascii="仿宋" w:hAnsi="仿宋" w:eastAsia="仿宋" w:cs="仿宋"/>
                <w:color w:val="auto"/>
                <w:sz w:val="24"/>
                <w:szCs w:val="24"/>
              </w:rPr>
              <w:t>本合同壹式   份，甲方执   份，乙方执   份。每份均具有同等法律效力。</w:t>
            </w:r>
          </w:p>
        </w:tc>
      </w:tr>
    </w:tbl>
    <w:p>
      <w:pPr>
        <w:spacing w:line="360" w:lineRule="auto"/>
        <w:ind w:left="-420" w:leftChars="-200" w:right="-420" w:rightChars="-200" w:firstLine="480" w:firstLineChars="200"/>
        <w:rPr>
          <w:rFonts w:hint="eastAsia" w:ascii="仿宋" w:hAnsi="仿宋" w:eastAsia="仿宋" w:cs="仿宋"/>
          <w:sz w:val="24"/>
        </w:rPr>
      </w:pPr>
    </w:p>
    <w:p>
      <w:pPr>
        <w:spacing w:line="360" w:lineRule="auto"/>
        <w:ind w:left="-420" w:leftChars="-200" w:right="-420" w:rightChars="-200"/>
        <w:rPr>
          <w:rFonts w:hint="eastAsia" w:ascii="仿宋" w:hAnsi="仿宋" w:eastAsia="仿宋" w:cs="仿宋"/>
          <w:sz w:val="24"/>
        </w:rPr>
      </w:pPr>
    </w:p>
    <w:p>
      <w:pPr>
        <w:spacing w:line="360" w:lineRule="auto"/>
        <w:ind w:left="-420" w:leftChars="-200" w:right="-420" w:rightChars="-200" w:firstLine="480" w:firstLineChars="200"/>
        <w:jc w:val="center"/>
        <w:outlineLvl w:val="0"/>
        <w:rPr>
          <w:rFonts w:hint="eastAsia" w:ascii="仿宋" w:hAnsi="仿宋" w:eastAsia="仿宋" w:cs="仿宋"/>
          <w:sz w:val="24"/>
        </w:rPr>
      </w:pPr>
    </w:p>
    <w:p>
      <w:pPr>
        <w:spacing w:line="360" w:lineRule="auto"/>
        <w:ind w:left="-420" w:leftChars="-200" w:right="-420" w:rightChars="-200" w:firstLine="480" w:firstLineChars="200"/>
        <w:jc w:val="center"/>
        <w:outlineLvl w:val="0"/>
        <w:rPr>
          <w:rFonts w:hint="eastAsia" w:ascii="仿宋" w:hAnsi="仿宋" w:eastAsia="仿宋" w:cs="仿宋"/>
          <w:sz w:val="24"/>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r>
        <w:rPr>
          <w:rFonts w:hint="eastAsia" w:ascii="仿宋" w:hAnsi="仿宋" w:eastAsia="仿宋" w:cs="仿宋"/>
          <w:b/>
          <w:sz w:val="36"/>
          <w:szCs w:val="20"/>
        </w:rPr>
        <w:t>第六部分</w:t>
      </w:r>
      <w:bookmarkEnd w:id="398"/>
      <w:r>
        <w:rPr>
          <w:rFonts w:hint="eastAsia" w:ascii="仿宋" w:hAnsi="仿宋" w:eastAsia="仿宋" w:cs="仿宋"/>
          <w:b/>
          <w:sz w:val="36"/>
          <w:szCs w:val="20"/>
        </w:rPr>
        <w:t xml:space="preserve"> </w:t>
      </w:r>
      <w:bookmarkEnd w:id="399"/>
      <w:r>
        <w:rPr>
          <w:rFonts w:hint="eastAsia" w:ascii="仿宋" w:hAnsi="仿宋" w:eastAsia="仿宋" w:cs="仿宋"/>
          <w:b/>
          <w:sz w:val="36"/>
          <w:szCs w:val="20"/>
        </w:rPr>
        <w:t>应提交的有关格式范例</w:t>
      </w:r>
    </w:p>
    <w:p>
      <w:pPr>
        <w:spacing w:line="360" w:lineRule="auto"/>
        <w:jc w:val="center"/>
        <w:outlineLvl w:val="0"/>
        <w:rPr>
          <w:rFonts w:hint="eastAsia" w:ascii="仿宋" w:hAnsi="仿宋" w:eastAsia="仿宋" w:cs="仿宋"/>
          <w:b/>
          <w:kern w:val="0"/>
          <w:sz w:val="36"/>
          <w:szCs w:val="36"/>
        </w:r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hint="eastAsia" w:ascii="仿宋" w:hAnsi="仿宋" w:eastAsia="仿宋" w:cs="仿宋"/>
          <w:b/>
          <w:kern w:val="0"/>
          <w:sz w:val="36"/>
          <w:szCs w:val="36"/>
        </w:rPr>
      </w:pPr>
    </w:p>
    <w:p>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pPr>
        <w:snapToGrid w:val="0"/>
        <w:spacing w:line="360" w:lineRule="auto"/>
        <w:rPr>
          <w:rFonts w:hint="eastAsia" w:ascii="仿宋" w:hAnsi="仿宋" w:eastAsia="仿宋" w:cs="仿宋"/>
          <w:sz w:val="24"/>
        </w:rPr>
      </w:pPr>
      <w:r>
        <w:rPr>
          <w:rFonts w:hint="eastAsia" w:ascii="仿宋" w:hAnsi="仿宋" w:eastAsia="仿宋" w:cs="仿宋"/>
          <w:sz w:val="24"/>
        </w:rPr>
        <w:t>（3）落实政府采购政策需满足的资格要求………………………………（页码）</w:t>
      </w:r>
    </w:p>
    <w:p>
      <w:pPr>
        <w:snapToGrid w:val="0"/>
        <w:spacing w:line="360" w:lineRule="auto"/>
        <w:rPr>
          <w:rFonts w:hint="eastAsia" w:ascii="仿宋" w:hAnsi="仿宋" w:eastAsia="仿宋" w:cs="仿宋"/>
          <w:sz w:val="24"/>
        </w:rPr>
      </w:pPr>
      <w:r>
        <w:rPr>
          <w:rFonts w:hint="eastAsia" w:ascii="仿宋" w:hAnsi="仿宋" w:eastAsia="仿宋" w:cs="仿宋"/>
          <w:sz w:val="24"/>
        </w:rPr>
        <w:t>（4）本项目的特定资格要求………………………………………………（页码）</w:t>
      </w:r>
    </w:p>
    <w:p>
      <w:pPr>
        <w:snapToGrid w:val="0"/>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widowControl/>
        <w:spacing w:line="360" w:lineRule="auto"/>
        <w:ind w:firstLine="643" w:firstLineChars="200"/>
        <w:jc w:val="center"/>
        <w:rPr>
          <w:rFonts w:hint="eastAsia" w:ascii="仿宋" w:hAnsi="仿宋" w:eastAsia="仿宋" w:cs="仿宋"/>
          <w:b/>
          <w:kern w:val="0"/>
          <w:sz w:val="32"/>
          <w:szCs w:val="32"/>
        </w:rPr>
      </w:pPr>
    </w:p>
    <w:p>
      <w:pPr>
        <w:widowControl/>
        <w:spacing w:line="360" w:lineRule="auto"/>
        <w:ind w:firstLine="643" w:firstLineChars="200"/>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二、联合协议（如果有）</w:t>
      </w:r>
    </w:p>
    <w:p>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.专门面向中小企业，货物全部由符合政策要求的中小企业（或小微企业）制造的，提供相应的中小企业声明函（附件7）。 </w:t>
      </w:r>
    </w:p>
    <w:p>
      <w:pPr>
        <w:widowControl/>
        <w:spacing w:line="360" w:lineRule="auto"/>
        <w:ind w:firstLine="480"/>
        <w:jc w:val="left"/>
        <w:rPr>
          <w:rFonts w:hint="eastAsia" w:ascii="仿宋" w:hAnsi="仿宋" w:eastAsia="仿宋" w:cs="仿宋"/>
          <w:sz w:val="24"/>
        </w:rPr>
      </w:pPr>
    </w:p>
    <w:p>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napToGrid w:val="0"/>
        <w:spacing w:line="360" w:lineRule="auto"/>
        <w:ind w:firstLine="5160" w:firstLineChars="215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pacing w:line="360" w:lineRule="auto"/>
        <w:jc w:val="left"/>
        <w:rPr>
          <w:rFonts w:hint="eastAsia"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firstLine="480" w:firstLineChars="200"/>
        <w:rPr>
          <w:rFonts w:hint="eastAsia" w:ascii="仿宋" w:hAnsi="仿宋" w:eastAsia="仿宋" w:cs="仿宋"/>
          <w:sz w:val="24"/>
        </w:rPr>
      </w:pPr>
    </w:p>
    <w:p>
      <w:pPr>
        <w:widowControl/>
        <w:spacing w:line="360" w:lineRule="auto"/>
        <w:ind w:left="150"/>
        <w:jc w:val="center"/>
        <w:rPr>
          <w:rFonts w:hint="eastAsia" w:ascii="仿宋" w:hAnsi="仿宋" w:eastAsia="仿宋" w:cs="仿宋"/>
          <w:b/>
          <w:kern w:val="0"/>
          <w:sz w:val="32"/>
          <w:szCs w:val="32"/>
        </w:rPr>
      </w:pPr>
    </w:p>
    <w:p>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rPr>
        <w:t>四、本项目的特定资格要求</w:t>
      </w:r>
    </w:p>
    <w:p>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pPr>
        <w:rPr>
          <w:rFonts w:hint="eastAsia" w:ascii="仿宋" w:hAnsi="仿宋" w:eastAsia="仿宋" w:cs="仿宋"/>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pStyle w:val="5"/>
        <w:rPr>
          <w:rFonts w:hint="eastAsia" w:ascii="仿宋" w:hAnsi="仿宋" w:eastAsia="仿宋" w:cs="仿宋"/>
          <w:lang w:val="en-US"/>
        </w:rPr>
      </w:pPr>
    </w:p>
    <w:p>
      <w:pPr>
        <w:rPr>
          <w:rFonts w:hint="eastAsia" w:ascii="仿宋" w:hAnsi="仿宋" w:eastAsia="仿宋" w:cs="仿宋"/>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（3）分包意向协议</w:t>
      </w:r>
      <w:r>
        <w:rPr>
          <w:rFonts w:hint="eastAsia" w:ascii="仿宋" w:hAnsi="仿宋" w:eastAsia="仿宋" w:cs="仿宋"/>
        </w:rPr>
        <w:t>…………………………………………………………………………（页码）</w:t>
      </w:r>
    </w:p>
    <w:p>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（4）符合性审查资料</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（5）评标标准相应的商务技术资料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（6）投标标的清单</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（7）商务技术偏离表</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pStyle w:val="5"/>
        <w:rPr>
          <w:rFonts w:hint="eastAsia" w:ascii="仿宋" w:hAnsi="仿宋" w:eastAsia="仿宋" w:cs="仿宋"/>
          <w:lang w:val="en-US"/>
        </w:rPr>
      </w:pPr>
    </w:p>
    <w:p>
      <w:pPr>
        <w:rPr>
          <w:rFonts w:hint="eastAsia" w:ascii="仿宋" w:hAnsi="仿宋" w:eastAsia="仿宋" w:cs="仿宋"/>
        </w:rPr>
      </w:pPr>
    </w:p>
    <w:p>
      <w:pPr>
        <w:snapToGrid w:val="0"/>
        <w:spacing w:line="360" w:lineRule="auto"/>
        <w:ind w:firstLine="3855" w:firstLineChars="1200"/>
        <w:outlineLvl w:val="0"/>
        <w:rPr>
          <w:rFonts w:hint="eastAsia" w:ascii="仿宋" w:hAnsi="仿宋" w:eastAsia="仿宋" w:cs="仿宋"/>
          <w:b/>
          <w:kern w:val="0"/>
          <w:sz w:val="32"/>
          <w:szCs w:val="32"/>
        </w:rPr>
      </w:pPr>
    </w:p>
    <w:p>
      <w:pPr>
        <w:snapToGrid w:val="0"/>
        <w:spacing w:line="360" w:lineRule="auto"/>
        <w:ind w:firstLine="3855" w:firstLineChars="1200"/>
        <w:outlineLvl w:val="0"/>
        <w:rPr>
          <w:rFonts w:hint="eastAsia" w:ascii="仿宋" w:hAnsi="仿宋" w:eastAsia="仿宋" w:cs="仿宋"/>
          <w:b/>
          <w:kern w:val="0"/>
          <w:sz w:val="32"/>
          <w:szCs w:val="32"/>
        </w:rPr>
      </w:pPr>
    </w:p>
    <w:p>
      <w:pPr>
        <w:snapToGrid w:val="0"/>
        <w:spacing w:line="360" w:lineRule="auto"/>
        <w:ind w:firstLine="3855" w:firstLineChars="1200"/>
        <w:outlineLvl w:val="0"/>
        <w:rPr>
          <w:rFonts w:hint="eastAsia" w:ascii="仿宋" w:hAnsi="仿宋" w:eastAsia="仿宋" w:cs="仿宋"/>
          <w:b/>
          <w:kern w:val="0"/>
          <w:sz w:val="32"/>
          <w:szCs w:val="32"/>
        </w:rPr>
      </w:pPr>
    </w:p>
    <w:p>
      <w:pPr>
        <w:pStyle w:val="5"/>
        <w:rPr>
          <w:rFonts w:hint="eastAsia" w:ascii="仿宋" w:hAnsi="仿宋" w:eastAsia="仿宋" w:cs="仿宋"/>
          <w:lang w:val="en-US"/>
        </w:rPr>
      </w:pPr>
    </w:p>
    <w:p>
      <w:pPr>
        <w:snapToGrid w:val="0"/>
        <w:spacing w:line="360" w:lineRule="auto"/>
        <w:ind w:firstLine="3855" w:firstLineChars="1200"/>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2、我方的投标文件包括以下内容：</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2.1.2</w:t>
      </w:r>
      <w:r>
        <w:rPr>
          <w:rFonts w:hint="eastAsia" w:ascii="仿宋" w:hAnsi="仿宋" w:eastAsia="仿宋" w:cs="仿宋"/>
          <w:snapToGrid w:val="0"/>
          <w:kern w:val="28"/>
          <w:sz w:val="24"/>
          <w:szCs w:val="20"/>
        </w:rPr>
        <w:t>联合协议（如果有)；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2.1.3落实政府采购政策需满足的资格要求（如果有）；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2.1.4本项目的特定资格要求（如果有）。</w:t>
      </w:r>
    </w:p>
    <w:p>
      <w:pPr>
        <w:snapToGrid w:val="0"/>
        <w:spacing w:line="360" w:lineRule="auto"/>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2.2.3分包意向协议（如果有）；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2.2.4符合性审查资料；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2.2.5评标标准相应的商务技术资料；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2.2.6投标标的清单；</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2.2.7商务技术偏离表；</w:t>
      </w:r>
    </w:p>
    <w:p>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2.3.1开标一览表（报价表）；</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4、如我方中标，我方承诺：</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4.3按照招标文件要求提交履约保证金；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pPr>
        <w:spacing w:line="360" w:lineRule="auto"/>
        <w:ind w:firstLine="3600" w:firstLineChars="1500"/>
        <w:rPr>
          <w:rFonts w:hint="eastAsia" w:ascii="仿宋" w:hAnsi="仿宋" w:eastAsia="仿宋" w:cs="仿宋"/>
          <w:sz w:val="24"/>
        </w:rPr>
      </w:pPr>
      <w:r>
        <w:rPr>
          <w:rFonts w:hint="eastAsia" w:ascii="仿宋" w:hAnsi="仿宋" w:eastAsia="仿宋" w:cs="仿宋"/>
          <w:sz w:val="24"/>
        </w:rPr>
        <w:t xml:space="preserve">投标人名称（电子签名）：                          </w:t>
      </w:r>
    </w:p>
    <w:p>
      <w:pPr>
        <w:spacing w:line="360" w:lineRule="auto"/>
        <w:jc w:val="center"/>
        <w:rPr>
          <w:rFonts w:hint="eastAsia" w:ascii="仿宋" w:hAnsi="仿宋" w:eastAsia="仿宋" w:cs="仿宋"/>
          <w:sz w:val="24"/>
        </w:rPr>
      </w:pPr>
      <w:r>
        <w:rPr>
          <w:rFonts w:hint="eastAsia" w:ascii="仿宋" w:hAnsi="仿宋" w:eastAsia="仿宋" w:cs="仿宋"/>
          <w:sz w:val="24"/>
        </w:rPr>
        <w:t xml:space="preserve">     日期：  年   月   日</w:t>
      </w:r>
    </w:p>
    <w:p>
      <w:pPr>
        <w:snapToGrid w:val="0"/>
        <w:spacing w:line="360" w:lineRule="auto"/>
        <w:ind w:left="420" w:leftChars="200" w:firstLine="4200" w:firstLineChars="1750"/>
        <w:rPr>
          <w:rFonts w:hint="eastAsia" w:ascii="仿宋" w:hAnsi="仿宋" w:eastAsia="仿宋" w:cs="仿宋"/>
          <w:kern w:val="0"/>
          <w:sz w:val="24"/>
          <w:u w:val="single"/>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snapToGrid w:val="0"/>
        <w:spacing w:line="360" w:lineRule="auto"/>
        <w:jc w:val="center"/>
        <w:rPr>
          <w:rFonts w:hint="eastAsia" w:ascii="仿宋" w:hAnsi="仿宋" w:eastAsia="仿宋" w:cs="仿宋"/>
          <w:b/>
          <w:kern w:val="0"/>
          <w:sz w:val="32"/>
          <w:szCs w:val="32"/>
        </w:rPr>
      </w:pPr>
    </w:p>
    <w:p>
      <w:pPr>
        <w:snapToGrid w:val="0"/>
        <w:spacing w:line="360" w:lineRule="auto"/>
        <w:rPr>
          <w:rFonts w:hint="eastAsia" w:ascii="仿宋" w:hAnsi="仿宋" w:eastAsia="仿宋" w:cs="仿宋"/>
          <w:sz w:val="24"/>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pPr>
        <w:snapToGrid w:val="0"/>
        <w:spacing w:line="360" w:lineRule="auto"/>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sz w:val="24"/>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r>
        <w:rPr>
          <w:rFonts w:hint="eastAsia" w:ascii="仿宋" w:hAnsi="仿宋" w:eastAsia="仿宋" w:cs="仿宋"/>
          <w:b/>
          <w:kern w:val="0"/>
          <w:sz w:val="32"/>
          <w:szCs w:val="32"/>
          <w:lang w:val="zh-CN"/>
        </w:rPr>
        <w:t>授权委托书（适用于联合体投标）</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pPr>
        <w:pStyle w:val="146"/>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pPr>
              <w:pStyle w:val="146"/>
              <w:adjustRightInd w:val="0"/>
              <w:spacing w:line="360" w:lineRule="auto"/>
              <w:rPr>
                <w:rFonts w:hint="eastAsia" w:ascii="仿宋" w:hAnsi="仿宋" w:eastAsia="仿宋" w:cs="仿宋"/>
                <w:bCs/>
                <w:sz w:val="24"/>
              </w:rPr>
            </w:pPr>
          </w:p>
        </w:tc>
      </w:tr>
    </w:tbl>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snapToGrid w:val="0"/>
        <w:spacing w:line="360" w:lineRule="auto"/>
        <w:ind w:right="480"/>
        <w:rPr>
          <w:rFonts w:hint="eastAsia" w:ascii="仿宋" w:hAnsi="仿宋" w:eastAsia="仿宋" w:cs="仿宋"/>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三、分包意向协议</w:t>
      </w:r>
    </w:p>
    <w:p>
      <w:pPr>
        <w:widowControl/>
        <w:spacing w:line="360" w:lineRule="auto"/>
        <w:ind w:firstLine="120" w:firstLineChars="50"/>
        <w:jc w:val="left"/>
        <w:rPr>
          <w:rFonts w:hint="eastAsia" w:ascii="仿宋" w:hAnsi="仿宋" w:eastAsia="仿宋" w:cs="仿宋"/>
          <w:sz w:val="24"/>
        </w:rPr>
      </w:pPr>
      <w:bookmarkStart w:id="557" w:name="_Hlk101169080"/>
      <w:r>
        <w:rPr>
          <w:rFonts w:hint="eastAsia" w:ascii="仿宋" w:hAnsi="仿宋" w:eastAsia="仿宋" w:cs="仿宋"/>
          <w:sz w:val="24"/>
        </w:rPr>
        <w:t>[</w:t>
      </w: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r>
        <w:rPr>
          <w:rFonts w:hint="eastAsia" w:ascii="仿宋" w:hAnsi="仿宋" w:eastAsia="仿宋" w:cs="仿宋"/>
          <w:sz w:val="24"/>
        </w:rPr>
        <w:t>]</w:t>
      </w:r>
    </w:p>
    <w:bookmarkEnd w:id="557"/>
    <w:p>
      <w:pPr>
        <w:snapToGrid w:val="0"/>
        <w:spacing w:line="360" w:lineRule="auto"/>
        <w:rPr>
          <w:rFonts w:hint="eastAsia" w:ascii="仿宋" w:hAnsi="仿宋" w:eastAsia="仿宋" w:cs="仿宋"/>
          <w:kern w:val="0"/>
          <w:sz w:val="24"/>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四、符合性审查资料</w:t>
      </w:r>
    </w:p>
    <w:p>
      <w:pPr>
        <w:jc w:val="center"/>
        <w:rPr>
          <w:rFonts w:hint="eastAsia" w:ascii="仿宋" w:hAnsi="仿宋" w:eastAsia="仿宋" w:cs="仿宋"/>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投标文件中的</w:t>
            </w:r>
          </w:p>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1</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2551" w:type="dxa"/>
            <w:vAlign w:val="center"/>
          </w:tcPr>
          <w:p>
            <w:pPr>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c>
          <w:tcPr>
            <w:tcW w:w="1418" w:type="dxa"/>
          </w:tcPr>
          <w:p>
            <w:pPr>
              <w:rPr>
                <w:rFonts w:hint="eastAsia" w:ascii="仿宋" w:hAnsi="仿宋" w:eastAsia="仿宋" w:cs="仿宋"/>
                <w:sz w:val="24"/>
              </w:rPr>
            </w:pPr>
          </w:p>
          <w:p>
            <w:pPr>
              <w:rPr>
                <w:rFonts w:hint="eastAsia" w:ascii="仿宋" w:hAnsi="仿宋" w:eastAsia="仿宋" w:cs="仿宋"/>
                <w:sz w:val="24"/>
              </w:rPr>
            </w:pPr>
            <w:r>
              <w:rPr>
                <w:rFonts w:hint="eastAsia" w:ascii="仿宋" w:hAnsi="仿宋" w:eastAsia="仿宋" w:cs="仿宋"/>
                <w:sz w:val="24"/>
              </w:rPr>
              <w:t>见投标文件</w:t>
            </w:r>
          </w:p>
          <w:p>
            <w:pP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仿宋" w:hAnsi="仿宋" w:eastAsia="仿宋" w:cs="仿宋"/>
                <w:sz w:val="24"/>
              </w:rPr>
            </w:pPr>
            <w:r>
              <w:rPr>
                <w:rFonts w:hint="eastAsia" w:ascii="仿宋" w:hAnsi="仿宋" w:eastAsia="仿宋" w:cs="仿宋"/>
                <w:sz w:val="24"/>
              </w:rPr>
              <w:t>2</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c>
          <w:tcPr>
            <w:tcW w:w="1418" w:type="dxa"/>
          </w:tcPr>
          <w:p>
            <w:pPr>
              <w:rPr>
                <w:rFonts w:hint="eastAsia" w:ascii="仿宋" w:hAnsi="仿宋" w:eastAsia="仿宋" w:cs="仿宋"/>
                <w:sz w:val="24"/>
              </w:rPr>
            </w:pPr>
          </w:p>
          <w:p>
            <w:pPr>
              <w:rPr>
                <w:rFonts w:hint="eastAsia" w:ascii="仿宋" w:hAnsi="仿宋" w:eastAsia="仿宋" w:cs="仿宋"/>
                <w:sz w:val="24"/>
              </w:rPr>
            </w:pPr>
          </w:p>
          <w:p>
            <w:pPr>
              <w:rPr>
                <w:rFonts w:hint="eastAsia" w:ascii="仿宋" w:hAnsi="仿宋" w:eastAsia="仿宋" w:cs="仿宋"/>
                <w:sz w:val="24"/>
              </w:rPr>
            </w:pPr>
            <w:r>
              <w:rPr>
                <w:rFonts w:hint="eastAsia" w:ascii="仿宋" w:hAnsi="仿宋" w:eastAsia="仿宋" w:cs="仿宋"/>
                <w:sz w:val="24"/>
              </w:rPr>
              <w:t>见投标文件</w:t>
            </w:r>
          </w:p>
          <w:p>
            <w:pPr>
              <w:pStyle w:val="5"/>
              <w:rPr>
                <w:rFonts w:hint="eastAsia" w:ascii="仿宋" w:hAnsi="仿宋" w:eastAsia="仿宋" w:cs="仿宋"/>
                <w:lang w:val="en-US"/>
              </w:rPr>
            </w:pPr>
            <w:r>
              <w:rPr>
                <w:rFonts w:hint="eastAsia" w:ascii="仿宋" w:hAnsi="仿宋" w:eastAsia="仿宋" w:cs="仿宋"/>
                <w:b w:val="0"/>
                <w:bCs w:val="0"/>
                <w:sz w:val="24"/>
                <w:szCs w:val="24"/>
                <w:lang w:val="en-US"/>
              </w:rPr>
              <w:t>第</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3</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2551" w:type="dxa"/>
            <w:vAlign w:val="center"/>
          </w:tcPr>
          <w:p>
            <w:pPr>
              <w:rPr>
                <w:rFonts w:hint="eastAsia" w:ascii="仿宋" w:hAnsi="仿宋" w:eastAsia="仿宋" w:cs="仿宋"/>
                <w:sz w:val="24"/>
              </w:rPr>
            </w:pPr>
            <w:r>
              <w:rPr>
                <w:rFonts w:hint="eastAsia" w:ascii="仿宋" w:hAnsi="仿宋" w:eastAsia="仿宋" w:cs="仿宋"/>
                <w:sz w:val="24"/>
              </w:rPr>
              <w:t>投标函</w:t>
            </w:r>
          </w:p>
        </w:tc>
        <w:tc>
          <w:tcPr>
            <w:tcW w:w="1418" w:type="dxa"/>
          </w:tcPr>
          <w:p>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4</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2551" w:type="dxa"/>
            <w:vAlign w:val="center"/>
          </w:tcPr>
          <w:p>
            <w:pPr>
              <w:rPr>
                <w:rFonts w:hint="eastAsia" w:ascii="仿宋" w:hAnsi="仿宋" w:eastAsia="仿宋" w:cs="仿宋"/>
                <w:sz w:val="24"/>
              </w:rPr>
            </w:pPr>
            <w:r>
              <w:rPr>
                <w:rFonts w:hint="eastAsia" w:ascii="仿宋" w:hAnsi="仿宋" w:eastAsia="仿宋" w:cs="仿宋"/>
                <w:kern w:val="0"/>
                <w:sz w:val="24"/>
              </w:rPr>
              <w:t>招标文件其它实质性要求相应的材料（“▲” 系指实质性要求条款，招标文件无其它实质性要求的，无需提供）</w:t>
            </w:r>
          </w:p>
        </w:tc>
        <w:tc>
          <w:tcPr>
            <w:tcW w:w="1418" w:type="dxa"/>
          </w:tcPr>
          <w:p>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rPr>
      </w:pPr>
      <w:r>
        <w:rPr>
          <w:rFonts w:hint="eastAsia" w:ascii="仿宋" w:hAnsi="仿宋" w:eastAsia="仿宋" w:cs="仿宋"/>
          <w:b/>
          <w:kern w:val="0"/>
          <w:sz w:val="32"/>
          <w:szCs w:val="32"/>
        </w:rPr>
        <w:t>五、评标标准相应的商务技术资料</w:t>
      </w:r>
    </w:p>
    <w:p>
      <w:pPr>
        <w:snapToGrid w:val="0"/>
        <w:spacing w:line="360" w:lineRule="auto"/>
        <w:jc w:val="left"/>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ind w:firstLine="2891" w:firstLineChars="900"/>
        <w:rPr>
          <w:rFonts w:hint="eastAsia" w:ascii="仿宋" w:hAnsi="仿宋" w:eastAsia="仿宋" w:cs="仿宋"/>
          <w:b/>
          <w:kern w:val="0"/>
          <w:sz w:val="32"/>
          <w:szCs w:val="32"/>
        </w:rPr>
      </w:pPr>
      <w:r>
        <w:rPr>
          <w:rFonts w:hint="eastAsia" w:ascii="仿宋" w:hAnsi="仿宋" w:eastAsia="仿宋" w:cs="仿宋"/>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bl>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tcPr>
          <w:p>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tcPr>
          <w:p>
            <w:pPr>
              <w:jc w:val="center"/>
              <w:rPr>
                <w:rFonts w:hint="eastAsia"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bl>
    <w:p>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pPr>
        <w:jc w:val="center"/>
        <w:rPr>
          <w:rFonts w:hint="eastAsia" w:ascii="仿宋" w:hAnsi="仿宋" w:eastAsia="仿宋" w:cs="仿宋"/>
          <w:b/>
          <w:kern w:val="0"/>
          <w:sz w:val="32"/>
          <w:szCs w:val="32"/>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kern w:val="0"/>
          <w:sz w:val="32"/>
          <w:szCs w:val="32"/>
        </w:rPr>
      </w:pPr>
      <w:r>
        <w:rPr>
          <w:rFonts w:hint="eastAsia" w:ascii="仿宋" w:hAnsi="仿宋" w:eastAsia="仿宋" w:cs="仿宋"/>
          <w:b/>
          <w:bCs/>
          <w:sz w:val="32"/>
          <w:szCs w:val="32"/>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jc w:val="center"/>
        <w:rPr>
          <w:rFonts w:hint="eastAsia" w:ascii="仿宋" w:hAnsi="仿宋" w:eastAsia="仿宋" w:cs="仿宋"/>
          <w:b/>
          <w:bCs/>
          <w:sz w:val="24"/>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spacing w:line="360" w:lineRule="auto"/>
        <w:jc w:val="center"/>
        <w:rPr>
          <w:rFonts w:hint="eastAsia" w:ascii="仿宋" w:hAnsi="仿宋" w:eastAsia="仿宋" w:cs="仿宋"/>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hint="eastAsia" w:ascii="仿宋" w:hAnsi="仿宋" w:eastAsia="仿宋" w:cs="仿宋"/>
          <w:b/>
          <w:kern w:val="0"/>
          <w:sz w:val="36"/>
          <w:szCs w:val="36"/>
        </w:rPr>
      </w:pPr>
    </w:p>
    <w:p>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【招标编号：</w:t>
      </w:r>
      <w:r>
        <w:rPr>
          <w:rFonts w:hint="eastAsia" w:ascii="仿宋" w:hAnsi="仿宋" w:eastAsia="仿宋" w:cs="仿宋"/>
          <w:sz w:val="24"/>
        </w:rPr>
        <w:t>（采购编号）】的实施</w:t>
      </w:r>
      <w:r>
        <w:rPr>
          <w:rFonts w:hint="eastAsia" w:ascii="仿宋" w:hAnsi="仿宋" w:eastAsia="仿宋" w:cs="仿宋"/>
          <w:kern w:val="0"/>
          <w:sz w:val="24"/>
          <w:lang w:val="zh-CN"/>
        </w:rPr>
        <w:t>。</w:t>
      </w:r>
    </w:p>
    <w:p>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417"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843" w:type="dxa"/>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3118"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993"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559"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单价</w:t>
            </w:r>
          </w:p>
        </w:tc>
        <w:tc>
          <w:tcPr>
            <w:tcW w:w="1984"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合计</w:t>
            </w:r>
          </w:p>
        </w:tc>
        <w:tc>
          <w:tcPr>
            <w:tcW w:w="3119" w:type="dxa"/>
            <w:vAlign w:val="center"/>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pPr>
              <w:spacing w:line="360" w:lineRule="auto"/>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417" w:type="dxa"/>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417" w:type="dxa"/>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投标报价（小写）</w:t>
            </w:r>
          </w:p>
        </w:tc>
        <w:tc>
          <w:tcPr>
            <w:tcW w:w="7655" w:type="dxa"/>
            <w:gridSpan w:val="4"/>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投标报价（大写）</w:t>
            </w:r>
          </w:p>
        </w:tc>
        <w:tc>
          <w:tcPr>
            <w:tcW w:w="7655" w:type="dxa"/>
            <w:gridSpan w:val="4"/>
            <w:vAlign w:val="center"/>
          </w:tcPr>
          <w:p>
            <w:pPr>
              <w:spacing w:line="360" w:lineRule="auto"/>
              <w:jc w:val="center"/>
              <w:rPr>
                <w:rFonts w:hint="eastAsia" w:ascii="仿宋" w:hAnsi="仿宋" w:eastAsia="仿宋" w:cs="仿宋"/>
                <w:sz w:val="24"/>
              </w:rPr>
            </w:pPr>
          </w:p>
        </w:tc>
      </w:tr>
    </w:tbl>
    <w:p>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kern w:val="0"/>
          <w:sz w:val="24"/>
          <w:lang w:val="zh-CN"/>
        </w:rPr>
        <w:t>。</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仿宋" w:hAnsi="仿宋" w:eastAsia="仿宋" w:cs="仿宋"/>
          <w:b/>
          <w:kern w:val="0"/>
          <w:sz w:val="24"/>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Start w:id="558" w:name="_Hlk101259491"/>
      <w:r>
        <w:rPr>
          <w:rFonts w:hint="eastAsia" w:ascii="仿宋" w:hAnsi="仿宋" w:eastAsia="仿宋" w:cs="仿宋"/>
          <w:sz w:val="32"/>
          <w:szCs w:val="32"/>
        </w:rPr>
        <w:t>（如果有）</w:t>
      </w:r>
      <w:bookmarkEnd w:id="558"/>
    </w:p>
    <w:p>
      <w:pPr>
        <w:widowControl/>
        <w:spacing w:line="360" w:lineRule="auto"/>
        <w:ind w:firstLine="120" w:firstLineChars="50"/>
        <w:jc w:val="left"/>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690"/>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tabs>
          <w:tab w:val="left" w:pos="8085"/>
        </w:tabs>
        <w:spacing w:line="360" w:lineRule="auto"/>
        <w:ind w:firstLine="1285" w:firstLineChars="400"/>
        <w:jc w:val="left"/>
        <w:rPr>
          <w:rFonts w:hint="eastAsia" w:ascii="仿宋" w:hAnsi="仿宋" w:eastAsia="仿宋" w:cs="仿宋"/>
          <w:b/>
          <w:sz w:val="32"/>
          <w:szCs w:val="32"/>
        </w:rPr>
      </w:pPr>
      <w:r>
        <w:rPr>
          <w:rFonts w:hint="eastAsia" w:ascii="仿宋" w:hAnsi="仿宋" w:eastAsia="仿宋" w:cs="仿宋"/>
          <w:b/>
          <w:sz w:val="32"/>
          <w:szCs w:val="32"/>
        </w:rPr>
        <w:t>政府采购支持中小企业信用融资相关事项通知</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一、适用对象</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二、相关信息获取方式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三、　政府采购信用融资操作流程：</w:t>
      </w:r>
    </w:p>
    <w:p>
      <w:pPr>
        <w:spacing w:line="360" w:lineRule="auto"/>
        <w:ind w:firstLine="960" w:firstLineChars="400"/>
        <w:rPr>
          <w:rFonts w:hint="eastAsia" w:ascii="仿宋" w:hAnsi="仿宋" w:eastAsia="仿宋" w:cs="仿宋"/>
          <w:sz w:val="24"/>
        </w:rPr>
      </w:pPr>
      <w:r>
        <w:rPr>
          <w:rFonts w:hint="eastAsia" w:ascii="仿宋" w:hAnsi="仿宋" w:eastAsia="仿宋" w:cs="仿宋"/>
          <w:sz w:val="24"/>
        </w:rPr>
        <w:t>（一）线上融资模式：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1.供应商根据合作银行提供的方案，自行选择金融产品，并办理开户等手续；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2.供应商中标后，可通过杭州市政府采购网或“浙里办”测算授信额度；</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3.采购合同签订后，供应商在杭州市政府采购网或“浙里办”向合作银行发出融资申请；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4.审批通过后，在线办理放贷手续。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（二）线下融资模式：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1.供应商根据合作银行提供的方案，自行选择金融产品，向合作银行提出信用资格预审，并办理开户等手续；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2.采购合同签订后，供应商在杭州市政府采购网或“浙里办”向合作银行发出融资申请；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4.审批通过后，合作银行应按照合作备忘录中约定的审批放款期限和优惠利率及时予以放款。</w:t>
      </w:r>
    </w:p>
    <w:p>
      <w:pPr>
        <w:pStyle w:val="5"/>
        <w:numPr>
          <w:ilvl w:val="255"/>
          <w:numId w:val="0"/>
        </w:numPr>
        <w:ind w:firstLine="960" w:firstLineChars="400"/>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（三）杭州e融平台申请融资</w:t>
      </w:r>
    </w:p>
    <w:p>
      <w:pPr>
        <w:pStyle w:val="5"/>
        <w:numPr>
          <w:ilvl w:val="255"/>
          <w:numId w:val="0"/>
        </w:numPr>
        <w:ind w:firstLine="960" w:firstLineChars="400"/>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供应商通过杭州e融平台政采贷专区，自行选择金融产品，按规定手续办理贷款流程。</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四、注意事项</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仿宋" w:hAnsi="仿宋" w:eastAsia="仿宋" w:cs="仿宋"/>
          <w:b/>
          <w:bCs/>
          <w:kern w:val="0"/>
          <w:sz w:val="24"/>
        </w:rPr>
      </w:pPr>
    </w:p>
    <w:p>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rPr>
      </w:pPr>
      <w:bookmarkStart w:id="559" w:name="_Toc465665161"/>
      <w:r>
        <w:rPr>
          <w:rFonts w:hint="eastAsia" w:ascii="仿宋" w:hAnsi="仿宋" w:eastAsia="仿宋" w:cs="仿宋"/>
        </w:rPr>
        <w:t>附件</w:t>
      </w:r>
      <w:bookmarkEnd w:id="559"/>
    </w:p>
    <w:p>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pPr>
        <w:spacing w:line="360" w:lineRule="auto"/>
        <w:jc w:val="center"/>
        <w:rPr>
          <w:rFonts w:hint="eastAsia" w:ascii="仿宋" w:hAnsi="仿宋" w:eastAsia="仿宋" w:cs="仿宋"/>
          <w:b/>
          <w:spacing w:val="6"/>
          <w:sz w:val="32"/>
          <w:szCs w:val="32"/>
        </w:rPr>
      </w:pPr>
      <w:bookmarkStart w:id="560" w:name="OLE_LINK14"/>
      <w:bookmarkStart w:id="561" w:name="OLE_LINK13"/>
      <w:r>
        <w:rPr>
          <w:rFonts w:hint="eastAsia" w:ascii="仿宋" w:hAnsi="仿宋" w:eastAsia="仿宋" w:cs="仿宋"/>
          <w:b/>
          <w:spacing w:val="6"/>
          <w:sz w:val="32"/>
          <w:szCs w:val="32"/>
        </w:rPr>
        <w:t>残疾人福利性单位声明函</w:t>
      </w:r>
    </w:p>
    <w:bookmarkEnd w:id="560"/>
    <w:bookmarkEnd w:id="561"/>
    <w:p>
      <w:pPr>
        <w:spacing w:line="360" w:lineRule="auto"/>
        <w:rPr>
          <w:rFonts w:hint="eastAsia" w:ascii="仿宋" w:hAnsi="仿宋" w:eastAsia="仿宋" w:cs="仿宋"/>
          <w:b/>
          <w:spacing w:val="6"/>
          <w:sz w:val="30"/>
          <w:szCs w:val="30"/>
        </w:rPr>
      </w:pP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pPr>
        <w:spacing w:line="360" w:lineRule="auto"/>
        <w:ind w:firstLine="480" w:firstLineChars="200"/>
        <w:rPr>
          <w:rFonts w:hint="eastAsia" w:ascii="仿宋" w:hAnsi="仿宋" w:eastAsia="仿宋" w:cs="仿宋"/>
          <w:sz w:val="24"/>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pPr>
        <w:snapToGrid w:val="0"/>
        <w:spacing w:line="360" w:lineRule="auto"/>
        <w:rPr>
          <w:rFonts w:hint="eastAsia" w:ascii="仿宋" w:hAnsi="仿宋" w:eastAsia="仿宋" w:cs="仿宋"/>
          <w:sz w:val="24"/>
        </w:rPr>
      </w:pPr>
      <w:r>
        <w:rPr>
          <w:rFonts w:hint="eastAsia" w:ascii="仿宋" w:hAnsi="仿宋" w:eastAsia="仿宋" w:cs="仿宋"/>
          <w:sz w:val="24"/>
        </w:rPr>
        <w:t>……</w:t>
      </w:r>
    </w:p>
    <w:p>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pPr>
        <w:spacing w:line="360" w:lineRule="auto"/>
        <w:rPr>
          <w:rFonts w:hint="eastAsia" w:ascii="仿宋" w:hAnsi="仿宋" w:eastAsia="仿宋" w:cs="仿宋"/>
          <w:sz w:val="24"/>
        </w:rPr>
      </w:pPr>
      <w:r>
        <w:rPr>
          <w:rFonts w:hint="eastAsia" w:ascii="仿宋" w:hAnsi="仿宋" w:eastAsia="仿宋" w:cs="仿宋"/>
          <w:sz w:val="24"/>
        </w:rPr>
        <w:t xml:space="preserve">日期：    </w:t>
      </w:r>
    </w:p>
    <w:p>
      <w:pPr>
        <w:spacing w:line="360" w:lineRule="auto"/>
        <w:jc w:val="center"/>
        <w:rPr>
          <w:rFonts w:hint="eastAsia" w:ascii="仿宋" w:hAnsi="仿宋" w:eastAsia="仿宋" w:cs="仿宋"/>
          <w:b/>
          <w:bCs/>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r>
        <w:rPr>
          <w:rFonts w:hint="eastAsia" w:ascii="仿宋" w:hAnsi="仿宋" w:eastAsia="仿宋" w:cs="仿宋"/>
          <w:b/>
          <w:sz w:val="24"/>
        </w:rPr>
        <w:t>质疑函制作说明：</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sz w:val="30"/>
          <w:szCs w:val="30"/>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rPr>
      </w:pPr>
      <w:r>
        <w:rPr>
          <w:rFonts w:hint="eastAsia" w:ascii="仿宋" w:hAnsi="仿宋" w:eastAsia="仿宋" w:cs="仿宋"/>
          <w:sz w:val="24"/>
        </w:rPr>
        <w:t>被投诉人2</w:t>
      </w:r>
    </w:p>
    <w:p>
      <w:pPr>
        <w:spacing w:line="360" w:lineRule="auto"/>
        <w:rPr>
          <w:rFonts w:hint="eastAsia" w:ascii="仿宋" w:hAnsi="仿宋" w:eastAsia="仿宋" w:cs="仿宋"/>
          <w:sz w:val="24"/>
          <w:u w:val="dotted"/>
        </w:rPr>
      </w:pPr>
      <w:r>
        <w:rPr>
          <w:rFonts w:hint="eastAsia" w:ascii="仿宋" w:hAnsi="仿宋" w:eastAsia="仿宋" w:cs="仿宋"/>
          <w:sz w:val="24"/>
        </w:rPr>
        <w:t>……</w:t>
      </w:r>
    </w:p>
    <w:p>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rPr>
      </w:pPr>
      <w:r>
        <w:rPr>
          <w:rFonts w:hint="eastAsia" w:ascii="仿宋" w:hAnsi="仿宋" w:eastAsia="仿宋" w:cs="仿宋"/>
          <w:sz w:val="24"/>
        </w:rPr>
        <w:t>二、投诉项目基本情况</w:t>
      </w:r>
    </w:p>
    <w:p>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三、质疑基本情况</w:t>
      </w:r>
    </w:p>
    <w:p>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pPr>
        <w:spacing w:line="360" w:lineRule="auto"/>
        <w:rPr>
          <w:rFonts w:hint="eastAsia" w:ascii="仿宋" w:hAnsi="仿宋" w:eastAsia="仿宋" w:cs="仿宋"/>
          <w:sz w:val="24"/>
        </w:rPr>
      </w:pPr>
      <w:r>
        <w:rPr>
          <w:rFonts w:hint="eastAsia" w:ascii="仿宋" w:hAnsi="仿宋" w:eastAsia="仿宋" w:cs="仿宋"/>
          <w:sz w:val="24"/>
        </w:rPr>
        <w:t>四、投诉事项具体内容</w:t>
      </w:r>
    </w:p>
    <w:p>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投诉事项2</w:t>
      </w:r>
    </w:p>
    <w:p>
      <w:pPr>
        <w:spacing w:line="360" w:lineRule="auto"/>
        <w:rPr>
          <w:rFonts w:hint="eastAsia" w:ascii="仿宋" w:hAnsi="仿宋" w:eastAsia="仿宋" w:cs="仿宋"/>
          <w:sz w:val="24"/>
          <w:u w:val="dotted"/>
        </w:rPr>
      </w:pPr>
      <w:r>
        <w:rPr>
          <w:rFonts w:hint="eastAsia" w:ascii="仿宋" w:hAnsi="仿宋" w:eastAsia="仿宋" w:cs="仿宋"/>
          <w:sz w:val="24"/>
        </w:rPr>
        <w:t>……</w:t>
      </w:r>
    </w:p>
    <w:p>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pPr>
        <w:spacing w:line="360" w:lineRule="auto"/>
        <w:rPr>
          <w:rFonts w:hint="eastAsia" w:ascii="仿宋" w:hAnsi="仿宋" w:eastAsia="仿宋" w:cs="仿宋"/>
          <w:sz w:val="24"/>
        </w:rPr>
      </w:pPr>
      <w:r>
        <w:rPr>
          <w:rFonts w:hint="eastAsia" w:ascii="仿宋" w:hAnsi="仿宋" w:eastAsia="仿宋" w:cs="仿宋"/>
          <w:sz w:val="24"/>
        </w:rPr>
        <w:t xml:space="preserve">日期：    </w:t>
      </w: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r>
        <w:rPr>
          <w:rFonts w:hint="eastAsia" w:ascii="仿宋" w:hAnsi="仿宋" w:eastAsia="仿宋" w:cs="仿宋"/>
          <w:b/>
          <w:sz w:val="24"/>
        </w:rPr>
        <w:t>投诉书制作说明：</w:t>
      </w:r>
    </w:p>
    <w:p>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sz w:val="24"/>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pPr>
        <w:spacing w:line="360" w:lineRule="auto"/>
        <w:rPr>
          <w:rFonts w:hint="eastAsia" w:ascii="仿宋" w:hAnsi="仿宋" w:eastAsia="仿宋" w:cs="仿宋"/>
          <w:sz w:val="24"/>
        </w:rPr>
      </w:pPr>
      <w:r>
        <w:rPr>
          <w:rFonts w:hint="eastAsia" w:ascii="仿宋" w:hAnsi="仿宋" w:eastAsia="仿宋" w:cs="仿宋"/>
          <w:sz w:val="24"/>
          <w:u w:val="single"/>
        </w:rPr>
        <w:t>（采购人）、（采购代理机构）</w:t>
      </w:r>
    </w:p>
    <w:p>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(投标人全称)是中华人民共和国依法登记注册的合法企业，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你方组织的（项目名称）项目【招标编号：（采购编号）】</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投标单位（法定名称章）：</w:t>
      </w:r>
    </w:p>
    <w:p>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pPr>
        <w:rPr>
          <w:rFonts w:hint="eastAsia" w:ascii="仿宋" w:hAnsi="仿宋" w:eastAsia="仿宋" w:cs="仿宋"/>
          <w:sz w:val="24"/>
        </w:rPr>
      </w:pPr>
      <w:r>
        <w:rPr>
          <w:rFonts w:hint="eastAsia" w:ascii="仿宋" w:hAnsi="仿宋" w:eastAsia="仿宋" w:cs="仿宋"/>
          <w:b/>
          <w:bCs/>
          <w:sz w:val="24"/>
        </w:rPr>
        <w:t>附：</w:t>
      </w:r>
    </w:p>
    <w:p>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附件5：</w:t>
      </w:r>
      <w:r>
        <w:rPr>
          <w:rFonts w:hint="eastAsia" w:ascii="仿宋" w:hAnsi="仿宋" w:eastAsia="仿宋" w:cs="仿宋"/>
          <w:b/>
          <w:kern w:val="0"/>
          <w:sz w:val="32"/>
          <w:szCs w:val="32"/>
          <w:lang w:val="zh-CN"/>
        </w:rPr>
        <w:t>联合协议</w:t>
      </w:r>
    </w:p>
    <w:p>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pPr>
        <w:snapToGrid w:val="0"/>
        <w:spacing w:line="360" w:lineRule="auto"/>
        <w:ind w:firstLine="576"/>
        <w:rPr>
          <w:rFonts w:hint="eastAsia" w:ascii="仿宋" w:hAnsi="仿宋" w:eastAsia="仿宋" w:cs="仿宋"/>
          <w:kern w:val="0"/>
          <w:sz w:val="24"/>
          <w:lang w:val="zh-CN"/>
        </w:rPr>
      </w:pPr>
      <w:bookmarkStart w:id="562" w:name="_Hlk101134295"/>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bookmarkEnd w:id="562"/>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（联合体成员X,……）</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（未预留份额专门面向中小企业采购的的采购项目，以及预留份额中的非预留部分采购包，接受联合体投标的，联合协议约定小微企业的合同份额占到合同总金额30%以上的，对联合体报价给予6%的扣除。供应商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3、本协议提交采购人、采购机构后，联合体各方不得以任何形式对上述内容进行修改或撤销。</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snapToGrid w:val="0"/>
        <w:spacing w:line="360" w:lineRule="auto"/>
        <w:ind w:firstLine="3666" w:firstLineChars="1100"/>
        <w:rPr>
          <w:rFonts w:hint="eastAsia" w:ascii="仿宋" w:hAnsi="仿宋" w:eastAsia="仿宋" w:cs="仿宋"/>
          <w:b/>
          <w:spacing w:val="6"/>
          <w:sz w:val="32"/>
          <w:szCs w:val="32"/>
        </w:rPr>
      </w:pPr>
    </w:p>
    <w:p>
      <w:pPr>
        <w:snapToGrid w:val="0"/>
        <w:spacing w:line="360" w:lineRule="auto"/>
        <w:ind w:firstLine="3666" w:firstLineChars="1100"/>
        <w:rPr>
          <w:rFonts w:hint="eastAsia" w:ascii="仿宋" w:hAnsi="仿宋" w:eastAsia="仿宋" w:cs="仿宋"/>
          <w:b/>
          <w:kern w:val="0"/>
          <w:sz w:val="32"/>
          <w:szCs w:val="32"/>
        </w:rPr>
      </w:pPr>
      <w:r>
        <w:rPr>
          <w:rFonts w:hint="eastAsia" w:ascii="仿宋" w:hAnsi="仿宋" w:eastAsia="仿宋" w:cs="仿宋"/>
          <w:b/>
          <w:spacing w:val="6"/>
          <w:sz w:val="32"/>
          <w:szCs w:val="32"/>
        </w:rPr>
        <w:t>附件6：</w:t>
      </w:r>
      <w:r>
        <w:rPr>
          <w:rFonts w:hint="eastAsia" w:ascii="仿宋" w:hAnsi="仿宋" w:eastAsia="仿宋" w:cs="仿宋"/>
          <w:b/>
          <w:kern w:val="0"/>
          <w:sz w:val="32"/>
          <w:szCs w:val="32"/>
        </w:rPr>
        <w:t>分包意向协议</w:t>
      </w:r>
    </w:p>
    <w:p>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pPr>
        <w:pStyle w:val="5"/>
        <w:ind w:left="664" w:leftChars="316" w:firstLine="229" w:firstLineChars="95"/>
        <w:rPr>
          <w:rFonts w:hint="eastAsia" w:ascii="仿宋" w:hAnsi="仿宋" w:eastAsia="仿宋" w:cs="仿宋"/>
          <w:kern w:val="0"/>
          <w:sz w:val="24"/>
          <w:szCs w:val="24"/>
        </w:rPr>
      </w:pPr>
      <w:r>
        <w:rPr>
          <w:rFonts w:hint="eastAsia" w:ascii="仿宋" w:hAnsi="仿宋" w:eastAsia="仿宋" w:cs="仿宋"/>
          <w:kern w:val="0"/>
          <w:sz w:val="24"/>
          <w:szCs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6%的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563"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563"/>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58" w:leftChars="342" w:hanging="5040" w:hangingChars="2100"/>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w:t>
      </w:r>
    </w:p>
    <w:p>
      <w:pPr>
        <w:snapToGrid w:val="0"/>
        <w:spacing w:line="360" w:lineRule="auto"/>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附件7：</w:t>
      </w:r>
      <w:r>
        <w:rPr>
          <w:rFonts w:hint="eastAsia" w:ascii="仿宋" w:hAnsi="仿宋" w:eastAsia="仿宋" w:cs="仿宋"/>
          <w:b/>
          <w:sz w:val="32"/>
          <w:szCs w:val="32"/>
        </w:rPr>
        <w:t>中小企业声明函</w:t>
      </w:r>
    </w:p>
    <w:p>
      <w:pPr>
        <w:spacing w:line="360" w:lineRule="auto"/>
        <w:jc w:val="center"/>
        <w:rPr>
          <w:rFonts w:hint="eastAsia" w:ascii="仿宋" w:hAnsi="仿宋" w:eastAsia="仿宋" w:cs="仿宋"/>
          <w:sz w:val="24"/>
          <w:u w:val="single"/>
        </w:rPr>
      </w:pPr>
    </w:p>
    <w:p>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napToGrid w:val="0"/>
        <w:spacing w:line="360" w:lineRule="auto"/>
        <w:ind w:firstLine="5160" w:firstLineChars="215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pacing w:line="360" w:lineRule="auto"/>
        <w:jc w:val="left"/>
        <w:rPr>
          <w:rFonts w:hint="eastAsia"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rPr>
          <w:rFonts w:hint="eastAsia" w:ascii="仿宋" w:hAnsi="仿宋" w:eastAsia="仿宋" w:cs="仿宋"/>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 w:name="MS Gothic">
    <w:panose1 w:val="020B0609070205080204"/>
    <w:charset w:val="80"/>
    <w:family w:val="auto"/>
    <w:pitch w:val="default"/>
    <w:sig w:usb0="E00002FF" w:usb1="6AC7FDFB" w:usb2="00000012" w:usb3="00000000" w:csb0="4002009F" w:csb1="DFD7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564" w:name="_Toc91899912"/>
    <w:bookmarkStart w:id="565" w:name="_Toc164085800"/>
    <w:bookmarkStart w:id="566" w:name="_Toc36110187"/>
    <w:bookmarkStart w:id="567" w:name="_Toc131845147"/>
    <w:r>
      <w:rPr>
        <w:rFonts w:hint="eastAsia" w:ascii="仿宋_GB2312" w:eastAsia="仿宋_GB2312"/>
        <w:kern w:val="0"/>
        <w:szCs w:val="21"/>
      </w:rPr>
      <w:t xml:space="preserve"> 页</w:t>
    </w:r>
    <w:bookmarkEnd w:id="564"/>
    <w:bookmarkEnd w:id="565"/>
    <w:bookmarkEnd w:id="566"/>
    <w:bookmarkEnd w:id="56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w:t>
    </w:r>
    <w:r>
      <w:rPr>
        <w:rFonts w:hint="eastAsia"/>
      </w:rPr>
      <w:t xml:space="preserve">      </w:t>
    </w:r>
    <w:r>
      <w:t>杭州市</w:t>
    </w:r>
    <w:r>
      <w:rPr>
        <w:rFonts w:hint="eastAsia"/>
        <w:lang w:eastAsia="zh-CN"/>
      </w:rPr>
      <w:t>临安区</w:t>
    </w:r>
    <w:r>
      <w:t>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zh-CN"/>
      </w:rPr>
      <w:t>临安区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w:t>
    </w:r>
    <w:r>
      <w:rPr>
        <w:rFonts w:hint="eastAsia"/>
        <w:lang w:eastAsia="zh-CN"/>
      </w:rPr>
      <w:t>临安区</w:t>
    </w:r>
    <w: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 xml:space="preserve">            </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w:t>
    </w:r>
    <w:r>
      <w:rPr>
        <w:rFonts w:hint="eastAsia"/>
        <w:lang w:eastAsia="zh-CN"/>
      </w:rPr>
      <w:t>临安区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78D1F0"/>
    <w:multiLevelType w:val="singleLevel"/>
    <w:tmpl w:val="9C78D1F0"/>
    <w:lvl w:ilvl="0" w:tentative="0">
      <w:start w:val="1"/>
      <w:numFmt w:val="decimal"/>
      <w:suff w:val="nothing"/>
      <w:lvlText w:val="%1、"/>
      <w:lvlJc w:val="left"/>
    </w:lvl>
  </w:abstractNum>
  <w:abstractNum w:abstractNumId="1">
    <w:nsid w:val="1813BD06"/>
    <w:multiLevelType w:val="singleLevel"/>
    <w:tmpl w:val="1813BD06"/>
    <w:lvl w:ilvl="0" w:tentative="0">
      <w:start w:val="1"/>
      <w:numFmt w:val="decimal"/>
      <w:suff w:val="nothing"/>
      <w:lvlText w:val="%1、"/>
      <w:lvlJc w:val="left"/>
    </w:lvl>
  </w:abstractNum>
  <w:abstractNum w:abstractNumId="2">
    <w:nsid w:val="2E480573"/>
    <w:multiLevelType w:val="singleLevel"/>
    <w:tmpl w:val="2E480573"/>
    <w:lvl w:ilvl="0" w:tentative="0">
      <w:start w:val="1"/>
      <w:numFmt w:val="decimal"/>
      <w:suff w:val="nothing"/>
      <w:lvlText w:val="%1、"/>
      <w:lvlJc w:val="left"/>
    </w:lvl>
  </w:abstractNum>
  <w:abstractNum w:abstractNumId="3">
    <w:nsid w:val="57F0A609"/>
    <w:multiLevelType w:val="singleLevel"/>
    <w:tmpl w:val="57F0A609"/>
    <w:lvl w:ilvl="0" w:tentative="0">
      <w:start w:val="1"/>
      <w:numFmt w:val="decimal"/>
      <w:suff w:val="nothing"/>
      <w:lvlText w:val="%1、"/>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123"/>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2D3"/>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80797A"/>
    <w:rsid w:val="03DD35E4"/>
    <w:rsid w:val="04076900"/>
    <w:rsid w:val="041A5A3B"/>
    <w:rsid w:val="042311BA"/>
    <w:rsid w:val="042B157A"/>
    <w:rsid w:val="047414D8"/>
    <w:rsid w:val="0484573D"/>
    <w:rsid w:val="048F763B"/>
    <w:rsid w:val="049F330E"/>
    <w:rsid w:val="04AA775C"/>
    <w:rsid w:val="04AF1889"/>
    <w:rsid w:val="04E87609"/>
    <w:rsid w:val="04F66F48"/>
    <w:rsid w:val="05251E14"/>
    <w:rsid w:val="05A16594"/>
    <w:rsid w:val="05A7762D"/>
    <w:rsid w:val="060E5941"/>
    <w:rsid w:val="06110FAF"/>
    <w:rsid w:val="06493CA7"/>
    <w:rsid w:val="065A6178"/>
    <w:rsid w:val="066F1CF3"/>
    <w:rsid w:val="06712E9A"/>
    <w:rsid w:val="06930BB8"/>
    <w:rsid w:val="069639E4"/>
    <w:rsid w:val="07245D42"/>
    <w:rsid w:val="07264C62"/>
    <w:rsid w:val="077176F4"/>
    <w:rsid w:val="0779354C"/>
    <w:rsid w:val="07D06C58"/>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923CF9"/>
    <w:rsid w:val="09A92330"/>
    <w:rsid w:val="09B06B87"/>
    <w:rsid w:val="09C13146"/>
    <w:rsid w:val="09E04166"/>
    <w:rsid w:val="0A1C0718"/>
    <w:rsid w:val="0A2A6773"/>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75278F"/>
    <w:rsid w:val="0C8445DA"/>
    <w:rsid w:val="0C87121B"/>
    <w:rsid w:val="0CC007F7"/>
    <w:rsid w:val="0CC617AC"/>
    <w:rsid w:val="0CDE5C44"/>
    <w:rsid w:val="0CE618DF"/>
    <w:rsid w:val="0CFE707A"/>
    <w:rsid w:val="0D063BDA"/>
    <w:rsid w:val="0D08375F"/>
    <w:rsid w:val="0D184CFB"/>
    <w:rsid w:val="0D4A7419"/>
    <w:rsid w:val="0D6F3813"/>
    <w:rsid w:val="0D827401"/>
    <w:rsid w:val="0D84094E"/>
    <w:rsid w:val="0D8A00E9"/>
    <w:rsid w:val="0D8D589E"/>
    <w:rsid w:val="0DA01C73"/>
    <w:rsid w:val="0DD63300"/>
    <w:rsid w:val="0DF50604"/>
    <w:rsid w:val="0DF702FE"/>
    <w:rsid w:val="0E060E51"/>
    <w:rsid w:val="0E5604B2"/>
    <w:rsid w:val="0E6D5D79"/>
    <w:rsid w:val="0E9D0089"/>
    <w:rsid w:val="0EB803EE"/>
    <w:rsid w:val="0EF94D4B"/>
    <w:rsid w:val="0F2B6750"/>
    <w:rsid w:val="0F4958DC"/>
    <w:rsid w:val="0F515DF7"/>
    <w:rsid w:val="0F596BA8"/>
    <w:rsid w:val="0F6248D2"/>
    <w:rsid w:val="0F693536"/>
    <w:rsid w:val="0F7B0511"/>
    <w:rsid w:val="0F7B76D9"/>
    <w:rsid w:val="0F816ACD"/>
    <w:rsid w:val="0F9832DB"/>
    <w:rsid w:val="0FBF3FD2"/>
    <w:rsid w:val="0FBF7FF3"/>
    <w:rsid w:val="10646583"/>
    <w:rsid w:val="10772E75"/>
    <w:rsid w:val="107D4B15"/>
    <w:rsid w:val="108A3C80"/>
    <w:rsid w:val="10B814BE"/>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A656B3"/>
    <w:rsid w:val="16A8729C"/>
    <w:rsid w:val="16B33777"/>
    <w:rsid w:val="16BC70A7"/>
    <w:rsid w:val="16C6339E"/>
    <w:rsid w:val="172F2D79"/>
    <w:rsid w:val="17557BEF"/>
    <w:rsid w:val="17D349C1"/>
    <w:rsid w:val="1830729E"/>
    <w:rsid w:val="1870062C"/>
    <w:rsid w:val="18817102"/>
    <w:rsid w:val="18830A15"/>
    <w:rsid w:val="18852B28"/>
    <w:rsid w:val="188B5321"/>
    <w:rsid w:val="18D73AB9"/>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675BAC"/>
    <w:rsid w:val="1FE868A9"/>
    <w:rsid w:val="20034907"/>
    <w:rsid w:val="20050592"/>
    <w:rsid w:val="20173E4B"/>
    <w:rsid w:val="204E48BC"/>
    <w:rsid w:val="208921B3"/>
    <w:rsid w:val="20973DEB"/>
    <w:rsid w:val="20B26522"/>
    <w:rsid w:val="20B44310"/>
    <w:rsid w:val="20EB24AB"/>
    <w:rsid w:val="211116EB"/>
    <w:rsid w:val="21166A8C"/>
    <w:rsid w:val="212B4D55"/>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A51B4E"/>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434D83"/>
    <w:rsid w:val="26871DC8"/>
    <w:rsid w:val="26A53EF9"/>
    <w:rsid w:val="26A94201"/>
    <w:rsid w:val="26AC274F"/>
    <w:rsid w:val="27044A29"/>
    <w:rsid w:val="271D34C8"/>
    <w:rsid w:val="276142BF"/>
    <w:rsid w:val="27783712"/>
    <w:rsid w:val="27907362"/>
    <w:rsid w:val="27973AE9"/>
    <w:rsid w:val="28333E1D"/>
    <w:rsid w:val="28454BD6"/>
    <w:rsid w:val="28455253"/>
    <w:rsid w:val="28551971"/>
    <w:rsid w:val="285B1C53"/>
    <w:rsid w:val="289F7086"/>
    <w:rsid w:val="28C32028"/>
    <w:rsid w:val="28CC490F"/>
    <w:rsid w:val="28DE40AA"/>
    <w:rsid w:val="29345E77"/>
    <w:rsid w:val="2943105D"/>
    <w:rsid w:val="294C65AD"/>
    <w:rsid w:val="29806583"/>
    <w:rsid w:val="298B3C4C"/>
    <w:rsid w:val="29B5032E"/>
    <w:rsid w:val="29F26D24"/>
    <w:rsid w:val="2A15033F"/>
    <w:rsid w:val="2A1662C1"/>
    <w:rsid w:val="2A1C7367"/>
    <w:rsid w:val="2A2815FA"/>
    <w:rsid w:val="2A2E2E27"/>
    <w:rsid w:val="2A6D6092"/>
    <w:rsid w:val="2A7D76B4"/>
    <w:rsid w:val="2B437463"/>
    <w:rsid w:val="2B7807EE"/>
    <w:rsid w:val="2BA50BF7"/>
    <w:rsid w:val="2BBF00EC"/>
    <w:rsid w:val="2BC37CFD"/>
    <w:rsid w:val="2BD5237F"/>
    <w:rsid w:val="2BE536CE"/>
    <w:rsid w:val="2BE758D9"/>
    <w:rsid w:val="2C087460"/>
    <w:rsid w:val="2C09049E"/>
    <w:rsid w:val="2C0A653C"/>
    <w:rsid w:val="2C134275"/>
    <w:rsid w:val="2C191F85"/>
    <w:rsid w:val="2CE82D6F"/>
    <w:rsid w:val="2D343236"/>
    <w:rsid w:val="2DD15014"/>
    <w:rsid w:val="2DF72DE4"/>
    <w:rsid w:val="2E0220AF"/>
    <w:rsid w:val="2E4B082A"/>
    <w:rsid w:val="2E4D5C14"/>
    <w:rsid w:val="2E5D4E86"/>
    <w:rsid w:val="2E5D790B"/>
    <w:rsid w:val="2E9A3C18"/>
    <w:rsid w:val="2EBB0FEE"/>
    <w:rsid w:val="2EC63002"/>
    <w:rsid w:val="2F0A6B38"/>
    <w:rsid w:val="2F946CCB"/>
    <w:rsid w:val="2FC74E4B"/>
    <w:rsid w:val="2FD25781"/>
    <w:rsid w:val="2FDC745C"/>
    <w:rsid w:val="2FFD7934"/>
    <w:rsid w:val="3016060B"/>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90F06"/>
    <w:rsid w:val="354D7158"/>
    <w:rsid w:val="355F5EFC"/>
    <w:rsid w:val="358D5588"/>
    <w:rsid w:val="363A3B40"/>
    <w:rsid w:val="365302AE"/>
    <w:rsid w:val="36607A0A"/>
    <w:rsid w:val="366A5BD4"/>
    <w:rsid w:val="366E227C"/>
    <w:rsid w:val="366F2E0D"/>
    <w:rsid w:val="367B6A5C"/>
    <w:rsid w:val="36A26F55"/>
    <w:rsid w:val="36A74ADA"/>
    <w:rsid w:val="36AD60D5"/>
    <w:rsid w:val="36B224F9"/>
    <w:rsid w:val="36EC0CC9"/>
    <w:rsid w:val="373F410B"/>
    <w:rsid w:val="37EE7094"/>
    <w:rsid w:val="38296C89"/>
    <w:rsid w:val="383002EB"/>
    <w:rsid w:val="38586797"/>
    <w:rsid w:val="38BC0149"/>
    <w:rsid w:val="38D87D1C"/>
    <w:rsid w:val="39636459"/>
    <w:rsid w:val="396B2FA2"/>
    <w:rsid w:val="396B7F6C"/>
    <w:rsid w:val="39B417A9"/>
    <w:rsid w:val="39C9109C"/>
    <w:rsid w:val="39E547A8"/>
    <w:rsid w:val="39FC5695"/>
    <w:rsid w:val="3A006D8E"/>
    <w:rsid w:val="3A3651E5"/>
    <w:rsid w:val="3A744481"/>
    <w:rsid w:val="3A8C7BEF"/>
    <w:rsid w:val="3A906246"/>
    <w:rsid w:val="3B2349B7"/>
    <w:rsid w:val="3B616CFF"/>
    <w:rsid w:val="3B6259F6"/>
    <w:rsid w:val="3B704E38"/>
    <w:rsid w:val="3B917E9C"/>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BD1B3E"/>
    <w:rsid w:val="40C31A53"/>
    <w:rsid w:val="40C56C12"/>
    <w:rsid w:val="40FF545D"/>
    <w:rsid w:val="410067C8"/>
    <w:rsid w:val="4170267C"/>
    <w:rsid w:val="418F0D2A"/>
    <w:rsid w:val="41D01505"/>
    <w:rsid w:val="42474939"/>
    <w:rsid w:val="424C3C57"/>
    <w:rsid w:val="42613FF3"/>
    <w:rsid w:val="42660D96"/>
    <w:rsid w:val="42830FE8"/>
    <w:rsid w:val="428667D2"/>
    <w:rsid w:val="42CD1CE0"/>
    <w:rsid w:val="42CF0E36"/>
    <w:rsid w:val="42E1381E"/>
    <w:rsid w:val="42ED6459"/>
    <w:rsid w:val="42FE58DD"/>
    <w:rsid w:val="43174B3D"/>
    <w:rsid w:val="4342143C"/>
    <w:rsid w:val="434B790E"/>
    <w:rsid w:val="4360274F"/>
    <w:rsid w:val="43977AB6"/>
    <w:rsid w:val="43A3342B"/>
    <w:rsid w:val="43C77C27"/>
    <w:rsid w:val="43DE09EE"/>
    <w:rsid w:val="44002FAD"/>
    <w:rsid w:val="44436C3C"/>
    <w:rsid w:val="449101DD"/>
    <w:rsid w:val="44DE1391"/>
    <w:rsid w:val="451B225C"/>
    <w:rsid w:val="452410C9"/>
    <w:rsid w:val="45317DFB"/>
    <w:rsid w:val="45371409"/>
    <w:rsid w:val="45420ABE"/>
    <w:rsid w:val="45470885"/>
    <w:rsid w:val="456D3CE4"/>
    <w:rsid w:val="4579042C"/>
    <w:rsid w:val="457F0571"/>
    <w:rsid w:val="45851176"/>
    <w:rsid w:val="45C63B94"/>
    <w:rsid w:val="460E7DA5"/>
    <w:rsid w:val="46422483"/>
    <w:rsid w:val="4659254A"/>
    <w:rsid w:val="465B0637"/>
    <w:rsid w:val="465E3F0D"/>
    <w:rsid w:val="466A16E6"/>
    <w:rsid w:val="46893F2B"/>
    <w:rsid w:val="46C4686E"/>
    <w:rsid w:val="470574B6"/>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BE5900"/>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EE4F9C"/>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A916A4"/>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63E27"/>
    <w:rsid w:val="555D4828"/>
    <w:rsid w:val="557A4C8B"/>
    <w:rsid w:val="558931E1"/>
    <w:rsid w:val="55923347"/>
    <w:rsid w:val="55925180"/>
    <w:rsid w:val="559402F3"/>
    <w:rsid w:val="55983B1B"/>
    <w:rsid w:val="55A8376B"/>
    <w:rsid w:val="55DC29B6"/>
    <w:rsid w:val="55DD4241"/>
    <w:rsid w:val="566B6D1E"/>
    <w:rsid w:val="567933A7"/>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57F92"/>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752B7"/>
    <w:rsid w:val="5C2A048C"/>
    <w:rsid w:val="5C80234E"/>
    <w:rsid w:val="5C8A680C"/>
    <w:rsid w:val="5D0C4701"/>
    <w:rsid w:val="5D0F0395"/>
    <w:rsid w:val="5D194388"/>
    <w:rsid w:val="5D221076"/>
    <w:rsid w:val="5D397964"/>
    <w:rsid w:val="5D5A391C"/>
    <w:rsid w:val="5D5F10C0"/>
    <w:rsid w:val="5D891B7B"/>
    <w:rsid w:val="5DAD38EE"/>
    <w:rsid w:val="5E006862"/>
    <w:rsid w:val="5E0207B9"/>
    <w:rsid w:val="5E1834A1"/>
    <w:rsid w:val="5E261785"/>
    <w:rsid w:val="5E45791F"/>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494110"/>
    <w:rsid w:val="605E3E21"/>
    <w:rsid w:val="606B48E7"/>
    <w:rsid w:val="607330CE"/>
    <w:rsid w:val="607E0E63"/>
    <w:rsid w:val="60825176"/>
    <w:rsid w:val="609F2AC4"/>
    <w:rsid w:val="60A40C05"/>
    <w:rsid w:val="60FA2EE8"/>
    <w:rsid w:val="61054A27"/>
    <w:rsid w:val="610A52BC"/>
    <w:rsid w:val="610F178D"/>
    <w:rsid w:val="611D2366"/>
    <w:rsid w:val="61421856"/>
    <w:rsid w:val="615227C4"/>
    <w:rsid w:val="61654E3F"/>
    <w:rsid w:val="6182292A"/>
    <w:rsid w:val="619F7F92"/>
    <w:rsid w:val="61F94C26"/>
    <w:rsid w:val="62000E56"/>
    <w:rsid w:val="624F3E49"/>
    <w:rsid w:val="62632286"/>
    <w:rsid w:val="62885958"/>
    <w:rsid w:val="62D72132"/>
    <w:rsid w:val="62F40B65"/>
    <w:rsid w:val="62FC2CFE"/>
    <w:rsid w:val="63024505"/>
    <w:rsid w:val="635600A5"/>
    <w:rsid w:val="635B1DB5"/>
    <w:rsid w:val="63711FED"/>
    <w:rsid w:val="63880DDC"/>
    <w:rsid w:val="638D750D"/>
    <w:rsid w:val="63AC6CC0"/>
    <w:rsid w:val="63E4075E"/>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6B26C18"/>
    <w:rsid w:val="66BD78D3"/>
    <w:rsid w:val="672F3F24"/>
    <w:rsid w:val="673E055F"/>
    <w:rsid w:val="67551CE3"/>
    <w:rsid w:val="67A22552"/>
    <w:rsid w:val="67B22DCC"/>
    <w:rsid w:val="67BE71AA"/>
    <w:rsid w:val="67D90273"/>
    <w:rsid w:val="67DE5875"/>
    <w:rsid w:val="67E55852"/>
    <w:rsid w:val="67EB1AB4"/>
    <w:rsid w:val="67FA1285"/>
    <w:rsid w:val="68492D7E"/>
    <w:rsid w:val="68551F4F"/>
    <w:rsid w:val="687C10C9"/>
    <w:rsid w:val="68840C16"/>
    <w:rsid w:val="68876EFB"/>
    <w:rsid w:val="68884654"/>
    <w:rsid w:val="689F444F"/>
    <w:rsid w:val="68B96DBB"/>
    <w:rsid w:val="68CA2805"/>
    <w:rsid w:val="68E937A3"/>
    <w:rsid w:val="69396858"/>
    <w:rsid w:val="693E15D3"/>
    <w:rsid w:val="69627681"/>
    <w:rsid w:val="6977531D"/>
    <w:rsid w:val="69BF099D"/>
    <w:rsid w:val="69CC2BFF"/>
    <w:rsid w:val="69FD55B8"/>
    <w:rsid w:val="6A0B1C62"/>
    <w:rsid w:val="6A2406C8"/>
    <w:rsid w:val="6ADE0BD1"/>
    <w:rsid w:val="6AE96859"/>
    <w:rsid w:val="6B147746"/>
    <w:rsid w:val="6B24787C"/>
    <w:rsid w:val="6B573233"/>
    <w:rsid w:val="6B5B6274"/>
    <w:rsid w:val="6B935D53"/>
    <w:rsid w:val="6BD25728"/>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21862"/>
    <w:rsid w:val="6DF43C2E"/>
    <w:rsid w:val="6DF51CA3"/>
    <w:rsid w:val="6E8335BD"/>
    <w:rsid w:val="6E8E12EF"/>
    <w:rsid w:val="6E972936"/>
    <w:rsid w:val="6ED446C5"/>
    <w:rsid w:val="6F2A7D94"/>
    <w:rsid w:val="6F8331F1"/>
    <w:rsid w:val="6FAE1A09"/>
    <w:rsid w:val="6FD75BF8"/>
    <w:rsid w:val="707723D0"/>
    <w:rsid w:val="70960712"/>
    <w:rsid w:val="70AE71B1"/>
    <w:rsid w:val="70C17D43"/>
    <w:rsid w:val="70F5661B"/>
    <w:rsid w:val="712A3B85"/>
    <w:rsid w:val="71360107"/>
    <w:rsid w:val="713B688E"/>
    <w:rsid w:val="71D43752"/>
    <w:rsid w:val="71F1796A"/>
    <w:rsid w:val="72154626"/>
    <w:rsid w:val="72262B5D"/>
    <w:rsid w:val="72283FF7"/>
    <w:rsid w:val="722E7212"/>
    <w:rsid w:val="723A0474"/>
    <w:rsid w:val="723A4726"/>
    <w:rsid w:val="725923E4"/>
    <w:rsid w:val="72686EC5"/>
    <w:rsid w:val="72864BF7"/>
    <w:rsid w:val="729023FC"/>
    <w:rsid w:val="73C0646E"/>
    <w:rsid w:val="73CD76DD"/>
    <w:rsid w:val="742222F5"/>
    <w:rsid w:val="74476126"/>
    <w:rsid w:val="74696ABC"/>
    <w:rsid w:val="74706664"/>
    <w:rsid w:val="747F3682"/>
    <w:rsid w:val="749C4185"/>
    <w:rsid w:val="74B80EF1"/>
    <w:rsid w:val="75067759"/>
    <w:rsid w:val="752E6DCD"/>
    <w:rsid w:val="7551380D"/>
    <w:rsid w:val="75600BE5"/>
    <w:rsid w:val="7564475C"/>
    <w:rsid w:val="7583797F"/>
    <w:rsid w:val="759E0385"/>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1C18AA"/>
    <w:rsid w:val="78775729"/>
    <w:rsid w:val="78A1161B"/>
    <w:rsid w:val="78A42DB0"/>
    <w:rsid w:val="78A656AB"/>
    <w:rsid w:val="78B2245C"/>
    <w:rsid w:val="78E172CC"/>
    <w:rsid w:val="78EA1D1F"/>
    <w:rsid w:val="7904172F"/>
    <w:rsid w:val="790F7E27"/>
    <w:rsid w:val="792A231A"/>
    <w:rsid w:val="79316829"/>
    <w:rsid w:val="79434607"/>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CE3AB0"/>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link w:val="262"/>
    <w:qFormat/>
    <w:uiPriority w:val="0"/>
    <w:pPr>
      <w:spacing w:line="480" w:lineRule="exact"/>
      <w:ind w:firstLine="480" w:firstLineChars="200"/>
    </w:pPr>
    <w:rPr>
      <w:rFonts w:ascii="宋体" w:hAnsi="宋体"/>
      <w:sz w:val="24"/>
    </w:rPr>
  </w:style>
  <w:style w:type="paragraph" w:styleId="3">
    <w:name w:val="Body Text First Indent 2"/>
    <w:basedOn w:val="2"/>
    <w:link w:val="118"/>
    <w:qFormat/>
    <w:uiPriority w:val="0"/>
    <w:pPr>
      <w:adjustRightInd/>
      <w:spacing w:after="120" w:line="240" w:lineRule="auto"/>
      <w:ind w:left="420" w:leftChars="200" w:firstLine="210"/>
    </w:pPr>
    <w:rPr>
      <w:sz w:val="21"/>
    </w:rPr>
  </w:style>
  <w:style w:type="paragraph" w:styleId="7">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6"/>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199"/>
    <w:qFormat/>
    <w:uiPriority w:val="0"/>
    <w:pPr>
      <w:shd w:val="clear" w:color="auto" w:fill="000080"/>
    </w:pPr>
  </w:style>
  <w:style w:type="paragraph" w:styleId="21">
    <w:name w:val="annotation text"/>
    <w:basedOn w:val="1"/>
    <w:link w:val="341"/>
    <w:qFormat/>
    <w:uiPriority w:val="99"/>
    <w:pPr>
      <w:jc w:val="left"/>
    </w:pPr>
  </w:style>
  <w:style w:type="paragraph" w:styleId="22">
    <w:name w:val="Salutation"/>
    <w:basedOn w:val="1"/>
    <w:next w:val="1"/>
    <w:link w:val="295"/>
    <w:qFormat/>
    <w:uiPriority w:val="0"/>
    <w:rPr>
      <w:rFonts w:ascii="仿宋_GB2312" w:eastAsia="仿宋_GB2312"/>
      <w:sz w:val="28"/>
      <w:szCs w:val="20"/>
    </w:rPr>
  </w:style>
  <w:style w:type="paragraph" w:styleId="23">
    <w:name w:val="Body Text 3"/>
    <w:basedOn w:val="1"/>
    <w:link w:val="327"/>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1"/>
    <w:link w:val="427"/>
    <w:qFormat/>
    <w:uiPriority w:val="0"/>
    <w:pPr>
      <w:autoSpaceDE w:val="0"/>
      <w:autoSpaceDN w:val="0"/>
      <w:spacing w:line="360" w:lineRule="auto"/>
    </w:pPr>
    <w:rPr>
      <w:rFonts w:ascii="宋体" w:hAnsi="Arial" w:cs="Arial"/>
      <w:snapToGrid w:val="0"/>
      <w:sz w:val="24"/>
      <w:szCs w:val="21"/>
      <w:lang w:val="zh-CN"/>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3"/>
    <w:qFormat/>
    <w:uiPriority w:val="0"/>
    <w:rPr>
      <w:b/>
      <w:bCs/>
    </w:rPr>
  </w:style>
  <w:style w:type="paragraph" w:styleId="61">
    <w:name w:val="Body Text First Indent"/>
    <w:basedOn w:val="25"/>
    <w:next w:val="1"/>
    <w:link w:val="318"/>
    <w:qFormat/>
    <w:uiPriority w:val="0"/>
    <w:pPr>
      <w:ind w:firstLine="420"/>
    </w:pPr>
    <w:rPr>
      <w:rFonts w:hAnsi="Calibri" w:cs="Times New Roman"/>
      <w:snapToGrid/>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3"/>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10"/>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5"/>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6"/>
    <w:qFormat/>
    <w:uiPriority w:val="0"/>
    <w:rPr>
      <w:rFonts w:ascii="宋体"/>
      <w:kern w:val="2"/>
      <w:sz w:val="24"/>
      <w:szCs w:val="21"/>
      <w:lang w:val="zh-CN"/>
    </w:rPr>
  </w:style>
  <w:style w:type="character" w:customStyle="1" w:styleId="179">
    <w:name w:val="标题 9 字符"/>
    <w:link w:val="13"/>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7"/>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20"/>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8"/>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8"/>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
    <w:qFormat/>
    <w:uiPriority w:val="0"/>
    <w:rPr>
      <w:rFonts w:ascii="宋体" w:hAnsi="宋体"/>
      <w:kern w:val="2"/>
      <w:sz w:val="24"/>
      <w:szCs w:val="24"/>
    </w:rPr>
  </w:style>
  <w:style w:type="character" w:customStyle="1" w:styleId="263">
    <w:name w:val="font01"/>
    <w:basedOn w:val="69"/>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4"/>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9"/>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2"/>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7"/>
    <w:qFormat/>
    <w:uiPriority w:val="0"/>
    <w:rPr>
      <w:rFonts w:ascii="黑体" w:hAnsi="Courier New" w:eastAsia="黑体"/>
    </w:rPr>
  </w:style>
  <w:style w:type="character" w:customStyle="1" w:styleId="299">
    <w:name w:val="正文文本 2 字符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8"/>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11"/>
    <w:qFormat/>
    <w:uiPriority w:val="0"/>
    <w:rPr>
      <w:b/>
      <w:bCs/>
      <w:kern w:val="2"/>
      <w:sz w:val="24"/>
      <w:szCs w:val="24"/>
    </w:rPr>
  </w:style>
  <w:style w:type="character" w:customStyle="1" w:styleId="305">
    <w:name w:val="正文文本缩进 2 字符"/>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61"/>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8"/>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3"/>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21"/>
    <w:qFormat/>
    <w:uiPriority w:val="0"/>
    <w:rPr>
      <w:kern w:val="2"/>
      <w:sz w:val="21"/>
      <w:szCs w:val="24"/>
    </w:rPr>
  </w:style>
  <w:style w:type="character" w:customStyle="1" w:styleId="342">
    <w:name w:val="签名 字符"/>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2"/>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7"/>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5"/>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8"/>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6"/>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9"/>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8"/>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4"/>
    <w:qFormat/>
    <w:uiPriority w:val="0"/>
    <w:pPr>
      <w:tabs>
        <w:tab w:val="left" w:pos="840"/>
      </w:tabs>
      <w:adjustRightInd/>
      <w:ind w:left="840" w:hanging="420"/>
    </w:pPr>
  </w:style>
  <w:style w:type="paragraph" w:customStyle="1" w:styleId="62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8"/>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0"/>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qFormat/>
    <w:uiPriority w:val="0"/>
    <w:pPr>
      <w:tabs>
        <w:tab w:val="left" w:pos="1080"/>
      </w:tabs>
      <w:ind w:left="1080" w:hanging="1080"/>
    </w:pPr>
  </w:style>
  <w:style w:type="paragraph" w:customStyle="1" w:styleId="894">
    <w:name w:val="数字标题1"/>
    <w:basedOn w:val="4"/>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8"/>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font151"/>
    <w:basedOn w:val="69"/>
    <w:qFormat/>
    <w:uiPriority w:val="0"/>
    <w:rPr>
      <w:rFonts w:hint="eastAsia" w:ascii="宋体" w:hAnsi="宋体" w:eastAsia="宋体" w:cs="宋体"/>
      <w:color w:val="000000"/>
      <w:sz w:val="32"/>
      <w:szCs w:val="32"/>
      <w:u w:val="none"/>
    </w:rPr>
  </w:style>
  <w:style w:type="paragraph" w:customStyle="1" w:styleId="963">
    <w:name w:val="pa-6"/>
    <w:basedOn w:val="1"/>
    <w:qFormat/>
    <w:uiPriority w:val="0"/>
    <w:pPr>
      <w:widowControl/>
      <w:spacing w:line="320" w:lineRule="atLeast"/>
      <w:ind w:firstLine="560"/>
    </w:pPr>
    <w:rPr>
      <w:rFonts w:ascii="宋体" w:hAnsi="宋体" w:cs="宋体"/>
      <w:kern w:val="0"/>
      <w:sz w:val="24"/>
    </w:rPr>
  </w:style>
</w:styles>
</file>

<file path=word/_rels/document.xml.rels><?xml version="1.0" encoding="UTF-8" standalone="yes"?>
<Relationships xmlns="http://schemas.openxmlformats.org/package/2006/relationships"><Relationship Id="rId99" Type="http://schemas.openxmlformats.org/officeDocument/2006/relationships/image" Target="media/image74.png"/><Relationship Id="rId98" Type="http://schemas.openxmlformats.org/officeDocument/2006/relationships/image" Target="media/image73.png"/><Relationship Id="rId97" Type="http://schemas.openxmlformats.org/officeDocument/2006/relationships/image" Target="media/image72.png"/><Relationship Id="rId96" Type="http://schemas.openxmlformats.org/officeDocument/2006/relationships/image" Target="media/image71.png"/><Relationship Id="rId95" Type="http://schemas.openxmlformats.org/officeDocument/2006/relationships/image" Target="media/image70.png"/><Relationship Id="rId94" Type="http://schemas.openxmlformats.org/officeDocument/2006/relationships/image" Target="media/image69.png"/><Relationship Id="rId93" Type="http://schemas.openxmlformats.org/officeDocument/2006/relationships/image" Target="media/image68.png"/><Relationship Id="rId92" Type="http://schemas.openxmlformats.org/officeDocument/2006/relationships/image" Target="media/image67.png"/><Relationship Id="rId91" Type="http://schemas.openxmlformats.org/officeDocument/2006/relationships/image" Target="media/image66.png"/><Relationship Id="rId90" Type="http://schemas.openxmlformats.org/officeDocument/2006/relationships/image" Target="media/image65.png"/><Relationship Id="rId9" Type="http://schemas.openxmlformats.org/officeDocument/2006/relationships/header" Target="header4.xml"/><Relationship Id="rId89" Type="http://schemas.openxmlformats.org/officeDocument/2006/relationships/image" Target="media/image64.png"/><Relationship Id="rId88" Type="http://schemas.openxmlformats.org/officeDocument/2006/relationships/image" Target="media/image63.png"/><Relationship Id="rId87" Type="http://schemas.openxmlformats.org/officeDocument/2006/relationships/image" Target="media/image62.png"/><Relationship Id="rId86" Type="http://schemas.openxmlformats.org/officeDocument/2006/relationships/image" Target="media/image61.png"/><Relationship Id="rId85" Type="http://schemas.openxmlformats.org/officeDocument/2006/relationships/image" Target="media/image60.png"/><Relationship Id="rId84" Type="http://schemas.openxmlformats.org/officeDocument/2006/relationships/image" Target="media/image59.png"/><Relationship Id="rId83" Type="http://schemas.openxmlformats.org/officeDocument/2006/relationships/image" Target="media/image58.png"/><Relationship Id="rId82" Type="http://schemas.openxmlformats.org/officeDocument/2006/relationships/image" Target="media/image57.png"/><Relationship Id="rId81" Type="http://schemas.openxmlformats.org/officeDocument/2006/relationships/image" Target="media/image56.png"/><Relationship Id="rId80" Type="http://schemas.openxmlformats.org/officeDocument/2006/relationships/image" Target="media/image55.png"/><Relationship Id="rId8" Type="http://schemas.openxmlformats.org/officeDocument/2006/relationships/header" Target="header3.xml"/><Relationship Id="rId79" Type="http://schemas.openxmlformats.org/officeDocument/2006/relationships/image" Target="media/image54.png"/><Relationship Id="rId78" Type="http://schemas.openxmlformats.org/officeDocument/2006/relationships/image" Target="media/image53.png"/><Relationship Id="rId77" Type="http://schemas.openxmlformats.org/officeDocument/2006/relationships/image" Target="media/image52.png"/><Relationship Id="rId76" Type="http://schemas.openxmlformats.org/officeDocument/2006/relationships/image" Target="media/image51.png"/><Relationship Id="rId75" Type="http://schemas.openxmlformats.org/officeDocument/2006/relationships/image" Target="media/image50.png"/><Relationship Id="rId74" Type="http://schemas.openxmlformats.org/officeDocument/2006/relationships/image" Target="media/image49.png"/><Relationship Id="rId73" Type="http://schemas.openxmlformats.org/officeDocument/2006/relationships/image" Target="media/image48.png"/><Relationship Id="rId72" Type="http://schemas.openxmlformats.org/officeDocument/2006/relationships/image" Target="media/image47.png"/><Relationship Id="rId71" Type="http://schemas.openxmlformats.org/officeDocument/2006/relationships/image" Target="media/image46.png"/><Relationship Id="rId70" Type="http://schemas.openxmlformats.org/officeDocument/2006/relationships/image" Target="media/image45.png"/><Relationship Id="rId7" Type="http://schemas.openxmlformats.org/officeDocument/2006/relationships/footer" Target="footer3.xml"/><Relationship Id="rId69" Type="http://schemas.openxmlformats.org/officeDocument/2006/relationships/image" Target="media/image44.png"/><Relationship Id="rId68" Type="http://schemas.openxmlformats.org/officeDocument/2006/relationships/image" Target="media/image43.png"/><Relationship Id="rId67" Type="http://schemas.openxmlformats.org/officeDocument/2006/relationships/image" Target="media/image42.png"/><Relationship Id="rId66" Type="http://schemas.openxmlformats.org/officeDocument/2006/relationships/image" Target="media/image41.png"/><Relationship Id="rId65" Type="http://schemas.openxmlformats.org/officeDocument/2006/relationships/image" Target="media/image40.png"/><Relationship Id="rId64" Type="http://schemas.openxmlformats.org/officeDocument/2006/relationships/image" Target="media/image39.png"/><Relationship Id="rId63" Type="http://schemas.openxmlformats.org/officeDocument/2006/relationships/image" Target="media/image38.png"/><Relationship Id="rId62" Type="http://schemas.openxmlformats.org/officeDocument/2006/relationships/image" Target="media/image37.png"/><Relationship Id="rId61" Type="http://schemas.openxmlformats.org/officeDocument/2006/relationships/image" Target="media/image36.png"/><Relationship Id="rId60" Type="http://schemas.openxmlformats.org/officeDocument/2006/relationships/image" Target="media/image35.png"/><Relationship Id="rId6" Type="http://schemas.openxmlformats.org/officeDocument/2006/relationships/footer" Target="footer2.xml"/><Relationship Id="rId59" Type="http://schemas.openxmlformats.org/officeDocument/2006/relationships/image" Target="media/image34.png"/><Relationship Id="rId58" Type="http://schemas.openxmlformats.org/officeDocument/2006/relationships/image" Target="media/image33.png"/><Relationship Id="rId57" Type="http://schemas.openxmlformats.org/officeDocument/2006/relationships/image" Target="media/image32.png"/><Relationship Id="rId56" Type="http://schemas.openxmlformats.org/officeDocument/2006/relationships/image" Target="media/image31.png"/><Relationship Id="rId55" Type="http://schemas.openxmlformats.org/officeDocument/2006/relationships/image" Target="media/image30.png"/><Relationship Id="rId54" Type="http://schemas.openxmlformats.org/officeDocument/2006/relationships/image" Target="media/image29.png"/><Relationship Id="rId53" Type="http://schemas.openxmlformats.org/officeDocument/2006/relationships/image" Target="media/image28.png"/><Relationship Id="rId52" Type="http://schemas.openxmlformats.org/officeDocument/2006/relationships/image" Target="media/image27.png"/><Relationship Id="rId51" Type="http://schemas.openxmlformats.org/officeDocument/2006/relationships/image" Target="media/image26.png"/><Relationship Id="rId50" Type="http://schemas.openxmlformats.org/officeDocument/2006/relationships/image" Target="media/image25.png"/><Relationship Id="rId5" Type="http://schemas.openxmlformats.org/officeDocument/2006/relationships/footer" Target="footer1.xml"/><Relationship Id="rId49" Type="http://schemas.openxmlformats.org/officeDocument/2006/relationships/image" Target="media/image24.png"/><Relationship Id="rId48" Type="http://schemas.openxmlformats.org/officeDocument/2006/relationships/image" Target="media/image23.png"/><Relationship Id="rId47" Type="http://schemas.openxmlformats.org/officeDocument/2006/relationships/image" Target="media/image22.png"/><Relationship Id="rId46" Type="http://schemas.openxmlformats.org/officeDocument/2006/relationships/image" Target="media/image21.png"/><Relationship Id="rId45" Type="http://schemas.openxmlformats.org/officeDocument/2006/relationships/image" Target="media/image20.png"/><Relationship Id="rId44" Type="http://schemas.openxmlformats.org/officeDocument/2006/relationships/image" Target="media/image19.png"/><Relationship Id="rId43" Type="http://schemas.openxmlformats.org/officeDocument/2006/relationships/image" Target="media/image18.png"/><Relationship Id="rId42" Type="http://schemas.openxmlformats.org/officeDocument/2006/relationships/image" Target="media/image17.png"/><Relationship Id="rId41" Type="http://schemas.openxmlformats.org/officeDocument/2006/relationships/image" Target="media/image16.png"/><Relationship Id="rId40" Type="http://schemas.openxmlformats.org/officeDocument/2006/relationships/image" Target="media/image15.png"/><Relationship Id="rId4" Type="http://schemas.openxmlformats.org/officeDocument/2006/relationships/header" Target="header2.xml"/><Relationship Id="rId39" Type="http://schemas.openxmlformats.org/officeDocument/2006/relationships/image" Target="media/image14.png"/><Relationship Id="rId38" Type="http://schemas.openxmlformats.org/officeDocument/2006/relationships/image" Target="media/image13.png"/><Relationship Id="rId37" Type="http://schemas.openxmlformats.org/officeDocument/2006/relationships/image" Target="media/image12.png"/><Relationship Id="rId36" Type="http://schemas.openxmlformats.org/officeDocument/2006/relationships/image" Target="media/image11.png"/><Relationship Id="rId35" Type="http://schemas.openxmlformats.org/officeDocument/2006/relationships/image" Target="media/image10.png"/><Relationship Id="rId34" Type="http://schemas.openxmlformats.org/officeDocument/2006/relationships/image" Target="media/image9.png"/><Relationship Id="rId33" Type="http://schemas.openxmlformats.org/officeDocument/2006/relationships/image" Target="media/image8.png"/><Relationship Id="rId32" Type="http://schemas.openxmlformats.org/officeDocument/2006/relationships/image" Target="media/image7.png"/><Relationship Id="rId31" Type="http://schemas.openxmlformats.org/officeDocument/2006/relationships/image" Target="media/image6.png"/><Relationship Id="rId30" Type="http://schemas.openxmlformats.org/officeDocument/2006/relationships/image" Target="media/image5.png"/><Relationship Id="rId3" Type="http://schemas.openxmlformats.org/officeDocument/2006/relationships/header" Target="header1.xml"/><Relationship Id="rId29" Type="http://schemas.openxmlformats.org/officeDocument/2006/relationships/image" Target="media/image4.png"/><Relationship Id="rId28" Type="http://schemas.openxmlformats.org/officeDocument/2006/relationships/image" Target="media/image3.png"/><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1" Type="http://schemas.openxmlformats.org/officeDocument/2006/relationships/fontTable" Target="fontTable.xml"/><Relationship Id="rId170" Type="http://schemas.openxmlformats.org/officeDocument/2006/relationships/customXml" Target="../customXml/item2.xml"/><Relationship Id="rId17" Type="http://schemas.openxmlformats.org/officeDocument/2006/relationships/header" Target="header8.xml"/><Relationship Id="rId169" Type="http://schemas.openxmlformats.org/officeDocument/2006/relationships/numbering" Target="numbering.xml"/><Relationship Id="rId168" Type="http://schemas.openxmlformats.org/officeDocument/2006/relationships/customXml" Target="../customXml/item1.xml"/><Relationship Id="rId167" Type="http://schemas.openxmlformats.org/officeDocument/2006/relationships/image" Target="media/image142.png"/><Relationship Id="rId166" Type="http://schemas.openxmlformats.org/officeDocument/2006/relationships/image" Target="media/image141.png"/><Relationship Id="rId165" Type="http://schemas.openxmlformats.org/officeDocument/2006/relationships/image" Target="media/image140.png"/><Relationship Id="rId164" Type="http://schemas.openxmlformats.org/officeDocument/2006/relationships/image" Target="media/image139.png"/><Relationship Id="rId163" Type="http://schemas.openxmlformats.org/officeDocument/2006/relationships/image" Target="media/image138.png"/><Relationship Id="rId162" Type="http://schemas.openxmlformats.org/officeDocument/2006/relationships/image" Target="media/image137.png"/><Relationship Id="rId161" Type="http://schemas.openxmlformats.org/officeDocument/2006/relationships/image" Target="media/image136.png"/><Relationship Id="rId160" Type="http://schemas.openxmlformats.org/officeDocument/2006/relationships/image" Target="media/image135.png"/><Relationship Id="rId16" Type="http://schemas.openxmlformats.org/officeDocument/2006/relationships/header" Target="header7.xml"/><Relationship Id="rId159" Type="http://schemas.openxmlformats.org/officeDocument/2006/relationships/image" Target="media/image134.png"/><Relationship Id="rId158" Type="http://schemas.openxmlformats.org/officeDocument/2006/relationships/image" Target="media/image133.png"/><Relationship Id="rId157" Type="http://schemas.openxmlformats.org/officeDocument/2006/relationships/image" Target="media/image132.png"/><Relationship Id="rId156" Type="http://schemas.openxmlformats.org/officeDocument/2006/relationships/image" Target="media/image131.png"/><Relationship Id="rId155" Type="http://schemas.openxmlformats.org/officeDocument/2006/relationships/image" Target="media/image130.png"/><Relationship Id="rId154" Type="http://schemas.openxmlformats.org/officeDocument/2006/relationships/image" Target="media/image129.png"/><Relationship Id="rId153" Type="http://schemas.openxmlformats.org/officeDocument/2006/relationships/image" Target="media/image128.png"/><Relationship Id="rId152" Type="http://schemas.openxmlformats.org/officeDocument/2006/relationships/image" Target="media/image127.png"/><Relationship Id="rId151" Type="http://schemas.openxmlformats.org/officeDocument/2006/relationships/image" Target="media/image126.png"/><Relationship Id="rId150" Type="http://schemas.openxmlformats.org/officeDocument/2006/relationships/image" Target="media/image125.png"/><Relationship Id="rId15" Type="http://schemas.openxmlformats.org/officeDocument/2006/relationships/footer" Target="footer7.xml"/><Relationship Id="rId149" Type="http://schemas.openxmlformats.org/officeDocument/2006/relationships/image" Target="media/image124.png"/><Relationship Id="rId148" Type="http://schemas.openxmlformats.org/officeDocument/2006/relationships/image" Target="media/image123.png"/><Relationship Id="rId147" Type="http://schemas.openxmlformats.org/officeDocument/2006/relationships/image" Target="media/image122.png"/><Relationship Id="rId146" Type="http://schemas.openxmlformats.org/officeDocument/2006/relationships/image" Target="media/image121.png"/><Relationship Id="rId145" Type="http://schemas.openxmlformats.org/officeDocument/2006/relationships/image" Target="media/image120.png"/><Relationship Id="rId144" Type="http://schemas.openxmlformats.org/officeDocument/2006/relationships/image" Target="media/image119.png"/><Relationship Id="rId143" Type="http://schemas.openxmlformats.org/officeDocument/2006/relationships/image" Target="media/image118.png"/><Relationship Id="rId142" Type="http://schemas.openxmlformats.org/officeDocument/2006/relationships/image" Target="media/image117.png"/><Relationship Id="rId141" Type="http://schemas.openxmlformats.org/officeDocument/2006/relationships/image" Target="media/image116.png"/><Relationship Id="rId140" Type="http://schemas.openxmlformats.org/officeDocument/2006/relationships/image" Target="media/image115.png"/><Relationship Id="rId14" Type="http://schemas.openxmlformats.org/officeDocument/2006/relationships/footer" Target="footer6.xml"/><Relationship Id="rId139" Type="http://schemas.openxmlformats.org/officeDocument/2006/relationships/image" Target="media/image114.png"/><Relationship Id="rId138" Type="http://schemas.openxmlformats.org/officeDocument/2006/relationships/image" Target="media/image113.png"/><Relationship Id="rId137" Type="http://schemas.openxmlformats.org/officeDocument/2006/relationships/image" Target="media/image112.png"/><Relationship Id="rId136" Type="http://schemas.openxmlformats.org/officeDocument/2006/relationships/image" Target="media/image111.png"/><Relationship Id="rId135" Type="http://schemas.openxmlformats.org/officeDocument/2006/relationships/image" Target="media/image110.png"/><Relationship Id="rId134" Type="http://schemas.openxmlformats.org/officeDocument/2006/relationships/image" Target="media/image109.png"/><Relationship Id="rId133" Type="http://schemas.openxmlformats.org/officeDocument/2006/relationships/image" Target="media/image108.png"/><Relationship Id="rId132" Type="http://schemas.openxmlformats.org/officeDocument/2006/relationships/image" Target="media/image107.png"/><Relationship Id="rId131" Type="http://schemas.openxmlformats.org/officeDocument/2006/relationships/image" Target="media/image106.png"/><Relationship Id="rId130" Type="http://schemas.openxmlformats.org/officeDocument/2006/relationships/image" Target="media/image105.png"/><Relationship Id="rId13" Type="http://schemas.openxmlformats.org/officeDocument/2006/relationships/header" Target="header6.xml"/><Relationship Id="rId129" Type="http://schemas.openxmlformats.org/officeDocument/2006/relationships/image" Target="media/image104.png"/><Relationship Id="rId128" Type="http://schemas.openxmlformats.org/officeDocument/2006/relationships/image" Target="media/image103.png"/><Relationship Id="rId127" Type="http://schemas.openxmlformats.org/officeDocument/2006/relationships/image" Target="media/image102.png"/><Relationship Id="rId126" Type="http://schemas.openxmlformats.org/officeDocument/2006/relationships/image" Target="media/image101.png"/><Relationship Id="rId125" Type="http://schemas.openxmlformats.org/officeDocument/2006/relationships/image" Target="media/image100.png"/><Relationship Id="rId124" Type="http://schemas.openxmlformats.org/officeDocument/2006/relationships/image" Target="media/image99.png"/><Relationship Id="rId123" Type="http://schemas.openxmlformats.org/officeDocument/2006/relationships/image" Target="media/image98.png"/><Relationship Id="rId122" Type="http://schemas.openxmlformats.org/officeDocument/2006/relationships/image" Target="media/image97.png"/><Relationship Id="rId121" Type="http://schemas.openxmlformats.org/officeDocument/2006/relationships/image" Target="media/image96.png"/><Relationship Id="rId120" Type="http://schemas.openxmlformats.org/officeDocument/2006/relationships/image" Target="media/image95.png"/><Relationship Id="rId12" Type="http://schemas.openxmlformats.org/officeDocument/2006/relationships/header" Target="header5.xml"/><Relationship Id="rId119" Type="http://schemas.openxmlformats.org/officeDocument/2006/relationships/image" Target="media/image94.png"/><Relationship Id="rId118" Type="http://schemas.openxmlformats.org/officeDocument/2006/relationships/image" Target="media/image93.png"/><Relationship Id="rId117" Type="http://schemas.openxmlformats.org/officeDocument/2006/relationships/image" Target="media/image92.png"/><Relationship Id="rId116" Type="http://schemas.openxmlformats.org/officeDocument/2006/relationships/image" Target="media/image91.png"/><Relationship Id="rId115" Type="http://schemas.openxmlformats.org/officeDocument/2006/relationships/image" Target="media/image90.png"/><Relationship Id="rId114" Type="http://schemas.openxmlformats.org/officeDocument/2006/relationships/image" Target="media/image89.png"/><Relationship Id="rId113" Type="http://schemas.openxmlformats.org/officeDocument/2006/relationships/image" Target="media/image88.png"/><Relationship Id="rId112" Type="http://schemas.openxmlformats.org/officeDocument/2006/relationships/image" Target="media/image87.png"/><Relationship Id="rId111" Type="http://schemas.openxmlformats.org/officeDocument/2006/relationships/image" Target="media/image86.png"/><Relationship Id="rId110" Type="http://schemas.openxmlformats.org/officeDocument/2006/relationships/image" Target="media/image85.png"/><Relationship Id="rId11" Type="http://schemas.openxmlformats.org/officeDocument/2006/relationships/footer" Target="footer5.xml"/><Relationship Id="rId109" Type="http://schemas.openxmlformats.org/officeDocument/2006/relationships/image" Target="media/image84.png"/><Relationship Id="rId108" Type="http://schemas.openxmlformats.org/officeDocument/2006/relationships/image" Target="media/image83.png"/><Relationship Id="rId107" Type="http://schemas.openxmlformats.org/officeDocument/2006/relationships/image" Target="media/image82.png"/><Relationship Id="rId106" Type="http://schemas.openxmlformats.org/officeDocument/2006/relationships/image" Target="media/image81.png"/><Relationship Id="rId105" Type="http://schemas.openxmlformats.org/officeDocument/2006/relationships/image" Target="media/image80.png"/><Relationship Id="rId104" Type="http://schemas.openxmlformats.org/officeDocument/2006/relationships/image" Target="media/image79.png"/><Relationship Id="rId103" Type="http://schemas.openxmlformats.org/officeDocument/2006/relationships/image" Target="media/image78.png"/><Relationship Id="rId102" Type="http://schemas.openxmlformats.org/officeDocument/2006/relationships/image" Target="media/image77.png"/><Relationship Id="rId101" Type="http://schemas.openxmlformats.org/officeDocument/2006/relationships/image" Target="media/image76.png"/><Relationship Id="rId100" Type="http://schemas.openxmlformats.org/officeDocument/2006/relationships/image" Target="media/image75.png"/><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D2E4DD-CC59-4F12-BC75-1F204CB91537}">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72</Pages>
  <Words>6057</Words>
  <Characters>34530</Characters>
  <Lines>287</Lines>
  <Paragraphs>81</Paragraphs>
  <TotalTime>3</TotalTime>
  <ScaleCrop>false</ScaleCrop>
  <LinksUpToDate>false</LinksUpToDate>
  <CharactersWithSpaces>40506</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杨颖</cp:lastModifiedBy>
  <cp:lastPrinted>2021-12-27T03:06:00Z</cp:lastPrinted>
  <dcterms:modified xsi:type="dcterms:W3CDTF">2022-10-26T03:13:26Z</dcterms:modified>
  <dc:title>杭州市市民卡扩大发卡工程</dc:title>
  <cp:revision>270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