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000000" w:themeColor="text1"/>
          <w:sz w:val="48"/>
          <w:szCs w:val="48"/>
          <w:highlight w:val="green"/>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48"/>
          <w:szCs w:val="48"/>
          <w:highlight w:val="green"/>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48"/>
          <w:szCs w:val="48"/>
          <w:highlight w:val="green"/>
          <w14:textFill>
            <w14:solidFill>
              <w14:schemeClr w14:val="tx1"/>
            </w14:solidFill>
          </w14:textFill>
        </w:rPr>
      </w:pPr>
    </w:p>
    <w:p>
      <w:pPr>
        <w:adjustRightInd/>
        <w:spacing w:line="360" w:lineRule="auto"/>
        <w:jc w:val="both"/>
        <w:rPr>
          <w:rFonts w:hint="eastAsia" w:ascii="仿宋" w:hAnsi="仿宋" w:eastAsia="仿宋" w:cs="仿宋"/>
          <w:color w:val="000000" w:themeColor="text1"/>
          <w:sz w:val="48"/>
          <w:szCs w:val="48"/>
          <w:highlight w:val="green"/>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t>杭州市临安区数据资源管理局临安区电子政务中心机房迁建项目（补充设备调整）</w:t>
      </w:r>
    </w:p>
    <w:p>
      <w:pPr>
        <w:adjustRightInd/>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lang w:val="en-US" w:eastAsia="zh-CN"/>
          <w14:textFill>
            <w14:solidFill>
              <w14:schemeClr w14:val="tx1"/>
            </w14:solidFill>
          </w14:textFill>
        </w:rPr>
        <w:t>单一来源谈判</w:t>
      </w:r>
      <w:r>
        <w:rPr>
          <w:rFonts w:hint="eastAsia" w:ascii="仿宋" w:hAnsi="仿宋" w:eastAsia="仿宋" w:cs="仿宋"/>
          <w:b/>
          <w:color w:val="000000" w:themeColor="text1"/>
          <w:sz w:val="72"/>
          <w:szCs w:val="72"/>
          <w:highlight w:val="none"/>
          <w14:textFill>
            <w14:solidFill>
              <w14:schemeClr w14:val="tx1"/>
            </w14:solidFill>
          </w14:textFill>
        </w:rPr>
        <w:t>文件</w:t>
      </w:r>
    </w:p>
    <w:p>
      <w:pPr>
        <w:adjustRightInd/>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（电子招投标）</w:t>
      </w:r>
    </w:p>
    <w:p>
      <w:pPr>
        <w:adjustRightInd/>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w:t>
      </w:r>
    </w:p>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line="360" w:lineRule="auto"/>
        <w:jc w:val="center"/>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w:t>
      </w:r>
      <w:r>
        <w:rPr>
          <w:rFonts w:hint="eastAsia" w:ascii="仿宋" w:hAnsi="仿宋" w:eastAsia="仿宋" w:cs="仿宋"/>
          <w:color w:val="000000" w:themeColor="text1"/>
          <w:sz w:val="30"/>
          <w:szCs w:val="30"/>
          <w:highlight w:val="none"/>
          <w14:textFill>
            <w14:solidFill>
              <w14:schemeClr w14:val="tx1"/>
            </w14:solidFill>
          </w14:textFill>
        </w:rPr>
        <w:t>号:</w:t>
      </w:r>
      <w:r>
        <w:rPr>
          <w:rFonts w:hint="eastAsia" w:ascii="仿宋" w:hAnsi="仿宋" w:eastAsia="仿宋" w:cs="仿宋"/>
          <w:color w:val="000000" w:themeColor="text1"/>
          <w:sz w:val="30"/>
          <w:szCs w:val="30"/>
          <w:highlight w:val="none"/>
          <w:lang w:val="en-US" w:eastAsia="zh-CN"/>
          <w14:textFill>
            <w14:solidFill>
              <w14:schemeClr w14:val="tx1"/>
            </w14:solidFill>
          </w14:textFill>
        </w:rPr>
        <w:t>LZC-DY-2021-05033</w:t>
      </w:r>
    </w:p>
    <w:p>
      <w:pPr>
        <w:adjustRightInd/>
        <w:spacing w:line="360" w:lineRule="auto"/>
        <w:rPr>
          <w:rFonts w:hint="eastAsia" w:ascii="仿宋" w:hAnsi="仿宋" w:eastAsia="仿宋" w:cs="仿宋"/>
          <w:color w:val="000000" w:themeColor="text1"/>
          <w:sz w:val="28"/>
          <w:szCs w:val="20"/>
          <w14:textFill>
            <w14:solidFill>
              <w14:schemeClr w14:val="tx1"/>
            </w14:solidFill>
          </w14:textFill>
        </w:rPr>
      </w:pPr>
    </w:p>
    <w:p>
      <w:pPr>
        <w:adjustRightInd/>
        <w:spacing w:line="360" w:lineRule="auto"/>
        <w:rPr>
          <w:rFonts w:hint="eastAsia" w:ascii="仿宋" w:hAnsi="仿宋" w:eastAsia="仿宋" w:cs="仿宋"/>
          <w:color w:val="000000" w:themeColor="text1"/>
          <w:sz w:val="28"/>
          <w:szCs w:val="20"/>
          <w14:textFill>
            <w14:solidFill>
              <w14:schemeClr w14:val="tx1"/>
            </w14:solidFill>
          </w14:textFill>
        </w:rPr>
      </w:pPr>
    </w:p>
    <w:p>
      <w:pPr>
        <w:spacing w:line="360" w:lineRule="auto"/>
        <w:jc w:val="center"/>
        <w:rPr>
          <w:rFonts w:hint="eastAsia" w:ascii="仿宋" w:hAnsi="仿宋" w:eastAsia="仿宋" w:cs="仿宋"/>
          <w:color w:val="000000" w:themeColor="text1"/>
          <w:sz w:val="24"/>
          <w14:textFill>
            <w14:solidFill>
              <w14:schemeClr w14:val="tx1"/>
            </w14:solidFill>
          </w14:textFill>
        </w:rPr>
      </w:pP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w:t>
      </w:r>
    </w:p>
    <w:p>
      <w:pPr>
        <w:spacing w:line="360"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jc w:val="center"/>
        <w:rPr>
          <w:rFonts w:hint="eastAsia" w:ascii="仿宋" w:hAnsi="仿宋" w:eastAsia="仿宋" w:cs="仿宋"/>
          <w:color w:val="000000" w:themeColor="text1"/>
          <w:sz w:val="32"/>
          <w:szCs w:val="32"/>
          <w:highlight w:val="gree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采购</w:t>
      </w:r>
      <w:r>
        <w:rPr>
          <w:rFonts w:hint="eastAsia" w:ascii="仿宋" w:hAnsi="仿宋" w:eastAsia="仿宋" w:cs="仿宋"/>
          <w:bCs/>
          <w:color w:val="000000" w:themeColor="text1"/>
          <w:sz w:val="32"/>
          <w:szCs w:val="32"/>
          <w:lang w:eastAsia="zh-CN"/>
          <w14:textFill>
            <w14:solidFill>
              <w14:schemeClr w14:val="tx1"/>
            </w14:solidFill>
          </w14:textFill>
        </w:rPr>
        <w:t>单位</w:t>
      </w:r>
      <w:r>
        <w:rPr>
          <w:rFonts w:hint="eastAsia" w:ascii="仿宋" w:hAnsi="仿宋" w:eastAsia="仿宋" w:cs="仿宋"/>
          <w:bCs/>
          <w:color w:val="000000" w:themeColor="text1"/>
          <w:sz w:val="32"/>
          <w:szCs w:val="32"/>
          <w14:textFill>
            <w14:solidFill>
              <w14:schemeClr w14:val="tx1"/>
            </w14:solidFill>
          </w14:textFill>
        </w:rPr>
        <w:t>：杭州市临安区数据资源管理局</w:t>
      </w:r>
    </w:p>
    <w:p>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采购机构</w:t>
      </w:r>
      <w:r>
        <w:rPr>
          <w:rFonts w:hint="eastAsia" w:ascii="仿宋" w:hAnsi="仿宋" w:eastAsia="仿宋" w:cs="仿宋"/>
          <w:bCs/>
          <w:color w:val="000000" w:themeColor="text1"/>
          <w:sz w:val="32"/>
          <w:szCs w:val="32"/>
          <w:lang w:val="en-US"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杭</w:t>
      </w:r>
      <w:r>
        <w:rPr>
          <w:rFonts w:hint="eastAsia" w:ascii="仿宋" w:hAnsi="仿宋" w:eastAsia="仿宋" w:cs="仿宋"/>
          <w:bCs/>
          <w:color w:val="000000" w:themeColor="text1"/>
          <w:sz w:val="32"/>
          <w:szCs w:val="32"/>
          <w14:textFill>
            <w14:solidFill>
              <w14:schemeClr w14:val="tx1"/>
            </w14:solidFill>
          </w14:textFill>
        </w:rPr>
        <w:t>州市</w:t>
      </w:r>
      <w:r>
        <w:rPr>
          <w:rFonts w:hint="eastAsia" w:ascii="仿宋" w:hAnsi="仿宋" w:eastAsia="仿宋" w:cs="仿宋"/>
          <w:bCs/>
          <w:color w:val="000000" w:themeColor="text1"/>
          <w:sz w:val="32"/>
          <w:szCs w:val="32"/>
          <w:highlight w:val="none"/>
          <w14:textFill>
            <w14:solidFill>
              <w14:schemeClr w14:val="tx1"/>
            </w14:solidFill>
          </w14:textFill>
        </w:rPr>
        <w:t>公共资源交易中心</w:t>
      </w:r>
      <w:r>
        <w:rPr>
          <w:rFonts w:hint="eastAsia" w:ascii="仿宋" w:hAnsi="仿宋" w:eastAsia="仿宋" w:cs="仿宋"/>
          <w:bCs/>
          <w:color w:val="000000" w:themeColor="text1"/>
          <w:sz w:val="32"/>
          <w:szCs w:val="32"/>
          <w:highlight w:val="none"/>
          <w:lang w:eastAsia="zh-CN"/>
          <w14:textFill>
            <w14:solidFill>
              <w14:schemeClr w14:val="tx1"/>
            </w14:solidFill>
          </w14:textFill>
        </w:rPr>
        <w:t>临安分中心</w:t>
      </w:r>
    </w:p>
    <w:p>
      <w:pPr>
        <w:snapToGrid w:val="0"/>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eastAsia="zh-CN"/>
          <w14:textFill>
            <w14:solidFill>
              <w14:schemeClr w14:val="tx1"/>
            </w14:solidFill>
          </w14:textFill>
        </w:rPr>
        <w:t>一</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eastAsia="zh-CN"/>
          <w14:textFill>
            <w14:solidFill>
              <w14:schemeClr w14:val="tx1"/>
            </w14:solidFill>
          </w14:textFill>
        </w:rPr>
        <w:t>二十一</w:t>
      </w:r>
      <w:r>
        <w:rPr>
          <w:rFonts w:hint="eastAsia" w:ascii="仿宋" w:hAnsi="仿宋" w:eastAsia="仿宋" w:cs="仿宋"/>
          <w:bCs/>
          <w:color w:val="000000" w:themeColor="text1"/>
          <w:sz w:val="32"/>
          <w:szCs w:val="32"/>
          <w:highlight w:val="none"/>
          <w14:textFill>
            <w14:solidFill>
              <w14:schemeClr w14:val="tx1"/>
            </w14:solidFill>
          </w14:textFill>
        </w:rPr>
        <w:t>日</w:t>
      </w:r>
    </w:p>
    <w:p>
      <w:pPr>
        <w:spacing w:line="360" w:lineRule="auto"/>
        <w:jc w:val="center"/>
        <w:rPr>
          <w:rFonts w:hint="eastAsia" w:ascii="仿宋" w:hAnsi="仿宋" w:eastAsia="仿宋" w:cs="仿宋"/>
          <w:b/>
          <w:color w:val="000000" w:themeColor="text1"/>
          <w:sz w:val="48"/>
          <w:szCs w:val="48"/>
          <w14:textFill>
            <w14:solidFill>
              <w14:schemeClr w14:val="tx1"/>
            </w14:solidFill>
          </w14:textFill>
        </w:rPr>
      </w:pPr>
    </w:p>
    <w:p>
      <w:pPr>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12"/>
        <w:spacing w:before="120" w:after="120" w:line="360" w:lineRule="auto"/>
        <w:jc w:val="center"/>
        <w:rPr>
          <w:rFonts w:hint="eastAsia" w:ascii="仿宋" w:hAnsi="仿宋" w:eastAsia="仿宋" w:cs="仿宋"/>
          <w:b/>
          <w:sz w:val="40"/>
          <w:szCs w:val="40"/>
        </w:rPr>
      </w:pPr>
    </w:p>
    <w:p>
      <w:pPr>
        <w:pStyle w:val="12"/>
        <w:spacing w:before="120" w:after="120" w:line="360" w:lineRule="auto"/>
        <w:jc w:val="center"/>
        <w:rPr>
          <w:rFonts w:hint="eastAsia" w:ascii="仿宋" w:hAnsi="仿宋" w:eastAsia="仿宋" w:cs="仿宋"/>
          <w:b/>
          <w:sz w:val="40"/>
          <w:szCs w:val="40"/>
        </w:rPr>
      </w:pPr>
    </w:p>
    <w:p>
      <w:pPr>
        <w:pStyle w:val="12"/>
        <w:spacing w:before="120" w:after="120" w:line="360" w:lineRule="auto"/>
        <w:jc w:val="center"/>
        <w:rPr>
          <w:rFonts w:hint="eastAsia" w:ascii="仿宋" w:hAnsi="仿宋" w:eastAsia="仿宋" w:cs="仿宋"/>
          <w:b/>
          <w:sz w:val="40"/>
          <w:szCs w:val="40"/>
        </w:rPr>
      </w:pPr>
    </w:p>
    <w:p>
      <w:pPr>
        <w:pStyle w:val="12"/>
        <w:spacing w:before="120" w:after="120" w:line="360" w:lineRule="auto"/>
        <w:jc w:val="center"/>
        <w:rPr>
          <w:rFonts w:hint="eastAsia" w:ascii="仿宋" w:hAnsi="仿宋" w:eastAsia="仿宋" w:cs="仿宋"/>
          <w:b/>
          <w:sz w:val="40"/>
          <w:szCs w:val="40"/>
        </w:rPr>
      </w:pPr>
      <w:r>
        <w:rPr>
          <w:rFonts w:hint="eastAsia" w:ascii="仿宋" w:hAnsi="仿宋" w:eastAsia="仿宋" w:cs="仿宋"/>
          <w:b/>
          <w:sz w:val="40"/>
          <w:szCs w:val="40"/>
        </w:rPr>
        <w:t>目    录</w:t>
      </w:r>
    </w:p>
    <w:p>
      <w:pPr>
        <w:pStyle w:val="12"/>
        <w:spacing w:before="120" w:after="120" w:line="360" w:lineRule="auto"/>
        <w:jc w:val="center"/>
        <w:rPr>
          <w:rFonts w:hint="eastAsia" w:ascii="仿宋" w:hAnsi="仿宋" w:eastAsia="仿宋" w:cs="仿宋"/>
          <w:sz w:val="32"/>
          <w:szCs w:val="32"/>
        </w:rPr>
      </w:pPr>
    </w:p>
    <w:p>
      <w:pPr>
        <w:numPr>
          <w:ilvl w:val="0"/>
          <w:numId w:val="0"/>
        </w:numPr>
        <w:spacing w:before="120" w:beforeLines="50" w:line="480" w:lineRule="exact"/>
        <w:rPr>
          <w:rFonts w:hint="eastAsia" w:ascii="仿宋" w:hAnsi="仿宋" w:eastAsia="仿宋" w:cs="仿宋"/>
          <w:sz w:val="32"/>
          <w:szCs w:val="32"/>
        </w:rPr>
      </w:pPr>
      <w:r>
        <w:rPr>
          <w:rFonts w:hint="eastAsia" w:ascii="仿宋" w:hAnsi="仿宋" w:eastAsia="仿宋" w:cs="仿宋"/>
          <w:sz w:val="32"/>
          <w:szCs w:val="32"/>
          <w:lang w:eastAsia="zh-CN"/>
        </w:rPr>
        <w:t>第一部分</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单一来源谈判邀请函</w:t>
      </w:r>
    </w:p>
    <w:p>
      <w:pPr>
        <w:numPr>
          <w:ilvl w:val="0"/>
          <w:numId w:val="0"/>
        </w:numPr>
        <w:spacing w:before="120" w:beforeLines="50" w:line="4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第二部分    </w:t>
      </w:r>
      <w:r>
        <w:rPr>
          <w:rFonts w:hint="eastAsia" w:ascii="仿宋" w:hAnsi="仿宋" w:eastAsia="仿宋" w:cs="仿宋"/>
          <w:sz w:val="32"/>
          <w:szCs w:val="32"/>
        </w:rPr>
        <w:t>谈判响应方须知</w:t>
      </w:r>
    </w:p>
    <w:p>
      <w:pPr>
        <w:spacing w:before="120" w:beforeLines="50" w:line="480" w:lineRule="exact"/>
        <w:rPr>
          <w:rFonts w:hint="eastAsia" w:ascii="仿宋" w:hAnsi="仿宋" w:eastAsia="仿宋" w:cs="仿宋"/>
          <w:sz w:val="32"/>
          <w:szCs w:val="32"/>
        </w:rPr>
      </w:pPr>
      <w:r>
        <w:rPr>
          <w:rFonts w:hint="eastAsia" w:ascii="仿宋" w:hAnsi="仿宋" w:eastAsia="仿宋" w:cs="仿宋"/>
          <w:sz w:val="32"/>
          <w:szCs w:val="32"/>
          <w:lang w:eastAsia="zh-CN"/>
        </w:rPr>
        <w:t>第三部分</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评标办法及评标标准 </w:t>
      </w:r>
    </w:p>
    <w:p>
      <w:pPr>
        <w:spacing w:before="120" w:beforeLines="50" w:line="480" w:lineRule="exact"/>
        <w:rPr>
          <w:rFonts w:hint="eastAsia" w:ascii="仿宋" w:hAnsi="仿宋" w:eastAsia="仿宋" w:cs="仿宋"/>
          <w:sz w:val="32"/>
          <w:szCs w:val="32"/>
          <w:lang w:eastAsia="zh-CN"/>
        </w:rPr>
      </w:pPr>
      <w:r>
        <w:rPr>
          <w:rFonts w:hint="eastAsia" w:ascii="仿宋" w:hAnsi="仿宋" w:eastAsia="仿宋" w:cs="仿宋"/>
          <w:sz w:val="32"/>
          <w:szCs w:val="32"/>
        </w:rPr>
        <w:t>第四</w:t>
      </w:r>
      <w:r>
        <w:rPr>
          <w:rFonts w:hint="eastAsia" w:ascii="仿宋" w:hAnsi="仿宋" w:eastAsia="仿宋" w:cs="仿宋"/>
          <w:sz w:val="32"/>
          <w:szCs w:val="32"/>
          <w:lang w:eastAsia="zh-CN"/>
        </w:rPr>
        <w:t>部分</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谈判需求</w:t>
      </w:r>
    </w:p>
    <w:p>
      <w:pPr>
        <w:spacing w:before="120" w:beforeLines="50" w:line="480" w:lineRule="exact"/>
        <w:rPr>
          <w:rFonts w:hint="eastAsia" w:ascii="仿宋" w:hAnsi="仿宋" w:eastAsia="仿宋" w:cs="仿宋"/>
          <w:sz w:val="32"/>
          <w:szCs w:val="32"/>
        </w:rPr>
      </w:pPr>
      <w:r>
        <w:rPr>
          <w:rFonts w:hint="eastAsia" w:ascii="仿宋" w:hAnsi="仿宋" w:eastAsia="仿宋" w:cs="仿宋"/>
          <w:sz w:val="32"/>
          <w:szCs w:val="32"/>
        </w:rPr>
        <w:t>第五</w:t>
      </w:r>
      <w:r>
        <w:rPr>
          <w:rFonts w:hint="eastAsia" w:ascii="仿宋" w:hAnsi="仿宋" w:eastAsia="仿宋" w:cs="仿宋"/>
          <w:sz w:val="32"/>
          <w:szCs w:val="32"/>
          <w:lang w:eastAsia="zh-CN"/>
        </w:rPr>
        <w:t>部分</w:t>
      </w:r>
      <w:r>
        <w:rPr>
          <w:rFonts w:hint="eastAsia" w:ascii="仿宋" w:hAnsi="仿宋" w:eastAsia="仿宋" w:cs="仿宋"/>
          <w:sz w:val="32"/>
          <w:szCs w:val="32"/>
        </w:rPr>
        <w:t xml:space="preserve">    政府采购合同主要条款</w:t>
      </w:r>
    </w:p>
    <w:p>
      <w:pPr>
        <w:spacing w:before="120" w:beforeLines="50" w:line="480" w:lineRule="exact"/>
        <w:jc w:val="left"/>
        <w:rPr>
          <w:rFonts w:hint="eastAsia" w:ascii="仿宋" w:hAnsi="仿宋" w:eastAsia="仿宋" w:cs="仿宋"/>
          <w:sz w:val="32"/>
          <w:szCs w:val="32"/>
        </w:rPr>
      </w:pPr>
      <w:r>
        <w:rPr>
          <w:rFonts w:hint="eastAsia" w:ascii="仿宋" w:hAnsi="仿宋" w:eastAsia="仿宋" w:cs="仿宋"/>
          <w:sz w:val="32"/>
          <w:szCs w:val="32"/>
        </w:rPr>
        <w:t>第六</w:t>
      </w:r>
      <w:r>
        <w:rPr>
          <w:rFonts w:hint="eastAsia" w:ascii="仿宋" w:hAnsi="仿宋" w:eastAsia="仿宋" w:cs="仿宋"/>
          <w:sz w:val="32"/>
          <w:szCs w:val="32"/>
          <w:lang w:eastAsia="zh-CN"/>
        </w:rPr>
        <w:t>部分</w:t>
      </w:r>
      <w:r>
        <w:rPr>
          <w:rFonts w:hint="eastAsia" w:ascii="仿宋" w:hAnsi="仿宋" w:eastAsia="仿宋" w:cs="仿宋"/>
          <w:sz w:val="32"/>
          <w:szCs w:val="32"/>
        </w:rPr>
        <w:t xml:space="preserve">    谈判响应文件格式</w:t>
      </w:r>
      <w:r>
        <w:rPr>
          <w:rFonts w:hint="eastAsia" w:ascii="仿宋" w:hAnsi="仿宋" w:eastAsia="仿宋" w:cs="仿宋"/>
          <w:sz w:val="32"/>
          <w:szCs w:val="32"/>
        </w:rPr>
        <w:br w:type="page"/>
      </w:r>
    </w:p>
    <w:p>
      <w:pPr>
        <w:spacing w:before="120" w:beforeLines="50" w:line="480" w:lineRule="exact"/>
        <w:ind w:left="165"/>
        <w:jc w:val="center"/>
        <w:rPr>
          <w:rFonts w:hint="eastAsia" w:ascii="仿宋" w:hAnsi="仿宋" w:eastAsia="仿宋" w:cs="仿宋"/>
          <w:b/>
          <w:sz w:val="36"/>
          <w:szCs w:val="36"/>
        </w:rPr>
      </w:pPr>
      <w:r>
        <w:rPr>
          <w:rFonts w:hint="eastAsia" w:ascii="仿宋" w:hAnsi="仿宋" w:eastAsia="仿宋" w:cs="仿宋"/>
          <w:b/>
          <w:sz w:val="36"/>
          <w:szCs w:val="36"/>
        </w:rPr>
        <w:t>第一</w:t>
      </w:r>
      <w:r>
        <w:rPr>
          <w:rFonts w:hint="eastAsia" w:ascii="仿宋" w:hAnsi="仿宋" w:eastAsia="仿宋" w:cs="仿宋"/>
          <w:b/>
          <w:sz w:val="36"/>
          <w:szCs w:val="36"/>
          <w:lang w:eastAsia="zh-CN"/>
        </w:rPr>
        <w:t>部分</w:t>
      </w:r>
      <w:r>
        <w:rPr>
          <w:rFonts w:hint="eastAsia" w:ascii="仿宋" w:hAnsi="仿宋" w:eastAsia="仿宋" w:cs="仿宋"/>
          <w:b/>
          <w:sz w:val="36"/>
          <w:szCs w:val="36"/>
        </w:rPr>
        <w:t xml:space="preserve">  单一来源邀请函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Style w:val="24"/>
          <w:rFonts w:hint="eastAsia" w:ascii="仿宋" w:hAnsi="仿宋" w:eastAsia="仿宋" w:cs="仿宋"/>
          <w:color w:val="auto"/>
          <w:sz w:val="24"/>
        </w:rPr>
      </w:pPr>
      <w:r>
        <w:rPr>
          <w:rStyle w:val="24"/>
          <w:rFonts w:hint="eastAsia" w:ascii="仿宋" w:hAnsi="仿宋" w:eastAsia="仿宋" w:cs="仿宋"/>
          <w:color w:val="auto"/>
          <w:sz w:val="24"/>
        </w:rPr>
        <w:t>受杭州市临安区数据资源管理局的委托，杭州市公共资源交易中心临安分中心（以下简称“采购机构”），就以下杭州市临安区数据资源管理局临安区电子政务中心机房迁建项目（补充设备调整）进行单一来源谈判，现邀请</w:t>
      </w:r>
      <w:r>
        <w:rPr>
          <w:rStyle w:val="24"/>
          <w:rFonts w:hint="eastAsia" w:ascii="仿宋" w:hAnsi="仿宋" w:eastAsia="仿宋" w:cs="仿宋"/>
          <w:b/>
          <w:bCs/>
          <w:color w:val="auto"/>
          <w:sz w:val="24"/>
          <w:lang w:val="en-US" w:eastAsia="zh-CN"/>
        </w:rPr>
        <w:t>杭州临安华数数字电视有限公司</w:t>
      </w:r>
      <w:r>
        <w:rPr>
          <w:rStyle w:val="24"/>
          <w:rFonts w:hint="eastAsia" w:ascii="仿宋" w:hAnsi="仿宋" w:eastAsia="仿宋" w:cs="仿宋"/>
          <w:color w:val="auto"/>
          <w:sz w:val="24"/>
        </w:rPr>
        <w:t>参加谈判。</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sz w:val="24"/>
          <w:lang w:val="en-US" w:eastAsia="zh-CN"/>
        </w:rPr>
        <w:t>LZC-DY-2021-05033</w:t>
      </w:r>
    </w:p>
    <w:p>
      <w:pPr>
        <w:spacing w:line="360" w:lineRule="auto"/>
        <w:ind w:firstLine="480"/>
        <w:rPr>
          <w:rFonts w:hint="eastAsia" w:ascii="仿宋" w:hAnsi="仿宋" w:eastAsia="仿宋" w:cs="仿宋"/>
          <w:sz w:val="24"/>
          <w:highlight w:val="green"/>
        </w:rPr>
      </w:pPr>
      <w:r>
        <w:rPr>
          <w:rFonts w:hint="eastAsia" w:ascii="仿宋" w:hAnsi="仿宋" w:eastAsia="仿宋" w:cs="仿宋"/>
          <w:b/>
          <w:sz w:val="24"/>
        </w:rPr>
        <w:t>项目名称：杭州市临安区数据资源管理局临安区电子政务中心机房迁建项目（补充设备调整）</w:t>
      </w:r>
    </w:p>
    <w:p>
      <w:pPr>
        <w:spacing w:line="360" w:lineRule="auto"/>
        <w:ind w:firstLine="480"/>
        <w:rPr>
          <w:rFonts w:hint="eastAsia" w:ascii="仿宋" w:hAnsi="仿宋" w:eastAsia="仿宋" w:cs="仿宋"/>
          <w:sz w:val="24"/>
          <w:highlight w:val="none"/>
          <w:lang w:val="en-US"/>
        </w:rPr>
      </w:pPr>
      <w:r>
        <w:rPr>
          <w:rFonts w:hint="eastAsia" w:ascii="仿宋" w:hAnsi="仿宋" w:eastAsia="仿宋" w:cs="仿宋"/>
          <w:b/>
          <w:sz w:val="24"/>
        </w:rPr>
        <w:t>预算金额（元）：</w:t>
      </w:r>
      <w:r>
        <w:rPr>
          <w:rFonts w:hint="eastAsia" w:ascii="仿宋" w:hAnsi="仿宋" w:eastAsia="仿宋" w:cs="仿宋"/>
          <w:b/>
          <w:sz w:val="24"/>
          <w:highlight w:val="none"/>
          <w:lang w:val="en-US" w:eastAsia="zh-CN"/>
        </w:rPr>
        <w:t>750000</w:t>
      </w:r>
    </w:p>
    <w:p>
      <w:pPr>
        <w:spacing w:line="360" w:lineRule="auto"/>
        <w:ind w:firstLine="480"/>
        <w:rPr>
          <w:rFonts w:hint="eastAsia" w:ascii="仿宋" w:hAnsi="仿宋" w:eastAsia="仿宋" w:cs="仿宋"/>
          <w:sz w:val="24"/>
          <w:highlight w:val="none"/>
          <w:lang w:val="en-US"/>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750000</w:t>
      </w:r>
    </w:p>
    <w:p>
      <w:pPr>
        <w:spacing w:line="360" w:lineRule="auto"/>
        <w:ind w:firstLine="482" w:firstLineChars="200"/>
        <w:rPr>
          <w:rFonts w:hint="eastAsia" w:ascii="仿宋" w:hAnsi="仿宋" w:eastAsia="仿宋" w:cs="仿宋"/>
          <w:bCs/>
          <w:sz w:val="24"/>
          <w:lang w:val="en-US" w:eastAsia="zh-CN"/>
        </w:rPr>
      </w:pPr>
      <w:r>
        <w:rPr>
          <w:rFonts w:hint="eastAsia" w:ascii="仿宋" w:hAnsi="仿宋" w:eastAsia="仿宋" w:cs="仿宋"/>
          <w:b/>
          <w:sz w:val="24"/>
        </w:rPr>
        <w:t>采购需求：</w:t>
      </w:r>
      <w:r>
        <w:rPr>
          <w:rFonts w:hint="eastAsia" w:ascii="仿宋" w:hAnsi="仿宋" w:eastAsia="仿宋" w:cs="仿宋"/>
          <w:b/>
          <w:sz w:val="24"/>
          <w:lang w:val="en-US" w:eastAsia="zh-CN"/>
        </w:rPr>
        <w:t>详见采购需求。</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2.落实政府采购政策需满足的资格要求：无</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3.本项目的特定资格要求：无</w:t>
      </w:r>
      <w:r>
        <w:rPr>
          <w:rFonts w:hint="eastAsia" w:ascii="仿宋" w:hAnsi="仿宋" w:eastAsia="仿宋" w:cs="仿宋"/>
          <w:sz w:val="24"/>
          <w:lang w:eastAsia="zh-CN"/>
        </w:rPr>
        <w:t>。</w:t>
      </w:r>
    </w:p>
    <w:p>
      <w:pPr>
        <w:spacing w:line="360" w:lineRule="auto"/>
        <w:rPr>
          <w:rFonts w:hint="eastAsia" w:ascii="仿宋" w:hAnsi="仿宋" w:eastAsia="仿宋" w:cs="仿宋"/>
          <w:b/>
          <w:sz w:val="24"/>
          <w:highlight w:val="none"/>
        </w:rPr>
      </w:pPr>
      <w:r>
        <w:rPr>
          <w:rFonts w:hint="eastAsia" w:ascii="仿宋" w:hAnsi="仿宋" w:eastAsia="仿宋" w:cs="仿宋"/>
          <w:b/>
          <w:sz w:val="24"/>
        </w:rPr>
        <w:t>三、获取招</w:t>
      </w:r>
      <w:r>
        <w:rPr>
          <w:rFonts w:hint="eastAsia" w:ascii="仿宋" w:hAnsi="仿宋" w:eastAsia="仿宋" w:cs="仿宋"/>
          <w:b/>
          <w:sz w:val="24"/>
          <w:highlight w:val="none"/>
        </w:rPr>
        <w:t xml:space="preserve">标文件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highlight w:val="none"/>
        </w:rPr>
        <w:t>时间：</w:t>
      </w:r>
      <w:r>
        <w:rPr>
          <w:rFonts w:hint="eastAsia" w:ascii="仿宋" w:hAnsi="仿宋" w:eastAsia="仿宋" w:cs="仿宋"/>
          <w:sz w:val="24"/>
          <w:highlight w:val="none"/>
        </w:rPr>
        <w:t>/至202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26</w:t>
      </w:r>
      <w:r>
        <w:rPr>
          <w:rFonts w:hint="eastAsia" w:ascii="仿宋" w:hAnsi="仿宋" w:eastAsia="仿宋" w:cs="仿宋"/>
          <w:sz w:val="24"/>
          <w:highlight w:val="none"/>
        </w:rPr>
        <w:t>日 ，每天上午00:00至12:00 ，下午12:00至23:59（北京时间，线上获取法定节假日均</w:t>
      </w:r>
      <w:r>
        <w:rPr>
          <w:rFonts w:hint="eastAsia" w:ascii="仿宋" w:hAnsi="仿宋" w:eastAsia="仿宋" w:cs="仿宋"/>
          <w:sz w:val="24"/>
        </w:rPr>
        <w:t>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政府采购云平台（www.zcygov.cn）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lang w:val="en-US" w:eastAsia="zh-CN"/>
        </w:rPr>
        <w:t>0</w:t>
      </w:r>
      <w:r>
        <w:rPr>
          <w:rFonts w:hint="eastAsia" w:ascii="仿宋" w:hAnsi="仿宋" w:eastAsia="仿宋" w:cs="仿宋"/>
          <w:sz w:val="24"/>
        </w:rPr>
        <w:t xml:space="preserve"> </w:t>
      </w:r>
    </w:p>
    <w:p>
      <w:pPr>
        <w:spacing w:line="360" w:lineRule="auto"/>
        <w:rPr>
          <w:rFonts w:hint="eastAsia" w:ascii="仿宋" w:hAnsi="仿宋" w:eastAsia="仿宋" w:cs="仿宋"/>
          <w:b/>
          <w:sz w:val="24"/>
          <w:highlight w:val="none"/>
        </w:rPr>
      </w:pPr>
      <w:r>
        <w:rPr>
          <w:rFonts w:hint="eastAsia" w:ascii="仿宋" w:hAnsi="仿宋" w:eastAsia="仿宋" w:cs="仿宋"/>
          <w:b/>
          <w:sz w:val="24"/>
        </w:rPr>
        <w:t>四、提交投标文件截止时间、</w:t>
      </w:r>
      <w:r>
        <w:rPr>
          <w:rFonts w:hint="eastAsia" w:ascii="仿宋" w:hAnsi="仿宋" w:eastAsia="仿宋" w:cs="仿宋"/>
          <w:b/>
          <w:sz w:val="24"/>
          <w:highlight w:val="none"/>
        </w:rPr>
        <w:t>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26</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w:t>
      </w:r>
      <w:r>
        <w:rPr>
          <w:rFonts w:hint="eastAsia" w:ascii="仿宋" w:hAnsi="仿宋" w:eastAsia="仿宋" w:cs="仿宋"/>
          <w:bCs/>
          <w:sz w:val="24"/>
          <w:highlight w:val="none"/>
          <w:u w:val="single"/>
        </w:rPr>
        <w:t>0分00秒</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政府采购云平台（www.zcygov.cn）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26</w:t>
      </w:r>
      <w:bookmarkStart w:id="13" w:name="_GoBack"/>
      <w:bookmarkEnd w:id="13"/>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w:t>
      </w:r>
      <w:r>
        <w:rPr>
          <w:rFonts w:hint="eastAsia" w:ascii="仿宋" w:hAnsi="仿宋" w:eastAsia="仿宋" w:cs="仿宋"/>
          <w:bCs/>
          <w:sz w:val="24"/>
          <w:highlight w:val="none"/>
          <w:u w:val="single"/>
        </w:rPr>
        <w:t>0分00秒</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rPr>
        <w:t xml:space="preserve">在政府采购云平台（www.zcygov.cn）上开启投标文件  </w:t>
      </w:r>
    </w:p>
    <w:p>
      <w:pPr>
        <w:spacing w:line="360" w:lineRule="auto"/>
        <w:rPr>
          <w:rFonts w:hint="eastAsia" w:ascii="仿宋" w:hAnsi="仿宋" w:eastAsia="仿宋" w:cs="仿宋"/>
          <w:b/>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需要落实的政府采购政策：包括保护环境、节约能源、促进中小企业发展等。详见</w:t>
      </w:r>
      <w:r>
        <w:rPr>
          <w:rFonts w:hint="eastAsia" w:ascii="仿宋" w:hAnsi="仿宋" w:eastAsia="仿宋" w:cs="仿宋"/>
          <w:sz w:val="24"/>
          <w:highlight w:val="none"/>
          <w:lang w:eastAsia="zh-CN"/>
        </w:rPr>
        <w:t>谈判</w:t>
      </w:r>
      <w:r>
        <w:rPr>
          <w:rFonts w:hint="eastAsia" w:ascii="仿宋" w:hAnsi="仿宋" w:eastAsia="仿宋" w:cs="仿宋"/>
          <w:sz w:val="24"/>
          <w:highlight w:val="none"/>
        </w:rPr>
        <w:t>文件的第二部分总则。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3.电子招投标的说明：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1）电子招投标：本项目以数据电文形式，依托“政府采购云平台（www.zcygov.cn）”进行招投标活动，不接受纸质投标文件。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3）招标文件的获取：使用账号登录或者使用CA登录政采云平台；进入“项目采购”应用，在获取采购文件菜单中选择项目，获取招标文件。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4）投标文件的制作：在“政采云电子交易客户端”中完成“填写基本信息”、“导入投标文件”、“标书关联”、“标书检查”、“电子签名”、“生成电子标书”等操作。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5）采购人、采购机构将依托政采云平台完成本项目的电子交易活动，平台不接受未按上述方式获取招标文件的供应商进行投标活动；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6）对未按上述方式获取招标文件的供应商对该文件提出的质疑，采购人或采购代理机构将不予处理；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7）不提供招标文件纸质版。</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8）投标文件的传输递交：投标人在投标截止时间前将加密的投标文件上传至政府采购云平台，还可以在投标截止时间前直接提交或者以邮政快递方式递交备份投标文件1份。备份投标文件的制作、存储、密封详见</w:t>
      </w:r>
      <w:r>
        <w:rPr>
          <w:rFonts w:hint="eastAsia" w:ascii="仿宋" w:hAnsi="仿宋" w:eastAsia="仿宋" w:cs="仿宋"/>
          <w:sz w:val="24"/>
          <w:lang w:eastAsia="zh-CN"/>
        </w:rPr>
        <w:t>谈判</w:t>
      </w:r>
      <w:r>
        <w:rPr>
          <w:rFonts w:hint="eastAsia" w:ascii="仿宋" w:hAnsi="仿宋" w:eastAsia="仿宋" w:cs="仿宋"/>
          <w:sz w:val="24"/>
        </w:rPr>
        <w:t>文</w:t>
      </w:r>
      <w:r>
        <w:rPr>
          <w:rFonts w:hint="eastAsia" w:ascii="仿宋" w:hAnsi="仿宋" w:eastAsia="仿宋" w:cs="仿宋"/>
          <w:sz w:val="24"/>
          <w:highlight w:val="none"/>
        </w:rPr>
        <w:t>件第二部分第</w:t>
      </w:r>
      <w:r>
        <w:rPr>
          <w:rFonts w:hint="eastAsia" w:ascii="仿宋" w:hAnsi="仿宋" w:eastAsia="仿宋" w:cs="仿宋"/>
          <w:sz w:val="24"/>
        </w:rPr>
        <w:t>七、响应文件的提交和备份</w:t>
      </w:r>
      <w:r>
        <w:rPr>
          <w:rFonts w:hint="eastAsia" w:ascii="仿宋" w:hAnsi="仿宋" w:eastAsia="仿宋" w:cs="仿宋"/>
          <w:sz w:val="24"/>
          <w:lang w:eastAsia="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10）具体操作指南：详见政采云平台“服务中心-帮助文档-项目采购-操作流程-电子招投标-政府采购项目电子交易管理操作指南-供应商”。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w:t>
      </w:r>
      <w:r>
        <w:rPr>
          <w:rStyle w:val="24"/>
          <w:rFonts w:hint="eastAsia" w:ascii="仿宋" w:hAnsi="仿宋" w:eastAsia="仿宋" w:cs="仿宋"/>
          <w:color w:val="auto"/>
          <w:sz w:val="24"/>
        </w:rPr>
        <w:t>杭州市临安区数据资源管理局</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val="en-US" w:eastAsia="zh-CN"/>
        </w:rPr>
        <w:t>杭州市临安区锦城街道衣锦街398号2号楼</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eastAsia="仿宋" w:cs="仿宋"/>
          <w:sz w:val="24"/>
          <w:lang w:val="en-US" w:eastAsia="zh-CN"/>
        </w:rPr>
        <w:t>方忠平</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项目联系方式：</w:t>
      </w:r>
      <w:r>
        <w:rPr>
          <w:rFonts w:hint="eastAsia" w:ascii="仿宋" w:hAnsi="仿宋" w:eastAsia="仿宋" w:cs="仿宋"/>
          <w:sz w:val="24"/>
          <w:lang w:val="en-US" w:eastAsia="zh-CN"/>
        </w:rPr>
        <w:t>0571-63700016</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eastAsia="zh-CN"/>
        </w:rPr>
        <w:t>浙江省杭州市临安区锦北街道科技大道</w:t>
      </w:r>
      <w:r>
        <w:rPr>
          <w:rFonts w:hint="eastAsia" w:ascii="仿宋" w:hAnsi="仿宋" w:eastAsia="仿宋" w:cs="仿宋"/>
          <w:sz w:val="24"/>
          <w:lang w:val="en-US" w:eastAsia="zh-CN"/>
        </w:rPr>
        <w:t>4398号市民中心B座B448政府采购办公室</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w:t>
      </w:r>
      <w:r>
        <w:rPr>
          <w:rFonts w:hint="eastAsia" w:ascii="仿宋" w:hAnsi="仿宋" w:eastAsia="仿宋" w:cs="仿宋"/>
          <w:sz w:val="24"/>
          <w:lang w:val="en-US"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项目联系方式：0571-</w:t>
      </w:r>
      <w:r>
        <w:rPr>
          <w:rFonts w:hint="eastAsia" w:ascii="仿宋" w:hAnsi="仿宋" w:eastAsia="仿宋" w:cs="仿宋"/>
          <w:sz w:val="24"/>
          <w:lang w:val="en-US" w:eastAsia="zh-CN"/>
        </w:rPr>
        <w:t>23616011</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张晨</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w:t>
      </w:r>
      <w:r>
        <w:rPr>
          <w:rFonts w:hint="eastAsia" w:ascii="仿宋" w:hAnsi="仿宋" w:eastAsia="仿宋" w:cs="仿宋"/>
          <w:sz w:val="24"/>
          <w:lang w:val="en-US" w:eastAsia="zh-CN"/>
        </w:rPr>
        <w:t>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址：临天路1950号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真：0571-63722886 </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：喻伟建 </w:t>
      </w:r>
    </w:p>
    <w:p>
      <w:pPr>
        <w:spacing w:line="360" w:lineRule="auto"/>
        <w:rPr>
          <w:rFonts w:hint="eastAsia" w:ascii="仿宋" w:hAnsi="仿宋" w:eastAsia="仿宋" w:cs="仿宋"/>
          <w:sz w:val="24"/>
        </w:rPr>
      </w:pPr>
      <w:r>
        <w:rPr>
          <w:rFonts w:hint="eastAsia" w:ascii="仿宋" w:hAnsi="仿宋" w:eastAsia="仿宋" w:cs="仿宋"/>
          <w:sz w:val="24"/>
        </w:rPr>
        <w:t xml:space="preserve">    监督投诉电话：0571-61073953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CA问题联系电话（人工）：汇信CA 400-888-4636；天谷CA 400-087-8198。                  </w:t>
      </w:r>
    </w:p>
    <w:p>
      <w:pPr>
        <w:pStyle w:val="1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p>
    <w:p>
      <w:pPr>
        <w:rPr>
          <w:rFonts w:hint="eastAsia" w:ascii="仿宋" w:hAnsi="仿宋" w:eastAsia="仿宋" w:cs="仿宋"/>
        </w:rPr>
      </w:pPr>
    </w:p>
    <w:p>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第二部分 投标人须知</w:t>
      </w:r>
    </w:p>
    <w:p>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lang w:eastAsia="zh-CN"/>
          <w14:textFill>
            <w14:solidFill>
              <w14:schemeClr w14:val="tx1"/>
            </w14:solidFill>
          </w14:textFill>
        </w:rPr>
        <w:t>一、</w:t>
      </w:r>
      <w:r>
        <w:rPr>
          <w:rFonts w:hint="eastAsia" w:ascii="仿宋" w:hAnsi="仿宋" w:eastAsia="仿宋" w:cs="仿宋"/>
          <w:b/>
          <w:color w:val="000000" w:themeColor="text1"/>
          <w:sz w:val="32"/>
          <w:szCs w:val="20"/>
          <w14:textFill>
            <w14:solidFill>
              <w14:schemeClr w14:val="tx1"/>
            </w14:solidFill>
          </w14:textFill>
        </w:rPr>
        <w:t>前附表</w:t>
      </w:r>
    </w:p>
    <w:tbl>
      <w:tblPr>
        <w:tblStyle w:val="1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11"/>
        <w:gridCol w:w="1473"/>
        <w:gridCol w:w="62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881"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375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4"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881"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375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有关本项目建设所需的</w:t>
            </w:r>
            <w:r>
              <w:rPr>
                <w:rFonts w:hint="eastAsia" w:ascii="仿宋" w:hAnsi="仿宋" w:eastAsia="仿宋" w:cs="仿宋"/>
                <w:color w:val="000000" w:themeColor="text1"/>
                <w:sz w:val="24"/>
                <w:highlight w:val="none"/>
                <w14:textFill>
                  <w14:solidFill>
                    <w14:schemeClr w14:val="tx1"/>
                  </w14:solidFill>
                </w14:textFill>
              </w:rPr>
              <w:t>人工成本费用、维修费用、物耗费用、添置费用、能耗费用、管理酬金、税费</w:t>
            </w:r>
            <w:r>
              <w:rPr>
                <w:rFonts w:hint="eastAsia" w:ascii="仿宋" w:hAnsi="仿宋" w:eastAsia="仿宋" w:cs="仿宋"/>
                <w:color w:val="000000" w:themeColor="text1"/>
                <w:kern w:val="0"/>
                <w:sz w:val="24"/>
                <w:highlight w:val="none"/>
                <w:lang w:val="zh-CN"/>
                <w14:textFill>
                  <w14:solidFill>
                    <w14:schemeClr w14:val="tx1"/>
                  </w14:solidFill>
                </w14:textFill>
              </w:rPr>
              <w:t>等费用均计入报价。</w:t>
            </w:r>
            <w:r>
              <w:rPr>
                <w:rFonts w:hint="eastAsia" w:ascii="仿宋" w:hAnsi="仿宋" w:eastAsia="仿宋" w:cs="仿宋"/>
                <w:color w:val="000000" w:themeColor="text1"/>
                <w:sz w:val="24"/>
                <w:highlight w:val="none"/>
                <w14:textFill>
                  <w14:solidFill>
                    <w14:schemeClr w14:val="tx1"/>
                  </w14:solidFill>
                </w14:textFill>
              </w:rPr>
              <w:t>《投标（开标）一览表》是报价的唯一载体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w:t>
            </w:r>
            <w:r>
              <w:rPr>
                <w:rFonts w:hint="eastAsia" w:ascii="仿宋" w:hAnsi="仿宋" w:eastAsia="仿宋" w:cs="仿宋"/>
                <w:color w:val="000000" w:themeColor="text1"/>
                <w:kern w:val="0"/>
                <w:sz w:val="24"/>
                <w:lang w:val="zh-CN"/>
                <w14:textFill>
                  <w14:solidFill>
                    <w14:schemeClr w14:val="tx1"/>
                  </w14:solidFill>
                </w14:textFill>
              </w:rPr>
              <w:t>必需的费用也需列入报</w:t>
            </w:r>
            <w:r>
              <w:rPr>
                <w:rFonts w:hint="eastAsia" w:ascii="仿宋" w:hAnsi="仿宋" w:eastAsia="仿宋" w:cs="仿宋"/>
                <w:b w:val="0"/>
                <w:bCs w:val="0"/>
                <w:color w:val="000000" w:themeColor="text1"/>
                <w:kern w:val="0"/>
                <w:sz w:val="24"/>
                <w:lang w:val="zh-CN"/>
                <w14:textFill>
                  <w14:solidFill>
                    <w14:schemeClr w14:val="tx1"/>
                  </w14:solidFill>
                </w14:textFill>
              </w:rPr>
              <w:t>价。</w:t>
            </w:r>
          </w:p>
          <w:p>
            <w:pPr>
              <w:snapToGrid w:val="0"/>
              <w:spacing w:line="360" w:lineRule="auto"/>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投标报价出现下列情形的，投标无效：</w:t>
            </w:r>
          </w:p>
          <w:p>
            <w:pPr>
              <w:snapToGrid w:val="0"/>
              <w:spacing w:line="360" w:lineRule="auto"/>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▲投标报价高于本项目采购预算或者最高限价的;</w:t>
            </w: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color w:val="000000" w:themeColor="text1"/>
                <w:sz w:val="24"/>
                <w:szCs w:val="21"/>
                <w14:textFill>
                  <w14:solidFill>
                    <w14:schemeClr w14:val="tx1"/>
                  </w14:solidFill>
                </w14:textFill>
              </w:rPr>
              <w:t>;</w:t>
            </w:r>
          </w:p>
          <w:p>
            <w:pPr>
              <w:spacing w:line="360" w:lineRule="auto"/>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▲《投标（开标）一览表》填写不完整或字迹不能辨认或有漏项的；</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2"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c>
          <w:tcPr>
            <w:tcW w:w="881"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3752"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2"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881"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3752" w:type="pct"/>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仿宋" w:hAnsi="仿宋" w:eastAsia="仿宋" w:cs="仿宋"/>
                <w:color w:val="000000" w:themeColor="text1"/>
                <w:sz w:val="24"/>
                <w:szCs w:val="20"/>
                <w:lang w:eastAsia="zh-CN"/>
                <w14:textFill>
                  <w14:solidFill>
                    <w14:schemeClr w14:val="tx1"/>
                  </w14:solidFill>
                </w14:textFill>
              </w:rPr>
            </w:pPr>
            <w:r>
              <w:rPr>
                <w:rFonts w:hint="eastAsia" w:ascii="仿宋" w:hAnsi="仿宋" w:eastAsia="仿宋" w:cs="仿宋"/>
                <w:sz w:val="24"/>
                <w:lang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2"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c>
          <w:tcPr>
            <w:tcW w:w="881"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3752" w:type="pct"/>
            <w:tcBorders>
              <w:top w:val="single" w:color="000000" w:sz="8" w:space="0"/>
              <w:left w:val="single" w:color="000000" w:sz="2" w:space="0"/>
              <w:bottom w:val="single" w:color="000000" w:sz="8" w:space="0"/>
              <w:right w:val="single" w:color="000000" w:sz="8" w:space="0"/>
            </w:tcBorders>
            <w:vAlign w:val="center"/>
          </w:tcPr>
          <w:p>
            <w:pPr>
              <w:widowControl/>
              <w:spacing w:before="100" w:beforeAutospacing="1" w:after="240"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c>
          <w:tcPr>
            <w:tcW w:w="88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3752" w:type="pct"/>
            <w:tcBorders>
              <w:top w:val="single" w:color="000000" w:sz="8" w:space="0"/>
              <w:left w:val="single" w:color="000000" w:sz="2" w:space="0"/>
              <w:bottom w:val="single" w:color="000000" w:sz="8" w:space="0"/>
              <w:right w:val="single" w:color="000000" w:sz="8" w:space="0"/>
            </w:tcBorders>
            <w:vAlign w:val="center"/>
          </w:tcPr>
          <w:p>
            <w:pPr>
              <w:pStyle w:val="12"/>
              <w:jc w:val="left"/>
              <w:rPr>
                <w:rFonts w:hint="eastAsia" w:ascii="仿宋" w:hAnsi="仿宋" w:eastAsia="仿宋" w:cs="仿宋"/>
                <w:b/>
                <w:snapToGrid/>
                <w:color w:val="000000" w:themeColor="text1"/>
                <w:kern w:val="0"/>
                <w:sz w:val="24"/>
                <w:szCs w:val="20"/>
                <w:lang w:val="zh-CN"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88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375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snapToGrid/>
                <w:color w:val="000000" w:themeColor="text1"/>
                <w:kern w:val="0"/>
                <w:sz w:val="24"/>
                <w:szCs w:val="20"/>
                <w:highlight w:val="none"/>
                <w:lang w:val="zh-CN" w:eastAsia="zh-CN"/>
                <w14:textFill>
                  <w14:solidFill>
                    <w14:schemeClr w14:val="tx1"/>
                  </w14:solidFill>
                </w14:textFill>
              </w:rPr>
            </w:pPr>
            <w:r>
              <w:rPr>
                <w:rFonts w:hint="eastAsia" w:ascii="仿宋" w:hAnsi="仿宋" w:eastAsia="仿宋" w:cs="仿宋"/>
                <w:sz w:val="24"/>
                <w:highlight w:val="none"/>
                <w:lang w:val="en-US" w:eastAsia="zh-CN"/>
              </w:rPr>
              <w:t>货物</w:t>
            </w:r>
            <w:r>
              <w:rPr>
                <w:rFonts w:hint="eastAsia" w:ascii="仿宋" w:hAnsi="仿宋" w:eastAsia="仿宋" w:cs="仿宋"/>
                <w:sz w:val="24"/>
                <w:highlight w:val="none"/>
              </w:rPr>
              <w:t>类</w:t>
            </w:r>
            <w:r>
              <w:rPr>
                <w:rFonts w:hint="eastAsia" w:ascii="仿宋" w:hAnsi="仿宋" w:eastAsia="仿宋" w:cs="仿宋"/>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88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中小企业信用融资</w:t>
            </w:r>
          </w:p>
        </w:tc>
        <w:tc>
          <w:tcPr>
            <w:tcW w:w="3752"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pStyle w:val="12"/>
        <w:snapToGrid w:val="0"/>
        <w:spacing w:before="0" w:beforeLines="0" w:after="0" w:afterLines="0" w:line="360" w:lineRule="exact"/>
        <w:jc w:val="center"/>
        <w:outlineLvl w:val="1"/>
        <w:rPr>
          <w:rFonts w:hint="eastAsia" w:ascii="仿宋" w:hAnsi="仿宋" w:eastAsia="仿宋" w:cs="仿宋"/>
          <w:b/>
          <w:sz w:val="30"/>
          <w:szCs w:val="30"/>
          <w:lang w:eastAsia="zh-CN"/>
        </w:rPr>
      </w:pPr>
    </w:p>
    <w:p>
      <w:pPr>
        <w:pStyle w:val="12"/>
        <w:snapToGrid w:val="0"/>
        <w:spacing w:before="0" w:beforeLines="0" w:after="0" w:afterLines="0" w:line="360" w:lineRule="exact"/>
        <w:jc w:val="center"/>
        <w:outlineLvl w:val="1"/>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、总  则</w:t>
      </w:r>
    </w:p>
    <w:p>
      <w:pPr>
        <w:snapToGrid w:val="0"/>
        <w:spacing w:line="380" w:lineRule="exact"/>
        <w:jc w:val="left"/>
        <w:outlineLvl w:val="2"/>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适用范围</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仅适用于本次采购文件中采购项目的谈判、验收、合同履约、付款等行为（法律、法规另有规定的，从其规定）。</w:t>
      </w:r>
    </w:p>
    <w:p>
      <w:pPr>
        <w:snapToGrid w:val="0"/>
        <w:spacing w:line="380" w:lineRule="exact"/>
        <w:jc w:val="left"/>
        <w:outlineLvl w:val="2"/>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w:t>
      </w:r>
      <w:r>
        <w:rPr>
          <w:rFonts w:hint="eastAsia" w:ascii="仿宋" w:hAnsi="仿宋" w:eastAsia="仿宋" w:cs="仿宋"/>
          <w:sz w:val="24"/>
          <w:lang w:eastAsia="zh-CN"/>
        </w:rPr>
        <w:t>谈判</w:t>
      </w:r>
      <w:r>
        <w:rPr>
          <w:rFonts w:hint="eastAsia" w:ascii="仿宋" w:hAnsi="仿宋" w:eastAsia="仿宋" w:cs="仿宋"/>
          <w:sz w:val="24"/>
        </w:rPr>
        <w:t>邀请公告中载明的本项目的采购人。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w:t>
      </w:r>
      <w:r>
        <w:rPr>
          <w:rFonts w:hint="eastAsia" w:ascii="仿宋" w:hAnsi="仿宋" w:eastAsia="仿宋" w:cs="仿宋"/>
          <w:sz w:val="24"/>
          <w:lang w:eastAsia="zh-CN"/>
        </w:rPr>
        <w:t>谈判</w:t>
      </w:r>
      <w:r>
        <w:rPr>
          <w:rFonts w:hint="eastAsia" w:ascii="仿宋" w:hAnsi="仿宋" w:eastAsia="仿宋" w:cs="仿宋"/>
          <w:sz w:val="24"/>
        </w:rPr>
        <w:t>邀请公告中载明的本项目的采购机构。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w:t>
      </w:r>
      <w:r>
        <w:rPr>
          <w:rFonts w:hint="eastAsia" w:ascii="仿宋" w:hAnsi="仿宋" w:eastAsia="仿宋" w:cs="仿宋"/>
          <w:sz w:val="24"/>
          <w:lang w:eastAsia="zh-CN"/>
        </w:rPr>
        <w:t>谈判</w:t>
      </w:r>
      <w:r>
        <w:rPr>
          <w:rFonts w:hint="eastAsia" w:ascii="仿宋" w:hAnsi="仿宋" w:eastAsia="仿宋" w:cs="仿宋"/>
          <w:sz w:val="24"/>
        </w:rPr>
        <w:t>、参加本次竞争的法人、其他组织或自然人。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2.7“电子交易平台”是指本项目政府采购活动所依托的政府采购云平台（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22"/>
          <w:rFonts w:hint="eastAsia" w:ascii="仿宋" w:hAnsi="仿宋" w:eastAsia="仿宋" w:cs="仿宋"/>
          <w:snapToGrid/>
          <w:color w:val="auto"/>
          <w:kern w:val="2"/>
          <w:sz w:val="24"/>
          <w:szCs w:val="24"/>
        </w:rPr>
        <w:t>https://www.zcygov.cn/</w:t>
      </w:r>
      <w:r>
        <w:rPr>
          <w:rFonts w:hint="eastAsia" w:ascii="仿宋" w:hAnsi="仿宋" w:eastAsia="仿宋" w:cs="仿宋"/>
          <w:sz w:val="24"/>
        </w:rPr>
        <w:fldChar w:fldCharType="end"/>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2.10 “▲” 系指实质性要求条款， “</w:t>
      </w:r>
      <w:r>
        <w:rPr>
          <w:rFonts w:hint="eastAsia" w:ascii="仿宋" w:hAnsi="仿宋" w:eastAsia="仿宋" w:cs="仿宋"/>
          <w:b/>
          <w:sz w:val="24"/>
        </w:rPr>
        <w:t>※</w:t>
      </w:r>
      <w:r>
        <w:rPr>
          <w:rFonts w:hint="eastAsia" w:ascii="仿宋" w:hAnsi="仿宋" w:eastAsia="仿宋" w:cs="仿宋"/>
          <w:sz w:val="24"/>
        </w:rPr>
        <w:t>”系指</w:t>
      </w:r>
      <w:r>
        <w:rPr>
          <w:rFonts w:hint="eastAsia" w:ascii="仿宋" w:hAnsi="仿宋" w:eastAsia="仿宋" w:cs="仿宋"/>
          <w:sz w:val="24"/>
          <w:lang w:eastAsia="zh-CN"/>
        </w:rPr>
        <w:t>谈判</w:t>
      </w:r>
      <w:r>
        <w:rPr>
          <w:rFonts w:hint="eastAsia" w:ascii="仿宋" w:hAnsi="仿宋" w:eastAsia="仿宋" w:cs="仿宋"/>
          <w:sz w:val="24"/>
        </w:rPr>
        <w:t>过程中可能实质性变动的内容。</w:t>
      </w:r>
    </w:p>
    <w:p>
      <w:pPr>
        <w:snapToGrid w:val="0"/>
        <w:spacing w:line="380" w:lineRule="exact"/>
        <w:jc w:val="left"/>
        <w:outlineLvl w:val="2"/>
        <w:rPr>
          <w:rFonts w:hint="eastAsia" w:ascii="仿宋" w:hAnsi="仿宋" w:eastAsia="仿宋" w:cs="仿宋"/>
          <w:sz w:val="24"/>
        </w:rPr>
      </w:pPr>
      <w:r>
        <w:rPr>
          <w:rFonts w:hint="eastAsia" w:ascii="仿宋" w:hAnsi="仿宋" w:eastAsia="仿宋" w:cs="仿宋"/>
          <w:b/>
          <w:bCs/>
          <w:sz w:val="24"/>
          <w:lang w:val="en-US" w:eastAsia="zh-CN"/>
        </w:rPr>
        <w:t>3.</w:t>
      </w:r>
      <w:r>
        <w:rPr>
          <w:rFonts w:hint="eastAsia" w:ascii="仿宋" w:hAnsi="仿宋" w:eastAsia="仿宋" w:cs="仿宋"/>
          <w:b/>
          <w:bCs/>
          <w:sz w:val="24"/>
        </w:rPr>
        <w:t>谈判费用</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不论谈判结果如何，谈判响应方均应自行承担所有与谈判有关的全部费用（采购文件有其他规定的除外）。</w:t>
      </w:r>
    </w:p>
    <w:p>
      <w:pPr>
        <w:snapToGrid w:val="0"/>
        <w:spacing w:line="380" w:lineRule="exact"/>
        <w:jc w:val="left"/>
        <w:outlineLvl w:val="2"/>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特别说明</w:t>
      </w:r>
    </w:p>
    <w:p>
      <w:pPr>
        <w:pStyle w:val="12"/>
        <w:snapToGrid w:val="0"/>
        <w:spacing w:before="0" w:beforeLines="0" w:after="0" w:afterLines="0" w:line="380" w:lineRule="exact"/>
        <w:ind w:left="2" w:leftChars="1" w:firstLine="480" w:firstLineChars="200"/>
        <w:rPr>
          <w:rFonts w:hint="eastAsia" w:ascii="仿宋" w:hAnsi="仿宋" w:eastAsia="仿宋" w:cs="仿宋"/>
        </w:rPr>
      </w:pPr>
      <w:r>
        <w:rPr>
          <w:rFonts w:hint="eastAsia" w:ascii="仿宋" w:hAnsi="仿宋" w:eastAsia="仿宋" w:cs="仿宋"/>
          <w:lang w:val="en-US" w:eastAsia="zh-CN"/>
        </w:rPr>
        <w:t>4.1</w:t>
      </w:r>
      <w:r>
        <w:rPr>
          <w:rFonts w:hint="eastAsia" w:ascii="仿宋" w:hAnsi="仿宋" w:eastAsia="仿宋" w:cs="仿宋"/>
        </w:rPr>
        <w:t>谈判响应方谈判所使用的资格、信誉、荣誉、业绩与企业认证必须为本法人所拥有。谈判响应方谈判所使用的采购项目实施人员必须为本法人员工（或必须为本法人或控股公司正式员工）。</w:t>
      </w:r>
    </w:p>
    <w:p>
      <w:pPr>
        <w:pStyle w:val="12"/>
        <w:snapToGrid w:val="0"/>
        <w:spacing w:before="0" w:beforeLines="0" w:after="0" w:afterLines="0" w:line="380" w:lineRule="exact"/>
        <w:ind w:left="2" w:leftChars="1" w:firstLine="480" w:firstLineChars="200"/>
        <w:rPr>
          <w:rFonts w:hint="eastAsia" w:ascii="仿宋" w:hAnsi="仿宋" w:eastAsia="仿宋" w:cs="仿宋"/>
        </w:rPr>
      </w:pPr>
      <w:r>
        <w:rPr>
          <w:rFonts w:hint="eastAsia" w:ascii="仿宋" w:hAnsi="仿宋" w:eastAsia="仿宋" w:cs="仿宋"/>
          <w:lang w:val="en-US" w:eastAsia="zh-CN"/>
        </w:rPr>
        <w:t>4.2</w:t>
      </w:r>
      <w:r>
        <w:rPr>
          <w:rFonts w:hint="eastAsia" w:ascii="仿宋" w:hAnsi="仿宋" w:eastAsia="仿宋" w:cs="仿宋"/>
        </w:rPr>
        <w:t>谈判响应方应仔细阅读采购文件的所有内容，按照采购文件的要求提交谈判响应文件，并对所提供的全部资料的真实性承担法律责任。</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lang w:eastAsia="zh-CN"/>
        </w:rPr>
        <w:t>谈判</w:t>
      </w:r>
      <w:r>
        <w:rPr>
          <w:rFonts w:hint="eastAsia" w:ascii="仿宋" w:hAnsi="仿宋" w:eastAsia="仿宋" w:cs="仿宋"/>
          <w:b/>
          <w:sz w:val="24"/>
        </w:rPr>
        <w:t>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sz w:val="24"/>
          <w:szCs w:val="20"/>
          <w:lang w:val="en-US" w:eastAsia="zh-CN"/>
        </w:rPr>
        <w:t>5</w:t>
      </w:r>
      <w:r>
        <w:rPr>
          <w:rFonts w:hint="eastAsia" w:ascii="仿宋" w:hAnsi="仿宋" w:eastAsia="仿宋" w:cs="仿宋"/>
          <w:sz w:val="24"/>
          <w:szCs w:val="20"/>
        </w:rPr>
        <w:t>.1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w:t>
      </w:r>
      <w:r>
        <w:rPr>
          <w:rFonts w:hint="eastAsia" w:ascii="仿宋" w:hAnsi="仿宋" w:eastAsia="仿宋" w:cs="仿宋"/>
          <w:b/>
          <w:sz w:val="24"/>
          <w:szCs w:val="21"/>
          <w:lang w:eastAsia="zh-CN"/>
        </w:rPr>
        <w:t>谈判</w:t>
      </w:r>
      <w:r>
        <w:rPr>
          <w:rFonts w:hint="eastAsia" w:ascii="仿宋" w:hAnsi="仿宋" w:eastAsia="仿宋" w:cs="仿宋"/>
          <w:b/>
          <w:sz w:val="24"/>
          <w:szCs w:val="21"/>
        </w:rPr>
        <w:t>文件中载明的</w:t>
      </w:r>
      <w:r>
        <w:rPr>
          <w:rFonts w:hint="eastAsia" w:ascii="仿宋" w:hAnsi="仿宋" w:eastAsia="仿宋" w:cs="仿宋"/>
          <w:b/>
          <w:sz w:val="24"/>
          <w:szCs w:val="21"/>
          <w:lang w:eastAsia="zh-CN"/>
        </w:rPr>
        <w:t>谈判</w:t>
      </w:r>
      <w:r>
        <w:rPr>
          <w:rFonts w:hint="eastAsia" w:ascii="仿宋" w:hAnsi="仿宋" w:eastAsia="仿宋" w:cs="仿宋"/>
          <w:b/>
          <w:sz w:val="24"/>
          <w:szCs w:val="21"/>
        </w:rPr>
        <w:t>有效期的，响应无效。</w:t>
      </w:r>
    </w:p>
    <w:p>
      <w:pPr>
        <w:pStyle w:val="25"/>
        <w:spacing w:before="0"/>
        <w:ind w:firstLine="480"/>
        <w:rPr>
          <w:rFonts w:hint="eastAsia" w:ascii="仿宋" w:hAnsi="仿宋" w:eastAsia="仿宋" w:cs="仿宋"/>
        </w:rPr>
      </w:pPr>
      <w:r>
        <w:rPr>
          <w:rFonts w:hint="eastAsia" w:ascii="仿宋" w:hAnsi="仿宋" w:eastAsia="仿宋" w:cs="仿宋"/>
        </w:rPr>
        <w:t>3.2响应文件合格投递后，自响应截止日期起，在响应有效期内有效。</w:t>
      </w:r>
    </w:p>
    <w:p>
      <w:pPr>
        <w:pStyle w:val="25"/>
        <w:spacing w:before="0"/>
        <w:ind w:firstLine="48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w:t>
      </w:r>
      <w:r>
        <w:rPr>
          <w:rFonts w:hint="eastAsia" w:ascii="仿宋" w:hAnsi="仿宋" w:eastAsia="仿宋" w:cs="仿宋"/>
          <w:szCs w:val="24"/>
          <w:lang w:eastAsia="zh-CN"/>
        </w:rPr>
        <w:t>谈判</w:t>
      </w:r>
      <w:r>
        <w:rPr>
          <w:rFonts w:hint="eastAsia" w:ascii="仿宋" w:hAnsi="仿宋" w:eastAsia="仿宋" w:cs="仿宋"/>
          <w:szCs w:val="24"/>
        </w:rPr>
        <w:t>有效期的供应商不得再参与该项目后续采购活动。</w:t>
      </w:r>
    </w:p>
    <w:p>
      <w:pPr>
        <w:pStyle w:val="12"/>
        <w:snapToGrid w:val="0"/>
        <w:spacing w:before="0" w:beforeLines="0" w:after="0" w:afterLines="0" w:line="380" w:lineRule="exact"/>
        <w:ind w:firstLine="480" w:firstLineChars="200"/>
        <w:rPr>
          <w:rFonts w:hint="eastAsia" w:ascii="仿宋" w:hAnsi="仿宋" w:eastAsia="仿宋" w:cs="仿宋"/>
          <w:lang w:val="en-US" w:eastAsia="zh-CN"/>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pPr>
        <w:pStyle w:val="25"/>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pPr>
        <w:pStyle w:val="12"/>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2. 节能环保要求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w:t>
      </w:r>
      <w:r>
        <w:rPr>
          <w:rFonts w:hint="eastAsia" w:ascii="仿宋" w:hAnsi="仿宋" w:eastAsia="仿宋" w:cs="仿宋"/>
          <w:sz w:val="24"/>
          <w:lang w:eastAsia="zh-CN"/>
        </w:rPr>
        <w:t>谈判</w:t>
      </w:r>
      <w:r>
        <w:rPr>
          <w:rFonts w:hint="eastAsia" w:ascii="仿宋" w:hAnsi="仿宋" w:eastAsia="仿宋" w:cs="仿宋"/>
          <w:sz w:val="24"/>
        </w:rPr>
        <w:t>文件要求提供相关产品认证证书。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2.2 </w:t>
      </w:r>
      <w:r>
        <w:rPr>
          <w:rFonts w:hint="eastAsia" w:ascii="仿宋" w:hAnsi="仿宋" w:eastAsia="仿宋" w:cs="仿宋"/>
          <w:sz w:val="24"/>
          <w:szCs w:val="20"/>
        </w:rPr>
        <w:t>▲</w:t>
      </w:r>
      <w:r>
        <w:rPr>
          <w:rFonts w:hint="eastAsia" w:ascii="仿宋" w:hAnsi="仿宋" w:eastAsia="仿宋" w:cs="仿宋"/>
          <w:b/>
          <w:sz w:val="24"/>
        </w:rPr>
        <w:t>采购人拟采购的产品属于政府强制采购的节能产品品目清单范围的，供应商未按</w:t>
      </w:r>
      <w:r>
        <w:rPr>
          <w:rFonts w:hint="eastAsia" w:ascii="仿宋" w:hAnsi="仿宋" w:eastAsia="仿宋" w:cs="仿宋"/>
          <w:b/>
          <w:sz w:val="24"/>
          <w:lang w:eastAsia="zh-CN"/>
        </w:rPr>
        <w:t>谈判</w:t>
      </w:r>
      <w:r>
        <w:rPr>
          <w:rFonts w:hint="eastAsia" w:ascii="仿宋" w:hAnsi="仿宋" w:eastAsia="仿宋" w:cs="仿宋"/>
          <w:b/>
          <w:sz w:val="24"/>
        </w:rPr>
        <w:t>文件要求提供国家确定的认证机构出具的、处于有效期之内的节能产品认证证书，响应无效。</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szCs w:val="24"/>
        </w:rPr>
        <w:t>3.</w:t>
      </w:r>
      <w:r>
        <w:rPr>
          <w:rFonts w:hint="eastAsia" w:ascii="仿宋" w:hAnsi="仿宋" w:eastAsia="仿宋" w:cs="仿宋"/>
          <w:bCs/>
          <w:sz w:val="24"/>
        </w:rPr>
        <w:t>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3.3对于未预留份额专门面向中小企业的政府采购货物或服务项目，以及预留份额政府采购货物或服务项目中的非预留部分标项，对小型和微型企业的投标报价给予10 %的扣除，用扣除后的价格参与评审。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3.5符合《关于促进残疾人就业政府采购政策的通知》（财库〔2017〕141号）规定的条件并提供《残疾人福利性单位声明函》（附件5）的残疾人福利性单位视同小型、微型企业；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rPr>
          <w:rFonts w:hint="eastAsia" w:ascii="仿宋" w:hAnsi="仿宋" w:eastAsia="仿宋" w:cs="仿宋"/>
          <w:b/>
          <w:sz w:val="24"/>
        </w:rPr>
      </w:pPr>
      <w:r>
        <w:rPr>
          <w:rFonts w:hint="eastAsia" w:ascii="仿宋" w:hAnsi="仿宋" w:eastAsia="仿宋" w:cs="仿宋"/>
          <w:b/>
          <w:sz w:val="24"/>
        </w:rPr>
        <w:t>4. 中小企业信用融资</w:t>
      </w:r>
    </w:p>
    <w:p>
      <w:pPr>
        <w:pStyle w:val="12"/>
        <w:spacing w:line="360" w:lineRule="auto"/>
        <w:ind w:firstLine="360" w:firstLineChars="150"/>
        <w:rPr>
          <w:rFonts w:hint="eastAsia" w:ascii="仿宋" w:hAnsi="仿宋" w:eastAsia="仿宋" w:cs="仿宋"/>
          <w:sz w:val="24"/>
        </w:rPr>
      </w:pPr>
      <w:r>
        <w:rPr>
          <w:rFonts w:hint="eastAsia" w:ascii="仿宋" w:hAnsi="仿宋" w:eastAsia="仿宋" w:cs="仿宋"/>
          <w:sz w:val="24"/>
        </w:rPr>
        <w:t>凡已在浙江政府采购网网上注册入库，并取得临安区政府采购合同的中小企业供应商，均可申请政府采购信用融资</w:t>
      </w:r>
      <w:r>
        <w:rPr>
          <w:rFonts w:hint="eastAsia" w:ascii="仿宋" w:hAnsi="仿宋" w:eastAsia="仿宋" w:cs="仿宋"/>
          <w:sz w:val="24"/>
          <w:lang w:eastAsia="zh-CN"/>
        </w:rPr>
        <w:t>，</w:t>
      </w:r>
      <w:r>
        <w:rPr>
          <w:rFonts w:hint="eastAsia" w:ascii="仿宋" w:hAnsi="仿宋" w:eastAsia="仿宋" w:cs="仿宋"/>
          <w:sz w:val="24"/>
        </w:rPr>
        <w:t>联系方式见附表（政府采购融资畅通工程金融机构联系信息表）</w:t>
      </w:r>
      <w:r>
        <w:rPr>
          <w:rFonts w:hint="eastAsia" w:ascii="仿宋" w:hAnsi="仿宋" w:eastAsia="仿宋" w:cs="仿宋"/>
          <w:sz w:val="24"/>
          <w:lang w:eastAsia="zh-CN"/>
        </w:rPr>
        <w:t>。</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pPr>
        <w:spacing w:line="360" w:lineRule="auto"/>
        <w:rPr>
          <w:rFonts w:hint="eastAsia" w:ascii="仿宋" w:hAnsi="仿宋" w:eastAsia="仿宋" w:cs="仿宋"/>
          <w:b/>
          <w:sz w:val="24"/>
        </w:rPr>
      </w:pPr>
      <w:r>
        <w:rPr>
          <w:rFonts w:hint="eastAsia" w:ascii="仿宋" w:hAnsi="仿宋" w:eastAsia="仿宋" w:cs="仿宋"/>
          <w:b/>
          <w:sz w:val="24"/>
        </w:rPr>
        <w:t>1. 供应商询问</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根据采购人与采购机构签订的《杭州市</w:t>
      </w:r>
      <w:r>
        <w:rPr>
          <w:rFonts w:hint="eastAsia" w:ascii="仿宋" w:hAnsi="仿宋" w:eastAsia="仿宋" w:cs="仿宋"/>
          <w:sz w:val="24"/>
          <w:lang w:eastAsia="zh-CN"/>
        </w:rPr>
        <w:t>临安区</w:t>
      </w:r>
      <w:r>
        <w:rPr>
          <w:rFonts w:hint="eastAsia" w:ascii="仿宋" w:hAnsi="仿宋" w:eastAsia="仿宋" w:cs="仿宋"/>
          <w:sz w:val="24"/>
        </w:rPr>
        <w:t>集中采购年度委托协议》的规定：供应商可以就采购文件中特定资格条件、采购需求、评分办法及采购过程中有关现场考察或开启响应文件前答疑会事项向采购人提出询问，采购人将对此作出答复；供应商可以就采购活动中的其它事项向采购机构提出询问，采购机构将对此作出答复。答复的内容不得涉及商业秘密。</w:t>
      </w:r>
    </w:p>
    <w:p>
      <w:pPr>
        <w:spacing w:line="360" w:lineRule="auto"/>
        <w:rPr>
          <w:rFonts w:hint="eastAsia" w:ascii="仿宋" w:hAnsi="仿宋" w:eastAsia="仿宋" w:cs="仿宋"/>
          <w:b/>
          <w:sz w:val="24"/>
        </w:rPr>
      </w:pPr>
      <w:r>
        <w:rPr>
          <w:rFonts w:hint="eastAsia" w:ascii="仿宋" w:hAnsi="仿宋" w:eastAsia="仿宋" w:cs="仿宋"/>
          <w:b/>
          <w:sz w:val="24"/>
        </w:rPr>
        <w:t>2. 供应商质疑</w:t>
      </w:r>
    </w:p>
    <w:p>
      <w:pPr>
        <w:pStyle w:val="12"/>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2</w:t>
      </w:r>
      <w:r>
        <w:rPr>
          <w:rFonts w:hint="eastAsia" w:ascii="仿宋" w:hAnsi="仿宋" w:eastAsia="仿宋" w:cs="仿宋"/>
          <w:b/>
          <w:sz w:val="24"/>
        </w:rPr>
        <w:t>.1质疑提出时效</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2.1.1提出质疑的供应商应当是参与所质疑项目采购活动的供应商。潜在供应商已依法获取其可质疑的采购文件的，可以对该文件提出质疑。</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2</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0"/>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2.1.2.2对采购过程提出质疑的，质疑期限为各采购程序环节结束之日起计算。对同一采购程序环节的质疑，供应商须一次性提出。</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2.1.2.3对采购结果提出质疑的，质疑期限自采购结果公告期限届满之日起计算。</w:t>
      </w:r>
    </w:p>
    <w:p>
      <w:pPr>
        <w:pStyle w:val="12"/>
        <w:spacing w:line="360" w:lineRule="auto"/>
        <w:ind w:firstLine="482" w:firstLineChars="200"/>
        <w:rPr>
          <w:rFonts w:hint="eastAsia" w:ascii="仿宋" w:hAnsi="仿宋" w:eastAsia="仿宋" w:cs="仿宋"/>
          <w:sz w:val="24"/>
        </w:rPr>
      </w:pPr>
      <w:r>
        <w:rPr>
          <w:rFonts w:hint="eastAsia" w:ascii="仿宋" w:hAnsi="仿宋" w:eastAsia="仿宋" w:cs="仿宋"/>
          <w:b/>
          <w:sz w:val="24"/>
        </w:rPr>
        <w:t>2.2质疑答复</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1</w:t>
      </w:r>
      <w:r>
        <w:rPr>
          <w:rFonts w:hint="eastAsia" w:ascii="仿宋" w:hAnsi="仿宋" w:eastAsia="仿宋" w:cs="仿宋"/>
          <w:sz w:val="24"/>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2.2.2</w:t>
      </w:r>
      <w:r>
        <w:rPr>
          <w:rFonts w:hint="eastAsia" w:ascii="仿宋" w:hAnsi="仿宋" w:eastAsia="仿宋" w:cs="仿宋"/>
          <w:sz w:val="24"/>
        </w:rPr>
        <w:t>询问或者质疑事项可能影响采购结果的，采购人应当暂停签订合同，已经签订合同的，应当中止履行合同。</w:t>
      </w:r>
    </w:p>
    <w:p>
      <w:pPr>
        <w:pStyle w:val="12"/>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2.3质疑函</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2.3.1供应商提出质疑应当提交质疑函和必要的证明材料。质疑函应当包括下列内容：</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12"/>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hint="eastAsia" w:ascii="仿宋" w:hAnsi="仿宋" w:eastAsia="仿宋" w:cs="仿宋"/>
          <w:b/>
          <w:sz w:val="24"/>
        </w:rPr>
      </w:pPr>
      <w:r>
        <w:rPr>
          <w:rFonts w:hint="eastAsia" w:ascii="仿宋" w:hAnsi="仿宋" w:eastAsia="仿宋" w:cs="仿宋"/>
          <w:b/>
          <w:sz w:val="24"/>
        </w:rPr>
        <w:t>3.供应商投诉</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3.1质疑供应商对采购人、采购机构的答复不满意或者采购人、采购机构未在规定的时间内作出答复的，可以在答复期满后十五个工作日内向同级政府采购监督管理部门提出投诉。</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3.2供应商投诉的事项不得超出已质疑事项的范围，基于质疑答复内容提出的投诉事项除外。</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3.3供应商投诉应当有明确的请求和必要的证明材料。</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3.4以联合体形式参加政府采购活动的，其投诉应当由组成联合体的所有供应商共同提出。</w:t>
      </w:r>
    </w:p>
    <w:p>
      <w:pPr>
        <w:pStyle w:val="12"/>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w:t>
      </w:r>
      <w:r>
        <w:rPr>
          <w:rFonts w:hint="eastAsia" w:ascii="仿宋" w:hAnsi="仿宋" w:eastAsia="仿宋" w:cs="仿宋"/>
          <w:b/>
          <w:sz w:val="32"/>
          <w:szCs w:val="20"/>
          <w:lang w:eastAsia="zh-CN"/>
        </w:rPr>
        <w:t>谈判</w:t>
      </w:r>
      <w:r>
        <w:rPr>
          <w:rFonts w:hint="eastAsia" w:ascii="仿宋" w:hAnsi="仿宋" w:eastAsia="仿宋" w:cs="仿宋"/>
          <w:b/>
          <w:sz w:val="32"/>
          <w:szCs w:val="20"/>
        </w:rPr>
        <w:t>文件构成、修改、解释</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eastAsia="zh-CN"/>
        </w:rPr>
        <w:t>谈判</w:t>
      </w:r>
      <w:r>
        <w:rPr>
          <w:rFonts w:hint="eastAsia" w:ascii="仿宋" w:hAnsi="仿宋" w:eastAsia="仿宋" w:cs="仿宋"/>
          <w:b/>
          <w:sz w:val="24"/>
        </w:rPr>
        <w:t>文件的构成</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 </w:t>
      </w:r>
      <w:r>
        <w:rPr>
          <w:rFonts w:hint="eastAsia" w:ascii="仿宋" w:hAnsi="仿宋" w:eastAsia="仿宋" w:cs="仿宋"/>
          <w:sz w:val="24"/>
          <w:szCs w:val="24"/>
          <w:lang w:eastAsia="zh-CN"/>
        </w:rPr>
        <w:t>谈判</w:t>
      </w:r>
      <w:r>
        <w:rPr>
          <w:rFonts w:hint="eastAsia" w:ascii="仿宋" w:hAnsi="仿宋" w:eastAsia="仿宋" w:cs="仿宋"/>
          <w:sz w:val="24"/>
          <w:szCs w:val="24"/>
        </w:rPr>
        <w:t>文件包括下列文件及附件</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第一部分</w:t>
      </w:r>
      <w:r>
        <w:rPr>
          <w:rFonts w:hint="eastAsia" w:ascii="仿宋" w:hAnsi="仿宋" w:eastAsia="仿宋" w:cs="仿宋"/>
          <w:sz w:val="24"/>
          <w:szCs w:val="24"/>
        </w:rPr>
        <w:t xml:space="preserve">   单一来源谈判邀请函</w:t>
      </w:r>
    </w:p>
    <w:p>
      <w:pPr>
        <w:pStyle w:val="12"/>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第二部分   </w:t>
      </w:r>
      <w:r>
        <w:rPr>
          <w:rFonts w:hint="eastAsia" w:ascii="仿宋" w:hAnsi="仿宋" w:eastAsia="仿宋" w:cs="仿宋"/>
          <w:sz w:val="24"/>
          <w:szCs w:val="24"/>
        </w:rPr>
        <w:t>谈判响应方须知</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第三部分</w:t>
      </w:r>
      <w:r>
        <w:rPr>
          <w:rFonts w:hint="eastAsia" w:ascii="仿宋" w:hAnsi="仿宋" w:eastAsia="仿宋" w:cs="仿宋"/>
          <w:sz w:val="24"/>
          <w:szCs w:val="24"/>
        </w:rPr>
        <w:t xml:space="preserve">   评标办法及评标标准 </w:t>
      </w:r>
    </w:p>
    <w:p>
      <w:pPr>
        <w:pStyle w:val="12"/>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第四</w:t>
      </w:r>
      <w:r>
        <w:rPr>
          <w:rFonts w:hint="eastAsia" w:ascii="仿宋" w:hAnsi="仿宋" w:eastAsia="仿宋" w:cs="仿宋"/>
          <w:sz w:val="24"/>
          <w:szCs w:val="24"/>
          <w:lang w:eastAsia="zh-CN"/>
        </w:rPr>
        <w:t>部分</w:t>
      </w:r>
      <w:r>
        <w:rPr>
          <w:rFonts w:hint="eastAsia" w:ascii="仿宋" w:hAnsi="仿宋" w:eastAsia="仿宋" w:cs="仿宋"/>
          <w:sz w:val="24"/>
          <w:szCs w:val="24"/>
        </w:rPr>
        <w:t xml:space="preserve">    谈判需求</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第五</w:t>
      </w:r>
      <w:r>
        <w:rPr>
          <w:rFonts w:hint="eastAsia" w:ascii="仿宋" w:hAnsi="仿宋" w:eastAsia="仿宋" w:cs="仿宋"/>
          <w:sz w:val="24"/>
          <w:szCs w:val="24"/>
          <w:lang w:eastAsia="zh-CN"/>
        </w:rPr>
        <w:t>部分</w:t>
      </w:r>
      <w:r>
        <w:rPr>
          <w:rFonts w:hint="eastAsia" w:ascii="仿宋" w:hAnsi="仿宋" w:eastAsia="仿宋" w:cs="仿宋"/>
          <w:sz w:val="24"/>
          <w:szCs w:val="24"/>
        </w:rPr>
        <w:t xml:space="preserve">    政府采购合同主要条款</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第六</w:t>
      </w:r>
      <w:r>
        <w:rPr>
          <w:rFonts w:hint="eastAsia" w:ascii="仿宋" w:hAnsi="仿宋" w:eastAsia="仿宋" w:cs="仿宋"/>
          <w:sz w:val="24"/>
          <w:szCs w:val="24"/>
          <w:lang w:eastAsia="zh-CN"/>
        </w:rPr>
        <w:t>部分</w:t>
      </w:r>
      <w:r>
        <w:rPr>
          <w:rFonts w:hint="eastAsia" w:ascii="仿宋" w:hAnsi="仿宋" w:eastAsia="仿宋" w:cs="仿宋"/>
          <w:sz w:val="24"/>
          <w:szCs w:val="24"/>
        </w:rPr>
        <w:t xml:space="preserve">    谈判响应文件格式</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w:t>
      </w:r>
      <w:r>
        <w:rPr>
          <w:rFonts w:hint="eastAsia" w:ascii="仿宋" w:hAnsi="仿宋" w:eastAsia="仿宋" w:cs="仿宋"/>
          <w:bCs/>
          <w:sz w:val="24"/>
          <w:lang w:eastAsia="zh-CN"/>
        </w:rPr>
        <w:t>谈判</w:t>
      </w:r>
      <w:r>
        <w:rPr>
          <w:rFonts w:hint="eastAsia" w:ascii="仿宋" w:hAnsi="仿宋" w:eastAsia="仿宋" w:cs="仿宋"/>
          <w:bCs/>
          <w:sz w:val="24"/>
        </w:rPr>
        <w:t>文件的组成部分</w:t>
      </w:r>
      <w:r>
        <w:rPr>
          <w:rFonts w:hint="eastAsia" w:ascii="仿宋" w:hAnsi="仿宋" w:eastAsia="仿宋" w:cs="仿宋"/>
          <w:sz w:val="24"/>
        </w:rPr>
        <w:t>。</w:t>
      </w:r>
    </w:p>
    <w:p>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2. </w:t>
      </w:r>
      <w:r>
        <w:rPr>
          <w:rFonts w:hint="eastAsia" w:ascii="仿宋" w:hAnsi="仿宋" w:eastAsia="仿宋" w:cs="仿宋"/>
          <w:b/>
          <w:sz w:val="24"/>
          <w:szCs w:val="24"/>
          <w:lang w:eastAsia="zh-CN"/>
        </w:rPr>
        <w:t>谈判</w:t>
      </w:r>
      <w:r>
        <w:rPr>
          <w:rFonts w:hint="eastAsia" w:ascii="仿宋" w:hAnsi="仿宋" w:eastAsia="仿宋" w:cs="仿宋"/>
          <w:b/>
          <w:sz w:val="24"/>
          <w:szCs w:val="24"/>
        </w:rPr>
        <w:t>文件的澄清、修改</w:t>
      </w:r>
    </w:p>
    <w:p>
      <w:pPr>
        <w:pStyle w:val="25"/>
        <w:snapToGrid w:val="0"/>
        <w:spacing w:before="0"/>
        <w:ind w:firstLine="480"/>
        <w:rPr>
          <w:rFonts w:hint="eastAsia" w:ascii="仿宋" w:hAnsi="仿宋" w:eastAsia="仿宋" w:cs="仿宋"/>
        </w:rPr>
      </w:pPr>
      <w:r>
        <w:rPr>
          <w:rFonts w:hint="eastAsia" w:ascii="仿宋" w:hAnsi="仿宋" w:eastAsia="仿宋" w:cs="仿宋"/>
        </w:rPr>
        <w:t>2.1谈判响应方应认真阅读本采购文件，发现其中有误或有不合理要求的，谈判响应方应当以书面形式向杭州市公共资源交易中心临安分中心提出。交易中心将在规定的时间内，在财政部门指定的政府采购信息发布媒体上发布更正公告。</w:t>
      </w:r>
    </w:p>
    <w:p>
      <w:pPr>
        <w:pStyle w:val="25"/>
        <w:snapToGrid w:val="0"/>
        <w:spacing w:before="0"/>
        <w:ind w:firstLine="480"/>
        <w:rPr>
          <w:rFonts w:hint="eastAsia" w:ascii="仿宋" w:hAnsi="仿宋" w:eastAsia="仿宋" w:cs="仿宋"/>
        </w:rPr>
      </w:pPr>
      <w:r>
        <w:rPr>
          <w:rFonts w:hint="eastAsia" w:ascii="仿宋" w:hAnsi="仿宋" w:eastAsia="仿宋" w:cs="仿宋"/>
        </w:rPr>
        <w:t>2.2采购机构如对已发出的谈判文件进行必要澄清或者修改的，将在发布谈判邀请公告的网站上发布更正（延期）公告，同时视情况延长响应截止时间和开启响应文件时间。该澄清或者修改的内容为谈判文件的组成部分。</w:t>
      </w:r>
    </w:p>
    <w:p>
      <w:pPr>
        <w:pStyle w:val="25"/>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响应文件未按谈判文件的澄清、修改的内容编制，又不符合实质性要求的，响应无效。</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szCs w:val="24"/>
          <w:lang w:val="en-US"/>
        </w:rPr>
        <w:t xml:space="preserve">    </w:t>
      </w:r>
      <w:r>
        <w:rPr>
          <w:rFonts w:hint="eastAsia" w:ascii="仿宋" w:hAnsi="仿宋" w:eastAsia="仿宋" w:cs="仿宋"/>
          <w:b/>
          <w:sz w:val="32"/>
          <w:szCs w:val="20"/>
        </w:rPr>
        <w:t>六、响应文件的编制</w:t>
      </w:r>
    </w:p>
    <w:p>
      <w:pPr>
        <w:pStyle w:val="12"/>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12"/>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响应文件应当包括以下主要内容：</w:t>
      </w:r>
      <w:r>
        <w:rPr>
          <w:rFonts w:hint="eastAsia" w:ascii="仿宋" w:hAnsi="仿宋" w:eastAsia="仿宋" w:cs="仿宋"/>
          <w:b/>
          <w:sz w:val="24"/>
          <w:szCs w:val="24"/>
        </w:rPr>
        <w:t>资格文件、报价文件、商务技术文件</w:t>
      </w:r>
      <w:r>
        <w:rPr>
          <w:rFonts w:hint="eastAsia" w:ascii="仿宋" w:hAnsi="仿宋" w:eastAsia="仿宋" w:cs="仿宋"/>
          <w:sz w:val="24"/>
          <w:szCs w:val="24"/>
        </w:rPr>
        <w:t>。</w:t>
      </w:r>
      <w:r>
        <w:rPr>
          <w:rFonts w:hint="eastAsia" w:ascii="仿宋" w:hAnsi="仿宋" w:eastAsia="仿宋" w:cs="仿宋"/>
          <w:sz w:val="24"/>
          <w:szCs w:val="24"/>
          <w:lang w:eastAsia="zh-CN"/>
        </w:rPr>
        <w:t>响应</w:t>
      </w:r>
      <w:r>
        <w:rPr>
          <w:rFonts w:hint="eastAsia" w:ascii="仿宋" w:hAnsi="仿宋" w:eastAsia="仿宋" w:cs="仿宋"/>
          <w:sz w:val="24"/>
          <w:szCs w:val="24"/>
        </w:rPr>
        <w:t>文件应当对</w:t>
      </w:r>
      <w:r>
        <w:rPr>
          <w:rFonts w:hint="eastAsia" w:ascii="仿宋" w:hAnsi="仿宋" w:eastAsia="仿宋" w:cs="仿宋"/>
          <w:sz w:val="24"/>
          <w:szCs w:val="24"/>
          <w:lang w:eastAsia="zh-CN"/>
        </w:rPr>
        <w:t>谈判</w:t>
      </w:r>
      <w:r>
        <w:rPr>
          <w:rFonts w:hint="eastAsia" w:ascii="仿宋" w:hAnsi="仿宋" w:eastAsia="仿宋" w:cs="仿宋"/>
          <w:sz w:val="24"/>
          <w:szCs w:val="24"/>
        </w:rPr>
        <w:t>文件提出的要求和条件作出明确响应。</w:t>
      </w:r>
    </w:p>
    <w:p>
      <w:pPr>
        <w:snapToGrid w:val="0"/>
        <w:spacing w:line="360" w:lineRule="auto"/>
        <w:ind w:firstLine="482" w:firstLineChars="200"/>
        <w:rPr>
          <w:rFonts w:hint="eastAsia" w:ascii="仿宋" w:hAnsi="仿宋" w:eastAsia="仿宋" w:cs="仿宋"/>
          <w:b/>
          <w:kern w:val="0"/>
          <w:sz w:val="24"/>
        </w:rPr>
      </w:pPr>
      <w:r>
        <w:rPr>
          <w:rFonts w:hint="eastAsia" w:ascii="仿宋" w:hAnsi="仿宋" w:eastAsia="仿宋" w:cs="仿宋"/>
          <w:b/>
          <w:sz w:val="24"/>
        </w:rPr>
        <w:t>2.1 资格文件</w:t>
      </w:r>
      <w:r>
        <w:rPr>
          <w:rFonts w:hint="eastAsia" w:ascii="仿宋" w:hAnsi="仿宋" w:eastAsia="仿宋" w:cs="仿宋"/>
          <w:sz w:val="24"/>
        </w:rPr>
        <w:t>应包括以下内容（均需使用电子签名）：</w:t>
      </w:r>
      <w:r>
        <w:rPr>
          <w:rFonts w:hint="eastAsia" w:ascii="仿宋" w:hAnsi="仿宋" w:eastAsia="仿宋" w:cs="仿宋"/>
          <w:kern w:val="0"/>
          <w:sz w:val="24"/>
        </w:rPr>
        <w:t>证明其符合《中华人民共和国政府采购法》规定的供应商基本条件和采购项目对供应商的特定条件</w:t>
      </w:r>
      <w:r>
        <w:rPr>
          <w:rFonts w:hint="eastAsia" w:ascii="仿宋" w:hAnsi="仿宋" w:eastAsia="仿宋" w:cs="仿宋"/>
          <w:sz w:val="24"/>
        </w:rPr>
        <w:t>（如果项目要求）</w:t>
      </w:r>
      <w:r>
        <w:rPr>
          <w:rFonts w:hint="eastAsia" w:ascii="仿宋" w:hAnsi="仿宋" w:eastAsia="仿宋" w:cs="仿宋"/>
          <w:kern w:val="0"/>
          <w:sz w:val="24"/>
        </w:rPr>
        <w:t>的有关资格证明文件。</w:t>
      </w:r>
      <w:r>
        <w:rPr>
          <w:rFonts w:hint="eastAsia" w:ascii="仿宋" w:hAnsi="仿宋" w:eastAsia="仿宋" w:cs="仿宋"/>
          <w:b/>
          <w:kern w:val="0"/>
          <w:sz w:val="24"/>
        </w:rPr>
        <w:t>（以联合体形式进行政府采购的，参加联合体的供应商均应当提供）</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2"/>
          <w:sz w:val="24"/>
          <w:szCs w:val="24"/>
          <w:lang w:val="en-US" w:eastAsia="zh-CN" w:bidi="ar-SA"/>
        </w:rPr>
        <w:t>2.1.1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 w:hAnsi="仿宋" w:eastAsia="仿宋" w:cs="仿宋"/>
          <w:sz w:val="24"/>
        </w:rPr>
        <w:t>营业执照复印件；</w:t>
      </w:r>
      <w:r>
        <w:rPr>
          <w:rFonts w:hint="eastAsia" w:ascii="仿宋" w:hAnsi="仿宋" w:eastAsia="仿宋" w:cs="仿宋"/>
          <w:b/>
          <w:kern w:val="0"/>
          <w:sz w:val="24"/>
        </w:rPr>
        <w:t>（以联合体形式进行政府采购的，参加联合体的供应商均应当提供）</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2.1.2</w:t>
      </w:r>
      <w:r>
        <w:rPr>
          <w:rFonts w:hint="eastAsia" w:ascii="仿宋" w:hAnsi="仿宋" w:eastAsia="仿宋" w:cs="仿宋"/>
          <w:sz w:val="24"/>
        </w:rPr>
        <w:t>法人授权书，</w:t>
      </w:r>
      <w:r>
        <w:rPr>
          <w:rFonts w:hint="eastAsia" w:ascii="仿宋" w:hAnsi="仿宋" w:eastAsia="仿宋" w:cs="仿宋"/>
          <w:sz w:val="24"/>
          <w:lang w:eastAsia="zh-CN"/>
        </w:rPr>
        <w:t>法定代表人及</w:t>
      </w:r>
      <w:r>
        <w:rPr>
          <w:rFonts w:hint="eastAsia" w:ascii="仿宋" w:hAnsi="仿宋" w:eastAsia="仿宋" w:cs="仿宋"/>
          <w:sz w:val="24"/>
        </w:rPr>
        <w:t>授权代表的身份证复印件；如法定代表人直接参加响应并对响应文件签字的，只需提供其身份证正反面复印件；如以联合体形式参加政府采购活动的，联合体各方应当指定牵头人，授权其代表所有联合体成员负责投标响应和合同实施阶段的主办、协调工作，按</w:t>
      </w:r>
      <w:r>
        <w:rPr>
          <w:rFonts w:hint="eastAsia" w:ascii="仿宋" w:hAnsi="仿宋" w:eastAsia="仿宋" w:cs="仿宋"/>
          <w:sz w:val="24"/>
          <w:lang w:eastAsia="zh-CN"/>
        </w:rPr>
        <w:t>谈判</w:t>
      </w:r>
      <w:r>
        <w:rPr>
          <w:rFonts w:hint="eastAsia" w:ascii="仿宋" w:hAnsi="仿宋" w:eastAsia="仿宋" w:cs="仿宋"/>
          <w:sz w:val="24"/>
        </w:rPr>
        <w:t>文件有关格式范例提供联合体响应授权书。▲</w:t>
      </w:r>
      <w:r>
        <w:rPr>
          <w:rFonts w:hint="eastAsia" w:ascii="仿宋" w:hAnsi="仿宋" w:eastAsia="仿宋" w:cs="仿宋"/>
          <w:b/>
          <w:sz w:val="24"/>
        </w:rPr>
        <w:t>响应文件中法人授权书所载内容与本项目内容有异的，响应无效。</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2.1.3</w:t>
      </w:r>
      <w:r>
        <w:rPr>
          <w:rFonts w:hint="eastAsia" w:ascii="仿宋" w:hAnsi="仿宋" w:eastAsia="仿宋" w:cs="仿宋"/>
          <w:sz w:val="24"/>
        </w:rPr>
        <w:t>联合体协议。联合体响应的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供应商不具备响应资格,该联合体响应文件将被作无效响应文件处理；（</w:t>
      </w:r>
      <w:r>
        <w:rPr>
          <w:rFonts w:hint="eastAsia" w:ascii="仿宋" w:hAnsi="仿宋" w:eastAsia="仿宋" w:cs="仿宋"/>
          <w:b/>
          <w:sz w:val="24"/>
        </w:rPr>
        <w:t>▲如以联合体形式参加政府采购活动的，联合体协议不符合</w:t>
      </w:r>
      <w:r>
        <w:rPr>
          <w:rFonts w:hint="eastAsia" w:ascii="仿宋" w:hAnsi="仿宋" w:eastAsia="仿宋" w:cs="仿宋"/>
          <w:b/>
          <w:sz w:val="24"/>
          <w:lang w:eastAsia="zh-CN"/>
        </w:rPr>
        <w:t>谈判</w:t>
      </w:r>
      <w:r>
        <w:rPr>
          <w:rFonts w:hint="eastAsia" w:ascii="仿宋" w:hAnsi="仿宋" w:eastAsia="仿宋" w:cs="仿宋"/>
          <w:b/>
          <w:sz w:val="24"/>
        </w:rPr>
        <w:t>文件规定的联合体协议要求的，响应无效。</w:t>
      </w:r>
      <w:r>
        <w:rPr>
          <w:rFonts w:hint="eastAsia" w:ascii="仿宋" w:hAnsi="仿宋" w:eastAsia="仿宋" w:cs="仿宋"/>
          <w:sz w:val="24"/>
        </w:rPr>
        <w:t>）</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2.1.4</w:t>
      </w:r>
      <w:r>
        <w:rPr>
          <w:rFonts w:hint="eastAsia" w:ascii="仿宋" w:hAnsi="仿宋" w:eastAsia="仿宋" w:cs="仿宋"/>
          <w:sz w:val="24"/>
        </w:rPr>
        <w:t xml:space="preserve"> </w:t>
      </w:r>
      <w:r>
        <w:rPr>
          <w:rFonts w:hint="eastAsia" w:ascii="仿宋" w:hAnsi="仿宋" w:eastAsia="仿宋" w:cs="仿宋"/>
          <w:sz w:val="24"/>
          <w:lang w:eastAsia="zh-CN"/>
        </w:rPr>
        <w:t>上一</w:t>
      </w:r>
      <w:r>
        <w:rPr>
          <w:rFonts w:hint="eastAsia" w:ascii="仿宋" w:hAnsi="仿宋" w:eastAsia="仿宋" w:cs="仿宋"/>
          <w:sz w:val="24"/>
        </w:rPr>
        <w:t>年度资产负债表等</w:t>
      </w:r>
      <w:r>
        <w:rPr>
          <w:rFonts w:hint="eastAsia" w:ascii="仿宋" w:hAnsi="仿宋" w:eastAsia="仿宋" w:cs="仿宋"/>
          <w:kern w:val="0"/>
          <w:sz w:val="24"/>
          <w:lang w:val="zh-CN"/>
        </w:rPr>
        <w:t>“</w:t>
      </w:r>
      <w:r>
        <w:rPr>
          <w:rFonts w:hint="eastAsia" w:ascii="仿宋" w:hAnsi="仿宋" w:eastAsia="仿宋" w:cs="仿宋"/>
          <w:sz w:val="24"/>
        </w:rPr>
        <w:t>财务报表资料文件”(或其它</w:t>
      </w:r>
      <w:r>
        <w:rPr>
          <w:rFonts w:hint="eastAsia" w:ascii="仿宋" w:hAnsi="仿宋" w:eastAsia="仿宋" w:cs="仿宋"/>
          <w:kern w:val="0"/>
          <w:sz w:val="24"/>
        </w:rPr>
        <w:t>财务状况报告，</w:t>
      </w:r>
      <w:r>
        <w:rPr>
          <w:rFonts w:hint="eastAsia" w:ascii="仿宋" w:hAnsi="仿宋" w:eastAsia="仿宋" w:cs="仿宋"/>
          <w:sz w:val="24"/>
        </w:rPr>
        <w:t>新成立的公司，必须提供情况说明)；</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2.1.5具有履行合同所必需的设备和专业技术能力的承诺函；</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2.1.6供应商参与本次采购活动前三年内，在经营活动中没有重大违法记录的声明；</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2.1.7具有良好商业信誉的特别声明；</w:t>
      </w:r>
    </w:p>
    <w:p>
      <w:pPr>
        <w:pStyle w:val="12"/>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2.1.8符合特定资格条件的有关证明材料（复印件）；（如果项目要求）</w:t>
      </w:r>
      <w:r>
        <w:rPr>
          <w:rFonts w:hint="eastAsia" w:ascii="仿宋" w:hAnsi="仿宋" w:eastAsia="仿宋" w:cs="仿宋"/>
          <w:sz w:val="24"/>
          <w:lang w:eastAsia="zh-CN"/>
        </w:rPr>
        <w:t>；</w:t>
      </w:r>
    </w:p>
    <w:p>
      <w:pPr>
        <w:pStyle w:val="12"/>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2.2  </w:t>
      </w:r>
      <w:r>
        <w:rPr>
          <w:rFonts w:hint="eastAsia" w:ascii="仿宋" w:hAnsi="仿宋" w:eastAsia="仿宋" w:cs="仿宋"/>
          <w:b/>
          <w:sz w:val="24"/>
          <w:szCs w:val="24"/>
        </w:rPr>
        <w:t>商务技术</w:t>
      </w:r>
      <w:r>
        <w:rPr>
          <w:rFonts w:hint="eastAsia" w:ascii="仿宋" w:hAnsi="仿宋" w:eastAsia="仿宋" w:cs="仿宋"/>
          <w:b/>
          <w:kern w:val="0"/>
          <w:sz w:val="24"/>
          <w:szCs w:val="24"/>
          <w:lang w:val="zh-CN"/>
        </w:rPr>
        <w:t>文件应</w:t>
      </w:r>
      <w:r>
        <w:rPr>
          <w:rFonts w:hint="eastAsia" w:ascii="仿宋" w:hAnsi="仿宋" w:eastAsia="仿宋" w:cs="仿宋"/>
          <w:kern w:val="0"/>
          <w:sz w:val="24"/>
          <w:szCs w:val="24"/>
          <w:lang w:val="zh-CN"/>
        </w:rPr>
        <w:t>包括以下内容</w:t>
      </w:r>
      <w:r>
        <w:rPr>
          <w:rFonts w:hint="eastAsia" w:ascii="仿宋" w:hAnsi="仿宋" w:eastAsia="仿宋" w:cs="仿宋"/>
          <w:sz w:val="24"/>
          <w:szCs w:val="24"/>
        </w:rPr>
        <w:t>（均需使用电子签名）</w:t>
      </w:r>
      <w:r>
        <w:rPr>
          <w:rFonts w:hint="eastAsia" w:ascii="仿宋" w:hAnsi="仿宋" w:eastAsia="仿宋" w:cs="仿宋"/>
          <w:kern w:val="0"/>
          <w:sz w:val="24"/>
          <w:szCs w:val="24"/>
          <w:lang w:val="zh-CN"/>
        </w:rPr>
        <w:t>：</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kern w:val="0"/>
          <w:sz w:val="24"/>
          <w:szCs w:val="24"/>
          <w:lang w:val="en-US" w:eastAsia="zh-CN"/>
        </w:rPr>
        <w:t>2.2.1</w:t>
      </w:r>
      <w:r>
        <w:rPr>
          <w:rFonts w:hint="eastAsia" w:ascii="仿宋" w:hAnsi="仿宋" w:eastAsia="仿宋" w:cs="仿宋"/>
          <w:sz w:val="24"/>
        </w:rPr>
        <w:t>声明书；</w:t>
      </w:r>
    </w:p>
    <w:p>
      <w:pPr>
        <w:pStyle w:val="12"/>
        <w:spacing w:line="360" w:lineRule="auto"/>
        <w:ind w:firstLine="480" w:firstLineChars="200"/>
        <w:rPr>
          <w:rFonts w:hint="eastAsia" w:ascii="仿宋" w:hAnsi="仿宋" w:eastAsia="仿宋" w:cs="仿宋"/>
          <w:kern w:val="0"/>
          <w:sz w:val="24"/>
          <w:lang w:eastAsia="zh-CN"/>
        </w:rPr>
      </w:pPr>
      <w:r>
        <w:rPr>
          <w:rFonts w:hint="eastAsia" w:ascii="仿宋" w:hAnsi="仿宋" w:eastAsia="仿宋" w:cs="仿宋"/>
          <w:sz w:val="24"/>
        </w:rPr>
        <w:t>2.2.</w:t>
      </w:r>
      <w:r>
        <w:rPr>
          <w:rFonts w:hint="eastAsia" w:ascii="仿宋" w:hAnsi="仿宋" w:eastAsia="仿宋" w:cs="仿宋"/>
          <w:sz w:val="24"/>
          <w:lang w:val="en-US" w:eastAsia="zh-CN"/>
        </w:rPr>
        <w:t>2</w:t>
      </w:r>
      <w:r>
        <w:rPr>
          <w:rFonts w:hint="eastAsia" w:ascii="仿宋" w:hAnsi="仿宋" w:eastAsia="仿宋" w:cs="仿宋"/>
          <w:sz w:val="24"/>
        </w:rPr>
        <w:t xml:space="preserve"> 所有资信文件：</w:t>
      </w:r>
      <w:r>
        <w:rPr>
          <w:rFonts w:hint="eastAsia" w:ascii="仿宋" w:hAnsi="仿宋" w:eastAsia="仿宋" w:cs="仿宋"/>
          <w:kern w:val="0"/>
          <w:sz w:val="24"/>
        </w:rPr>
        <w:t>见前附表所述；（如果有）</w:t>
      </w:r>
      <w:r>
        <w:rPr>
          <w:rFonts w:hint="eastAsia" w:ascii="仿宋" w:hAnsi="仿宋" w:eastAsia="仿宋" w:cs="仿宋"/>
          <w:kern w:val="0"/>
          <w:sz w:val="24"/>
          <w:lang w:eastAsia="zh-CN"/>
        </w:rPr>
        <w:t>；</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2.2.3</w:t>
      </w:r>
      <w:r>
        <w:rPr>
          <w:rFonts w:hint="eastAsia" w:ascii="仿宋" w:hAnsi="仿宋" w:eastAsia="仿宋" w:cs="仿宋"/>
          <w:sz w:val="24"/>
          <w:lang w:eastAsia="zh-CN"/>
        </w:rPr>
        <w:t>规定时间内</w:t>
      </w:r>
      <w:r>
        <w:rPr>
          <w:rFonts w:hint="eastAsia" w:ascii="仿宋" w:hAnsi="仿宋" w:eastAsia="仿宋" w:cs="仿宋"/>
          <w:sz w:val="24"/>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lang w:val="en-US" w:eastAsia="zh-CN"/>
        </w:rPr>
        <w:t>2.2.4</w:t>
      </w:r>
      <w:r>
        <w:rPr>
          <w:rFonts w:hint="eastAsia" w:ascii="仿宋" w:hAnsi="仿宋" w:eastAsia="仿宋" w:cs="仿宋"/>
          <w:snapToGrid w:val="0"/>
          <w:sz w:val="24"/>
        </w:rPr>
        <w:t>非本地供应商售后服务机构证明材料。非本地供应商</w:t>
      </w:r>
      <w:r>
        <w:rPr>
          <w:rFonts w:hint="eastAsia" w:ascii="仿宋" w:hAnsi="仿宋" w:eastAsia="仿宋" w:cs="仿宋"/>
          <w:sz w:val="24"/>
          <w:lang w:val="zh-CN"/>
        </w:rPr>
        <w:t>在杭州的分公司</w:t>
      </w:r>
      <w:r>
        <w:rPr>
          <w:rFonts w:hint="eastAsia" w:ascii="仿宋" w:hAnsi="仿宋" w:eastAsia="仿宋" w:cs="仿宋"/>
          <w:kern w:val="0"/>
          <w:sz w:val="24"/>
        </w:rPr>
        <w:t>（</w:t>
      </w:r>
      <w:r>
        <w:rPr>
          <w:rFonts w:hint="eastAsia" w:ascii="仿宋" w:hAnsi="仿宋" w:eastAsia="仿宋" w:cs="仿宋"/>
          <w:sz w:val="24"/>
          <w:lang w:val="zh-CN"/>
        </w:rPr>
        <w:t>需提供本地工商注册</w:t>
      </w:r>
      <w:r>
        <w:rPr>
          <w:rFonts w:hint="eastAsia" w:ascii="仿宋" w:hAnsi="仿宋" w:eastAsia="仿宋" w:cs="仿宋"/>
          <w:sz w:val="24"/>
        </w:rPr>
        <w:t>登记</w:t>
      </w:r>
      <w:r>
        <w:rPr>
          <w:rFonts w:hint="eastAsia" w:ascii="仿宋" w:hAnsi="仿宋" w:eastAsia="仿宋" w:cs="仿宋"/>
          <w:sz w:val="24"/>
          <w:lang w:val="zh-CN"/>
        </w:rPr>
        <w:t>资料）或办事处</w:t>
      </w:r>
      <w:r>
        <w:rPr>
          <w:rFonts w:hint="eastAsia" w:ascii="仿宋" w:hAnsi="仿宋" w:eastAsia="仿宋" w:cs="仿宋"/>
          <w:kern w:val="0"/>
          <w:sz w:val="24"/>
        </w:rPr>
        <w:t>（</w:t>
      </w:r>
      <w:r>
        <w:rPr>
          <w:rFonts w:hint="eastAsia" w:ascii="仿宋" w:hAnsi="仿宋" w:eastAsia="仿宋" w:cs="仿宋"/>
          <w:sz w:val="24"/>
          <w:lang w:val="zh-CN"/>
        </w:rPr>
        <w:t>需提供本地国内经济合作办注册资料</w:t>
      </w:r>
      <w:r>
        <w:rPr>
          <w:rFonts w:hint="eastAsia" w:ascii="仿宋" w:hAnsi="仿宋" w:eastAsia="仿宋" w:cs="仿宋"/>
          <w:kern w:val="0"/>
          <w:sz w:val="24"/>
        </w:rPr>
        <w:t>）或符合本项目服务能力并签订合作协议的第三方机构或者书面承诺中标（成交）公示后在杭州市区设立售后服务机构作</w:t>
      </w:r>
      <w:r>
        <w:rPr>
          <w:rFonts w:hint="eastAsia" w:ascii="仿宋" w:hAnsi="仿宋" w:eastAsia="仿宋" w:cs="仿宋"/>
          <w:sz w:val="24"/>
          <w:lang w:val="zh-CN"/>
        </w:rPr>
        <w:t>为常驻服务和技术支持机构；</w:t>
      </w:r>
      <w:r>
        <w:rPr>
          <w:rFonts w:hint="eastAsia" w:ascii="仿宋" w:hAnsi="仿宋" w:eastAsia="仿宋" w:cs="仿宋"/>
          <w:kern w:val="0"/>
          <w:sz w:val="24"/>
          <w:lang w:val="zh-CN"/>
        </w:rPr>
        <w:t>(如果有)</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2.2.5</w:t>
      </w:r>
      <w:r>
        <w:rPr>
          <w:rFonts w:hint="eastAsia" w:ascii="仿宋" w:hAnsi="仿宋" w:eastAsia="仿宋" w:cs="仿宋"/>
          <w:kern w:val="0"/>
          <w:sz w:val="24"/>
          <w:lang w:val="zh-CN"/>
        </w:rPr>
        <w:t>关于对谈判文件中有关条款的拒绝声明</w:t>
      </w:r>
      <w:r>
        <w:rPr>
          <w:rFonts w:hint="eastAsia" w:ascii="仿宋" w:hAnsi="仿宋" w:eastAsia="仿宋" w:cs="仿宋"/>
          <w:sz w:val="24"/>
          <w:lang w:val="zh-CN"/>
        </w:rPr>
        <w:t>；</w:t>
      </w:r>
      <w:r>
        <w:rPr>
          <w:rFonts w:hint="eastAsia" w:ascii="仿宋" w:hAnsi="仿宋" w:eastAsia="仿宋" w:cs="仿宋"/>
          <w:kern w:val="0"/>
          <w:sz w:val="24"/>
          <w:lang w:val="zh-CN"/>
        </w:rPr>
        <w:t>(如果有)</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2.2.6</w:t>
      </w:r>
      <w:r>
        <w:rPr>
          <w:rFonts w:hint="eastAsia" w:ascii="仿宋" w:hAnsi="仿宋" w:eastAsia="仿宋" w:cs="仿宋"/>
          <w:kern w:val="0"/>
          <w:sz w:val="24"/>
          <w:lang w:val="zh-CN"/>
        </w:rPr>
        <w:t>供应商认为需要的其他商务文件或说明；(如果有)</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2.2.7</w:t>
      </w:r>
      <w:r>
        <w:rPr>
          <w:rFonts w:hint="eastAsia" w:ascii="仿宋" w:hAnsi="仿宋" w:eastAsia="仿宋" w:cs="仿宋"/>
          <w:sz w:val="24"/>
        </w:rPr>
        <w:t>廉政承诺书。</w:t>
      </w:r>
    </w:p>
    <w:p>
      <w:pPr>
        <w:pStyle w:val="1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lang w:val="en-US" w:eastAsia="zh-CN"/>
        </w:rPr>
        <w:t>2.2.8</w:t>
      </w:r>
      <w:r>
        <w:rPr>
          <w:rFonts w:hint="eastAsia" w:ascii="仿宋" w:hAnsi="仿宋" w:eastAsia="仿宋" w:cs="仿宋"/>
          <w:sz w:val="24"/>
          <w:lang w:val="zh-CN"/>
        </w:rPr>
        <w:t>供应商应提供针对项目的完整“技术解决方案”：针对本项目的完整技术解决方案和实施方案；详细阐述项目方案的实现思路及关键技术；符合本项目对当前和未来发展的要求；以及对功能设计和实施计划的建议；</w:t>
      </w:r>
    </w:p>
    <w:p>
      <w:pPr>
        <w:pStyle w:val="1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rPr>
        <w:t>如果本项目涉及硬件设备采购，还需提供相关设备完整配置方案（设备名称、品牌、规格型号、数量、主要技术参数等），明确表示该项指标所涉及的软硬件是标准配置还是选择配置</w:t>
      </w:r>
      <w:r>
        <w:rPr>
          <w:rFonts w:hint="eastAsia" w:ascii="仿宋" w:hAnsi="仿宋" w:eastAsia="仿宋" w:cs="仿宋"/>
          <w:b/>
          <w:sz w:val="24"/>
        </w:rPr>
        <w:t>（所有技术指标表述均应采用中文，如当前公布的技术指标只有英文表述的，必须由供应商作出中文注释，否则</w:t>
      </w:r>
      <w:r>
        <w:rPr>
          <w:rFonts w:hint="eastAsia" w:ascii="仿宋" w:hAnsi="仿宋" w:eastAsia="仿宋" w:cs="仿宋"/>
          <w:b/>
          <w:kern w:val="0"/>
          <w:sz w:val="24"/>
          <w:lang w:val="zh-CN"/>
        </w:rPr>
        <w:t>任何含糊不清的</w:t>
      </w:r>
      <w:r>
        <w:rPr>
          <w:rFonts w:hint="eastAsia" w:ascii="仿宋" w:hAnsi="仿宋" w:eastAsia="仿宋" w:cs="仿宋"/>
          <w:b/>
          <w:sz w:val="24"/>
        </w:rPr>
        <w:t>表述导致</w:t>
      </w:r>
      <w:r>
        <w:rPr>
          <w:rFonts w:hint="eastAsia" w:ascii="仿宋" w:hAnsi="仿宋" w:eastAsia="仿宋" w:cs="仿宋"/>
          <w:b/>
          <w:kern w:val="0"/>
          <w:sz w:val="24"/>
          <w:lang w:val="zh-CN"/>
        </w:rPr>
        <w:t>谈判小组技术扣分直至认定为响应无效都将是供应商的责任）</w:t>
      </w:r>
      <w:r>
        <w:rPr>
          <w:rFonts w:hint="eastAsia" w:ascii="仿宋" w:hAnsi="仿宋" w:eastAsia="仿宋" w:cs="仿宋"/>
          <w:sz w:val="24"/>
        </w:rPr>
        <w:t>；</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2.2.9</w:t>
      </w:r>
      <w:r>
        <w:rPr>
          <w:rFonts w:hint="eastAsia" w:ascii="仿宋" w:hAnsi="仿宋" w:eastAsia="仿宋" w:cs="仿宋"/>
          <w:kern w:val="0"/>
          <w:sz w:val="24"/>
          <w:lang w:val="zh-CN"/>
        </w:rPr>
        <w:t>针对本项目的详细“组织实施方案”。本项目详细工作实施组织方案，包括(但不限于)以下内容：组织机构、工作时间进度表、工作程序和步骤、管理和协调方法、关键步骤的思路和要点；</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2.2.10</w:t>
      </w:r>
      <w:r>
        <w:rPr>
          <w:rFonts w:hint="eastAsia" w:ascii="仿宋" w:hAnsi="仿宋" w:eastAsia="仿宋" w:cs="仿宋"/>
          <w:kern w:val="0"/>
          <w:sz w:val="24"/>
          <w:lang w:val="zh-CN"/>
        </w:rPr>
        <w:t>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2.2.11</w:t>
      </w:r>
      <w:r>
        <w:rPr>
          <w:rFonts w:hint="eastAsia" w:ascii="仿宋" w:hAnsi="仿宋" w:eastAsia="仿宋" w:cs="仿宋"/>
          <w:kern w:val="0"/>
          <w:sz w:val="24"/>
          <w:lang w:val="zh-CN"/>
        </w:rPr>
        <w:t>供应商为完成本项目组建的“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2.2.12</w:t>
      </w:r>
      <w:r>
        <w:rPr>
          <w:rFonts w:hint="eastAsia" w:ascii="仿宋" w:hAnsi="仿宋" w:eastAsia="仿宋" w:cs="仿宋"/>
          <w:kern w:val="0"/>
          <w:sz w:val="24"/>
          <w:lang w:val="zh-CN"/>
        </w:rPr>
        <w:t>优惠条件及特殊承诺；</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2.2.13</w:t>
      </w:r>
      <w:r>
        <w:rPr>
          <w:rFonts w:hint="eastAsia" w:ascii="仿宋" w:hAnsi="仿宋" w:eastAsia="仿宋" w:cs="仿宋"/>
          <w:kern w:val="0"/>
          <w:sz w:val="24"/>
          <w:lang w:val="zh-CN"/>
        </w:rPr>
        <w:t>培训计划；（如果有）</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2.2.14</w:t>
      </w:r>
      <w:r>
        <w:rPr>
          <w:rFonts w:hint="eastAsia" w:ascii="仿宋" w:hAnsi="仿宋" w:eastAsia="仿宋" w:cs="仿宋"/>
          <w:kern w:val="0"/>
          <w:sz w:val="24"/>
        </w:rPr>
        <w:t>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12"/>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lang w:val="en-US" w:eastAsia="zh-CN"/>
        </w:rPr>
        <w:t>2.2.15</w:t>
      </w:r>
      <w:r>
        <w:rPr>
          <w:rFonts w:hint="eastAsia" w:ascii="仿宋" w:hAnsi="仿宋" w:eastAsia="仿宋" w:cs="仿宋"/>
          <w:kern w:val="0"/>
          <w:sz w:val="24"/>
          <w:szCs w:val="24"/>
          <w:lang w:val="zh-CN"/>
        </w:rPr>
        <w:t>供应商认为需要的其他技术文件或说明。</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 xml:space="preserve">2.3  </w:t>
      </w:r>
      <w:r>
        <w:rPr>
          <w:rFonts w:hint="eastAsia" w:ascii="仿宋" w:hAnsi="仿宋" w:eastAsia="仿宋" w:cs="仿宋"/>
          <w:sz w:val="24"/>
        </w:rPr>
        <w:t>投标人的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kern w:val="0"/>
          <w:sz w:val="24"/>
        </w:rPr>
        <w:t>投标响应函</w:t>
      </w:r>
      <w:r>
        <w:rPr>
          <w:rFonts w:hint="eastAsia" w:ascii="仿宋" w:hAnsi="仿宋" w:eastAsia="仿宋" w:cs="仿宋"/>
          <w:sz w:val="24"/>
        </w:rPr>
        <w:t>；</w:t>
      </w:r>
    </w:p>
    <w:p>
      <w:pPr>
        <w:pStyle w:val="1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2.3.2首次投标(开标)一览表；</w:t>
      </w:r>
    </w:p>
    <w:p>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3.1各供应商在编制响应文件时请按照谈判文件第六部分规定的格式进行，混乱的编排导致响应文件被误读或谈判小组查找不到有效文件是供应商的风险。</w:t>
      </w:r>
      <w:r>
        <w:rPr>
          <w:rFonts w:hint="eastAsia" w:ascii="仿宋" w:hAnsi="仿宋" w:eastAsia="仿宋" w:cs="仿宋"/>
          <w:b/>
          <w:sz w:val="24"/>
        </w:rPr>
        <w:t>▲响应文件未按规定的格式编制的，响应无效；</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3.2供应商进行电子交易应安装客户端软件—“政采云电子交易客户端”，并按照谈判文件和电子交易平台的要求编制并加密响应文件。供应商未按规定加密的响应文件，电子交易平台将拒收并提示。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25"/>
        <w:snapToGrid w:val="0"/>
        <w:spacing w:before="0"/>
        <w:ind w:firstLine="480"/>
        <w:rPr>
          <w:rFonts w:hint="eastAsia" w:ascii="仿宋" w:hAnsi="仿宋" w:eastAsia="仿宋" w:cs="仿宋"/>
          <w:b/>
        </w:rPr>
      </w:pPr>
      <w:r>
        <w:rPr>
          <w:rFonts w:hint="eastAsia" w:ascii="仿宋" w:hAnsi="仿宋" w:eastAsia="仿宋" w:cs="仿宋"/>
          <w:szCs w:val="24"/>
        </w:rPr>
        <w:t>3.4响应文件按照</w:t>
      </w:r>
      <w:r>
        <w:rPr>
          <w:rFonts w:hint="eastAsia" w:ascii="仿宋" w:hAnsi="仿宋" w:eastAsia="仿宋" w:cs="仿宋"/>
          <w:szCs w:val="24"/>
          <w:lang w:eastAsia="zh-CN"/>
        </w:rPr>
        <w:t>谈判</w:t>
      </w:r>
      <w:r>
        <w:rPr>
          <w:rFonts w:hint="eastAsia" w:ascii="仿宋" w:hAnsi="仿宋" w:eastAsia="仿宋" w:cs="仿宋"/>
          <w:szCs w:val="24"/>
        </w:rPr>
        <w:t>文件第</w:t>
      </w:r>
      <w:r>
        <w:rPr>
          <w:rFonts w:hint="eastAsia" w:ascii="仿宋" w:hAnsi="仿宋" w:eastAsia="仿宋" w:cs="仿宋"/>
          <w:szCs w:val="24"/>
          <w:lang w:eastAsia="zh-CN"/>
        </w:rPr>
        <w:t>六</w:t>
      </w:r>
      <w:r>
        <w:rPr>
          <w:rFonts w:hint="eastAsia" w:ascii="仿宋" w:hAnsi="仿宋" w:eastAsia="仿宋" w:cs="仿宋"/>
          <w:szCs w:val="24"/>
        </w:rPr>
        <w:t>部分格式要</w:t>
      </w:r>
      <w:r>
        <w:rPr>
          <w:rFonts w:hint="eastAsia" w:ascii="仿宋" w:hAnsi="仿宋" w:eastAsia="仿宋" w:cs="仿宋"/>
        </w:rPr>
        <w:t>求进行签署、盖章。</w:t>
      </w:r>
      <w:r>
        <w:rPr>
          <w:rFonts w:hint="eastAsia" w:ascii="仿宋" w:hAnsi="仿宋" w:eastAsia="仿宋" w:cs="仿宋"/>
          <w:b/>
        </w:rPr>
        <w:t>供应商的响应文件未按照</w:t>
      </w:r>
      <w:r>
        <w:rPr>
          <w:rFonts w:hint="eastAsia" w:ascii="仿宋" w:hAnsi="仿宋" w:eastAsia="仿宋" w:cs="仿宋"/>
          <w:b/>
          <w:lang w:eastAsia="zh-CN"/>
        </w:rPr>
        <w:t>谈判</w:t>
      </w:r>
      <w:r>
        <w:rPr>
          <w:rFonts w:hint="eastAsia" w:ascii="仿宋" w:hAnsi="仿宋" w:eastAsia="仿宋" w:cs="仿宋"/>
          <w:b/>
        </w:rPr>
        <w:t>文件要求签署、盖章的，其响应无效</w:t>
      </w:r>
      <w:r>
        <w:rPr>
          <w:rFonts w:hint="eastAsia" w:ascii="仿宋" w:hAnsi="仿宋" w:eastAsia="仿宋" w:cs="仿宋"/>
          <w:szCs w:val="24"/>
        </w:rPr>
        <w:t>。</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25"/>
        <w:spacing w:before="0"/>
        <w:ind w:firstLine="0" w:firstLineChars="0"/>
        <w:rPr>
          <w:rFonts w:hint="eastAsia" w:ascii="仿宋" w:hAnsi="仿宋" w:eastAsia="仿宋" w:cs="仿宋"/>
          <w:b/>
          <w:szCs w:val="24"/>
        </w:rPr>
      </w:pPr>
    </w:p>
    <w:p>
      <w:pPr>
        <w:pStyle w:val="25"/>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pPr>
        <w:pStyle w:val="25"/>
        <w:ind w:firstLine="480"/>
        <w:rPr>
          <w:rFonts w:hint="eastAsia" w:ascii="仿宋" w:hAnsi="仿宋" w:eastAsia="仿宋" w:cs="仿宋"/>
          <w:szCs w:val="24"/>
        </w:rPr>
      </w:pPr>
      <w:r>
        <w:rPr>
          <w:rFonts w:hint="eastAsia" w:ascii="仿宋" w:hAnsi="仿宋" w:eastAsia="仿宋" w:cs="仿宋"/>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w:t>
      </w:r>
      <w:r>
        <w:rPr>
          <w:rFonts w:hint="eastAsia" w:ascii="仿宋" w:hAnsi="仿宋" w:eastAsia="仿宋" w:cs="仿宋"/>
          <w:sz w:val="24"/>
          <w:lang w:eastAsia="zh-CN"/>
        </w:rPr>
        <w:t>谈判</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采购机构可以视情况延长响应文件提交的截止时间。在上述情况下，采购机构与供应商以前在响应截止期方面的全部权利、责任和义务，将适用于延长至新的响应截止期。</w:t>
      </w:r>
    </w:p>
    <w:p>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pPr>
        <w:pStyle w:val="1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供应商在电子交易平台传输递交响应文件后，还可以在响应截止时间前直接提交或者以快递方式递交备份响应文件1份，</w:t>
      </w:r>
      <w:r>
        <w:rPr>
          <w:rFonts w:hint="eastAsia" w:ascii="仿宋" w:hAnsi="仿宋" w:eastAsia="仿宋" w:cs="仿宋"/>
          <w:b/>
          <w:sz w:val="24"/>
          <w:szCs w:val="24"/>
        </w:rPr>
        <w:t>但采购人、采购机构不强制或变相强制供应商提交备份响应文件。</w:t>
      </w:r>
    </w:p>
    <w:p>
      <w:pPr>
        <w:pStyle w:val="1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w:t>
      </w:r>
      <w:r>
        <w:rPr>
          <w:rFonts w:hint="eastAsia" w:ascii="仿宋" w:hAnsi="仿宋" w:eastAsia="仿宋" w:cs="仿宋"/>
          <w:b/>
          <w:i w:val="0"/>
          <w:iCs w:val="0"/>
          <w:sz w:val="24"/>
          <w:u w:val="none"/>
        </w:rPr>
        <w:t>DVD光盘</w:t>
      </w:r>
      <w:r>
        <w:rPr>
          <w:rFonts w:hint="eastAsia" w:ascii="仿宋" w:hAnsi="仿宋" w:eastAsia="仿宋" w:cs="仿宋"/>
          <w:b/>
          <w:i w:val="0"/>
          <w:iCs w:val="0"/>
          <w:sz w:val="24"/>
          <w:u w:val="none"/>
          <w:lang w:eastAsia="zh-CN"/>
        </w:rPr>
        <w:t>或</w:t>
      </w:r>
      <w:r>
        <w:rPr>
          <w:rFonts w:hint="eastAsia" w:ascii="仿宋" w:hAnsi="仿宋" w:eastAsia="仿宋" w:cs="仿宋"/>
          <w:b/>
          <w:i w:val="0"/>
          <w:iCs w:val="0"/>
          <w:sz w:val="24"/>
          <w:u w:val="none"/>
          <w:lang w:val="en-US" w:eastAsia="zh-CN"/>
        </w:rPr>
        <w:t>U盘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1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w:t>
      </w:r>
      <w:r>
        <w:rPr>
          <w:rFonts w:hint="eastAsia" w:ascii="仿宋" w:hAnsi="仿宋" w:eastAsia="仿宋" w:cs="仿宋"/>
          <w:sz w:val="24"/>
          <w:szCs w:val="24"/>
          <w:lang w:eastAsia="zh-CN"/>
        </w:rPr>
        <w:t>谈判</w:t>
      </w:r>
      <w:r>
        <w:rPr>
          <w:rFonts w:hint="eastAsia" w:ascii="仿宋" w:hAnsi="仿宋" w:eastAsia="仿宋" w:cs="仿宋"/>
          <w:sz w:val="24"/>
          <w:szCs w:val="24"/>
        </w:rPr>
        <w:t>公告中载明的开启响应文件的地点将备份响应文件提交给采购机构，采购机构将拒绝接受逾期送达的备份响应文件。</w:t>
      </w:r>
    </w:p>
    <w:p>
      <w:pPr>
        <w:pStyle w:val="1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以快递方式递交备份响应文件的，供应商应先将备份响应文件按要求密封和标记，再进行快递包装后邮寄。备份响应文件须在响应截止时间之前送达</w:t>
      </w:r>
      <w:r>
        <w:rPr>
          <w:rFonts w:hint="eastAsia" w:ascii="仿宋" w:hAnsi="仿宋" w:eastAsia="仿宋" w:cs="仿宋"/>
          <w:sz w:val="24"/>
          <w:szCs w:val="24"/>
          <w:lang w:eastAsia="zh-CN"/>
        </w:rPr>
        <w:t>浙江省杭州市临安区锦北街道科技大道</w:t>
      </w:r>
      <w:r>
        <w:rPr>
          <w:rFonts w:hint="eastAsia" w:ascii="仿宋" w:hAnsi="仿宋" w:eastAsia="仿宋" w:cs="仿宋"/>
          <w:sz w:val="24"/>
          <w:szCs w:val="24"/>
          <w:lang w:val="en-US" w:eastAsia="zh-CN"/>
        </w:rPr>
        <w:t>4398号市民中心B座448办公室</w:t>
      </w:r>
      <w:r>
        <w:rPr>
          <w:rFonts w:hint="eastAsia" w:ascii="仿宋" w:hAnsi="仿宋" w:eastAsia="仿宋" w:cs="仿宋"/>
          <w:sz w:val="24"/>
          <w:szCs w:val="24"/>
        </w:rPr>
        <w:t>；送达时间以签收人签收时间为准（签收人：</w:t>
      </w:r>
      <w:r>
        <w:rPr>
          <w:rFonts w:hint="eastAsia" w:ascii="仿宋" w:hAnsi="仿宋" w:eastAsia="仿宋" w:cs="仿宋"/>
          <w:sz w:val="24"/>
          <w:szCs w:val="24"/>
          <w:lang w:eastAsia="zh-CN"/>
        </w:rPr>
        <w:t>杨颖</w:t>
      </w:r>
      <w:r>
        <w:rPr>
          <w:rFonts w:hint="eastAsia" w:ascii="仿宋" w:hAnsi="仿宋" w:eastAsia="仿宋" w:cs="仿宋"/>
          <w:sz w:val="24"/>
          <w:szCs w:val="24"/>
        </w:rPr>
        <w:t>，联系电话：0571-</w:t>
      </w:r>
      <w:r>
        <w:rPr>
          <w:rFonts w:hint="eastAsia" w:ascii="仿宋" w:hAnsi="仿宋" w:eastAsia="仿宋" w:cs="仿宋"/>
          <w:sz w:val="24"/>
          <w:szCs w:val="24"/>
          <w:lang w:val="en-US" w:eastAsia="zh-CN"/>
        </w:rPr>
        <w:t>23616011</w:t>
      </w:r>
      <w:r>
        <w:rPr>
          <w:rFonts w:hint="eastAsia" w:ascii="仿宋" w:hAnsi="仿宋" w:eastAsia="仿宋" w:cs="仿宋"/>
          <w:sz w:val="24"/>
          <w:szCs w:val="24"/>
        </w:rPr>
        <w:t>）。采购机构将拒绝接受逾期送达的备份响应文件。邮寄过程中，电子备份响应文件发生泄露、遗失、损坏或延期送达等情况的，由供应商自行负责。</w:t>
      </w:r>
    </w:p>
    <w:p>
      <w:pPr>
        <w:pStyle w:val="12"/>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供应商仅提交备份响应文件，没有在电子交易平台传输递交响应文件的，响应无效。</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pPr>
        <w:pStyle w:val="12"/>
        <w:spacing w:line="360" w:lineRule="auto"/>
        <w:ind w:firstLine="360" w:firstLineChars="150"/>
        <w:rPr>
          <w:rFonts w:hint="eastAsia" w:ascii="仿宋" w:hAnsi="仿宋" w:eastAsia="仿宋" w:cs="仿宋"/>
          <w:sz w:val="24"/>
          <w:szCs w:val="24"/>
          <w:lang w:eastAsia="zh-CN"/>
        </w:rPr>
      </w:pPr>
      <w:r>
        <w:rPr>
          <w:rFonts w:hint="eastAsia" w:ascii="仿宋" w:hAnsi="仿宋" w:eastAsia="仿宋" w:cs="仿宋"/>
          <w:sz w:val="24"/>
          <w:szCs w:val="24"/>
        </w:rPr>
        <w:t>1.1 采购机构按照</w:t>
      </w:r>
      <w:r>
        <w:rPr>
          <w:rFonts w:hint="eastAsia" w:ascii="仿宋" w:hAnsi="仿宋" w:eastAsia="仿宋" w:cs="仿宋"/>
          <w:sz w:val="24"/>
          <w:szCs w:val="24"/>
          <w:lang w:eastAsia="zh-CN"/>
        </w:rPr>
        <w:t>谈判</w:t>
      </w:r>
      <w:r>
        <w:rPr>
          <w:rFonts w:hint="eastAsia" w:ascii="仿宋" w:hAnsi="仿宋" w:eastAsia="仿宋" w:cs="仿宋"/>
          <w:sz w:val="24"/>
          <w:szCs w:val="24"/>
        </w:rPr>
        <w:t>文件规定的时间通过电子交易平台组织响应文件开启</w:t>
      </w:r>
      <w:r>
        <w:rPr>
          <w:rFonts w:hint="eastAsia" w:ascii="仿宋" w:hAnsi="仿宋" w:eastAsia="仿宋" w:cs="仿宋"/>
          <w:sz w:val="24"/>
          <w:szCs w:val="24"/>
          <w:lang w:eastAsia="zh-CN"/>
        </w:rPr>
        <w:t>。</w:t>
      </w:r>
    </w:p>
    <w:p>
      <w:pPr>
        <w:pStyle w:val="1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1.2开启响应文件时，电子交易平台按开启响应文件时间自动提取所有响应文件。采购机构依托电子交易平台发起开始解密指令，供应商按照平台提示和</w:t>
      </w:r>
      <w:r>
        <w:rPr>
          <w:rFonts w:hint="eastAsia" w:ascii="仿宋" w:hAnsi="仿宋" w:eastAsia="仿宋" w:cs="仿宋"/>
          <w:sz w:val="24"/>
          <w:szCs w:val="24"/>
          <w:lang w:eastAsia="zh-CN"/>
        </w:rPr>
        <w:t>谈判</w:t>
      </w:r>
      <w:r>
        <w:rPr>
          <w:rFonts w:hint="eastAsia" w:ascii="仿宋" w:hAnsi="仿宋" w:eastAsia="仿宋" w:cs="仿宋"/>
          <w:sz w:val="24"/>
          <w:szCs w:val="24"/>
        </w:rPr>
        <w:t>文件的规定在半小时内完成在线解密。</w:t>
      </w:r>
    </w:p>
    <w:p>
      <w:pPr>
        <w:pStyle w:val="12"/>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25"/>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pPr>
        <w:pStyle w:val="2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2.1信用信息查询渠道及截止时间：采购机构将通过“信用中国”网站(www.creditchina.gov.cn)和中国政府采购网(www.ccgp.gov.cn)渠道查询供应商响应截止时间前的信用记录。</w:t>
      </w:r>
    </w:p>
    <w:p>
      <w:pPr>
        <w:pStyle w:val="2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2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2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5"/>
        <w:spacing w:before="0"/>
        <w:ind w:firstLine="495" w:firstLineChars="0"/>
        <w:rPr>
          <w:rFonts w:hint="eastAsia" w:ascii="仿宋" w:hAnsi="仿宋" w:eastAsia="仿宋" w:cs="仿宋"/>
          <w:kern w:val="0"/>
          <w:szCs w:val="24"/>
        </w:rPr>
      </w:pPr>
    </w:p>
    <w:p>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rPr>
        <w:t>九</w:t>
      </w:r>
      <w:r>
        <w:rPr>
          <w:rFonts w:hint="eastAsia" w:ascii="仿宋" w:hAnsi="仿宋" w:eastAsia="仿宋" w:cs="仿宋"/>
          <w:b/>
          <w:sz w:val="32"/>
          <w:szCs w:val="20"/>
        </w:rPr>
        <w:t>、</w:t>
      </w:r>
      <w:r>
        <w:rPr>
          <w:rFonts w:hint="eastAsia" w:ascii="仿宋" w:hAnsi="仿宋" w:eastAsia="仿宋" w:cs="仿宋"/>
          <w:b/>
          <w:sz w:val="32"/>
          <w:szCs w:val="32"/>
        </w:rPr>
        <w:t>评审</w:t>
      </w:r>
    </w:p>
    <w:p>
      <w:pPr>
        <w:pStyle w:val="11"/>
        <w:rPr>
          <w:rFonts w:hint="eastAsia" w:ascii="仿宋" w:hAnsi="仿宋" w:eastAsia="仿宋" w:cs="仿宋"/>
        </w:rPr>
      </w:pPr>
      <w:r>
        <w:rPr>
          <w:rFonts w:hint="eastAsia" w:ascii="仿宋" w:hAnsi="仿宋" w:eastAsia="仿宋" w:cs="仿宋"/>
          <w:b/>
        </w:rPr>
        <w:t>评审要求：</w:t>
      </w:r>
      <w:r>
        <w:rPr>
          <w:rFonts w:hint="eastAsia" w:ascii="仿宋" w:hAnsi="仿宋" w:eastAsia="仿宋" w:cs="仿宋"/>
        </w:rPr>
        <w:t>详见</w:t>
      </w:r>
      <w:r>
        <w:rPr>
          <w:rFonts w:hint="eastAsia" w:ascii="仿宋" w:hAnsi="仿宋" w:eastAsia="仿宋" w:cs="仿宋"/>
          <w:lang w:eastAsia="zh-CN"/>
        </w:rPr>
        <w:t>谈判</w:t>
      </w:r>
      <w:r>
        <w:rPr>
          <w:rFonts w:hint="eastAsia" w:ascii="仿宋" w:hAnsi="仿宋" w:eastAsia="仿宋" w:cs="仿宋"/>
        </w:rPr>
        <w:t>文件第</w:t>
      </w:r>
      <w:r>
        <w:rPr>
          <w:rFonts w:hint="eastAsia" w:ascii="仿宋" w:hAnsi="仿宋" w:eastAsia="仿宋" w:cs="仿宋"/>
          <w:lang w:eastAsia="zh-CN"/>
        </w:rPr>
        <w:t>三</w:t>
      </w:r>
      <w:r>
        <w:rPr>
          <w:rFonts w:hint="eastAsia" w:ascii="仿宋" w:hAnsi="仿宋" w:eastAsia="仿宋" w:cs="仿宋"/>
        </w:rPr>
        <w:t>部分“评审方法及评审标准”。</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20"/>
        </w:rPr>
        <w:t>十、提交</w:t>
      </w:r>
      <w:r>
        <w:rPr>
          <w:rFonts w:hint="eastAsia" w:ascii="仿宋" w:hAnsi="仿宋" w:eastAsia="仿宋" w:cs="仿宋"/>
          <w:b/>
          <w:sz w:val="32"/>
          <w:szCs w:val="32"/>
        </w:rPr>
        <w:t>最后报价</w:t>
      </w:r>
    </w:p>
    <w:p>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最后文件</w:t>
      </w:r>
      <w:r>
        <w:rPr>
          <w:rFonts w:hint="eastAsia" w:ascii="仿宋" w:hAnsi="仿宋" w:eastAsia="仿宋" w:cs="仿宋"/>
          <w:sz w:val="24"/>
        </w:rPr>
        <w:t>应包括以下内容（均需使用电子签名）：</w:t>
      </w:r>
    </w:p>
    <w:p>
      <w:pPr>
        <w:pStyle w:val="1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最后报价；供应商通过政采云系统提交最后报价，明细清单中各单价以同比例（最后报价总价与初始报价总价的比值）下调；</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定标与成交</w:t>
      </w:r>
    </w:p>
    <w:p>
      <w:pPr>
        <w:pStyle w:val="12"/>
        <w:spacing w:line="360" w:lineRule="auto"/>
        <w:rPr>
          <w:rFonts w:hint="eastAsia" w:ascii="仿宋" w:hAnsi="仿宋" w:eastAsia="仿宋" w:cs="仿宋"/>
          <w:b/>
          <w:sz w:val="24"/>
        </w:rPr>
      </w:pPr>
      <w:r>
        <w:rPr>
          <w:rFonts w:hint="eastAsia" w:ascii="仿宋" w:hAnsi="仿宋" w:eastAsia="仿宋" w:cs="仿宋"/>
          <w:b/>
          <w:sz w:val="24"/>
          <w:lang w:val="en-US" w:eastAsia="zh-CN"/>
        </w:rPr>
        <w:t>1</w:t>
      </w:r>
      <w:r>
        <w:rPr>
          <w:rFonts w:hint="eastAsia" w:ascii="仿宋" w:hAnsi="仿宋" w:eastAsia="仿宋" w:cs="仿宋"/>
          <w:b/>
          <w:sz w:val="24"/>
        </w:rPr>
        <w:t>. 确定成交供应商</w:t>
      </w:r>
    </w:p>
    <w:p>
      <w:pPr>
        <w:pStyle w:val="12"/>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lang w:eastAsia="zh-CN"/>
        </w:rPr>
        <w:t>谈判</w:t>
      </w:r>
      <w:r>
        <w:rPr>
          <w:rFonts w:hint="eastAsia" w:ascii="仿宋" w:hAnsi="仿宋" w:eastAsia="仿宋" w:cs="仿宋"/>
          <w:sz w:val="24"/>
          <w:szCs w:val="21"/>
        </w:rPr>
        <w:t>小组将</w:t>
      </w:r>
      <w:r>
        <w:rPr>
          <w:rFonts w:hint="eastAsia" w:ascii="仿宋" w:hAnsi="仿宋" w:eastAsia="仿宋" w:cs="仿宋"/>
          <w:sz w:val="24"/>
          <w:szCs w:val="21"/>
          <w:lang w:eastAsia="zh-CN"/>
        </w:rPr>
        <w:t>与</w:t>
      </w:r>
      <w:r>
        <w:rPr>
          <w:rFonts w:hint="eastAsia" w:ascii="仿宋" w:hAnsi="仿宋" w:eastAsia="仿宋" w:cs="仿宋"/>
          <w:sz w:val="24"/>
          <w:szCs w:val="21"/>
          <w:lang w:val="en-US" w:eastAsia="zh-CN"/>
        </w:rPr>
        <w:t>供应商商定合理的成交价格并保证采购项目质量。</w:t>
      </w:r>
      <w:r>
        <w:rPr>
          <w:rFonts w:hint="eastAsia" w:ascii="仿宋" w:hAnsi="仿宋" w:eastAsia="仿宋" w:cs="仿宋"/>
          <w:sz w:val="24"/>
          <w:szCs w:val="21"/>
        </w:rPr>
        <w:t>采购机构将在评审结束后2个工作日内将评审报告送采购人确认。采购人对评标结果无异议的，采购人应在收到评标报告后5个工作日内对评标结果进行确认。如有投标人对评标结果提出质疑的，采购人可在质疑处理完毕后确定成交人。</w:t>
      </w:r>
    </w:p>
    <w:p>
      <w:pPr>
        <w:tabs>
          <w:tab w:val="left" w:pos="0"/>
        </w:tabs>
        <w:spacing w:line="360" w:lineRule="auto"/>
        <w:rPr>
          <w:rFonts w:hint="eastAsia" w:ascii="仿宋" w:hAnsi="仿宋" w:eastAsia="仿宋" w:cs="仿宋"/>
          <w:kern w:val="0"/>
          <w:sz w:val="24"/>
        </w:rPr>
      </w:pPr>
      <w:r>
        <w:rPr>
          <w:rFonts w:hint="eastAsia" w:ascii="仿宋" w:hAnsi="仿宋" w:eastAsia="仿宋" w:cs="仿宋"/>
          <w:b/>
          <w:sz w:val="24"/>
          <w:lang w:val="en-US" w:eastAsia="zh-CN"/>
        </w:rPr>
        <w:t>2</w:t>
      </w:r>
      <w:r>
        <w:rPr>
          <w:rFonts w:hint="eastAsia" w:ascii="仿宋" w:hAnsi="仿宋" w:eastAsia="仿宋" w:cs="仿宋"/>
          <w:b/>
          <w:sz w:val="24"/>
        </w:rPr>
        <w:t>．成交通知及成交结果公告</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lang w:val="en-US" w:eastAsia="zh-CN"/>
        </w:rPr>
        <w:t>2</w:t>
      </w:r>
      <w:r>
        <w:rPr>
          <w:rFonts w:hint="eastAsia" w:ascii="仿宋" w:hAnsi="仿宋" w:eastAsia="仿宋" w:cs="仿宋"/>
          <w:sz w:val="24"/>
          <w:szCs w:val="21"/>
        </w:rPr>
        <w:t>.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pPr>
        <w:spacing w:line="360" w:lineRule="auto"/>
        <w:ind w:firstLine="600" w:firstLineChars="250"/>
        <w:rPr>
          <w:rFonts w:hint="eastAsia" w:ascii="仿宋" w:hAnsi="仿宋" w:eastAsia="仿宋" w:cs="仿宋"/>
          <w:sz w:val="24"/>
          <w:szCs w:val="21"/>
        </w:rPr>
      </w:pPr>
      <w:r>
        <w:rPr>
          <w:rFonts w:hint="eastAsia" w:ascii="仿宋" w:hAnsi="仿宋" w:eastAsia="仿宋" w:cs="仿宋"/>
          <w:sz w:val="24"/>
          <w:szCs w:val="21"/>
        </w:rPr>
        <w:t>3.2公告期限为1个工作日。</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十二、合同授予</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w:t>
      </w:r>
      <w:r>
        <w:rPr>
          <w:rFonts w:hint="eastAsia" w:ascii="仿宋" w:hAnsi="仿宋" w:eastAsia="仿宋" w:cs="仿宋"/>
          <w:sz w:val="24"/>
          <w:lang w:eastAsia="zh-CN"/>
        </w:rPr>
        <w:t>五</w:t>
      </w:r>
      <w:r>
        <w:rPr>
          <w:rFonts w:hint="eastAsia" w:ascii="仿宋" w:hAnsi="仿宋" w:eastAsia="仿宋" w:cs="仿宋"/>
          <w:sz w:val="24"/>
        </w:rPr>
        <w:t>部分拟签订的合同文本”。</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pPr>
        <w:pStyle w:val="25"/>
        <w:snapToGrid w:val="0"/>
        <w:spacing w:before="0"/>
        <w:ind w:firstLine="480"/>
        <w:rPr>
          <w:rFonts w:hint="eastAsia" w:ascii="仿宋" w:hAnsi="仿宋" w:eastAsia="仿宋" w:cs="仿宋"/>
          <w:kern w:val="0"/>
        </w:rPr>
      </w:pPr>
      <w:r>
        <w:rPr>
          <w:rFonts w:hint="eastAsia" w:ascii="仿宋" w:hAnsi="仿宋" w:eastAsia="仿宋" w:cs="仿宋"/>
          <w:szCs w:val="21"/>
        </w:rPr>
        <w:t>2.1采购人与成交供应商应当在成交通知书发出之日起30日内，按照</w:t>
      </w:r>
      <w:r>
        <w:rPr>
          <w:rFonts w:hint="eastAsia" w:ascii="仿宋" w:hAnsi="仿宋" w:eastAsia="仿宋" w:cs="仿宋"/>
          <w:szCs w:val="21"/>
          <w:lang w:eastAsia="zh-CN"/>
        </w:rPr>
        <w:t>谈判</w:t>
      </w:r>
      <w:r>
        <w:rPr>
          <w:rFonts w:hint="eastAsia" w:ascii="仿宋" w:hAnsi="仿宋" w:eastAsia="仿宋" w:cs="仿宋"/>
          <w:szCs w:val="21"/>
        </w:rPr>
        <w:t>文件确定的合同文本以及采购标的、规格型号、采购金额、采购数量、技术和服务要求等事项签订政府采购合同，并在规定时间内依法发布合同公告。</w:t>
      </w:r>
      <w:r>
        <w:rPr>
          <w:rFonts w:hint="eastAsia" w:ascii="仿宋" w:hAnsi="仿宋" w:eastAsia="仿宋" w:cs="仿宋"/>
          <w:kern w:val="0"/>
          <w:lang w:val="zh-CN"/>
        </w:rPr>
        <w:t>如成交供应商为联合体的，由联合体成员各方法定代表人或其授权代表与采购人代表签订合同。</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2.2采购人不得向成交供应商提出超出</w:t>
      </w:r>
      <w:r>
        <w:rPr>
          <w:rFonts w:hint="eastAsia" w:ascii="仿宋" w:hAnsi="仿宋" w:eastAsia="仿宋" w:cs="仿宋"/>
          <w:sz w:val="24"/>
          <w:szCs w:val="21"/>
          <w:lang w:eastAsia="zh-CN"/>
        </w:rPr>
        <w:t>谈判</w:t>
      </w:r>
      <w:r>
        <w:rPr>
          <w:rFonts w:hint="eastAsia" w:ascii="仿宋" w:hAnsi="仿宋" w:eastAsia="仿宋" w:cs="仿宋"/>
          <w:sz w:val="24"/>
          <w:szCs w:val="21"/>
        </w:rPr>
        <w:t>文件以外的任何要求作为签订合同的条件，不得与成交供应商订立背离</w:t>
      </w:r>
      <w:r>
        <w:rPr>
          <w:rFonts w:hint="eastAsia" w:ascii="仿宋" w:hAnsi="仿宋" w:eastAsia="仿宋" w:cs="仿宋"/>
          <w:sz w:val="24"/>
          <w:szCs w:val="21"/>
          <w:lang w:eastAsia="zh-CN"/>
        </w:rPr>
        <w:t>谈判</w:t>
      </w:r>
      <w:r>
        <w:rPr>
          <w:rFonts w:hint="eastAsia" w:ascii="仿宋" w:hAnsi="仿宋" w:eastAsia="仿宋" w:cs="仿宋"/>
          <w:sz w:val="24"/>
          <w:szCs w:val="21"/>
        </w:rPr>
        <w:t>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w:t>
      </w:r>
      <w:r>
        <w:rPr>
          <w:rFonts w:hint="eastAsia" w:ascii="仿宋" w:hAnsi="仿宋" w:eastAsia="仿宋" w:cs="仿宋"/>
          <w:sz w:val="24"/>
          <w:szCs w:val="21"/>
          <w:lang w:val="en-US" w:eastAsia="zh-CN"/>
        </w:rPr>
        <w:t>3</w:t>
      </w:r>
      <w:r>
        <w:rPr>
          <w:rFonts w:hint="eastAsia" w:ascii="仿宋" w:hAnsi="仿宋" w:eastAsia="仿宋" w:cs="仿宋"/>
          <w:sz w:val="24"/>
          <w:szCs w:val="21"/>
        </w:rPr>
        <w:t>如签订合同并生效后，供应商无故拒绝或延期，除按照合同条款处理外，列入不良行为记录一次，并给予通报。</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拟签订的合同文本中要求成交供应商提交履约保证金的，供应商应当以支票、汇票、本票或者金融机构、担保机构出具的保函等非现金形式提交。履约保证金的数额不得超过政府采购合同金额的5%。</w:t>
      </w:r>
    </w:p>
    <w:p>
      <w:pPr>
        <w:snapToGrid w:val="0"/>
        <w:spacing w:line="360" w:lineRule="auto"/>
        <w:jc w:val="center"/>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pPr>
        <w:pStyle w:val="3"/>
        <w:spacing w:line="360" w:lineRule="auto"/>
        <w:ind w:firstLine="0" w:firstLineChars="0"/>
        <w:rPr>
          <w:rFonts w:hint="eastAsia" w:ascii="仿宋" w:hAnsi="仿宋" w:eastAsia="仿宋" w:cs="仿宋"/>
          <w:b/>
        </w:rPr>
      </w:pPr>
      <w:r>
        <w:rPr>
          <w:rFonts w:hint="eastAsia" w:ascii="仿宋" w:hAnsi="仿宋" w:eastAsia="仿宋" w:cs="仿宋"/>
          <w:b/>
        </w:rPr>
        <w:t>1.验收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jc w:val="both"/>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jc w:val="both"/>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numPr>
          <w:ilvl w:val="0"/>
          <w:numId w:val="2"/>
        </w:numPr>
        <w:tabs>
          <w:tab w:val="left" w:pos="0"/>
          <w:tab w:val="clear" w:pos="312"/>
        </w:tabs>
        <w:spacing w:line="360" w:lineRule="auto"/>
        <w:jc w:val="both"/>
        <w:rPr>
          <w:rFonts w:hint="eastAsia" w:ascii="仿宋" w:hAnsi="仿宋" w:eastAsia="仿宋" w:cs="仿宋"/>
          <w:kern w:val="0"/>
          <w:sz w:val="24"/>
        </w:rPr>
      </w:pP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0" w:name="_Hlt75236011"/>
      <w:bookmarkEnd w:id="0"/>
      <w:bookmarkStart w:id="1" w:name="_Hlt68057669"/>
      <w:bookmarkEnd w:id="1"/>
      <w:bookmarkStart w:id="2" w:name="_Hlt74714665"/>
      <w:bookmarkEnd w:id="2"/>
      <w:bookmarkStart w:id="3" w:name="_Hlt74730295"/>
      <w:bookmarkEnd w:id="3"/>
      <w:bookmarkStart w:id="4" w:name="_Hlt74729768"/>
      <w:bookmarkEnd w:id="4"/>
      <w:bookmarkStart w:id="5" w:name="_Hlt75236101"/>
      <w:bookmarkEnd w:id="5"/>
      <w:bookmarkStart w:id="6" w:name="_Hlt74707468"/>
      <w:bookmarkEnd w:id="6"/>
      <w:bookmarkStart w:id="7" w:name="_Hlt68072990"/>
      <w:bookmarkEnd w:id="7"/>
      <w:bookmarkStart w:id="8" w:name="_Hlt75236290"/>
      <w:bookmarkEnd w:id="8"/>
    </w:p>
    <w:p>
      <w:pPr>
        <w:pStyle w:val="17"/>
        <w:rPr>
          <w:rFonts w:hint="eastAsia"/>
        </w:rPr>
      </w:pPr>
    </w:p>
    <w:p>
      <w:pPr>
        <w:numPr>
          <w:ilvl w:val="0"/>
          <w:numId w:val="0"/>
        </w:numPr>
        <w:tabs>
          <w:tab w:val="left" w:pos="0"/>
        </w:tabs>
        <w:spacing w:line="360" w:lineRule="auto"/>
        <w:jc w:val="center"/>
        <w:rPr>
          <w:rFonts w:hint="eastAsia" w:ascii="仿宋" w:hAnsi="仿宋" w:eastAsia="仿宋" w:cs="仿宋"/>
          <w:b/>
          <w:sz w:val="36"/>
          <w:szCs w:val="36"/>
        </w:rPr>
      </w:pPr>
      <w:r>
        <w:rPr>
          <w:rFonts w:hint="eastAsia" w:ascii="仿宋" w:hAnsi="仿宋" w:eastAsia="仿宋" w:cs="仿宋"/>
          <w:b/>
          <w:sz w:val="36"/>
          <w:szCs w:val="36"/>
          <w:lang w:eastAsia="zh-CN"/>
        </w:rPr>
        <w:t>第三部分</w:t>
      </w:r>
      <w:r>
        <w:rPr>
          <w:rFonts w:hint="eastAsia" w:ascii="仿宋" w:hAnsi="仿宋" w:eastAsia="仿宋" w:cs="仿宋"/>
          <w:b/>
          <w:sz w:val="36"/>
          <w:szCs w:val="36"/>
        </w:rPr>
        <w:t xml:space="preserve">   </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评标办法及评标标准</w:t>
      </w:r>
    </w:p>
    <w:p>
      <w:pPr>
        <w:spacing w:line="400" w:lineRule="exact"/>
        <w:ind w:firstLine="643" w:firstLineChars="200"/>
        <w:jc w:val="center"/>
        <w:rPr>
          <w:rFonts w:hint="eastAsia" w:ascii="仿宋" w:hAnsi="仿宋" w:eastAsia="仿宋" w:cs="仿宋"/>
          <w:b/>
          <w:sz w:val="32"/>
        </w:rPr>
      </w:pPr>
    </w:p>
    <w:p>
      <w:pPr>
        <w:spacing w:line="400" w:lineRule="exact"/>
        <w:ind w:firstLine="643" w:firstLineChars="200"/>
        <w:jc w:val="center"/>
        <w:rPr>
          <w:rFonts w:hint="eastAsia" w:ascii="仿宋" w:hAnsi="仿宋" w:eastAsia="仿宋" w:cs="仿宋"/>
          <w:b/>
          <w:sz w:val="32"/>
          <w:lang w:eastAsia="zh-CN"/>
        </w:rPr>
      </w:pPr>
      <w:r>
        <w:rPr>
          <w:rFonts w:hint="eastAsia" w:ascii="仿宋" w:hAnsi="仿宋" w:eastAsia="仿宋" w:cs="仿宋"/>
          <w:b/>
          <w:sz w:val="32"/>
        </w:rPr>
        <w:t>一、评审</w:t>
      </w:r>
      <w:r>
        <w:rPr>
          <w:rFonts w:hint="eastAsia" w:ascii="仿宋" w:hAnsi="仿宋" w:eastAsia="仿宋" w:cs="仿宋"/>
          <w:b/>
          <w:sz w:val="32"/>
          <w:lang w:eastAsia="zh-CN"/>
        </w:rPr>
        <w:t>程序</w:t>
      </w:r>
    </w:p>
    <w:p>
      <w:pPr>
        <w:spacing w:line="40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评标（谈判）按下列程序进行：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（一）依法组建评标（谈判）委员会；</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（二）谈判前准备；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（三）资格审查；</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（四）技术标评审；</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（五）报价评审</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（六）完成评审报告。</w:t>
      </w:r>
    </w:p>
    <w:p>
      <w:pPr>
        <w:pStyle w:val="4"/>
        <w:rPr>
          <w:rFonts w:hint="eastAsia" w:ascii="仿宋" w:hAnsi="仿宋" w:eastAsia="仿宋" w:cs="仿宋"/>
        </w:rPr>
      </w:pPr>
      <w:r>
        <w:rPr>
          <w:rFonts w:hint="eastAsia" w:ascii="仿宋" w:hAnsi="仿宋" w:eastAsia="仿宋" w:cs="仿宋"/>
          <w:b/>
          <w:sz w:val="32"/>
        </w:rPr>
        <w:t>二、</w:t>
      </w:r>
      <w:r>
        <w:rPr>
          <w:rFonts w:hint="eastAsia" w:ascii="仿宋" w:hAnsi="仿宋" w:eastAsia="仿宋" w:cs="仿宋"/>
          <w:b/>
          <w:sz w:val="32"/>
          <w:lang w:eastAsia="zh-CN"/>
        </w:rPr>
        <w:t>谈判</w:t>
      </w:r>
      <w:r>
        <w:rPr>
          <w:rFonts w:hint="eastAsia" w:ascii="仿宋" w:hAnsi="仿宋" w:eastAsia="仿宋" w:cs="仿宋"/>
          <w:b/>
          <w:sz w:val="32"/>
        </w:rPr>
        <w:t>小组的组成</w:t>
      </w:r>
    </w:p>
    <w:p>
      <w:pPr>
        <w:pStyle w:val="25"/>
        <w:spacing w:before="0"/>
        <w:ind w:firstLine="0" w:firstLineChars="0"/>
        <w:rPr>
          <w:rFonts w:hint="eastAsia" w:ascii="仿宋" w:hAnsi="仿宋" w:eastAsia="仿宋" w:cs="仿宋"/>
          <w:b/>
          <w:kern w:val="0"/>
        </w:rPr>
      </w:pPr>
      <w:r>
        <w:rPr>
          <w:rFonts w:hint="eastAsia" w:ascii="仿宋" w:hAnsi="仿宋" w:eastAsia="仿宋" w:cs="仿宋"/>
          <w:b/>
          <w:kern w:val="0"/>
        </w:rPr>
        <w:t>1.</w:t>
      </w:r>
      <w:r>
        <w:rPr>
          <w:rFonts w:hint="eastAsia" w:ascii="仿宋" w:hAnsi="仿宋" w:eastAsia="仿宋" w:cs="仿宋"/>
          <w:b/>
          <w:kern w:val="0"/>
          <w:lang w:eastAsia="zh-CN"/>
        </w:rPr>
        <w:t>谈判</w:t>
      </w:r>
      <w:r>
        <w:rPr>
          <w:rFonts w:hint="eastAsia" w:ascii="仿宋" w:hAnsi="仿宋" w:eastAsia="仿宋" w:cs="仿宋"/>
          <w:b/>
          <w:kern w:val="0"/>
        </w:rPr>
        <w:t>小组的组成。</w:t>
      </w:r>
    </w:p>
    <w:p>
      <w:pPr>
        <w:pStyle w:val="25"/>
        <w:spacing w:before="0"/>
        <w:ind w:firstLine="480"/>
        <w:rPr>
          <w:rFonts w:hint="eastAsia" w:ascii="仿宋" w:hAnsi="仿宋" w:eastAsia="仿宋" w:cs="仿宋"/>
        </w:rPr>
      </w:pPr>
      <w:r>
        <w:rPr>
          <w:rFonts w:hint="eastAsia" w:ascii="仿宋" w:hAnsi="仿宋" w:eastAsia="仿宋" w:cs="仿宋"/>
          <w:lang w:eastAsia="zh-CN"/>
        </w:rPr>
        <w:t>谈判</w:t>
      </w:r>
      <w:r>
        <w:rPr>
          <w:rFonts w:hint="eastAsia" w:ascii="仿宋" w:hAnsi="仿宋" w:eastAsia="仿宋" w:cs="仿宋"/>
        </w:rPr>
        <w:t>小组由采购人代表和评审专家共3人以上单数组成，其中评审专家人数不得少于</w:t>
      </w:r>
      <w:r>
        <w:rPr>
          <w:rFonts w:hint="eastAsia" w:ascii="仿宋" w:hAnsi="仿宋" w:eastAsia="仿宋" w:cs="仿宋"/>
          <w:lang w:eastAsia="zh-CN"/>
        </w:rPr>
        <w:t>谈判</w:t>
      </w:r>
      <w:r>
        <w:rPr>
          <w:rFonts w:hint="eastAsia" w:ascii="仿宋" w:hAnsi="仿宋" w:eastAsia="仿宋" w:cs="仿宋"/>
        </w:rPr>
        <w:t>小组成员总数的2/3。采购人代表不得以评审专家身份参加本部门或本单位采购项目的评审。采购机构人员不得参加本机构代理的采购项目的评审。</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w:t>
      </w:r>
      <w:r>
        <w:rPr>
          <w:rFonts w:hint="eastAsia" w:ascii="仿宋" w:hAnsi="仿宋" w:eastAsia="仿宋" w:cs="仿宋"/>
          <w:b/>
          <w:kern w:val="0"/>
          <w:sz w:val="24"/>
          <w:szCs w:val="20"/>
          <w:lang w:eastAsia="zh-CN"/>
        </w:rPr>
        <w:t>谈判</w:t>
      </w:r>
      <w:r>
        <w:rPr>
          <w:rFonts w:hint="eastAsia" w:ascii="仿宋" w:hAnsi="仿宋" w:eastAsia="仿宋" w:cs="仿宋"/>
          <w:b/>
          <w:kern w:val="0"/>
          <w:sz w:val="24"/>
          <w:szCs w:val="20"/>
        </w:rPr>
        <w:t>小组的组成人员的回避。</w:t>
      </w:r>
    </w:p>
    <w:p>
      <w:pPr>
        <w:pStyle w:val="25"/>
        <w:spacing w:before="0"/>
        <w:ind w:firstLine="480"/>
        <w:rPr>
          <w:rFonts w:hint="eastAsia" w:ascii="仿宋" w:hAnsi="仿宋" w:eastAsia="仿宋" w:cs="仿宋"/>
        </w:rPr>
      </w:pPr>
      <w:r>
        <w:rPr>
          <w:rFonts w:hint="eastAsia" w:ascii="仿宋" w:hAnsi="仿宋" w:eastAsia="仿宋" w:cs="仿宋"/>
        </w:rPr>
        <w:t>在政府采购活动中，</w:t>
      </w:r>
      <w:r>
        <w:rPr>
          <w:rFonts w:hint="eastAsia" w:ascii="仿宋" w:hAnsi="仿宋" w:eastAsia="仿宋" w:cs="仿宋"/>
          <w:lang w:eastAsia="zh-CN"/>
        </w:rPr>
        <w:t>谈判</w:t>
      </w:r>
      <w:r>
        <w:rPr>
          <w:rFonts w:hint="eastAsia" w:ascii="仿宋" w:hAnsi="仿宋" w:eastAsia="仿宋" w:cs="仿宋"/>
        </w:rPr>
        <w:t>小组的组成人员与供应商有下列利害关系之一的，应当回避：</w:t>
      </w:r>
    </w:p>
    <w:p>
      <w:pPr>
        <w:pStyle w:val="25"/>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pPr>
        <w:pStyle w:val="25"/>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pPr>
        <w:pStyle w:val="25"/>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25"/>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25"/>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w:t>
      </w:r>
      <w:r>
        <w:rPr>
          <w:rFonts w:hint="eastAsia" w:ascii="仿宋" w:hAnsi="仿宋" w:eastAsia="仿宋" w:cs="仿宋"/>
          <w:b/>
          <w:sz w:val="32"/>
          <w:lang w:eastAsia="zh-CN"/>
        </w:rPr>
        <w:t>谈判</w:t>
      </w:r>
      <w:r>
        <w:rPr>
          <w:rFonts w:hint="eastAsia" w:ascii="仿宋" w:hAnsi="仿宋" w:eastAsia="仿宋" w:cs="仿宋"/>
          <w:b/>
          <w:sz w:val="32"/>
        </w:rPr>
        <w:t>小组的职责</w:t>
      </w:r>
    </w:p>
    <w:p>
      <w:pPr>
        <w:pStyle w:val="25"/>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w:t>
      </w:r>
      <w:r>
        <w:rPr>
          <w:rFonts w:hint="eastAsia" w:ascii="仿宋" w:hAnsi="仿宋" w:eastAsia="仿宋" w:cs="仿宋"/>
          <w:b/>
          <w:kern w:val="0"/>
          <w:szCs w:val="24"/>
          <w:lang w:eastAsia="zh-CN"/>
        </w:rPr>
        <w:t>谈判</w:t>
      </w:r>
      <w:r>
        <w:rPr>
          <w:rFonts w:hint="eastAsia" w:ascii="仿宋" w:hAnsi="仿宋" w:eastAsia="仿宋" w:cs="仿宋"/>
          <w:b/>
          <w:kern w:val="0"/>
          <w:szCs w:val="24"/>
        </w:rPr>
        <w:t>小组负责具体评审事务，并独立履行下列职责：</w:t>
      </w:r>
    </w:p>
    <w:p>
      <w:pPr>
        <w:pStyle w:val="25"/>
        <w:spacing w:before="0"/>
        <w:ind w:firstLine="480"/>
        <w:rPr>
          <w:rFonts w:hint="eastAsia" w:ascii="仿宋" w:hAnsi="仿宋" w:eastAsia="仿宋" w:cs="仿宋"/>
        </w:rPr>
      </w:pPr>
      <w:r>
        <w:rPr>
          <w:rFonts w:hint="eastAsia" w:ascii="仿宋" w:hAnsi="仿宋" w:eastAsia="仿宋" w:cs="仿宋"/>
        </w:rPr>
        <w:t>1.1对响应文件的有效性、完整性和响应程度进行审查；</w:t>
      </w:r>
    </w:p>
    <w:p>
      <w:pPr>
        <w:pStyle w:val="25"/>
        <w:spacing w:before="0"/>
        <w:ind w:firstLine="480"/>
        <w:rPr>
          <w:rFonts w:hint="eastAsia" w:ascii="仿宋" w:hAnsi="仿宋" w:eastAsia="仿宋" w:cs="仿宋"/>
        </w:rPr>
      </w:pPr>
      <w:r>
        <w:rPr>
          <w:rFonts w:hint="eastAsia" w:ascii="仿宋" w:hAnsi="仿宋" w:eastAsia="仿宋" w:cs="仿宋"/>
        </w:rPr>
        <w:t>1.2审查、评价响应文件是否符合</w:t>
      </w:r>
      <w:r>
        <w:rPr>
          <w:rFonts w:hint="eastAsia" w:ascii="仿宋" w:hAnsi="仿宋" w:eastAsia="仿宋" w:cs="仿宋"/>
          <w:lang w:eastAsia="zh-CN"/>
        </w:rPr>
        <w:t>谈判</w:t>
      </w:r>
      <w:r>
        <w:rPr>
          <w:rFonts w:hint="eastAsia" w:ascii="仿宋" w:hAnsi="仿宋" w:eastAsia="仿宋" w:cs="仿宋"/>
        </w:rPr>
        <w:t>文件的商务、技术等实质性要求；</w:t>
      </w:r>
    </w:p>
    <w:p>
      <w:pPr>
        <w:pStyle w:val="25"/>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pPr>
        <w:pStyle w:val="25"/>
        <w:spacing w:before="0"/>
        <w:ind w:firstLine="480"/>
        <w:rPr>
          <w:rFonts w:hint="eastAsia" w:ascii="仿宋" w:hAnsi="仿宋" w:eastAsia="仿宋" w:cs="仿宋"/>
        </w:rPr>
      </w:pPr>
      <w:r>
        <w:rPr>
          <w:rFonts w:hint="eastAsia" w:ascii="仿宋" w:hAnsi="仿宋" w:eastAsia="仿宋" w:cs="仿宋"/>
        </w:rPr>
        <w:t>1.4</w:t>
      </w:r>
      <w:r>
        <w:rPr>
          <w:rFonts w:hint="eastAsia" w:ascii="仿宋" w:hAnsi="仿宋" w:eastAsia="仿宋" w:cs="仿宋"/>
          <w:lang w:eastAsia="zh-CN"/>
        </w:rPr>
        <w:t>谈判</w:t>
      </w:r>
      <w:r>
        <w:rPr>
          <w:rFonts w:hint="eastAsia" w:ascii="仿宋" w:hAnsi="仿宋" w:eastAsia="仿宋" w:cs="仿宋"/>
        </w:rPr>
        <w:t>小组</w:t>
      </w:r>
      <w:r>
        <w:rPr>
          <w:rFonts w:hint="eastAsia" w:ascii="仿宋" w:hAnsi="仿宋" w:eastAsia="仿宋" w:cs="仿宋"/>
          <w:lang w:eastAsia="zh-CN"/>
        </w:rPr>
        <w:t>与</w:t>
      </w:r>
      <w:r>
        <w:rPr>
          <w:rFonts w:hint="eastAsia" w:ascii="仿宋" w:hAnsi="仿宋" w:eastAsia="仿宋" w:cs="仿宋"/>
        </w:rPr>
        <w:t>供应商</w:t>
      </w:r>
      <w:r>
        <w:rPr>
          <w:rFonts w:hint="eastAsia" w:ascii="仿宋" w:hAnsi="仿宋" w:eastAsia="仿宋" w:cs="仿宋"/>
          <w:lang w:eastAsia="zh-CN"/>
        </w:rPr>
        <w:t>进行谈判</w:t>
      </w:r>
      <w:r>
        <w:rPr>
          <w:rFonts w:hint="eastAsia" w:ascii="仿宋" w:hAnsi="仿宋" w:eastAsia="仿宋" w:cs="仿宋"/>
        </w:rPr>
        <w:t>；</w:t>
      </w:r>
    </w:p>
    <w:p>
      <w:pPr>
        <w:pStyle w:val="25"/>
        <w:spacing w:before="0"/>
        <w:ind w:firstLine="480"/>
        <w:rPr>
          <w:rFonts w:hint="eastAsia" w:ascii="仿宋" w:hAnsi="仿宋" w:eastAsia="仿宋" w:cs="仿宋"/>
        </w:rPr>
      </w:pPr>
      <w:r>
        <w:rPr>
          <w:rFonts w:hint="eastAsia" w:ascii="仿宋" w:hAnsi="仿宋" w:eastAsia="仿宋" w:cs="仿宋"/>
        </w:rPr>
        <w:t>1.5确定</w:t>
      </w:r>
      <w:r>
        <w:rPr>
          <w:rFonts w:hint="eastAsia" w:ascii="仿宋" w:hAnsi="仿宋" w:eastAsia="仿宋" w:cs="仿宋"/>
          <w:lang w:eastAsia="zh-CN"/>
        </w:rPr>
        <w:t>谈判</w:t>
      </w:r>
      <w:r>
        <w:rPr>
          <w:rFonts w:hint="eastAsia" w:ascii="仿宋" w:hAnsi="仿宋" w:eastAsia="仿宋" w:cs="仿宋"/>
        </w:rPr>
        <w:t>文件的变动情况，并确定提交最后报价的供应商；</w:t>
      </w:r>
    </w:p>
    <w:p>
      <w:pPr>
        <w:pStyle w:val="25"/>
        <w:spacing w:before="0"/>
        <w:ind w:firstLine="48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编制评审报告，确定成交候选人名单，以及根据采购人委托直接确定成交人；</w:t>
      </w:r>
    </w:p>
    <w:p>
      <w:pPr>
        <w:pStyle w:val="25"/>
        <w:spacing w:before="0"/>
        <w:ind w:firstLine="48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7</w:t>
      </w:r>
      <w:r>
        <w:rPr>
          <w:rFonts w:hint="eastAsia" w:ascii="仿宋" w:hAnsi="仿宋" w:eastAsia="仿宋" w:cs="仿宋"/>
        </w:rPr>
        <w:t>向采购人、采购机构或者有关部门报告评审中发现的违法行为；</w:t>
      </w:r>
    </w:p>
    <w:p>
      <w:pPr>
        <w:pStyle w:val="25"/>
        <w:spacing w:before="0"/>
        <w:ind w:firstLine="48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8</w:t>
      </w:r>
      <w:r>
        <w:rPr>
          <w:rFonts w:hint="eastAsia" w:ascii="仿宋" w:hAnsi="仿宋" w:eastAsia="仿宋" w:cs="仿宋"/>
        </w:rPr>
        <w:t>法律、法规、规章、</w:t>
      </w:r>
      <w:r>
        <w:rPr>
          <w:rFonts w:hint="eastAsia" w:ascii="仿宋" w:hAnsi="仿宋" w:eastAsia="仿宋" w:cs="仿宋"/>
          <w:lang w:eastAsia="zh-CN"/>
        </w:rPr>
        <w:t>谈判</w:t>
      </w:r>
      <w:r>
        <w:rPr>
          <w:rFonts w:hint="eastAsia" w:ascii="仿宋" w:hAnsi="仿宋" w:eastAsia="仿宋" w:cs="仿宋"/>
        </w:rPr>
        <w:t>文件等规定的其它事项。</w:t>
      </w:r>
    </w:p>
    <w:p>
      <w:pPr>
        <w:pStyle w:val="25"/>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w:t>
      </w:r>
      <w:r>
        <w:rPr>
          <w:rFonts w:hint="eastAsia" w:ascii="仿宋" w:hAnsi="仿宋" w:eastAsia="仿宋" w:cs="仿宋"/>
          <w:b/>
          <w:kern w:val="0"/>
          <w:szCs w:val="24"/>
          <w:lang w:eastAsia="zh-CN"/>
        </w:rPr>
        <w:t>谈判</w:t>
      </w:r>
      <w:r>
        <w:rPr>
          <w:rFonts w:hint="eastAsia" w:ascii="仿宋" w:hAnsi="仿宋" w:eastAsia="仿宋" w:cs="仿宋"/>
          <w:b/>
          <w:kern w:val="0"/>
          <w:szCs w:val="24"/>
        </w:rPr>
        <w:t>小组及其成员不得有下列行为：</w:t>
      </w:r>
    </w:p>
    <w:p>
      <w:pPr>
        <w:pStyle w:val="25"/>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pPr>
        <w:pStyle w:val="25"/>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25"/>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pPr>
        <w:pStyle w:val="25"/>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pPr>
        <w:pStyle w:val="25"/>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pPr>
        <w:pStyle w:val="25"/>
        <w:spacing w:before="0"/>
        <w:ind w:firstLine="480"/>
        <w:rPr>
          <w:rFonts w:hint="eastAsia" w:ascii="仿宋" w:hAnsi="仿宋" w:eastAsia="仿宋" w:cs="仿宋"/>
        </w:rPr>
      </w:pPr>
      <w:r>
        <w:rPr>
          <w:rFonts w:hint="eastAsia" w:ascii="仿宋" w:hAnsi="仿宋" w:eastAsia="仿宋" w:cs="仿宋"/>
        </w:rPr>
        <w:t>2.6记录、复制或者带走任何评审资料；</w:t>
      </w:r>
    </w:p>
    <w:p>
      <w:pPr>
        <w:pStyle w:val="25"/>
        <w:spacing w:before="0"/>
        <w:ind w:firstLine="480"/>
        <w:rPr>
          <w:rFonts w:hint="eastAsia" w:ascii="仿宋" w:hAnsi="仿宋" w:eastAsia="仿宋" w:cs="仿宋"/>
        </w:rPr>
      </w:pPr>
      <w:r>
        <w:rPr>
          <w:rFonts w:hint="eastAsia" w:ascii="仿宋" w:hAnsi="仿宋" w:eastAsia="仿宋" w:cs="仿宋"/>
        </w:rPr>
        <w:t>2.7其他不遵守评审纪律的行为。</w:t>
      </w:r>
    </w:p>
    <w:p>
      <w:pPr>
        <w:pStyle w:val="25"/>
        <w:spacing w:before="0"/>
        <w:ind w:firstLine="480"/>
        <w:rPr>
          <w:rFonts w:hint="eastAsia" w:ascii="仿宋" w:hAnsi="仿宋" w:eastAsia="仿宋" w:cs="仿宋"/>
        </w:rPr>
      </w:pPr>
      <w:r>
        <w:rPr>
          <w:rFonts w:hint="eastAsia" w:ascii="仿宋" w:hAnsi="仿宋" w:eastAsia="仿宋" w:cs="仿宋"/>
          <w:lang w:eastAsia="zh-CN"/>
        </w:rPr>
        <w:t>谈判</w:t>
      </w:r>
      <w:r>
        <w:rPr>
          <w:rFonts w:hint="eastAsia" w:ascii="仿宋" w:hAnsi="仿宋" w:eastAsia="仿宋" w:cs="仿宋"/>
        </w:rPr>
        <w:t>小组成员有2.1-2.5行为之一的，其评审意见无效，并不得获取评审劳务报酬和报销异地评审差旅费。</w:t>
      </w:r>
    </w:p>
    <w:p>
      <w:pPr>
        <w:pStyle w:val="25"/>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pPr>
        <w:pStyle w:val="25"/>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对于响应文件中含义不明确、同类问题表述不一致或者有明显文字和计算错误的内容需要供应商作出必要的澄清、说明或者补正的，</w:t>
      </w:r>
      <w:r>
        <w:rPr>
          <w:rFonts w:hint="eastAsia" w:ascii="仿宋" w:hAnsi="仿宋" w:eastAsia="仿宋" w:cs="仿宋"/>
          <w:sz w:val="24"/>
          <w:lang w:eastAsia="zh-CN"/>
        </w:rPr>
        <w:t>谈判</w:t>
      </w:r>
      <w:r>
        <w:rPr>
          <w:rFonts w:hint="eastAsia" w:ascii="仿宋" w:hAnsi="仿宋" w:eastAsia="仿宋" w:cs="仿宋"/>
          <w:sz w:val="24"/>
        </w:rPr>
        <w:t>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谈判</w:t>
      </w:r>
      <w:r>
        <w:rPr>
          <w:rFonts w:hint="eastAsia" w:ascii="仿宋" w:hAnsi="仿宋" w:eastAsia="仿宋" w:cs="仿宋"/>
          <w:sz w:val="24"/>
        </w:rPr>
        <w:t>小组对响应文件的最后报价进行审核，对发现计算、书写等错误的，按以下原则进行修正：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2.1《报价一览表》内容与响应文件中响应内容不一致的，以《报价一览表》为准;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2.3单价金额小数点或者百分比有明显错位的，以《报价一览表》的总价为准，并修改单价;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pPr>
        <w:spacing w:line="360" w:lineRule="auto"/>
        <w:rPr>
          <w:rFonts w:hint="eastAsia" w:ascii="仿宋" w:hAnsi="仿宋" w:eastAsia="仿宋" w:cs="仿宋"/>
          <w:sz w:val="24"/>
          <w:szCs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25"/>
        <w:numPr>
          <w:ilvl w:val="0"/>
          <w:numId w:val="3"/>
        </w:numPr>
        <w:spacing w:before="0"/>
        <w:ind w:firstLine="0" w:firstLineChars="0"/>
        <w:rPr>
          <w:rFonts w:hint="eastAsia" w:ascii="仿宋" w:hAnsi="仿宋" w:eastAsia="仿宋" w:cs="仿宋"/>
          <w:b/>
          <w:spacing w:val="20"/>
        </w:rPr>
      </w:pPr>
      <w:r>
        <w:rPr>
          <w:rFonts w:hint="eastAsia" w:ascii="仿宋" w:hAnsi="仿宋" w:eastAsia="仿宋" w:cs="仿宋"/>
          <w:b/>
          <w:spacing w:val="20"/>
        </w:rPr>
        <w:t>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w:t>
      </w:r>
      <w:r>
        <w:rPr>
          <w:rFonts w:hint="eastAsia" w:ascii="仿宋" w:hAnsi="仿宋" w:eastAsia="仿宋" w:cs="仿宋"/>
          <w:sz w:val="24"/>
        </w:rPr>
        <w:t>供应商不具备</w:t>
      </w:r>
      <w:r>
        <w:rPr>
          <w:rFonts w:hint="eastAsia" w:ascii="仿宋" w:hAnsi="仿宋" w:eastAsia="仿宋" w:cs="仿宋"/>
          <w:sz w:val="24"/>
          <w:lang w:eastAsia="zh-CN"/>
        </w:rPr>
        <w:t>谈判</w:t>
      </w:r>
      <w:r>
        <w:rPr>
          <w:rFonts w:hint="eastAsia" w:ascii="仿宋" w:hAnsi="仿宋" w:eastAsia="仿宋" w:cs="仿宋"/>
          <w:sz w:val="24"/>
        </w:rPr>
        <w:t>文件中规定的资格要求的（供应商未提供有效的资格证明文件的，视为供应商不具备</w:t>
      </w:r>
      <w:r>
        <w:rPr>
          <w:rFonts w:hint="eastAsia" w:ascii="仿宋" w:hAnsi="仿宋" w:eastAsia="仿宋" w:cs="仿宋"/>
          <w:sz w:val="24"/>
          <w:lang w:eastAsia="zh-CN"/>
        </w:rPr>
        <w:t>谈判</w:t>
      </w:r>
      <w:r>
        <w:rPr>
          <w:rFonts w:hint="eastAsia" w:ascii="仿宋" w:hAnsi="仿宋" w:eastAsia="仿宋" w:cs="仿宋"/>
          <w:sz w:val="24"/>
        </w:rPr>
        <w:t>文件中规定的资格要求）；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如以联合体形式参加政府采购活动的，联合体协议不符合</w:t>
      </w:r>
      <w:r>
        <w:rPr>
          <w:rFonts w:hint="eastAsia" w:ascii="仿宋" w:hAnsi="仿宋" w:eastAsia="仿宋" w:cs="仿宋"/>
          <w:sz w:val="24"/>
          <w:lang w:eastAsia="zh-CN"/>
        </w:rPr>
        <w:t>谈判</w:t>
      </w:r>
      <w:r>
        <w:rPr>
          <w:rFonts w:hint="eastAsia" w:ascii="仿宋" w:hAnsi="仿宋" w:eastAsia="仿宋" w:cs="仿宋"/>
          <w:sz w:val="24"/>
        </w:rPr>
        <w:t>文件规定的联合体协议要求的；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响应文件未按</w:t>
      </w:r>
      <w:r>
        <w:rPr>
          <w:rFonts w:hint="eastAsia" w:ascii="仿宋" w:hAnsi="仿宋" w:eastAsia="仿宋" w:cs="仿宋"/>
          <w:sz w:val="24"/>
          <w:lang w:eastAsia="zh-CN"/>
        </w:rPr>
        <w:t>谈判</w:t>
      </w:r>
      <w:r>
        <w:rPr>
          <w:rFonts w:hint="eastAsia" w:ascii="仿宋" w:hAnsi="仿宋" w:eastAsia="仿宋" w:cs="仿宋"/>
          <w:sz w:val="24"/>
        </w:rPr>
        <w:t>文件规定的格式编制的；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响应文件未按</w:t>
      </w:r>
      <w:r>
        <w:rPr>
          <w:rFonts w:hint="eastAsia" w:ascii="仿宋" w:hAnsi="仿宋" w:eastAsia="仿宋" w:cs="仿宋"/>
          <w:sz w:val="24"/>
          <w:lang w:eastAsia="zh-CN"/>
        </w:rPr>
        <w:t>谈判</w:t>
      </w:r>
      <w:r>
        <w:rPr>
          <w:rFonts w:hint="eastAsia" w:ascii="仿宋" w:hAnsi="仿宋" w:eastAsia="仿宋" w:cs="仿宋"/>
          <w:sz w:val="24"/>
        </w:rPr>
        <w:t>文件的澄清、修改的内容编制，又不符合实质性要求的；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5</w:t>
      </w:r>
      <w:r>
        <w:rPr>
          <w:rFonts w:hint="eastAsia" w:ascii="仿宋" w:hAnsi="仿宋" w:eastAsia="仿宋" w:cs="仿宋"/>
          <w:sz w:val="24"/>
        </w:rPr>
        <w:t>响应文件组成漏项，内容不全或内容字迹模糊辨认不清的；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响应文件中法人授权书所载内容与本项目内容有异的；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响应文件未按照</w:t>
      </w:r>
      <w:r>
        <w:rPr>
          <w:rFonts w:hint="eastAsia" w:ascii="仿宋" w:hAnsi="仿宋" w:eastAsia="仿宋" w:cs="仿宋"/>
          <w:sz w:val="24"/>
          <w:lang w:eastAsia="zh-CN"/>
        </w:rPr>
        <w:t>谈判</w:t>
      </w:r>
      <w:r>
        <w:rPr>
          <w:rFonts w:hint="eastAsia" w:ascii="仿宋" w:hAnsi="仿宋" w:eastAsia="仿宋" w:cs="仿宋"/>
          <w:sz w:val="24"/>
        </w:rPr>
        <w:t>文件要求签署、盖章的；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采购人拟采购的产品属于政府强制采购的节能产品品目清单范围的，供应商未按</w:t>
      </w:r>
      <w:r>
        <w:rPr>
          <w:rFonts w:hint="eastAsia" w:ascii="仿宋" w:hAnsi="仿宋" w:eastAsia="仿宋" w:cs="仿宋"/>
          <w:sz w:val="24"/>
          <w:lang w:eastAsia="zh-CN"/>
        </w:rPr>
        <w:t>谈判</w:t>
      </w:r>
      <w:r>
        <w:rPr>
          <w:rFonts w:hint="eastAsia" w:ascii="仿宋" w:hAnsi="仿宋" w:eastAsia="仿宋" w:cs="仿宋"/>
          <w:sz w:val="24"/>
        </w:rPr>
        <w:t xml:space="preserve">文件要求提供国家确定的认证机构出具的、处于有效期之内的节能产品认证证书的；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响应文件含有采购人不能接受的附加条件的；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0</w:t>
      </w:r>
      <w:r>
        <w:rPr>
          <w:rFonts w:hint="eastAsia" w:ascii="仿宋" w:hAnsi="仿宋" w:eastAsia="仿宋" w:cs="仿宋"/>
          <w:sz w:val="24"/>
        </w:rPr>
        <w:t>响应文件中承诺的响应有效期少于</w:t>
      </w:r>
      <w:r>
        <w:rPr>
          <w:rFonts w:hint="eastAsia" w:ascii="仿宋" w:hAnsi="仿宋" w:eastAsia="仿宋" w:cs="仿宋"/>
          <w:sz w:val="24"/>
          <w:lang w:eastAsia="zh-CN"/>
        </w:rPr>
        <w:t>谈判</w:t>
      </w:r>
      <w:r>
        <w:rPr>
          <w:rFonts w:hint="eastAsia" w:ascii="仿宋" w:hAnsi="仿宋" w:eastAsia="仿宋" w:cs="仿宋"/>
          <w:sz w:val="24"/>
        </w:rPr>
        <w:t>文件中载明的响应有效期的；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11</w:t>
      </w:r>
      <w:r>
        <w:rPr>
          <w:rFonts w:hint="eastAsia" w:ascii="仿宋" w:hAnsi="仿宋" w:eastAsia="仿宋" w:cs="仿宋"/>
          <w:sz w:val="24"/>
        </w:rPr>
        <w:t>供应商所投内容不符合采购需求中实质性要求的；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2</w:t>
      </w:r>
      <w:r>
        <w:rPr>
          <w:rFonts w:hint="eastAsia" w:ascii="仿宋" w:hAnsi="仿宋" w:eastAsia="仿宋" w:cs="仿宋"/>
          <w:sz w:val="24"/>
        </w:rPr>
        <w:t>所提交的最后报价中出现不是唯一的、有选择性的报价的;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3</w:t>
      </w:r>
      <w:r>
        <w:rPr>
          <w:rFonts w:hint="eastAsia" w:ascii="仿宋" w:hAnsi="仿宋" w:eastAsia="仿宋" w:cs="仿宋"/>
          <w:sz w:val="24"/>
        </w:rPr>
        <w:t>最后报价高于本项目采购预算或者最高限价的;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4</w:t>
      </w:r>
      <w:r>
        <w:rPr>
          <w:rFonts w:hint="eastAsia" w:ascii="仿宋" w:hAnsi="仿宋" w:eastAsia="仿宋" w:cs="仿宋"/>
          <w:sz w:val="24"/>
        </w:rPr>
        <w:t>最后报价填写不完整或字迹不能辨认或有漏项的；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5</w:t>
      </w:r>
      <w:r>
        <w:rPr>
          <w:rFonts w:hint="eastAsia" w:ascii="仿宋" w:hAnsi="仿宋" w:eastAsia="仿宋" w:cs="仿宋"/>
          <w:sz w:val="24"/>
        </w:rPr>
        <w:t>供应商对根据修正原则修正后的最后报价不确认的；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6</w:t>
      </w:r>
      <w:r>
        <w:rPr>
          <w:rFonts w:hint="eastAsia" w:ascii="仿宋" w:hAnsi="仿宋" w:eastAsia="仿宋" w:cs="仿宋"/>
          <w:sz w:val="24"/>
        </w:rPr>
        <w:t>供应商提供虚假材料响应的（包括但不限于以下情节）；</w:t>
      </w:r>
    </w:p>
    <w:p>
      <w:pPr>
        <w:pStyle w:val="26"/>
        <w:numPr>
          <w:ilvl w:val="0"/>
          <w:numId w:val="4"/>
        </w:numPr>
        <w:ind w:firstLineChars="0"/>
        <w:rPr>
          <w:rFonts w:hint="eastAsia" w:ascii="仿宋" w:hAnsi="仿宋" w:eastAsia="仿宋" w:cs="仿宋"/>
        </w:rPr>
      </w:pPr>
      <w:r>
        <w:rPr>
          <w:rFonts w:hint="eastAsia" w:ascii="仿宋" w:hAnsi="仿宋" w:eastAsia="仿宋" w:cs="仿宋"/>
        </w:rPr>
        <w:t>使用伪造、变造的许可证件；</w:t>
      </w:r>
    </w:p>
    <w:p>
      <w:pPr>
        <w:pStyle w:val="26"/>
        <w:numPr>
          <w:ilvl w:val="0"/>
          <w:numId w:val="4"/>
        </w:numPr>
        <w:ind w:firstLineChars="0"/>
        <w:rPr>
          <w:rFonts w:hint="eastAsia" w:ascii="仿宋" w:hAnsi="仿宋" w:eastAsia="仿宋" w:cs="仿宋"/>
        </w:rPr>
      </w:pPr>
      <w:r>
        <w:rPr>
          <w:rFonts w:hint="eastAsia" w:ascii="仿宋" w:hAnsi="仿宋" w:eastAsia="仿宋" w:cs="仿宋"/>
        </w:rPr>
        <w:t>提供虚假的财务状况或者业绩；</w:t>
      </w:r>
    </w:p>
    <w:p>
      <w:pPr>
        <w:pStyle w:val="26"/>
        <w:numPr>
          <w:ilvl w:val="0"/>
          <w:numId w:val="4"/>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pPr>
        <w:pStyle w:val="26"/>
        <w:numPr>
          <w:ilvl w:val="0"/>
          <w:numId w:val="4"/>
        </w:numPr>
        <w:ind w:firstLineChars="0"/>
        <w:rPr>
          <w:rFonts w:hint="eastAsia" w:ascii="仿宋" w:hAnsi="仿宋" w:eastAsia="仿宋" w:cs="仿宋"/>
        </w:rPr>
      </w:pPr>
      <w:r>
        <w:rPr>
          <w:rFonts w:hint="eastAsia" w:ascii="仿宋" w:hAnsi="仿宋" w:eastAsia="仿宋" w:cs="仿宋"/>
        </w:rPr>
        <w:t>提供虚假的信用状况；</w:t>
      </w:r>
    </w:p>
    <w:p>
      <w:pPr>
        <w:pStyle w:val="26"/>
        <w:numPr>
          <w:ilvl w:val="0"/>
          <w:numId w:val="4"/>
        </w:numPr>
        <w:ind w:firstLineChars="0"/>
        <w:rPr>
          <w:rFonts w:hint="eastAsia" w:ascii="仿宋" w:hAnsi="仿宋" w:eastAsia="仿宋" w:cs="仿宋"/>
        </w:rPr>
      </w:pPr>
      <w:r>
        <w:rPr>
          <w:rFonts w:hint="eastAsia" w:ascii="仿宋" w:hAnsi="仿宋" w:eastAsia="仿宋" w:cs="仿宋"/>
        </w:rPr>
        <w:t>其他弄虚作假的行为。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17</w:t>
      </w:r>
      <w:r>
        <w:rPr>
          <w:rFonts w:hint="eastAsia" w:ascii="仿宋" w:hAnsi="仿宋" w:eastAsia="仿宋" w:cs="仿宋"/>
          <w:sz w:val="24"/>
        </w:rPr>
        <w:t>供应商仅提交备份响应文件，没有在电子交易平台传输递交响应文件的，响应无效；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18</w:t>
      </w:r>
      <w:r>
        <w:rPr>
          <w:rFonts w:hint="eastAsia" w:ascii="仿宋" w:hAnsi="仿宋" w:eastAsia="仿宋" w:cs="仿宋"/>
          <w:sz w:val="24"/>
        </w:rPr>
        <w:t>法律、法规、规章（适用本市的）及省级以上规范性文件（适用本市的）规定的其他无效情形。</w:t>
      </w:r>
    </w:p>
    <w:p>
      <w:pPr>
        <w:pStyle w:val="25"/>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pPr>
        <w:pStyle w:val="25"/>
        <w:numPr>
          <w:ilvl w:val="0"/>
          <w:numId w:val="0"/>
        </w:numPr>
        <w:spacing w:before="0"/>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出现下列情形之一的，采购人或者采购代理机构应当终止采购活动，发布项目终止公告并说明原因，重新开展采购活动：</w:t>
      </w:r>
    </w:p>
    <w:p>
      <w:pPr>
        <w:pStyle w:val="25"/>
        <w:numPr>
          <w:ilvl w:val="0"/>
          <w:numId w:val="0"/>
        </w:numPr>
        <w:spacing w:before="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（一）因情况变化，不再符合规定的单一来源采购方式适用情形的；</w:t>
      </w:r>
    </w:p>
    <w:p>
      <w:pPr>
        <w:pStyle w:val="25"/>
        <w:numPr>
          <w:ilvl w:val="0"/>
          <w:numId w:val="0"/>
        </w:numPr>
        <w:spacing w:before="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（二）出现影响采购公正的违法、违规行为的；</w:t>
      </w:r>
    </w:p>
    <w:p>
      <w:pPr>
        <w:pStyle w:val="25"/>
        <w:numPr>
          <w:ilvl w:val="0"/>
          <w:numId w:val="0"/>
        </w:numPr>
        <w:spacing w:before="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（三）报价超过采购预算的。</w:t>
      </w:r>
    </w:p>
    <w:p>
      <w:pPr>
        <w:pStyle w:val="25"/>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在采购活动中因重大变故，采购任务取消的，采购机构将终止采购活动，通过电子交易平台通知所有参加采购活动的供应商，并将项目实施情况和采购任务取消原因报送本级财政部门。</w:t>
      </w:r>
    </w:p>
    <w:p>
      <w:pPr>
        <w:pStyle w:val="25"/>
        <w:spacing w:before="0"/>
        <w:ind w:firstLine="0" w:firstLineChars="0"/>
        <w:jc w:val="center"/>
        <w:rPr>
          <w:rFonts w:hint="eastAsia" w:ascii="仿宋" w:hAnsi="仿宋" w:eastAsia="仿宋" w:cs="仿宋"/>
          <w:b/>
          <w:sz w:val="32"/>
        </w:rPr>
      </w:pPr>
      <w:r>
        <w:rPr>
          <w:rFonts w:hint="eastAsia" w:ascii="仿宋" w:hAnsi="仿宋" w:eastAsia="仿宋" w:cs="仿宋"/>
          <w:b/>
          <w:sz w:val="32"/>
        </w:rPr>
        <w:t>六、</w:t>
      </w:r>
      <w:r>
        <w:rPr>
          <w:rFonts w:hint="eastAsia" w:ascii="仿宋" w:hAnsi="仿宋" w:eastAsia="仿宋" w:cs="仿宋"/>
          <w:b/>
          <w:sz w:val="32"/>
          <w:lang w:eastAsia="zh-CN"/>
        </w:rPr>
        <w:t>谈判</w:t>
      </w:r>
      <w:r>
        <w:rPr>
          <w:rFonts w:hint="eastAsia" w:ascii="仿宋" w:hAnsi="仿宋" w:eastAsia="仿宋" w:cs="仿宋"/>
          <w:b/>
          <w:sz w:val="32"/>
        </w:rPr>
        <w:t>标准</w:t>
      </w:r>
    </w:p>
    <w:p>
      <w:pPr>
        <w:tabs>
          <w:tab w:val="left" w:pos="0"/>
        </w:tabs>
        <w:autoSpaceDE w:val="0"/>
        <w:autoSpaceDN w:val="0"/>
        <w:adjustRightInd w:val="0"/>
        <w:spacing w:line="400" w:lineRule="exact"/>
        <w:ind w:firstLine="482" w:firstLineChars="200"/>
        <w:rPr>
          <w:rFonts w:hint="eastAsia" w:ascii="仿宋" w:hAnsi="仿宋" w:eastAsia="仿宋" w:cs="仿宋"/>
          <w:b/>
          <w:sz w:val="24"/>
          <w:szCs w:val="24"/>
          <w:lang w:val="en-US" w:eastAsia="zh-CN"/>
        </w:rPr>
      </w:pPr>
    </w:p>
    <w:p>
      <w:pPr>
        <w:tabs>
          <w:tab w:val="left" w:pos="0"/>
        </w:tabs>
        <w:autoSpaceDE w:val="0"/>
        <w:autoSpaceDN w:val="0"/>
        <w:adjustRightInd w:val="0"/>
        <w:spacing w:line="400" w:lineRule="exact"/>
        <w:ind w:firstLine="482" w:firstLineChars="200"/>
        <w:rPr>
          <w:rFonts w:hint="eastAsia" w:ascii="仿宋" w:hAnsi="仿宋" w:eastAsia="仿宋" w:cs="仿宋"/>
          <w:b/>
          <w:kern w:val="0"/>
          <w:sz w:val="24"/>
          <w:szCs w:val="24"/>
          <w:lang w:val="zh-CN"/>
        </w:rPr>
      </w:pPr>
      <w:r>
        <w:rPr>
          <w:rFonts w:hint="eastAsia" w:ascii="仿宋" w:hAnsi="仿宋" w:eastAsia="仿宋" w:cs="仿宋"/>
          <w:b/>
          <w:sz w:val="24"/>
          <w:szCs w:val="24"/>
          <w:lang w:val="en-US" w:eastAsia="zh-CN"/>
        </w:rPr>
        <w:t>1</w:t>
      </w:r>
      <w:r>
        <w:rPr>
          <w:rFonts w:hint="eastAsia" w:ascii="仿宋" w:hAnsi="仿宋" w:eastAsia="仿宋" w:cs="仿宋"/>
          <w:b/>
          <w:sz w:val="24"/>
          <w:szCs w:val="24"/>
        </w:rPr>
        <w:t>、</w:t>
      </w:r>
      <w:r>
        <w:rPr>
          <w:rFonts w:hint="eastAsia" w:ascii="仿宋" w:hAnsi="仿宋" w:eastAsia="仿宋" w:cs="仿宋"/>
          <w:b/>
          <w:kern w:val="0"/>
          <w:sz w:val="24"/>
          <w:szCs w:val="24"/>
          <w:lang w:val="zh-CN"/>
        </w:rPr>
        <w:t>谈判评审要点</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 ）</w:t>
      </w:r>
      <w:r>
        <w:rPr>
          <w:rFonts w:hint="eastAsia" w:ascii="仿宋" w:hAnsi="仿宋" w:eastAsia="仿宋" w:cs="仿宋"/>
          <w:sz w:val="24"/>
          <w:szCs w:val="24"/>
        </w:rPr>
        <w:t>谈判响应方资格、</w:t>
      </w:r>
      <w:r>
        <w:rPr>
          <w:rFonts w:hint="eastAsia" w:ascii="仿宋" w:hAnsi="仿宋" w:eastAsia="仿宋" w:cs="仿宋"/>
          <w:kern w:val="0"/>
          <w:sz w:val="24"/>
          <w:szCs w:val="24"/>
          <w:lang w:val="zh-CN"/>
        </w:rPr>
        <w:t>资质；</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）谈判方案与需求的吻合程度，包括方案的科学性、先进性、合理性和扩展性等；</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报价的合理性；</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在从事同类项目建设的有关业绩；</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5</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提交的项目偏差情况；</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6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实施方案、交货期的科学性、规范性、可操作性，包括安排参与项目的人员的素质、技术能力、经验及人数是否符合采购要求；</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7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提出的优惠条件和承诺；</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8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的质保、后续技术支持和维护能力；</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9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本地化的服务能力；</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10）其他。</w:t>
      </w:r>
    </w:p>
    <w:p>
      <w:pPr>
        <w:pStyle w:val="25"/>
        <w:adjustRightInd w:val="0"/>
        <w:snapToGrid w:val="0"/>
        <w:spacing w:before="0" w:line="400" w:lineRule="exact"/>
        <w:ind w:firstLine="482"/>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w:t>
      </w:r>
      <w:r>
        <w:rPr>
          <w:rFonts w:hint="eastAsia" w:ascii="仿宋" w:hAnsi="仿宋" w:eastAsia="仿宋" w:cs="仿宋"/>
          <w:b/>
          <w:sz w:val="24"/>
          <w:szCs w:val="24"/>
        </w:rPr>
        <w:t>最终报价</w:t>
      </w:r>
    </w:p>
    <w:p>
      <w:pPr>
        <w:tabs>
          <w:tab w:val="left" w:pos="0"/>
        </w:tabs>
        <w:autoSpaceDE w:val="0"/>
        <w:autoSpaceDN w:val="0"/>
        <w:adjustRightInd w:val="0"/>
        <w:spacing w:line="400" w:lineRule="exact"/>
        <w:ind w:firstLine="480" w:firstLineChars="200"/>
        <w:rPr>
          <w:rFonts w:hint="eastAsia" w:ascii="仿宋" w:hAnsi="仿宋" w:eastAsia="仿宋" w:cs="仿宋"/>
          <w:b/>
          <w:kern w:val="0"/>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）谈判结束后，谈判小组将要求谈判响应方在规定时间内确定最终报价。</w:t>
      </w:r>
    </w:p>
    <w:p>
      <w:pPr>
        <w:pStyle w:val="12"/>
        <w:spacing w:before="0" w:beforeLines="0" w:after="0" w:afterLines="0"/>
        <w:ind w:firstLine="482"/>
        <w:rPr>
          <w:rFonts w:hint="eastAsia" w:ascii="仿宋" w:hAnsi="仿宋" w:eastAsia="仿宋" w:cs="仿宋"/>
          <w:sz w:val="24"/>
          <w:szCs w:val="24"/>
        </w:rPr>
      </w:pPr>
      <w:r>
        <w:rPr>
          <w:rFonts w:hint="eastAsia" w:ascii="仿宋" w:hAnsi="仿宋" w:eastAsia="仿宋" w:cs="仿宋"/>
          <w:sz w:val="24"/>
          <w:szCs w:val="24"/>
        </w:rPr>
        <w:t>2 ）谈判小组将对谈判响应方的方案、报价、企业综合能力、对项目的投入等方面进行谈判和综合评审，对实质上响应采购文件的谈判响应方，根据最终有效报价、技术服务方案、综合实力等情况，形成评审意见。</w:t>
      </w:r>
    </w:p>
    <w:p>
      <w:pPr>
        <w:pStyle w:val="12"/>
        <w:snapToGrid w:val="0"/>
        <w:spacing w:before="0" w:beforeLines="0" w:after="0" w:afterLines="0"/>
        <w:ind w:left="720" w:leftChars="228" w:hanging="241" w:hangingChars="100"/>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、在报价评议时，如发现下列情形之一的，谈判响应文件将被视为无效：</w:t>
      </w:r>
    </w:p>
    <w:p>
      <w:pPr>
        <w:pStyle w:val="12"/>
        <w:snapToGrid w:val="0"/>
        <w:spacing w:before="0" w:beforeLines="0" w:after="0" w:afterLines="0"/>
        <w:ind w:left="719" w:leftChars="228" w:hanging="240" w:hangingChars="100"/>
        <w:rPr>
          <w:rFonts w:hint="eastAsia" w:ascii="仿宋" w:hAnsi="仿宋" w:eastAsia="仿宋" w:cs="仿宋"/>
          <w:sz w:val="24"/>
          <w:szCs w:val="24"/>
        </w:rPr>
      </w:pPr>
      <w:r>
        <w:rPr>
          <w:rFonts w:hint="eastAsia" w:ascii="仿宋" w:hAnsi="仿宋" w:eastAsia="仿宋" w:cs="仿宋"/>
          <w:sz w:val="24"/>
          <w:szCs w:val="24"/>
        </w:rPr>
        <w:t>1）以赠送方式的报价；</w:t>
      </w:r>
    </w:p>
    <w:p>
      <w:pPr>
        <w:pStyle w:val="12"/>
        <w:snapToGrid w:val="0"/>
        <w:spacing w:before="0" w:beforeLines="0" w:after="0" w:afterLines="0"/>
        <w:ind w:left="719" w:leftChars="228" w:hanging="240" w:hangingChars="100"/>
        <w:rPr>
          <w:rFonts w:hint="eastAsia" w:ascii="仿宋" w:hAnsi="仿宋" w:eastAsia="仿宋" w:cs="仿宋"/>
          <w:sz w:val="24"/>
          <w:szCs w:val="24"/>
        </w:rPr>
      </w:pPr>
      <w:r>
        <w:rPr>
          <w:rFonts w:hint="eastAsia" w:ascii="仿宋" w:hAnsi="仿宋" w:eastAsia="仿宋" w:cs="仿宋"/>
          <w:sz w:val="24"/>
          <w:szCs w:val="24"/>
        </w:rPr>
        <w:t>2）谈判最终报价超出上限价的；</w:t>
      </w:r>
    </w:p>
    <w:p>
      <w:pPr>
        <w:pStyle w:val="12"/>
        <w:snapToGrid w:val="0"/>
        <w:spacing w:before="0" w:beforeLines="0" w:after="0" w:afterLines="0"/>
        <w:ind w:firstLine="480" w:firstLineChars="200"/>
        <w:rPr>
          <w:rFonts w:hint="eastAsia" w:ascii="仿宋" w:hAnsi="仿宋" w:eastAsia="仿宋" w:cs="仿宋"/>
          <w:sz w:val="24"/>
          <w:szCs w:val="24"/>
        </w:rPr>
      </w:pPr>
      <w:r>
        <w:rPr>
          <w:rFonts w:hint="eastAsia" w:ascii="仿宋" w:hAnsi="仿宋" w:eastAsia="仿宋" w:cs="仿宋"/>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仿宋" w:hAnsi="仿宋" w:eastAsia="仿宋" w:cs="仿宋"/>
          <w:bCs/>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、不符合法律、法规和本采购文件规定的其他实质性要求的（</w:t>
      </w:r>
      <w:r>
        <w:rPr>
          <w:rFonts w:hint="eastAsia" w:ascii="仿宋" w:hAnsi="仿宋" w:eastAsia="仿宋" w:cs="仿宋"/>
          <w:bCs/>
          <w:sz w:val="24"/>
          <w:szCs w:val="24"/>
        </w:rPr>
        <w:t>实质上没有响应</w:t>
      </w:r>
      <w:r>
        <w:rPr>
          <w:rFonts w:hint="eastAsia" w:ascii="仿宋" w:hAnsi="仿宋" w:eastAsia="仿宋" w:cs="仿宋"/>
          <w:sz w:val="24"/>
          <w:szCs w:val="24"/>
        </w:rPr>
        <w:t>谈判响应</w:t>
      </w:r>
      <w:r>
        <w:rPr>
          <w:rFonts w:hint="eastAsia" w:ascii="仿宋" w:hAnsi="仿宋" w:eastAsia="仿宋" w:cs="仿宋"/>
          <w:bCs/>
          <w:sz w:val="24"/>
          <w:szCs w:val="24"/>
        </w:rPr>
        <w:t>文件要求的谈判将被视为无效，但谈判小组认定属于</w:t>
      </w:r>
      <w:r>
        <w:rPr>
          <w:rFonts w:hint="eastAsia" w:ascii="仿宋" w:hAnsi="仿宋" w:eastAsia="仿宋" w:cs="仿宋"/>
          <w:sz w:val="24"/>
          <w:szCs w:val="24"/>
        </w:rPr>
        <w:t>谈判响应方</w:t>
      </w:r>
      <w:r>
        <w:rPr>
          <w:rFonts w:hint="eastAsia" w:ascii="仿宋" w:hAnsi="仿宋" w:eastAsia="仿宋" w:cs="仿宋"/>
          <w:bCs/>
          <w:sz w:val="24"/>
          <w:szCs w:val="24"/>
        </w:rPr>
        <w:t>疏忽、笔误所造成的差错，应当允许其在谈判结束之前进行修改或者补正</w:t>
      </w:r>
      <w:r>
        <w:rPr>
          <w:rFonts w:hint="eastAsia" w:ascii="仿宋" w:hAnsi="仿宋" w:eastAsia="仿宋" w:cs="仿宋"/>
          <w:b/>
          <w:sz w:val="24"/>
          <w:szCs w:val="24"/>
        </w:rPr>
        <w:t>）</w:t>
      </w:r>
      <w:r>
        <w:rPr>
          <w:rFonts w:hint="eastAsia" w:ascii="仿宋" w:hAnsi="仿宋" w:eastAsia="仿宋" w:cs="仿宋"/>
          <w:bCs/>
          <w:sz w:val="24"/>
          <w:szCs w:val="24"/>
        </w:rPr>
        <w:t>。</w:t>
      </w:r>
    </w:p>
    <w:p>
      <w:pPr>
        <w:pStyle w:val="23"/>
        <w:rPr>
          <w:rFonts w:hint="eastAsia" w:ascii="仿宋" w:hAnsi="仿宋" w:eastAsia="仿宋" w:cs="仿宋"/>
        </w:rPr>
      </w:pPr>
    </w:p>
    <w:p>
      <w:pPr>
        <w:widowControl/>
        <w:adjustRightInd/>
        <w:jc w:val="center"/>
        <w:rPr>
          <w:rFonts w:hint="eastAsia" w:ascii="仿宋" w:hAnsi="仿宋" w:eastAsia="仿宋" w:cs="仿宋"/>
          <w:b/>
          <w:sz w:val="36"/>
          <w:szCs w:val="36"/>
        </w:rPr>
      </w:pPr>
      <w:r>
        <w:rPr>
          <w:rFonts w:hint="eastAsia" w:ascii="仿宋" w:hAnsi="仿宋" w:eastAsia="仿宋" w:cs="仿宋"/>
          <w:b/>
          <w:sz w:val="36"/>
          <w:szCs w:val="36"/>
        </w:rPr>
        <w:t>第四部分  采购需求</w:t>
      </w:r>
    </w:p>
    <w:p>
      <w:pPr>
        <w:pStyle w:val="4"/>
        <w:rPr>
          <w:rFonts w:hint="default"/>
        </w:rPr>
      </w:pPr>
      <w:r>
        <w:t>一、项目需求</w:t>
      </w:r>
    </w:p>
    <w:p>
      <w:pPr>
        <w:pStyle w:val="5"/>
        <w:rPr>
          <w:rFonts w:hint="eastAsia" w:ascii="仿宋" w:hAnsi="仿宋" w:eastAsia="仿宋" w:cs="仿宋"/>
          <w:sz w:val="24"/>
          <w:szCs w:val="24"/>
        </w:rPr>
      </w:pPr>
      <w:r>
        <w:rPr>
          <w:rFonts w:hint="eastAsia" w:ascii="仿宋" w:hAnsi="仿宋" w:eastAsia="仿宋" w:cs="仿宋"/>
          <w:sz w:val="24"/>
          <w:szCs w:val="24"/>
        </w:rPr>
        <w:t>1.原项目需求概况</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项目中需在位于临安区青山湖市民中心2号楼5楼新建一个标准IDC数据机房，建筑面积大约340平方米。机房内安置5组冷通道，每组冷通道含16个服务器机柜、1个网络机柜、一个配电柜，用于放置网络核心设备、网络应用服务器、数据中心服务器等，并将原区政府2号楼二个机房服务器、核心交换机、安全设备做逐步割接迁移到新建机房。</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项目主要完成临安区数据资源管理局中心机房区域的物理基础建设及原机房网络迁移工程。工程包括：机房装饰系统、机房电气安装工程、机房接地和防雷系统工程、机房UPS系统工程、机房空气调节系统工程、机房综合布线工程、机房环境监控系统工程（含安防系统）、机房消防工程、机房KVM工程、原机房网络迁移、人员驻场服务等各子系统组成（详见建设内容清单）。</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机房工程的设计要注重各系统（配电、空调、消防、综合布线等）之间的融合、节能与安全。为保证中心网络和主机服务器等精密设备能安全、稳定、可靠的运行，此次机房设计与施工实现的功能、指标以GB50174-2008《电子信息系统机房设计规范》（以下简称“《规范》”）为设计依据，原则上遵循《规范》中的B级电子信息系统机房设计要求。</w:t>
      </w:r>
    </w:p>
    <w:p>
      <w:pPr>
        <w:pStyle w:val="5"/>
        <w:rPr>
          <w:rFonts w:hint="eastAsia" w:ascii="仿宋" w:hAnsi="仿宋" w:eastAsia="仿宋" w:cs="仿宋"/>
          <w:sz w:val="24"/>
          <w:szCs w:val="24"/>
        </w:rPr>
      </w:pPr>
      <w:r>
        <w:rPr>
          <w:rFonts w:hint="eastAsia" w:ascii="仿宋" w:hAnsi="仿宋" w:eastAsia="仿宋" w:cs="仿宋"/>
          <w:sz w:val="24"/>
          <w:szCs w:val="24"/>
        </w:rPr>
        <w:t>2.设备增补调整</w:t>
      </w:r>
    </w:p>
    <w:p>
      <w:pPr>
        <w:rPr>
          <w:rFonts w:hint="eastAsia" w:ascii="仿宋" w:hAnsi="仿宋" w:eastAsia="仿宋" w:cs="仿宋"/>
          <w:sz w:val="24"/>
          <w:szCs w:val="24"/>
        </w:rPr>
      </w:pPr>
      <w:r>
        <w:rPr>
          <w:rFonts w:hint="eastAsia" w:ascii="仿宋" w:hAnsi="仿宋" w:eastAsia="仿宋" w:cs="仿宋"/>
          <w:sz w:val="24"/>
          <w:szCs w:val="24"/>
        </w:rPr>
        <w:t>      杭州市临安区数据资源管理局临安区电子政务中心机房迁建项目因现场场地原因，导致需求变更，具体变更如下：</w:t>
      </w:r>
    </w:p>
    <w:p>
      <w:pPr>
        <w:pStyle w:val="6"/>
        <w:rPr>
          <w:rFonts w:hint="eastAsia" w:ascii="仿宋" w:hAnsi="仿宋" w:eastAsia="仿宋" w:cs="仿宋"/>
          <w:sz w:val="24"/>
          <w:szCs w:val="24"/>
        </w:rPr>
      </w:pPr>
      <w:r>
        <w:rPr>
          <w:rFonts w:hint="eastAsia" w:ascii="仿宋" w:hAnsi="仿宋" w:eastAsia="仿宋" w:cs="仿宋"/>
          <w:sz w:val="24"/>
          <w:szCs w:val="24"/>
        </w:rPr>
        <w:t>2.1机房供配电系统：</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新增机房配电间UPS1.2输入输出配电柜2台（采用施耐德空开，尺寸：600*800*2000mm，含400A/3P输入空开，400A/3P市电维修旁路空开，400A/3P输出总空开，250A/3P分路输出空开*3,电量显示仪，指示灯，防雷器等）及底座2台（5号镀锌角钢焊制，尺寸：600*800*500mm）；</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5838825" cy="3383280"/>
            <wp:effectExtent l="0" t="0" r="9525" b="7620"/>
            <wp:docPr id="452" name="图片 452" descr="C:\Users\pc\Desktop\ups1,2输入输出配电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descr="C:\Users\pc\Desktop\ups1,2输入输出配电柜.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837034" cy="3382698"/>
                    </a:xfrm>
                    <a:prstGeom prst="rect">
                      <a:avLst/>
                    </a:prstGeom>
                    <a:noFill/>
                    <a:ln>
                      <a:noFill/>
                    </a:ln>
                  </pic:spPr>
                </pic:pic>
              </a:graphicData>
            </a:graphic>
          </wp:inline>
        </w:drawing>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2、新增大楼低压配电房ATS切换柜（UPS市电ATS柜,采用施耐德ATS，尺寸：700*1000*2000mm，含500A/4P双市电自动切换ATS，500A/4P市电/油机手动切换ATS，500A/3P输出总空开，电量显示仪，指示灯，防雷器等）1套；</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5721985" cy="3000375"/>
            <wp:effectExtent l="0" t="0" r="12065" b="9525"/>
            <wp:docPr id="453" name="图片 453" descr="C:\Users\pc\Desktop\UPS输入ATS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descr="C:\Users\pc\Desktop\UPS输入ATS柜.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32080" cy="3005424"/>
                    </a:xfrm>
                    <a:prstGeom prst="rect">
                      <a:avLst/>
                    </a:prstGeom>
                    <a:noFill/>
                    <a:ln>
                      <a:noFill/>
                    </a:ln>
                  </pic:spPr>
                </pic:pic>
              </a:graphicData>
            </a:graphic>
          </wp:inline>
        </w:drawing>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3、UPS主机输入电缆【(两根合并)ZR-YJVR-4*185+1*90mm2】40米由于UPS主机由2台变更成4台，故线缆变更为【(两根合并)ZR-YJVR-4*120+1*70mm2（双拼）】80米</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4、UPS主机输出电缆【(两根合并)ZR-YJVR-4*185+1*90mm2】40米由于UPS主机由2台变更成4台，故线缆变更为【(两根合并)ZR-YJVR-4*120+1*70mm2（双拼）】80米；</w:t>
      </w:r>
    </w:p>
    <w:p>
      <w:pPr>
        <w:ind w:firstLine="480" w:firstLineChars="200"/>
        <w:rPr>
          <w:rFonts w:hint="eastAsia" w:ascii="仿宋" w:hAnsi="仿宋" w:eastAsia="仿宋" w:cs="仿宋"/>
          <w:sz w:val="24"/>
          <w:szCs w:val="24"/>
        </w:rPr>
      </w:pPr>
    </w:p>
    <w:p>
      <w:pPr>
        <w:pStyle w:val="6"/>
        <w:rPr>
          <w:rFonts w:hint="eastAsia" w:ascii="仿宋" w:hAnsi="仿宋" w:eastAsia="仿宋" w:cs="仿宋"/>
          <w:sz w:val="24"/>
          <w:szCs w:val="24"/>
        </w:rPr>
      </w:pPr>
      <w:r>
        <w:rPr>
          <w:rFonts w:hint="eastAsia" w:ascii="仿宋" w:hAnsi="仿宋" w:eastAsia="仿宋" w:cs="仿宋"/>
          <w:sz w:val="24"/>
          <w:szCs w:val="24"/>
        </w:rPr>
        <w:t>2.2UPS系统</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UPS主机500KVA主机【配置400KVA以上模块（型号：UPS5000-E-500K-SM），采用50K模块8块及500KVA主机框】2台变更为200KVA主机【配置200KVA以上模块（型号：UPS5000-E-200K-SM）采用50K模块4块及200KVA主机框】4台，新增UPS底座4套（5号镀锌角钢焊制，尺寸：600*855*500mm）；</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2、新增2台UPS主机配套的电池BCB B0X 箱2台；</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3、新增2台UPS主机配套的直流汇流箱（4个400A直流分空开）2套；</w:t>
      </w:r>
    </w:p>
    <w:p>
      <w:pPr>
        <w:ind w:firstLine="480" w:firstLineChars="200"/>
        <w:rPr>
          <w:rFonts w:hint="eastAsia" w:ascii="仿宋" w:hAnsi="仿宋" w:eastAsia="仿宋" w:cs="仿宋"/>
          <w:sz w:val="24"/>
          <w:szCs w:val="24"/>
        </w:rPr>
        <w:sectPr>
          <w:footerReference r:id="rId3" w:type="default"/>
          <w:pgSz w:w="11906" w:h="16838"/>
          <w:pgMar w:top="896" w:right="1800" w:bottom="1440" w:left="1800" w:header="851" w:footer="992" w:gutter="0"/>
          <w:cols w:space="425" w:num="1"/>
          <w:docGrid w:type="lines" w:linePitch="312" w:charSpace="0"/>
        </w:sectPr>
      </w:pPr>
      <w:r>
        <w:rPr>
          <w:rFonts w:hint="eastAsia" w:ascii="仿宋" w:hAnsi="仿宋" w:eastAsia="仿宋" w:cs="仿宋"/>
          <w:sz w:val="24"/>
          <w:szCs w:val="24"/>
        </w:rPr>
        <w:t>4、新增UPS主机到电池组配套的电池连接线（BVR300MM2）520米；</w:t>
      </w:r>
    </w:p>
    <w:p>
      <w:pPr>
        <w:pStyle w:val="5"/>
        <w:rPr>
          <w:color w:val="auto"/>
        </w:rPr>
      </w:pPr>
      <w:r>
        <w:rPr>
          <w:rFonts w:hint="eastAsia"/>
          <w:color w:val="auto"/>
        </w:rPr>
        <w:t>3</w:t>
      </w:r>
      <w:r>
        <w:rPr>
          <w:color w:val="auto"/>
        </w:rPr>
        <w:t>.</w:t>
      </w:r>
      <w:r>
        <w:rPr>
          <w:rFonts w:hint="eastAsia"/>
          <w:color w:val="auto"/>
        </w:rPr>
        <w:t>需求变更清单</w:t>
      </w:r>
    </w:p>
    <w:tbl>
      <w:tblPr>
        <w:tblStyle w:val="18"/>
        <w:tblW w:w="14850" w:type="dxa"/>
        <w:tblInd w:w="-891" w:type="dxa"/>
        <w:tblLayout w:type="fixed"/>
        <w:tblCellMar>
          <w:top w:w="0" w:type="dxa"/>
          <w:left w:w="108" w:type="dxa"/>
          <w:bottom w:w="0" w:type="dxa"/>
          <w:right w:w="108" w:type="dxa"/>
        </w:tblCellMar>
      </w:tblPr>
      <w:tblGrid>
        <w:gridCol w:w="616"/>
        <w:gridCol w:w="2167"/>
        <w:gridCol w:w="4267"/>
        <w:gridCol w:w="1743"/>
        <w:gridCol w:w="1125"/>
        <w:gridCol w:w="1200"/>
        <w:gridCol w:w="1107"/>
        <w:gridCol w:w="2625"/>
      </w:tblGrid>
      <w:tr>
        <w:tblPrEx>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序号</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名称</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Style w:val="44"/>
                <w:rFonts w:hint="default"/>
                <w:color w:val="auto"/>
                <w:lang w:bidi="ar"/>
              </w:rPr>
              <w:t>规格</w:t>
            </w:r>
            <w:r>
              <w:rPr>
                <w:rStyle w:val="45"/>
                <w:rFonts w:eastAsia="宋体"/>
                <w:color w:val="auto"/>
                <w:lang w:bidi="ar"/>
              </w:rPr>
              <w:t>/</w:t>
            </w:r>
            <w:r>
              <w:rPr>
                <w:rStyle w:val="44"/>
                <w:rFonts w:hint="default"/>
                <w:color w:val="auto"/>
                <w:lang w:bidi="ar"/>
              </w:rPr>
              <w:t>参数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lang w:bidi="ar"/>
              </w:rPr>
              <w:t>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单位</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数量</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备注</w:t>
            </w:r>
          </w:p>
        </w:tc>
      </w:tr>
      <w:tr>
        <w:tblPrEx>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一</w:t>
            </w:r>
          </w:p>
        </w:tc>
        <w:tc>
          <w:tcPr>
            <w:tcW w:w="6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工程类子系统费用列表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0"/>
                <w:szCs w:val="20"/>
              </w:rPr>
            </w:pPr>
          </w:p>
        </w:tc>
      </w:tr>
      <w:tr>
        <w:tblPrEx>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auto"/>
                <w:sz w:val="20"/>
                <w:szCs w:val="20"/>
              </w:rPr>
            </w:pPr>
            <w:r>
              <w:rPr>
                <w:rFonts w:ascii="Times New Roman" w:hAnsi="Times New Roman" w:eastAsia="宋体" w:cs="Times New Roman"/>
                <w:b/>
                <w:bCs/>
                <w:color w:val="auto"/>
                <w:kern w:val="0"/>
                <w:sz w:val="20"/>
                <w:szCs w:val="20"/>
                <w:lang w:bidi="ar"/>
              </w:rPr>
              <w:t>E</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其他基础工程</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18"/>
                <w:szCs w:val="18"/>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0"/>
                <w:szCs w:val="20"/>
              </w:rPr>
            </w:pPr>
          </w:p>
        </w:tc>
      </w:tr>
      <w:tr>
        <w:tblPrEx>
          <w:tblCellMar>
            <w:top w:w="0" w:type="dxa"/>
            <w:left w:w="108" w:type="dxa"/>
            <w:bottom w:w="0" w:type="dxa"/>
            <w:right w:w="108" w:type="dxa"/>
          </w:tblCellMar>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配电柜底座</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5#</w:t>
            </w:r>
            <w:r>
              <w:rPr>
                <w:rStyle w:val="46"/>
                <w:rFonts w:hint="default"/>
                <w:color w:val="auto"/>
                <w:lang w:bidi="ar"/>
              </w:rPr>
              <w:t>镀锌角钢制作，具体尺寸按现场实际情况确定</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Style w:val="43"/>
                <w:rFonts w:eastAsia="宋体"/>
                <w:color w:val="auto"/>
                <w:lang w:bidi="ar"/>
              </w:rPr>
              <w:t>5#</w:t>
            </w:r>
            <w:r>
              <w:rPr>
                <w:rStyle w:val="46"/>
                <w:rFonts w:hint="default"/>
                <w:color w:val="auto"/>
                <w:lang w:bidi="ar"/>
              </w:rPr>
              <w:t>镀锌角钢</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订制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Style w:val="47"/>
                <w:rFonts w:hint="default"/>
                <w:color w:val="auto"/>
                <w:lang w:bidi="ar"/>
              </w:rPr>
              <w:t>输入输出配电柜增加底座</w:t>
            </w:r>
            <w:r>
              <w:rPr>
                <w:rStyle w:val="42"/>
                <w:rFonts w:eastAsia="宋体"/>
                <w:color w:val="auto"/>
                <w:lang w:bidi="ar"/>
              </w:rPr>
              <w:t>2</w:t>
            </w:r>
            <w:r>
              <w:rPr>
                <w:rStyle w:val="47"/>
                <w:rFonts w:hint="default"/>
                <w:color w:val="auto"/>
                <w:lang w:bidi="ar"/>
              </w:rPr>
              <w:t>个</w:t>
            </w:r>
          </w:p>
        </w:tc>
      </w:tr>
      <w:tr>
        <w:tblPrEx>
          <w:tblCellMar>
            <w:top w:w="0" w:type="dxa"/>
            <w:left w:w="108" w:type="dxa"/>
            <w:bottom w:w="0" w:type="dxa"/>
            <w:right w:w="108" w:type="dxa"/>
          </w:tblCellMar>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主机底座</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10#</w:t>
            </w:r>
            <w:r>
              <w:rPr>
                <w:rStyle w:val="46"/>
                <w:rFonts w:hint="default"/>
                <w:color w:val="auto"/>
                <w:lang w:bidi="ar"/>
              </w:rPr>
              <w:t>槽钢制作，刷防锈漆，具体尺寸按现场实际情况确定</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Style w:val="43"/>
                <w:rFonts w:eastAsia="宋体"/>
                <w:color w:val="auto"/>
                <w:lang w:bidi="ar"/>
              </w:rPr>
              <w:t>10#</w:t>
            </w:r>
            <w:r>
              <w:rPr>
                <w:rStyle w:val="46"/>
                <w:rFonts w:hint="default"/>
                <w:color w:val="auto"/>
                <w:lang w:bidi="ar"/>
              </w:rPr>
              <w:t>槽钢</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Style w:val="47"/>
                <w:rFonts w:hint="default"/>
                <w:color w:val="auto"/>
                <w:lang w:bidi="ar"/>
              </w:rPr>
              <w:t>订制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Style w:val="47"/>
                <w:rFonts w:hint="default"/>
                <w:color w:val="auto"/>
                <w:lang w:bidi="ar"/>
              </w:rPr>
              <w:t>个</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主机新增</w:t>
            </w:r>
            <w:r>
              <w:rPr>
                <w:rStyle w:val="42"/>
                <w:rFonts w:eastAsia="宋体"/>
                <w:color w:val="auto"/>
                <w:lang w:bidi="ar"/>
              </w:rPr>
              <w:t>2</w:t>
            </w:r>
            <w:r>
              <w:rPr>
                <w:rStyle w:val="47"/>
                <w:rFonts w:hint="default"/>
                <w:color w:val="auto"/>
                <w:lang w:bidi="ar"/>
              </w:rPr>
              <w:t>台</w:t>
            </w:r>
          </w:p>
        </w:tc>
      </w:tr>
      <w:tr>
        <w:tblPrEx>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b/>
                <w:bCs/>
                <w:color w:val="auto"/>
                <w:sz w:val="24"/>
              </w:rPr>
            </w:pP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 w:val="24"/>
              </w:rPr>
            </w:pPr>
            <w:r>
              <w:rPr>
                <w:rStyle w:val="48"/>
                <w:rFonts w:hint="default"/>
                <w:color w:val="auto"/>
                <w:lang w:bidi="ar"/>
              </w:rPr>
              <w:t>小计</w:t>
            </w:r>
            <w:r>
              <w:rPr>
                <w:rStyle w:val="49"/>
                <w:rFonts w:eastAsia="宋体"/>
                <w:color w:val="auto"/>
                <w:lang w:bidi="ar"/>
              </w:rPr>
              <w:t>1</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b/>
                <w:bCs/>
                <w:color w:val="auto"/>
                <w:sz w:val="18"/>
                <w:szCs w:val="18"/>
              </w:rPr>
            </w:pP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auto"/>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auto"/>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auto"/>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auto"/>
                <w:sz w:val="24"/>
              </w:rPr>
            </w:pPr>
            <w:r>
              <w:rPr>
                <w:rFonts w:ascii="Times New Roman" w:hAnsi="Times New Roman" w:eastAsia="宋体" w:cs="Times New Roman"/>
                <w:b/>
                <w:bCs/>
                <w:color w:val="auto"/>
                <w:kern w:val="0"/>
                <w:sz w:val="24"/>
                <w:lang w:bidi="ar"/>
              </w:rPr>
              <w:t>2</w:t>
            </w:r>
          </w:p>
        </w:tc>
        <w:tc>
          <w:tcPr>
            <w:tcW w:w="64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机房供配电系统</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auto"/>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color w:val="auto"/>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auto"/>
                <w:sz w:val="20"/>
                <w:szCs w:val="20"/>
              </w:rPr>
            </w:pPr>
            <w:r>
              <w:rPr>
                <w:rFonts w:ascii="Times New Roman" w:hAnsi="Times New Roman" w:eastAsia="宋体" w:cs="Times New Roman"/>
                <w:b/>
                <w:bCs/>
                <w:color w:val="auto"/>
                <w:kern w:val="0"/>
                <w:sz w:val="20"/>
                <w:szCs w:val="20"/>
                <w:lang w:bidi="ar"/>
              </w:rPr>
              <w:t>A</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配电柜及防雷器</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b/>
                <w:bCs/>
                <w:color w:val="auto"/>
                <w:sz w:val="18"/>
                <w:szCs w:val="18"/>
              </w:rPr>
            </w:pP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auto"/>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color w:val="auto"/>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UPS1.2</w:t>
            </w:r>
            <w:r>
              <w:rPr>
                <w:rStyle w:val="47"/>
                <w:rFonts w:hint="default"/>
                <w:color w:val="auto"/>
                <w:lang w:bidi="ar"/>
              </w:rPr>
              <w:t>输入输出配电柜</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18"/>
                <w:szCs w:val="18"/>
              </w:rPr>
            </w:pPr>
            <w:r>
              <w:rPr>
                <w:rStyle w:val="46"/>
                <w:rFonts w:hint="default"/>
                <w:color w:val="auto"/>
                <w:lang w:bidi="ar"/>
              </w:rPr>
              <w:t>定制，施耐德或</w:t>
            </w:r>
            <w:r>
              <w:rPr>
                <w:rStyle w:val="43"/>
                <w:rFonts w:eastAsia="宋体"/>
                <w:color w:val="auto"/>
                <w:lang w:bidi="ar"/>
              </w:rPr>
              <w:t>ABB</w:t>
            </w:r>
            <w:r>
              <w:rPr>
                <w:rStyle w:val="46"/>
                <w:rFonts w:hint="default"/>
                <w:color w:val="auto"/>
                <w:lang w:bidi="ar"/>
              </w:rPr>
              <w:t>空开，具体开关配置见图纸【含市电维修旁路】</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订制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高配房总空开不够，变更增加</w:t>
            </w:r>
          </w:p>
        </w:tc>
      </w:tr>
      <w:tr>
        <w:tblPrEx>
          <w:tblCellMar>
            <w:top w:w="0" w:type="dxa"/>
            <w:left w:w="108" w:type="dxa"/>
            <w:bottom w:w="0" w:type="dxa"/>
            <w:right w:w="108" w:type="dxa"/>
          </w:tblCellMar>
        </w:tblPrEx>
        <w:trPr>
          <w:trHeight w:val="799"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ATS</w:t>
            </w:r>
            <w:r>
              <w:rPr>
                <w:rStyle w:val="47"/>
                <w:rFonts w:hint="default"/>
                <w:color w:val="auto"/>
                <w:lang w:bidi="ar"/>
              </w:rPr>
              <w:t>切换柜（市电柜）</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18"/>
                <w:szCs w:val="18"/>
              </w:rPr>
            </w:pPr>
            <w:r>
              <w:rPr>
                <w:rStyle w:val="46"/>
                <w:rFonts w:hint="default"/>
                <w:color w:val="auto"/>
                <w:lang w:bidi="ar"/>
              </w:rPr>
              <w:t>市电</w:t>
            </w:r>
            <w:r>
              <w:rPr>
                <w:rStyle w:val="43"/>
                <w:rFonts w:eastAsia="宋体"/>
                <w:color w:val="auto"/>
                <w:lang w:bidi="ar"/>
              </w:rPr>
              <w:t>ATS</w:t>
            </w:r>
            <w:r>
              <w:rPr>
                <w:rStyle w:val="46"/>
                <w:rFonts w:hint="default"/>
                <w:color w:val="auto"/>
                <w:lang w:bidi="ar"/>
              </w:rPr>
              <w:t>柜</w:t>
            </w:r>
            <w:r>
              <w:rPr>
                <w:rStyle w:val="43"/>
                <w:rFonts w:eastAsia="宋体"/>
                <w:color w:val="auto"/>
                <w:lang w:bidi="ar"/>
              </w:rPr>
              <w:t xml:space="preserve"> </w:t>
            </w:r>
            <w:r>
              <w:rPr>
                <w:rStyle w:val="46"/>
                <w:rFonts w:hint="default"/>
                <w:color w:val="auto"/>
                <w:lang w:bidi="ar"/>
              </w:rPr>
              <w:t>定制，施耐德或</w:t>
            </w:r>
            <w:r>
              <w:rPr>
                <w:rStyle w:val="43"/>
                <w:rFonts w:eastAsia="宋体"/>
                <w:color w:val="auto"/>
                <w:lang w:bidi="ar"/>
              </w:rPr>
              <w:t>ABB</w:t>
            </w:r>
            <w:r>
              <w:rPr>
                <w:rStyle w:val="46"/>
                <w:rFonts w:hint="default"/>
                <w:color w:val="auto"/>
                <w:lang w:bidi="ar"/>
              </w:rPr>
              <w:t>元器件，具体开关配置见图纸（双市电切换含油机接口）</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订制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高配房总空开不够，变更增加</w:t>
            </w:r>
          </w:p>
        </w:tc>
      </w:tr>
      <w:tr>
        <w:tblPrEx>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auto"/>
                <w:sz w:val="20"/>
                <w:szCs w:val="20"/>
              </w:rPr>
            </w:pPr>
            <w:r>
              <w:rPr>
                <w:rFonts w:ascii="Times New Roman" w:hAnsi="Times New Roman" w:eastAsia="宋体" w:cs="Times New Roman"/>
                <w:b/>
                <w:bCs/>
                <w:color w:val="auto"/>
                <w:kern w:val="0"/>
                <w:sz w:val="20"/>
                <w:szCs w:val="20"/>
                <w:lang w:bidi="ar"/>
              </w:rPr>
              <w:t>B</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电缆电线</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bCs/>
                <w:color w:val="auto"/>
                <w:sz w:val="18"/>
                <w:szCs w:val="18"/>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499"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变更</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主机输入电缆</w:t>
            </w:r>
            <w:r>
              <w:rPr>
                <w:rStyle w:val="42"/>
                <w:rFonts w:eastAsia="宋体"/>
                <w:color w:val="auto"/>
                <w:lang w:bidi="ar"/>
              </w:rPr>
              <w:t>(</w:t>
            </w:r>
            <w:r>
              <w:rPr>
                <w:rStyle w:val="47"/>
                <w:rFonts w:hint="default"/>
                <w:color w:val="auto"/>
                <w:lang w:bidi="ar"/>
              </w:rPr>
              <w:t>两根合并</w:t>
            </w:r>
            <w:r>
              <w:rPr>
                <w:rStyle w:val="42"/>
                <w:rFonts w:eastAsia="宋体"/>
                <w:color w:val="auto"/>
                <w:lang w:bidi="ar"/>
              </w:rPr>
              <w:t>)</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ZR-YJVR-4*185+1*90mm2</w:t>
            </w:r>
            <w:r>
              <w:rPr>
                <w:rStyle w:val="46"/>
                <w:rFonts w:hint="default"/>
                <w:color w:val="auto"/>
                <w:lang w:bidi="ar"/>
              </w:rPr>
              <w:t>【</w:t>
            </w:r>
            <w:r>
              <w:rPr>
                <w:rStyle w:val="43"/>
                <w:rFonts w:eastAsia="宋体"/>
                <w:color w:val="auto"/>
                <w:lang w:bidi="ar"/>
              </w:rPr>
              <w:t>UPS</w:t>
            </w:r>
            <w:r>
              <w:rPr>
                <w:rStyle w:val="46"/>
                <w:rFonts w:hint="default"/>
                <w:color w:val="auto"/>
                <w:lang w:bidi="ar"/>
              </w:rPr>
              <w:t>输入输出电缆】</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ZR-YJVR</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万马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-40</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高配房总空开不够，变更，原2台主机，现4台主机，线缆数量翻倍</w:t>
            </w:r>
          </w:p>
        </w:tc>
      </w:tr>
      <w:tr>
        <w:tblPrEx>
          <w:tblCellMar>
            <w:top w:w="0" w:type="dxa"/>
            <w:left w:w="108" w:type="dxa"/>
            <w:bottom w:w="0" w:type="dxa"/>
            <w:right w:w="108" w:type="dxa"/>
          </w:tblCellMar>
        </w:tblPrEx>
        <w:trPr>
          <w:trHeight w:val="61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0"/>
                <w:szCs w:val="20"/>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输出电缆</w:t>
            </w:r>
            <w:r>
              <w:rPr>
                <w:rStyle w:val="42"/>
                <w:rFonts w:eastAsia="宋体"/>
                <w:color w:val="auto"/>
                <w:lang w:bidi="ar"/>
              </w:rPr>
              <w:t>(</w:t>
            </w:r>
            <w:r>
              <w:rPr>
                <w:rStyle w:val="47"/>
                <w:rFonts w:hint="default"/>
                <w:color w:val="auto"/>
                <w:lang w:bidi="ar"/>
              </w:rPr>
              <w:t>两根合并</w:t>
            </w:r>
            <w:r>
              <w:rPr>
                <w:rStyle w:val="42"/>
                <w:rFonts w:eastAsia="宋体"/>
                <w:color w:val="auto"/>
                <w:lang w:bidi="ar"/>
              </w:rPr>
              <w:t>)</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ZR-YJVR-4*185+1*90mm2</w:t>
            </w:r>
            <w:r>
              <w:rPr>
                <w:rStyle w:val="46"/>
                <w:rFonts w:hint="default"/>
                <w:color w:val="auto"/>
                <w:lang w:bidi="ar"/>
              </w:rPr>
              <w:t>【配电列头柜电缆】</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ZR-YJVR</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万马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-40</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7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0"/>
                <w:szCs w:val="20"/>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主机输入电缆</w:t>
            </w:r>
            <w:r>
              <w:rPr>
                <w:rStyle w:val="42"/>
                <w:rFonts w:eastAsia="宋体"/>
                <w:color w:val="auto"/>
                <w:lang w:bidi="ar"/>
              </w:rPr>
              <w:t>(</w:t>
            </w:r>
            <w:r>
              <w:rPr>
                <w:rStyle w:val="47"/>
                <w:rFonts w:hint="default"/>
                <w:color w:val="auto"/>
                <w:lang w:bidi="ar"/>
              </w:rPr>
              <w:t>两根合并</w:t>
            </w:r>
            <w:r>
              <w:rPr>
                <w:rStyle w:val="42"/>
                <w:rFonts w:eastAsia="宋体"/>
                <w:color w:val="auto"/>
                <w:lang w:bidi="ar"/>
              </w:rPr>
              <w:t>)</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ZR-YJVR-4*120+1*70mm2</w:t>
            </w:r>
            <w:r>
              <w:rPr>
                <w:rStyle w:val="46"/>
                <w:rFonts w:hint="default"/>
                <w:color w:val="auto"/>
                <w:lang w:bidi="ar"/>
              </w:rPr>
              <w:t>（双拼）【UPS输入输出电缆】</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ZR-YJVR</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万马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80</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8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0"/>
                <w:szCs w:val="20"/>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输出电缆</w:t>
            </w:r>
            <w:r>
              <w:rPr>
                <w:rStyle w:val="42"/>
                <w:rFonts w:eastAsia="宋体"/>
                <w:color w:val="auto"/>
                <w:lang w:bidi="ar"/>
              </w:rPr>
              <w:t>(</w:t>
            </w:r>
            <w:r>
              <w:rPr>
                <w:rStyle w:val="47"/>
                <w:rFonts w:hint="default"/>
                <w:color w:val="auto"/>
                <w:lang w:bidi="ar"/>
              </w:rPr>
              <w:t>两根合并</w:t>
            </w:r>
            <w:r>
              <w:rPr>
                <w:rStyle w:val="42"/>
                <w:rFonts w:eastAsia="宋体"/>
                <w:color w:val="auto"/>
                <w:lang w:bidi="ar"/>
              </w:rPr>
              <w:t>)</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ZR-YJVR-4*120+1*70mm2</w:t>
            </w:r>
            <w:r>
              <w:rPr>
                <w:rStyle w:val="46"/>
                <w:rFonts w:hint="default"/>
                <w:color w:val="auto"/>
                <w:lang w:bidi="ar"/>
              </w:rPr>
              <w:t>（双拼）【配电列头柜电缆】</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ZR-YJVR</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万马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80</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b/>
                <w:bCs/>
                <w:color w:val="auto"/>
                <w:sz w:val="20"/>
                <w:szCs w:val="20"/>
              </w:rPr>
            </w:pP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 w:val="24"/>
              </w:rPr>
            </w:pPr>
            <w:r>
              <w:rPr>
                <w:rStyle w:val="48"/>
                <w:rFonts w:hint="default"/>
                <w:color w:val="auto"/>
                <w:lang w:bidi="ar"/>
              </w:rPr>
              <w:t>小计</w:t>
            </w:r>
            <w:r>
              <w:rPr>
                <w:rStyle w:val="49"/>
                <w:rFonts w:eastAsia="宋体"/>
                <w:color w:val="auto"/>
                <w:lang w:bidi="ar"/>
              </w:rPr>
              <w:t>2</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b/>
                <w:bCs/>
                <w:color w:val="auto"/>
                <w:sz w:val="18"/>
                <w:szCs w:val="18"/>
              </w:rPr>
            </w:pP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auto"/>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auto"/>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auto"/>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auto"/>
                <w:sz w:val="24"/>
              </w:rPr>
            </w:pPr>
            <w:r>
              <w:rPr>
                <w:rFonts w:ascii="Times New Roman" w:hAnsi="Times New Roman" w:eastAsia="宋体" w:cs="Times New Roman"/>
                <w:b/>
                <w:bCs/>
                <w:color w:val="auto"/>
                <w:kern w:val="0"/>
                <w:sz w:val="24"/>
                <w:lang w:bidi="ar"/>
              </w:rPr>
              <w:t>9</w:t>
            </w:r>
          </w:p>
        </w:tc>
        <w:tc>
          <w:tcPr>
            <w:tcW w:w="64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auto"/>
                <w:sz w:val="24"/>
              </w:rPr>
            </w:pP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5926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3" name="TextBox_1"/>
                  <wp:cNvGraphicFramePr/>
                  <a:graphic xmlns:a="http://schemas.openxmlformats.org/drawingml/2006/main">
                    <a:graphicData uri="http://schemas.openxmlformats.org/drawingml/2006/picture">
                      <pic:pic xmlns:pic="http://schemas.openxmlformats.org/drawingml/2006/picture">
                        <pic:nvPicPr>
                          <pic:cNvPr id="3" name="TextBox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6028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 name="TextBox_3"/>
                  <wp:cNvGraphicFramePr/>
                  <a:graphic xmlns:a="http://schemas.openxmlformats.org/drawingml/2006/main">
                    <a:graphicData uri="http://schemas.openxmlformats.org/drawingml/2006/picture">
                      <pic:pic xmlns:pic="http://schemas.openxmlformats.org/drawingml/2006/picture">
                        <pic:nvPicPr>
                          <pic:cNvPr id="4" name="TextBox_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6131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 name="TextBox_7"/>
                  <wp:cNvGraphicFramePr/>
                  <a:graphic xmlns:a="http://schemas.openxmlformats.org/drawingml/2006/main">
                    <a:graphicData uri="http://schemas.openxmlformats.org/drawingml/2006/picture">
                      <pic:pic xmlns:pic="http://schemas.openxmlformats.org/drawingml/2006/picture">
                        <pic:nvPicPr>
                          <pic:cNvPr id="5" name="TextBox_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6233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2" name="TextBox_15"/>
                  <wp:cNvGraphicFramePr/>
                  <a:graphic xmlns:a="http://schemas.openxmlformats.org/drawingml/2006/main">
                    <a:graphicData uri="http://schemas.openxmlformats.org/drawingml/2006/picture">
                      <pic:pic xmlns:pic="http://schemas.openxmlformats.org/drawingml/2006/picture">
                        <pic:nvPicPr>
                          <pic:cNvPr id="2" name="TextBox_1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6336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7" name="TextBox_65"/>
                  <wp:cNvGraphicFramePr/>
                  <a:graphic xmlns:a="http://schemas.openxmlformats.org/drawingml/2006/main">
                    <a:graphicData uri="http://schemas.openxmlformats.org/drawingml/2006/picture">
                      <pic:pic xmlns:pic="http://schemas.openxmlformats.org/drawingml/2006/picture">
                        <pic:nvPicPr>
                          <pic:cNvPr id="7" name="TextBox_6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6438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8" name="TextBox_66"/>
                  <wp:cNvGraphicFramePr/>
                  <a:graphic xmlns:a="http://schemas.openxmlformats.org/drawingml/2006/main">
                    <a:graphicData uri="http://schemas.openxmlformats.org/drawingml/2006/picture">
                      <pic:pic xmlns:pic="http://schemas.openxmlformats.org/drawingml/2006/picture">
                        <pic:nvPicPr>
                          <pic:cNvPr id="8" name="TextBox_6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6540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9" name="TextBox_61"/>
                  <wp:cNvGraphicFramePr/>
                  <a:graphic xmlns:a="http://schemas.openxmlformats.org/drawingml/2006/main">
                    <a:graphicData uri="http://schemas.openxmlformats.org/drawingml/2006/picture">
                      <pic:pic xmlns:pic="http://schemas.openxmlformats.org/drawingml/2006/picture">
                        <pic:nvPicPr>
                          <pic:cNvPr id="9" name="TextBox_6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6643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0" name="TextBox_64"/>
                  <wp:cNvGraphicFramePr/>
                  <a:graphic xmlns:a="http://schemas.openxmlformats.org/drawingml/2006/main">
                    <a:graphicData uri="http://schemas.openxmlformats.org/drawingml/2006/picture">
                      <pic:pic xmlns:pic="http://schemas.openxmlformats.org/drawingml/2006/picture">
                        <pic:nvPicPr>
                          <pic:cNvPr id="10" name="TextBox_6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6745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1" name="TextBox_123"/>
                  <wp:cNvGraphicFramePr/>
                  <a:graphic xmlns:a="http://schemas.openxmlformats.org/drawingml/2006/main">
                    <a:graphicData uri="http://schemas.openxmlformats.org/drawingml/2006/picture">
                      <pic:pic xmlns:pic="http://schemas.openxmlformats.org/drawingml/2006/picture">
                        <pic:nvPicPr>
                          <pic:cNvPr id="11" name="TextBox_12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6848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2" name="TextBox_14"/>
                  <wp:cNvGraphicFramePr/>
                  <a:graphic xmlns:a="http://schemas.openxmlformats.org/drawingml/2006/main">
                    <a:graphicData uri="http://schemas.openxmlformats.org/drawingml/2006/picture">
                      <pic:pic xmlns:pic="http://schemas.openxmlformats.org/drawingml/2006/picture">
                        <pic:nvPicPr>
                          <pic:cNvPr id="12" name="TextBox_1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6950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3" name="TextBox_59"/>
                  <wp:cNvGraphicFramePr/>
                  <a:graphic xmlns:a="http://schemas.openxmlformats.org/drawingml/2006/main">
                    <a:graphicData uri="http://schemas.openxmlformats.org/drawingml/2006/picture">
                      <pic:pic xmlns:pic="http://schemas.openxmlformats.org/drawingml/2006/picture">
                        <pic:nvPicPr>
                          <pic:cNvPr id="13" name="TextBox_5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7052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4" name="TextBox_60"/>
                  <wp:cNvGraphicFramePr/>
                  <a:graphic xmlns:a="http://schemas.openxmlformats.org/drawingml/2006/main">
                    <a:graphicData uri="http://schemas.openxmlformats.org/drawingml/2006/picture">
                      <pic:pic xmlns:pic="http://schemas.openxmlformats.org/drawingml/2006/picture">
                        <pic:nvPicPr>
                          <pic:cNvPr id="14" name="TextBox_6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7155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5" name="TextBox_122"/>
                  <wp:cNvGraphicFramePr/>
                  <a:graphic xmlns:a="http://schemas.openxmlformats.org/drawingml/2006/main">
                    <a:graphicData uri="http://schemas.openxmlformats.org/drawingml/2006/picture">
                      <pic:pic xmlns:pic="http://schemas.openxmlformats.org/drawingml/2006/picture">
                        <pic:nvPicPr>
                          <pic:cNvPr id="15" name="TextBox_12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7257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6" name="TextBox_121"/>
                  <wp:cNvGraphicFramePr/>
                  <a:graphic xmlns:a="http://schemas.openxmlformats.org/drawingml/2006/main">
                    <a:graphicData uri="http://schemas.openxmlformats.org/drawingml/2006/picture">
                      <pic:pic xmlns:pic="http://schemas.openxmlformats.org/drawingml/2006/picture">
                        <pic:nvPicPr>
                          <pic:cNvPr id="16" name="TextBox_12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7360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7" name="TextBox_119"/>
                  <wp:cNvGraphicFramePr/>
                  <a:graphic xmlns:a="http://schemas.openxmlformats.org/drawingml/2006/main">
                    <a:graphicData uri="http://schemas.openxmlformats.org/drawingml/2006/picture">
                      <pic:pic xmlns:pic="http://schemas.openxmlformats.org/drawingml/2006/picture">
                        <pic:nvPicPr>
                          <pic:cNvPr id="17" name="TextBox_11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7462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8" name="TextBox_120"/>
                  <wp:cNvGraphicFramePr/>
                  <a:graphic xmlns:a="http://schemas.openxmlformats.org/drawingml/2006/main">
                    <a:graphicData uri="http://schemas.openxmlformats.org/drawingml/2006/picture">
                      <pic:pic xmlns:pic="http://schemas.openxmlformats.org/drawingml/2006/picture">
                        <pic:nvPicPr>
                          <pic:cNvPr id="18" name="TextBox_12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7564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9" name="TextBox_57"/>
                  <wp:cNvGraphicFramePr/>
                  <a:graphic xmlns:a="http://schemas.openxmlformats.org/drawingml/2006/main">
                    <a:graphicData uri="http://schemas.openxmlformats.org/drawingml/2006/picture">
                      <pic:pic xmlns:pic="http://schemas.openxmlformats.org/drawingml/2006/picture">
                        <pic:nvPicPr>
                          <pic:cNvPr id="19" name="TextBox_5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7667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20" name="TextBox_58"/>
                  <wp:cNvGraphicFramePr/>
                  <a:graphic xmlns:a="http://schemas.openxmlformats.org/drawingml/2006/main">
                    <a:graphicData uri="http://schemas.openxmlformats.org/drawingml/2006/picture">
                      <pic:pic xmlns:pic="http://schemas.openxmlformats.org/drawingml/2006/picture">
                        <pic:nvPicPr>
                          <pic:cNvPr id="20" name="TextBox_5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7769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21" name="TextBox_118"/>
                  <wp:cNvGraphicFramePr/>
                  <a:graphic xmlns:a="http://schemas.openxmlformats.org/drawingml/2006/main">
                    <a:graphicData uri="http://schemas.openxmlformats.org/drawingml/2006/picture">
                      <pic:pic xmlns:pic="http://schemas.openxmlformats.org/drawingml/2006/picture">
                        <pic:nvPicPr>
                          <pic:cNvPr id="21" name="TextBox_11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7872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22" name="TextBox_117"/>
                  <wp:cNvGraphicFramePr/>
                  <a:graphic xmlns:a="http://schemas.openxmlformats.org/drawingml/2006/main">
                    <a:graphicData uri="http://schemas.openxmlformats.org/drawingml/2006/picture">
                      <pic:pic xmlns:pic="http://schemas.openxmlformats.org/drawingml/2006/picture">
                        <pic:nvPicPr>
                          <pic:cNvPr id="22" name="TextBox_11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7974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23" name="TextBox_115"/>
                  <wp:cNvGraphicFramePr/>
                  <a:graphic xmlns:a="http://schemas.openxmlformats.org/drawingml/2006/main">
                    <a:graphicData uri="http://schemas.openxmlformats.org/drawingml/2006/picture">
                      <pic:pic xmlns:pic="http://schemas.openxmlformats.org/drawingml/2006/picture">
                        <pic:nvPicPr>
                          <pic:cNvPr id="23" name="TextBox_11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8076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24" name="TextBox_116"/>
                  <wp:cNvGraphicFramePr/>
                  <a:graphic xmlns:a="http://schemas.openxmlformats.org/drawingml/2006/main">
                    <a:graphicData uri="http://schemas.openxmlformats.org/drawingml/2006/picture">
                      <pic:pic xmlns:pic="http://schemas.openxmlformats.org/drawingml/2006/picture">
                        <pic:nvPicPr>
                          <pic:cNvPr id="24" name="TextBox_11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8179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25" name="TextBox_6"/>
                  <wp:cNvGraphicFramePr/>
                  <a:graphic xmlns:a="http://schemas.openxmlformats.org/drawingml/2006/main">
                    <a:graphicData uri="http://schemas.openxmlformats.org/drawingml/2006/picture">
                      <pic:pic xmlns:pic="http://schemas.openxmlformats.org/drawingml/2006/picture">
                        <pic:nvPicPr>
                          <pic:cNvPr id="25" name="TextBox_6"/>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8281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22" name="TextBox_13"/>
                  <wp:cNvGraphicFramePr/>
                  <a:graphic xmlns:a="http://schemas.openxmlformats.org/drawingml/2006/main">
                    <a:graphicData uri="http://schemas.openxmlformats.org/drawingml/2006/picture">
                      <pic:pic xmlns:pic="http://schemas.openxmlformats.org/drawingml/2006/picture">
                        <pic:nvPicPr>
                          <pic:cNvPr id="122" name="TextBox_1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8384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21" name="TextBox_55"/>
                  <wp:cNvGraphicFramePr/>
                  <a:graphic xmlns:a="http://schemas.openxmlformats.org/drawingml/2006/main">
                    <a:graphicData uri="http://schemas.openxmlformats.org/drawingml/2006/picture">
                      <pic:pic xmlns:pic="http://schemas.openxmlformats.org/drawingml/2006/picture">
                        <pic:nvPicPr>
                          <pic:cNvPr id="121" name="TextBox_5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8486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18" name="TextBox_56"/>
                  <wp:cNvGraphicFramePr/>
                  <a:graphic xmlns:a="http://schemas.openxmlformats.org/drawingml/2006/main">
                    <a:graphicData uri="http://schemas.openxmlformats.org/drawingml/2006/picture">
                      <pic:pic xmlns:pic="http://schemas.openxmlformats.org/drawingml/2006/picture">
                        <pic:nvPicPr>
                          <pic:cNvPr id="118" name="TextBox_5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8588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20" name="TextBox_114"/>
                  <wp:cNvGraphicFramePr/>
                  <a:graphic xmlns:a="http://schemas.openxmlformats.org/drawingml/2006/main">
                    <a:graphicData uri="http://schemas.openxmlformats.org/drawingml/2006/picture">
                      <pic:pic xmlns:pic="http://schemas.openxmlformats.org/drawingml/2006/picture">
                        <pic:nvPicPr>
                          <pic:cNvPr id="120" name="TextBox_11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8691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19" name="TextBox_113"/>
                  <wp:cNvGraphicFramePr/>
                  <a:graphic xmlns:a="http://schemas.openxmlformats.org/drawingml/2006/main">
                    <a:graphicData uri="http://schemas.openxmlformats.org/drawingml/2006/picture">
                      <pic:pic xmlns:pic="http://schemas.openxmlformats.org/drawingml/2006/picture">
                        <pic:nvPicPr>
                          <pic:cNvPr id="119" name="TextBox_11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8793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17" name="TextBox_111"/>
                  <wp:cNvGraphicFramePr/>
                  <a:graphic xmlns:a="http://schemas.openxmlformats.org/drawingml/2006/main">
                    <a:graphicData uri="http://schemas.openxmlformats.org/drawingml/2006/picture">
                      <pic:pic xmlns:pic="http://schemas.openxmlformats.org/drawingml/2006/picture">
                        <pic:nvPicPr>
                          <pic:cNvPr id="117" name="TextBox_11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8896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16" name="TextBox_112"/>
                  <wp:cNvGraphicFramePr/>
                  <a:graphic xmlns:a="http://schemas.openxmlformats.org/drawingml/2006/main">
                    <a:graphicData uri="http://schemas.openxmlformats.org/drawingml/2006/picture">
                      <pic:pic xmlns:pic="http://schemas.openxmlformats.org/drawingml/2006/picture">
                        <pic:nvPicPr>
                          <pic:cNvPr id="116" name="TextBox_11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8998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13" name="TextBox_53"/>
                  <wp:cNvGraphicFramePr/>
                  <a:graphic xmlns:a="http://schemas.openxmlformats.org/drawingml/2006/main">
                    <a:graphicData uri="http://schemas.openxmlformats.org/drawingml/2006/picture">
                      <pic:pic xmlns:pic="http://schemas.openxmlformats.org/drawingml/2006/picture">
                        <pic:nvPicPr>
                          <pic:cNvPr id="113" name="TextBox_5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9100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11" name="TextBox_54"/>
                  <wp:cNvGraphicFramePr/>
                  <a:graphic xmlns:a="http://schemas.openxmlformats.org/drawingml/2006/main">
                    <a:graphicData uri="http://schemas.openxmlformats.org/drawingml/2006/picture">
                      <pic:pic xmlns:pic="http://schemas.openxmlformats.org/drawingml/2006/picture">
                        <pic:nvPicPr>
                          <pic:cNvPr id="111" name="TextBox_5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9203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12" name="TextBox_110"/>
                  <wp:cNvGraphicFramePr/>
                  <a:graphic xmlns:a="http://schemas.openxmlformats.org/drawingml/2006/main">
                    <a:graphicData uri="http://schemas.openxmlformats.org/drawingml/2006/picture">
                      <pic:pic xmlns:pic="http://schemas.openxmlformats.org/drawingml/2006/picture">
                        <pic:nvPicPr>
                          <pic:cNvPr id="112" name="TextBox_11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9305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15" name="TextBox_109"/>
                  <wp:cNvGraphicFramePr/>
                  <a:graphic xmlns:a="http://schemas.openxmlformats.org/drawingml/2006/main">
                    <a:graphicData uri="http://schemas.openxmlformats.org/drawingml/2006/picture">
                      <pic:pic xmlns:pic="http://schemas.openxmlformats.org/drawingml/2006/picture">
                        <pic:nvPicPr>
                          <pic:cNvPr id="115" name="TextBox_10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9408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10" name="TextBox_107"/>
                  <wp:cNvGraphicFramePr/>
                  <a:graphic xmlns:a="http://schemas.openxmlformats.org/drawingml/2006/main">
                    <a:graphicData uri="http://schemas.openxmlformats.org/drawingml/2006/picture">
                      <pic:pic xmlns:pic="http://schemas.openxmlformats.org/drawingml/2006/picture">
                        <pic:nvPicPr>
                          <pic:cNvPr id="110" name="TextBox_10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9510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14" name="TextBox_108"/>
                  <wp:cNvGraphicFramePr/>
                  <a:graphic xmlns:a="http://schemas.openxmlformats.org/drawingml/2006/main">
                    <a:graphicData uri="http://schemas.openxmlformats.org/drawingml/2006/picture">
                      <pic:pic xmlns:pic="http://schemas.openxmlformats.org/drawingml/2006/picture">
                        <pic:nvPicPr>
                          <pic:cNvPr id="114" name="TextBox_10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9612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09" name="TextBox_12"/>
                  <wp:cNvGraphicFramePr/>
                  <a:graphic xmlns:a="http://schemas.openxmlformats.org/drawingml/2006/main">
                    <a:graphicData uri="http://schemas.openxmlformats.org/drawingml/2006/picture">
                      <pic:pic xmlns:pic="http://schemas.openxmlformats.org/drawingml/2006/picture">
                        <pic:nvPicPr>
                          <pic:cNvPr id="109" name="TextBox_1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9715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08" name="TextBox_51"/>
                  <wp:cNvGraphicFramePr/>
                  <a:graphic xmlns:a="http://schemas.openxmlformats.org/drawingml/2006/main">
                    <a:graphicData uri="http://schemas.openxmlformats.org/drawingml/2006/picture">
                      <pic:pic xmlns:pic="http://schemas.openxmlformats.org/drawingml/2006/picture">
                        <pic:nvPicPr>
                          <pic:cNvPr id="108" name="TextBox_5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9817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07" name="TextBox_52"/>
                  <wp:cNvGraphicFramePr/>
                  <a:graphic xmlns:a="http://schemas.openxmlformats.org/drawingml/2006/main">
                    <a:graphicData uri="http://schemas.openxmlformats.org/drawingml/2006/picture">
                      <pic:pic xmlns:pic="http://schemas.openxmlformats.org/drawingml/2006/picture">
                        <pic:nvPicPr>
                          <pic:cNvPr id="107" name="TextBox_5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69920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06" name="TextBox_106"/>
                  <wp:cNvGraphicFramePr/>
                  <a:graphic xmlns:a="http://schemas.openxmlformats.org/drawingml/2006/main">
                    <a:graphicData uri="http://schemas.openxmlformats.org/drawingml/2006/picture">
                      <pic:pic xmlns:pic="http://schemas.openxmlformats.org/drawingml/2006/picture">
                        <pic:nvPicPr>
                          <pic:cNvPr id="106" name="TextBox_10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0022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05" name="TextBox_105"/>
                  <wp:cNvGraphicFramePr/>
                  <a:graphic xmlns:a="http://schemas.openxmlformats.org/drawingml/2006/main">
                    <a:graphicData uri="http://schemas.openxmlformats.org/drawingml/2006/picture">
                      <pic:pic xmlns:pic="http://schemas.openxmlformats.org/drawingml/2006/picture">
                        <pic:nvPicPr>
                          <pic:cNvPr id="105" name="TextBox_10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0124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04" name="TextBox_104"/>
                  <wp:cNvGraphicFramePr/>
                  <a:graphic xmlns:a="http://schemas.openxmlformats.org/drawingml/2006/main">
                    <a:graphicData uri="http://schemas.openxmlformats.org/drawingml/2006/picture">
                      <pic:pic xmlns:pic="http://schemas.openxmlformats.org/drawingml/2006/picture">
                        <pic:nvPicPr>
                          <pic:cNvPr id="104" name="TextBox_10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0227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03" name="TextBox_49"/>
                  <wp:cNvGraphicFramePr/>
                  <a:graphic xmlns:a="http://schemas.openxmlformats.org/drawingml/2006/main">
                    <a:graphicData uri="http://schemas.openxmlformats.org/drawingml/2006/picture">
                      <pic:pic xmlns:pic="http://schemas.openxmlformats.org/drawingml/2006/picture">
                        <pic:nvPicPr>
                          <pic:cNvPr id="103" name="TextBox_4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0329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02" name="TextBox_50"/>
                  <wp:cNvGraphicFramePr/>
                  <a:graphic xmlns:a="http://schemas.openxmlformats.org/drawingml/2006/main">
                    <a:graphicData uri="http://schemas.openxmlformats.org/drawingml/2006/picture">
                      <pic:pic xmlns:pic="http://schemas.openxmlformats.org/drawingml/2006/picture">
                        <pic:nvPicPr>
                          <pic:cNvPr id="102" name="TextBox_5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0432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101" name="TextBox_2"/>
                  <wp:cNvGraphicFramePr/>
                  <a:graphic xmlns:a="http://schemas.openxmlformats.org/drawingml/2006/main">
                    <a:graphicData uri="http://schemas.openxmlformats.org/drawingml/2006/picture">
                      <pic:pic xmlns:pic="http://schemas.openxmlformats.org/drawingml/2006/picture">
                        <pic:nvPicPr>
                          <pic:cNvPr id="101" name="TextBox_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0534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94" name="TextBox_5"/>
                  <wp:cNvGraphicFramePr/>
                  <a:graphic xmlns:a="http://schemas.openxmlformats.org/drawingml/2006/main">
                    <a:graphicData uri="http://schemas.openxmlformats.org/drawingml/2006/picture">
                      <pic:pic xmlns:pic="http://schemas.openxmlformats.org/drawingml/2006/picture">
                        <pic:nvPicPr>
                          <pic:cNvPr id="94" name="TextBox_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0636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95" name="TextBox_11"/>
                  <wp:cNvGraphicFramePr/>
                  <a:graphic xmlns:a="http://schemas.openxmlformats.org/drawingml/2006/main">
                    <a:graphicData uri="http://schemas.openxmlformats.org/drawingml/2006/picture">
                      <pic:pic xmlns:pic="http://schemas.openxmlformats.org/drawingml/2006/picture">
                        <pic:nvPicPr>
                          <pic:cNvPr id="95" name="TextBox_1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0739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96" name="TextBox_47"/>
                  <wp:cNvGraphicFramePr/>
                  <a:graphic xmlns:a="http://schemas.openxmlformats.org/drawingml/2006/main">
                    <a:graphicData uri="http://schemas.openxmlformats.org/drawingml/2006/picture">
                      <pic:pic xmlns:pic="http://schemas.openxmlformats.org/drawingml/2006/picture">
                        <pic:nvPicPr>
                          <pic:cNvPr id="96" name="TextBox_4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0841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97" name="TextBox_48"/>
                  <wp:cNvGraphicFramePr/>
                  <a:graphic xmlns:a="http://schemas.openxmlformats.org/drawingml/2006/main">
                    <a:graphicData uri="http://schemas.openxmlformats.org/drawingml/2006/picture">
                      <pic:pic xmlns:pic="http://schemas.openxmlformats.org/drawingml/2006/picture">
                        <pic:nvPicPr>
                          <pic:cNvPr id="97" name="TextBox_4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0944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98" name="TextBox_45"/>
                  <wp:cNvGraphicFramePr/>
                  <a:graphic xmlns:a="http://schemas.openxmlformats.org/drawingml/2006/main">
                    <a:graphicData uri="http://schemas.openxmlformats.org/drawingml/2006/picture">
                      <pic:pic xmlns:pic="http://schemas.openxmlformats.org/drawingml/2006/picture">
                        <pic:nvPicPr>
                          <pic:cNvPr id="98" name="TextBox_4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1046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99" name="TextBox_46"/>
                  <wp:cNvGraphicFramePr/>
                  <a:graphic xmlns:a="http://schemas.openxmlformats.org/drawingml/2006/main">
                    <a:graphicData uri="http://schemas.openxmlformats.org/drawingml/2006/picture">
                      <pic:pic xmlns:pic="http://schemas.openxmlformats.org/drawingml/2006/picture">
                        <pic:nvPicPr>
                          <pic:cNvPr id="99" name="TextBox_4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1148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100" name="TextBox_11_SpCnt_1"/>
                  <wp:cNvGraphicFramePr/>
                  <a:graphic xmlns:a="http://schemas.openxmlformats.org/drawingml/2006/main">
                    <a:graphicData uri="http://schemas.openxmlformats.org/drawingml/2006/picture">
                      <pic:pic xmlns:pic="http://schemas.openxmlformats.org/drawingml/2006/picture">
                        <pic:nvPicPr>
                          <pic:cNvPr id="100" name="TextBox_11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1251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85" name="TextBox_7_SpCnt_1"/>
                  <wp:cNvGraphicFramePr/>
                  <a:graphic xmlns:a="http://schemas.openxmlformats.org/drawingml/2006/main">
                    <a:graphicData uri="http://schemas.openxmlformats.org/drawingml/2006/picture">
                      <pic:pic xmlns:pic="http://schemas.openxmlformats.org/drawingml/2006/picture">
                        <pic:nvPicPr>
                          <pic:cNvPr id="85" name="TextBox_7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1353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86" name="TextBox_9"/>
                  <wp:cNvGraphicFramePr/>
                  <a:graphic xmlns:a="http://schemas.openxmlformats.org/drawingml/2006/main">
                    <a:graphicData uri="http://schemas.openxmlformats.org/drawingml/2006/picture">
                      <pic:pic xmlns:pic="http://schemas.openxmlformats.org/drawingml/2006/picture">
                        <pic:nvPicPr>
                          <pic:cNvPr id="86" name="TextBox_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1456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87" name="TextBox_10"/>
                  <wp:cNvGraphicFramePr/>
                  <a:graphic xmlns:a="http://schemas.openxmlformats.org/drawingml/2006/main">
                    <a:graphicData uri="http://schemas.openxmlformats.org/drawingml/2006/picture">
                      <pic:pic xmlns:pic="http://schemas.openxmlformats.org/drawingml/2006/picture">
                        <pic:nvPicPr>
                          <pic:cNvPr id="87" name="TextBox_1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1558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88" name="TextBox_8"/>
                  <wp:cNvGraphicFramePr/>
                  <a:graphic xmlns:a="http://schemas.openxmlformats.org/drawingml/2006/main">
                    <a:graphicData uri="http://schemas.openxmlformats.org/drawingml/2006/picture">
                      <pic:pic xmlns:pic="http://schemas.openxmlformats.org/drawingml/2006/picture">
                        <pic:nvPicPr>
                          <pic:cNvPr id="88" name="TextBox_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1660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89" name="TextBox_10_SpCnt_1"/>
                  <wp:cNvGraphicFramePr/>
                  <a:graphic xmlns:a="http://schemas.openxmlformats.org/drawingml/2006/main">
                    <a:graphicData uri="http://schemas.openxmlformats.org/drawingml/2006/picture">
                      <pic:pic xmlns:pic="http://schemas.openxmlformats.org/drawingml/2006/picture">
                        <pic:nvPicPr>
                          <pic:cNvPr id="89" name="TextBox_10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1763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90" name="TextBox_43"/>
                  <wp:cNvGraphicFramePr/>
                  <a:graphic xmlns:a="http://schemas.openxmlformats.org/drawingml/2006/main">
                    <a:graphicData uri="http://schemas.openxmlformats.org/drawingml/2006/picture">
                      <pic:pic xmlns:pic="http://schemas.openxmlformats.org/drawingml/2006/picture">
                        <pic:nvPicPr>
                          <pic:cNvPr id="90" name="TextBox_4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1865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91" name="TextBox_44"/>
                  <wp:cNvGraphicFramePr/>
                  <a:graphic xmlns:a="http://schemas.openxmlformats.org/drawingml/2006/main">
                    <a:graphicData uri="http://schemas.openxmlformats.org/drawingml/2006/picture">
                      <pic:pic xmlns:pic="http://schemas.openxmlformats.org/drawingml/2006/picture">
                        <pic:nvPicPr>
                          <pic:cNvPr id="91" name="TextBox_4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1968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92" name="TextBox_5_SpCnt_1"/>
                  <wp:cNvGraphicFramePr/>
                  <a:graphic xmlns:a="http://schemas.openxmlformats.org/drawingml/2006/main">
                    <a:graphicData uri="http://schemas.openxmlformats.org/drawingml/2006/picture">
                      <pic:pic xmlns:pic="http://schemas.openxmlformats.org/drawingml/2006/picture">
                        <pic:nvPicPr>
                          <pic:cNvPr id="92" name="TextBox_5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2070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93" name="TextBox_6_SpCnt_1"/>
                  <wp:cNvGraphicFramePr/>
                  <a:graphic xmlns:a="http://schemas.openxmlformats.org/drawingml/2006/main">
                    <a:graphicData uri="http://schemas.openxmlformats.org/drawingml/2006/picture">
                      <pic:pic xmlns:pic="http://schemas.openxmlformats.org/drawingml/2006/picture">
                        <pic:nvPicPr>
                          <pic:cNvPr id="93" name="TextBox_6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2172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78" name="TextBox_3_SpCnt_1"/>
                  <wp:cNvGraphicFramePr/>
                  <a:graphic xmlns:a="http://schemas.openxmlformats.org/drawingml/2006/main">
                    <a:graphicData uri="http://schemas.openxmlformats.org/drawingml/2006/picture">
                      <pic:pic xmlns:pic="http://schemas.openxmlformats.org/drawingml/2006/picture">
                        <pic:nvPicPr>
                          <pic:cNvPr id="78" name="TextBox_3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2275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73" name="TextBox_4"/>
                  <wp:cNvGraphicFramePr/>
                  <a:graphic xmlns:a="http://schemas.openxmlformats.org/drawingml/2006/main">
                    <a:graphicData uri="http://schemas.openxmlformats.org/drawingml/2006/picture">
                      <pic:pic xmlns:pic="http://schemas.openxmlformats.org/drawingml/2006/picture">
                        <pic:nvPicPr>
                          <pic:cNvPr id="73" name="TextBox_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2377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69" name="TextBox_2_SpCnt_1"/>
                  <wp:cNvGraphicFramePr/>
                  <a:graphic xmlns:a="http://schemas.openxmlformats.org/drawingml/2006/main">
                    <a:graphicData uri="http://schemas.openxmlformats.org/drawingml/2006/picture">
                      <pic:pic xmlns:pic="http://schemas.openxmlformats.org/drawingml/2006/picture">
                        <pic:nvPicPr>
                          <pic:cNvPr id="69" name="TextBox_2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2480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71" name="TextBox_20"/>
                  <wp:cNvGraphicFramePr/>
                  <a:graphic xmlns:a="http://schemas.openxmlformats.org/drawingml/2006/main">
                    <a:graphicData uri="http://schemas.openxmlformats.org/drawingml/2006/picture">
                      <pic:pic xmlns:pic="http://schemas.openxmlformats.org/drawingml/2006/picture">
                        <pic:nvPicPr>
                          <pic:cNvPr id="71" name="TextBox_2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2582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72" name="TextBox_42"/>
                  <wp:cNvGraphicFramePr/>
                  <a:graphic xmlns:a="http://schemas.openxmlformats.org/drawingml/2006/main">
                    <a:graphicData uri="http://schemas.openxmlformats.org/drawingml/2006/picture">
                      <pic:pic xmlns:pic="http://schemas.openxmlformats.org/drawingml/2006/picture">
                        <pic:nvPicPr>
                          <pic:cNvPr id="72" name="TextBox_4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2684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75" name="TextBox_83"/>
                  <wp:cNvGraphicFramePr/>
                  <a:graphic xmlns:a="http://schemas.openxmlformats.org/drawingml/2006/main">
                    <a:graphicData uri="http://schemas.openxmlformats.org/drawingml/2006/picture">
                      <pic:pic xmlns:pic="http://schemas.openxmlformats.org/drawingml/2006/picture">
                        <pic:nvPicPr>
                          <pic:cNvPr id="75" name="TextBox_8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2787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76" name="TextBox_4_SpCnt_1"/>
                  <wp:cNvGraphicFramePr/>
                  <a:graphic xmlns:a="http://schemas.openxmlformats.org/drawingml/2006/main">
                    <a:graphicData uri="http://schemas.openxmlformats.org/drawingml/2006/picture">
                      <pic:pic xmlns:pic="http://schemas.openxmlformats.org/drawingml/2006/picture">
                        <pic:nvPicPr>
                          <pic:cNvPr id="76" name="TextBox_4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2889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74" name="TextBox_9_SpCnt_1"/>
                  <wp:cNvGraphicFramePr/>
                  <a:graphic xmlns:a="http://schemas.openxmlformats.org/drawingml/2006/main">
                    <a:graphicData uri="http://schemas.openxmlformats.org/drawingml/2006/picture">
                      <pic:pic xmlns:pic="http://schemas.openxmlformats.org/drawingml/2006/picture">
                        <pic:nvPicPr>
                          <pic:cNvPr id="74" name="TextBox_9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2992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70" name="TextBox_19"/>
                  <wp:cNvGraphicFramePr/>
                  <a:graphic xmlns:a="http://schemas.openxmlformats.org/drawingml/2006/main">
                    <a:graphicData uri="http://schemas.openxmlformats.org/drawingml/2006/picture">
                      <pic:pic xmlns:pic="http://schemas.openxmlformats.org/drawingml/2006/picture">
                        <pic:nvPicPr>
                          <pic:cNvPr id="70" name="TextBox_1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3094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77" name="TextBox_81"/>
                  <wp:cNvGraphicFramePr/>
                  <a:graphic xmlns:a="http://schemas.openxmlformats.org/drawingml/2006/main">
                    <a:graphicData uri="http://schemas.openxmlformats.org/drawingml/2006/picture">
                      <pic:pic xmlns:pic="http://schemas.openxmlformats.org/drawingml/2006/picture">
                        <pic:nvPicPr>
                          <pic:cNvPr id="77" name="TextBox_8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3196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79" name="TextBox_82"/>
                  <wp:cNvGraphicFramePr/>
                  <a:graphic xmlns:a="http://schemas.openxmlformats.org/drawingml/2006/main">
                    <a:graphicData uri="http://schemas.openxmlformats.org/drawingml/2006/picture">
                      <pic:pic xmlns:pic="http://schemas.openxmlformats.org/drawingml/2006/picture">
                        <pic:nvPicPr>
                          <pic:cNvPr id="79" name="TextBox_8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3299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84" name="TextBox_79"/>
                  <wp:cNvGraphicFramePr/>
                  <a:graphic xmlns:a="http://schemas.openxmlformats.org/drawingml/2006/main">
                    <a:graphicData uri="http://schemas.openxmlformats.org/drawingml/2006/picture">
                      <pic:pic xmlns:pic="http://schemas.openxmlformats.org/drawingml/2006/picture">
                        <pic:nvPicPr>
                          <pic:cNvPr id="84" name="TextBox_7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3401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83" name="TextBox_80"/>
                  <wp:cNvGraphicFramePr/>
                  <a:graphic xmlns:a="http://schemas.openxmlformats.org/drawingml/2006/main">
                    <a:graphicData uri="http://schemas.openxmlformats.org/drawingml/2006/picture">
                      <pic:pic xmlns:pic="http://schemas.openxmlformats.org/drawingml/2006/picture">
                        <pic:nvPicPr>
                          <pic:cNvPr id="83" name="TextBox_8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3504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82" name="TextBox_18"/>
                  <wp:cNvGraphicFramePr/>
                  <a:graphic xmlns:a="http://schemas.openxmlformats.org/drawingml/2006/main">
                    <a:graphicData uri="http://schemas.openxmlformats.org/drawingml/2006/picture">
                      <pic:pic xmlns:pic="http://schemas.openxmlformats.org/drawingml/2006/picture">
                        <pic:nvPicPr>
                          <pic:cNvPr id="82" name="TextBox_1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3606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81" name="TextBox_77"/>
                  <wp:cNvGraphicFramePr/>
                  <a:graphic xmlns:a="http://schemas.openxmlformats.org/drawingml/2006/main">
                    <a:graphicData uri="http://schemas.openxmlformats.org/drawingml/2006/picture">
                      <pic:pic xmlns:pic="http://schemas.openxmlformats.org/drawingml/2006/picture">
                        <pic:nvPicPr>
                          <pic:cNvPr id="81" name="TextBox_7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3708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80" name="TextBox_78"/>
                  <wp:cNvGraphicFramePr/>
                  <a:graphic xmlns:a="http://schemas.openxmlformats.org/drawingml/2006/main">
                    <a:graphicData uri="http://schemas.openxmlformats.org/drawingml/2006/picture">
                      <pic:pic xmlns:pic="http://schemas.openxmlformats.org/drawingml/2006/picture">
                        <pic:nvPicPr>
                          <pic:cNvPr id="80" name="TextBox_7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3811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7" name="TextBox_75"/>
                  <wp:cNvGraphicFramePr/>
                  <a:graphic xmlns:a="http://schemas.openxmlformats.org/drawingml/2006/main">
                    <a:graphicData uri="http://schemas.openxmlformats.org/drawingml/2006/picture">
                      <pic:pic xmlns:pic="http://schemas.openxmlformats.org/drawingml/2006/picture">
                        <pic:nvPicPr>
                          <pic:cNvPr id="47" name="TextBox_7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3913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4" name="TextBox_76"/>
                  <wp:cNvGraphicFramePr/>
                  <a:graphic xmlns:a="http://schemas.openxmlformats.org/drawingml/2006/main">
                    <a:graphicData uri="http://schemas.openxmlformats.org/drawingml/2006/picture">
                      <pic:pic xmlns:pic="http://schemas.openxmlformats.org/drawingml/2006/picture">
                        <pic:nvPicPr>
                          <pic:cNvPr id="44" name="TextBox_7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4016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6" name="TextBox_8_SpCnt_1"/>
                  <wp:cNvGraphicFramePr/>
                  <a:graphic xmlns:a="http://schemas.openxmlformats.org/drawingml/2006/main">
                    <a:graphicData uri="http://schemas.openxmlformats.org/drawingml/2006/picture">
                      <pic:pic xmlns:pic="http://schemas.openxmlformats.org/drawingml/2006/picture">
                        <pic:nvPicPr>
                          <pic:cNvPr id="46" name="TextBox_8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4118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6" name="TextBox_17"/>
                  <wp:cNvGraphicFramePr/>
                  <a:graphic xmlns:a="http://schemas.openxmlformats.org/drawingml/2006/main">
                    <a:graphicData uri="http://schemas.openxmlformats.org/drawingml/2006/picture">
                      <pic:pic xmlns:pic="http://schemas.openxmlformats.org/drawingml/2006/picture">
                        <pic:nvPicPr>
                          <pic:cNvPr id="56" name="TextBox_1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4220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5" name="TextBox_73"/>
                  <wp:cNvGraphicFramePr/>
                  <a:graphic xmlns:a="http://schemas.openxmlformats.org/drawingml/2006/main">
                    <a:graphicData uri="http://schemas.openxmlformats.org/drawingml/2006/picture">
                      <pic:pic xmlns:pic="http://schemas.openxmlformats.org/drawingml/2006/picture">
                        <pic:nvPicPr>
                          <pic:cNvPr id="55" name="TextBox_7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4323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5" name="TextBox_74"/>
                  <wp:cNvGraphicFramePr/>
                  <a:graphic xmlns:a="http://schemas.openxmlformats.org/drawingml/2006/main">
                    <a:graphicData uri="http://schemas.openxmlformats.org/drawingml/2006/picture">
                      <pic:pic xmlns:pic="http://schemas.openxmlformats.org/drawingml/2006/picture">
                        <pic:nvPicPr>
                          <pic:cNvPr id="45" name="TextBox_7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4425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4" name="TextBox_71"/>
                  <wp:cNvGraphicFramePr/>
                  <a:graphic xmlns:a="http://schemas.openxmlformats.org/drawingml/2006/main">
                    <a:graphicData uri="http://schemas.openxmlformats.org/drawingml/2006/picture">
                      <pic:pic xmlns:pic="http://schemas.openxmlformats.org/drawingml/2006/picture">
                        <pic:nvPicPr>
                          <pic:cNvPr id="54" name="TextBox_7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4528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3" name="TextBox_72"/>
                  <wp:cNvGraphicFramePr/>
                  <a:graphic xmlns:a="http://schemas.openxmlformats.org/drawingml/2006/main">
                    <a:graphicData uri="http://schemas.openxmlformats.org/drawingml/2006/picture">
                      <pic:pic xmlns:pic="http://schemas.openxmlformats.org/drawingml/2006/picture">
                        <pic:nvPicPr>
                          <pic:cNvPr id="53" name="TextBox_7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4630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2" name="TextBox_16"/>
                  <wp:cNvGraphicFramePr/>
                  <a:graphic xmlns:a="http://schemas.openxmlformats.org/drawingml/2006/main">
                    <a:graphicData uri="http://schemas.openxmlformats.org/drawingml/2006/picture">
                      <pic:pic xmlns:pic="http://schemas.openxmlformats.org/drawingml/2006/picture">
                        <pic:nvPicPr>
                          <pic:cNvPr id="52" name="TextBox_16"/>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4732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8" name="TextBox_69"/>
                  <wp:cNvGraphicFramePr/>
                  <a:graphic xmlns:a="http://schemas.openxmlformats.org/drawingml/2006/main">
                    <a:graphicData uri="http://schemas.openxmlformats.org/drawingml/2006/picture">
                      <pic:pic xmlns:pic="http://schemas.openxmlformats.org/drawingml/2006/picture">
                        <pic:nvPicPr>
                          <pic:cNvPr id="48" name="TextBox_6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4835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9" name="TextBox_70"/>
                  <wp:cNvGraphicFramePr/>
                  <a:graphic xmlns:a="http://schemas.openxmlformats.org/drawingml/2006/main">
                    <a:graphicData uri="http://schemas.openxmlformats.org/drawingml/2006/picture">
                      <pic:pic xmlns:pic="http://schemas.openxmlformats.org/drawingml/2006/picture">
                        <pic:nvPicPr>
                          <pic:cNvPr id="49" name="TextBox_7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4937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1" name="TextBox_67"/>
                  <wp:cNvGraphicFramePr/>
                  <a:graphic xmlns:a="http://schemas.openxmlformats.org/drawingml/2006/main">
                    <a:graphicData uri="http://schemas.openxmlformats.org/drawingml/2006/picture">
                      <pic:pic xmlns:pic="http://schemas.openxmlformats.org/drawingml/2006/picture">
                        <pic:nvPicPr>
                          <pic:cNvPr id="51" name="TextBox_6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175040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0" name="TextBox_68"/>
                  <wp:cNvGraphicFramePr/>
                  <a:graphic xmlns:a="http://schemas.openxmlformats.org/drawingml/2006/main">
                    <a:graphicData uri="http://schemas.openxmlformats.org/drawingml/2006/picture">
                      <pic:pic xmlns:pic="http://schemas.openxmlformats.org/drawingml/2006/picture">
                        <pic:nvPicPr>
                          <pic:cNvPr id="50" name="TextBox_68"/>
                          <pic:cNvPicPr/>
                        </pic:nvPicPr>
                        <pic:blipFill>
                          <a:blip r:embed="rId17"/>
                          <a:stretch>
                            <a:fillRect/>
                          </a:stretch>
                        </pic:blipFill>
                        <pic:spPr>
                          <a:xfrm>
                            <a:off x="0" y="0"/>
                            <a:ext cx="184150" cy="269240"/>
                          </a:xfrm>
                          <a:prstGeom prst="rect">
                            <a:avLst/>
                          </a:prstGeom>
                          <a:noFill/>
                          <a:ln>
                            <a:noFill/>
                          </a:ln>
                        </pic:spPr>
                      </pic:pic>
                    </a:graphicData>
                  </a:graphic>
                </wp:anchor>
              </w:drawing>
            </w:r>
            <w:r>
              <w:rPr>
                <w:rStyle w:val="49"/>
                <w:rFonts w:eastAsia="宋体"/>
                <w:color w:val="auto"/>
                <w:lang w:bidi="ar"/>
              </w:rPr>
              <w:t>UPS</w:t>
            </w:r>
            <w:r>
              <w:rPr>
                <w:rStyle w:val="48"/>
                <w:rFonts w:hint="default"/>
                <w:color w:val="auto"/>
                <w:lang w:bidi="ar"/>
              </w:rPr>
              <w:t>及电池系统</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5142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9" name="TextBox_130"/>
                  <wp:cNvGraphicFramePr/>
                  <a:graphic xmlns:a="http://schemas.openxmlformats.org/drawingml/2006/main">
                    <a:graphicData uri="http://schemas.openxmlformats.org/drawingml/2006/picture">
                      <pic:pic xmlns:pic="http://schemas.openxmlformats.org/drawingml/2006/picture">
                        <pic:nvPicPr>
                          <pic:cNvPr id="39" name="TextBox_13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5244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5" name="TextBox_118_SpCnt_1"/>
                  <wp:cNvGraphicFramePr/>
                  <a:graphic xmlns:a="http://schemas.openxmlformats.org/drawingml/2006/main">
                    <a:graphicData uri="http://schemas.openxmlformats.org/drawingml/2006/picture">
                      <pic:pic xmlns:pic="http://schemas.openxmlformats.org/drawingml/2006/picture">
                        <pic:nvPicPr>
                          <pic:cNvPr id="35" name="TextBox_118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5347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6" name="TextBox_11_SpCnt_2"/>
                  <wp:cNvGraphicFramePr/>
                  <a:graphic xmlns:a="http://schemas.openxmlformats.org/drawingml/2006/main">
                    <a:graphicData uri="http://schemas.openxmlformats.org/drawingml/2006/picture">
                      <pic:pic xmlns:pic="http://schemas.openxmlformats.org/drawingml/2006/picture">
                        <pic:nvPicPr>
                          <pic:cNvPr id="36" name="TextBox_11_SpCnt_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5449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2" name="TextBox_10_SpCnt_2"/>
                  <wp:cNvGraphicFramePr/>
                  <a:graphic xmlns:a="http://schemas.openxmlformats.org/drawingml/2006/main">
                    <a:graphicData uri="http://schemas.openxmlformats.org/drawingml/2006/picture">
                      <pic:pic xmlns:pic="http://schemas.openxmlformats.org/drawingml/2006/picture">
                        <pic:nvPicPr>
                          <pic:cNvPr id="32" name="TextBox_10_SpCnt_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5552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42" name="TextBox_114_SpCnt_1"/>
                  <wp:cNvGraphicFramePr/>
                  <a:graphic xmlns:a="http://schemas.openxmlformats.org/drawingml/2006/main">
                    <a:graphicData uri="http://schemas.openxmlformats.org/drawingml/2006/picture">
                      <pic:pic xmlns:pic="http://schemas.openxmlformats.org/drawingml/2006/picture">
                        <pic:nvPicPr>
                          <pic:cNvPr id="42" name="TextBox_114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5654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41" name="TextBox_71_SpCnt_1"/>
                  <wp:cNvGraphicFramePr/>
                  <a:graphic xmlns:a="http://schemas.openxmlformats.org/drawingml/2006/main">
                    <a:graphicData uri="http://schemas.openxmlformats.org/drawingml/2006/picture">
                      <pic:pic xmlns:pic="http://schemas.openxmlformats.org/drawingml/2006/picture">
                        <pic:nvPicPr>
                          <pic:cNvPr id="41" name="TextBox_71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5756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40" name="TextBox_129"/>
                  <wp:cNvGraphicFramePr/>
                  <a:graphic xmlns:a="http://schemas.openxmlformats.org/drawingml/2006/main">
                    <a:graphicData uri="http://schemas.openxmlformats.org/drawingml/2006/picture">
                      <pic:pic xmlns:pic="http://schemas.openxmlformats.org/drawingml/2006/picture">
                        <pic:nvPicPr>
                          <pic:cNvPr id="40" name="TextBox_12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5859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7" name="TextBox_127"/>
                  <wp:cNvGraphicFramePr/>
                  <a:graphic xmlns:a="http://schemas.openxmlformats.org/drawingml/2006/main">
                    <a:graphicData uri="http://schemas.openxmlformats.org/drawingml/2006/picture">
                      <pic:pic xmlns:pic="http://schemas.openxmlformats.org/drawingml/2006/picture">
                        <pic:nvPicPr>
                          <pic:cNvPr id="37" name="TextBox_12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5961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3" name="TextBox_128"/>
                  <wp:cNvGraphicFramePr/>
                  <a:graphic xmlns:a="http://schemas.openxmlformats.org/drawingml/2006/main">
                    <a:graphicData uri="http://schemas.openxmlformats.org/drawingml/2006/picture">
                      <pic:pic xmlns:pic="http://schemas.openxmlformats.org/drawingml/2006/picture">
                        <pic:nvPicPr>
                          <pic:cNvPr id="33" name="TextBox_12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6064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8" name="TextBox_111_SpCnt_1"/>
                  <wp:cNvGraphicFramePr/>
                  <a:graphic xmlns:a="http://schemas.openxmlformats.org/drawingml/2006/main">
                    <a:graphicData uri="http://schemas.openxmlformats.org/drawingml/2006/picture">
                      <pic:pic xmlns:pic="http://schemas.openxmlformats.org/drawingml/2006/picture">
                        <pic:nvPicPr>
                          <pic:cNvPr id="38" name="TextBox_111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6166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4" name="TextBox_126"/>
                  <wp:cNvGraphicFramePr/>
                  <a:graphic xmlns:a="http://schemas.openxmlformats.org/drawingml/2006/main">
                    <a:graphicData uri="http://schemas.openxmlformats.org/drawingml/2006/picture">
                      <pic:pic xmlns:pic="http://schemas.openxmlformats.org/drawingml/2006/picture">
                        <pic:nvPicPr>
                          <pic:cNvPr id="34" name="TextBox_12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6268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63" name="TextBox_110_SpCnt_1"/>
                  <wp:cNvGraphicFramePr/>
                  <a:graphic xmlns:a="http://schemas.openxmlformats.org/drawingml/2006/main">
                    <a:graphicData uri="http://schemas.openxmlformats.org/drawingml/2006/picture">
                      <pic:pic xmlns:pic="http://schemas.openxmlformats.org/drawingml/2006/picture">
                        <pic:nvPicPr>
                          <pic:cNvPr id="63" name="TextBox_110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6371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62" name="TextBox_9_SpCnt_2"/>
                  <wp:cNvGraphicFramePr/>
                  <a:graphic xmlns:a="http://schemas.openxmlformats.org/drawingml/2006/main">
                    <a:graphicData uri="http://schemas.openxmlformats.org/drawingml/2006/picture">
                      <pic:pic xmlns:pic="http://schemas.openxmlformats.org/drawingml/2006/picture">
                        <pic:nvPicPr>
                          <pic:cNvPr id="62" name="TextBox_9_SpCnt_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6473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65" name="TextBox_125"/>
                  <wp:cNvGraphicFramePr/>
                  <a:graphic xmlns:a="http://schemas.openxmlformats.org/drawingml/2006/main">
                    <a:graphicData uri="http://schemas.openxmlformats.org/drawingml/2006/picture">
                      <pic:pic xmlns:pic="http://schemas.openxmlformats.org/drawingml/2006/picture">
                        <pic:nvPicPr>
                          <pic:cNvPr id="65" name="TextBox_12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6576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64" name="TextBox_124"/>
                  <wp:cNvGraphicFramePr/>
                  <a:graphic xmlns:a="http://schemas.openxmlformats.org/drawingml/2006/main">
                    <a:graphicData uri="http://schemas.openxmlformats.org/drawingml/2006/picture">
                      <pic:pic xmlns:pic="http://schemas.openxmlformats.org/drawingml/2006/picture">
                        <pic:nvPicPr>
                          <pic:cNvPr id="64" name="TextBox_12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6678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66" name="TextBox_106_SpCnt_1"/>
                  <wp:cNvGraphicFramePr/>
                  <a:graphic xmlns:a="http://schemas.openxmlformats.org/drawingml/2006/main">
                    <a:graphicData uri="http://schemas.openxmlformats.org/drawingml/2006/picture">
                      <pic:pic xmlns:pic="http://schemas.openxmlformats.org/drawingml/2006/picture">
                        <pic:nvPicPr>
                          <pic:cNvPr id="66" name="TextBox_106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6780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61" name="TextBox_83_SpCnt_1"/>
                  <wp:cNvGraphicFramePr/>
                  <a:graphic xmlns:a="http://schemas.openxmlformats.org/drawingml/2006/main">
                    <a:graphicData uri="http://schemas.openxmlformats.org/drawingml/2006/picture">
                      <pic:pic xmlns:pic="http://schemas.openxmlformats.org/drawingml/2006/picture">
                        <pic:nvPicPr>
                          <pic:cNvPr id="61" name="TextBox_83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6883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27" name="TextBox_82_SpCnt_1"/>
                  <wp:cNvGraphicFramePr/>
                  <a:graphic xmlns:a="http://schemas.openxmlformats.org/drawingml/2006/main">
                    <a:graphicData uri="http://schemas.openxmlformats.org/drawingml/2006/picture">
                      <pic:pic xmlns:pic="http://schemas.openxmlformats.org/drawingml/2006/picture">
                        <pic:nvPicPr>
                          <pic:cNvPr id="27" name="TextBox_82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6985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26" name="TextBox_81_SpCnt_1"/>
                  <wp:cNvGraphicFramePr/>
                  <a:graphic xmlns:a="http://schemas.openxmlformats.org/drawingml/2006/main">
                    <a:graphicData uri="http://schemas.openxmlformats.org/drawingml/2006/picture">
                      <pic:pic xmlns:pic="http://schemas.openxmlformats.org/drawingml/2006/picture">
                        <pic:nvPicPr>
                          <pic:cNvPr id="26" name="TextBox_81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7088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29" name="TextBox_3_SpCnt_2"/>
                  <wp:cNvGraphicFramePr/>
                  <a:graphic xmlns:a="http://schemas.openxmlformats.org/drawingml/2006/main">
                    <a:graphicData uri="http://schemas.openxmlformats.org/drawingml/2006/picture">
                      <pic:pic xmlns:pic="http://schemas.openxmlformats.org/drawingml/2006/picture">
                        <pic:nvPicPr>
                          <pic:cNvPr id="29" name="TextBox_3_SpCnt_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7190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28" name="TextBox_122_SpCnt_1"/>
                  <wp:cNvGraphicFramePr/>
                  <a:graphic xmlns:a="http://schemas.openxmlformats.org/drawingml/2006/main">
                    <a:graphicData uri="http://schemas.openxmlformats.org/drawingml/2006/picture">
                      <pic:pic xmlns:pic="http://schemas.openxmlformats.org/drawingml/2006/picture">
                        <pic:nvPicPr>
                          <pic:cNvPr id="28" name="TextBox_122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7292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0" name="TextBox_80_SpCnt_1"/>
                  <wp:cNvGraphicFramePr/>
                  <a:graphic xmlns:a="http://schemas.openxmlformats.org/drawingml/2006/main">
                    <a:graphicData uri="http://schemas.openxmlformats.org/drawingml/2006/picture">
                      <pic:pic xmlns:pic="http://schemas.openxmlformats.org/drawingml/2006/picture">
                        <pic:nvPicPr>
                          <pic:cNvPr id="30" name="TextBox_80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7395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1" name="TextBox_78_SpCnt_1"/>
                  <wp:cNvGraphicFramePr/>
                  <a:graphic xmlns:a="http://schemas.openxmlformats.org/drawingml/2006/main">
                    <a:graphicData uri="http://schemas.openxmlformats.org/drawingml/2006/picture">
                      <pic:pic xmlns:pic="http://schemas.openxmlformats.org/drawingml/2006/picture">
                        <pic:nvPicPr>
                          <pic:cNvPr id="31" name="TextBox_78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7497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57" name="TextBox_2_SpCnt_2"/>
                  <wp:cNvGraphicFramePr/>
                  <a:graphic xmlns:a="http://schemas.openxmlformats.org/drawingml/2006/main">
                    <a:graphicData uri="http://schemas.openxmlformats.org/drawingml/2006/picture">
                      <pic:pic xmlns:pic="http://schemas.openxmlformats.org/drawingml/2006/picture">
                        <pic:nvPicPr>
                          <pic:cNvPr id="57" name="TextBox_2_SpCnt_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7600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59" name="TextBox_75_SpCnt_1"/>
                  <wp:cNvGraphicFramePr/>
                  <a:graphic xmlns:a="http://schemas.openxmlformats.org/drawingml/2006/main">
                    <a:graphicData uri="http://schemas.openxmlformats.org/drawingml/2006/picture">
                      <pic:pic xmlns:pic="http://schemas.openxmlformats.org/drawingml/2006/picture">
                        <pic:nvPicPr>
                          <pic:cNvPr id="59" name="TextBox_75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7702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58" name="TextBox_74_SpCnt_1"/>
                  <wp:cNvGraphicFramePr/>
                  <a:graphic xmlns:a="http://schemas.openxmlformats.org/drawingml/2006/main">
                    <a:graphicData uri="http://schemas.openxmlformats.org/drawingml/2006/picture">
                      <pic:pic xmlns:pic="http://schemas.openxmlformats.org/drawingml/2006/picture">
                        <pic:nvPicPr>
                          <pic:cNvPr id="58" name="TextBox_74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7804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68" name="TextBox_121_SpCnt_1"/>
                  <wp:cNvGraphicFramePr/>
                  <a:graphic xmlns:a="http://schemas.openxmlformats.org/drawingml/2006/main">
                    <a:graphicData uri="http://schemas.openxmlformats.org/drawingml/2006/picture">
                      <pic:pic xmlns:pic="http://schemas.openxmlformats.org/drawingml/2006/picture">
                        <pic:nvPicPr>
                          <pic:cNvPr id="68" name="TextBox_121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7907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67" name="TextBox_73_SpCnt_1"/>
                  <wp:cNvGraphicFramePr/>
                  <a:graphic xmlns:a="http://schemas.openxmlformats.org/drawingml/2006/main">
                    <a:graphicData uri="http://schemas.openxmlformats.org/drawingml/2006/picture">
                      <pic:pic xmlns:pic="http://schemas.openxmlformats.org/drawingml/2006/picture">
                        <pic:nvPicPr>
                          <pic:cNvPr id="67" name="TextBox_73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8009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23" name="TextBox_72_SpCnt_1"/>
                  <wp:cNvGraphicFramePr/>
                  <a:graphic xmlns:a="http://schemas.openxmlformats.org/drawingml/2006/main">
                    <a:graphicData uri="http://schemas.openxmlformats.org/drawingml/2006/picture">
                      <pic:pic xmlns:pic="http://schemas.openxmlformats.org/drawingml/2006/picture">
                        <pic:nvPicPr>
                          <pic:cNvPr id="123" name="TextBox_72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8112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60" name="TextBox_70_SpCnt_1"/>
                  <wp:cNvGraphicFramePr/>
                  <a:graphic xmlns:a="http://schemas.openxmlformats.org/drawingml/2006/main">
                    <a:graphicData uri="http://schemas.openxmlformats.org/drawingml/2006/picture">
                      <pic:pic xmlns:pic="http://schemas.openxmlformats.org/drawingml/2006/picture">
                        <pic:nvPicPr>
                          <pic:cNvPr id="60" name="TextBox_70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8214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43" name="TextBox_6_SpCnt_2"/>
                  <wp:cNvGraphicFramePr/>
                  <a:graphic xmlns:a="http://schemas.openxmlformats.org/drawingml/2006/main">
                    <a:graphicData uri="http://schemas.openxmlformats.org/drawingml/2006/picture">
                      <pic:pic xmlns:pic="http://schemas.openxmlformats.org/drawingml/2006/picture">
                        <pic:nvPicPr>
                          <pic:cNvPr id="43" name="TextBox_6_SpCnt_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8316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24" name="TextBox_67_SpCnt_1"/>
                  <wp:cNvGraphicFramePr/>
                  <a:graphic xmlns:a="http://schemas.openxmlformats.org/drawingml/2006/main">
                    <a:graphicData uri="http://schemas.openxmlformats.org/drawingml/2006/picture">
                      <pic:pic xmlns:pic="http://schemas.openxmlformats.org/drawingml/2006/picture">
                        <pic:nvPicPr>
                          <pic:cNvPr id="124" name="TextBox_67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8419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25" name="TextBox_156"/>
                  <wp:cNvGraphicFramePr/>
                  <a:graphic xmlns:a="http://schemas.openxmlformats.org/drawingml/2006/main">
                    <a:graphicData uri="http://schemas.openxmlformats.org/drawingml/2006/picture">
                      <pic:pic xmlns:pic="http://schemas.openxmlformats.org/drawingml/2006/picture">
                        <pic:nvPicPr>
                          <pic:cNvPr id="125" name="TextBox_15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8521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26" name="TextBox_66_SpCnt_1"/>
                  <wp:cNvGraphicFramePr/>
                  <a:graphic xmlns:a="http://schemas.openxmlformats.org/drawingml/2006/main">
                    <a:graphicData uri="http://schemas.openxmlformats.org/drawingml/2006/picture">
                      <pic:pic xmlns:pic="http://schemas.openxmlformats.org/drawingml/2006/picture">
                        <pic:nvPicPr>
                          <pic:cNvPr id="126" name="TextBox_66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8624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27" name="TextBox_113_SpCnt_1"/>
                  <wp:cNvGraphicFramePr/>
                  <a:graphic xmlns:a="http://schemas.openxmlformats.org/drawingml/2006/main">
                    <a:graphicData uri="http://schemas.openxmlformats.org/drawingml/2006/picture">
                      <pic:pic xmlns:pic="http://schemas.openxmlformats.org/drawingml/2006/picture">
                        <pic:nvPicPr>
                          <pic:cNvPr id="127" name="TextBox_113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8726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28" name="TextBox_65_SpCnt_1"/>
                  <wp:cNvGraphicFramePr/>
                  <a:graphic xmlns:a="http://schemas.openxmlformats.org/drawingml/2006/main">
                    <a:graphicData uri="http://schemas.openxmlformats.org/drawingml/2006/picture">
                      <pic:pic xmlns:pic="http://schemas.openxmlformats.org/drawingml/2006/picture">
                        <pic:nvPicPr>
                          <pic:cNvPr id="128" name="TextBox_65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8828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29" name="TextBox_108_SpCnt_1"/>
                  <wp:cNvGraphicFramePr/>
                  <a:graphic xmlns:a="http://schemas.openxmlformats.org/drawingml/2006/main">
                    <a:graphicData uri="http://schemas.openxmlformats.org/drawingml/2006/picture">
                      <pic:pic xmlns:pic="http://schemas.openxmlformats.org/drawingml/2006/picture">
                        <pic:nvPicPr>
                          <pic:cNvPr id="129" name="TextBox_108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8931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30" name="TextBox_115_SpCnt_1"/>
                  <wp:cNvGraphicFramePr/>
                  <a:graphic xmlns:a="http://schemas.openxmlformats.org/drawingml/2006/main">
                    <a:graphicData uri="http://schemas.openxmlformats.org/drawingml/2006/picture">
                      <pic:pic xmlns:pic="http://schemas.openxmlformats.org/drawingml/2006/picture">
                        <pic:nvPicPr>
                          <pic:cNvPr id="130" name="TextBox_115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9033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31" name="TextBox_152"/>
                  <wp:cNvGraphicFramePr/>
                  <a:graphic xmlns:a="http://schemas.openxmlformats.org/drawingml/2006/main">
                    <a:graphicData uri="http://schemas.openxmlformats.org/drawingml/2006/picture">
                      <pic:pic xmlns:pic="http://schemas.openxmlformats.org/drawingml/2006/picture">
                        <pic:nvPicPr>
                          <pic:cNvPr id="131" name="TextBox_15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9136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32" name="TextBox_64_SpCnt_1"/>
                  <wp:cNvGraphicFramePr/>
                  <a:graphic xmlns:a="http://schemas.openxmlformats.org/drawingml/2006/main">
                    <a:graphicData uri="http://schemas.openxmlformats.org/drawingml/2006/picture">
                      <pic:pic xmlns:pic="http://schemas.openxmlformats.org/drawingml/2006/picture">
                        <pic:nvPicPr>
                          <pic:cNvPr id="132" name="TextBox_64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9238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33" name="TextBox_7_SpCnt_2"/>
                  <wp:cNvGraphicFramePr/>
                  <a:graphic xmlns:a="http://schemas.openxmlformats.org/drawingml/2006/main">
                    <a:graphicData uri="http://schemas.openxmlformats.org/drawingml/2006/picture">
                      <pic:pic xmlns:pic="http://schemas.openxmlformats.org/drawingml/2006/picture">
                        <pic:nvPicPr>
                          <pic:cNvPr id="133" name="TextBox_7_SpCnt_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9340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34" name="TextBox_109_SpCnt_1"/>
                  <wp:cNvGraphicFramePr/>
                  <a:graphic xmlns:a="http://schemas.openxmlformats.org/drawingml/2006/main">
                    <a:graphicData uri="http://schemas.openxmlformats.org/drawingml/2006/picture">
                      <pic:pic xmlns:pic="http://schemas.openxmlformats.org/drawingml/2006/picture">
                        <pic:nvPicPr>
                          <pic:cNvPr id="134" name="TextBox_109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9443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35" name="TextBox_148"/>
                  <wp:cNvGraphicFramePr/>
                  <a:graphic xmlns:a="http://schemas.openxmlformats.org/drawingml/2006/main">
                    <a:graphicData uri="http://schemas.openxmlformats.org/drawingml/2006/picture">
                      <pic:pic xmlns:pic="http://schemas.openxmlformats.org/drawingml/2006/picture">
                        <pic:nvPicPr>
                          <pic:cNvPr id="135" name="TextBox_14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9545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36" name="TextBox_107_SpCnt_1"/>
                  <wp:cNvGraphicFramePr/>
                  <a:graphic xmlns:a="http://schemas.openxmlformats.org/drawingml/2006/main">
                    <a:graphicData uri="http://schemas.openxmlformats.org/drawingml/2006/picture">
                      <pic:pic xmlns:pic="http://schemas.openxmlformats.org/drawingml/2006/picture">
                        <pic:nvPicPr>
                          <pic:cNvPr id="136" name="TextBox_107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9648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37" name="TextBox_105_SpCnt_1"/>
                  <wp:cNvGraphicFramePr/>
                  <a:graphic xmlns:a="http://schemas.openxmlformats.org/drawingml/2006/main">
                    <a:graphicData uri="http://schemas.openxmlformats.org/drawingml/2006/picture">
                      <pic:pic xmlns:pic="http://schemas.openxmlformats.org/drawingml/2006/picture">
                        <pic:nvPicPr>
                          <pic:cNvPr id="137" name="TextBox_105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9750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38" name="TextBox_8_SpCnt_2"/>
                  <wp:cNvGraphicFramePr/>
                  <a:graphic xmlns:a="http://schemas.openxmlformats.org/drawingml/2006/main">
                    <a:graphicData uri="http://schemas.openxmlformats.org/drawingml/2006/picture">
                      <pic:pic xmlns:pic="http://schemas.openxmlformats.org/drawingml/2006/picture">
                        <pic:nvPicPr>
                          <pic:cNvPr id="138" name="TextBox_8_SpCnt_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9852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39" name="TextBox_104_SpCnt_1"/>
                  <wp:cNvGraphicFramePr/>
                  <a:graphic xmlns:a="http://schemas.openxmlformats.org/drawingml/2006/main">
                    <a:graphicData uri="http://schemas.openxmlformats.org/drawingml/2006/picture">
                      <pic:pic xmlns:pic="http://schemas.openxmlformats.org/drawingml/2006/picture">
                        <pic:nvPicPr>
                          <pic:cNvPr id="139" name="TextBox_104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79955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40" name="TextBox_140"/>
                  <wp:cNvGraphicFramePr/>
                  <a:graphic xmlns:a="http://schemas.openxmlformats.org/drawingml/2006/main">
                    <a:graphicData uri="http://schemas.openxmlformats.org/drawingml/2006/picture">
                      <pic:pic xmlns:pic="http://schemas.openxmlformats.org/drawingml/2006/picture">
                        <pic:nvPicPr>
                          <pic:cNvPr id="140" name="TextBox_14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0057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41" name="TextBox_4_SpCnt_2"/>
                  <wp:cNvGraphicFramePr/>
                  <a:graphic xmlns:a="http://schemas.openxmlformats.org/drawingml/2006/main">
                    <a:graphicData uri="http://schemas.openxmlformats.org/drawingml/2006/picture">
                      <pic:pic xmlns:pic="http://schemas.openxmlformats.org/drawingml/2006/picture">
                        <pic:nvPicPr>
                          <pic:cNvPr id="141" name="TextBox_4_SpCnt_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0160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42" name="TextBox_123_SpCnt_1"/>
                  <wp:cNvGraphicFramePr/>
                  <a:graphic xmlns:a="http://schemas.openxmlformats.org/drawingml/2006/main">
                    <a:graphicData uri="http://schemas.openxmlformats.org/drawingml/2006/picture">
                      <pic:pic xmlns:pic="http://schemas.openxmlformats.org/drawingml/2006/picture">
                        <pic:nvPicPr>
                          <pic:cNvPr id="142" name="TextBox_123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0262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43" name="TextBox_76_SpCnt_1"/>
                  <wp:cNvGraphicFramePr/>
                  <a:graphic xmlns:a="http://schemas.openxmlformats.org/drawingml/2006/main">
                    <a:graphicData uri="http://schemas.openxmlformats.org/drawingml/2006/picture">
                      <pic:pic xmlns:pic="http://schemas.openxmlformats.org/drawingml/2006/picture">
                        <pic:nvPicPr>
                          <pic:cNvPr id="143" name="TextBox_76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0364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44" name="TextBox_116_SpCnt_1"/>
                  <wp:cNvGraphicFramePr/>
                  <a:graphic xmlns:a="http://schemas.openxmlformats.org/drawingml/2006/main">
                    <a:graphicData uri="http://schemas.openxmlformats.org/drawingml/2006/picture">
                      <pic:pic xmlns:pic="http://schemas.openxmlformats.org/drawingml/2006/picture">
                        <pic:nvPicPr>
                          <pic:cNvPr id="144" name="TextBox_116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0467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45" name="TextBox_79_SpCnt_1"/>
                  <wp:cNvGraphicFramePr/>
                  <a:graphic xmlns:a="http://schemas.openxmlformats.org/drawingml/2006/main">
                    <a:graphicData uri="http://schemas.openxmlformats.org/drawingml/2006/picture">
                      <pic:pic xmlns:pic="http://schemas.openxmlformats.org/drawingml/2006/picture">
                        <pic:nvPicPr>
                          <pic:cNvPr id="145" name="TextBox_79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0569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46" name="TextBox_136"/>
                  <wp:cNvGraphicFramePr/>
                  <a:graphic xmlns:a="http://schemas.openxmlformats.org/drawingml/2006/main">
                    <a:graphicData uri="http://schemas.openxmlformats.org/drawingml/2006/picture">
                      <pic:pic xmlns:pic="http://schemas.openxmlformats.org/drawingml/2006/picture">
                        <pic:nvPicPr>
                          <pic:cNvPr id="146" name="TextBox_13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0672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47" name="TextBox_5_SpCnt_2"/>
                  <wp:cNvGraphicFramePr/>
                  <a:graphic xmlns:a="http://schemas.openxmlformats.org/drawingml/2006/main">
                    <a:graphicData uri="http://schemas.openxmlformats.org/drawingml/2006/picture">
                      <pic:pic xmlns:pic="http://schemas.openxmlformats.org/drawingml/2006/picture">
                        <pic:nvPicPr>
                          <pic:cNvPr id="147" name="TextBox_5_SpCnt_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0774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48" name="TextBox_77_SpCnt_1"/>
                  <wp:cNvGraphicFramePr/>
                  <a:graphic xmlns:a="http://schemas.openxmlformats.org/drawingml/2006/main">
                    <a:graphicData uri="http://schemas.openxmlformats.org/drawingml/2006/picture">
                      <pic:pic xmlns:pic="http://schemas.openxmlformats.org/drawingml/2006/picture">
                        <pic:nvPicPr>
                          <pic:cNvPr id="148" name="TextBox_77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0876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49" name="TextBox_132"/>
                  <wp:cNvGraphicFramePr/>
                  <a:graphic xmlns:a="http://schemas.openxmlformats.org/drawingml/2006/main">
                    <a:graphicData uri="http://schemas.openxmlformats.org/drawingml/2006/picture">
                      <pic:pic xmlns:pic="http://schemas.openxmlformats.org/drawingml/2006/picture">
                        <pic:nvPicPr>
                          <pic:cNvPr id="149" name="TextBox_13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0979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50" name="TextBox_119_SpCnt_1"/>
                  <wp:cNvGraphicFramePr/>
                  <a:graphic xmlns:a="http://schemas.openxmlformats.org/drawingml/2006/main">
                    <a:graphicData uri="http://schemas.openxmlformats.org/drawingml/2006/picture">
                      <pic:pic xmlns:pic="http://schemas.openxmlformats.org/drawingml/2006/picture">
                        <pic:nvPicPr>
                          <pic:cNvPr id="150" name="TextBox_119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1081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51" name="TextBox_117_SpCnt_1"/>
                  <wp:cNvGraphicFramePr/>
                  <a:graphic xmlns:a="http://schemas.openxmlformats.org/drawingml/2006/main">
                    <a:graphicData uri="http://schemas.openxmlformats.org/drawingml/2006/picture">
                      <pic:pic xmlns:pic="http://schemas.openxmlformats.org/drawingml/2006/picture">
                        <pic:nvPicPr>
                          <pic:cNvPr id="151" name="TextBox_117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1184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52" name="TextBox_69_SpCnt_1"/>
                  <wp:cNvGraphicFramePr/>
                  <a:graphic xmlns:a="http://schemas.openxmlformats.org/drawingml/2006/main">
                    <a:graphicData uri="http://schemas.openxmlformats.org/drawingml/2006/picture">
                      <pic:pic xmlns:pic="http://schemas.openxmlformats.org/drawingml/2006/picture">
                        <pic:nvPicPr>
                          <pic:cNvPr id="152" name="TextBox_69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1286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53" name="TextBox_68_SpCnt_1"/>
                  <wp:cNvGraphicFramePr/>
                  <a:graphic xmlns:a="http://schemas.openxmlformats.org/drawingml/2006/main">
                    <a:graphicData uri="http://schemas.openxmlformats.org/drawingml/2006/picture">
                      <pic:pic xmlns:pic="http://schemas.openxmlformats.org/drawingml/2006/picture">
                        <pic:nvPicPr>
                          <pic:cNvPr id="153" name="TextBox_68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1388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54" name="TextBox_120_SpCnt_1"/>
                  <wp:cNvGraphicFramePr/>
                  <a:graphic xmlns:a="http://schemas.openxmlformats.org/drawingml/2006/main">
                    <a:graphicData uri="http://schemas.openxmlformats.org/drawingml/2006/picture">
                      <pic:pic xmlns:pic="http://schemas.openxmlformats.org/drawingml/2006/picture">
                        <pic:nvPicPr>
                          <pic:cNvPr id="154" name="TextBox_120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1491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55" name="TextBox_112_SpCnt_1"/>
                  <wp:cNvGraphicFramePr/>
                  <a:graphic xmlns:a="http://schemas.openxmlformats.org/drawingml/2006/main">
                    <a:graphicData uri="http://schemas.openxmlformats.org/drawingml/2006/picture">
                      <pic:pic xmlns:pic="http://schemas.openxmlformats.org/drawingml/2006/picture">
                        <pic:nvPicPr>
                          <pic:cNvPr id="155" name="TextBox_112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1593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56" name="TextBox_163"/>
                  <wp:cNvGraphicFramePr/>
                  <a:graphic xmlns:a="http://schemas.openxmlformats.org/drawingml/2006/main">
                    <a:graphicData uri="http://schemas.openxmlformats.org/drawingml/2006/picture">
                      <pic:pic xmlns:pic="http://schemas.openxmlformats.org/drawingml/2006/picture">
                        <pic:nvPicPr>
                          <pic:cNvPr id="156" name="TextBox_16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1696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57" name="TextBox_162"/>
                  <wp:cNvGraphicFramePr/>
                  <a:graphic xmlns:a="http://schemas.openxmlformats.org/drawingml/2006/main">
                    <a:graphicData uri="http://schemas.openxmlformats.org/drawingml/2006/picture">
                      <pic:pic xmlns:pic="http://schemas.openxmlformats.org/drawingml/2006/picture">
                        <pic:nvPicPr>
                          <pic:cNvPr id="157" name="TextBox_16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1798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58" name="TextBox_161"/>
                  <wp:cNvGraphicFramePr/>
                  <a:graphic xmlns:a="http://schemas.openxmlformats.org/drawingml/2006/main">
                    <a:graphicData uri="http://schemas.openxmlformats.org/drawingml/2006/picture">
                      <pic:pic xmlns:pic="http://schemas.openxmlformats.org/drawingml/2006/picture">
                        <pic:nvPicPr>
                          <pic:cNvPr id="158" name="TextBox_16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1900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59" name="TextBox_159"/>
                  <wp:cNvGraphicFramePr/>
                  <a:graphic xmlns:a="http://schemas.openxmlformats.org/drawingml/2006/main">
                    <a:graphicData uri="http://schemas.openxmlformats.org/drawingml/2006/picture">
                      <pic:pic xmlns:pic="http://schemas.openxmlformats.org/drawingml/2006/picture">
                        <pic:nvPicPr>
                          <pic:cNvPr id="159" name="TextBox_15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2003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60" name="TextBox_160"/>
                  <wp:cNvGraphicFramePr/>
                  <a:graphic xmlns:a="http://schemas.openxmlformats.org/drawingml/2006/main">
                    <a:graphicData uri="http://schemas.openxmlformats.org/drawingml/2006/picture">
                      <pic:pic xmlns:pic="http://schemas.openxmlformats.org/drawingml/2006/picture">
                        <pic:nvPicPr>
                          <pic:cNvPr id="160" name="TextBox_16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2105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61" name="TextBox_158"/>
                  <wp:cNvGraphicFramePr/>
                  <a:graphic xmlns:a="http://schemas.openxmlformats.org/drawingml/2006/main">
                    <a:graphicData uri="http://schemas.openxmlformats.org/drawingml/2006/picture">
                      <pic:pic xmlns:pic="http://schemas.openxmlformats.org/drawingml/2006/picture">
                        <pic:nvPicPr>
                          <pic:cNvPr id="161" name="TextBox_15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2208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62" name="TextBox_157"/>
                  <wp:cNvGraphicFramePr/>
                  <a:graphic xmlns:a="http://schemas.openxmlformats.org/drawingml/2006/main">
                    <a:graphicData uri="http://schemas.openxmlformats.org/drawingml/2006/picture">
                      <pic:pic xmlns:pic="http://schemas.openxmlformats.org/drawingml/2006/picture">
                        <pic:nvPicPr>
                          <pic:cNvPr id="162" name="TextBox_15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2310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63" name="TextBox_155"/>
                  <wp:cNvGraphicFramePr/>
                  <a:graphic xmlns:a="http://schemas.openxmlformats.org/drawingml/2006/main">
                    <a:graphicData uri="http://schemas.openxmlformats.org/drawingml/2006/picture">
                      <pic:pic xmlns:pic="http://schemas.openxmlformats.org/drawingml/2006/picture">
                        <pic:nvPicPr>
                          <pic:cNvPr id="163" name="TextBox_15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2412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64" name="TextBox_154"/>
                  <wp:cNvGraphicFramePr/>
                  <a:graphic xmlns:a="http://schemas.openxmlformats.org/drawingml/2006/main">
                    <a:graphicData uri="http://schemas.openxmlformats.org/drawingml/2006/picture">
                      <pic:pic xmlns:pic="http://schemas.openxmlformats.org/drawingml/2006/picture">
                        <pic:nvPicPr>
                          <pic:cNvPr id="164" name="TextBox_15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2515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65" name="TextBox_153"/>
                  <wp:cNvGraphicFramePr/>
                  <a:graphic xmlns:a="http://schemas.openxmlformats.org/drawingml/2006/main">
                    <a:graphicData uri="http://schemas.openxmlformats.org/drawingml/2006/picture">
                      <pic:pic xmlns:pic="http://schemas.openxmlformats.org/drawingml/2006/picture">
                        <pic:nvPicPr>
                          <pic:cNvPr id="165" name="TextBox_15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2617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66" name="TextBox_151"/>
                  <wp:cNvGraphicFramePr/>
                  <a:graphic xmlns:a="http://schemas.openxmlformats.org/drawingml/2006/main">
                    <a:graphicData uri="http://schemas.openxmlformats.org/drawingml/2006/picture">
                      <pic:pic xmlns:pic="http://schemas.openxmlformats.org/drawingml/2006/picture">
                        <pic:nvPicPr>
                          <pic:cNvPr id="166" name="TextBox_15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2720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67" name="TextBox_150"/>
                  <wp:cNvGraphicFramePr/>
                  <a:graphic xmlns:a="http://schemas.openxmlformats.org/drawingml/2006/main">
                    <a:graphicData uri="http://schemas.openxmlformats.org/drawingml/2006/picture">
                      <pic:pic xmlns:pic="http://schemas.openxmlformats.org/drawingml/2006/picture">
                        <pic:nvPicPr>
                          <pic:cNvPr id="167" name="TextBox_15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2822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68" name="TextBox_149"/>
                  <wp:cNvGraphicFramePr/>
                  <a:graphic xmlns:a="http://schemas.openxmlformats.org/drawingml/2006/main">
                    <a:graphicData uri="http://schemas.openxmlformats.org/drawingml/2006/picture">
                      <pic:pic xmlns:pic="http://schemas.openxmlformats.org/drawingml/2006/picture">
                        <pic:nvPicPr>
                          <pic:cNvPr id="168" name="TextBox_14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2924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69" name="TextBox_147"/>
                  <wp:cNvGraphicFramePr/>
                  <a:graphic xmlns:a="http://schemas.openxmlformats.org/drawingml/2006/main">
                    <a:graphicData uri="http://schemas.openxmlformats.org/drawingml/2006/picture">
                      <pic:pic xmlns:pic="http://schemas.openxmlformats.org/drawingml/2006/picture">
                        <pic:nvPicPr>
                          <pic:cNvPr id="169" name="TextBox_14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3027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70" name="TextBox_146"/>
                  <wp:cNvGraphicFramePr/>
                  <a:graphic xmlns:a="http://schemas.openxmlformats.org/drawingml/2006/main">
                    <a:graphicData uri="http://schemas.openxmlformats.org/drawingml/2006/picture">
                      <pic:pic xmlns:pic="http://schemas.openxmlformats.org/drawingml/2006/picture">
                        <pic:nvPicPr>
                          <pic:cNvPr id="170" name="TextBox_14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3129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71" name="TextBox_145"/>
                  <wp:cNvGraphicFramePr/>
                  <a:graphic xmlns:a="http://schemas.openxmlformats.org/drawingml/2006/main">
                    <a:graphicData uri="http://schemas.openxmlformats.org/drawingml/2006/picture">
                      <pic:pic xmlns:pic="http://schemas.openxmlformats.org/drawingml/2006/picture">
                        <pic:nvPicPr>
                          <pic:cNvPr id="171" name="TextBox_14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3232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72" name="TextBox_143"/>
                  <wp:cNvGraphicFramePr/>
                  <a:graphic xmlns:a="http://schemas.openxmlformats.org/drawingml/2006/main">
                    <a:graphicData uri="http://schemas.openxmlformats.org/drawingml/2006/picture">
                      <pic:pic xmlns:pic="http://schemas.openxmlformats.org/drawingml/2006/picture">
                        <pic:nvPicPr>
                          <pic:cNvPr id="172" name="TextBox_14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3334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73" name="TextBox_144"/>
                  <wp:cNvGraphicFramePr/>
                  <a:graphic xmlns:a="http://schemas.openxmlformats.org/drawingml/2006/main">
                    <a:graphicData uri="http://schemas.openxmlformats.org/drawingml/2006/picture">
                      <pic:pic xmlns:pic="http://schemas.openxmlformats.org/drawingml/2006/picture">
                        <pic:nvPicPr>
                          <pic:cNvPr id="173" name="TextBox_14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3436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74" name="TextBox_142"/>
                  <wp:cNvGraphicFramePr/>
                  <a:graphic xmlns:a="http://schemas.openxmlformats.org/drawingml/2006/main">
                    <a:graphicData uri="http://schemas.openxmlformats.org/drawingml/2006/picture">
                      <pic:pic xmlns:pic="http://schemas.openxmlformats.org/drawingml/2006/picture">
                        <pic:nvPicPr>
                          <pic:cNvPr id="174" name="TextBox_14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3539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75" name="TextBox_141"/>
                  <wp:cNvGraphicFramePr/>
                  <a:graphic xmlns:a="http://schemas.openxmlformats.org/drawingml/2006/main">
                    <a:graphicData uri="http://schemas.openxmlformats.org/drawingml/2006/picture">
                      <pic:pic xmlns:pic="http://schemas.openxmlformats.org/drawingml/2006/picture">
                        <pic:nvPicPr>
                          <pic:cNvPr id="175" name="TextBox_14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3641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76" name="TextBox_139"/>
                  <wp:cNvGraphicFramePr/>
                  <a:graphic xmlns:a="http://schemas.openxmlformats.org/drawingml/2006/main">
                    <a:graphicData uri="http://schemas.openxmlformats.org/drawingml/2006/picture">
                      <pic:pic xmlns:pic="http://schemas.openxmlformats.org/drawingml/2006/picture">
                        <pic:nvPicPr>
                          <pic:cNvPr id="176" name="TextBox_13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3744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77" name="TextBox_138"/>
                  <wp:cNvGraphicFramePr/>
                  <a:graphic xmlns:a="http://schemas.openxmlformats.org/drawingml/2006/main">
                    <a:graphicData uri="http://schemas.openxmlformats.org/drawingml/2006/picture">
                      <pic:pic xmlns:pic="http://schemas.openxmlformats.org/drawingml/2006/picture">
                        <pic:nvPicPr>
                          <pic:cNvPr id="177" name="TextBox_13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3846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78" name="TextBox_137"/>
                  <wp:cNvGraphicFramePr/>
                  <a:graphic xmlns:a="http://schemas.openxmlformats.org/drawingml/2006/main">
                    <a:graphicData uri="http://schemas.openxmlformats.org/drawingml/2006/picture">
                      <pic:pic xmlns:pic="http://schemas.openxmlformats.org/drawingml/2006/picture">
                        <pic:nvPicPr>
                          <pic:cNvPr id="178" name="TextBox_13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3948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79" name="TextBox_135"/>
                  <wp:cNvGraphicFramePr/>
                  <a:graphic xmlns:a="http://schemas.openxmlformats.org/drawingml/2006/main">
                    <a:graphicData uri="http://schemas.openxmlformats.org/drawingml/2006/picture">
                      <pic:pic xmlns:pic="http://schemas.openxmlformats.org/drawingml/2006/picture">
                        <pic:nvPicPr>
                          <pic:cNvPr id="179" name="TextBox_13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4051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180" name="TextBox_134"/>
                  <wp:cNvGraphicFramePr/>
                  <a:graphic xmlns:a="http://schemas.openxmlformats.org/drawingml/2006/main">
                    <a:graphicData uri="http://schemas.openxmlformats.org/drawingml/2006/picture">
                      <pic:pic xmlns:pic="http://schemas.openxmlformats.org/drawingml/2006/picture">
                        <pic:nvPicPr>
                          <pic:cNvPr id="180" name="TextBox_13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4153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81" name="TextBox_133"/>
                  <wp:cNvGraphicFramePr/>
                  <a:graphic xmlns:a="http://schemas.openxmlformats.org/drawingml/2006/main">
                    <a:graphicData uri="http://schemas.openxmlformats.org/drawingml/2006/picture">
                      <pic:pic xmlns:pic="http://schemas.openxmlformats.org/drawingml/2006/picture">
                        <pic:nvPicPr>
                          <pic:cNvPr id="181" name="TextBox_13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18"/>
                <w:szCs w:val="18"/>
                <w:bdr w:val="single" w:color="000000" w:sz="4" w:space="0"/>
                <w:shd w:val="clear" w:color="auto" w:fill="FFFFFF"/>
              </w:rPr>
              <w:drawing>
                <wp:anchor distT="0" distB="0" distL="114300" distR="114300" simplePos="0" relativeHeight="25184256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182" name="TextBox_131"/>
                  <wp:cNvGraphicFramePr/>
                  <a:graphic xmlns:a="http://schemas.openxmlformats.org/drawingml/2006/main">
                    <a:graphicData uri="http://schemas.openxmlformats.org/drawingml/2006/picture">
                      <pic:pic xmlns:pic="http://schemas.openxmlformats.org/drawingml/2006/picture">
                        <pic:nvPicPr>
                          <pic:cNvPr id="182" name="TextBox_131"/>
                          <pic:cNvPicPr/>
                        </pic:nvPicPr>
                        <pic:blipFill>
                          <a:blip r:embed="rId18"/>
                          <a:stretch>
                            <a:fillRect/>
                          </a:stretch>
                        </pic:blipFill>
                        <pic:spPr>
                          <a:xfrm>
                            <a:off x="0" y="0"/>
                            <a:ext cx="184150" cy="256540"/>
                          </a:xfrm>
                          <a:prstGeom prst="rect">
                            <a:avLst/>
                          </a:prstGeom>
                          <a:noFill/>
                          <a:ln>
                            <a:noFill/>
                          </a:ln>
                        </pic:spPr>
                      </pic:pic>
                    </a:graphicData>
                  </a:graphic>
                </wp:anchor>
              </w:drawing>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b/>
                <w:bCs/>
                <w:color w:val="auto"/>
                <w:sz w:val="20"/>
                <w:szCs w:val="20"/>
              </w:rPr>
            </w:pP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184150" cy="256540"/>
                  <wp:effectExtent l="0" t="0" r="0" b="0"/>
                  <wp:wrapNone/>
                  <wp:docPr id="183" name="TextBox_29"/>
                  <wp:cNvGraphicFramePr/>
                  <a:graphic xmlns:a="http://schemas.openxmlformats.org/drawingml/2006/main">
                    <a:graphicData uri="http://schemas.openxmlformats.org/drawingml/2006/picture">
                      <pic:pic xmlns:pic="http://schemas.openxmlformats.org/drawingml/2006/picture">
                        <pic:nvPicPr>
                          <pic:cNvPr id="183" name="TextBox_2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184150" cy="256540"/>
                  <wp:effectExtent l="0" t="0" r="0" b="0"/>
                  <wp:wrapNone/>
                  <wp:docPr id="184" name="TextBox_92"/>
                  <wp:cNvGraphicFramePr/>
                  <a:graphic xmlns:a="http://schemas.openxmlformats.org/drawingml/2006/main">
                    <a:graphicData uri="http://schemas.openxmlformats.org/drawingml/2006/picture">
                      <pic:pic xmlns:pic="http://schemas.openxmlformats.org/drawingml/2006/picture">
                        <pic:nvPicPr>
                          <pic:cNvPr id="184" name="TextBox_9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184150" cy="256540"/>
                  <wp:effectExtent l="0" t="0" r="0" b="0"/>
                  <wp:wrapNone/>
                  <wp:docPr id="185" name="TextBox_91"/>
                  <wp:cNvGraphicFramePr/>
                  <a:graphic xmlns:a="http://schemas.openxmlformats.org/drawingml/2006/main">
                    <a:graphicData uri="http://schemas.openxmlformats.org/drawingml/2006/picture">
                      <pic:pic xmlns:pic="http://schemas.openxmlformats.org/drawingml/2006/picture">
                        <pic:nvPicPr>
                          <pic:cNvPr id="185" name="TextBox_9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184150" cy="256540"/>
                  <wp:effectExtent l="0" t="0" r="0" b="0"/>
                  <wp:wrapNone/>
                  <wp:docPr id="186" name="TextBox_39"/>
                  <wp:cNvGraphicFramePr/>
                  <a:graphic xmlns:a="http://schemas.openxmlformats.org/drawingml/2006/main">
                    <a:graphicData uri="http://schemas.openxmlformats.org/drawingml/2006/picture">
                      <pic:pic xmlns:pic="http://schemas.openxmlformats.org/drawingml/2006/picture">
                        <pic:nvPicPr>
                          <pic:cNvPr id="186" name="TextBox_3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84150" cy="256540"/>
                  <wp:effectExtent l="0" t="0" r="0" b="0"/>
                  <wp:wrapNone/>
                  <wp:docPr id="187" name="TextBox_38"/>
                  <wp:cNvGraphicFramePr/>
                  <a:graphic xmlns:a="http://schemas.openxmlformats.org/drawingml/2006/main">
                    <a:graphicData uri="http://schemas.openxmlformats.org/drawingml/2006/picture">
                      <pic:pic xmlns:pic="http://schemas.openxmlformats.org/drawingml/2006/picture">
                        <pic:nvPicPr>
                          <pic:cNvPr id="187" name="TextBox_3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184150" cy="256540"/>
                  <wp:effectExtent l="0" t="0" r="0" b="0"/>
                  <wp:wrapNone/>
                  <wp:docPr id="188" name="TextBox_37"/>
                  <wp:cNvGraphicFramePr/>
                  <a:graphic xmlns:a="http://schemas.openxmlformats.org/drawingml/2006/main">
                    <a:graphicData uri="http://schemas.openxmlformats.org/drawingml/2006/picture">
                      <pic:pic xmlns:pic="http://schemas.openxmlformats.org/drawingml/2006/picture">
                        <pic:nvPicPr>
                          <pic:cNvPr id="188" name="TextBox_3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184150" cy="256540"/>
                  <wp:effectExtent l="0" t="0" r="0" b="0"/>
                  <wp:wrapNone/>
                  <wp:docPr id="189" name="TextBox_28"/>
                  <wp:cNvGraphicFramePr/>
                  <a:graphic xmlns:a="http://schemas.openxmlformats.org/drawingml/2006/main">
                    <a:graphicData uri="http://schemas.openxmlformats.org/drawingml/2006/picture">
                      <pic:pic xmlns:pic="http://schemas.openxmlformats.org/drawingml/2006/picture">
                        <pic:nvPicPr>
                          <pic:cNvPr id="189" name="TextBox_2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184150" cy="269240"/>
                  <wp:effectExtent l="0" t="0" r="0" b="0"/>
                  <wp:wrapNone/>
                  <wp:docPr id="190" name="TextBox_35"/>
                  <wp:cNvGraphicFramePr/>
                  <a:graphic xmlns:a="http://schemas.openxmlformats.org/drawingml/2006/main">
                    <a:graphicData uri="http://schemas.openxmlformats.org/drawingml/2006/picture">
                      <pic:pic xmlns:pic="http://schemas.openxmlformats.org/drawingml/2006/picture">
                        <pic:nvPicPr>
                          <pic:cNvPr id="190" name="TextBox_3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184150" cy="269240"/>
                  <wp:effectExtent l="0" t="0" r="0" b="0"/>
                  <wp:wrapNone/>
                  <wp:docPr id="191" name="TextBox_23"/>
                  <wp:cNvGraphicFramePr/>
                  <a:graphic xmlns:a="http://schemas.openxmlformats.org/drawingml/2006/main">
                    <a:graphicData uri="http://schemas.openxmlformats.org/drawingml/2006/picture">
                      <pic:pic xmlns:pic="http://schemas.openxmlformats.org/drawingml/2006/picture">
                        <pic:nvPicPr>
                          <pic:cNvPr id="191" name="TextBox_2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184150" cy="269240"/>
                  <wp:effectExtent l="0" t="0" r="0" b="0"/>
                  <wp:wrapNone/>
                  <wp:docPr id="192" name="TextBox_34"/>
                  <wp:cNvGraphicFramePr/>
                  <a:graphic xmlns:a="http://schemas.openxmlformats.org/drawingml/2006/main">
                    <a:graphicData uri="http://schemas.openxmlformats.org/drawingml/2006/picture">
                      <pic:pic xmlns:pic="http://schemas.openxmlformats.org/drawingml/2006/picture">
                        <pic:nvPicPr>
                          <pic:cNvPr id="192" name="TextBox_3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184150" cy="269240"/>
                  <wp:effectExtent l="0" t="0" r="0" b="0"/>
                  <wp:wrapNone/>
                  <wp:docPr id="193" name="TextBox_36"/>
                  <wp:cNvGraphicFramePr/>
                  <a:graphic xmlns:a="http://schemas.openxmlformats.org/drawingml/2006/main">
                    <a:graphicData uri="http://schemas.openxmlformats.org/drawingml/2006/picture">
                      <pic:pic xmlns:pic="http://schemas.openxmlformats.org/drawingml/2006/picture">
                        <pic:nvPicPr>
                          <pic:cNvPr id="193" name="TextBox_3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184150" cy="269240"/>
                  <wp:effectExtent l="0" t="0" r="0" b="0"/>
                  <wp:wrapNone/>
                  <wp:docPr id="194" name="TextBox_88"/>
                  <wp:cNvGraphicFramePr/>
                  <a:graphic xmlns:a="http://schemas.openxmlformats.org/drawingml/2006/main">
                    <a:graphicData uri="http://schemas.openxmlformats.org/drawingml/2006/picture">
                      <pic:pic xmlns:pic="http://schemas.openxmlformats.org/drawingml/2006/picture">
                        <pic:nvPicPr>
                          <pic:cNvPr id="194" name="TextBox_8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184150" cy="269240"/>
                  <wp:effectExtent l="0" t="0" r="0" b="0"/>
                  <wp:wrapNone/>
                  <wp:docPr id="195" name="TextBox_87"/>
                  <wp:cNvGraphicFramePr/>
                  <a:graphic xmlns:a="http://schemas.openxmlformats.org/drawingml/2006/main">
                    <a:graphicData uri="http://schemas.openxmlformats.org/drawingml/2006/picture">
                      <pic:pic xmlns:pic="http://schemas.openxmlformats.org/drawingml/2006/picture">
                        <pic:nvPicPr>
                          <pic:cNvPr id="195" name="TextBox_8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184150" cy="256540"/>
                  <wp:effectExtent l="0" t="0" r="0" b="0"/>
                  <wp:wrapNone/>
                  <wp:docPr id="196" name="TextBox_31"/>
                  <wp:cNvGraphicFramePr/>
                  <a:graphic xmlns:a="http://schemas.openxmlformats.org/drawingml/2006/main">
                    <a:graphicData uri="http://schemas.openxmlformats.org/drawingml/2006/picture">
                      <pic:pic xmlns:pic="http://schemas.openxmlformats.org/drawingml/2006/picture">
                        <pic:nvPicPr>
                          <pic:cNvPr id="196" name="TextBox_3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184150" cy="256540"/>
                  <wp:effectExtent l="0" t="0" r="0" b="0"/>
                  <wp:wrapNone/>
                  <wp:docPr id="197" name="TextBox_41"/>
                  <wp:cNvGraphicFramePr/>
                  <a:graphic xmlns:a="http://schemas.openxmlformats.org/drawingml/2006/main">
                    <a:graphicData uri="http://schemas.openxmlformats.org/drawingml/2006/picture">
                      <pic:pic xmlns:pic="http://schemas.openxmlformats.org/drawingml/2006/picture">
                        <pic:nvPicPr>
                          <pic:cNvPr id="197" name="TextBox_4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184150" cy="269240"/>
                  <wp:effectExtent l="0" t="0" r="0" b="0"/>
                  <wp:wrapNone/>
                  <wp:docPr id="198" name="TextBox_26"/>
                  <wp:cNvGraphicFramePr/>
                  <a:graphic xmlns:a="http://schemas.openxmlformats.org/drawingml/2006/main">
                    <a:graphicData uri="http://schemas.openxmlformats.org/drawingml/2006/picture">
                      <pic:pic xmlns:pic="http://schemas.openxmlformats.org/drawingml/2006/picture">
                        <pic:nvPicPr>
                          <pic:cNvPr id="198" name="TextBox_2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184150" cy="256540"/>
                  <wp:effectExtent l="0" t="0" r="0" b="0"/>
                  <wp:wrapNone/>
                  <wp:docPr id="199" name="TextBox_103"/>
                  <wp:cNvGraphicFramePr/>
                  <a:graphic xmlns:a="http://schemas.openxmlformats.org/drawingml/2006/main">
                    <a:graphicData uri="http://schemas.openxmlformats.org/drawingml/2006/picture">
                      <pic:pic xmlns:pic="http://schemas.openxmlformats.org/drawingml/2006/picture">
                        <pic:nvPicPr>
                          <pic:cNvPr id="199" name="TextBox_10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184150" cy="256540"/>
                  <wp:effectExtent l="0" t="0" r="0" b="0"/>
                  <wp:wrapNone/>
                  <wp:docPr id="200" name="TextBox_102"/>
                  <wp:cNvGraphicFramePr/>
                  <a:graphic xmlns:a="http://schemas.openxmlformats.org/drawingml/2006/main">
                    <a:graphicData uri="http://schemas.openxmlformats.org/drawingml/2006/picture">
                      <pic:pic xmlns:pic="http://schemas.openxmlformats.org/drawingml/2006/picture">
                        <pic:nvPicPr>
                          <pic:cNvPr id="200" name="TextBox_10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184150" cy="256540"/>
                  <wp:effectExtent l="0" t="0" r="0" b="0"/>
                  <wp:wrapNone/>
                  <wp:docPr id="201" name="TextBox_30"/>
                  <wp:cNvGraphicFramePr/>
                  <a:graphic xmlns:a="http://schemas.openxmlformats.org/drawingml/2006/main">
                    <a:graphicData uri="http://schemas.openxmlformats.org/drawingml/2006/picture">
                      <pic:pic xmlns:pic="http://schemas.openxmlformats.org/drawingml/2006/picture">
                        <pic:nvPicPr>
                          <pic:cNvPr id="201" name="TextBox_3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184150" cy="269240"/>
                  <wp:effectExtent l="0" t="0" r="0" b="0"/>
                  <wp:wrapNone/>
                  <wp:docPr id="202" name="TextBox_25"/>
                  <wp:cNvGraphicFramePr/>
                  <a:graphic xmlns:a="http://schemas.openxmlformats.org/drawingml/2006/main">
                    <a:graphicData uri="http://schemas.openxmlformats.org/drawingml/2006/picture">
                      <pic:pic xmlns:pic="http://schemas.openxmlformats.org/drawingml/2006/picture">
                        <pic:nvPicPr>
                          <pic:cNvPr id="202" name="TextBox_2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184150" cy="269240"/>
                  <wp:effectExtent l="0" t="0" r="0" b="0"/>
                  <wp:wrapNone/>
                  <wp:docPr id="203" name="TextBox_98"/>
                  <wp:cNvGraphicFramePr/>
                  <a:graphic xmlns:a="http://schemas.openxmlformats.org/drawingml/2006/main">
                    <a:graphicData uri="http://schemas.openxmlformats.org/drawingml/2006/picture">
                      <pic:pic xmlns:pic="http://schemas.openxmlformats.org/drawingml/2006/picture">
                        <pic:nvPicPr>
                          <pic:cNvPr id="203" name="TextBox_9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184150" cy="269240"/>
                  <wp:effectExtent l="0" t="0" r="0" b="0"/>
                  <wp:wrapNone/>
                  <wp:docPr id="204" name="TextBox_97"/>
                  <wp:cNvGraphicFramePr/>
                  <a:graphic xmlns:a="http://schemas.openxmlformats.org/drawingml/2006/main">
                    <a:graphicData uri="http://schemas.openxmlformats.org/drawingml/2006/picture">
                      <pic:pic xmlns:pic="http://schemas.openxmlformats.org/drawingml/2006/picture">
                        <pic:nvPicPr>
                          <pic:cNvPr id="204" name="TextBox_9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184150" cy="269240"/>
                  <wp:effectExtent l="0" t="0" r="0" b="0"/>
                  <wp:wrapNone/>
                  <wp:docPr id="205" name="TextBox_24"/>
                  <wp:cNvGraphicFramePr/>
                  <a:graphic xmlns:a="http://schemas.openxmlformats.org/drawingml/2006/main">
                    <a:graphicData uri="http://schemas.openxmlformats.org/drawingml/2006/picture">
                      <pic:pic xmlns:pic="http://schemas.openxmlformats.org/drawingml/2006/picture">
                        <pic:nvPicPr>
                          <pic:cNvPr id="205" name="TextBox_2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184150" cy="269240"/>
                  <wp:effectExtent l="0" t="0" r="0" b="0"/>
                  <wp:wrapNone/>
                  <wp:docPr id="206" name="TextBox_96"/>
                  <wp:cNvGraphicFramePr/>
                  <a:graphic xmlns:a="http://schemas.openxmlformats.org/drawingml/2006/main">
                    <a:graphicData uri="http://schemas.openxmlformats.org/drawingml/2006/picture">
                      <pic:pic xmlns:pic="http://schemas.openxmlformats.org/drawingml/2006/picture">
                        <pic:nvPicPr>
                          <pic:cNvPr id="206" name="TextBox_9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184150" cy="269240"/>
                  <wp:effectExtent l="0" t="0" r="0" b="0"/>
                  <wp:wrapNone/>
                  <wp:docPr id="207" name="TextBox_95"/>
                  <wp:cNvGraphicFramePr/>
                  <a:graphic xmlns:a="http://schemas.openxmlformats.org/drawingml/2006/main">
                    <a:graphicData uri="http://schemas.openxmlformats.org/drawingml/2006/picture">
                      <pic:pic xmlns:pic="http://schemas.openxmlformats.org/drawingml/2006/picture">
                        <pic:nvPicPr>
                          <pic:cNvPr id="207" name="TextBox_9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184150" cy="269240"/>
                  <wp:effectExtent l="0" t="0" r="0" b="0"/>
                  <wp:wrapNone/>
                  <wp:docPr id="208" name="TextBox_94"/>
                  <wp:cNvGraphicFramePr/>
                  <a:graphic xmlns:a="http://schemas.openxmlformats.org/drawingml/2006/main">
                    <a:graphicData uri="http://schemas.openxmlformats.org/drawingml/2006/picture">
                      <pic:pic xmlns:pic="http://schemas.openxmlformats.org/drawingml/2006/picture">
                        <pic:nvPicPr>
                          <pic:cNvPr id="208" name="TextBox_9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184150" cy="256540"/>
                  <wp:effectExtent l="0" t="0" r="0" b="0"/>
                  <wp:wrapNone/>
                  <wp:docPr id="209" name="TextBox_93"/>
                  <wp:cNvGraphicFramePr/>
                  <a:graphic xmlns:a="http://schemas.openxmlformats.org/drawingml/2006/main">
                    <a:graphicData uri="http://schemas.openxmlformats.org/drawingml/2006/picture">
                      <pic:pic xmlns:pic="http://schemas.openxmlformats.org/drawingml/2006/picture">
                        <pic:nvPicPr>
                          <pic:cNvPr id="209" name="TextBox_9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184150" cy="269240"/>
                  <wp:effectExtent l="0" t="0" r="0" b="0"/>
                  <wp:wrapNone/>
                  <wp:docPr id="210" name="TextBox_32"/>
                  <wp:cNvGraphicFramePr/>
                  <a:graphic xmlns:a="http://schemas.openxmlformats.org/drawingml/2006/main">
                    <a:graphicData uri="http://schemas.openxmlformats.org/drawingml/2006/picture">
                      <pic:pic xmlns:pic="http://schemas.openxmlformats.org/drawingml/2006/picture">
                        <pic:nvPicPr>
                          <pic:cNvPr id="210" name="TextBox_3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184150" cy="256540"/>
                  <wp:effectExtent l="0" t="0" r="0" b="0"/>
                  <wp:wrapNone/>
                  <wp:docPr id="211" name="TextBox_90"/>
                  <wp:cNvGraphicFramePr/>
                  <a:graphic xmlns:a="http://schemas.openxmlformats.org/drawingml/2006/main">
                    <a:graphicData uri="http://schemas.openxmlformats.org/drawingml/2006/picture">
                      <pic:pic xmlns:pic="http://schemas.openxmlformats.org/drawingml/2006/picture">
                        <pic:nvPicPr>
                          <pic:cNvPr id="211" name="TextBox_9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184150" cy="256540"/>
                  <wp:effectExtent l="0" t="0" r="0" b="0"/>
                  <wp:wrapNone/>
                  <wp:docPr id="212" name="TextBox_89"/>
                  <wp:cNvGraphicFramePr/>
                  <a:graphic xmlns:a="http://schemas.openxmlformats.org/drawingml/2006/main">
                    <a:graphicData uri="http://schemas.openxmlformats.org/drawingml/2006/picture">
                      <pic:pic xmlns:pic="http://schemas.openxmlformats.org/drawingml/2006/picture">
                        <pic:nvPicPr>
                          <pic:cNvPr id="212" name="TextBox_8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184150" cy="269240"/>
                  <wp:effectExtent l="0" t="0" r="0" b="0"/>
                  <wp:wrapNone/>
                  <wp:docPr id="213" name="TextBox_22"/>
                  <wp:cNvGraphicFramePr/>
                  <a:graphic xmlns:a="http://schemas.openxmlformats.org/drawingml/2006/main">
                    <a:graphicData uri="http://schemas.openxmlformats.org/drawingml/2006/picture">
                      <pic:pic xmlns:pic="http://schemas.openxmlformats.org/drawingml/2006/picture">
                        <pic:nvPicPr>
                          <pic:cNvPr id="213" name="TextBox_2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184150" cy="256540"/>
                  <wp:effectExtent l="0" t="0" r="0" b="0"/>
                  <wp:wrapNone/>
                  <wp:docPr id="214" name="TextBox_99"/>
                  <wp:cNvGraphicFramePr/>
                  <a:graphic xmlns:a="http://schemas.openxmlformats.org/drawingml/2006/main">
                    <a:graphicData uri="http://schemas.openxmlformats.org/drawingml/2006/picture">
                      <pic:pic xmlns:pic="http://schemas.openxmlformats.org/drawingml/2006/picture">
                        <pic:nvPicPr>
                          <pic:cNvPr id="214" name="TextBox_9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184150" cy="256540"/>
                  <wp:effectExtent l="0" t="0" r="0" b="0"/>
                  <wp:wrapNone/>
                  <wp:docPr id="215" name="TextBox_100"/>
                  <wp:cNvGraphicFramePr/>
                  <a:graphic xmlns:a="http://schemas.openxmlformats.org/drawingml/2006/main">
                    <a:graphicData uri="http://schemas.openxmlformats.org/drawingml/2006/picture">
                      <pic:pic xmlns:pic="http://schemas.openxmlformats.org/drawingml/2006/picture">
                        <pic:nvPicPr>
                          <pic:cNvPr id="215" name="TextBox_10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184150" cy="269240"/>
                  <wp:effectExtent l="0" t="0" r="0" b="0"/>
                  <wp:wrapNone/>
                  <wp:docPr id="216" name="TextBox_86"/>
                  <wp:cNvGraphicFramePr/>
                  <a:graphic xmlns:a="http://schemas.openxmlformats.org/drawingml/2006/main">
                    <a:graphicData uri="http://schemas.openxmlformats.org/drawingml/2006/picture">
                      <pic:pic xmlns:pic="http://schemas.openxmlformats.org/drawingml/2006/picture">
                        <pic:nvPicPr>
                          <pic:cNvPr id="216" name="TextBox_8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184150" cy="269240"/>
                  <wp:effectExtent l="0" t="0" r="0" b="0"/>
                  <wp:wrapNone/>
                  <wp:docPr id="217" name="TextBox_85"/>
                  <wp:cNvGraphicFramePr/>
                  <a:graphic xmlns:a="http://schemas.openxmlformats.org/drawingml/2006/main">
                    <a:graphicData uri="http://schemas.openxmlformats.org/drawingml/2006/picture">
                      <pic:pic xmlns:pic="http://schemas.openxmlformats.org/drawingml/2006/picture">
                        <pic:nvPicPr>
                          <pic:cNvPr id="217" name="TextBox_8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184150" cy="269240"/>
                  <wp:effectExtent l="0" t="0" r="0" b="0"/>
                  <wp:wrapNone/>
                  <wp:docPr id="218" name="TextBox_84"/>
                  <wp:cNvGraphicFramePr/>
                  <a:graphic xmlns:a="http://schemas.openxmlformats.org/drawingml/2006/main">
                    <a:graphicData uri="http://schemas.openxmlformats.org/drawingml/2006/picture">
                      <pic:pic xmlns:pic="http://schemas.openxmlformats.org/drawingml/2006/picture">
                        <pic:nvPicPr>
                          <pic:cNvPr id="218" name="TextBox_8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184150" cy="256540"/>
                  <wp:effectExtent l="0" t="0" r="0" b="0"/>
                  <wp:wrapNone/>
                  <wp:docPr id="219" name="TextBox_40"/>
                  <wp:cNvGraphicFramePr/>
                  <a:graphic xmlns:a="http://schemas.openxmlformats.org/drawingml/2006/main">
                    <a:graphicData uri="http://schemas.openxmlformats.org/drawingml/2006/picture">
                      <pic:pic xmlns:pic="http://schemas.openxmlformats.org/drawingml/2006/picture">
                        <pic:nvPicPr>
                          <pic:cNvPr id="219" name="TextBox_4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184150" cy="256540"/>
                  <wp:effectExtent l="0" t="0" r="0" b="0"/>
                  <wp:wrapNone/>
                  <wp:docPr id="220" name="TextBox_27"/>
                  <wp:cNvGraphicFramePr/>
                  <a:graphic xmlns:a="http://schemas.openxmlformats.org/drawingml/2006/main">
                    <a:graphicData uri="http://schemas.openxmlformats.org/drawingml/2006/picture">
                      <pic:pic xmlns:pic="http://schemas.openxmlformats.org/drawingml/2006/picture">
                        <pic:nvPicPr>
                          <pic:cNvPr id="220" name="TextBox_2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184150" cy="269240"/>
                  <wp:effectExtent l="0" t="0" r="0" b="0"/>
                  <wp:wrapNone/>
                  <wp:docPr id="221" name="TextBox_33"/>
                  <wp:cNvGraphicFramePr/>
                  <a:graphic xmlns:a="http://schemas.openxmlformats.org/drawingml/2006/main">
                    <a:graphicData uri="http://schemas.openxmlformats.org/drawingml/2006/picture">
                      <pic:pic xmlns:pic="http://schemas.openxmlformats.org/drawingml/2006/picture">
                        <pic:nvPicPr>
                          <pic:cNvPr id="221" name="TextBox_3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184150" cy="256540"/>
                  <wp:effectExtent l="0" t="0" r="0" b="0"/>
                  <wp:wrapNone/>
                  <wp:docPr id="222" name="TextBox_101"/>
                  <wp:cNvGraphicFramePr/>
                  <a:graphic xmlns:a="http://schemas.openxmlformats.org/drawingml/2006/main">
                    <a:graphicData uri="http://schemas.openxmlformats.org/drawingml/2006/picture">
                      <pic:pic xmlns:pic="http://schemas.openxmlformats.org/drawingml/2006/picture">
                        <pic:nvPicPr>
                          <pic:cNvPr id="222" name="TextBox_101"/>
                          <pic:cNvPicPr/>
                        </pic:nvPicPr>
                        <pic:blipFill>
                          <a:blip r:embed="rId18"/>
                          <a:stretch>
                            <a:fillRect/>
                          </a:stretch>
                        </pic:blipFill>
                        <pic:spPr>
                          <a:xfrm>
                            <a:off x="0" y="0"/>
                            <a:ext cx="184150" cy="256540"/>
                          </a:xfrm>
                          <a:prstGeom prst="rect">
                            <a:avLst/>
                          </a:prstGeom>
                          <a:noFill/>
                          <a:ln>
                            <a:noFill/>
                          </a:ln>
                        </pic:spPr>
                      </pic:pic>
                    </a:graphicData>
                  </a:graphic>
                </wp:anchor>
              </w:drawing>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color w:val="auto"/>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bdr w:val="single" w:color="000000" w:sz="4" w:space="0"/>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184150" cy="269240"/>
                  <wp:effectExtent l="0" t="0" r="0" b="0"/>
                  <wp:wrapNone/>
                  <wp:docPr id="262" name="TextBox_6_SpCnt_3"/>
                  <wp:cNvGraphicFramePr/>
                  <a:graphic xmlns:a="http://schemas.openxmlformats.org/drawingml/2006/main">
                    <a:graphicData uri="http://schemas.openxmlformats.org/drawingml/2006/picture">
                      <pic:pic xmlns:pic="http://schemas.openxmlformats.org/drawingml/2006/picture">
                        <pic:nvPicPr>
                          <pic:cNvPr id="262" name="TextBox_6_SpCnt_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184150" cy="269240"/>
                  <wp:effectExtent l="0" t="0" r="0" b="0"/>
                  <wp:wrapNone/>
                  <wp:docPr id="263" name="TextBox_3_SpCnt_3"/>
                  <wp:cNvGraphicFramePr/>
                  <a:graphic xmlns:a="http://schemas.openxmlformats.org/drawingml/2006/main">
                    <a:graphicData uri="http://schemas.openxmlformats.org/drawingml/2006/picture">
                      <pic:pic xmlns:pic="http://schemas.openxmlformats.org/drawingml/2006/picture">
                        <pic:nvPicPr>
                          <pic:cNvPr id="263" name="TextBox_3_SpCnt_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184150" cy="256540"/>
                  <wp:effectExtent l="0" t="0" r="0" b="0"/>
                  <wp:wrapNone/>
                  <wp:docPr id="264" name="TextBox_8_SpCnt_3"/>
                  <wp:cNvGraphicFramePr/>
                  <a:graphic xmlns:a="http://schemas.openxmlformats.org/drawingml/2006/main">
                    <a:graphicData uri="http://schemas.openxmlformats.org/drawingml/2006/picture">
                      <pic:pic xmlns:pic="http://schemas.openxmlformats.org/drawingml/2006/picture">
                        <pic:nvPicPr>
                          <pic:cNvPr id="264" name="TextBox_8_SpCnt_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184150" cy="256540"/>
                  <wp:effectExtent l="0" t="0" r="0" b="0"/>
                  <wp:wrapNone/>
                  <wp:docPr id="265" name="TextBox_9_SpCnt_3"/>
                  <wp:cNvGraphicFramePr/>
                  <a:graphic xmlns:a="http://schemas.openxmlformats.org/drawingml/2006/main">
                    <a:graphicData uri="http://schemas.openxmlformats.org/drawingml/2006/picture">
                      <pic:pic xmlns:pic="http://schemas.openxmlformats.org/drawingml/2006/picture">
                        <pic:nvPicPr>
                          <pic:cNvPr id="265" name="TextBox_9_SpCnt_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184150" cy="256540"/>
                  <wp:effectExtent l="0" t="0" r="0" b="0"/>
                  <wp:wrapNone/>
                  <wp:docPr id="266" name="TextBox_7_SpCnt_3"/>
                  <wp:cNvGraphicFramePr/>
                  <a:graphic xmlns:a="http://schemas.openxmlformats.org/drawingml/2006/main">
                    <a:graphicData uri="http://schemas.openxmlformats.org/drawingml/2006/picture">
                      <pic:pic xmlns:pic="http://schemas.openxmlformats.org/drawingml/2006/picture">
                        <pic:nvPicPr>
                          <pic:cNvPr id="266" name="TextBox_7_SpCnt_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184150" cy="256540"/>
                  <wp:effectExtent l="0" t="0" r="0" b="0"/>
                  <wp:wrapNone/>
                  <wp:docPr id="267" name="TextBox_11_SpCnt_3"/>
                  <wp:cNvGraphicFramePr/>
                  <a:graphic xmlns:a="http://schemas.openxmlformats.org/drawingml/2006/main">
                    <a:graphicData uri="http://schemas.openxmlformats.org/drawingml/2006/picture">
                      <pic:pic xmlns:pic="http://schemas.openxmlformats.org/drawingml/2006/picture">
                        <pic:nvPicPr>
                          <pic:cNvPr id="267" name="TextBox_11_SpCnt_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184150" cy="256540"/>
                  <wp:effectExtent l="0" t="0" r="0" b="0"/>
                  <wp:wrapNone/>
                  <wp:docPr id="268" name="TextBox_10_SpCnt_3"/>
                  <wp:cNvGraphicFramePr/>
                  <a:graphic xmlns:a="http://schemas.openxmlformats.org/drawingml/2006/main">
                    <a:graphicData uri="http://schemas.openxmlformats.org/drawingml/2006/picture">
                      <pic:pic xmlns:pic="http://schemas.openxmlformats.org/drawingml/2006/picture">
                        <pic:nvPicPr>
                          <pic:cNvPr id="268" name="TextBox_10_SpCnt_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184150" cy="269240"/>
                  <wp:effectExtent l="0" t="0" r="0" b="0"/>
                  <wp:wrapNone/>
                  <wp:docPr id="269" name="TextBox_2_SpCnt_3"/>
                  <wp:cNvGraphicFramePr/>
                  <a:graphic xmlns:a="http://schemas.openxmlformats.org/drawingml/2006/main">
                    <a:graphicData uri="http://schemas.openxmlformats.org/drawingml/2006/picture">
                      <pic:pic xmlns:pic="http://schemas.openxmlformats.org/drawingml/2006/picture">
                        <pic:nvPicPr>
                          <pic:cNvPr id="269" name="TextBox_2_SpCnt_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184150" cy="269240"/>
                  <wp:effectExtent l="0" t="0" r="0" b="0"/>
                  <wp:wrapNone/>
                  <wp:docPr id="270" name="TextBox_5_SpCnt_3"/>
                  <wp:cNvGraphicFramePr/>
                  <a:graphic xmlns:a="http://schemas.openxmlformats.org/drawingml/2006/main">
                    <a:graphicData uri="http://schemas.openxmlformats.org/drawingml/2006/picture">
                      <pic:pic xmlns:pic="http://schemas.openxmlformats.org/drawingml/2006/picture">
                        <pic:nvPicPr>
                          <pic:cNvPr id="270" name="TextBox_5_SpCnt_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184150" cy="269240"/>
                  <wp:effectExtent l="0" t="0" r="0" b="0"/>
                  <wp:wrapNone/>
                  <wp:docPr id="271" name="TextBox_4_SpCnt_3"/>
                  <wp:cNvGraphicFramePr/>
                  <a:graphic xmlns:a="http://schemas.openxmlformats.org/drawingml/2006/main">
                    <a:graphicData uri="http://schemas.openxmlformats.org/drawingml/2006/picture">
                      <pic:pic xmlns:pic="http://schemas.openxmlformats.org/drawingml/2006/picture">
                        <pic:nvPicPr>
                          <pic:cNvPr id="271" name="TextBox_4_SpCnt_3"/>
                          <pic:cNvPicPr/>
                        </pic:nvPicPr>
                        <pic:blipFill>
                          <a:blip r:embed="rId17"/>
                          <a:stretch>
                            <a:fillRect/>
                          </a:stretch>
                        </pic:blipFill>
                        <pic:spPr>
                          <a:xfrm>
                            <a:off x="0" y="0"/>
                            <a:ext cx="184150" cy="2692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8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变更</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500KVA</w:t>
            </w:r>
            <w:r>
              <w:rPr>
                <w:rStyle w:val="46"/>
                <w:rFonts w:hint="default"/>
                <w:color w:val="auto"/>
                <w:lang w:bidi="ar"/>
              </w:rPr>
              <w:t>主机，配置</w:t>
            </w:r>
            <w:r>
              <w:rPr>
                <w:rStyle w:val="43"/>
                <w:rFonts w:eastAsia="宋体"/>
                <w:color w:val="auto"/>
                <w:lang w:bidi="ar"/>
              </w:rPr>
              <w:t>400KVA</w:t>
            </w:r>
            <w:r>
              <w:rPr>
                <w:rStyle w:val="46"/>
                <w:rFonts w:hint="default"/>
                <w:color w:val="auto"/>
                <w:lang w:bidi="ar"/>
              </w:rPr>
              <w:t>以上模块</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UPS5000-E-500K-SM</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华为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-2</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高配总空开不够，变更成4台200KVA主机</w:t>
            </w:r>
          </w:p>
        </w:tc>
      </w:tr>
      <w:tr>
        <w:tblPrEx>
          <w:tblCellMar>
            <w:top w:w="0" w:type="dxa"/>
            <w:left w:w="108" w:type="dxa"/>
            <w:bottom w:w="0" w:type="dxa"/>
            <w:right w:w="108" w:type="dxa"/>
          </w:tblCellMar>
        </w:tblPrEx>
        <w:trPr>
          <w:trHeight w:val="5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0"/>
                <w:szCs w:val="20"/>
              </w:rPr>
            </w:pP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200KVA</w:t>
            </w:r>
            <w:r>
              <w:rPr>
                <w:rStyle w:val="46"/>
                <w:rFonts w:hint="default"/>
                <w:color w:val="auto"/>
                <w:lang w:bidi="ar"/>
              </w:rPr>
              <w:t>主机，配置</w:t>
            </w:r>
            <w:r>
              <w:rPr>
                <w:rStyle w:val="43"/>
                <w:rFonts w:eastAsia="宋体"/>
                <w:color w:val="auto"/>
                <w:lang w:bidi="ar"/>
              </w:rPr>
              <w:t>200KVA</w:t>
            </w:r>
            <w:r>
              <w:rPr>
                <w:rStyle w:val="46"/>
                <w:rFonts w:hint="default"/>
                <w:color w:val="auto"/>
                <w:lang w:bidi="ar"/>
              </w:rPr>
              <w:t>以上模块</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UPS5000-E-200K-SM</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华为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4</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直流汇流箱</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4</w:t>
            </w:r>
            <w:r>
              <w:rPr>
                <w:rStyle w:val="46"/>
                <w:rFonts w:hint="default"/>
                <w:color w:val="auto"/>
                <w:lang w:bidi="ar"/>
              </w:rPr>
              <w:t>个</w:t>
            </w:r>
            <w:r>
              <w:rPr>
                <w:rStyle w:val="43"/>
                <w:rFonts w:eastAsia="宋体"/>
                <w:color w:val="auto"/>
                <w:lang w:bidi="ar"/>
              </w:rPr>
              <w:t>400A</w:t>
            </w:r>
            <w:r>
              <w:rPr>
                <w:rStyle w:val="46"/>
                <w:rFonts w:hint="default"/>
                <w:color w:val="auto"/>
                <w:lang w:bidi="ar"/>
              </w:rPr>
              <w:t>直流分空开</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订制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华为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Style w:val="47"/>
                <w:rFonts w:hint="default"/>
                <w:color w:val="auto"/>
                <w:lang w:bidi="ar"/>
              </w:rPr>
              <w:t>增加</w:t>
            </w:r>
            <w:r>
              <w:rPr>
                <w:rStyle w:val="42"/>
                <w:rFonts w:eastAsia="宋体"/>
                <w:color w:val="auto"/>
                <w:lang w:bidi="ar"/>
              </w:rPr>
              <w:t>2</w:t>
            </w:r>
            <w:r>
              <w:rPr>
                <w:rStyle w:val="47"/>
                <w:rFonts w:hint="default"/>
                <w:color w:val="auto"/>
                <w:lang w:bidi="ar"/>
              </w:rPr>
              <w:t>套</w:t>
            </w:r>
          </w:p>
        </w:tc>
      </w:tr>
      <w:tr>
        <w:tblPrEx>
          <w:tblCellMar>
            <w:top w:w="0" w:type="dxa"/>
            <w:left w:w="108" w:type="dxa"/>
            <w:bottom w:w="0" w:type="dxa"/>
            <w:right w:w="108" w:type="dxa"/>
          </w:tblCellMar>
        </w:tblPrEx>
        <w:trPr>
          <w:trHeight w:val="58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电池线</w:t>
            </w:r>
          </w:p>
        </w:tc>
        <w:tc>
          <w:tcPr>
            <w:tcW w:w="4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auto"/>
                <w:sz w:val="18"/>
                <w:szCs w:val="18"/>
              </w:rPr>
            </w:pP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BVR300MM2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万马</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M</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520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Style w:val="47"/>
                <w:rFonts w:hint="default"/>
                <w:color w:val="auto"/>
                <w:lang w:bidi="ar"/>
              </w:rPr>
              <w:t>主机数量变更，华为设备需</w:t>
            </w:r>
            <w:r>
              <w:rPr>
                <w:rStyle w:val="42"/>
                <w:rFonts w:eastAsia="宋体"/>
                <w:color w:val="auto"/>
                <w:lang w:bidi="ar"/>
              </w:rPr>
              <w:t>3</w:t>
            </w:r>
            <w:r>
              <w:rPr>
                <w:rStyle w:val="47"/>
                <w:rFonts w:hint="default"/>
                <w:color w:val="auto"/>
                <w:lang w:bidi="ar"/>
              </w:rPr>
              <w:t>条电池线</w:t>
            </w:r>
          </w:p>
        </w:tc>
      </w:tr>
      <w:tr>
        <w:tblPrEx>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4"/>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auto"/>
                <w:sz w:val="24"/>
              </w:rPr>
            </w:pP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18"/>
                <w:szCs w:val="18"/>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b/>
                <w:bCs/>
                <w:color w:val="auto"/>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b/>
                <w:bCs/>
                <w:color w:val="auto"/>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0"/>
                <w:szCs w:val="20"/>
              </w:rPr>
            </w:pPr>
          </w:p>
        </w:tc>
      </w:tr>
    </w:tbl>
    <w:p>
      <w:pPr>
        <w:pStyle w:val="5"/>
        <w:rPr>
          <w:color w:val="auto"/>
        </w:rPr>
      </w:pPr>
      <w:r>
        <w:rPr>
          <w:rFonts w:hint="eastAsia"/>
          <w:color w:val="auto"/>
        </w:rPr>
        <w:t>4</w:t>
      </w:r>
      <w:r>
        <w:rPr>
          <w:color w:val="auto"/>
        </w:rPr>
        <w:t>.</w:t>
      </w:r>
      <w:r>
        <w:rPr>
          <w:rFonts w:hint="eastAsia"/>
          <w:color w:val="auto"/>
        </w:rPr>
        <w:t>原报价清单</w:t>
      </w:r>
    </w:p>
    <w:tbl>
      <w:tblPr>
        <w:tblStyle w:val="18"/>
        <w:tblW w:w="5728" w:type="pct"/>
        <w:jc w:val="center"/>
        <w:tblLayout w:type="fixed"/>
        <w:tblCellMar>
          <w:top w:w="0" w:type="dxa"/>
          <w:left w:w="0" w:type="dxa"/>
          <w:bottom w:w="0" w:type="dxa"/>
          <w:right w:w="0" w:type="dxa"/>
        </w:tblCellMar>
      </w:tblPr>
      <w:tblGrid>
        <w:gridCol w:w="533"/>
        <w:gridCol w:w="2074"/>
        <w:gridCol w:w="5894"/>
        <w:gridCol w:w="1335"/>
        <w:gridCol w:w="921"/>
        <w:gridCol w:w="855"/>
        <w:gridCol w:w="984"/>
        <w:gridCol w:w="1318"/>
        <w:gridCol w:w="2112"/>
      </w:tblGrid>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序号</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名称</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规格</w:t>
            </w:r>
            <w:r>
              <w:rPr>
                <w:rStyle w:val="43"/>
                <w:rFonts w:eastAsia="宋体"/>
                <w:color w:val="auto"/>
                <w:sz w:val="21"/>
                <w:szCs w:val="21"/>
                <w:lang w:bidi="ar"/>
              </w:rPr>
              <w:t>/</w:t>
            </w:r>
            <w:r>
              <w:rPr>
                <w:rFonts w:hint="eastAsia" w:ascii="宋体" w:hAnsi="宋体" w:eastAsia="宋体" w:cs="宋体"/>
                <w:b/>
                <w:color w:val="auto"/>
                <w:kern w:val="0"/>
                <w:szCs w:val="21"/>
                <w:lang w:bidi="ar"/>
              </w:rPr>
              <w:t>参数</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型号</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品牌</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单位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数量</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单价</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合价</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一</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工程类子系统费用列表</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装修系统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A</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吊顶工程</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轻钢龙骨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U50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U50</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340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15300.00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微孔吊顶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600*600*0.8mm</w:t>
            </w:r>
            <w:r>
              <w:rPr>
                <w:rFonts w:hint="eastAsia" w:ascii="宋体" w:hAnsi="宋体" w:eastAsia="宋体" w:cs="宋体"/>
                <w:color w:val="auto"/>
                <w:kern w:val="0"/>
                <w:szCs w:val="21"/>
                <w:lang w:bidi="ar"/>
              </w:rPr>
              <w:t>，铝合金，微孔</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600*600*0.8mm</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福友</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340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68000.00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压边条</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L</w:t>
            </w:r>
            <w:r>
              <w:rPr>
                <w:rFonts w:hint="eastAsia" w:ascii="宋体" w:hAnsi="宋体" w:eastAsia="宋体" w:cs="宋体"/>
                <w:color w:val="auto"/>
                <w:kern w:val="0"/>
                <w:szCs w:val="21"/>
                <w:lang w:bidi="ar"/>
              </w:rPr>
              <w:t>型</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福友</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2740.00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吊顶保温</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20mm</w:t>
            </w:r>
            <w:r>
              <w:rPr>
                <w:rFonts w:hint="eastAsia" w:ascii="宋体" w:hAnsi="宋体" w:eastAsia="宋体" w:cs="宋体"/>
                <w:color w:val="auto"/>
                <w:kern w:val="0"/>
                <w:szCs w:val="21"/>
                <w:lang w:bidi="ar"/>
              </w:rPr>
              <w:t>橡塑保温板</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20mm</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18000.00</w:t>
            </w:r>
          </w:p>
        </w:tc>
      </w:tr>
      <w:tr>
        <w:tblPrEx>
          <w:tblCellMar>
            <w:top w:w="0" w:type="dxa"/>
            <w:left w:w="0" w:type="dxa"/>
            <w:bottom w:w="0" w:type="dxa"/>
            <w:right w:w="0" w:type="dxa"/>
          </w:tblCellMar>
        </w:tblPrEx>
        <w:trPr>
          <w:trHeight w:val="72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吊顶以上区域防尘防静电涂料</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环氧防静电涂料，二遍</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B</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地面工程</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抗静电地板</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600*600*35mm</w:t>
            </w:r>
            <w:r>
              <w:rPr>
                <w:rFonts w:hint="eastAsia" w:ascii="宋体" w:hAnsi="宋体" w:eastAsia="宋体" w:cs="宋体"/>
                <w:color w:val="auto"/>
                <w:kern w:val="0"/>
                <w:szCs w:val="21"/>
                <w:lang w:bidi="ar"/>
              </w:rPr>
              <w:t>，钢混，</w:t>
            </w:r>
            <w:r>
              <w:rPr>
                <w:rFonts w:ascii="Times New Roman" w:hAnsi="Times New Roman" w:eastAsia="宋体" w:cs="Times New Roman"/>
                <w:color w:val="auto"/>
                <w:kern w:val="0"/>
                <w:szCs w:val="21"/>
                <w:lang w:bidi="ar"/>
              </w:rPr>
              <w:t>HPL</w:t>
            </w:r>
            <w:r>
              <w:rPr>
                <w:rFonts w:hint="eastAsia" w:ascii="宋体" w:hAnsi="宋体" w:eastAsia="宋体" w:cs="宋体"/>
                <w:color w:val="auto"/>
                <w:kern w:val="0"/>
                <w:szCs w:val="21"/>
                <w:lang w:bidi="ar"/>
              </w:rPr>
              <w:t>贴面</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600*600*35mm</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汇迈</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340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425.00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144500.00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风口地板</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600*600*35mm</w:t>
            </w:r>
            <w:r>
              <w:rPr>
                <w:rFonts w:hint="eastAsia" w:ascii="宋体" w:hAnsi="宋体" w:eastAsia="宋体" w:cs="宋体"/>
                <w:color w:val="auto"/>
                <w:kern w:val="0"/>
                <w:szCs w:val="21"/>
                <w:lang w:bidi="ar"/>
              </w:rPr>
              <w:t>，钢混，</w:t>
            </w:r>
            <w:r>
              <w:rPr>
                <w:rFonts w:ascii="Times New Roman" w:hAnsi="Times New Roman" w:eastAsia="宋体" w:cs="Times New Roman"/>
                <w:color w:val="auto"/>
                <w:kern w:val="0"/>
                <w:szCs w:val="21"/>
                <w:lang w:bidi="ar"/>
              </w:rPr>
              <w:t>HPL</w:t>
            </w:r>
            <w:r>
              <w:rPr>
                <w:rFonts w:hint="eastAsia" w:ascii="宋体" w:hAnsi="宋体" w:eastAsia="宋体" w:cs="宋体"/>
                <w:color w:val="auto"/>
                <w:kern w:val="0"/>
                <w:szCs w:val="21"/>
                <w:lang w:bidi="ar"/>
              </w:rPr>
              <w:t>贴面</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600*600*35mm</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汇迈</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48800.00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地板开孔并加护套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尺寸按现场实际情况确定</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地板下防尘防静电涂料</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环氧防静电涂料，二遍</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340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38.00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12920.00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地面保温</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20mm</w:t>
            </w:r>
            <w:r>
              <w:rPr>
                <w:rFonts w:hint="eastAsia" w:ascii="宋体" w:hAnsi="宋体" w:eastAsia="宋体" w:cs="宋体"/>
                <w:color w:val="auto"/>
                <w:kern w:val="0"/>
                <w:szCs w:val="21"/>
                <w:lang w:bidi="ar"/>
              </w:rPr>
              <w:t>橡塑保温板</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反光贴膜</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20mm</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340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15300.00</w:t>
            </w: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出入口台阶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人员出入口，二级</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抗静电地板制作，不锈钢压边</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525.00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2100.00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地板角钢边支架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r>
              <w:rPr>
                <w:rFonts w:hint="eastAsia" w:ascii="宋体" w:hAnsi="宋体" w:eastAsia="宋体" w:cs="宋体"/>
                <w:color w:val="auto"/>
                <w:kern w:val="0"/>
                <w:szCs w:val="21"/>
                <w:lang w:bidi="ar"/>
              </w:rPr>
              <w:t>角钢制作，并刷防锈漆</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r>
              <w:rPr>
                <w:rFonts w:hint="eastAsia" w:ascii="宋体" w:hAnsi="宋体" w:eastAsia="宋体" w:cs="宋体"/>
                <w:color w:val="auto"/>
                <w:kern w:val="0"/>
                <w:szCs w:val="21"/>
                <w:lang w:bidi="ar"/>
              </w:rPr>
              <w:t>角钢</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4110.00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C</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墙面工程</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94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玻璃隔墙</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防火玻璃隔断采用</w:t>
            </w:r>
            <w:r>
              <w:rPr>
                <w:rFonts w:ascii="Times New Roman" w:hAnsi="Times New Roman" w:eastAsia="宋体" w:cs="Times New Roman"/>
                <w:color w:val="auto"/>
                <w:kern w:val="0"/>
                <w:szCs w:val="21"/>
                <w:lang w:bidi="ar"/>
              </w:rPr>
              <w:t>12MM</w:t>
            </w:r>
            <w:r>
              <w:rPr>
                <w:rFonts w:hint="eastAsia" w:ascii="宋体" w:hAnsi="宋体" w:eastAsia="宋体" w:cs="宋体"/>
                <w:color w:val="auto"/>
                <w:kern w:val="0"/>
                <w:szCs w:val="21"/>
                <w:lang w:bidi="ar"/>
              </w:rPr>
              <w:t>防火玻璃，基础采用</w:t>
            </w:r>
            <w:r>
              <w:rPr>
                <w:rFonts w:ascii="Times New Roman" w:hAnsi="Times New Roman" w:eastAsia="宋体" w:cs="Times New Roman"/>
                <w:color w:val="auto"/>
                <w:kern w:val="0"/>
                <w:szCs w:val="21"/>
                <w:lang w:bidi="ar"/>
              </w:rPr>
              <w:t>4*8</w:t>
            </w:r>
            <w:r>
              <w:rPr>
                <w:rFonts w:hint="eastAsia" w:ascii="宋体" w:hAnsi="宋体" w:eastAsia="宋体" w:cs="宋体"/>
                <w:color w:val="auto"/>
                <w:kern w:val="0"/>
                <w:szCs w:val="21"/>
                <w:lang w:bidi="ar"/>
              </w:rPr>
              <w:t>方钢，门框采用</w:t>
            </w:r>
            <w:r>
              <w:rPr>
                <w:rFonts w:ascii="Times New Roman" w:hAnsi="Times New Roman" w:eastAsia="宋体" w:cs="Times New Roman"/>
                <w:color w:val="auto"/>
                <w:kern w:val="0"/>
                <w:szCs w:val="21"/>
                <w:lang w:bidi="ar"/>
              </w:rPr>
              <w:t>8*8</w:t>
            </w:r>
            <w:r>
              <w:rPr>
                <w:rFonts w:hint="eastAsia" w:ascii="宋体" w:hAnsi="宋体" w:eastAsia="宋体" w:cs="宋体"/>
                <w:color w:val="auto"/>
                <w:kern w:val="0"/>
                <w:szCs w:val="21"/>
                <w:lang w:bidi="ar"/>
              </w:rPr>
              <w:t>方钢，基础、门框、立柱外饰面采用不锈钢包边</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12MM</w:t>
            </w:r>
            <w:r>
              <w:rPr>
                <w:rFonts w:hint="eastAsia" w:ascii="宋体" w:hAnsi="宋体" w:eastAsia="宋体" w:cs="宋体"/>
                <w:color w:val="auto"/>
                <w:kern w:val="0"/>
                <w:szCs w:val="21"/>
                <w:lang w:bidi="ar"/>
              </w:rPr>
              <w:t>防火玻璃</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320.00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26560.00</w:t>
            </w: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彩钢板</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0.6mm</w:t>
            </w:r>
            <w:r>
              <w:rPr>
                <w:rFonts w:hint="eastAsia" w:ascii="宋体" w:hAnsi="宋体" w:eastAsia="宋体" w:cs="宋体"/>
                <w:color w:val="auto"/>
                <w:kern w:val="0"/>
                <w:szCs w:val="21"/>
                <w:lang w:bidi="ar"/>
              </w:rPr>
              <w:t>彩钢板饰面，内衬</w:t>
            </w:r>
            <w:r>
              <w:rPr>
                <w:rFonts w:ascii="Times New Roman" w:hAnsi="Times New Roman" w:eastAsia="宋体" w:cs="Times New Roman"/>
                <w:color w:val="auto"/>
                <w:kern w:val="0"/>
                <w:szCs w:val="21"/>
                <w:lang w:bidi="ar"/>
              </w:rPr>
              <w:t>12mm</w:t>
            </w:r>
            <w:r>
              <w:rPr>
                <w:rFonts w:hint="eastAsia" w:ascii="宋体" w:hAnsi="宋体" w:eastAsia="宋体" w:cs="宋体"/>
                <w:color w:val="auto"/>
                <w:kern w:val="0"/>
                <w:szCs w:val="21"/>
                <w:lang w:bidi="ar"/>
              </w:rPr>
              <w:t>防火石膏板</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0.6mm</w:t>
            </w:r>
            <w:r>
              <w:rPr>
                <w:rFonts w:hint="eastAsia" w:ascii="宋体" w:hAnsi="宋体" w:eastAsia="宋体" w:cs="宋体"/>
                <w:color w:val="auto"/>
                <w:kern w:val="0"/>
                <w:szCs w:val="21"/>
                <w:lang w:bidi="ar"/>
              </w:rPr>
              <w:t>彩钢板</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汇迈</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415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360.00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149400.00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墙面石膏板</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吊顶上、地板下防火石膏板饰面</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220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15400.00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岩棉</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防火、保温、吸音</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33550.00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墙体轻钢龙骨基架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C75</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C75</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33550.00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踢脚线</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高</w:t>
            </w:r>
            <w:r>
              <w:rPr>
                <w:rFonts w:ascii="Times New Roman" w:hAnsi="Times New Roman" w:eastAsia="宋体" w:cs="Times New Roman"/>
                <w:color w:val="auto"/>
                <w:kern w:val="0"/>
                <w:szCs w:val="21"/>
                <w:lang w:bidi="ar"/>
              </w:rPr>
              <w:t>100mm</w:t>
            </w:r>
            <w:r>
              <w:rPr>
                <w:rFonts w:hint="eastAsia" w:ascii="宋体" w:hAnsi="宋体" w:eastAsia="宋体" w:cs="宋体"/>
                <w:color w:val="auto"/>
                <w:kern w:val="0"/>
                <w:szCs w:val="21"/>
                <w:lang w:bidi="ar"/>
              </w:rPr>
              <w:t>，拉丝不锈钢，含基层</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13700.00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地面自流平</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找平</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m</w:t>
            </w:r>
            <w:r>
              <w:rPr>
                <w:rFonts w:ascii="Times New Roman" w:hAnsi="Times New Roman" w:eastAsia="宋体" w:cs="Times New Roman"/>
                <w:color w:val="auto"/>
                <w:kern w:val="0"/>
                <w:szCs w:val="21"/>
                <w:vertAlign w:val="superscript"/>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340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61200.00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D</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门窗工程</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nil"/>
              <w:left w:val="nil"/>
              <w:bottom w:val="nil"/>
              <w:right w:val="nil"/>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窗户封堵</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机房窗户封堵，轻钢龙骨</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防火石膏板，窗户玻璃表面贴膜处理</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平方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320.00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甲级钢制防火门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1500*2200mm,</w:t>
            </w:r>
            <w:r>
              <w:rPr>
                <w:rFonts w:hint="eastAsia" w:ascii="宋体" w:hAnsi="宋体" w:eastAsia="宋体" w:cs="宋体"/>
                <w:color w:val="auto"/>
                <w:kern w:val="0"/>
                <w:szCs w:val="21"/>
                <w:lang w:bidi="ar"/>
              </w:rPr>
              <w:t>包含防火门锁、拉手、闭门器、合页、门框等配件</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1500*2200mm,</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隆泰国际</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E</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其他基础工程</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吸盘</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单爪</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380.00</w:t>
            </w: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配电柜底座</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镀锌角钢制作，具体尺寸按现场实际情况确定</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镀锌角钢</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4400.00</w:t>
            </w: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机柜底座</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镀锌角钢制作，刷防锈漆，具体尺寸按现场实际情况确定</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镀锌角钢</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46750.00</w:t>
            </w: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精密空调底座</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镀锌角钢制作，刷防锈漆，具体尺寸按现场实际情况确定</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镀锌角钢</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2750.00</w:t>
            </w: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精密空调底座</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镀锌角钢制作，刷防锈漆，具体尺寸按现场实际情况确定</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镀锌角钢</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1650.00</w:t>
            </w: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UPS</w:t>
            </w:r>
            <w:r>
              <w:rPr>
                <w:rStyle w:val="51"/>
                <w:rFonts w:hint="default"/>
                <w:color w:val="auto"/>
                <w:sz w:val="21"/>
                <w:szCs w:val="21"/>
                <w:lang w:bidi="ar"/>
              </w:rPr>
              <w:t>主机底座</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r>
              <w:rPr>
                <w:rFonts w:hint="eastAsia" w:ascii="宋体" w:hAnsi="宋体" w:eastAsia="宋体" w:cs="宋体"/>
                <w:color w:val="auto"/>
                <w:kern w:val="0"/>
                <w:szCs w:val="21"/>
                <w:lang w:bidi="ar"/>
              </w:rPr>
              <w:t>槽钢制作，刷防锈漆，具体尺寸按现场实际情况确定</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r>
              <w:rPr>
                <w:rFonts w:hint="eastAsia" w:ascii="宋体" w:hAnsi="宋体" w:eastAsia="宋体" w:cs="宋体"/>
                <w:color w:val="auto"/>
                <w:kern w:val="0"/>
                <w:szCs w:val="21"/>
                <w:lang w:bidi="ar"/>
              </w:rPr>
              <w:t>槽钢</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1400.00</w:t>
            </w: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电池架底座</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r>
              <w:rPr>
                <w:rFonts w:hint="eastAsia" w:ascii="宋体" w:hAnsi="宋体" w:eastAsia="宋体" w:cs="宋体"/>
                <w:color w:val="auto"/>
                <w:kern w:val="0"/>
                <w:szCs w:val="21"/>
                <w:lang w:bidi="ar"/>
              </w:rPr>
              <w:t>槽钢制作，刷防锈漆，具体尺寸按现场实际情况确定</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r>
              <w:rPr>
                <w:rFonts w:hint="eastAsia" w:ascii="宋体" w:hAnsi="宋体" w:eastAsia="宋体" w:cs="宋体"/>
                <w:color w:val="auto"/>
                <w:kern w:val="0"/>
                <w:szCs w:val="21"/>
                <w:lang w:bidi="ar"/>
              </w:rPr>
              <w:t>槽钢</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28800.00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其它附材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胶水、膨胀、钢钉等</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802760.00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2</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机房供配电系统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A</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配电柜及防雷器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9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UPS1.2</w:t>
            </w:r>
            <w:r>
              <w:rPr>
                <w:rStyle w:val="51"/>
                <w:rFonts w:hint="default"/>
                <w:color w:val="auto"/>
                <w:sz w:val="21"/>
                <w:szCs w:val="21"/>
                <w:lang w:bidi="ar"/>
              </w:rPr>
              <w:t>输入输出配电柜</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定制，施耐德或</w:t>
            </w:r>
            <w:r>
              <w:rPr>
                <w:rFonts w:ascii="Times New Roman" w:hAnsi="Times New Roman" w:eastAsia="宋体" w:cs="Times New Roman"/>
                <w:color w:val="auto"/>
                <w:kern w:val="0"/>
                <w:szCs w:val="21"/>
                <w:lang w:bidi="ar"/>
              </w:rPr>
              <w:t>ABB</w:t>
            </w:r>
            <w:r>
              <w:rPr>
                <w:rFonts w:hint="eastAsia" w:ascii="宋体" w:hAnsi="宋体" w:eastAsia="宋体" w:cs="宋体"/>
                <w:color w:val="auto"/>
                <w:kern w:val="0"/>
                <w:szCs w:val="21"/>
                <w:lang w:bidi="ar"/>
              </w:rPr>
              <w:t>空开，具体开关配置见图纸【含市电维修旁路】</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260000.00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市电输出配电柜</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定制，施耐德或</w:t>
            </w:r>
            <w:r>
              <w:rPr>
                <w:rFonts w:ascii="Times New Roman" w:hAnsi="Times New Roman" w:eastAsia="宋体" w:cs="Times New Roman"/>
                <w:color w:val="auto"/>
                <w:kern w:val="0"/>
                <w:szCs w:val="21"/>
                <w:lang w:bidi="ar"/>
              </w:rPr>
              <w:t>ABB</w:t>
            </w:r>
            <w:r>
              <w:rPr>
                <w:rFonts w:hint="eastAsia" w:ascii="宋体" w:hAnsi="宋体" w:eastAsia="宋体" w:cs="宋体"/>
                <w:color w:val="auto"/>
                <w:kern w:val="0"/>
                <w:szCs w:val="21"/>
                <w:lang w:bidi="ar"/>
              </w:rPr>
              <w:t>空开，具体开关配置见图纸</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70000.00</w:t>
            </w:r>
          </w:p>
        </w:tc>
      </w:tr>
      <w:tr>
        <w:tblPrEx>
          <w:tblCellMar>
            <w:top w:w="0" w:type="dxa"/>
            <w:left w:w="0" w:type="dxa"/>
            <w:bottom w:w="0" w:type="dxa"/>
            <w:right w:w="0" w:type="dxa"/>
          </w:tblCellMar>
        </w:tblPrEx>
        <w:trPr>
          <w:trHeight w:val="49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UPS</w:t>
            </w:r>
            <w:r>
              <w:rPr>
                <w:rStyle w:val="51"/>
                <w:rFonts w:hint="default"/>
                <w:color w:val="auto"/>
                <w:sz w:val="21"/>
                <w:szCs w:val="21"/>
                <w:lang w:bidi="ar"/>
              </w:rPr>
              <w:t>输出精密列头柜</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600*1100*2000</w:t>
            </w:r>
            <w:r>
              <w:rPr>
                <w:rFonts w:hint="eastAsia" w:ascii="宋体" w:hAnsi="宋体" w:eastAsia="宋体" w:cs="宋体"/>
                <w:color w:val="auto"/>
                <w:kern w:val="0"/>
                <w:szCs w:val="21"/>
                <w:lang w:bidi="ar"/>
              </w:rPr>
              <w:t>，精密列头柜，具体开关配置见图纸</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PDU8000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225000.00</w:t>
            </w:r>
          </w:p>
        </w:tc>
      </w:tr>
      <w:tr>
        <w:tblPrEx>
          <w:tblCellMar>
            <w:top w:w="0" w:type="dxa"/>
            <w:left w:w="0" w:type="dxa"/>
            <w:bottom w:w="0" w:type="dxa"/>
            <w:right w:w="0" w:type="dxa"/>
          </w:tblCellMar>
        </w:tblPrEx>
        <w:trPr>
          <w:trHeight w:val="69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ATS</w:t>
            </w:r>
            <w:r>
              <w:rPr>
                <w:rStyle w:val="51"/>
                <w:rFonts w:hint="default"/>
                <w:color w:val="auto"/>
                <w:sz w:val="21"/>
                <w:szCs w:val="21"/>
                <w:lang w:bidi="ar"/>
              </w:rPr>
              <w:t>切换柜（空调）</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空调</w:t>
            </w:r>
            <w:r>
              <w:rPr>
                <w:rFonts w:ascii="Times New Roman" w:hAnsi="Times New Roman" w:eastAsia="宋体" w:cs="Times New Roman"/>
                <w:color w:val="auto"/>
                <w:kern w:val="0"/>
                <w:szCs w:val="21"/>
                <w:lang w:bidi="ar"/>
              </w:rPr>
              <w:t>ATS</w:t>
            </w:r>
            <w:r>
              <w:rPr>
                <w:rFonts w:hint="eastAsia" w:ascii="宋体" w:hAnsi="宋体" w:eastAsia="宋体" w:cs="宋体"/>
                <w:color w:val="auto"/>
                <w:kern w:val="0"/>
                <w:szCs w:val="21"/>
                <w:lang w:bidi="ar"/>
              </w:rPr>
              <w:t>柜</w:t>
            </w:r>
            <w:r>
              <w:rPr>
                <w:rFonts w:ascii="Times New Roman" w:hAnsi="Times New Roman" w:eastAsia="宋体" w:cs="Times New Roman"/>
                <w:color w:val="auto"/>
                <w:kern w:val="0"/>
                <w:szCs w:val="21"/>
                <w:lang w:bidi="ar"/>
              </w:rPr>
              <w:t xml:space="preserve"> </w:t>
            </w:r>
            <w:r>
              <w:rPr>
                <w:rFonts w:hint="eastAsia" w:ascii="宋体" w:hAnsi="宋体" w:eastAsia="宋体" w:cs="宋体"/>
                <w:color w:val="auto"/>
                <w:kern w:val="0"/>
                <w:szCs w:val="21"/>
                <w:lang w:bidi="ar"/>
              </w:rPr>
              <w:t>定制，施耐德或</w:t>
            </w:r>
            <w:r>
              <w:rPr>
                <w:rFonts w:ascii="Times New Roman" w:hAnsi="Times New Roman" w:eastAsia="宋体" w:cs="Times New Roman"/>
                <w:color w:val="auto"/>
                <w:kern w:val="0"/>
                <w:szCs w:val="21"/>
                <w:lang w:bidi="ar"/>
              </w:rPr>
              <w:t>ABB</w:t>
            </w:r>
            <w:r>
              <w:rPr>
                <w:rFonts w:hint="eastAsia" w:ascii="宋体" w:hAnsi="宋体" w:eastAsia="宋体" w:cs="宋体"/>
                <w:color w:val="auto"/>
                <w:kern w:val="0"/>
                <w:szCs w:val="21"/>
                <w:lang w:bidi="ar"/>
              </w:rPr>
              <w:t>元器件，具体开关配置见图纸（双市电切换含油机接口）</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93000.00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93000.00</w:t>
            </w:r>
          </w:p>
        </w:tc>
      </w:tr>
      <w:tr>
        <w:tblPrEx>
          <w:tblCellMar>
            <w:top w:w="0" w:type="dxa"/>
            <w:left w:w="0" w:type="dxa"/>
            <w:bottom w:w="0" w:type="dxa"/>
            <w:right w:w="0" w:type="dxa"/>
          </w:tblCellMar>
        </w:tblPrEx>
        <w:trPr>
          <w:trHeight w:val="69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ATS</w:t>
            </w:r>
            <w:r>
              <w:rPr>
                <w:rStyle w:val="51"/>
                <w:rFonts w:hint="default"/>
                <w:color w:val="auto"/>
                <w:sz w:val="21"/>
                <w:szCs w:val="21"/>
                <w:lang w:bidi="ar"/>
              </w:rPr>
              <w:t>切换柜（市电柜）</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市电</w:t>
            </w:r>
            <w:r>
              <w:rPr>
                <w:rFonts w:ascii="Times New Roman" w:hAnsi="Times New Roman" w:eastAsia="宋体" w:cs="Times New Roman"/>
                <w:color w:val="auto"/>
                <w:kern w:val="0"/>
                <w:szCs w:val="21"/>
                <w:lang w:bidi="ar"/>
              </w:rPr>
              <w:t>ATS</w:t>
            </w:r>
            <w:r>
              <w:rPr>
                <w:rFonts w:hint="eastAsia" w:ascii="宋体" w:hAnsi="宋体" w:eastAsia="宋体" w:cs="宋体"/>
                <w:color w:val="auto"/>
                <w:kern w:val="0"/>
                <w:szCs w:val="21"/>
                <w:lang w:bidi="ar"/>
              </w:rPr>
              <w:t>柜</w:t>
            </w:r>
            <w:r>
              <w:rPr>
                <w:rFonts w:ascii="Times New Roman" w:hAnsi="Times New Roman" w:eastAsia="宋体" w:cs="Times New Roman"/>
                <w:color w:val="auto"/>
                <w:kern w:val="0"/>
                <w:szCs w:val="21"/>
                <w:lang w:bidi="ar"/>
              </w:rPr>
              <w:t xml:space="preserve"> </w:t>
            </w:r>
            <w:r>
              <w:rPr>
                <w:rFonts w:hint="eastAsia" w:ascii="宋体" w:hAnsi="宋体" w:eastAsia="宋体" w:cs="宋体"/>
                <w:color w:val="auto"/>
                <w:kern w:val="0"/>
                <w:szCs w:val="21"/>
                <w:lang w:bidi="ar"/>
              </w:rPr>
              <w:t>定制，施耐德或</w:t>
            </w:r>
            <w:r>
              <w:rPr>
                <w:rFonts w:ascii="Times New Roman" w:hAnsi="Times New Roman" w:eastAsia="宋体" w:cs="Times New Roman"/>
                <w:color w:val="auto"/>
                <w:kern w:val="0"/>
                <w:szCs w:val="21"/>
                <w:lang w:bidi="ar"/>
              </w:rPr>
              <w:t>ABB</w:t>
            </w:r>
            <w:r>
              <w:rPr>
                <w:rFonts w:hint="eastAsia" w:ascii="宋体" w:hAnsi="宋体" w:eastAsia="宋体" w:cs="宋体"/>
                <w:color w:val="auto"/>
                <w:kern w:val="0"/>
                <w:szCs w:val="21"/>
                <w:lang w:bidi="ar"/>
              </w:rPr>
              <w:t>元器件，具体开关配置见图纸（双市电切换含油机接口）</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133000.00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133000.00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B</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电缆电线</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51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UPS</w:t>
            </w:r>
            <w:r>
              <w:rPr>
                <w:rStyle w:val="51"/>
                <w:rFonts w:hint="default"/>
                <w:color w:val="auto"/>
                <w:sz w:val="21"/>
                <w:szCs w:val="21"/>
                <w:lang w:bidi="ar"/>
              </w:rPr>
              <w:t>主机输入电缆</w:t>
            </w:r>
            <w:r>
              <w:rPr>
                <w:rStyle w:val="50"/>
                <w:rFonts w:ascii="宋体" w:hAnsi="宋体" w:eastAsia="宋体" w:cs="宋体"/>
                <w:color w:val="auto"/>
                <w:sz w:val="21"/>
                <w:szCs w:val="21"/>
                <w:lang w:bidi="ar"/>
              </w:rPr>
              <w:t>(</w:t>
            </w:r>
            <w:r>
              <w:rPr>
                <w:rStyle w:val="51"/>
                <w:rFonts w:hint="default"/>
                <w:color w:val="auto"/>
                <w:sz w:val="21"/>
                <w:szCs w:val="21"/>
                <w:lang w:bidi="ar"/>
              </w:rPr>
              <w:t>两根合并</w:t>
            </w:r>
            <w:r>
              <w:rPr>
                <w:rStyle w:val="50"/>
                <w:rFonts w:ascii="宋体" w:hAnsi="宋体" w:eastAsia="宋体" w:cs="宋体"/>
                <w:color w:val="auto"/>
                <w:sz w:val="21"/>
                <w:szCs w:val="21"/>
                <w:lang w:bidi="ar"/>
              </w:rPr>
              <w:t>)</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ZR-YJVR-4*185+1*90mm2</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UPS</w:t>
            </w:r>
            <w:r>
              <w:rPr>
                <w:rFonts w:hint="eastAsia" w:ascii="宋体" w:hAnsi="宋体" w:eastAsia="宋体" w:cs="宋体"/>
                <w:color w:val="auto"/>
                <w:kern w:val="0"/>
                <w:szCs w:val="21"/>
                <w:lang w:bidi="ar"/>
              </w:rPr>
              <w:t>输入输出电缆】</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ZR-YJVR</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万马</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80000.00</w:t>
            </w:r>
          </w:p>
        </w:tc>
      </w:tr>
      <w:tr>
        <w:tblPrEx>
          <w:tblCellMar>
            <w:top w:w="0" w:type="dxa"/>
            <w:left w:w="0" w:type="dxa"/>
            <w:bottom w:w="0" w:type="dxa"/>
            <w:right w:w="0" w:type="dxa"/>
          </w:tblCellMar>
        </w:tblPrEx>
        <w:trPr>
          <w:trHeight w:val="51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UPS</w:t>
            </w:r>
            <w:r>
              <w:rPr>
                <w:rStyle w:val="51"/>
                <w:rFonts w:hint="default"/>
                <w:color w:val="auto"/>
                <w:sz w:val="21"/>
                <w:szCs w:val="21"/>
                <w:lang w:bidi="ar"/>
              </w:rPr>
              <w:t>输出电缆</w:t>
            </w:r>
            <w:r>
              <w:rPr>
                <w:rStyle w:val="50"/>
                <w:rFonts w:ascii="宋体" w:hAnsi="宋体" w:eastAsia="宋体" w:cs="宋体"/>
                <w:color w:val="auto"/>
                <w:sz w:val="21"/>
                <w:szCs w:val="21"/>
                <w:lang w:bidi="ar"/>
              </w:rPr>
              <w:t>(</w:t>
            </w:r>
            <w:r>
              <w:rPr>
                <w:rStyle w:val="51"/>
                <w:rFonts w:hint="default"/>
                <w:color w:val="auto"/>
                <w:sz w:val="21"/>
                <w:szCs w:val="21"/>
                <w:lang w:bidi="ar"/>
              </w:rPr>
              <w:t>两根合并</w:t>
            </w:r>
            <w:r>
              <w:rPr>
                <w:rStyle w:val="50"/>
                <w:rFonts w:ascii="宋体" w:hAnsi="宋体" w:eastAsia="宋体" w:cs="宋体"/>
                <w:color w:val="auto"/>
                <w:sz w:val="21"/>
                <w:szCs w:val="21"/>
                <w:lang w:bidi="ar"/>
              </w:rPr>
              <w:t>)</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ZR-YJVR-4*185+1*90mm2</w:t>
            </w:r>
            <w:r>
              <w:rPr>
                <w:rFonts w:hint="eastAsia" w:ascii="宋体" w:hAnsi="宋体" w:eastAsia="宋体" w:cs="宋体"/>
                <w:color w:val="auto"/>
                <w:kern w:val="0"/>
                <w:szCs w:val="21"/>
                <w:lang w:bidi="ar"/>
              </w:rPr>
              <w:t>【配电列头柜电缆】</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ZR-YJVR</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万马</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80000.00</w:t>
            </w:r>
          </w:p>
        </w:tc>
      </w:tr>
      <w:tr>
        <w:tblPrEx>
          <w:tblCellMar>
            <w:top w:w="0" w:type="dxa"/>
            <w:left w:w="0" w:type="dxa"/>
            <w:bottom w:w="0" w:type="dxa"/>
            <w:right w:w="0" w:type="dxa"/>
          </w:tblCellMar>
        </w:tblPrEx>
        <w:trPr>
          <w:trHeight w:val="49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UPS</w:t>
            </w:r>
            <w:r>
              <w:rPr>
                <w:rStyle w:val="51"/>
                <w:rFonts w:hint="default"/>
                <w:color w:val="auto"/>
                <w:sz w:val="21"/>
                <w:szCs w:val="21"/>
                <w:lang w:bidi="ar"/>
              </w:rPr>
              <w:t>列头柜输入电缆</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ZR-YJV-4*70+1*35mm2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万马</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精密空调</w:t>
            </w:r>
            <w:r>
              <w:rPr>
                <w:rStyle w:val="50"/>
                <w:rFonts w:ascii="宋体" w:hAnsi="宋体" w:eastAsia="宋体" w:cs="宋体"/>
                <w:color w:val="auto"/>
                <w:sz w:val="21"/>
                <w:szCs w:val="21"/>
                <w:lang w:bidi="ar"/>
              </w:rPr>
              <w:t>1</w:t>
            </w:r>
            <w:r>
              <w:rPr>
                <w:rStyle w:val="51"/>
                <w:rFonts w:hint="default"/>
                <w:color w:val="auto"/>
                <w:sz w:val="21"/>
                <w:szCs w:val="21"/>
                <w:lang w:bidi="ar"/>
              </w:rPr>
              <w:t>电缆</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ZR-YJV-4*35+1*16mm2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万马</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230.00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34500.00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精密空调</w:t>
            </w:r>
            <w:r>
              <w:rPr>
                <w:rStyle w:val="50"/>
                <w:rFonts w:ascii="宋体" w:hAnsi="宋体" w:eastAsia="宋体" w:cs="宋体"/>
                <w:color w:val="auto"/>
                <w:sz w:val="21"/>
                <w:szCs w:val="21"/>
                <w:lang w:bidi="ar"/>
              </w:rPr>
              <w:t>2</w:t>
            </w:r>
            <w:r>
              <w:rPr>
                <w:rStyle w:val="51"/>
                <w:rFonts w:hint="default"/>
                <w:color w:val="auto"/>
                <w:sz w:val="21"/>
                <w:szCs w:val="21"/>
                <w:lang w:bidi="ar"/>
              </w:rPr>
              <w:t>电缆</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ZR-YJV-5*6mm2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万马</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2400.00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机柜电缆</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ZR-YJV-3*6mm2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ZR-YJV</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万马</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电源线及插座线</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ZRBVR-2.5mm2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ZRBVR</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万马</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卷</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9600.00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工业连接器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32A </w:t>
            </w:r>
            <w:r>
              <w:rPr>
                <w:rFonts w:hint="eastAsia" w:ascii="宋体" w:hAnsi="宋体" w:eastAsia="宋体" w:cs="宋体"/>
                <w:color w:val="auto"/>
                <w:kern w:val="0"/>
                <w:szCs w:val="21"/>
                <w:lang w:bidi="ar"/>
              </w:rPr>
              <w:t>公头，母头</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EPConnector2PWRCBL01</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170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25500.00</w:t>
            </w:r>
          </w:p>
        </w:tc>
      </w:tr>
      <w:tr>
        <w:tblPrEx>
          <w:tblCellMar>
            <w:top w:w="0" w:type="dxa"/>
            <w:left w:w="0" w:type="dxa"/>
            <w:bottom w:w="0" w:type="dxa"/>
            <w:right w:w="0" w:type="dxa"/>
          </w:tblCellMar>
        </w:tblPrEx>
        <w:trPr>
          <w:trHeight w:val="94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机柜专用</w:t>
            </w:r>
            <w:r>
              <w:rPr>
                <w:rStyle w:val="50"/>
                <w:rFonts w:ascii="宋体" w:hAnsi="宋体" w:eastAsia="宋体" w:cs="宋体"/>
                <w:color w:val="auto"/>
                <w:sz w:val="21"/>
                <w:szCs w:val="21"/>
                <w:lang w:bidi="ar"/>
              </w:rPr>
              <w:t>PDU</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输入</w:t>
            </w:r>
            <w:r>
              <w:rPr>
                <w:rFonts w:ascii="Times New Roman" w:hAnsi="Times New Roman" w:eastAsia="宋体" w:cs="Times New Roman"/>
                <w:color w:val="auto"/>
                <w:kern w:val="0"/>
                <w:szCs w:val="21"/>
                <w:lang w:bidi="ar"/>
              </w:rPr>
              <w:t>32A</w:t>
            </w:r>
            <w:r>
              <w:rPr>
                <w:rFonts w:hint="eastAsia" w:ascii="宋体" w:hAnsi="宋体" w:eastAsia="宋体" w:cs="宋体"/>
                <w:color w:val="auto"/>
                <w:kern w:val="0"/>
                <w:szCs w:val="21"/>
                <w:lang w:bidi="ar"/>
              </w:rPr>
              <w:t>，输出</w:t>
            </w:r>
            <w:r>
              <w:rPr>
                <w:rFonts w:ascii="Times New Roman" w:hAnsi="Times New Roman" w:eastAsia="宋体" w:cs="Times New Roman"/>
                <w:color w:val="auto"/>
                <w:kern w:val="0"/>
                <w:szCs w:val="21"/>
                <w:lang w:bidi="ar"/>
              </w:rPr>
              <w:t>18</w:t>
            </w:r>
            <w:r>
              <w:rPr>
                <w:rFonts w:hint="eastAsia" w:ascii="宋体" w:hAnsi="宋体" w:eastAsia="宋体" w:cs="宋体"/>
                <w:color w:val="auto"/>
                <w:kern w:val="0"/>
                <w:szCs w:val="21"/>
                <w:lang w:bidi="ar"/>
              </w:rPr>
              <w:t>位国标</w:t>
            </w:r>
            <w:r>
              <w:rPr>
                <w:rFonts w:ascii="Times New Roman" w:hAnsi="Times New Roman" w:eastAsia="宋体" w:cs="Times New Roman"/>
                <w:color w:val="auto"/>
                <w:kern w:val="0"/>
                <w:szCs w:val="21"/>
                <w:lang w:bidi="ar"/>
              </w:rPr>
              <w:t>10A+2</w:t>
            </w:r>
            <w:r>
              <w:rPr>
                <w:rFonts w:hint="eastAsia" w:ascii="宋体" w:hAnsi="宋体" w:eastAsia="宋体" w:cs="宋体"/>
                <w:color w:val="auto"/>
                <w:kern w:val="0"/>
                <w:szCs w:val="21"/>
                <w:lang w:bidi="ar"/>
              </w:rPr>
              <w:t>口</w:t>
            </w:r>
            <w:r>
              <w:rPr>
                <w:rFonts w:ascii="Times New Roman" w:hAnsi="Times New Roman" w:eastAsia="宋体" w:cs="Times New Roman"/>
                <w:color w:val="auto"/>
                <w:kern w:val="0"/>
                <w:szCs w:val="21"/>
                <w:lang w:bidi="ar"/>
              </w:rPr>
              <w:t>16A</w:t>
            </w:r>
            <w:r>
              <w:rPr>
                <w:rFonts w:hint="eastAsia" w:ascii="宋体" w:hAnsi="宋体" w:eastAsia="宋体" w:cs="宋体"/>
                <w:color w:val="auto"/>
                <w:kern w:val="0"/>
                <w:szCs w:val="21"/>
                <w:lang w:bidi="ar"/>
              </w:rPr>
              <w:t>国标</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配总电源指示灯及</w:t>
            </w:r>
            <w:r>
              <w:rPr>
                <w:rFonts w:ascii="Times New Roman" w:hAnsi="Times New Roman" w:eastAsia="宋体" w:cs="Times New Roman"/>
                <w:color w:val="auto"/>
                <w:kern w:val="0"/>
                <w:szCs w:val="21"/>
                <w:lang w:bidi="ar"/>
              </w:rPr>
              <w:t>3*6m</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 xml:space="preserve"> *2m</w:t>
            </w:r>
            <w:r>
              <w:rPr>
                <w:rFonts w:hint="eastAsia" w:ascii="宋体" w:hAnsi="宋体" w:eastAsia="宋体" w:cs="宋体"/>
                <w:color w:val="auto"/>
                <w:kern w:val="0"/>
                <w:szCs w:val="21"/>
                <w:lang w:bidi="ar"/>
              </w:rPr>
              <w:t>线缆（</w:t>
            </w:r>
            <w:r>
              <w:rPr>
                <w:rFonts w:ascii="Times New Roman" w:hAnsi="Times New Roman" w:eastAsia="宋体" w:cs="Times New Roman"/>
                <w:color w:val="auto"/>
                <w:kern w:val="0"/>
                <w:szCs w:val="21"/>
                <w:lang w:bidi="ar"/>
              </w:rPr>
              <w:t>80</w:t>
            </w:r>
            <w:r>
              <w:rPr>
                <w:rFonts w:hint="eastAsia" w:ascii="宋体" w:hAnsi="宋体" w:eastAsia="宋体" w:cs="宋体"/>
                <w:color w:val="auto"/>
                <w:kern w:val="0"/>
                <w:szCs w:val="21"/>
                <w:lang w:bidi="ar"/>
              </w:rPr>
              <w:t>个机柜加</w:t>
            </w: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个网络柜）</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PDU2000-32-1PH-20/4-B10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条</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170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1450.00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246500.00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C</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照明灯具及插座开关</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nil"/>
              <w:left w:val="nil"/>
              <w:bottom w:val="nil"/>
              <w:right w:val="nil"/>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格栅灯</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600*600mm</w:t>
            </w:r>
            <w:r>
              <w:rPr>
                <w:rFonts w:hint="eastAsia" w:ascii="宋体" w:hAnsi="宋体" w:eastAsia="宋体" w:cs="宋体"/>
                <w:color w:val="auto"/>
                <w:kern w:val="0"/>
                <w:szCs w:val="21"/>
                <w:lang w:bidi="ar"/>
              </w:rPr>
              <w:t>格栅灯</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三管，</w:t>
            </w:r>
            <w:r>
              <w:rPr>
                <w:rFonts w:ascii="Times New Roman" w:hAnsi="Times New Roman" w:eastAsia="宋体" w:cs="Times New Roman"/>
                <w:color w:val="auto"/>
                <w:kern w:val="0"/>
                <w:szCs w:val="21"/>
                <w:lang w:bidi="ar"/>
              </w:rPr>
              <w:t>LED</w:t>
            </w:r>
            <w:r>
              <w:rPr>
                <w:rFonts w:hint="eastAsia" w:ascii="宋体" w:hAnsi="宋体" w:eastAsia="宋体" w:cs="宋体"/>
                <w:color w:val="auto"/>
                <w:kern w:val="0"/>
                <w:szCs w:val="21"/>
                <w:lang w:bidi="ar"/>
              </w:rPr>
              <w:t>光源</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600*600mm</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670.00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38190.00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应急疏散标志灯</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消</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许可</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290.00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1160.00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双位单控开关</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86</w:t>
            </w:r>
            <w:r>
              <w:rPr>
                <w:rFonts w:hint="eastAsia" w:ascii="宋体" w:hAnsi="宋体" w:eastAsia="宋体" w:cs="宋体"/>
                <w:color w:val="auto"/>
                <w:kern w:val="0"/>
                <w:szCs w:val="21"/>
                <w:lang w:bidi="ar"/>
              </w:rPr>
              <w:t>型</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86</w:t>
            </w:r>
            <w:r>
              <w:rPr>
                <w:rFonts w:hint="eastAsia" w:ascii="宋体" w:hAnsi="宋体" w:eastAsia="宋体" w:cs="宋体"/>
                <w:color w:val="auto"/>
                <w:kern w:val="0"/>
                <w:szCs w:val="21"/>
                <w:lang w:bidi="ar"/>
              </w:rPr>
              <w:t>型</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鸿雁</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540.00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墙面</w:t>
            </w:r>
            <w:r>
              <w:rPr>
                <w:rStyle w:val="50"/>
                <w:rFonts w:ascii="宋体" w:hAnsi="宋体" w:eastAsia="宋体" w:cs="宋体"/>
                <w:color w:val="auto"/>
                <w:sz w:val="21"/>
                <w:szCs w:val="21"/>
                <w:lang w:bidi="ar"/>
              </w:rPr>
              <w:t>3+2</w:t>
            </w:r>
            <w:r>
              <w:rPr>
                <w:rStyle w:val="51"/>
                <w:rFonts w:hint="default"/>
                <w:color w:val="auto"/>
                <w:sz w:val="21"/>
                <w:szCs w:val="21"/>
                <w:lang w:bidi="ar"/>
              </w:rPr>
              <w:t>插座</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220V/10A</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孔，市电</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220V/10A</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鸿雁</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1350.00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C</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接地系统</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5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接地线</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机房铜排、机柜、配电柜、空调等设备接地</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43000.00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43000.00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D</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桥架、线管及其他</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槽式金属桥架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400*100mm</w:t>
            </w:r>
            <w:r>
              <w:rPr>
                <w:rFonts w:hint="eastAsia" w:ascii="宋体" w:hAnsi="宋体" w:eastAsia="宋体" w:cs="宋体"/>
                <w:color w:val="auto"/>
                <w:kern w:val="0"/>
                <w:szCs w:val="21"/>
                <w:lang w:bidi="ar"/>
              </w:rPr>
              <w:t>，喷塑，含安装配件</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400*100mm</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米</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23400.00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电线管</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KBG25,</w:t>
            </w:r>
            <w:r>
              <w:rPr>
                <w:rFonts w:hint="eastAsia" w:ascii="宋体" w:hAnsi="宋体" w:eastAsia="宋体" w:cs="宋体"/>
                <w:color w:val="auto"/>
                <w:kern w:val="0"/>
                <w:szCs w:val="21"/>
                <w:lang w:bidi="ar"/>
              </w:rPr>
              <w:t>含连接管件</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KBG25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7.50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金属软管</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Φ25</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Φ25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7.50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3750.00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接线、分线盒</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86</w:t>
            </w:r>
            <w:r>
              <w:rPr>
                <w:rFonts w:hint="eastAsia" w:ascii="宋体" w:hAnsi="宋体" w:eastAsia="宋体" w:cs="宋体"/>
                <w:color w:val="auto"/>
                <w:kern w:val="0"/>
                <w:szCs w:val="21"/>
                <w:lang w:bidi="ar"/>
              </w:rPr>
              <w:t>型</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86</w:t>
            </w:r>
            <w:r>
              <w:rPr>
                <w:rFonts w:hint="eastAsia" w:ascii="宋体" w:hAnsi="宋体" w:eastAsia="宋体" w:cs="宋体"/>
                <w:color w:val="auto"/>
                <w:kern w:val="0"/>
                <w:szCs w:val="21"/>
                <w:lang w:bidi="ar"/>
              </w:rPr>
              <w:t>型</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1800.00</w:t>
            </w:r>
          </w:p>
        </w:tc>
      </w:tr>
      <w:tr>
        <w:tblPrEx>
          <w:tblCellMar>
            <w:top w:w="0" w:type="dxa"/>
            <w:left w:w="0" w:type="dxa"/>
            <w:bottom w:w="0" w:type="dxa"/>
            <w:right w:w="0" w:type="dxa"/>
          </w:tblCellMar>
        </w:tblPrEx>
        <w:trPr>
          <w:trHeight w:val="45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附材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铜鼻子、扎带、电工胶带、防火封堵材料等</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1580190.00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3</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综合布线系统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A</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桥架及其他</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机柜顶部桥架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r>
              <w:rPr>
                <w:rFonts w:hint="eastAsia" w:ascii="宋体" w:hAnsi="宋体" w:eastAsia="宋体" w:cs="宋体"/>
                <w:color w:val="auto"/>
                <w:kern w:val="0"/>
                <w:szCs w:val="21"/>
                <w:lang w:bidi="ar"/>
              </w:rPr>
              <w:t>型顶部桥架，全明开放式，含安装配件</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31500.00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机柜间跨接桥架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半封闭式，含安装配件</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外部桥架及冷通道之间桥架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米</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3</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61500.00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4</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新风系统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吊顶式新风机</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风量不小于</w:t>
            </w:r>
            <w:r>
              <w:rPr>
                <w:rStyle w:val="50"/>
                <w:rFonts w:ascii="宋体" w:hAnsi="宋体" w:eastAsia="宋体" w:cs="宋体"/>
                <w:color w:val="auto"/>
                <w:sz w:val="21"/>
                <w:szCs w:val="21"/>
                <w:lang w:bidi="ar"/>
              </w:rPr>
              <w:t>1700m3/h,</w:t>
            </w:r>
            <w:r>
              <w:rPr>
                <w:rStyle w:val="51"/>
                <w:rFonts w:hint="default"/>
                <w:color w:val="auto"/>
                <w:sz w:val="21"/>
                <w:szCs w:val="21"/>
                <w:lang w:bidi="ar"/>
              </w:rPr>
              <w:t>单向新风</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CV-F1700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霍尼韦尔</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吊顶式新风机</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风量不小于</w:t>
            </w:r>
            <w:r>
              <w:rPr>
                <w:rStyle w:val="50"/>
                <w:rFonts w:ascii="宋体" w:hAnsi="宋体" w:eastAsia="宋体" w:cs="宋体"/>
                <w:color w:val="auto"/>
                <w:sz w:val="21"/>
                <w:szCs w:val="21"/>
                <w:lang w:bidi="ar"/>
              </w:rPr>
              <w:t>900m3/h,</w:t>
            </w:r>
            <w:r>
              <w:rPr>
                <w:rStyle w:val="51"/>
                <w:rFonts w:hint="default"/>
                <w:color w:val="auto"/>
                <w:sz w:val="21"/>
                <w:szCs w:val="21"/>
                <w:lang w:bidi="ar"/>
              </w:rPr>
              <w:t>单向新风</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CV-F920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霍尼韦尔</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5500.00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电动防火阀</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按风管尺寸配置</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防雨百叶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铝合金</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进排风口</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300*300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300*300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风管</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PVC</w:t>
            </w:r>
            <w:r>
              <w:rPr>
                <w:rFonts w:hint="eastAsia" w:ascii="宋体" w:hAnsi="宋体" w:eastAsia="宋体" w:cs="宋体"/>
                <w:color w:val="auto"/>
                <w:kern w:val="0"/>
                <w:szCs w:val="21"/>
                <w:lang w:bidi="ar"/>
              </w:rPr>
              <w:t>风管，含支吊架</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米</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新风机安装辅材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4</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82300.00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5</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门禁系统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60" w:hRule="atLeast"/>
          <w:jc w:val="center"/>
        </w:trPr>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人脸门禁</w:t>
            </w:r>
          </w:p>
        </w:tc>
        <w:tc>
          <w:tcPr>
            <w:tcW w:w="18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、设备外观：采用</w:t>
            </w:r>
            <w:r>
              <w:rPr>
                <w:rFonts w:ascii="Times New Roman" w:hAnsi="Times New Roman" w:eastAsia="宋体" w:cs="Times New Roman"/>
                <w:color w:val="auto"/>
                <w:kern w:val="0"/>
                <w:szCs w:val="21"/>
                <w:lang w:bidi="ar"/>
              </w:rPr>
              <w:t>7</w:t>
            </w:r>
            <w:r>
              <w:rPr>
                <w:rFonts w:hint="eastAsia" w:ascii="宋体" w:hAnsi="宋体" w:eastAsia="宋体" w:cs="宋体"/>
                <w:color w:val="auto"/>
                <w:kern w:val="0"/>
                <w:szCs w:val="21"/>
                <w:lang w:bidi="ar"/>
              </w:rPr>
              <w:t>英寸</w:t>
            </w:r>
            <w:r>
              <w:rPr>
                <w:rFonts w:ascii="Times New Roman" w:hAnsi="Times New Roman" w:eastAsia="宋体" w:cs="Times New Roman"/>
                <w:color w:val="auto"/>
                <w:kern w:val="0"/>
                <w:szCs w:val="21"/>
                <w:lang w:bidi="ar"/>
              </w:rPr>
              <w:t>LCD</w:t>
            </w:r>
            <w:r>
              <w:rPr>
                <w:rFonts w:hint="eastAsia" w:ascii="宋体" w:hAnsi="宋体" w:eastAsia="宋体" w:cs="宋体"/>
                <w:color w:val="auto"/>
                <w:kern w:val="0"/>
                <w:szCs w:val="21"/>
                <w:lang w:bidi="ar"/>
              </w:rPr>
              <w:t>触摸显示屏，</w:t>
            </w:r>
            <w:r>
              <w:rPr>
                <w:rFonts w:ascii="Times New Roman" w:hAnsi="Times New Roman" w:eastAsia="宋体" w:cs="Times New Roman"/>
                <w:color w:val="auto"/>
                <w:kern w:val="0"/>
                <w:szCs w:val="21"/>
                <w:lang w:bidi="ar"/>
              </w:rPr>
              <w:t>200</w:t>
            </w:r>
            <w:r>
              <w:rPr>
                <w:rFonts w:hint="eastAsia" w:ascii="宋体" w:hAnsi="宋体" w:eastAsia="宋体" w:cs="宋体"/>
                <w:color w:val="auto"/>
                <w:kern w:val="0"/>
                <w:szCs w:val="21"/>
                <w:lang w:bidi="ar"/>
              </w:rPr>
              <w:t>万像素双目摄像头，面部识别距离</w:t>
            </w:r>
            <w:r>
              <w:rPr>
                <w:rFonts w:ascii="Times New Roman" w:hAnsi="Times New Roman" w:eastAsia="宋体" w:cs="Times New Roman"/>
                <w:color w:val="auto"/>
                <w:kern w:val="0"/>
                <w:szCs w:val="21"/>
                <w:lang w:bidi="ar"/>
              </w:rPr>
              <w:t>0.2-3m</w:t>
            </w:r>
            <w:r>
              <w:rPr>
                <w:rFonts w:hint="eastAsia" w:ascii="宋体" w:hAnsi="宋体" w:eastAsia="宋体" w:cs="宋体"/>
                <w:color w:val="auto"/>
                <w:kern w:val="0"/>
                <w:szCs w:val="21"/>
                <w:lang w:bidi="ar"/>
              </w:rPr>
              <w:t>，支持照片视频防假；</w:t>
            </w:r>
            <w:r>
              <w:rPr>
                <w:rFonts w:ascii="Times New Roman" w:hAnsi="Times New Roman" w:eastAsia="宋体" w:cs="Times New Roman"/>
                <w:color w:val="auto"/>
                <w:kern w:val="0"/>
                <w:szCs w:val="21"/>
                <w:lang w:bidi="ar"/>
              </w:rPr>
              <w:t xml:space="preserve"> </w:t>
            </w:r>
            <w:r>
              <w:rPr>
                <w:rFonts w:ascii="Times New Roman" w:hAnsi="Times New Roman" w:eastAsia="宋体" w:cs="Times New Roman"/>
                <w:color w:val="auto"/>
                <w:kern w:val="0"/>
                <w:szCs w:val="21"/>
                <w:lang w:bidi="ar"/>
              </w:rPr>
              <w:br w:type="textWrapping"/>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、设备容量：支持</w:t>
            </w:r>
            <w:r>
              <w:rPr>
                <w:rFonts w:ascii="Times New Roman" w:hAnsi="Times New Roman" w:eastAsia="宋体" w:cs="Times New Roman"/>
                <w:color w:val="auto"/>
                <w:kern w:val="0"/>
                <w:szCs w:val="21"/>
                <w:lang w:bidi="ar"/>
              </w:rPr>
              <w:t>50000</w:t>
            </w:r>
            <w:r>
              <w:rPr>
                <w:rFonts w:hint="eastAsia" w:ascii="宋体" w:hAnsi="宋体" w:eastAsia="宋体" w:cs="宋体"/>
                <w:color w:val="auto"/>
                <w:kern w:val="0"/>
                <w:szCs w:val="21"/>
                <w:lang w:bidi="ar"/>
              </w:rPr>
              <w:t>张人脸白名单，</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N</w:t>
            </w:r>
            <w:r>
              <w:rPr>
                <w:rFonts w:hint="eastAsia" w:ascii="宋体" w:hAnsi="宋体" w:eastAsia="宋体" w:cs="宋体"/>
                <w:color w:val="auto"/>
                <w:kern w:val="0"/>
                <w:szCs w:val="21"/>
                <w:lang w:bidi="ar"/>
              </w:rPr>
              <w:t>人脸比对时间＜</w:t>
            </w:r>
            <w:r>
              <w:rPr>
                <w:rFonts w:ascii="Times New Roman" w:hAnsi="Times New Roman" w:eastAsia="宋体" w:cs="Times New Roman"/>
                <w:color w:val="auto"/>
                <w:kern w:val="0"/>
                <w:szCs w:val="21"/>
                <w:lang w:bidi="ar"/>
              </w:rPr>
              <w:t>0.2S/</w:t>
            </w:r>
            <w:r>
              <w:rPr>
                <w:rFonts w:hint="eastAsia" w:ascii="宋体" w:hAnsi="宋体" w:eastAsia="宋体" w:cs="宋体"/>
                <w:color w:val="auto"/>
                <w:kern w:val="0"/>
                <w:szCs w:val="21"/>
                <w:lang w:bidi="ar"/>
              </w:rPr>
              <w:t>人，支持</w:t>
            </w:r>
            <w:r>
              <w:rPr>
                <w:rFonts w:ascii="Times New Roman" w:hAnsi="Times New Roman" w:eastAsia="宋体" w:cs="Times New Roman"/>
                <w:color w:val="auto"/>
                <w:kern w:val="0"/>
                <w:szCs w:val="21"/>
                <w:lang w:bidi="ar"/>
              </w:rPr>
              <w:t>50000</w:t>
            </w:r>
            <w:r>
              <w:rPr>
                <w:rFonts w:hint="eastAsia" w:ascii="宋体" w:hAnsi="宋体" w:eastAsia="宋体" w:cs="宋体"/>
                <w:color w:val="auto"/>
                <w:kern w:val="0"/>
                <w:szCs w:val="21"/>
                <w:lang w:bidi="ar"/>
              </w:rPr>
              <w:t>张卡片，</w:t>
            </w:r>
            <w:r>
              <w:rPr>
                <w:rFonts w:ascii="Times New Roman" w:hAnsi="Times New Roman" w:eastAsia="宋体" w:cs="Times New Roman"/>
                <w:color w:val="auto"/>
                <w:kern w:val="0"/>
                <w:szCs w:val="21"/>
                <w:lang w:bidi="ar"/>
              </w:rPr>
              <w:t>100000</w:t>
            </w:r>
            <w:r>
              <w:rPr>
                <w:rFonts w:hint="eastAsia" w:ascii="宋体" w:hAnsi="宋体" w:eastAsia="宋体" w:cs="宋体"/>
                <w:color w:val="auto"/>
                <w:kern w:val="0"/>
                <w:szCs w:val="21"/>
                <w:lang w:bidi="ar"/>
              </w:rPr>
              <w:t>条记录；</w:t>
            </w:r>
            <w:r>
              <w:rPr>
                <w:rFonts w:ascii="Times New Roman" w:hAnsi="Times New Roman" w:eastAsia="宋体" w:cs="Times New Roman"/>
                <w:color w:val="auto"/>
                <w:kern w:val="0"/>
                <w:szCs w:val="21"/>
                <w:lang w:bidi="ar"/>
              </w:rPr>
              <w:t xml:space="preserve"> </w:t>
            </w:r>
            <w:r>
              <w:rPr>
                <w:rFonts w:ascii="Times New Roman" w:hAnsi="Times New Roman" w:eastAsia="宋体" w:cs="Times New Roman"/>
                <w:color w:val="auto"/>
                <w:kern w:val="0"/>
                <w:szCs w:val="21"/>
                <w:lang w:bidi="ar"/>
              </w:rPr>
              <w:br w:type="textWrapping"/>
            </w:r>
            <w:r>
              <w:rPr>
                <w:rFonts w:ascii="Times New Roman" w:hAnsi="Times New Roman" w:eastAsia="宋体" w:cs="Times New Roman"/>
                <w:color w:val="auto"/>
                <w:kern w:val="0"/>
                <w:szCs w:val="21"/>
                <w:lang w:bidi="ar"/>
              </w:rPr>
              <w:t>3</w:t>
            </w:r>
            <w:r>
              <w:rPr>
                <w:rFonts w:hint="eastAsia" w:ascii="宋体" w:hAnsi="宋体" w:eastAsia="宋体" w:cs="宋体"/>
                <w:color w:val="auto"/>
                <w:kern w:val="0"/>
                <w:szCs w:val="21"/>
                <w:lang w:bidi="ar"/>
              </w:rPr>
              <w:t>、认证方式：支持人脸、刷卡、密码（超级密码）及其组合的认证方式；可读取</w:t>
            </w:r>
            <w:r>
              <w:rPr>
                <w:rFonts w:ascii="Times New Roman" w:hAnsi="Times New Roman" w:eastAsia="宋体" w:cs="Times New Roman"/>
                <w:color w:val="auto"/>
                <w:kern w:val="0"/>
                <w:szCs w:val="21"/>
                <w:lang w:bidi="ar"/>
              </w:rPr>
              <w:t>Mifare</w:t>
            </w:r>
            <w:r>
              <w:rPr>
                <w:rFonts w:hint="eastAsia" w:ascii="宋体" w:hAnsi="宋体" w:eastAsia="宋体" w:cs="宋体"/>
                <w:color w:val="auto"/>
                <w:kern w:val="0"/>
                <w:szCs w:val="21"/>
                <w:lang w:bidi="ar"/>
              </w:rPr>
              <w:t>卡（</w:t>
            </w:r>
            <w:r>
              <w:rPr>
                <w:rFonts w:ascii="Times New Roman" w:hAnsi="Times New Roman" w:eastAsia="宋体" w:cs="Times New Roman"/>
                <w:color w:val="auto"/>
                <w:kern w:val="0"/>
                <w:szCs w:val="21"/>
                <w:lang w:bidi="ar"/>
              </w:rPr>
              <w:t>IC</w:t>
            </w:r>
            <w:r>
              <w:rPr>
                <w:rFonts w:hint="eastAsia" w:ascii="宋体" w:hAnsi="宋体" w:eastAsia="宋体" w:cs="宋体"/>
                <w:color w:val="auto"/>
                <w:kern w:val="0"/>
                <w:szCs w:val="21"/>
                <w:lang w:bidi="ar"/>
              </w:rPr>
              <w:t>卡）卡号、</w:t>
            </w:r>
            <w:r>
              <w:rPr>
                <w:rFonts w:ascii="Times New Roman" w:hAnsi="Times New Roman" w:eastAsia="宋体" w:cs="Times New Roman"/>
                <w:color w:val="auto"/>
                <w:kern w:val="0"/>
                <w:szCs w:val="21"/>
                <w:lang w:bidi="ar"/>
              </w:rPr>
              <w:t>CPU</w:t>
            </w:r>
            <w:r>
              <w:rPr>
                <w:rFonts w:hint="eastAsia" w:ascii="宋体" w:hAnsi="宋体" w:eastAsia="宋体" w:cs="宋体"/>
                <w:color w:val="auto"/>
                <w:kern w:val="0"/>
                <w:szCs w:val="21"/>
                <w:lang w:bidi="ar"/>
              </w:rPr>
              <w:t>序列号、身份证序列号；</w:t>
            </w:r>
            <w:r>
              <w:rPr>
                <w:rFonts w:ascii="Times New Roman" w:hAnsi="Times New Roman" w:eastAsia="宋体" w:cs="Times New Roman"/>
                <w:color w:val="auto"/>
                <w:kern w:val="0"/>
                <w:szCs w:val="21"/>
                <w:lang w:bidi="ar"/>
              </w:rPr>
              <w:t xml:space="preserve"> </w:t>
            </w:r>
            <w:r>
              <w:rPr>
                <w:rFonts w:ascii="Times New Roman" w:hAnsi="Times New Roman" w:eastAsia="宋体" w:cs="Times New Roman"/>
                <w:color w:val="auto"/>
                <w:kern w:val="0"/>
                <w:szCs w:val="21"/>
                <w:lang w:bidi="ar"/>
              </w:rPr>
              <w:br w:type="textWrapping"/>
            </w:r>
            <w:r>
              <w:rPr>
                <w:rFonts w:ascii="Times New Roman" w:hAnsi="Times New Roman" w:eastAsia="宋体" w:cs="Times New Roman"/>
                <w:color w:val="auto"/>
                <w:kern w:val="0"/>
                <w:szCs w:val="21"/>
                <w:lang w:bidi="ar"/>
              </w:rPr>
              <w:t>4</w:t>
            </w:r>
            <w:r>
              <w:rPr>
                <w:rFonts w:hint="eastAsia" w:ascii="宋体" w:hAnsi="宋体" w:eastAsia="宋体" w:cs="宋体"/>
                <w:color w:val="auto"/>
                <w:kern w:val="0"/>
                <w:szCs w:val="21"/>
                <w:lang w:bidi="ar"/>
              </w:rPr>
              <w:t>、通讯方式：上行通讯为</w:t>
            </w:r>
            <w:r>
              <w:rPr>
                <w:rFonts w:ascii="Times New Roman" w:hAnsi="Times New Roman" w:eastAsia="宋体" w:cs="Times New Roman"/>
                <w:color w:val="auto"/>
                <w:kern w:val="0"/>
                <w:szCs w:val="21"/>
                <w:lang w:bidi="ar"/>
              </w:rPr>
              <w:t>TCP/IP</w:t>
            </w:r>
            <w:r>
              <w:rPr>
                <w:rFonts w:hint="eastAsia" w:ascii="宋体" w:hAnsi="宋体" w:eastAsia="宋体" w:cs="宋体"/>
                <w:color w:val="auto"/>
                <w:kern w:val="0"/>
                <w:szCs w:val="21"/>
                <w:lang w:bidi="ar"/>
              </w:rPr>
              <w:t>，支持</w:t>
            </w:r>
            <w:r>
              <w:rPr>
                <w:rFonts w:ascii="Times New Roman" w:hAnsi="Times New Roman" w:eastAsia="宋体" w:cs="Times New Roman"/>
                <w:color w:val="auto"/>
                <w:kern w:val="0"/>
                <w:szCs w:val="21"/>
                <w:lang w:bidi="ar"/>
              </w:rPr>
              <w:t>Ehome</w:t>
            </w:r>
            <w:r>
              <w:rPr>
                <w:rFonts w:hint="eastAsia" w:ascii="宋体" w:hAnsi="宋体" w:eastAsia="宋体" w:cs="宋体"/>
                <w:color w:val="auto"/>
                <w:kern w:val="0"/>
                <w:szCs w:val="21"/>
                <w:lang w:bidi="ar"/>
              </w:rPr>
              <w:t>跨公网传输；支持外接</w:t>
            </w:r>
            <w:r>
              <w:rPr>
                <w:rFonts w:ascii="Times New Roman" w:hAnsi="Times New Roman" w:eastAsia="宋体" w:cs="Times New Roman"/>
                <w:color w:val="auto"/>
                <w:kern w:val="0"/>
                <w:szCs w:val="21"/>
                <w:lang w:bidi="ar"/>
              </w:rPr>
              <w:t>RS485</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Wiegand</w:t>
            </w:r>
            <w:r>
              <w:rPr>
                <w:rFonts w:hint="eastAsia" w:ascii="宋体" w:hAnsi="宋体" w:eastAsia="宋体" w:cs="宋体"/>
                <w:color w:val="auto"/>
                <w:kern w:val="0"/>
                <w:szCs w:val="21"/>
                <w:lang w:bidi="ar"/>
              </w:rPr>
              <w:t>副读卡器（不支持外接指纹读卡器）；基线支持标准韦根</w:t>
            </w:r>
            <w:r>
              <w:rPr>
                <w:rFonts w:ascii="Times New Roman" w:hAnsi="Times New Roman" w:eastAsia="宋体" w:cs="Times New Roman"/>
                <w:color w:val="auto"/>
                <w:kern w:val="0"/>
                <w:szCs w:val="21"/>
                <w:lang w:bidi="ar"/>
              </w:rPr>
              <w:t>34/26</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 xml:space="preserve"> </w:t>
            </w:r>
            <w:r>
              <w:rPr>
                <w:rFonts w:ascii="Times New Roman" w:hAnsi="Times New Roman" w:eastAsia="宋体" w:cs="Times New Roman"/>
                <w:color w:val="auto"/>
                <w:kern w:val="0"/>
                <w:szCs w:val="21"/>
                <w:lang w:bidi="ar"/>
              </w:rPr>
              <w:br w:type="textWrapping"/>
            </w: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、视频对讲：支持与云眸、</w:t>
            </w:r>
            <w:r>
              <w:rPr>
                <w:rFonts w:ascii="Times New Roman" w:hAnsi="Times New Roman" w:eastAsia="宋体" w:cs="Times New Roman"/>
                <w:color w:val="auto"/>
                <w:kern w:val="0"/>
                <w:szCs w:val="21"/>
                <w:lang w:bidi="ar"/>
              </w:rPr>
              <w:t>4200</w:t>
            </w:r>
            <w:r>
              <w:rPr>
                <w:rFonts w:hint="eastAsia" w:ascii="宋体" w:hAnsi="宋体" w:eastAsia="宋体" w:cs="宋体"/>
                <w:color w:val="auto"/>
                <w:kern w:val="0"/>
                <w:szCs w:val="21"/>
                <w:lang w:bidi="ar"/>
              </w:rPr>
              <w:t>客户端、主副室内分机、管理机的视频对讲功能；支持远程视频预览功能，可以通过</w:t>
            </w:r>
            <w:r>
              <w:rPr>
                <w:rFonts w:ascii="Times New Roman" w:hAnsi="Times New Roman" w:eastAsia="宋体" w:cs="Times New Roman"/>
                <w:color w:val="auto"/>
                <w:kern w:val="0"/>
                <w:szCs w:val="21"/>
                <w:lang w:bidi="ar"/>
              </w:rPr>
              <w:t>RTSP</w:t>
            </w:r>
            <w:r>
              <w:rPr>
                <w:rFonts w:hint="eastAsia" w:ascii="宋体" w:hAnsi="宋体" w:eastAsia="宋体" w:cs="宋体"/>
                <w:color w:val="auto"/>
                <w:kern w:val="0"/>
                <w:szCs w:val="21"/>
                <w:lang w:bidi="ar"/>
              </w:rPr>
              <w:t>协议输出视频码流，编码格式</w:t>
            </w:r>
            <w:r>
              <w:rPr>
                <w:rFonts w:ascii="Times New Roman" w:hAnsi="Times New Roman" w:eastAsia="宋体" w:cs="Times New Roman"/>
                <w:color w:val="auto"/>
                <w:kern w:val="0"/>
                <w:szCs w:val="21"/>
                <w:lang w:bidi="ar"/>
              </w:rPr>
              <w:t>H.264</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 xml:space="preserve"> </w:t>
            </w:r>
            <w:r>
              <w:rPr>
                <w:rFonts w:ascii="Times New Roman" w:hAnsi="Times New Roman" w:eastAsia="宋体" w:cs="Times New Roman"/>
                <w:color w:val="auto"/>
                <w:kern w:val="0"/>
                <w:szCs w:val="21"/>
                <w:lang w:bidi="ar"/>
              </w:rPr>
              <w:br w:type="textWrapping"/>
            </w:r>
            <w:r>
              <w:rPr>
                <w:rFonts w:ascii="Times New Roman" w:hAnsi="Times New Roman" w:eastAsia="宋体" w:cs="Times New Roman"/>
                <w:color w:val="auto"/>
                <w:kern w:val="0"/>
                <w:szCs w:val="21"/>
                <w:lang w:bidi="ar"/>
              </w:rPr>
              <w:t>6</w:t>
            </w:r>
            <w:r>
              <w:rPr>
                <w:rFonts w:hint="eastAsia" w:ascii="宋体" w:hAnsi="宋体" w:eastAsia="宋体" w:cs="宋体"/>
                <w:color w:val="auto"/>
                <w:kern w:val="0"/>
                <w:szCs w:val="21"/>
                <w:lang w:bidi="ar"/>
              </w:rPr>
              <w:t>、输入接口：</w:t>
            </w:r>
            <w:r>
              <w:rPr>
                <w:rFonts w:ascii="Times New Roman" w:hAnsi="Times New Roman" w:eastAsia="宋体" w:cs="Times New Roman"/>
                <w:color w:val="auto"/>
                <w:kern w:val="0"/>
                <w:szCs w:val="21"/>
                <w:lang w:bidi="ar"/>
              </w:rPr>
              <w:t>LAN*1</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RS485*1</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wiegand * 1</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USB*1</w:t>
            </w:r>
            <w:r>
              <w:rPr>
                <w:rFonts w:hint="eastAsia" w:ascii="宋体" w:hAnsi="宋体" w:eastAsia="宋体" w:cs="宋体"/>
                <w:color w:val="auto"/>
                <w:kern w:val="0"/>
                <w:szCs w:val="21"/>
                <w:lang w:bidi="ar"/>
              </w:rPr>
              <w:t>、门磁</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、报警输入</w:t>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、防拆</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、开门按钮</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 xml:space="preserve"> </w:t>
            </w:r>
            <w:r>
              <w:rPr>
                <w:rFonts w:ascii="Times New Roman" w:hAnsi="Times New Roman" w:eastAsia="宋体" w:cs="Times New Roman"/>
                <w:color w:val="auto"/>
                <w:kern w:val="0"/>
                <w:szCs w:val="21"/>
                <w:lang w:bidi="ar"/>
              </w:rPr>
              <w:br w:type="textWrapping"/>
            </w:r>
            <w:r>
              <w:rPr>
                <w:rFonts w:ascii="Times New Roman" w:hAnsi="Times New Roman" w:eastAsia="宋体" w:cs="Times New Roman"/>
                <w:color w:val="auto"/>
                <w:kern w:val="0"/>
                <w:szCs w:val="21"/>
                <w:lang w:bidi="ar"/>
              </w:rPr>
              <w:t>7</w:t>
            </w:r>
            <w:r>
              <w:rPr>
                <w:rFonts w:hint="eastAsia" w:ascii="宋体" w:hAnsi="宋体" w:eastAsia="宋体" w:cs="宋体"/>
                <w:color w:val="auto"/>
                <w:kern w:val="0"/>
                <w:szCs w:val="21"/>
                <w:lang w:bidi="ar"/>
              </w:rPr>
              <w:t>、输出接口：电锁</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个，报警输出</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w:t>
            </w:r>
            <w:r>
              <w:rPr>
                <w:rFonts w:ascii="Times New Roman" w:hAnsi="Times New Roman" w:eastAsia="宋体" w:cs="Times New Roman"/>
                <w:color w:val="auto"/>
                <w:kern w:val="0"/>
                <w:szCs w:val="21"/>
                <w:lang w:bidi="ar"/>
              </w:rPr>
              <w:t xml:space="preserve"> </w:t>
            </w:r>
            <w:r>
              <w:rPr>
                <w:rFonts w:ascii="Times New Roman" w:hAnsi="Times New Roman" w:eastAsia="宋体" w:cs="Times New Roman"/>
                <w:color w:val="auto"/>
                <w:kern w:val="0"/>
                <w:szCs w:val="21"/>
                <w:lang w:bidi="ar"/>
              </w:rPr>
              <w:br w:type="textWrapping"/>
            </w:r>
            <w:r>
              <w:rPr>
                <w:rFonts w:ascii="Times New Roman" w:hAnsi="Times New Roman" w:eastAsia="宋体" w:cs="Times New Roman"/>
                <w:color w:val="auto"/>
                <w:kern w:val="0"/>
                <w:szCs w:val="21"/>
                <w:lang w:bidi="ar"/>
              </w:rPr>
              <w:t>8</w:t>
            </w:r>
            <w:r>
              <w:rPr>
                <w:rFonts w:hint="eastAsia" w:ascii="宋体" w:hAnsi="宋体" w:eastAsia="宋体" w:cs="宋体"/>
                <w:color w:val="auto"/>
                <w:kern w:val="0"/>
                <w:szCs w:val="21"/>
                <w:lang w:bidi="ar"/>
              </w:rPr>
              <w:t>、工作电压：</w:t>
            </w:r>
            <w:r>
              <w:rPr>
                <w:rFonts w:ascii="Times New Roman" w:hAnsi="Times New Roman" w:eastAsia="宋体" w:cs="Times New Roman"/>
                <w:color w:val="auto"/>
                <w:kern w:val="0"/>
                <w:szCs w:val="21"/>
                <w:lang w:bidi="ar"/>
              </w:rPr>
              <w:t xml:space="preserve"> DC 12V/2A</w:t>
            </w:r>
            <w:r>
              <w:rPr>
                <w:rFonts w:hint="eastAsia" w:ascii="宋体" w:hAnsi="宋体" w:eastAsia="宋体" w:cs="宋体"/>
                <w:color w:val="auto"/>
                <w:kern w:val="0"/>
                <w:szCs w:val="21"/>
                <w:lang w:bidi="ar"/>
              </w:rPr>
              <w:t>，不自带电源；</w:t>
            </w:r>
            <w:r>
              <w:rPr>
                <w:rFonts w:ascii="Times New Roman" w:hAnsi="Times New Roman" w:eastAsia="宋体" w:cs="Times New Roman"/>
                <w:color w:val="auto"/>
                <w:kern w:val="0"/>
                <w:szCs w:val="21"/>
                <w:lang w:bidi="ar"/>
              </w:rPr>
              <w:t xml:space="preserve"> </w:t>
            </w:r>
            <w:r>
              <w:rPr>
                <w:rFonts w:ascii="Times New Roman" w:hAnsi="Times New Roman" w:eastAsia="宋体" w:cs="Times New Roman"/>
                <w:color w:val="auto"/>
                <w:kern w:val="0"/>
                <w:szCs w:val="21"/>
                <w:lang w:bidi="ar"/>
              </w:rPr>
              <w:br w:type="textWrapping"/>
            </w:r>
            <w:r>
              <w:rPr>
                <w:rFonts w:ascii="Times New Roman" w:hAnsi="Times New Roman" w:eastAsia="宋体" w:cs="Times New Roman"/>
                <w:color w:val="auto"/>
                <w:kern w:val="0"/>
                <w:szCs w:val="21"/>
                <w:lang w:bidi="ar"/>
              </w:rPr>
              <w:t>9</w:t>
            </w:r>
            <w:r>
              <w:rPr>
                <w:rFonts w:hint="eastAsia" w:ascii="宋体" w:hAnsi="宋体" w:eastAsia="宋体" w:cs="宋体"/>
                <w:color w:val="auto"/>
                <w:kern w:val="0"/>
                <w:szCs w:val="21"/>
                <w:lang w:bidi="ar"/>
              </w:rPr>
              <w:t>、使用环境：室内外环境，室外使用需要配遮阳罩，避免阳光直射；</w:t>
            </w:r>
            <w:r>
              <w:rPr>
                <w:rFonts w:ascii="Times New Roman" w:hAnsi="Times New Roman" w:eastAsia="宋体" w:cs="Times New Roman"/>
                <w:color w:val="auto"/>
                <w:kern w:val="0"/>
                <w:szCs w:val="21"/>
                <w:lang w:bidi="ar"/>
              </w:rPr>
              <w:br w:type="textWrapping"/>
            </w:r>
            <w:r>
              <w:rPr>
                <w:rFonts w:ascii="Times New Roman" w:hAnsi="Times New Roman" w:eastAsia="宋体" w:cs="Times New Roman"/>
                <w:color w:val="auto"/>
                <w:kern w:val="0"/>
                <w:szCs w:val="21"/>
                <w:lang w:bidi="ar"/>
              </w:rPr>
              <w:t>10</w:t>
            </w:r>
            <w:r>
              <w:rPr>
                <w:rFonts w:hint="eastAsia" w:ascii="宋体" w:hAnsi="宋体" w:eastAsia="宋体" w:cs="宋体"/>
                <w:color w:val="auto"/>
                <w:kern w:val="0"/>
                <w:szCs w:val="21"/>
                <w:lang w:bidi="ar"/>
              </w:rPr>
              <w:t>、安装方式：标配金属安装挂板，支持明装、</w:t>
            </w:r>
            <w:r>
              <w:rPr>
                <w:rFonts w:ascii="Times New Roman" w:hAnsi="Times New Roman" w:eastAsia="宋体" w:cs="Times New Roman"/>
                <w:color w:val="auto"/>
                <w:kern w:val="0"/>
                <w:szCs w:val="21"/>
                <w:lang w:bidi="ar"/>
              </w:rPr>
              <w:t>86</w:t>
            </w:r>
            <w:r>
              <w:rPr>
                <w:rFonts w:hint="eastAsia" w:ascii="宋体" w:hAnsi="宋体" w:eastAsia="宋体" w:cs="宋体"/>
                <w:color w:val="auto"/>
                <w:kern w:val="0"/>
                <w:szCs w:val="21"/>
                <w:lang w:bidi="ar"/>
              </w:rPr>
              <w:t>底盒安装；</w:t>
            </w:r>
            <w:r>
              <w:rPr>
                <w:rFonts w:ascii="Times New Roman" w:hAnsi="Times New Roman" w:eastAsia="宋体" w:cs="Times New Roman"/>
                <w:color w:val="auto"/>
                <w:kern w:val="0"/>
                <w:szCs w:val="21"/>
                <w:lang w:bidi="ar"/>
              </w:rPr>
              <w:t xml:space="preserve"> </w:t>
            </w:r>
            <w:r>
              <w:rPr>
                <w:rFonts w:ascii="Times New Roman" w:hAnsi="Times New Roman" w:eastAsia="宋体" w:cs="Times New Roman"/>
                <w:color w:val="auto"/>
                <w:kern w:val="0"/>
                <w:szCs w:val="21"/>
                <w:lang w:bidi="ar"/>
              </w:rPr>
              <w:br w:type="textWrapping"/>
            </w:r>
            <w:r>
              <w:rPr>
                <w:rFonts w:ascii="Times New Roman" w:hAnsi="Times New Roman" w:eastAsia="宋体" w:cs="Times New Roman"/>
                <w:color w:val="auto"/>
                <w:kern w:val="0"/>
                <w:szCs w:val="21"/>
                <w:lang w:bidi="ar"/>
              </w:rPr>
              <w:t>11</w:t>
            </w:r>
            <w:r>
              <w:rPr>
                <w:rFonts w:hint="eastAsia" w:ascii="宋体" w:hAnsi="宋体" w:eastAsia="宋体" w:cs="宋体"/>
                <w:color w:val="auto"/>
                <w:kern w:val="0"/>
                <w:szCs w:val="21"/>
                <w:lang w:bidi="ar"/>
              </w:rPr>
              <w:t>、产品尺寸：</w:t>
            </w:r>
            <w:r>
              <w:rPr>
                <w:rFonts w:ascii="Times New Roman" w:hAnsi="Times New Roman" w:eastAsia="宋体" w:cs="Times New Roman"/>
                <w:color w:val="auto"/>
                <w:kern w:val="0"/>
                <w:szCs w:val="21"/>
                <w:lang w:bidi="ar"/>
              </w:rPr>
              <w:t>239mm*116.5mm*33mm</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 xml:space="preserve"> </w:t>
            </w:r>
            <w:r>
              <w:rPr>
                <w:rFonts w:ascii="Times New Roman" w:hAnsi="Times New Roman" w:eastAsia="宋体" w:cs="Times New Roman"/>
                <w:color w:val="auto"/>
                <w:kern w:val="0"/>
                <w:szCs w:val="21"/>
                <w:lang w:bidi="ar"/>
              </w:rPr>
              <w:br w:type="textWrapping"/>
            </w:r>
            <w:r>
              <w:rPr>
                <w:rFonts w:ascii="Times New Roman" w:hAnsi="Times New Roman" w:eastAsia="宋体" w:cs="Times New Roman"/>
                <w:color w:val="auto"/>
                <w:kern w:val="0"/>
                <w:szCs w:val="21"/>
                <w:lang w:bidi="ar"/>
              </w:rPr>
              <w:t>12</w:t>
            </w:r>
            <w:r>
              <w:rPr>
                <w:rFonts w:hint="eastAsia" w:ascii="宋体" w:hAnsi="宋体" w:eastAsia="宋体" w:cs="宋体"/>
                <w:color w:val="auto"/>
                <w:kern w:val="0"/>
                <w:szCs w:val="21"/>
                <w:lang w:bidi="ar"/>
              </w:rPr>
              <w:t>、工作温度：</w:t>
            </w:r>
            <w:r>
              <w:rPr>
                <w:rFonts w:ascii="Times New Roman" w:hAnsi="Times New Roman" w:eastAsia="宋体" w:cs="Times New Roman"/>
                <w:color w:val="auto"/>
                <w:kern w:val="0"/>
                <w:szCs w:val="21"/>
                <w:lang w:bidi="ar"/>
              </w:rPr>
              <w:t>-30~65</w:t>
            </w:r>
            <w:r>
              <w:rPr>
                <w:rFonts w:hint="eastAsia" w:ascii="宋体" w:hAnsi="宋体" w:eastAsia="宋体" w:cs="宋体"/>
                <w:color w:val="auto"/>
                <w:kern w:val="0"/>
                <w:szCs w:val="21"/>
                <w:lang w:bidi="ar"/>
              </w:rPr>
              <w:t>℃。</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14</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112000.00</w:t>
            </w:r>
          </w:p>
        </w:tc>
      </w:tr>
      <w:tr>
        <w:tblPrEx>
          <w:tblCellMar>
            <w:top w:w="0" w:type="dxa"/>
            <w:left w:w="0" w:type="dxa"/>
            <w:bottom w:w="0" w:type="dxa"/>
            <w:right w:w="0" w:type="dxa"/>
          </w:tblCellMar>
        </w:tblPrEx>
        <w:trPr>
          <w:trHeight w:val="260" w:hRule="atLeast"/>
          <w:jc w:val="center"/>
        </w:trPr>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宋体" w:hAnsi="宋体" w:eastAsia="宋体" w:cs="宋体"/>
                <w:color w:val="auto"/>
                <w:szCs w:val="21"/>
              </w:rPr>
            </w:pP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宋体" w:hAnsi="宋体" w:eastAsia="宋体" w:cs="宋体"/>
                <w:color w:val="auto"/>
                <w:szCs w:val="21"/>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60" w:hRule="atLeast"/>
          <w:jc w:val="center"/>
        </w:trPr>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宋体" w:hAnsi="宋体" w:eastAsia="宋体" w:cs="宋体"/>
                <w:color w:val="auto"/>
                <w:szCs w:val="21"/>
              </w:rPr>
            </w:pP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宋体" w:hAnsi="宋体" w:eastAsia="宋体" w:cs="宋体"/>
                <w:color w:val="auto"/>
                <w:szCs w:val="21"/>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出门按钮</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225.00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双门磁力锁</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DS-K4H250DC</w:t>
            </w:r>
            <w:r>
              <w:rPr>
                <w:rFonts w:hint="eastAsia" w:ascii="宋体" w:hAnsi="宋体" w:eastAsia="宋体" w:cs="宋体"/>
                <w:color w:val="auto"/>
                <w:kern w:val="0"/>
                <w:szCs w:val="21"/>
                <w:lang w:bidi="ar"/>
              </w:rPr>
              <w:t>，双门磁力锁，单门吸力</w:t>
            </w:r>
            <w:r>
              <w:rPr>
                <w:rFonts w:ascii="Times New Roman" w:hAnsi="Times New Roman" w:eastAsia="宋体" w:cs="Times New Roman"/>
                <w:color w:val="auto"/>
                <w:kern w:val="0"/>
                <w:szCs w:val="21"/>
                <w:lang w:bidi="ar"/>
              </w:rPr>
              <w:t>280KG</w:t>
            </w:r>
            <w:r>
              <w:rPr>
                <w:rFonts w:hint="eastAsia" w:ascii="宋体" w:hAnsi="宋体" w:eastAsia="宋体" w:cs="宋体"/>
                <w:color w:val="auto"/>
                <w:kern w:val="0"/>
                <w:szCs w:val="21"/>
                <w:lang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把</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IC</w:t>
            </w:r>
            <w:r>
              <w:rPr>
                <w:rStyle w:val="51"/>
                <w:rFonts w:hint="default"/>
                <w:color w:val="auto"/>
                <w:sz w:val="21"/>
                <w:szCs w:val="21"/>
                <w:lang w:bidi="ar"/>
              </w:rPr>
              <w:t>卡发卡器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DS-K1F100-D8E</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IC</w:t>
            </w:r>
            <w:r>
              <w:rPr>
                <w:rStyle w:val="51"/>
                <w:rFonts w:hint="default"/>
                <w:color w:val="auto"/>
                <w:sz w:val="21"/>
                <w:szCs w:val="21"/>
                <w:lang w:bidi="ar"/>
              </w:rPr>
              <w:t>卡</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非接触</w:t>
            </w:r>
            <w:r>
              <w:rPr>
                <w:rFonts w:ascii="Times New Roman" w:hAnsi="Times New Roman" w:eastAsia="宋体" w:cs="Times New Roman"/>
                <w:color w:val="auto"/>
                <w:kern w:val="0"/>
                <w:szCs w:val="21"/>
                <w:lang w:bidi="ar"/>
              </w:rPr>
              <w:t>IC</w:t>
            </w:r>
            <w:r>
              <w:rPr>
                <w:rFonts w:hint="eastAsia" w:ascii="宋体" w:hAnsi="宋体" w:eastAsia="宋体" w:cs="宋体"/>
                <w:color w:val="auto"/>
                <w:kern w:val="0"/>
                <w:szCs w:val="21"/>
                <w:lang w:bidi="ar"/>
              </w:rPr>
              <w:t>卡，维根接口。</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75.00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系统软件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配套赠送</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LZ</w:t>
            </w:r>
            <w:r>
              <w:rPr>
                <w:rStyle w:val="51"/>
                <w:rFonts w:hint="default"/>
                <w:color w:val="auto"/>
                <w:sz w:val="21"/>
                <w:szCs w:val="21"/>
                <w:lang w:bidi="ar"/>
              </w:rPr>
              <w:t>支架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LZ</w:t>
            </w:r>
            <w:r>
              <w:rPr>
                <w:rFonts w:hint="eastAsia" w:ascii="宋体" w:hAnsi="宋体" w:eastAsia="宋体" w:cs="宋体"/>
                <w:color w:val="auto"/>
                <w:kern w:val="0"/>
                <w:szCs w:val="21"/>
                <w:lang w:bidi="ar"/>
              </w:rPr>
              <w:t>支架</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线缆管线等辅材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5</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123700.00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6</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视频监控系统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72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红外网络半球摄像机</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w:t>
            </w:r>
            <w:r>
              <w:rPr>
                <w:rFonts w:hint="eastAsia" w:ascii="宋体" w:hAnsi="宋体" w:eastAsia="宋体" w:cs="宋体"/>
                <w:color w:val="auto"/>
                <w:kern w:val="0"/>
                <w:szCs w:val="21"/>
                <w:lang w:bidi="ar"/>
              </w:rPr>
              <w:t>万</w:t>
            </w:r>
            <w:r>
              <w:rPr>
                <w:rFonts w:ascii="Times New Roman" w:hAnsi="Times New Roman" w:eastAsia="宋体" w:cs="Times New Roman"/>
                <w:color w:val="auto"/>
                <w:kern w:val="0"/>
                <w:szCs w:val="21"/>
                <w:lang w:bidi="ar"/>
              </w:rPr>
              <w:t>1/3"CMOS/ICR30</w:t>
            </w:r>
            <w:r>
              <w:rPr>
                <w:rFonts w:hint="eastAsia" w:ascii="宋体" w:hAnsi="宋体" w:eastAsia="宋体" w:cs="宋体"/>
                <w:color w:val="auto"/>
                <w:kern w:val="0"/>
                <w:szCs w:val="21"/>
                <w:lang w:bidi="ar"/>
              </w:rPr>
              <w:t>米</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最高分辨率可达</w:t>
            </w:r>
            <w:r>
              <w:rPr>
                <w:rFonts w:ascii="Times New Roman" w:hAnsi="Times New Roman" w:eastAsia="宋体" w:cs="Times New Roman"/>
                <w:color w:val="auto"/>
                <w:kern w:val="0"/>
                <w:szCs w:val="21"/>
                <w:lang w:bidi="ar"/>
              </w:rPr>
              <w:t>1280×960@30fps/6mm</w:t>
            </w:r>
            <w:r>
              <w:rPr>
                <w:rFonts w:hint="eastAsia" w:ascii="宋体" w:hAnsi="宋体" w:eastAsia="宋体" w:cs="宋体"/>
                <w:color w:val="auto"/>
                <w:kern w:val="0"/>
                <w:szCs w:val="21"/>
                <w:lang w:bidi="ar"/>
              </w:rPr>
              <w:t>镜头</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支持</w:t>
            </w:r>
            <w:r>
              <w:rPr>
                <w:rFonts w:ascii="Times New Roman" w:hAnsi="Times New Roman" w:eastAsia="宋体" w:cs="Times New Roman"/>
                <w:color w:val="auto"/>
                <w:kern w:val="0"/>
                <w:szCs w:val="21"/>
                <w:lang w:bidi="ar"/>
              </w:rPr>
              <w:t>POE/</w:t>
            </w:r>
            <w:r>
              <w:rPr>
                <w:rFonts w:hint="eastAsia" w:ascii="宋体" w:hAnsi="宋体" w:eastAsia="宋体" w:cs="宋体"/>
                <w:color w:val="auto"/>
                <w:kern w:val="0"/>
                <w:szCs w:val="21"/>
                <w:lang w:bidi="ar"/>
              </w:rPr>
              <w:t>日夜型阵列。</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DS-2CD2325-I</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海康威视</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4950.00</w:t>
            </w:r>
          </w:p>
        </w:tc>
      </w:tr>
      <w:tr>
        <w:tblPrEx>
          <w:tblCellMar>
            <w:top w:w="0" w:type="dxa"/>
            <w:left w:w="0" w:type="dxa"/>
            <w:bottom w:w="0" w:type="dxa"/>
            <w:right w:w="0" w:type="dxa"/>
          </w:tblCellMar>
        </w:tblPrEx>
        <w:trPr>
          <w:trHeight w:val="70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16</w:t>
            </w:r>
            <w:r>
              <w:rPr>
                <w:rStyle w:val="51"/>
                <w:rFonts w:hint="default"/>
                <w:color w:val="auto"/>
                <w:sz w:val="21"/>
                <w:szCs w:val="21"/>
                <w:lang w:bidi="ar"/>
              </w:rPr>
              <w:t>路</w:t>
            </w:r>
            <w:r>
              <w:rPr>
                <w:rStyle w:val="50"/>
                <w:rFonts w:ascii="宋体" w:hAnsi="宋体" w:eastAsia="宋体" w:cs="宋体"/>
                <w:color w:val="auto"/>
                <w:sz w:val="21"/>
                <w:szCs w:val="21"/>
                <w:lang w:bidi="ar"/>
              </w:rPr>
              <w:t xml:space="preserve"> NVR</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支持最多可接入</w:t>
            </w:r>
            <w:r>
              <w:rPr>
                <w:rFonts w:ascii="Times New Roman" w:hAnsi="Times New Roman" w:eastAsia="宋体" w:cs="Times New Roman"/>
                <w:color w:val="auto"/>
                <w:kern w:val="0"/>
                <w:szCs w:val="21"/>
                <w:lang w:bidi="ar"/>
              </w:rPr>
              <w:t>4</w:t>
            </w:r>
            <w:r>
              <w:rPr>
                <w:rFonts w:hint="eastAsia" w:ascii="宋体" w:hAnsi="宋体" w:eastAsia="宋体" w:cs="宋体"/>
                <w:color w:val="auto"/>
                <w:kern w:val="0"/>
                <w:szCs w:val="21"/>
                <w:lang w:bidi="ar"/>
              </w:rPr>
              <w:t>块硬盘，支持</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w:t>
            </w:r>
            <w:r>
              <w:rPr>
                <w:rFonts w:ascii="Times New Roman" w:hAnsi="Times New Roman" w:eastAsia="宋体" w:cs="Times New Roman"/>
                <w:color w:val="auto"/>
                <w:kern w:val="0"/>
                <w:szCs w:val="21"/>
                <w:lang w:bidi="ar"/>
              </w:rPr>
              <w:t>HDMI</w:t>
            </w:r>
            <w:r>
              <w:rPr>
                <w:rFonts w:hint="eastAsia" w:ascii="宋体" w:hAnsi="宋体" w:eastAsia="宋体" w:cs="宋体"/>
                <w:color w:val="auto"/>
                <w:kern w:val="0"/>
                <w:szCs w:val="21"/>
                <w:lang w:bidi="ar"/>
              </w:rPr>
              <w:t>和</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w:t>
            </w:r>
            <w:r>
              <w:rPr>
                <w:rFonts w:ascii="Times New Roman" w:hAnsi="Times New Roman" w:eastAsia="宋体" w:cs="Times New Roman"/>
                <w:color w:val="auto"/>
                <w:kern w:val="0"/>
                <w:szCs w:val="21"/>
                <w:lang w:bidi="ar"/>
              </w:rPr>
              <w:t>VGA</w:t>
            </w:r>
            <w:r>
              <w:rPr>
                <w:rFonts w:hint="eastAsia" w:ascii="宋体" w:hAnsi="宋体" w:eastAsia="宋体" w:cs="宋体"/>
                <w:color w:val="auto"/>
                <w:kern w:val="0"/>
                <w:szCs w:val="21"/>
                <w:lang w:bidi="ar"/>
              </w:rPr>
              <w:t>同时输出，</w:t>
            </w:r>
            <w:r>
              <w:rPr>
                <w:rFonts w:ascii="Times New Roman" w:hAnsi="Times New Roman" w:eastAsia="宋体" w:cs="Times New Roman"/>
                <w:color w:val="auto"/>
                <w:kern w:val="0"/>
                <w:szCs w:val="21"/>
                <w:lang w:bidi="ar"/>
              </w:rPr>
              <w:t>POE</w:t>
            </w:r>
            <w:r>
              <w:rPr>
                <w:rFonts w:hint="eastAsia" w:ascii="宋体" w:hAnsi="宋体" w:eastAsia="宋体" w:cs="宋体"/>
                <w:color w:val="auto"/>
                <w:kern w:val="0"/>
                <w:szCs w:val="21"/>
                <w:lang w:bidi="ar"/>
              </w:rPr>
              <w:t>供电。</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DS-7716N-K4/16P</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海康威视</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3500.00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硬盘</w:t>
            </w:r>
            <w:r>
              <w:rPr>
                <w:rStyle w:val="50"/>
                <w:rFonts w:ascii="宋体" w:hAnsi="宋体" w:eastAsia="宋体" w:cs="宋体"/>
                <w:color w:val="auto"/>
                <w:sz w:val="21"/>
                <w:szCs w:val="21"/>
                <w:lang w:bidi="ar"/>
              </w:rPr>
              <w:t>-4T</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4T</w:t>
            </w:r>
            <w:r>
              <w:rPr>
                <w:rFonts w:hint="eastAsia" w:ascii="宋体" w:hAnsi="宋体" w:eastAsia="宋体" w:cs="宋体"/>
                <w:color w:val="auto"/>
                <w:kern w:val="0"/>
                <w:szCs w:val="21"/>
                <w:lang w:bidi="ar"/>
              </w:rPr>
              <w:t>硬盘</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4T</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希捷</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线缆管线等辅材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网线、水晶头、管材等</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6</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20450.00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7</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bdr w:val="single" w:color="000000" w:sz="4" w:space="0"/>
              </w:rPr>
              <w:drawing>
                <wp:anchor distT="0" distB="0" distL="114300" distR="114300" simplePos="0" relativeHeight="251893760"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23" name="TextBox_64"/>
                  <wp:cNvGraphicFramePr/>
                  <a:graphic xmlns:a="http://schemas.openxmlformats.org/drawingml/2006/main">
                    <a:graphicData uri="http://schemas.openxmlformats.org/drawingml/2006/picture">
                      <pic:pic xmlns:pic="http://schemas.openxmlformats.org/drawingml/2006/picture">
                        <pic:nvPicPr>
                          <pic:cNvPr id="223" name="TextBox_6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894784"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24" name="TextBox_65"/>
                  <wp:cNvGraphicFramePr/>
                  <a:graphic xmlns:a="http://schemas.openxmlformats.org/drawingml/2006/main">
                    <a:graphicData uri="http://schemas.openxmlformats.org/drawingml/2006/picture">
                      <pic:pic xmlns:pic="http://schemas.openxmlformats.org/drawingml/2006/picture">
                        <pic:nvPicPr>
                          <pic:cNvPr id="224" name="TextBox_6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895808"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25" name="TextBox_66"/>
                  <wp:cNvGraphicFramePr/>
                  <a:graphic xmlns:a="http://schemas.openxmlformats.org/drawingml/2006/main">
                    <a:graphicData uri="http://schemas.openxmlformats.org/drawingml/2006/picture">
                      <pic:pic xmlns:pic="http://schemas.openxmlformats.org/drawingml/2006/picture">
                        <pic:nvPicPr>
                          <pic:cNvPr id="225" name="TextBox_6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896832"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26" name="TextBox_123"/>
                  <wp:cNvGraphicFramePr/>
                  <a:graphic xmlns:a="http://schemas.openxmlformats.org/drawingml/2006/main">
                    <a:graphicData uri="http://schemas.openxmlformats.org/drawingml/2006/picture">
                      <pic:pic xmlns:pic="http://schemas.openxmlformats.org/drawingml/2006/picture">
                        <pic:nvPicPr>
                          <pic:cNvPr id="226" name="TextBox_123"/>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897856"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27" name="TextBox_115"/>
                  <wp:cNvGraphicFramePr/>
                  <a:graphic xmlns:a="http://schemas.openxmlformats.org/drawingml/2006/main">
                    <a:graphicData uri="http://schemas.openxmlformats.org/drawingml/2006/picture">
                      <pic:pic xmlns:pic="http://schemas.openxmlformats.org/drawingml/2006/picture">
                        <pic:nvPicPr>
                          <pic:cNvPr id="227" name="TextBox_11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898880"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28" name="TextBox_119"/>
                  <wp:cNvGraphicFramePr/>
                  <a:graphic xmlns:a="http://schemas.openxmlformats.org/drawingml/2006/main">
                    <a:graphicData uri="http://schemas.openxmlformats.org/drawingml/2006/picture">
                      <pic:pic xmlns:pic="http://schemas.openxmlformats.org/drawingml/2006/picture">
                        <pic:nvPicPr>
                          <pic:cNvPr id="228" name="TextBox_11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899904"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29" name="TextBox_121"/>
                  <wp:cNvGraphicFramePr/>
                  <a:graphic xmlns:a="http://schemas.openxmlformats.org/drawingml/2006/main">
                    <a:graphicData uri="http://schemas.openxmlformats.org/drawingml/2006/picture">
                      <pic:pic xmlns:pic="http://schemas.openxmlformats.org/drawingml/2006/picture">
                        <pic:nvPicPr>
                          <pic:cNvPr id="229" name="TextBox_12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00928"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30" name="TextBox_122"/>
                  <wp:cNvGraphicFramePr/>
                  <a:graphic xmlns:a="http://schemas.openxmlformats.org/drawingml/2006/main">
                    <a:graphicData uri="http://schemas.openxmlformats.org/drawingml/2006/picture">
                      <pic:pic xmlns:pic="http://schemas.openxmlformats.org/drawingml/2006/picture">
                        <pic:nvPicPr>
                          <pic:cNvPr id="230" name="TextBox_12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01952"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31" name="TextBox_120"/>
                  <wp:cNvGraphicFramePr/>
                  <a:graphic xmlns:a="http://schemas.openxmlformats.org/drawingml/2006/main">
                    <a:graphicData uri="http://schemas.openxmlformats.org/drawingml/2006/picture">
                      <pic:pic xmlns:pic="http://schemas.openxmlformats.org/drawingml/2006/picture">
                        <pic:nvPicPr>
                          <pic:cNvPr id="231" name="TextBox_12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02976"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32" name="TextBox_116"/>
                  <wp:cNvGraphicFramePr/>
                  <a:graphic xmlns:a="http://schemas.openxmlformats.org/drawingml/2006/main">
                    <a:graphicData uri="http://schemas.openxmlformats.org/drawingml/2006/picture">
                      <pic:pic xmlns:pic="http://schemas.openxmlformats.org/drawingml/2006/picture">
                        <pic:nvPicPr>
                          <pic:cNvPr id="232" name="TextBox_11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04000"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33" name="TextBox_117"/>
                  <wp:cNvGraphicFramePr/>
                  <a:graphic xmlns:a="http://schemas.openxmlformats.org/drawingml/2006/main">
                    <a:graphicData uri="http://schemas.openxmlformats.org/drawingml/2006/picture">
                      <pic:pic xmlns:pic="http://schemas.openxmlformats.org/drawingml/2006/picture">
                        <pic:nvPicPr>
                          <pic:cNvPr id="233" name="TextBox_117"/>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05024"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34" name="TextBox_118"/>
                  <wp:cNvGraphicFramePr/>
                  <a:graphic xmlns:a="http://schemas.openxmlformats.org/drawingml/2006/main">
                    <a:graphicData uri="http://schemas.openxmlformats.org/drawingml/2006/picture">
                      <pic:pic xmlns:pic="http://schemas.openxmlformats.org/drawingml/2006/picture">
                        <pic:nvPicPr>
                          <pic:cNvPr id="234" name="TextBox_118"/>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06048"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35" name="TextBox_104"/>
                  <wp:cNvGraphicFramePr/>
                  <a:graphic xmlns:a="http://schemas.openxmlformats.org/drawingml/2006/main">
                    <a:graphicData uri="http://schemas.openxmlformats.org/drawingml/2006/picture">
                      <pic:pic xmlns:pic="http://schemas.openxmlformats.org/drawingml/2006/picture">
                        <pic:nvPicPr>
                          <pic:cNvPr id="235" name="TextBox_10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07072"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36" name="TextBox_107"/>
                  <wp:cNvGraphicFramePr/>
                  <a:graphic xmlns:a="http://schemas.openxmlformats.org/drawingml/2006/main">
                    <a:graphicData uri="http://schemas.openxmlformats.org/drawingml/2006/picture">
                      <pic:pic xmlns:pic="http://schemas.openxmlformats.org/drawingml/2006/picture">
                        <pic:nvPicPr>
                          <pic:cNvPr id="236" name="TextBox_107"/>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08096"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37" name="TextBox_111"/>
                  <wp:cNvGraphicFramePr/>
                  <a:graphic xmlns:a="http://schemas.openxmlformats.org/drawingml/2006/main">
                    <a:graphicData uri="http://schemas.openxmlformats.org/drawingml/2006/picture">
                      <pic:pic xmlns:pic="http://schemas.openxmlformats.org/drawingml/2006/picture">
                        <pic:nvPicPr>
                          <pic:cNvPr id="237" name="TextBox_11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09120"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38" name="TextBox_113"/>
                  <wp:cNvGraphicFramePr/>
                  <a:graphic xmlns:a="http://schemas.openxmlformats.org/drawingml/2006/main">
                    <a:graphicData uri="http://schemas.openxmlformats.org/drawingml/2006/picture">
                      <pic:pic xmlns:pic="http://schemas.openxmlformats.org/drawingml/2006/picture">
                        <pic:nvPicPr>
                          <pic:cNvPr id="238" name="TextBox_113"/>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10144"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39" name="TextBox_114"/>
                  <wp:cNvGraphicFramePr/>
                  <a:graphic xmlns:a="http://schemas.openxmlformats.org/drawingml/2006/main">
                    <a:graphicData uri="http://schemas.openxmlformats.org/drawingml/2006/picture">
                      <pic:pic xmlns:pic="http://schemas.openxmlformats.org/drawingml/2006/picture">
                        <pic:nvPicPr>
                          <pic:cNvPr id="239" name="TextBox_11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11168"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40" name="TextBox_112"/>
                  <wp:cNvGraphicFramePr/>
                  <a:graphic xmlns:a="http://schemas.openxmlformats.org/drawingml/2006/main">
                    <a:graphicData uri="http://schemas.openxmlformats.org/drawingml/2006/picture">
                      <pic:pic xmlns:pic="http://schemas.openxmlformats.org/drawingml/2006/picture">
                        <pic:nvPicPr>
                          <pic:cNvPr id="240" name="TextBox_11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12192"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41" name="TextBox_108"/>
                  <wp:cNvGraphicFramePr/>
                  <a:graphic xmlns:a="http://schemas.openxmlformats.org/drawingml/2006/main">
                    <a:graphicData uri="http://schemas.openxmlformats.org/drawingml/2006/picture">
                      <pic:pic xmlns:pic="http://schemas.openxmlformats.org/drawingml/2006/picture">
                        <pic:nvPicPr>
                          <pic:cNvPr id="241" name="TextBox_108"/>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13216"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42" name="TextBox_109"/>
                  <wp:cNvGraphicFramePr/>
                  <a:graphic xmlns:a="http://schemas.openxmlformats.org/drawingml/2006/main">
                    <a:graphicData uri="http://schemas.openxmlformats.org/drawingml/2006/picture">
                      <pic:pic xmlns:pic="http://schemas.openxmlformats.org/drawingml/2006/picture">
                        <pic:nvPicPr>
                          <pic:cNvPr id="242" name="TextBox_10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14240"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43" name="TextBox_110"/>
                  <wp:cNvGraphicFramePr/>
                  <a:graphic xmlns:a="http://schemas.openxmlformats.org/drawingml/2006/main">
                    <a:graphicData uri="http://schemas.openxmlformats.org/drawingml/2006/picture">
                      <pic:pic xmlns:pic="http://schemas.openxmlformats.org/drawingml/2006/picture">
                        <pic:nvPicPr>
                          <pic:cNvPr id="243" name="TextBox_11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15264"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44" name="TextBox_105"/>
                  <wp:cNvGraphicFramePr/>
                  <a:graphic xmlns:a="http://schemas.openxmlformats.org/drawingml/2006/main">
                    <a:graphicData uri="http://schemas.openxmlformats.org/drawingml/2006/picture">
                      <pic:pic xmlns:pic="http://schemas.openxmlformats.org/drawingml/2006/picture">
                        <pic:nvPicPr>
                          <pic:cNvPr id="244" name="TextBox_10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16288"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45" name="TextBox_106"/>
                  <wp:cNvGraphicFramePr/>
                  <a:graphic xmlns:a="http://schemas.openxmlformats.org/drawingml/2006/main">
                    <a:graphicData uri="http://schemas.openxmlformats.org/drawingml/2006/picture">
                      <pic:pic xmlns:pic="http://schemas.openxmlformats.org/drawingml/2006/picture">
                        <pic:nvPicPr>
                          <pic:cNvPr id="245" name="TextBox_10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17312"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46" name="TextBox_67"/>
                  <wp:cNvGraphicFramePr/>
                  <a:graphic xmlns:a="http://schemas.openxmlformats.org/drawingml/2006/main">
                    <a:graphicData uri="http://schemas.openxmlformats.org/drawingml/2006/picture">
                      <pic:pic xmlns:pic="http://schemas.openxmlformats.org/drawingml/2006/picture">
                        <pic:nvPicPr>
                          <pic:cNvPr id="246" name="TextBox_67"/>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18336"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47" name="TextBox_83"/>
                  <wp:cNvGraphicFramePr/>
                  <a:graphic xmlns:a="http://schemas.openxmlformats.org/drawingml/2006/main">
                    <a:graphicData uri="http://schemas.openxmlformats.org/drawingml/2006/picture">
                      <pic:pic xmlns:pic="http://schemas.openxmlformats.org/drawingml/2006/picture">
                        <pic:nvPicPr>
                          <pic:cNvPr id="247" name="TextBox_83"/>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19360"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48" name="TextBox_2"/>
                  <wp:cNvGraphicFramePr/>
                  <a:graphic xmlns:a="http://schemas.openxmlformats.org/drawingml/2006/main">
                    <a:graphicData uri="http://schemas.openxmlformats.org/drawingml/2006/picture">
                      <pic:pic xmlns:pic="http://schemas.openxmlformats.org/drawingml/2006/picture">
                        <pic:nvPicPr>
                          <pic:cNvPr id="248" name="TextBox_2"/>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20384"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49" name="TextBox_9"/>
                  <wp:cNvGraphicFramePr/>
                  <a:graphic xmlns:a="http://schemas.openxmlformats.org/drawingml/2006/main">
                    <a:graphicData uri="http://schemas.openxmlformats.org/drawingml/2006/picture">
                      <pic:pic xmlns:pic="http://schemas.openxmlformats.org/drawingml/2006/picture">
                        <pic:nvPicPr>
                          <pic:cNvPr id="249" name="TextBox_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21408"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50" name="TextBox_10"/>
                  <wp:cNvGraphicFramePr/>
                  <a:graphic xmlns:a="http://schemas.openxmlformats.org/drawingml/2006/main">
                    <a:graphicData uri="http://schemas.openxmlformats.org/drawingml/2006/picture">
                      <pic:pic xmlns:pic="http://schemas.openxmlformats.org/drawingml/2006/picture">
                        <pic:nvPicPr>
                          <pic:cNvPr id="250" name="TextBox_1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22432"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51" name="TextBox_11"/>
                  <wp:cNvGraphicFramePr/>
                  <a:graphic xmlns:a="http://schemas.openxmlformats.org/drawingml/2006/main">
                    <a:graphicData uri="http://schemas.openxmlformats.org/drawingml/2006/picture">
                      <pic:pic xmlns:pic="http://schemas.openxmlformats.org/drawingml/2006/picture">
                        <pic:nvPicPr>
                          <pic:cNvPr id="251" name="TextBox_1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23456"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52" name="TextBox_3"/>
                  <wp:cNvGraphicFramePr/>
                  <a:graphic xmlns:a="http://schemas.openxmlformats.org/drawingml/2006/main">
                    <a:graphicData uri="http://schemas.openxmlformats.org/drawingml/2006/picture">
                      <pic:pic xmlns:pic="http://schemas.openxmlformats.org/drawingml/2006/picture">
                        <pic:nvPicPr>
                          <pic:cNvPr id="252" name="TextBox_3"/>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24480"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53" name="TextBox_5"/>
                  <wp:cNvGraphicFramePr/>
                  <a:graphic xmlns:a="http://schemas.openxmlformats.org/drawingml/2006/main">
                    <a:graphicData uri="http://schemas.openxmlformats.org/drawingml/2006/picture">
                      <pic:pic xmlns:pic="http://schemas.openxmlformats.org/drawingml/2006/picture">
                        <pic:nvPicPr>
                          <pic:cNvPr id="253" name="TextBox_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25504"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54" name="TextBox_7"/>
                  <wp:cNvGraphicFramePr/>
                  <a:graphic xmlns:a="http://schemas.openxmlformats.org/drawingml/2006/main">
                    <a:graphicData uri="http://schemas.openxmlformats.org/drawingml/2006/picture">
                      <pic:pic xmlns:pic="http://schemas.openxmlformats.org/drawingml/2006/picture">
                        <pic:nvPicPr>
                          <pic:cNvPr id="254" name="TextBox_7"/>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26528"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55" name="TextBox_8"/>
                  <wp:cNvGraphicFramePr/>
                  <a:graphic xmlns:a="http://schemas.openxmlformats.org/drawingml/2006/main">
                    <a:graphicData uri="http://schemas.openxmlformats.org/drawingml/2006/picture">
                      <pic:pic xmlns:pic="http://schemas.openxmlformats.org/drawingml/2006/picture">
                        <pic:nvPicPr>
                          <pic:cNvPr id="255" name="TextBox_8"/>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27552"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56" name="TextBox_6"/>
                  <wp:cNvGraphicFramePr/>
                  <a:graphic xmlns:a="http://schemas.openxmlformats.org/drawingml/2006/main">
                    <a:graphicData uri="http://schemas.openxmlformats.org/drawingml/2006/picture">
                      <pic:pic xmlns:pic="http://schemas.openxmlformats.org/drawingml/2006/picture">
                        <pic:nvPicPr>
                          <pic:cNvPr id="256" name="TextBox_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28576"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57" name="TextBox_4"/>
                  <wp:cNvGraphicFramePr/>
                  <a:graphic xmlns:a="http://schemas.openxmlformats.org/drawingml/2006/main">
                    <a:graphicData uri="http://schemas.openxmlformats.org/drawingml/2006/picture">
                      <pic:pic xmlns:pic="http://schemas.openxmlformats.org/drawingml/2006/picture">
                        <pic:nvPicPr>
                          <pic:cNvPr id="257" name="TextBox_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29600"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58" name="TextBox_68"/>
                  <wp:cNvGraphicFramePr/>
                  <a:graphic xmlns:a="http://schemas.openxmlformats.org/drawingml/2006/main">
                    <a:graphicData uri="http://schemas.openxmlformats.org/drawingml/2006/picture">
                      <pic:pic xmlns:pic="http://schemas.openxmlformats.org/drawingml/2006/picture">
                        <pic:nvPicPr>
                          <pic:cNvPr id="258" name="TextBox_68"/>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30624"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59" name="TextBox_75"/>
                  <wp:cNvGraphicFramePr/>
                  <a:graphic xmlns:a="http://schemas.openxmlformats.org/drawingml/2006/main">
                    <a:graphicData uri="http://schemas.openxmlformats.org/drawingml/2006/picture">
                      <pic:pic xmlns:pic="http://schemas.openxmlformats.org/drawingml/2006/picture">
                        <pic:nvPicPr>
                          <pic:cNvPr id="259" name="TextBox_7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31648"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60" name="TextBox_79"/>
                  <wp:cNvGraphicFramePr/>
                  <a:graphic xmlns:a="http://schemas.openxmlformats.org/drawingml/2006/main">
                    <a:graphicData uri="http://schemas.openxmlformats.org/drawingml/2006/picture">
                      <pic:pic xmlns:pic="http://schemas.openxmlformats.org/drawingml/2006/picture">
                        <pic:nvPicPr>
                          <pic:cNvPr id="260" name="TextBox_7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32672"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61" name="TextBox_81"/>
                  <wp:cNvGraphicFramePr/>
                  <a:graphic xmlns:a="http://schemas.openxmlformats.org/drawingml/2006/main">
                    <a:graphicData uri="http://schemas.openxmlformats.org/drawingml/2006/picture">
                      <pic:pic xmlns:pic="http://schemas.openxmlformats.org/drawingml/2006/picture">
                        <pic:nvPicPr>
                          <pic:cNvPr id="261" name="TextBox_8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33696"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72" name="TextBox_82"/>
                  <wp:cNvGraphicFramePr/>
                  <a:graphic xmlns:a="http://schemas.openxmlformats.org/drawingml/2006/main">
                    <a:graphicData uri="http://schemas.openxmlformats.org/drawingml/2006/picture">
                      <pic:pic xmlns:pic="http://schemas.openxmlformats.org/drawingml/2006/picture">
                        <pic:nvPicPr>
                          <pic:cNvPr id="272" name="TextBox_8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34720"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73" name="TextBox_80"/>
                  <wp:cNvGraphicFramePr/>
                  <a:graphic xmlns:a="http://schemas.openxmlformats.org/drawingml/2006/main">
                    <a:graphicData uri="http://schemas.openxmlformats.org/drawingml/2006/picture">
                      <pic:pic xmlns:pic="http://schemas.openxmlformats.org/drawingml/2006/picture">
                        <pic:nvPicPr>
                          <pic:cNvPr id="273" name="TextBox_8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35744"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74" name="TextBox_76"/>
                  <wp:cNvGraphicFramePr/>
                  <a:graphic xmlns:a="http://schemas.openxmlformats.org/drawingml/2006/main">
                    <a:graphicData uri="http://schemas.openxmlformats.org/drawingml/2006/picture">
                      <pic:pic xmlns:pic="http://schemas.openxmlformats.org/drawingml/2006/picture">
                        <pic:nvPicPr>
                          <pic:cNvPr id="274" name="TextBox_7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36768"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75" name="TextBox_77"/>
                  <wp:cNvGraphicFramePr/>
                  <a:graphic xmlns:a="http://schemas.openxmlformats.org/drawingml/2006/main">
                    <a:graphicData uri="http://schemas.openxmlformats.org/drawingml/2006/picture">
                      <pic:pic xmlns:pic="http://schemas.openxmlformats.org/drawingml/2006/picture">
                        <pic:nvPicPr>
                          <pic:cNvPr id="275" name="TextBox_77"/>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37792"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76" name="TextBox_78"/>
                  <wp:cNvGraphicFramePr/>
                  <a:graphic xmlns:a="http://schemas.openxmlformats.org/drawingml/2006/main">
                    <a:graphicData uri="http://schemas.openxmlformats.org/drawingml/2006/picture">
                      <pic:pic xmlns:pic="http://schemas.openxmlformats.org/drawingml/2006/picture">
                        <pic:nvPicPr>
                          <pic:cNvPr id="276" name="TextBox_78"/>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38816"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77" name="TextBox_69"/>
                  <wp:cNvGraphicFramePr/>
                  <a:graphic xmlns:a="http://schemas.openxmlformats.org/drawingml/2006/main">
                    <a:graphicData uri="http://schemas.openxmlformats.org/drawingml/2006/picture">
                      <pic:pic xmlns:pic="http://schemas.openxmlformats.org/drawingml/2006/picture">
                        <pic:nvPicPr>
                          <pic:cNvPr id="277" name="TextBox_6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39840"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78" name="TextBox_71"/>
                  <wp:cNvGraphicFramePr/>
                  <a:graphic xmlns:a="http://schemas.openxmlformats.org/drawingml/2006/main">
                    <a:graphicData uri="http://schemas.openxmlformats.org/drawingml/2006/picture">
                      <pic:pic xmlns:pic="http://schemas.openxmlformats.org/drawingml/2006/picture">
                        <pic:nvPicPr>
                          <pic:cNvPr id="278" name="TextBox_7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40864"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79" name="TextBox_73"/>
                  <wp:cNvGraphicFramePr/>
                  <a:graphic xmlns:a="http://schemas.openxmlformats.org/drawingml/2006/main">
                    <a:graphicData uri="http://schemas.openxmlformats.org/drawingml/2006/picture">
                      <pic:pic xmlns:pic="http://schemas.openxmlformats.org/drawingml/2006/picture">
                        <pic:nvPicPr>
                          <pic:cNvPr id="279" name="TextBox_73"/>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41888"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280" name="TextBox_74"/>
                  <wp:cNvGraphicFramePr/>
                  <a:graphic xmlns:a="http://schemas.openxmlformats.org/drawingml/2006/main">
                    <a:graphicData uri="http://schemas.openxmlformats.org/drawingml/2006/picture">
                      <pic:pic xmlns:pic="http://schemas.openxmlformats.org/drawingml/2006/picture">
                        <pic:nvPicPr>
                          <pic:cNvPr id="280" name="TextBox_7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42912"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81" name="TextBox_72"/>
                  <wp:cNvGraphicFramePr/>
                  <a:graphic xmlns:a="http://schemas.openxmlformats.org/drawingml/2006/main">
                    <a:graphicData uri="http://schemas.openxmlformats.org/drawingml/2006/picture">
                      <pic:pic xmlns:pic="http://schemas.openxmlformats.org/drawingml/2006/picture">
                        <pic:nvPicPr>
                          <pic:cNvPr id="281" name="TextBox_7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1943936"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282" name="TextBox_70"/>
                  <wp:cNvGraphicFramePr/>
                  <a:graphic xmlns:a="http://schemas.openxmlformats.org/drawingml/2006/main">
                    <a:graphicData uri="http://schemas.openxmlformats.org/drawingml/2006/picture">
                      <pic:pic xmlns:pic="http://schemas.openxmlformats.org/drawingml/2006/picture">
                        <pic:nvPicPr>
                          <pic:cNvPr id="282" name="TextBox_7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lang w:bidi="ar"/>
              </w:rPr>
              <w:t>消防系统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bdr w:val="single" w:color="000000" w:sz="4" w:space="0"/>
              </w:rPr>
              <w:drawing>
                <wp:anchor distT="0" distB="0" distL="114300" distR="114300" simplePos="0" relativeHeight="25194496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283" name="TextBox_127"/>
                  <wp:cNvGraphicFramePr/>
                  <a:graphic xmlns:a="http://schemas.openxmlformats.org/drawingml/2006/main">
                    <a:graphicData uri="http://schemas.openxmlformats.org/drawingml/2006/picture">
                      <pic:pic xmlns:pic="http://schemas.openxmlformats.org/drawingml/2006/picture">
                        <pic:nvPicPr>
                          <pic:cNvPr id="283" name="TextBox_127"/>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4598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284" name="TextBox_129"/>
                  <wp:cNvGraphicFramePr/>
                  <a:graphic xmlns:a="http://schemas.openxmlformats.org/drawingml/2006/main">
                    <a:graphicData uri="http://schemas.openxmlformats.org/drawingml/2006/picture">
                      <pic:pic xmlns:pic="http://schemas.openxmlformats.org/drawingml/2006/picture">
                        <pic:nvPicPr>
                          <pic:cNvPr id="284" name="TextBox_12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4700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285" name="TextBox_130"/>
                  <wp:cNvGraphicFramePr/>
                  <a:graphic xmlns:a="http://schemas.openxmlformats.org/drawingml/2006/main">
                    <a:graphicData uri="http://schemas.openxmlformats.org/drawingml/2006/picture">
                      <pic:pic xmlns:pic="http://schemas.openxmlformats.org/drawingml/2006/picture">
                        <pic:nvPicPr>
                          <pic:cNvPr id="285" name="TextBox_13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4803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286" name="TextBox_2_SpCnt_1"/>
                  <wp:cNvGraphicFramePr/>
                  <a:graphic xmlns:a="http://schemas.openxmlformats.org/drawingml/2006/main">
                    <a:graphicData uri="http://schemas.openxmlformats.org/drawingml/2006/picture">
                      <pic:pic xmlns:pic="http://schemas.openxmlformats.org/drawingml/2006/picture">
                        <pic:nvPicPr>
                          <pic:cNvPr id="286" name="TextBox_2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4905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287" name="TextBox_112_SpCnt_1"/>
                  <wp:cNvGraphicFramePr/>
                  <a:graphic xmlns:a="http://schemas.openxmlformats.org/drawingml/2006/main">
                    <a:graphicData uri="http://schemas.openxmlformats.org/drawingml/2006/picture">
                      <pic:pic xmlns:pic="http://schemas.openxmlformats.org/drawingml/2006/picture">
                        <pic:nvPicPr>
                          <pic:cNvPr id="287" name="TextBox_112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5008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288" name="TextBox_128"/>
                  <wp:cNvGraphicFramePr/>
                  <a:graphic xmlns:a="http://schemas.openxmlformats.org/drawingml/2006/main">
                    <a:graphicData uri="http://schemas.openxmlformats.org/drawingml/2006/picture">
                      <pic:pic xmlns:pic="http://schemas.openxmlformats.org/drawingml/2006/picture">
                        <pic:nvPicPr>
                          <pic:cNvPr id="288" name="TextBox_128"/>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5110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289" name="TextBox_124"/>
                  <wp:cNvGraphicFramePr/>
                  <a:graphic xmlns:a="http://schemas.openxmlformats.org/drawingml/2006/main">
                    <a:graphicData uri="http://schemas.openxmlformats.org/drawingml/2006/picture">
                      <pic:pic xmlns:pic="http://schemas.openxmlformats.org/drawingml/2006/picture">
                        <pic:nvPicPr>
                          <pic:cNvPr id="289" name="TextBox_12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5212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290" name="TextBox_125"/>
                  <wp:cNvGraphicFramePr/>
                  <a:graphic xmlns:a="http://schemas.openxmlformats.org/drawingml/2006/main">
                    <a:graphicData uri="http://schemas.openxmlformats.org/drawingml/2006/picture">
                      <pic:pic xmlns:pic="http://schemas.openxmlformats.org/drawingml/2006/picture">
                        <pic:nvPicPr>
                          <pic:cNvPr id="290" name="TextBox_12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5315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291" name="TextBox_126"/>
                  <wp:cNvGraphicFramePr/>
                  <a:graphic xmlns:a="http://schemas.openxmlformats.org/drawingml/2006/main">
                    <a:graphicData uri="http://schemas.openxmlformats.org/drawingml/2006/picture">
                      <pic:pic xmlns:pic="http://schemas.openxmlformats.org/drawingml/2006/picture">
                        <pic:nvPicPr>
                          <pic:cNvPr id="291" name="TextBox_12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5417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292" name="TextBox_10_SpCnt_1"/>
                  <wp:cNvGraphicFramePr/>
                  <a:graphic xmlns:a="http://schemas.openxmlformats.org/drawingml/2006/main">
                    <a:graphicData uri="http://schemas.openxmlformats.org/drawingml/2006/picture">
                      <pic:pic xmlns:pic="http://schemas.openxmlformats.org/drawingml/2006/picture">
                        <pic:nvPicPr>
                          <pic:cNvPr id="292" name="TextBox_10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5520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293" name="TextBox_8_SpCnt_1"/>
                  <wp:cNvGraphicFramePr/>
                  <a:graphic xmlns:a="http://schemas.openxmlformats.org/drawingml/2006/main">
                    <a:graphicData uri="http://schemas.openxmlformats.org/drawingml/2006/picture">
                      <pic:pic xmlns:pic="http://schemas.openxmlformats.org/drawingml/2006/picture">
                        <pic:nvPicPr>
                          <pic:cNvPr id="293" name="TextBox_8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5622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294" name="TextBox_6_SpCnt_1"/>
                  <wp:cNvGraphicFramePr/>
                  <a:graphic xmlns:a="http://schemas.openxmlformats.org/drawingml/2006/main">
                    <a:graphicData uri="http://schemas.openxmlformats.org/drawingml/2006/picture">
                      <pic:pic xmlns:pic="http://schemas.openxmlformats.org/drawingml/2006/picture">
                        <pic:nvPicPr>
                          <pic:cNvPr id="294" name="TextBox_6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5724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295" name="TextBox_5_SpCnt_1"/>
                  <wp:cNvGraphicFramePr/>
                  <a:graphic xmlns:a="http://schemas.openxmlformats.org/drawingml/2006/main">
                    <a:graphicData uri="http://schemas.openxmlformats.org/drawingml/2006/picture">
                      <pic:pic xmlns:pic="http://schemas.openxmlformats.org/drawingml/2006/picture">
                        <pic:nvPicPr>
                          <pic:cNvPr id="295" name="TextBox_5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5827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296" name="TextBox_4_SpCnt_1"/>
                  <wp:cNvGraphicFramePr/>
                  <a:graphic xmlns:a="http://schemas.openxmlformats.org/drawingml/2006/main">
                    <a:graphicData uri="http://schemas.openxmlformats.org/drawingml/2006/picture">
                      <pic:pic xmlns:pic="http://schemas.openxmlformats.org/drawingml/2006/picture">
                        <pic:nvPicPr>
                          <pic:cNvPr id="296" name="TextBox_4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5929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297" name="TextBox_11_SpCnt_1"/>
                  <wp:cNvGraphicFramePr/>
                  <a:graphic xmlns:a="http://schemas.openxmlformats.org/drawingml/2006/main">
                    <a:graphicData uri="http://schemas.openxmlformats.org/drawingml/2006/picture">
                      <pic:pic xmlns:pic="http://schemas.openxmlformats.org/drawingml/2006/picture">
                        <pic:nvPicPr>
                          <pic:cNvPr id="297" name="TextBox_11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6032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298" name="TextBox_120_SpCnt_1"/>
                  <wp:cNvGraphicFramePr/>
                  <a:graphic xmlns:a="http://schemas.openxmlformats.org/drawingml/2006/main">
                    <a:graphicData uri="http://schemas.openxmlformats.org/drawingml/2006/picture">
                      <pic:pic xmlns:pic="http://schemas.openxmlformats.org/drawingml/2006/picture">
                        <pic:nvPicPr>
                          <pic:cNvPr id="298" name="TextBox_120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6134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299" name="TextBox_116_SpCnt_1"/>
                  <wp:cNvGraphicFramePr/>
                  <a:graphic xmlns:a="http://schemas.openxmlformats.org/drawingml/2006/main">
                    <a:graphicData uri="http://schemas.openxmlformats.org/drawingml/2006/picture">
                      <pic:pic xmlns:pic="http://schemas.openxmlformats.org/drawingml/2006/picture">
                        <pic:nvPicPr>
                          <pic:cNvPr id="299" name="TextBox_116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6236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00" name="TextBox_9_SpCnt_1"/>
                  <wp:cNvGraphicFramePr/>
                  <a:graphic xmlns:a="http://schemas.openxmlformats.org/drawingml/2006/main">
                    <a:graphicData uri="http://schemas.openxmlformats.org/drawingml/2006/picture">
                      <pic:pic xmlns:pic="http://schemas.openxmlformats.org/drawingml/2006/picture">
                        <pic:nvPicPr>
                          <pic:cNvPr id="300" name="TextBox_9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6339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01" name="TextBox_7_SpCnt_1"/>
                  <wp:cNvGraphicFramePr/>
                  <a:graphic xmlns:a="http://schemas.openxmlformats.org/drawingml/2006/main">
                    <a:graphicData uri="http://schemas.openxmlformats.org/drawingml/2006/picture">
                      <pic:pic xmlns:pic="http://schemas.openxmlformats.org/drawingml/2006/picture">
                        <pic:nvPicPr>
                          <pic:cNvPr id="301" name="TextBox_7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6441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02" name="TextBox_3_SpCnt_1"/>
                  <wp:cNvGraphicFramePr/>
                  <a:graphic xmlns:a="http://schemas.openxmlformats.org/drawingml/2006/main">
                    <a:graphicData uri="http://schemas.openxmlformats.org/drawingml/2006/picture">
                      <pic:pic xmlns:pic="http://schemas.openxmlformats.org/drawingml/2006/picture">
                        <pic:nvPicPr>
                          <pic:cNvPr id="302" name="TextBox_3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6544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03" name="TextBox_121_SpCnt_1"/>
                  <wp:cNvGraphicFramePr/>
                  <a:graphic xmlns:a="http://schemas.openxmlformats.org/drawingml/2006/main">
                    <a:graphicData uri="http://schemas.openxmlformats.org/drawingml/2006/picture">
                      <pic:pic xmlns:pic="http://schemas.openxmlformats.org/drawingml/2006/picture">
                        <pic:nvPicPr>
                          <pic:cNvPr id="303" name="TextBox_121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6646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04" name="TextBox_123_SpCnt_1"/>
                  <wp:cNvGraphicFramePr/>
                  <a:graphic xmlns:a="http://schemas.openxmlformats.org/drawingml/2006/main">
                    <a:graphicData uri="http://schemas.openxmlformats.org/drawingml/2006/picture">
                      <pic:pic xmlns:pic="http://schemas.openxmlformats.org/drawingml/2006/picture">
                        <pic:nvPicPr>
                          <pic:cNvPr id="304" name="TextBox_123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6748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05" name="TextBox_122_SpCnt_1"/>
                  <wp:cNvGraphicFramePr/>
                  <a:graphic xmlns:a="http://schemas.openxmlformats.org/drawingml/2006/main">
                    <a:graphicData uri="http://schemas.openxmlformats.org/drawingml/2006/picture">
                      <pic:pic xmlns:pic="http://schemas.openxmlformats.org/drawingml/2006/picture">
                        <pic:nvPicPr>
                          <pic:cNvPr id="305" name="TextBox_122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6851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06" name="TextBox_156"/>
                  <wp:cNvGraphicFramePr/>
                  <a:graphic xmlns:a="http://schemas.openxmlformats.org/drawingml/2006/main">
                    <a:graphicData uri="http://schemas.openxmlformats.org/drawingml/2006/picture">
                      <pic:pic xmlns:pic="http://schemas.openxmlformats.org/drawingml/2006/picture">
                        <pic:nvPicPr>
                          <pic:cNvPr id="306" name="TextBox_15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6953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07" name="TextBox_117_SpCnt_1"/>
                  <wp:cNvGraphicFramePr/>
                  <a:graphic xmlns:a="http://schemas.openxmlformats.org/drawingml/2006/main">
                    <a:graphicData uri="http://schemas.openxmlformats.org/drawingml/2006/picture">
                      <pic:pic xmlns:pic="http://schemas.openxmlformats.org/drawingml/2006/picture">
                        <pic:nvPicPr>
                          <pic:cNvPr id="307" name="TextBox_117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7056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08" name="TextBox_119_SpCnt_1"/>
                  <wp:cNvGraphicFramePr/>
                  <a:graphic xmlns:a="http://schemas.openxmlformats.org/drawingml/2006/main">
                    <a:graphicData uri="http://schemas.openxmlformats.org/drawingml/2006/picture">
                      <pic:pic xmlns:pic="http://schemas.openxmlformats.org/drawingml/2006/picture">
                        <pic:nvPicPr>
                          <pic:cNvPr id="308" name="TextBox_119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7158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09" name="TextBox_118_SpCnt_1"/>
                  <wp:cNvGraphicFramePr/>
                  <a:graphic xmlns:a="http://schemas.openxmlformats.org/drawingml/2006/main">
                    <a:graphicData uri="http://schemas.openxmlformats.org/drawingml/2006/picture">
                      <pic:pic xmlns:pic="http://schemas.openxmlformats.org/drawingml/2006/picture">
                        <pic:nvPicPr>
                          <pic:cNvPr id="309" name="TextBox_118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7260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10" name="TextBox_152"/>
                  <wp:cNvGraphicFramePr/>
                  <a:graphic xmlns:a="http://schemas.openxmlformats.org/drawingml/2006/main">
                    <a:graphicData uri="http://schemas.openxmlformats.org/drawingml/2006/picture">
                      <pic:pic xmlns:pic="http://schemas.openxmlformats.org/drawingml/2006/picture">
                        <pic:nvPicPr>
                          <pic:cNvPr id="310" name="TextBox_15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7363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11" name="TextBox_113_SpCnt_1"/>
                  <wp:cNvGraphicFramePr/>
                  <a:graphic xmlns:a="http://schemas.openxmlformats.org/drawingml/2006/main">
                    <a:graphicData uri="http://schemas.openxmlformats.org/drawingml/2006/picture">
                      <pic:pic xmlns:pic="http://schemas.openxmlformats.org/drawingml/2006/picture">
                        <pic:nvPicPr>
                          <pic:cNvPr id="311" name="TextBox_113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7465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12" name="TextBox_115_SpCnt_1"/>
                  <wp:cNvGraphicFramePr/>
                  <a:graphic xmlns:a="http://schemas.openxmlformats.org/drawingml/2006/main">
                    <a:graphicData uri="http://schemas.openxmlformats.org/drawingml/2006/picture">
                      <pic:pic xmlns:pic="http://schemas.openxmlformats.org/drawingml/2006/picture">
                        <pic:nvPicPr>
                          <pic:cNvPr id="312" name="TextBox_115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7568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13" name="TextBox_150"/>
                  <wp:cNvGraphicFramePr/>
                  <a:graphic xmlns:a="http://schemas.openxmlformats.org/drawingml/2006/main">
                    <a:graphicData uri="http://schemas.openxmlformats.org/drawingml/2006/picture">
                      <pic:pic xmlns:pic="http://schemas.openxmlformats.org/drawingml/2006/picture">
                        <pic:nvPicPr>
                          <pic:cNvPr id="313" name="TextBox_15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7670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14" name="TextBox_114_SpCnt_1"/>
                  <wp:cNvGraphicFramePr/>
                  <a:graphic xmlns:a="http://schemas.openxmlformats.org/drawingml/2006/main">
                    <a:graphicData uri="http://schemas.openxmlformats.org/drawingml/2006/picture">
                      <pic:pic xmlns:pic="http://schemas.openxmlformats.org/drawingml/2006/picture">
                        <pic:nvPicPr>
                          <pic:cNvPr id="314" name="TextBox_114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7772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15" name="TextBox_105_SpCnt_1"/>
                  <wp:cNvGraphicFramePr/>
                  <a:graphic xmlns:a="http://schemas.openxmlformats.org/drawingml/2006/main">
                    <a:graphicData uri="http://schemas.openxmlformats.org/drawingml/2006/picture">
                      <pic:pic xmlns:pic="http://schemas.openxmlformats.org/drawingml/2006/picture">
                        <pic:nvPicPr>
                          <pic:cNvPr id="315" name="TextBox_105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7875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16" name="TextBox_109_SpCnt_1"/>
                  <wp:cNvGraphicFramePr/>
                  <a:graphic xmlns:a="http://schemas.openxmlformats.org/drawingml/2006/main">
                    <a:graphicData uri="http://schemas.openxmlformats.org/drawingml/2006/picture">
                      <pic:pic xmlns:pic="http://schemas.openxmlformats.org/drawingml/2006/picture">
                        <pic:nvPicPr>
                          <pic:cNvPr id="316" name="TextBox_109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7977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17" name="TextBox_111_SpCnt_1"/>
                  <wp:cNvGraphicFramePr/>
                  <a:graphic xmlns:a="http://schemas.openxmlformats.org/drawingml/2006/main">
                    <a:graphicData uri="http://schemas.openxmlformats.org/drawingml/2006/picture">
                      <pic:pic xmlns:pic="http://schemas.openxmlformats.org/drawingml/2006/picture">
                        <pic:nvPicPr>
                          <pic:cNvPr id="317" name="TextBox_111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8080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18" name="TextBox_110_SpCnt_1"/>
                  <wp:cNvGraphicFramePr/>
                  <a:graphic xmlns:a="http://schemas.openxmlformats.org/drawingml/2006/main">
                    <a:graphicData uri="http://schemas.openxmlformats.org/drawingml/2006/picture">
                      <pic:pic xmlns:pic="http://schemas.openxmlformats.org/drawingml/2006/picture">
                        <pic:nvPicPr>
                          <pic:cNvPr id="318" name="TextBox_110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8182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19" name="TextBox_106_SpCnt_1"/>
                  <wp:cNvGraphicFramePr/>
                  <a:graphic xmlns:a="http://schemas.openxmlformats.org/drawingml/2006/main">
                    <a:graphicData uri="http://schemas.openxmlformats.org/drawingml/2006/picture">
                      <pic:pic xmlns:pic="http://schemas.openxmlformats.org/drawingml/2006/picture">
                        <pic:nvPicPr>
                          <pic:cNvPr id="319" name="TextBox_106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8284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20" name="TextBox_107_SpCnt_1"/>
                  <wp:cNvGraphicFramePr/>
                  <a:graphic xmlns:a="http://schemas.openxmlformats.org/drawingml/2006/main">
                    <a:graphicData uri="http://schemas.openxmlformats.org/drawingml/2006/picture">
                      <pic:pic xmlns:pic="http://schemas.openxmlformats.org/drawingml/2006/picture">
                        <pic:nvPicPr>
                          <pic:cNvPr id="320" name="TextBox_107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8387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21" name="TextBox_140"/>
                  <wp:cNvGraphicFramePr/>
                  <a:graphic xmlns:a="http://schemas.openxmlformats.org/drawingml/2006/main">
                    <a:graphicData uri="http://schemas.openxmlformats.org/drawingml/2006/picture">
                      <pic:pic xmlns:pic="http://schemas.openxmlformats.org/drawingml/2006/picture">
                        <pic:nvPicPr>
                          <pic:cNvPr id="321" name="TextBox_14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8489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22" name="TextBox_69_SpCnt_1"/>
                  <wp:cNvGraphicFramePr/>
                  <a:graphic xmlns:a="http://schemas.openxmlformats.org/drawingml/2006/main">
                    <a:graphicData uri="http://schemas.openxmlformats.org/drawingml/2006/picture">
                      <pic:pic xmlns:pic="http://schemas.openxmlformats.org/drawingml/2006/picture">
                        <pic:nvPicPr>
                          <pic:cNvPr id="322" name="TextBox_69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8592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23" name="TextBox_77_SpCnt_1"/>
                  <wp:cNvGraphicFramePr/>
                  <a:graphic xmlns:a="http://schemas.openxmlformats.org/drawingml/2006/main">
                    <a:graphicData uri="http://schemas.openxmlformats.org/drawingml/2006/picture">
                      <pic:pic xmlns:pic="http://schemas.openxmlformats.org/drawingml/2006/picture">
                        <pic:nvPicPr>
                          <pic:cNvPr id="323" name="TextBox_77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8694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24" name="TextBox_81_SpCnt_1"/>
                  <wp:cNvGraphicFramePr/>
                  <a:graphic xmlns:a="http://schemas.openxmlformats.org/drawingml/2006/main">
                    <a:graphicData uri="http://schemas.openxmlformats.org/drawingml/2006/picture">
                      <pic:pic xmlns:pic="http://schemas.openxmlformats.org/drawingml/2006/picture">
                        <pic:nvPicPr>
                          <pic:cNvPr id="324" name="TextBox_81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8796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25" name="TextBox_83_SpCnt_1"/>
                  <wp:cNvGraphicFramePr/>
                  <a:graphic xmlns:a="http://schemas.openxmlformats.org/drawingml/2006/main">
                    <a:graphicData uri="http://schemas.openxmlformats.org/drawingml/2006/picture">
                      <pic:pic xmlns:pic="http://schemas.openxmlformats.org/drawingml/2006/picture">
                        <pic:nvPicPr>
                          <pic:cNvPr id="325" name="TextBox_83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8899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26" name="TextBox_82_SpCnt_1"/>
                  <wp:cNvGraphicFramePr/>
                  <a:graphic xmlns:a="http://schemas.openxmlformats.org/drawingml/2006/main">
                    <a:graphicData uri="http://schemas.openxmlformats.org/drawingml/2006/picture">
                      <pic:pic xmlns:pic="http://schemas.openxmlformats.org/drawingml/2006/picture">
                        <pic:nvPicPr>
                          <pic:cNvPr id="326" name="TextBox_82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9001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27" name="TextBox_78_SpCnt_1"/>
                  <wp:cNvGraphicFramePr/>
                  <a:graphic xmlns:a="http://schemas.openxmlformats.org/drawingml/2006/main">
                    <a:graphicData uri="http://schemas.openxmlformats.org/drawingml/2006/picture">
                      <pic:pic xmlns:pic="http://schemas.openxmlformats.org/drawingml/2006/picture">
                        <pic:nvPicPr>
                          <pic:cNvPr id="327" name="TextBox_78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9104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28" name="TextBox_79_SpCnt_1"/>
                  <wp:cNvGraphicFramePr/>
                  <a:graphic xmlns:a="http://schemas.openxmlformats.org/drawingml/2006/main">
                    <a:graphicData uri="http://schemas.openxmlformats.org/drawingml/2006/picture">
                      <pic:pic xmlns:pic="http://schemas.openxmlformats.org/drawingml/2006/picture">
                        <pic:nvPicPr>
                          <pic:cNvPr id="328" name="TextBox_79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9206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29" name="TextBox_134"/>
                  <wp:cNvGraphicFramePr/>
                  <a:graphic xmlns:a="http://schemas.openxmlformats.org/drawingml/2006/main">
                    <a:graphicData uri="http://schemas.openxmlformats.org/drawingml/2006/picture">
                      <pic:pic xmlns:pic="http://schemas.openxmlformats.org/drawingml/2006/picture">
                        <pic:nvPicPr>
                          <pic:cNvPr id="329" name="TextBox_13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9308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30" name="TextBox_70_SpCnt_1"/>
                  <wp:cNvGraphicFramePr/>
                  <a:graphic xmlns:a="http://schemas.openxmlformats.org/drawingml/2006/main">
                    <a:graphicData uri="http://schemas.openxmlformats.org/drawingml/2006/picture">
                      <pic:pic xmlns:pic="http://schemas.openxmlformats.org/drawingml/2006/picture">
                        <pic:nvPicPr>
                          <pic:cNvPr id="330" name="TextBox_70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9411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31" name="TextBox_73_SpCnt_1"/>
                  <wp:cNvGraphicFramePr/>
                  <a:graphic xmlns:a="http://schemas.openxmlformats.org/drawingml/2006/main">
                    <a:graphicData uri="http://schemas.openxmlformats.org/drawingml/2006/picture">
                      <pic:pic xmlns:pic="http://schemas.openxmlformats.org/drawingml/2006/picture">
                        <pic:nvPicPr>
                          <pic:cNvPr id="331" name="TextBox_73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9513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32" name="TextBox_75_SpCnt_1"/>
                  <wp:cNvGraphicFramePr/>
                  <a:graphic xmlns:a="http://schemas.openxmlformats.org/drawingml/2006/main">
                    <a:graphicData uri="http://schemas.openxmlformats.org/drawingml/2006/picture">
                      <pic:pic xmlns:pic="http://schemas.openxmlformats.org/drawingml/2006/picture">
                        <pic:nvPicPr>
                          <pic:cNvPr id="332" name="TextBox_75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9616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33" name="TextBox_74_SpCnt_1"/>
                  <wp:cNvGraphicFramePr/>
                  <a:graphic xmlns:a="http://schemas.openxmlformats.org/drawingml/2006/main">
                    <a:graphicData uri="http://schemas.openxmlformats.org/drawingml/2006/picture">
                      <pic:pic xmlns:pic="http://schemas.openxmlformats.org/drawingml/2006/picture">
                        <pic:nvPicPr>
                          <pic:cNvPr id="333" name="TextBox_74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9718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34" name="TextBox_71_SpCnt_1"/>
                  <wp:cNvGraphicFramePr/>
                  <a:graphic xmlns:a="http://schemas.openxmlformats.org/drawingml/2006/main">
                    <a:graphicData uri="http://schemas.openxmlformats.org/drawingml/2006/picture">
                      <pic:pic xmlns:pic="http://schemas.openxmlformats.org/drawingml/2006/picture">
                        <pic:nvPicPr>
                          <pic:cNvPr id="334" name="TextBox_71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9820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35" name="TextBox_72_SpCnt_1"/>
                  <wp:cNvGraphicFramePr/>
                  <a:graphic xmlns:a="http://schemas.openxmlformats.org/drawingml/2006/main">
                    <a:graphicData uri="http://schemas.openxmlformats.org/drawingml/2006/picture">
                      <pic:pic xmlns:pic="http://schemas.openxmlformats.org/drawingml/2006/picture">
                        <pic:nvPicPr>
                          <pic:cNvPr id="335" name="TextBox_72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199923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36" name="TextBox_65_SpCnt_1"/>
                  <wp:cNvGraphicFramePr/>
                  <a:graphic xmlns:a="http://schemas.openxmlformats.org/drawingml/2006/main">
                    <a:graphicData uri="http://schemas.openxmlformats.org/drawingml/2006/picture">
                      <pic:pic xmlns:pic="http://schemas.openxmlformats.org/drawingml/2006/picture">
                        <pic:nvPicPr>
                          <pic:cNvPr id="336" name="TextBox_65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0025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37" name="TextBox_67_SpCnt_1"/>
                  <wp:cNvGraphicFramePr/>
                  <a:graphic xmlns:a="http://schemas.openxmlformats.org/drawingml/2006/main">
                    <a:graphicData uri="http://schemas.openxmlformats.org/drawingml/2006/picture">
                      <pic:pic xmlns:pic="http://schemas.openxmlformats.org/drawingml/2006/picture">
                        <pic:nvPicPr>
                          <pic:cNvPr id="337" name="TextBox_67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0128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38" name="TextBox_68_SpCnt_1"/>
                  <wp:cNvGraphicFramePr/>
                  <a:graphic xmlns:a="http://schemas.openxmlformats.org/drawingml/2006/main">
                    <a:graphicData uri="http://schemas.openxmlformats.org/drawingml/2006/picture">
                      <pic:pic xmlns:pic="http://schemas.openxmlformats.org/drawingml/2006/picture">
                        <pic:nvPicPr>
                          <pic:cNvPr id="338" name="TextBox_68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0230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39" name="TextBox_66_SpCnt_1"/>
                  <wp:cNvGraphicFramePr/>
                  <a:graphic xmlns:a="http://schemas.openxmlformats.org/drawingml/2006/main">
                    <a:graphicData uri="http://schemas.openxmlformats.org/drawingml/2006/picture">
                      <pic:pic xmlns:pic="http://schemas.openxmlformats.org/drawingml/2006/picture">
                        <pic:nvPicPr>
                          <pic:cNvPr id="339" name="TextBox_66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0332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40" name="TextBox_64_SpCnt_1"/>
                  <wp:cNvGraphicFramePr/>
                  <a:graphic xmlns:a="http://schemas.openxmlformats.org/drawingml/2006/main">
                    <a:graphicData uri="http://schemas.openxmlformats.org/drawingml/2006/picture">
                      <pic:pic xmlns:pic="http://schemas.openxmlformats.org/drawingml/2006/picture">
                        <pic:nvPicPr>
                          <pic:cNvPr id="340" name="TextBox_64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0435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41" name="TextBox_108_SpCnt_1"/>
                  <wp:cNvGraphicFramePr/>
                  <a:graphic xmlns:a="http://schemas.openxmlformats.org/drawingml/2006/main">
                    <a:graphicData uri="http://schemas.openxmlformats.org/drawingml/2006/picture">
                      <pic:pic xmlns:pic="http://schemas.openxmlformats.org/drawingml/2006/picture">
                        <pic:nvPicPr>
                          <pic:cNvPr id="341" name="TextBox_108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0537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42" name="TextBox_163"/>
                  <wp:cNvGraphicFramePr/>
                  <a:graphic xmlns:a="http://schemas.openxmlformats.org/drawingml/2006/main">
                    <a:graphicData uri="http://schemas.openxmlformats.org/drawingml/2006/picture">
                      <pic:pic xmlns:pic="http://schemas.openxmlformats.org/drawingml/2006/picture">
                        <pic:nvPicPr>
                          <pic:cNvPr id="342" name="TextBox_163"/>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0640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43" name="TextBox_104_SpCnt_1"/>
                  <wp:cNvGraphicFramePr/>
                  <a:graphic xmlns:a="http://schemas.openxmlformats.org/drawingml/2006/main">
                    <a:graphicData uri="http://schemas.openxmlformats.org/drawingml/2006/picture">
                      <pic:pic xmlns:pic="http://schemas.openxmlformats.org/drawingml/2006/picture">
                        <pic:nvPicPr>
                          <pic:cNvPr id="343" name="TextBox_104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0742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44" name="TextBox_162"/>
                  <wp:cNvGraphicFramePr/>
                  <a:graphic xmlns:a="http://schemas.openxmlformats.org/drawingml/2006/main">
                    <a:graphicData uri="http://schemas.openxmlformats.org/drawingml/2006/picture">
                      <pic:pic xmlns:pic="http://schemas.openxmlformats.org/drawingml/2006/picture">
                        <pic:nvPicPr>
                          <pic:cNvPr id="344" name="TextBox_16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0844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45" name="TextBox_80_SpCnt_1"/>
                  <wp:cNvGraphicFramePr/>
                  <a:graphic xmlns:a="http://schemas.openxmlformats.org/drawingml/2006/main">
                    <a:graphicData uri="http://schemas.openxmlformats.org/drawingml/2006/picture">
                      <pic:pic xmlns:pic="http://schemas.openxmlformats.org/drawingml/2006/picture">
                        <pic:nvPicPr>
                          <pic:cNvPr id="345" name="TextBox_80_SpCnt_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0947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46" name="TextBox_161"/>
                  <wp:cNvGraphicFramePr/>
                  <a:graphic xmlns:a="http://schemas.openxmlformats.org/drawingml/2006/main">
                    <a:graphicData uri="http://schemas.openxmlformats.org/drawingml/2006/picture">
                      <pic:pic xmlns:pic="http://schemas.openxmlformats.org/drawingml/2006/picture">
                        <pic:nvPicPr>
                          <pic:cNvPr id="346" name="TextBox_16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1049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47" name="TextBox_159"/>
                  <wp:cNvGraphicFramePr/>
                  <a:graphic xmlns:a="http://schemas.openxmlformats.org/drawingml/2006/main">
                    <a:graphicData uri="http://schemas.openxmlformats.org/drawingml/2006/picture">
                      <pic:pic xmlns:pic="http://schemas.openxmlformats.org/drawingml/2006/picture">
                        <pic:nvPicPr>
                          <pic:cNvPr id="347" name="TextBox_15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1152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48" name="TextBox_160"/>
                  <wp:cNvGraphicFramePr/>
                  <a:graphic xmlns:a="http://schemas.openxmlformats.org/drawingml/2006/main">
                    <a:graphicData uri="http://schemas.openxmlformats.org/drawingml/2006/picture">
                      <pic:pic xmlns:pic="http://schemas.openxmlformats.org/drawingml/2006/picture">
                        <pic:nvPicPr>
                          <pic:cNvPr id="348" name="TextBox_16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1254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49" name="TextBox_157"/>
                  <wp:cNvGraphicFramePr/>
                  <a:graphic xmlns:a="http://schemas.openxmlformats.org/drawingml/2006/main">
                    <a:graphicData uri="http://schemas.openxmlformats.org/drawingml/2006/picture">
                      <pic:pic xmlns:pic="http://schemas.openxmlformats.org/drawingml/2006/picture">
                        <pic:nvPicPr>
                          <pic:cNvPr id="349" name="TextBox_157"/>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1356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50" name="TextBox_158"/>
                  <wp:cNvGraphicFramePr/>
                  <a:graphic xmlns:a="http://schemas.openxmlformats.org/drawingml/2006/main">
                    <a:graphicData uri="http://schemas.openxmlformats.org/drawingml/2006/picture">
                      <pic:pic xmlns:pic="http://schemas.openxmlformats.org/drawingml/2006/picture">
                        <pic:nvPicPr>
                          <pic:cNvPr id="350" name="TextBox_158"/>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1459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51" name="TextBox_155"/>
                  <wp:cNvGraphicFramePr/>
                  <a:graphic xmlns:a="http://schemas.openxmlformats.org/drawingml/2006/main">
                    <a:graphicData uri="http://schemas.openxmlformats.org/drawingml/2006/picture">
                      <pic:pic xmlns:pic="http://schemas.openxmlformats.org/drawingml/2006/picture">
                        <pic:nvPicPr>
                          <pic:cNvPr id="351" name="TextBox_15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1561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52" name="TextBox_154"/>
                  <wp:cNvGraphicFramePr/>
                  <a:graphic xmlns:a="http://schemas.openxmlformats.org/drawingml/2006/main">
                    <a:graphicData uri="http://schemas.openxmlformats.org/drawingml/2006/picture">
                      <pic:pic xmlns:pic="http://schemas.openxmlformats.org/drawingml/2006/picture">
                        <pic:nvPicPr>
                          <pic:cNvPr id="352" name="TextBox_15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1664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53" name="TextBox_76_SpCnt_1"/>
                  <wp:cNvGraphicFramePr/>
                  <a:graphic xmlns:a="http://schemas.openxmlformats.org/drawingml/2006/main">
                    <a:graphicData uri="http://schemas.openxmlformats.org/drawingml/2006/picture">
                      <pic:pic xmlns:pic="http://schemas.openxmlformats.org/drawingml/2006/picture">
                        <pic:nvPicPr>
                          <pic:cNvPr id="353" name="TextBox_76_SpCnt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1766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54" name="TextBox_153"/>
                  <wp:cNvGraphicFramePr/>
                  <a:graphic xmlns:a="http://schemas.openxmlformats.org/drawingml/2006/main">
                    <a:graphicData uri="http://schemas.openxmlformats.org/drawingml/2006/picture">
                      <pic:pic xmlns:pic="http://schemas.openxmlformats.org/drawingml/2006/picture">
                        <pic:nvPicPr>
                          <pic:cNvPr id="354" name="TextBox_153"/>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1868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55" name="TextBox_151"/>
                  <wp:cNvGraphicFramePr/>
                  <a:graphic xmlns:a="http://schemas.openxmlformats.org/drawingml/2006/main">
                    <a:graphicData uri="http://schemas.openxmlformats.org/drawingml/2006/picture">
                      <pic:pic xmlns:pic="http://schemas.openxmlformats.org/drawingml/2006/picture">
                        <pic:nvPicPr>
                          <pic:cNvPr id="355" name="TextBox_15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1971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56" name="TextBox_147"/>
                  <wp:cNvGraphicFramePr/>
                  <a:graphic xmlns:a="http://schemas.openxmlformats.org/drawingml/2006/main">
                    <a:graphicData uri="http://schemas.openxmlformats.org/drawingml/2006/picture">
                      <pic:pic xmlns:pic="http://schemas.openxmlformats.org/drawingml/2006/picture">
                        <pic:nvPicPr>
                          <pic:cNvPr id="356" name="TextBox_147"/>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2073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57" name="TextBox_149"/>
                  <wp:cNvGraphicFramePr/>
                  <a:graphic xmlns:a="http://schemas.openxmlformats.org/drawingml/2006/main">
                    <a:graphicData uri="http://schemas.openxmlformats.org/drawingml/2006/picture">
                      <pic:pic xmlns:pic="http://schemas.openxmlformats.org/drawingml/2006/picture">
                        <pic:nvPicPr>
                          <pic:cNvPr id="357" name="TextBox_14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2176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58" name="TextBox_148"/>
                  <wp:cNvGraphicFramePr/>
                  <a:graphic xmlns:a="http://schemas.openxmlformats.org/drawingml/2006/main">
                    <a:graphicData uri="http://schemas.openxmlformats.org/drawingml/2006/picture">
                      <pic:pic xmlns:pic="http://schemas.openxmlformats.org/drawingml/2006/picture">
                        <pic:nvPicPr>
                          <pic:cNvPr id="358" name="TextBox_148"/>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2278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59" name="TextBox_146"/>
                  <wp:cNvGraphicFramePr/>
                  <a:graphic xmlns:a="http://schemas.openxmlformats.org/drawingml/2006/main">
                    <a:graphicData uri="http://schemas.openxmlformats.org/drawingml/2006/picture">
                      <pic:pic xmlns:pic="http://schemas.openxmlformats.org/drawingml/2006/picture">
                        <pic:nvPicPr>
                          <pic:cNvPr id="359" name="TextBox_14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23808"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60" name="TextBox_145"/>
                  <wp:cNvGraphicFramePr/>
                  <a:graphic xmlns:a="http://schemas.openxmlformats.org/drawingml/2006/main">
                    <a:graphicData uri="http://schemas.openxmlformats.org/drawingml/2006/picture">
                      <pic:pic xmlns:pic="http://schemas.openxmlformats.org/drawingml/2006/picture">
                        <pic:nvPicPr>
                          <pic:cNvPr id="360" name="TextBox_14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2483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61" name="TextBox_143"/>
                  <wp:cNvGraphicFramePr/>
                  <a:graphic xmlns:a="http://schemas.openxmlformats.org/drawingml/2006/main">
                    <a:graphicData uri="http://schemas.openxmlformats.org/drawingml/2006/picture">
                      <pic:pic xmlns:pic="http://schemas.openxmlformats.org/drawingml/2006/picture">
                        <pic:nvPicPr>
                          <pic:cNvPr id="361" name="TextBox_143"/>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2585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62" name="TextBox_144"/>
                  <wp:cNvGraphicFramePr/>
                  <a:graphic xmlns:a="http://schemas.openxmlformats.org/drawingml/2006/main">
                    <a:graphicData uri="http://schemas.openxmlformats.org/drawingml/2006/picture">
                      <pic:pic xmlns:pic="http://schemas.openxmlformats.org/drawingml/2006/picture">
                        <pic:nvPicPr>
                          <pic:cNvPr id="362" name="TextBox_14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26880"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63" name="TextBox_141"/>
                  <wp:cNvGraphicFramePr/>
                  <a:graphic xmlns:a="http://schemas.openxmlformats.org/drawingml/2006/main">
                    <a:graphicData uri="http://schemas.openxmlformats.org/drawingml/2006/picture">
                      <pic:pic xmlns:pic="http://schemas.openxmlformats.org/drawingml/2006/picture">
                        <pic:nvPicPr>
                          <pic:cNvPr id="363" name="TextBox_14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27904"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64" name="TextBox_142"/>
                  <wp:cNvGraphicFramePr/>
                  <a:graphic xmlns:a="http://schemas.openxmlformats.org/drawingml/2006/main">
                    <a:graphicData uri="http://schemas.openxmlformats.org/drawingml/2006/picture">
                      <pic:pic xmlns:pic="http://schemas.openxmlformats.org/drawingml/2006/picture">
                        <pic:nvPicPr>
                          <pic:cNvPr id="364" name="TextBox_14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2892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65" name="TextBox_139"/>
                  <wp:cNvGraphicFramePr/>
                  <a:graphic xmlns:a="http://schemas.openxmlformats.org/drawingml/2006/main">
                    <a:graphicData uri="http://schemas.openxmlformats.org/drawingml/2006/picture">
                      <pic:pic xmlns:pic="http://schemas.openxmlformats.org/drawingml/2006/picture">
                        <pic:nvPicPr>
                          <pic:cNvPr id="365" name="TextBox_13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29952"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66" name="TextBox_135"/>
                  <wp:cNvGraphicFramePr/>
                  <a:graphic xmlns:a="http://schemas.openxmlformats.org/drawingml/2006/main">
                    <a:graphicData uri="http://schemas.openxmlformats.org/drawingml/2006/picture">
                      <pic:pic xmlns:pic="http://schemas.openxmlformats.org/drawingml/2006/picture">
                        <pic:nvPicPr>
                          <pic:cNvPr id="366" name="TextBox_13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30976"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67" name="TextBox_137"/>
                  <wp:cNvGraphicFramePr/>
                  <a:graphic xmlns:a="http://schemas.openxmlformats.org/drawingml/2006/main">
                    <a:graphicData uri="http://schemas.openxmlformats.org/drawingml/2006/picture">
                      <pic:pic xmlns:pic="http://schemas.openxmlformats.org/drawingml/2006/picture">
                        <pic:nvPicPr>
                          <pic:cNvPr id="367" name="TextBox_137"/>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32000"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68" name="TextBox_138"/>
                  <wp:cNvGraphicFramePr/>
                  <a:graphic xmlns:a="http://schemas.openxmlformats.org/drawingml/2006/main">
                    <a:graphicData uri="http://schemas.openxmlformats.org/drawingml/2006/picture">
                      <pic:pic xmlns:pic="http://schemas.openxmlformats.org/drawingml/2006/picture">
                        <pic:nvPicPr>
                          <pic:cNvPr id="368" name="TextBox_138"/>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33024" behindDoc="0" locked="0" layoutInCell="1" allowOverlap="1">
                  <wp:simplePos x="0" y="0"/>
                  <wp:positionH relativeFrom="column">
                    <wp:posOffset>1609725</wp:posOffset>
                  </wp:positionH>
                  <wp:positionV relativeFrom="paragraph">
                    <wp:posOffset>0</wp:posOffset>
                  </wp:positionV>
                  <wp:extent cx="184150" cy="269240"/>
                  <wp:effectExtent l="0" t="0" r="0" b="0"/>
                  <wp:wrapNone/>
                  <wp:docPr id="369" name="TextBox_136"/>
                  <wp:cNvGraphicFramePr/>
                  <a:graphic xmlns:a="http://schemas.openxmlformats.org/drawingml/2006/main">
                    <a:graphicData uri="http://schemas.openxmlformats.org/drawingml/2006/picture">
                      <pic:pic xmlns:pic="http://schemas.openxmlformats.org/drawingml/2006/picture">
                        <pic:nvPicPr>
                          <pic:cNvPr id="369" name="TextBox_13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34048"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70" name="TextBox_131"/>
                  <wp:cNvGraphicFramePr/>
                  <a:graphic xmlns:a="http://schemas.openxmlformats.org/drawingml/2006/main">
                    <a:graphicData uri="http://schemas.openxmlformats.org/drawingml/2006/picture">
                      <pic:pic xmlns:pic="http://schemas.openxmlformats.org/drawingml/2006/picture">
                        <pic:nvPicPr>
                          <pic:cNvPr id="370" name="TextBox_13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35072"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71" name="TextBox_133"/>
                  <wp:cNvGraphicFramePr/>
                  <a:graphic xmlns:a="http://schemas.openxmlformats.org/drawingml/2006/main">
                    <a:graphicData uri="http://schemas.openxmlformats.org/drawingml/2006/picture">
                      <pic:pic xmlns:pic="http://schemas.openxmlformats.org/drawingml/2006/picture">
                        <pic:nvPicPr>
                          <pic:cNvPr id="371" name="TextBox_133"/>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36096" behindDoc="0" locked="0" layoutInCell="1" allowOverlap="1">
                  <wp:simplePos x="0" y="0"/>
                  <wp:positionH relativeFrom="column">
                    <wp:posOffset>1609725</wp:posOffset>
                  </wp:positionH>
                  <wp:positionV relativeFrom="paragraph">
                    <wp:posOffset>0</wp:posOffset>
                  </wp:positionV>
                  <wp:extent cx="184150" cy="256540"/>
                  <wp:effectExtent l="0" t="0" r="0" b="0"/>
                  <wp:wrapNone/>
                  <wp:docPr id="372" name="TextBox_132"/>
                  <wp:cNvGraphicFramePr/>
                  <a:graphic xmlns:a="http://schemas.openxmlformats.org/drawingml/2006/main">
                    <a:graphicData uri="http://schemas.openxmlformats.org/drawingml/2006/picture">
                      <pic:pic xmlns:pic="http://schemas.openxmlformats.org/drawingml/2006/picture">
                        <pic:nvPicPr>
                          <pic:cNvPr id="372" name="TextBox_132"/>
                          <pic:cNvPicPr/>
                        </pic:nvPicPr>
                        <pic:blipFill>
                          <a:blip r:embed="rId20"/>
                          <a:stretch>
                            <a:fillRect/>
                          </a:stretch>
                        </pic:blipFill>
                        <pic:spPr>
                          <a:xfrm>
                            <a:off x="0" y="0"/>
                            <a:ext cx="184150" cy="256540"/>
                          </a:xfrm>
                          <a:prstGeom prst="rect">
                            <a:avLst/>
                          </a:prstGeom>
                          <a:noFill/>
                          <a:ln>
                            <a:noFill/>
                          </a:ln>
                        </pic:spPr>
                      </pic:pic>
                    </a:graphicData>
                  </a:graphic>
                </wp:anchor>
              </w:drawing>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bdr w:val="single" w:color="000000" w:sz="4" w:space="0"/>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184150" cy="269240"/>
                  <wp:effectExtent l="0" t="0" r="0" b="0"/>
                  <wp:wrapNone/>
                  <wp:docPr id="373" name="TextBox_88"/>
                  <wp:cNvGraphicFramePr/>
                  <a:graphic xmlns:a="http://schemas.openxmlformats.org/drawingml/2006/main">
                    <a:graphicData uri="http://schemas.openxmlformats.org/drawingml/2006/picture">
                      <pic:pic xmlns:pic="http://schemas.openxmlformats.org/drawingml/2006/picture">
                        <pic:nvPicPr>
                          <pic:cNvPr id="373" name="TextBox_88"/>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184150" cy="269240"/>
                  <wp:effectExtent l="0" t="0" r="0" b="0"/>
                  <wp:wrapNone/>
                  <wp:docPr id="374" name="TextBox_84"/>
                  <wp:cNvGraphicFramePr/>
                  <a:graphic xmlns:a="http://schemas.openxmlformats.org/drawingml/2006/main">
                    <a:graphicData uri="http://schemas.openxmlformats.org/drawingml/2006/picture">
                      <pic:pic xmlns:pic="http://schemas.openxmlformats.org/drawingml/2006/picture">
                        <pic:nvPicPr>
                          <pic:cNvPr id="374" name="TextBox_8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184150" cy="256540"/>
                  <wp:effectExtent l="0" t="0" r="0" b="0"/>
                  <wp:wrapNone/>
                  <wp:docPr id="375" name="TextBox_89"/>
                  <wp:cNvGraphicFramePr/>
                  <a:graphic xmlns:a="http://schemas.openxmlformats.org/drawingml/2006/main">
                    <a:graphicData uri="http://schemas.openxmlformats.org/drawingml/2006/picture">
                      <pic:pic xmlns:pic="http://schemas.openxmlformats.org/drawingml/2006/picture">
                        <pic:nvPicPr>
                          <pic:cNvPr id="375" name="TextBox_8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184150" cy="256540"/>
                  <wp:effectExtent l="0" t="0" r="0" b="0"/>
                  <wp:wrapNone/>
                  <wp:docPr id="376" name="TextBox_93"/>
                  <wp:cNvGraphicFramePr/>
                  <a:graphic xmlns:a="http://schemas.openxmlformats.org/drawingml/2006/main">
                    <a:graphicData uri="http://schemas.openxmlformats.org/drawingml/2006/picture">
                      <pic:pic xmlns:pic="http://schemas.openxmlformats.org/drawingml/2006/picture">
                        <pic:nvPicPr>
                          <pic:cNvPr id="376" name="TextBox_93"/>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184150" cy="256540"/>
                  <wp:effectExtent l="0" t="0" r="0" b="0"/>
                  <wp:wrapNone/>
                  <wp:docPr id="377" name="TextBox_100"/>
                  <wp:cNvGraphicFramePr/>
                  <a:graphic xmlns:a="http://schemas.openxmlformats.org/drawingml/2006/main">
                    <a:graphicData uri="http://schemas.openxmlformats.org/drawingml/2006/picture">
                      <pic:pic xmlns:pic="http://schemas.openxmlformats.org/drawingml/2006/picture">
                        <pic:nvPicPr>
                          <pic:cNvPr id="377" name="TextBox_10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184150" cy="256540"/>
                  <wp:effectExtent l="0" t="0" r="0" b="0"/>
                  <wp:wrapNone/>
                  <wp:docPr id="378" name="TextBox_99"/>
                  <wp:cNvGraphicFramePr/>
                  <a:graphic xmlns:a="http://schemas.openxmlformats.org/drawingml/2006/main">
                    <a:graphicData uri="http://schemas.openxmlformats.org/drawingml/2006/picture">
                      <pic:pic xmlns:pic="http://schemas.openxmlformats.org/drawingml/2006/picture">
                        <pic:nvPicPr>
                          <pic:cNvPr id="378" name="TextBox_9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184150" cy="269240"/>
                  <wp:effectExtent l="0" t="0" r="0" b="0"/>
                  <wp:wrapNone/>
                  <wp:docPr id="379" name="TextBox_96"/>
                  <wp:cNvGraphicFramePr/>
                  <a:graphic xmlns:a="http://schemas.openxmlformats.org/drawingml/2006/main">
                    <a:graphicData uri="http://schemas.openxmlformats.org/drawingml/2006/picture">
                      <pic:pic xmlns:pic="http://schemas.openxmlformats.org/drawingml/2006/picture">
                        <pic:nvPicPr>
                          <pic:cNvPr id="379" name="TextBox_9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184150" cy="256540"/>
                  <wp:effectExtent l="0" t="0" r="0" b="0"/>
                  <wp:wrapNone/>
                  <wp:docPr id="380" name="TextBox_103"/>
                  <wp:cNvGraphicFramePr/>
                  <a:graphic xmlns:a="http://schemas.openxmlformats.org/drawingml/2006/main">
                    <a:graphicData uri="http://schemas.openxmlformats.org/drawingml/2006/picture">
                      <pic:pic xmlns:pic="http://schemas.openxmlformats.org/drawingml/2006/picture">
                        <pic:nvPicPr>
                          <pic:cNvPr id="380" name="TextBox_103"/>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184150" cy="269240"/>
                  <wp:effectExtent l="0" t="0" r="0" b="0"/>
                  <wp:wrapNone/>
                  <wp:docPr id="381" name="TextBox_97"/>
                  <wp:cNvGraphicFramePr/>
                  <a:graphic xmlns:a="http://schemas.openxmlformats.org/drawingml/2006/main">
                    <a:graphicData uri="http://schemas.openxmlformats.org/drawingml/2006/picture">
                      <pic:pic xmlns:pic="http://schemas.openxmlformats.org/drawingml/2006/picture">
                        <pic:nvPicPr>
                          <pic:cNvPr id="381" name="TextBox_97"/>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184150" cy="256540"/>
                  <wp:effectExtent l="0" t="0" r="0" b="0"/>
                  <wp:wrapNone/>
                  <wp:docPr id="382" name="TextBox_101"/>
                  <wp:cNvGraphicFramePr/>
                  <a:graphic xmlns:a="http://schemas.openxmlformats.org/drawingml/2006/main">
                    <a:graphicData uri="http://schemas.openxmlformats.org/drawingml/2006/picture">
                      <pic:pic xmlns:pic="http://schemas.openxmlformats.org/drawingml/2006/picture">
                        <pic:nvPicPr>
                          <pic:cNvPr id="382" name="TextBox_10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184150" cy="269240"/>
                  <wp:effectExtent l="0" t="0" r="0" b="0"/>
                  <wp:wrapNone/>
                  <wp:docPr id="383" name="TextBox_95"/>
                  <wp:cNvGraphicFramePr/>
                  <a:graphic xmlns:a="http://schemas.openxmlformats.org/drawingml/2006/main">
                    <a:graphicData uri="http://schemas.openxmlformats.org/drawingml/2006/picture">
                      <pic:pic xmlns:pic="http://schemas.openxmlformats.org/drawingml/2006/picture">
                        <pic:nvPicPr>
                          <pic:cNvPr id="383" name="TextBox_9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184150" cy="256540"/>
                  <wp:effectExtent l="0" t="0" r="0" b="0"/>
                  <wp:wrapNone/>
                  <wp:docPr id="384" name="TextBox_92"/>
                  <wp:cNvGraphicFramePr/>
                  <a:graphic xmlns:a="http://schemas.openxmlformats.org/drawingml/2006/main">
                    <a:graphicData uri="http://schemas.openxmlformats.org/drawingml/2006/picture">
                      <pic:pic xmlns:pic="http://schemas.openxmlformats.org/drawingml/2006/picture">
                        <pic:nvPicPr>
                          <pic:cNvPr id="384" name="TextBox_9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184150" cy="256540"/>
                  <wp:effectExtent l="0" t="0" r="0" b="0"/>
                  <wp:wrapNone/>
                  <wp:docPr id="385" name="TextBox_90"/>
                  <wp:cNvGraphicFramePr/>
                  <a:graphic xmlns:a="http://schemas.openxmlformats.org/drawingml/2006/main">
                    <a:graphicData uri="http://schemas.openxmlformats.org/drawingml/2006/picture">
                      <pic:pic xmlns:pic="http://schemas.openxmlformats.org/drawingml/2006/picture">
                        <pic:nvPicPr>
                          <pic:cNvPr id="385" name="TextBox_9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184150" cy="256540"/>
                  <wp:effectExtent l="0" t="0" r="0" b="0"/>
                  <wp:wrapNone/>
                  <wp:docPr id="386" name="TextBox_102"/>
                  <wp:cNvGraphicFramePr/>
                  <a:graphic xmlns:a="http://schemas.openxmlformats.org/drawingml/2006/main">
                    <a:graphicData uri="http://schemas.openxmlformats.org/drawingml/2006/picture">
                      <pic:pic xmlns:pic="http://schemas.openxmlformats.org/drawingml/2006/picture">
                        <pic:nvPicPr>
                          <pic:cNvPr id="386" name="TextBox_10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184150" cy="269240"/>
                  <wp:effectExtent l="0" t="0" r="0" b="0"/>
                  <wp:wrapNone/>
                  <wp:docPr id="387" name="TextBox_87"/>
                  <wp:cNvGraphicFramePr/>
                  <a:graphic xmlns:a="http://schemas.openxmlformats.org/drawingml/2006/main">
                    <a:graphicData uri="http://schemas.openxmlformats.org/drawingml/2006/picture">
                      <pic:pic xmlns:pic="http://schemas.openxmlformats.org/drawingml/2006/picture">
                        <pic:nvPicPr>
                          <pic:cNvPr id="387" name="TextBox_87"/>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184150" cy="269240"/>
                  <wp:effectExtent l="0" t="0" r="0" b="0"/>
                  <wp:wrapNone/>
                  <wp:docPr id="388" name="TextBox_86"/>
                  <wp:cNvGraphicFramePr/>
                  <a:graphic xmlns:a="http://schemas.openxmlformats.org/drawingml/2006/main">
                    <a:graphicData uri="http://schemas.openxmlformats.org/drawingml/2006/picture">
                      <pic:pic xmlns:pic="http://schemas.openxmlformats.org/drawingml/2006/picture">
                        <pic:nvPicPr>
                          <pic:cNvPr id="388" name="TextBox_8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184150" cy="269240"/>
                  <wp:effectExtent l="0" t="0" r="0" b="0"/>
                  <wp:wrapNone/>
                  <wp:docPr id="389" name="TextBox_98"/>
                  <wp:cNvGraphicFramePr/>
                  <a:graphic xmlns:a="http://schemas.openxmlformats.org/drawingml/2006/main">
                    <a:graphicData uri="http://schemas.openxmlformats.org/drawingml/2006/picture">
                      <pic:pic xmlns:pic="http://schemas.openxmlformats.org/drawingml/2006/picture">
                        <pic:nvPicPr>
                          <pic:cNvPr id="389" name="TextBox_98"/>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184150" cy="269240"/>
                  <wp:effectExtent l="0" t="0" r="0" b="0"/>
                  <wp:wrapNone/>
                  <wp:docPr id="390" name="TextBox_85"/>
                  <wp:cNvGraphicFramePr/>
                  <a:graphic xmlns:a="http://schemas.openxmlformats.org/drawingml/2006/main">
                    <a:graphicData uri="http://schemas.openxmlformats.org/drawingml/2006/picture">
                      <pic:pic xmlns:pic="http://schemas.openxmlformats.org/drawingml/2006/picture">
                        <pic:nvPicPr>
                          <pic:cNvPr id="390" name="TextBox_8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184150" cy="269240"/>
                  <wp:effectExtent l="0" t="0" r="0" b="0"/>
                  <wp:wrapNone/>
                  <wp:docPr id="391" name="TextBox_94"/>
                  <wp:cNvGraphicFramePr/>
                  <a:graphic xmlns:a="http://schemas.openxmlformats.org/drawingml/2006/main">
                    <a:graphicData uri="http://schemas.openxmlformats.org/drawingml/2006/picture">
                      <pic:pic xmlns:pic="http://schemas.openxmlformats.org/drawingml/2006/picture">
                        <pic:nvPicPr>
                          <pic:cNvPr id="391" name="TextBox_9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color w:val="auto"/>
                <w:kern w:val="0"/>
                <w:szCs w:val="21"/>
                <w:bdr w:val="single" w:color="000000" w:sz="4" w:space="0"/>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184150" cy="256540"/>
                  <wp:effectExtent l="0" t="0" r="0" b="0"/>
                  <wp:wrapNone/>
                  <wp:docPr id="392" name="TextBox_91"/>
                  <wp:cNvGraphicFramePr/>
                  <a:graphic xmlns:a="http://schemas.openxmlformats.org/drawingml/2006/main">
                    <a:graphicData uri="http://schemas.openxmlformats.org/drawingml/2006/picture">
                      <pic:pic xmlns:pic="http://schemas.openxmlformats.org/drawingml/2006/picture">
                        <pic:nvPicPr>
                          <pic:cNvPr id="392" name="TextBox_91"/>
                          <pic:cNvPicPr/>
                        </pic:nvPicPr>
                        <pic:blipFill>
                          <a:blip r:embed="rId20"/>
                          <a:stretch>
                            <a:fillRect/>
                          </a:stretch>
                        </pic:blipFill>
                        <pic:spPr>
                          <a:xfrm>
                            <a:off x="0" y="0"/>
                            <a:ext cx="184150" cy="256540"/>
                          </a:xfrm>
                          <a:prstGeom prst="rect">
                            <a:avLst/>
                          </a:prstGeom>
                          <a:noFill/>
                          <a:ln>
                            <a:noFill/>
                          </a:ln>
                        </pic:spPr>
                      </pic:pic>
                    </a:graphicData>
                  </a:graphic>
                </wp:anchor>
              </w:drawing>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柜式七氟丙烷灭火装置</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GQQ120/2.5-ZY</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GQQ120/2.5-ZY</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博海</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117000.00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药剂</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HFC-227ea</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HFC-227ea</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kg</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博海</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1014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188.00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190632.00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禁止标牌</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80*60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80*60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定制</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260.00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警示标牌</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280*175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280*175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定制</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260.00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泄压口</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400*400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400*400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博海</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220.00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440.00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泄压口</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600*400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600*400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博海</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220.00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440.00</w:t>
            </w:r>
          </w:p>
        </w:tc>
      </w:tr>
      <w:tr>
        <w:tblPrEx>
          <w:tblCellMar>
            <w:top w:w="0" w:type="dxa"/>
            <w:left w:w="0" w:type="dxa"/>
            <w:bottom w:w="0" w:type="dxa"/>
            <w:right w:w="0" w:type="dxa"/>
          </w:tblCellMar>
        </w:tblPrEx>
        <w:trPr>
          <w:trHeight w:val="288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声光报警器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使用环境温度：</w:t>
            </w:r>
            <w:r>
              <w:rPr>
                <w:rStyle w:val="50"/>
                <w:rFonts w:ascii="宋体" w:hAnsi="宋体" w:eastAsia="宋体" w:cs="宋体"/>
                <w:color w:val="auto"/>
                <w:sz w:val="21"/>
                <w:szCs w:val="21"/>
                <w:lang w:bidi="ar"/>
              </w:rPr>
              <w:t>-10</w:t>
            </w:r>
            <w:r>
              <w:rPr>
                <w:rStyle w:val="51"/>
                <w:rFonts w:hint="default"/>
                <w:color w:val="auto"/>
                <w:sz w:val="21"/>
                <w:szCs w:val="21"/>
                <w:lang w:bidi="ar"/>
              </w:rPr>
              <w:t>℃～</w:t>
            </w:r>
            <w:r>
              <w:rPr>
                <w:rStyle w:val="50"/>
                <w:rFonts w:ascii="宋体" w:hAnsi="宋体" w:eastAsia="宋体" w:cs="宋体"/>
                <w:color w:val="auto"/>
                <w:sz w:val="21"/>
                <w:szCs w:val="21"/>
                <w:lang w:bidi="ar"/>
              </w:rPr>
              <w:t>55</w:t>
            </w:r>
            <w:r>
              <w:rPr>
                <w:rStyle w:val="51"/>
                <w:rFonts w:hint="default"/>
                <w:color w:val="auto"/>
                <w:sz w:val="21"/>
                <w:szCs w:val="21"/>
                <w:lang w:bidi="ar"/>
              </w:rPr>
              <w:t>℃；</w:t>
            </w:r>
            <w:r>
              <w:rPr>
                <w:rStyle w:val="50"/>
                <w:rFonts w:ascii="宋体" w:hAnsi="宋体" w:eastAsia="宋体" w:cs="宋体"/>
                <w:color w:val="auto"/>
                <w:sz w:val="21"/>
                <w:szCs w:val="21"/>
                <w:lang w:bidi="ar"/>
              </w:rPr>
              <w:br w:type="textWrapping"/>
            </w:r>
            <w:r>
              <w:rPr>
                <w:rStyle w:val="51"/>
                <w:rFonts w:hint="default"/>
                <w:color w:val="auto"/>
                <w:sz w:val="21"/>
                <w:szCs w:val="21"/>
                <w:lang w:bidi="ar"/>
              </w:rPr>
              <w:t>相对湿度：</w:t>
            </w:r>
            <w:r>
              <w:rPr>
                <w:rStyle w:val="50"/>
                <w:rFonts w:ascii="宋体" w:hAnsi="宋体" w:eastAsia="宋体" w:cs="宋体"/>
                <w:color w:val="auto"/>
                <w:sz w:val="21"/>
                <w:szCs w:val="21"/>
                <w:lang w:bidi="ar"/>
              </w:rPr>
              <w:t>≤95RH (</w:t>
            </w:r>
            <w:r>
              <w:rPr>
                <w:rStyle w:val="51"/>
                <w:rFonts w:hint="default"/>
                <w:color w:val="auto"/>
                <w:sz w:val="21"/>
                <w:szCs w:val="21"/>
                <w:lang w:bidi="ar"/>
              </w:rPr>
              <w:t>不凝露</w:t>
            </w:r>
            <w:r>
              <w:rPr>
                <w:rStyle w:val="50"/>
                <w:rFonts w:ascii="宋体" w:hAnsi="宋体" w:eastAsia="宋体" w:cs="宋体"/>
                <w:color w:val="auto"/>
                <w:sz w:val="21"/>
                <w:szCs w:val="21"/>
                <w:lang w:bidi="ar"/>
              </w:rPr>
              <w:t>)</w:t>
            </w:r>
            <w:r>
              <w:rPr>
                <w:rStyle w:val="50"/>
                <w:rFonts w:ascii="宋体" w:hAnsi="宋体" w:eastAsia="宋体" w:cs="宋体"/>
                <w:color w:val="auto"/>
                <w:sz w:val="21"/>
                <w:szCs w:val="21"/>
                <w:lang w:bidi="ar"/>
              </w:rPr>
              <w:br w:type="textWrapping"/>
            </w:r>
            <w:r>
              <w:rPr>
                <w:rStyle w:val="51"/>
                <w:rFonts w:hint="default"/>
                <w:color w:val="auto"/>
                <w:sz w:val="21"/>
                <w:szCs w:val="21"/>
                <w:lang w:bidi="ar"/>
              </w:rPr>
              <w:t>电源电压：</w:t>
            </w:r>
            <w:r>
              <w:rPr>
                <w:rStyle w:val="50"/>
                <w:rFonts w:ascii="宋体" w:hAnsi="宋体" w:eastAsia="宋体" w:cs="宋体"/>
                <w:color w:val="auto"/>
                <w:sz w:val="21"/>
                <w:szCs w:val="21"/>
                <w:lang w:bidi="ar"/>
              </w:rPr>
              <w:t>DC 24V1015</w:t>
            </w:r>
            <w:r>
              <w:rPr>
                <w:rStyle w:val="50"/>
                <w:rFonts w:ascii="宋体" w:hAnsi="宋体" w:eastAsia="宋体" w:cs="宋体"/>
                <w:color w:val="auto"/>
                <w:sz w:val="21"/>
                <w:szCs w:val="21"/>
                <w:lang w:bidi="ar"/>
              </w:rPr>
              <w:br w:type="textWrapping"/>
            </w:r>
            <w:r>
              <w:rPr>
                <w:rStyle w:val="51"/>
                <w:rFonts w:hint="default"/>
                <w:color w:val="auto"/>
                <w:sz w:val="21"/>
                <w:szCs w:val="21"/>
                <w:lang w:bidi="ar"/>
              </w:rPr>
              <w:t>动作电流：</w:t>
            </w:r>
            <w:r>
              <w:rPr>
                <w:rStyle w:val="50"/>
                <w:rFonts w:ascii="宋体" w:hAnsi="宋体" w:eastAsia="宋体" w:cs="宋体"/>
                <w:color w:val="auto"/>
                <w:sz w:val="21"/>
                <w:szCs w:val="21"/>
                <w:lang w:bidi="ar"/>
              </w:rPr>
              <w:t>≤75mA</w:t>
            </w:r>
            <w:r>
              <w:rPr>
                <w:rStyle w:val="51"/>
                <w:rFonts w:hint="default"/>
                <w:color w:val="auto"/>
                <w:sz w:val="21"/>
                <w:szCs w:val="21"/>
                <w:lang w:bidi="ar"/>
              </w:rPr>
              <w:t>（平均值）</w:t>
            </w:r>
            <w:r>
              <w:rPr>
                <w:rStyle w:val="50"/>
                <w:rFonts w:ascii="宋体" w:hAnsi="宋体" w:eastAsia="宋体" w:cs="宋体"/>
                <w:color w:val="auto"/>
                <w:sz w:val="21"/>
                <w:szCs w:val="21"/>
                <w:lang w:bidi="ar"/>
              </w:rPr>
              <w:br w:type="textWrapping"/>
            </w:r>
            <w:r>
              <w:rPr>
                <w:rStyle w:val="51"/>
                <w:rFonts w:hint="default"/>
                <w:color w:val="auto"/>
                <w:sz w:val="21"/>
                <w:szCs w:val="21"/>
                <w:lang w:bidi="ar"/>
              </w:rPr>
              <w:t>报警声压级：距正前方</w:t>
            </w:r>
            <w:r>
              <w:rPr>
                <w:rStyle w:val="50"/>
                <w:rFonts w:ascii="宋体" w:hAnsi="宋体" w:eastAsia="宋体" w:cs="宋体"/>
                <w:color w:val="auto"/>
                <w:sz w:val="21"/>
                <w:szCs w:val="21"/>
                <w:lang w:bidi="ar"/>
              </w:rPr>
              <w:t>3m</w:t>
            </w:r>
            <w:r>
              <w:rPr>
                <w:rStyle w:val="51"/>
                <w:rFonts w:hint="default"/>
                <w:color w:val="auto"/>
                <w:sz w:val="21"/>
                <w:szCs w:val="21"/>
                <w:lang w:bidi="ar"/>
              </w:rPr>
              <w:t>处</w:t>
            </w:r>
            <w:r>
              <w:rPr>
                <w:rStyle w:val="50"/>
                <w:rFonts w:ascii="宋体" w:hAnsi="宋体" w:eastAsia="宋体" w:cs="宋体"/>
                <w:color w:val="auto"/>
                <w:sz w:val="21"/>
                <w:szCs w:val="21"/>
                <w:lang w:bidi="ar"/>
              </w:rPr>
              <w:t>≥ 75dB</w:t>
            </w:r>
            <w:r>
              <w:rPr>
                <w:rStyle w:val="51"/>
                <w:rFonts w:hint="default"/>
                <w:color w:val="auto"/>
                <w:sz w:val="21"/>
                <w:szCs w:val="21"/>
                <w:lang w:bidi="ar"/>
              </w:rPr>
              <w:t>（</w:t>
            </w:r>
            <w:r>
              <w:rPr>
                <w:rStyle w:val="50"/>
                <w:rFonts w:ascii="宋体" w:hAnsi="宋体" w:eastAsia="宋体" w:cs="宋体"/>
                <w:color w:val="auto"/>
                <w:sz w:val="21"/>
                <w:szCs w:val="21"/>
                <w:lang w:bidi="ar"/>
              </w:rPr>
              <w:t>A</w:t>
            </w:r>
            <w:r>
              <w:rPr>
                <w:rStyle w:val="51"/>
                <w:rFonts w:hint="default"/>
                <w:color w:val="auto"/>
                <w:sz w:val="21"/>
                <w:szCs w:val="21"/>
                <w:lang w:bidi="ar"/>
              </w:rPr>
              <w:t>计权）；</w:t>
            </w:r>
            <w:r>
              <w:rPr>
                <w:rStyle w:val="50"/>
                <w:rFonts w:ascii="宋体" w:hAnsi="宋体" w:eastAsia="宋体" w:cs="宋体"/>
                <w:color w:val="auto"/>
                <w:sz w:val="21"/>
                <w:szCs w:val="21"/>
                <w:lang w:bidi="ar"/>
              </w:rPr>
              <w:br w:type="textWrapping"/>
            </w:r>
            <w:r>
              <w:rPr>
                <w:rStyle w:val="51"/>
                <w:rFonts w:hint="default"/>
                <w:color w:val="auto"/>
                <w:sz w:val="21"/>
                <w:szCs w:val="21"/>
                <w:lang w:bidi="ar"/>
              </w:rPr>
              <w:t>变调周期：</w:t>
            </w:r>
            <w:r>
              <w:rPr>
                <w:rStyle w:val="50"/>
                <w:rFonts w:ascii="宋体" w:hAnsi="宋体" w:eastAsia="宋体" w:cs="宋体"/>
                <w:color w:val="auto"/>
                <w:sz w:val="21"/>
                <w:szCs w:val="21"/>
                <w:lang w:bidi="ar"/>
              </w:rPr>
              <w:t>1.5s</w:t>
            </w:r>
            <w:r>
              <w:rPr>
                <w:rStyle w:val="51"/>
                <w:rFonts w:hint="default"/>
                <w:color w:val="auto"/>
                <w:sz w:val="21"/>
                <w:szCs w:val="21"/>
                <w:lang w:bidi="ar"/>
              </w:rPr>
              <w:t>～</w:t>
            </w:r>
            <w:r>
              <w:rPr>
                <w:rStyle w:val="50"/>
                <w:rFonts w:ascii="宋体" w:hAnsi="宋体" w:eastAsia="宋体" w:cs="宋体"/>
                <w:color w:val="auto"/>
                <w:sz w:val="21"/>
                <w:szCs w:val="21"/>
                <w:lang w:bidi="ar"/>
              </w:rPr>
              <w:t>2.5s</w:t>
            </w:r>
            <w:r>
              <w:rPr>
                <w:rStyle w:val="50"/>
                <w:rFonts w:ascii="宋体" w:hAnsi="宋体" w:eastAsia="宋体" w:cs="宋体"/>
                <w:color w:val="auto"/>
                <w:sz w:val="21"/>
                <w:szCs w:val="21"/>
                <w:lang w:bidi="ar"/>
              </w:rPr>
              <w:br w:type="textWrapping"/>
            </w:r>
            <w:r>
              <w:rPr>
                <w:rStyle w:val="51"/>
                <w:rFonts w:hint="default"/>
                <w:color w:val="auto"/>
                <w:sz w:val="21"/>
                <w:szCs w:val="21"/>
                <w:lang w:bidi="ar"/>
              </w:rPr>
              <w:t>基本闪光频率：</w:t>
            </w:r>
            <w:r>
              <w:rPr>
                <w:rStyle w:val="50"/>
                <w:rFonts w:ascii="宋体" w:hAnsi="宋体" w:eastAsia="宋体" w:cs="宋体"/>
                <w:color w:val="auto"/>
                <w:sz w:val="21"/>
                <w:szCs w:val="21"/>
                <w:lang w:bidi="ar"/>
              </w:rPr>
              <w:t>60</w:t>
            </w:r>
            <w:r>
              <w:rPr>
                <w:rStyle w:val="51"/>
                <w:rFonts w:hint="default"/>
                <w:color w:val="auto"/>
                <w:sz w:val="21"/>
                <w:szCs w:val="21"/>
                <w:lang w:bidi="ar"/>
              </w:rPr>
              <w:t>～</w:t>
            </w:r>
            <w:r>
              <w:rPr>
                <w:rStyle w:val="50"/>
                <w:rFonts w:ascii="宋体" w:hAnsi="宋体" w:eastAsia="宋体" w:cs="宋体"/>
                <w:color w:val="auto"/>
                <w:sz w:val="21"/>
                <w:szCs w:val="21"/>
                <w:lang w:bidi="ar"/>
              </w:rPr>
              <w:t>90</w:t>
            </w:r>
            <w:r>
              <w:rPr>
                <w:rStyle w:val="51"/>
                <w:rFonts w:hint="default"/>
                <w:color w:val="auto"/>
                <w:sz w:val="21"/>
                <w:szCs w:val="21"/>
                <w:lang w:bidi="ar"/>
              </w:rPr>
              <w:t>次</w:t>
            </w:r>
            <w:r>
              <w:rPr>
                <w:rStyle w:val="50"/>
                <w:rFonts w:ascii="宋体" w:hAnsi="宋体" w:eastAsia="宋体" w:cs="宋体"/>
                <w:color w:val="auto"/>
                <w:sz w:val="21"/>
                <w:szCs w:val="21"/>
                <w:lang w:bidi="ar"/>
              </w:rPr>
              <w:t>/</w:t>
            </w:r>
            <w:r>
              <w:rPr>
                <w:rStyle w:val="51"/>
                <w:rFonts w:hint="default"/>
                <w:color w:val="auto"/>
                <w:sz w:val="21"/>
                <w:szCs w:val="21"/>
                <w:lang w:bidi="ar"/>
              </w:rPr>
              <w:t>分</w:t>
            </w:r>
            <w:r>
              <w:rPr>
                <w:rStyle w:val="50"/>
                <w:rFonts w:ascii="宋体" w:hAnsi="宋体" w:eastAsia="宋体" w:cs="宋体"/>
                <w:color w:val="auto"/>
                <w:sz w:val="21"/>
                <w:szCs w:val="21"/>
                <w:lang w:bidi="ar"/>
              </w:rPr>
              <w:br w:type="textWrapping"/>
            </w:r>
            <w:r>
              <w:rPr>
                <w:rStyle w:val="51"/>
                <w:rFonts w:hint="default"/>
                <w:color w:val="auto"/>
                <w:sz w:val="21"/>
                <w:szCs w:val="21"/>
                <w:lang w:bidi="ar"/>
              </w:rPr>
              <w:t>线制：电源（无极性）</w:t>
            </w:r>
            <w:r>
              <w:rPr>
                <w:rStyle w:val="50"/>
                <w:rFonts w:ascii="宋体" w:hAnsi="宋体" w:eastAsia="宋体" w:cs="宋体"/>
                <w:color w:val="auto"/>
                <w:sz w:val="21"/>
                <w:szCs w:val="21"/>
                <w:lang w:bidi="ar"/>
              </w:rPr>
              <w:t xml:space="preserve">  </w:t>
            </w:r>
            <w:r>
              <w:rPr>
                <w:rStyle w:val="50"/>
                <w:rFonts w:ascii="宋体" w:hAnsi="宋体" w:eastAsia="宋体" w:cs="宋体"/>
                <w:color w:val="auto"/>
                <w:sz w:val="21"/>
                <w:szCs w:val="21"/>
                <w:lang w:bidi="ar"/>
              </w:rPr>
              <w:br w:type="textWrapping"/>
            </w:r>
            <w:r>
              <w:rPr>
                <w:rStyle w:val="51"/>
                <w:rFonts w:hint="default"/>
                <w:color w:val="auto"/>
                <w:sz w:val="21"/>
                <w:szCs w:val="21"/>
                <w:lang w:bidi="ar"/>
              </w:rPr>
              <w:t>外形尺寸：直径</w:t>
            </w:r>
            <w:r>
              <w:rPr>
                <w:rStyle w:val="50"/>
                <w:rFonts w:ascii="宋体" w:hAnsi="宋体" w:eastAsia="宋体" w:cs="宋体"/>
                <w:color w:val="auto"/>
                <w:sz w:val="21"/>
                <w:szCs w:val="21"/>
                <w:lang w:bidi="ar"/>
              </w:rPr>
              <w:t>100mm</w:t>
            </w:r>
            <w:r>
              <w:rPr>
                <w:rStyle w:val="51"/>
                <w:rFonts w:hint="default"/>
                <w:color w:val="auto"/>
                <w:sz w:val="21"/>
                <w:szCs w:val="21"/>
                <w:lang w:bidi="ar"/>
              </w:rPr>
              <w:t>、高</w:t>
            </w:r>
            <w:r>
              <w:rPr>
                <w:rStyle w:val="50"/>
                <w:rFonts w:ascii="宋体" w:hAnsi="宋体" w:eastAsia="宋体" w:cs="宋体"/>
                <w:color w:val="auto"/>
                <w:sz w:val="21"/>
                <w:szCs w:val="21"/>
                <w:lang w:bidi="ar"/>
              </w:rPr>
              <w:t>55.5mm</w:t>
            </w:r>
            <w:r>
              <w:rPr>
                <w:rStyle w:val="51"/>
                <w:rFonts w:hint="default"/>
                <w:color w:val="auto"/>
                <w:sz w:val="21"/>
                <w:szCs w:val="21"/>
                <w:lang w:bidi="ar"/>
              </w:rPr>
              <w:t>（不含底座）</w:t>
            </w:r>
            <w:r>
              <w:rPr>
                <w:rStyle w:val="50"/>
                <w:rFonts w:ascii="宋体" w:hAnsi="宋体" w:eastAsia="宋体" w:cs="宋体"/>
                <w:color w:val="auto"/>
                <w:sz w:val="21"/>
                <w:szCs w:val="21"/>
                <w:lang w:bidi="ar"/>
              </w:rPr>
              <w:br w:type="textWrapping"/>
            </w:r>
            <w:r>
              <w:rPr>
                <w:rStyle w:val="51"/>
                <w:rFonts w:hint="default"/>
                <w:color w:val="auto"/>
                <w:sz w:val="21"/>
                <w:szCs w:val="21"/>
                <w:lang w:bidi="ar"/>
              </w:rPr>
              <w:t>重量：</w:t>
            </w:r>
            <w:r>
              <w:rPr>
                <w:rStyle w:val="50"/>
                <w:rFonts w:ascii="宋体" w:hAnsi="宋体" w:eastAsia="宋体" w:cs="宋体"/>
                <w:color w:val="auto"/>
                <w:sz w:val="21"/>
                <w:szCs w:val="21"/>
                <w:lang w:bidi="ar"/>
              </w:rPr>
              <w:t>104g±5%</w:t>
            </w:r>
            <w:r>
              <w:rPr>
                <w:rStyle w:val="51"/>
                <w:rFonts w:hint="default"/>
                <w:color w:val="auto"/>
                <w:sz w:val="21"/>
                <w:szCs w:val="21"/>
                <w:lang w:bidi="ar"/>
              </w:rPr>
              <w:t>（不含底座）</w:t>
            </w:r>
            <w:r>
              <w:rPr>
                <w:rStyle w:val="50"/>
                <w:rFonts w:ascii="宋体" w:hAnsi="宋体" w:eastAsia="宋体" w:cs="宋体"/>
                <w:color w:val="auto"/>
                <w:sz w:val="21"/>
                <w:szCs w:val="21"/>
                <w:lang w:bidi="ar"/>
              </w:rPr>
              <w:br w:type="textWrapping"/>
            </w:r>
            <w:r>
              <w:rPr>
                <w:rStyle w:val="51"/>
                <w:rFonts w:hint="default"/>
                <w:color w:val="auto"/>
                <w:sz w:val="21"/>
                <w:szCs w:val="21"/>
                <w:lang w:bidi="ar"/>
              </w:rPr>
              <w:t>外壳防护等级：</w:t>
            </w:r>
            <w:r>
              <w:rPr>
                <w:rStyle w:val="50"/>
                <w:rFonts w:ascii="宋体" w:hAnsi="宋体" w:eastAsia="宋体" w:cs="宋体"/>
                <w:color w:val="auto"/>
                <w:sz w:val="21"/>
                <w:szCs w:val="21"/>
                <w:lang w:bidi="ar"/>
              </w:rPr>
              <w:t>IP30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HX-100B</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220.00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1760.00</w:t>
            </w:r>
          </w:p>
        </w:tc>
      </w:tr>
      <w:tr>
        <w:tblPrEx>
          <w:tblCellMar>
            <w:top w:w="0" w:type="dxa"/>
            <w:left w:w="0" w:type="dxa"/>
            <w:bottom w:w="0" w:type="dxa"/>
            <w:right w:w="0" w:type="dxa"/>
          </w:tblCellMar>
        </w:tblPrEx>
        <w:trPr>
          <w:trHeight w:val="170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输入</w:t>
            </w:r>
            <w:r>
              <w:rPr>
                <w:rStyle w:val="50"/>
                <w:rFonts w:ascii="宋体" w:hAnsi="宋体" w:eastAsia="宋体" w:cs="宋体"/>
                <w:color w:val="auto"/>
                <w:sz w:val="21"/>
                <w:szCs w:val="21"/>
                <w:lang w:bidi="ar"/>
              </w:rPr>
              <w:t>/</w:t>
            </w:r>
            <w:r>
              <w:rPr>
                <w:rStyle w:val="51"/>
                <w:rFonts w:hint="default"/>
                <w:color w:val="auto"/>
                <w:sz w:val="21"/>
                <w:szCs w:val="21"/>
                <w:lang w:bidi="ar"/>
              </w:rPr>
              <w:t>输出模块</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使用环境温度：</w:t>
            </w:r>
            <w:r>
              <w:rPr>
                <w:rStyle w:val="50"/>
                <w:rFonts w:ascii="宋体" w:hAnsi="宋体" w:eastAsia="宋体" w:cs="宋体"/>
                <w:color w:val="auto"/>
                <w:sz w:val="21"/>
                <w:szCs w:val="21"/>
                <w:lang w:bidi="ar"/>
              </w:rPr>
              <w:t>-10</w:t>
            </w:r>
            <w:r>
              <w:rPr>
                <w:rStyle w:val="51"/>
                <w:rFonts w:hint="default"/>
                <w:color w:val="auto"/>
                <w:sz w:val="21"/>
                <w:szCs w:val="21"/>
                <w:lang w:bidi="ar"/>
              </w:rPr>
              <w:t>℃</w:t>
            </w:r>
            <w:r>
              <w:rPr>
                <w:rStyle w:val="50"/>
                <w:rFonts w:ascii="宋体" w:hAnsi="宋体" w:eastAsia="宋体" w:cs="宋体"/>
                <w:color w:val="auto"/>
                <w:sz w:val="21"/>
                <w:szCs w:val="21"/>
                <w:lang w:bidi="ar"/>
              </w:rPr>
              <w:t xml:space="preserve"> </w:t>
            </w:r>
            <w:r>
              <w:rPr>
                <w:rStyle w:val="51"/>
                <w:rFonts w:hint="default"/>
                <w:color w:val="auto"/>
                <w:sz w:val="21"/>
                <w:szCs w:val="21"/>
                <w:lang w:bidi="ar"/>
              </w:rPr>
              <w:t>～</w:t>
            </w:r>
            <w:r>
              <w:rPr>
                <w:rStyle w:val="50"/>
                <w:rFonts w:ascii="宋体" w:hAnsi="宋体" w:eastAsia="宋体" w:cs="宋体"/>
                <w:color w:val="auto"/>
                <w:sz w:val="21"/>
                <w:szCs w:val="21"/>
                <w:lang w:bidi="ar"/>
              </w:rPr>
              <w:t>+50</w:t>
            </w:r>
            <w:r>
              <w:rPr>
                <w:rStyle w:val="51"/>
                <w:rFonts w:hint="default"/>
                <w:color w:val="auto"/>
                <w:sz w:val="21"/>
                <w:szCs w:val="21"/>
                <w:lang w:bidi="ar"/>
              </w:rPr>
              <w:t>℃</w:t>
            </w:r>
            <w:r>
              <w:rPr>
                <w:rStyle w:val="50"/>
                <w:rFonts w:ascii="宋体" w:hAnsi="宋体" w:eastAsia="宋体" w:cs="宋体"/>
                <w:color w:val="auto"/>
                <w:sz w:val="21"/>
                <w:szCs w:val="21"/>
                <w:lang w:bidi="ar"/>
              </w:rPr>
              <w:br w:type="textWrapping"/>
            </w:r>
            <w:r>
              <w:rPr>
                <w:rStyle w:val="51"/>
                <w:rFonts w:hint="default"/>
                <w:color w:val="auto"/>
                <w:sz w:val="21"/>
                <w:szCs w:val="21"/>
                <w:lang w:bidi="ar"/>
              </w:rPr>
              <w:t>使用环境湿度：＜</w:t>
            </w:r>
            <w:r>
              <w:rPr>
                <w:rStyle w:val="50"/>
                <w:rFonts w:ascii="宋体" w:hAnsi="宋体" w:eastAsia="宋体" w:cs="宋体"/>
                <w:color w:val="auto"/>
                <w:sz w:val="21"/>
                <w:szCs w:val="21"/>
                <w:lang w:bidi="ar"/>
              </w:rPr>
              <w:t>95%RH</w:t>
            </w:r>
            <w:r>
              <w:rPr>
                <w:rStyle w:val="51"/>
                <w:rFonts w:hint="default"/>
                <w:color w:val="auto"/>
                <w:sz w:val="21"/>
                <w:szCs w:val="21"/>
                <w:lang w:bidi="ar"/>
              </w:rPr>
              <w:t>（不凝露）</w:t>
            </w:r>
            <w:r>
              <w:rPr>
                <w:rStyle w:val="50"/>
                <w:rFonts w:ascii="宋体" w:hAnsi="宋体" w:eastAsia="宋体" w:cs="宋体"/>
                <w:color w:val="auto"/>
                <w:sz w:val="21"/>
                <w:szCs w:val="21"/>
                <w:lang w:bidi="ar"/>
              </w:rPr>
              <w:t xml:space="preserve"> </w:t>
            </w:r>
            <w:r>
              <w:rPr>
                <w:rStyle w:val="50"/>
                <w:rFonts w:ascii="宋体" w:hAnsi="宋体" w:eastAsia="宋体" w:cs="宋体"/>
                <w:color w:val="auto"/>
                <w:sz w:val="21"/>
                <w:szCs w:val="21"/>
                <w:lang w:bidi="ar"/>
              </w:rPr>
              <w:br w:type="textWrapping"/>
            </w:r>
            <w:r>
              <w:rPr>
                <w:rStyle w:val="51"/>
                <w:rFonts w:hint="default"/>
                <w:color w:val="auto"/>
                <w:sz w:val="21"/>
                <w:szCs w:val="21"/>
                <w:lang w:bidi="ar"/>
              </w:rPr>
              <w:t>线</w:t>
            </w:r>
            <w:r>
              <w:rPr>
                <w:rStyle w:val="50"/>
                <w:rFonts w:ascii="宋体" w:hAnsi="宋体" w:eastAsia="宋体" w:cs="宋体"/>
                <w:color w:val="auto"/>
                <w:sz w:val="21"/>
                <w:szCs w:val="21"/>
                <w:lang w:bidi="ar"/>
              </w:rPr>
              <w:t xml:space="preserve">    </w:t>
            </w:r>
            <w:r>
              <w:rPr>
                <w:rStyle w:val="51"/>
                <w:rFonts w:hint="default"/>
                <w:color w:val="auto"/>
                <w:sz w:val="21"/>
                <w:szCs w:val="21"/>
                <w:lang w:bidi="ar"/>
              </w:rPr>
              <w:t>制：两总线（无极性）</w:t>
            </w:r>
            <w:r>
              <w:rPr>
                <w:rStyle w:val="50"/>
                <w:rFonts w:ascii="宋体" w:hAnsi="宋体" w:eastAsia="宋体" w:cs="宋体"/>
                <w:color w:val="auto"/>
                <w:sz w:val="21"/>
                <w:szCs w:val="21"/>
                <w:lang w:bidi="ar"/>
              </w:rPr>
              <w:br w:type="textWrapping"/>
            </w:r>
            <w:r>
              <w:rPr>
                <w:rStyle w:val="51"/>
                <w:rFonts w:hint="default"/>
                <w:color w:val="auto"/>
                <w:sz w:val="21"/>
                <w:szCs w:val="21"/>
                <w:lang w:bidi="ar"/>
              </w:rPr>
              <w:t>监视电流：＜</w:t>
            </w:r>
            <w:r>
              <w:rPr>
                <w:rStyle w:val="50"/>
                <w:rFonts w:ascii="宋体" w:hAnsi="宋体" w:eastAsia="宋体" w:cs="宋体"/>
                <w:color w:val="auto"/>
                <w:sz w:val="21"/>
                <w:szCs w:val="21"/>
                <w:lang w:bidi="ar"/>
              </w:rPr>
              <w:t>0.35mA</w:t>
            </w:r>
            <w:r>
              <w:rPr>
                <w:rStyle w:val="51"/>
                <w:rFonts w:hint="default"/>
                <w:color w:val="auto"/>
                <w:sz w:val="21"/>
                <w:szCs w:val="21"/>
                <w:lang w:bidi="ar"/>
              </w:rPr>
              <w:t>（总线）；＜</w:t>
            </w:r>
            <w:r>
              <w:rPr>
                <w:rStyle w:val="50"/>
                <w:rFonts w:ascii="宋体" w:hAnsi="宋体" w:eastAsia="宋体" w:cs="宋体"/>
                <w:color w:val="auto"/>
                <w:sz w:val="21"/>
                <w:szCs w:val="21"/>
                <w:lang w:bidi="ar"/>
              </w:rPr>
              <w:t>1.0mA</w:t>
            </w:r>
            <w:r>
              <w:rPr>
                <w:rStyle w:val="50"/>
                <w:rFonts w:ascii="宋体" w:hAnsi="宋体" w:eastAsia="宋体" w:cs="宋体"/>
                <w:color w:val="auto"/>
                <w:sz w:val="21"/>
                <w:szCs w:val="21"/>
                <w:lang w:bidi="ar"/>
              </w:rPr>
              <w:br w:type="textWrapping"/>
            </w:r>
            <w:r>
              <w:rPr>
                <w:rStyle w:val="51"/>
                <w:rFonts w:hint="default"/>
                <w:color w:val="auto"/>
                <w:sz w:val="21"/>
                <w:szCs w:val="21"/>
                <w:lang w:bidi="ar"/>
              </w:rPr>
              <w:t>动作电流：＜</w:t>
            </w:r>
            <w:r>
              <w:rPr>
                <w:rStyle w:val="50"/>
                <w:rFonts w:ascii="宋体" w:hAnsi="宋体" w:eastAsia="宋体" w:cs="宋体"/>
                <w:color w:val="auto"/>
                <w:sz w:val="21"/>
                <w:szCs w:val="21"/>
                <w:lang w:bidi="ar"/>
              </w:rPr>
              <w:t>1.5mA</w:t>
            </w:r>
            <w:r>
              <w:rPr>
                <w:rStyle w:val="51"/>
                <w:rFonts w:hint="default"/>
                <w:color w:val="auto"/>
                <w:sz w:val="21"/>
                <w:szCs w:val="21"/>
                <w:lang w:bidi="ar"/>
              </w:rPr>
              <w:t>（总线）；＜</w:t>
            </w:r>
            <w:r>
              <w:rPr>
                <w:rStyle w:val="50"/>
                <w:rFonts w:ascii="宋体" w:hAnsi="宋体" w:eastAsia="宋体" w:cs="宋体"/>
                <w:color w:val="auto"/>
                <w:sz w:val="21"/>
                <w:szCs w:val="21"/>
                <w:lang w:bidi="ar"/>
              </w:rPr>
              <w:t>25mA</w:t>
            </w:r>
            <w:r>
              <w:rPr>
                <w:rStyle w:val="50"/>
                <w:rFonts w:ascii="宋体" w:hAnsi="宋体" w:eastAsia="宋体" w:cs="宋体"/>
                <w:color w:val="auto"/>
                <w:sz w:val="21"/>
                <w:szCs w:val="21"/>
                <w:lang w:bidi="ar"/>
              </w:rPr>
              <w:br w:type="textWrapping"/>
            </w:r>
            <w:r>
              <w:rPr>
                <w:rStyle w:val="51"/>
                <w:rFonts w:hint="default"/>
                <w:color w:val="auto"/>
                <w:sz w:val="21"/>
                <w:szCs w:val="21"/>
                <w:lang w:bidi="ar"/>
              </w:rPr>
              <w:t>外壳防护等级：</w:t>
            </w:r>
            <w:r>
              <w:rPr>
                <w:rStyle w:val="50"/>
                <w:rFonts w:ascii="宋体" w:hAnsi="宋体" w:eastAsia="宋体" w:cs="宋体"/>
                <w:color w:val="auto"/>
                <w:sz w:val="21"/>
                <w:szCs w:val="21"/>
                <w:lang w:bidi="ar"/>
              </w:rPr>
              <w:t>IP30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GST-LD-8301</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810.00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模块通用底座</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配套底座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DZ-02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23.00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207.00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放气指示灯</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300*120*26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GST-LD-8317</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1600.00</w:t>
            </w:r>
          </w:p>
        </w:tc>
      </w:tr>
      <w:tr>
        <w:tblPrEx>
          <w:tblCellMar>
            <w:top w:w="0" w:type="dxa"/>
            <w:left w:w="0" w:type="dxa"/>
            <w:bottom w:w="0" w:type="dxa"/>
            <w:right w:w="0" w:type="dxa"/>
          </w:tblCellMar>
        </w:tblPrEx>
        <w:trPr>
          <w:trHeight w:val="177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智能感温探测器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使用环境湿度：</w:t>
            </w:r>
            <w:r>
              <w:rPr>
                <w:rStyle w:val="50"/>
                <w:rFonts w:ascii="宋体" w:hAnsi="宋体" w:eastAsia="宋体" w:cs="宋体"/>
                <w:color w:val="auto"/>
                <w:sz w:val="21"/>
                <w:szCs w:val="21"/>
                <w:lang w:bidi="ar"/>
              </w:rPr>
              <w:t>≤95%RH</w:t>
            </w:r>
            <w:r>
              <w:rPr>
                <w:rStyle w:val="51"/>
                <w:rFonts w:hint="default"/>
                <w:color w:val="auto"/>
                <w:sz w:val="21"/>
                <w:szCs w:val="21"/>
                <w:lang w:bidi="ar"/>
              </w:rPr>
              <w:t>（不凝露）</w:t>
            </w:r>
            <w:r>
              <w:rPr>
                <w:rStyle w:val="50"/>
                <w:rFonts w:ascii="宋体" w:hAnsi="宋体" w:eastAsia="宋体" w:cs="宋体"/>
                <w:color w:val="auto"/>
                <w:sz w:val="21"/>
                <w:szCs w:val="21"/>
                <w:lang w:bidi="ar"/>
              </w:rPr>
              <w:br w:type="textWrapping"/>
            </w:r>
            <w:r>
              <w:rPr>
                <w:rStyle w:val="51"/>
                <w:rFonts w:hint="default"/>
                <w:color w:val="auto"/>
                <w:sz w:val="21"/>
                <w:szCs w:val="21"/>
                <w:lang w:bidi="ar"/>
              </w:rPr>
              <w:t>总线工作电压：</w:t>
            </w:r>
            <w:r>
              <w:rPr>
                <w:rStyle w:val="50"/>
                <w:rFonts w:ascii="宋体" w:hAnsi="宋体" w:eastAsia="宋体" w:cs="宋体"/>
                <w:color w:val="auto"/>
                <w:sz w:val="21"/>
                <w:szCs w:val="21"/>
                <w:lang w:bidi="ar"/>
              </w:rPr>
              <w:t>DC24V</w:t>
            </w:r>
            <w:r>
              <w:rPr>
                <w:rStyle w:val="51"/>
                <w:rFonts w:hint="default"/>
                <w:color w:val="auto"/>
                <w:sz w:val="21"/>
                <w:szCs w:val="21"/>
                <w:lang w:bidi="ar"/>
              </w:rPr>
              <w:t>脉动电压</w:t>
            </w:r>
            <w:r>
              <w:rPr>
                <w:rStyle w:val="50"/>
                <w:rFonts w:ascii="宋体" w:hAnsi="宋体" w:eastAsia="宋体" w:cs="宋体"/>
                <w:color w:val="auto"/>
                <w:sz w:val="21"/>
                <w:szCs w:val="21"/>
                <w:lang w:bidi="ar"/>
              </w:rPr>
              <w:br w:type="textWrapping"/>
            </w:r>
            <w:r>
              <w:rPr>
                <w:rStyle w:val="51"/>
                <w:rFonts w:hint="default"/>
                <w:color w:val="auto"/>
                <w:sz w:val="21"/>
                <w:szCs w:val="21"/>
                <w:lang w:bidi="ar"/>
              </w:rPr>
              <w:t>动</w:t>
            </w:r>
            <w:r>
              <w:rPr>
                <w:rStyle w:val="50"/>
                <w:rFonts w:ascii="宋体" w:hAnsi="宋体" w:eastAsia="宋体" w:cs="宋体"/>
                <w:color w:val="auto"/>
                <w:sz w:val="21"/>
                <w:szCs w:val="21"/>
                <w:lang w:bidi="ar"/>
              </w:rPr>
              <w:t xml:space="preserve"> </w:t>
            </w:r>
            <w:r>
              <w:rPr>
                <w:rStyle w:val="51"/>
                <w:rFonts w:hint="default"/>
                <w:color w:val="auto"/>
                <w:sz w:val="21"/>
                <w:szCs w:val="21"/>
                <w:lang w:bidi="ar"/>
              </w:rPr>
              <w:t>作</w:t>
            </w:r>
            <w:r>
              <w:rPr>
                <w:rStyle w:val="50"/>
                <w:rFonts w:ascii="宋体" w:hAnsi="宋体" w:eastAsia="宋体" w:cs="宋体"/>
                <w:color w:val="auto"/>
                <w:sz w:val="21"/>
                <w:szCs w:val="21"/>
                <w:lang w:bidi="ar"/>
              </w:rPr>
              <w:t xml:space="preserve"> </w:t>
            </w:r>
            <w:r>
              <w:rPr>
                <w:rStyle w:val="51"/>
                <w:rFonts w:hint="default"/>
                <w:color w:val="auto"/>
                <w:sz w:val="21"/>
                <w:szCs w:val="21"/>
                <w:lang w:bidi="ar"/>
              </w:rPr>
              <w:t>温</w:t>
            </w:r>
            <w:r>
              <w:rPr>
                <w:rStyle w:val="50"/>
                <w:rFonts w:ascii="宋体" w:hAnsi="宋体" w:eastAsia="宋体" w:cs="宋体"/>
                <w:color w:val="auto"/>
                <w:sz w:val="21"/>
                <w:szCs w:val="21"/>
                <w:lang w:bidi="ar"/>
              </w:rPr>
              <w:t xml:space="preserve"> </w:t>
            </w:r>
            <w:r>
              <w:rPr>
                <w:rStyle w:val="51"/>
                <w:rFonts w:hint="default"/>
                <w:color w:val="auto"/>
                <w:sz w:val="21"/>
                <w:szCs w:val="21"/>
                <w:lang w:bidi="ar"/>
              </w:rPr>
              <w:t>度：</w:t>
            </w:r>
            <w:r>
              <w:rPr>
                <w:rStyle w:val="50"/>
                <w:rFonts w:ascii="宋体" w:hAnsi="宋体" w:eastAsia="宋体" w:cs="宋体"/>
                <w:color w:val="auto"/>
                <w:sz w:val="21"/>
                <w:szCs w:val="21"/>
                <w:lang w:bidi="ar"/>
              </w:rPr>
              <w:t>56</w:t>
            </w:r>
            <w:r>
              <w:rPr>
                <w:rStyle w:val="51"/>
                <w:rFonts w:hint="default"/>
                <w:color w:val="auto"/>
                <w:sz w:val="21"/>
                <w:szCs w:val="21"/>
                <w:lang w:bidi="ar"/>
              </w:rPr>
              <w:t>℃</w:t>
            </w:r>
            <w:r>
              <w:rPr>
                <w:rStyle w:val="50"/>
                <w:rFonts w:ascii="宋体" w:hAnsi="宋体" w:eastAsia="宋体" w:cs="宋体"/>
                <w:color w:val="auto"/>
                <w:sz w:val="21"/>
                <w:szCs w:val="21"/>
                <w:lang w:bidi="ar"/>
              </w:rPr>
              <w:t xml:space="preserve"> </w:t>
            </w:r>
            <w:r>
              <w:rPr>
                <w:rStyle w:val="51"/>
                <w:rFonts w:hint="default"/>
                <w:color w:val="auto"/>
                <w:sz w:val="21"/>
                <w:szCs w:val="21"/>
                <w:lang w:bidi="ar"/>
              </w:rPr>
              <w:t>～</w:t>
            </w:r>
            <w:r>
              <w:rPr>
                <w:rStyle w:val="50"/>
                <w:rFonts w:ascii="宋体" w:hAnsi="宋体" w:eastAsia="宋体" w:cs="宋体"/>
                <w:color w:val="auto"/>
                <w:sz w:val="21"/>
                <w:szCs w:val="21"/>
                <w:lang w:bidi="ar"/>
              </w:rPr>
              <w:t xml:space="preserve"> 66</w:t>
            </w:r>
            <w:r>
              <w:rPr>
                <w:rStyle w:val="51"/>
                <w:rFonts w:hint="default"/>
                <w:color w:val="auto"/>
                <w:sz w:val="21"/>
                <w:szCs w:val="21"/>
                <w:lang w:bidi="ar"/>
              </w:rPr>
              <w:t>℃</w:t>
            </w:r>
            <w:r>
              <w:rPr>
                <w:rStyle w:val="50"/>
                <w:rFonts w:ascii="宋体" w:hAnsi="宋体" w:eastAsia="宋体" w:cs="宋体"/>
                <w:color w:val="auto"/>
                <w:sz w:val="21"/>
                <w:szCs w:val="21"/>
                <w:lang w:bidi="ar"/>
              </w:rPr>
              <w:br w:type="textWrapping"/>
            </w:r>
            <w:r>
              <w:rPr>
                <w:rStyle w:val="51"/>
                <w:rFonts w:hint="default"/>
                <w:color w:val="auto"/>
                <w:sz w:val="21"/>
                <w:szCs w:val="21"/>
                <w:lang w:bidi="ar"/>
              </w:rPr>
              <w:t>报警确认灯：红色，巡检闪亮，报警常亮</w:t>
            </w:r>
            <w:r>
              <w:rPr>
                <w:rStyle w:val="50"/>
                <w:rFonts w:ascii="宋体" w:hAnsi="宋体" w:eastAsia="宋体" w:cs="宋体"/>
                <w:color w:val="auto"/>
                <w:sz w:val="21"/>
                <w:szCs w:val="21"/>
                <w:lang w:bidi="ar"/>
              </w:rPr>
              <w:t xml:space="preserve">  </w:t>
            </w:r>
            <w:r>
              <w:rPr>
                <w:rStyle w:val="50"/>
                <w:rFonts w:ascii="宋体" w:hAnsi="宋体" w:eastAsia="宋体" w:cs="宋体"/>
                <w:color w:val="auto"/>
                <w:sz w:val="21"/>
                <w:szCs w:val="21"/>
                <w:lang w:bidi="ar"/>
              </w:rPr>
              <w:br w:type="textWrapping"/>
            </w:r>
            <w:r>
              <w:rPr>
                <w:rStyle w:val="51"/>
                <w:rFonts w:hint="default"/>
                <w:color w:val="auto"/>
                <w:sz w:val="21"/>
                <w:szCs w:val="21"/>
                <w:lang w:bidi="ar"/>
              </w:rPr>
              <w:t>外壳防护等级：</w:t>
            </w:r>
            <w:r>
              <w:rPr>
                <w:rStyle w:val="50"/>
                <w:rFonts w:ascii="宋体" w:hAnsi="宋体" w:eastAsia="宋体" w:cs="宋体"/>
                <w:color w:val="auto"/>
                <w:sz w:val="21"/>
                <w:szCs w:val="21"/>
                <w:lang w:bidi="ar"/>
              </w:rPr>
              <w:t>IP30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JTW-ZCD-G3N</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2560.00</w:t>
            </w:r>
          </w:p>
        </w:tc>
      </w:tr>
      <w:tr>
        <w:tblPrEx>
          <w:tblCellMar>
            <w:top w:w="0" w:type="dxa"/>
            <w:left w:w="0" w:type="dxa"/>
            <w:bottom w:w="0" w:type="dxa"/>
            <w:right w:w="0" w:type="dxa"/>
          </w:tblCellMar>
        </w:tblPrEx>
        <w:trPr>
          <w:trHeight w:val="290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光电感烟探测器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使用环境湿度：</w:t>
            </w:r>
            <w:r>
              <w:rPr>
                <w:rStyle w:val="50"/>
                <w:rFonts w:ascii="宋体" w:hAnsi="宋体" w:eastAsia="宋体" w:cs="宋体"/>
                <w:color w:val="auto"/>
                <w:sz w:val="21"/>
                <w:szCs w:val="21"/>
                <w:lang w:bidi="ar"/>
              </w:rPr>
              <w:t>≤95% RH</w:t>
            </w:r>
            <w:r>
              <w:rPr>
                <w:rStyle w:val="51"/>
                <w:rFonts w:hint="default"/>
                <w:color w:val="auto"/>
                <w:sz w:val="21"/>
                <w:szCs w:val="21"/>
                <w:lang w:bidi="ar"/>
              </w:rPr>
              <w:t>（不凝露）</w:t>
            </w:r>
            <w:r>
              <w:rPr>
                <w:rStyle w:val="50"/>
                <w:rFonts w:ascii="宋体" w:hAnsi="宋体" w:eastAsia="宋体" w:cs="宋体"/>
                <w:color w:val="auto"/>
                <w:sz w:val="21"/>
                <w:szCs w:val="21"/>
                <w:lang w:bidi="ar"/>
              </w:rPr>
              <w:br w:type="textWrapping"/>
            </w:r>
            <w:r>
              <w:rPr>
                <w:rStyle w:val="51"/>
                <w:rFonts w:hint="default"/>
                <w:color w:val="auto"/>
                <w:sz w:val="21"/>
                <w:szCs w:val="21"/>
                <w:lang w:bidi="ar"/>
              </w:rPr>
              <w:t>总线工作电压：</w:t>
            </w:r>
            <w:r>
              <w:rPr>
                <w:rStyle w:val="50"/>
                <w:rFonts w:ascii="宋体" w:hAnsi="宋体" w:eastAsia="宋体" w:cs="宋体"/>
                <w:color w:val="auto"/>
                <w:sz w:val="21"/>
                <w:szCs w:val="21"/>
                <w:lang w:bidi="ar"/>
              </w:rPr>
              <w:t>DC24V</w:t>
            </w:r>
            <w:r>
              <w:rPr>
                <w:rStyle w:val="51"/>
                <w:rFonts w:hint="default"/>
                <w:color w:val="auto"/>
                <w:sz w:val="21"/>
                <w:szCs w:val="21"/>
                <w:lang w:bidi="ar"/>
              </w:rPr>
              <w:t>脉动电压</w:t>
            </w:r>
            <w:r>
              <w:rPr>
                <w:rStyle w:val="50"/>
                <w:rFonts w:ascii="宋体" w:hAnsi="宋体" w:eastAsia="宋体" w:cs="宋体"/>
                <w:color w:val="auto"/>
                <w:sz w:val="21"/>
                <w:szCs w:val="21"/>
                <w:lang w:bidi="ar"/>
              </w:rPr>
              <w:br w:type="textWrapping"/>
            </w:r>
            <w:r>
              <w:rPr>
                <w:rStyle w:val="51"/>
                <w:rFonts w:hint="default"/>
                <w:color w:val="auto"/>
                <w:sz w:val="21"/>
                <w:szCs w:val="21"/>
                <w:lang w:bidi="ar"/>
              </w:rPr>
              <w:t>风速：＜</w:t>
            </w:r>
            <w:r>
              <w:rPr>
                <w:rStyle w:val="50"/>
                <w:rFonts w:ascii="宋体" w:hAnsi="宋体" w:eastAsia="宋体" w:cs="宋体"/>
                <w:color w:val="auto"/>
                <w:sz w:val="21"/>
                <w:szCs w:val="21"/>
                <w:lang w:bidi="ar"/>
              </w:rPr>
              <w:t xml:space="preserve">5m/s  </w:t>
            </w:r>
            <w:r>
              <w:rPr>
                <w:rStyle w:val="50"/>
                <w:rFonts w:ascii="宋体" w:hAnsi="宋体" w:eastAsia="宋体" w:cs="宋体"/>
                <w:color w:val="auto"/>
                <w:sz w:val="21"/>
                <w:szCs w:val="21"/>
                <w:lang w:bidi="ar"/>
              </w:rPr>
              <w:br w:type="textWrapping"/>
            </w:r>
            <w:r>
              <w:rPr>
                <w:rStyle w:val="51"/>
                <w:rFonts w:hint="default"/>
                <w:color w:val="auto"/>
                <w:sz w:val="21"/>
                <w:szCs w:val="21"/>
                <w:lang w:bidi="ar"/>
              </w:rPr>
              <w:t>报警确认灯：红色，报警常亮</w:t>
            </w:r>
            <w:r>
              <w:rPr>
                <w:rStyle w:val="50"/>
                <w:rFonts w:ascii="宋体" w:hAnsi="宋体" w:eastAsia="宋体" w:cs="宋体"/>
                <w:color w:val="auto"/>
                <w:sz w:val="21"/>
                <w:szCs w:val="21"/>
                <w:lang w:bidi="ar"/>
              </w:rPr>
              <w:br w:type="textWrapping"/>
            </w:r>
            <w:r>
              <w:rPr>
                <w:rStyle w:val="51"/>
                <w:rFonts w:hint="default"/>
                <w:color w:val="auto"/>
                <w:sz w:val="21"/>
                <w:szCs w:val="21"/>
                <w:lang w:bidi="ar"/>
              </w:rPr>
              <w:t>巡检指示灯：绿色，闪亮</w:t>
            </w:r>
            <w:r>
              <w:rPr>
                <w:rStyle w:val="50"/>
                <w:rFonts w:ascii="宋体" w:hAnsi="宋体" w:eastAsia="宋体" w:cs="宋体"/>
                <w:color w:val="auto"/>
                <w:sz w:val="21"/>
                <w:szCs w:val="21"/>
                <w:lang w:bidi="ar"/>
              </w:rPr>
              <w:br w:type="textWrapping"/>
            </w:r>
            <w:r>
              <w:rPr>
                <w:rStyle w:val="51"/>
                <w:rFonts w:hint="default"/>
                <w:color w:val="auto"/>
                <w:sz w:val="21"/>
                <w:szCs w:val="21"/>
                <w:lang w:bidi="ar"/>
              </w:rPr>
              <w:t>外壳护等级：</w:t>
            </w:r>
            <w:r>
              <w:rPr>
                <w:rStyle w:val="50"/>
                <w:rFonts w:ascii="宋体" w:hAnsi="宋体" w:eastAsia="宋体" w:cs="宋体"/>
                <w:color w:val="auto"/>
                <w:sz w:val="21"/>
                <w:szCs w:val="21"/>
                <w:lang w:bidi="ar"/>
              </w:rPr>
              <w:t>IP30</w:t>
            </w:r>
            <w:r>
              <w:rPr>
                <w:rStyle w:val="50"/>
                <w:rFonts w:ascii="宋体" w:hAnsi="宋体" w:eastAsia="宋体" w:cs="宋体"/>
                <w:color w:val="auto"/>
                <w:sz w:val="21"/>
                <w:szCs w:val="21"/>
                <w:lang w:bidi="ar"/>
              </w:rPr>
              <w:br w:type="textWrapping"/>
            </w:r>
            <w:r>
              <w:rPr>
                <w:rStyle w:val="51"/>
                <w:rFonts w:hint="default"/>
                <w:color w:val="auto"/>
                <w:sz w:val="21"/>
                <w:szCs w:val="21"/>
                <w:lang w:bidi="ar"/>
              </w:rPr>
              <w:t>执行标准：</w:t>
            </w:r>
            <w:r>
              <w:rPr>
                <w:rStyle w:val="50"/>
                <w:rFonts w:ascii="宋体" w:hAnsi="宋体" w:eastAsia="宋体" w:cs="宋体"/>
                <w:color w:val="auto"/>
                <w:sz w:val="21"/>
                <w:szCs w:val="21"/>
                <w:lang w:bidi="ar"/>
              </w:rPr>
              <w:t>GB 4715-2005</w:t>
            </w:r>
            <w:r>
              <w:rPr>
                <w:rStyle w:val="51"/>
                <w:rFonts w:hint="default"/>
                <w:color w:val="auto"/>
                <w:sz w:val="21"/>
                <w:szCs w:val="21"/>
                <w:lang w:bidi="ar"/>
              </w:rPr>
              <w:t>《点型感烟火灾探测器》</w:t>
            </w:r>
            <w:r>
              <w:rPr>
                <w:rStyle w:val="50"/>
                <w:rFonts w:ascii="宋体" w:hAnsi="宋体" w:eastAsia="宋体" w:cs="宋体"/>
                <w:color w:val="auto"/>
                <w:sz w:val="21"/>
                <w:szCs w:val="21"/>
                <w:lang w:bidi="ar"/>
              </w:rPr>
              <w:br w:type="textWrapping"/>
            </w:r>
            <w:r>
              <w:rPr>
                <w:rStyle w:val="51"/>
                <w:rFonts w:hint="default"/>
                <w:color w:val="auto"/>
                <w:sz w:val="21"/>
                <w:szCs w:val="21"/>
                <w:lang w:bidi="ar"/>
              </w:rPr>
              <w:t>监视电流：＜</w:t>
            </w:r>
            <w:r>
              <w:rPr>
                <w:rStyle w:val="50"/>
                <w:rFonts w:ascii="宋体" w:hAnsi="宋体" w:eastAsia="宋体" w:cs="宋体"/>
                <w:color w:val="auto"/>
                <w:sz w:val="21"/>
                <w:szCs w:val="21"/>
                <w:lang w:bidi="ar"/>
              </w:rPr>
              <w:t xml:space="preserve">0.35mA              </w:t>
            </w:r>
            <w:r>
              <w:rPr>
                <w:rStyle w:val="50"/>
                <w:rFonts w:ascii="宋体" w:hAnsi="宋体" w:eastAsia="宋体" w:cs="宋体"/>
                <w:color w:val="auto"/>
                <w:sz w:val="21"/>
                <w:szCs w:val="21"/>
                <w:lang w:bidi="ar"/>
              </w:rPr>
              <w:br w:type="textWrapping"/>
            </w:r>
            <w:r>
              <w:rPr>
                <w:rStyle w:val="51"/>
                <w:rFonts w:hint="default"/>
                <w:color w:val="auto"/>
                <w:sz w:val="21"/>
                <w:szCs w:val="21"/>
                <w:lang w:bidi="ar"/>
              </w:rPr>
              <w:t>报警电流：＜</w:t>
            </w:r>
            <w:r>
              <w:rPr>
                <w:rStyle w:val="50"/>
                <w:rFonts w:ascii="宋体" w:hAnsi="宋体" w:eastAsia="宋体" w:cs="宋体"/>
                <w:color w:val="auto"/>
                <w:sz w:val="21"/>
                <w:szCs w:val="21"/>
                <w:lang w:bidi="ar"/>
              </w:rPr>
              <w:t xml:space="preserve">0.8mA  </w:t>
            </w:r>
            <w:r>
              <w:rPr>
                <w:rStyle w:val="50"/>
                <w:rFonts w:ascii="宋体" w:hAnsi="宋体" w:eastAsia="宋体" w:cs="宋体"/>
                <w:color w:val="auto"/>
                <w:sz w:val="21"/>
                <w:szCs w:val="21"/>
                <w:lang w:bidi="ar"/>
              </w:rPr>
              <w:br w:type="textWrapping"/>
            </w:r>
            <w:r>
              <w:rPr>
                <w:rStyle w:val="51"/>
                <w:rFonts w:hint="default"/>
                <w:color w:val="auto"/>
                <w:sz w:val="21"/>
                <w:szCs w:val="21"/>
                <w:lang w:bidi="ar"/>
              </w:rPr>
              <w:t>保护面积：</w:t>
            </w:r>
            <w:r>
              <w:rPr>
                <w:rStyle w:val="50"/>
                <w:rFonts w:ascii="宋体" w:hAnsi="宋体" w:eastAsia="宋体" w:cs="宋体"/>
                <w:color w:val="auto"/>
                <w:sz w:val="21"/>
                <w:szCs w:val="21"/>
                <w:lang w:bidi="ar"/>
              </w:rPr>
              <w:t xml:space="preserve">60 m2    </w:t>
            </w:r>
            <w:r>
              <w:rPr>
                <w:rStyle w:val="50"/>
                <w:rFonts w:ascii="宋体" w:hAnsi="宋体" w:eastAsia="宋体" w:cs="宋体"/>
                <w:color w:val="auto"/>
                <w:sz w:val="21"/>
                <w:szCs w:val="21"/>
                <w:lang w:bidi="ar"/>
              </w:rPr>
              <w:br w:type="textWrapping"/>
            </w:r>
            <w:r>
              <w:rPr>
                <w:rStyle w:val="51"/>
                <w:rFonts w:hint="default"/>
                <w:color w:val="auto"/>
                <w:sz w:val="21"/>
                <w:szCs w:val="21"/>
                <w:lang w:bidi="ar"/>
              </w:rPr>
              <w:t>线制：两总线，无极性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JTY-GD-G3</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630.00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探测器底座</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配套底座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DZ-02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17.00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391.00</w:t>
            </w:r>
          </w:p>
        </w:tc>
      </w:tr>
      <w:tr>
        <w:tblPrEx>
          <w:tblCellMar>
            <w:top w:w="0" w:type="dxa"/>
            <w:left w:w="0" w:type="dxa"/>
            <w:bottom w:w="0" w:type="dxa"/>
            <w:right w:w="0" w:type="dxa"/>
          </w:tblCellMar>
        </w:tblPrEx>
        <w:trPr>
          <w:trHeight w:val="164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14</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紧急启停按钮</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Style w:val="51"/>
                <w:rFonts w:hint="default"/>
                <w:color w:val="auto"/>
                <w:sz w:val="21"/>
                <w:szCs w:val="21"/>
                <w:lang w:bidi="ar"/>
              </w:rPr>
              <w:t>使用环境温度：</w:t>
            </w:r>
            <w:r>
              <w:rPr>
                <w:rStyle w:val="50"/>
                <w:rFonts w:ascii="宋体" w:hAnsi="宋体" w:eastAsia="宋体" w:cs="宋体"/>
                <w:color w:val="auto"/>
                <w:sz w:val="21"/>
                <w:szCs w:val="21"/>
                <w:lang w:bidi="ar"/>
              </w:rPr>
              <w:t>-10°C ~ +50°C</w:t>
            </w:r>
            <w:r>
              <w:rPr>
                <w:rStyle w:val="50"/>
                <w:rFonts w:ascii="宋体" w:hAnsi="宋体" w:eastAsia="宋体" w:cs="宋体"/>
                <w:color w:val="auto"/>
                <w:sz w:val="21"/>
                <w:szCs w:val="21"/>
                <w:lang w:bidi="ar"/>
              </w:rPr>
              <w:br w:type="textWrapping"/>
            </w:r>
            <w:r>
              <w:rPr>
                <w:rStyle w:val="51"/>
                <w:rFonts w:hint="default"/>
                <w:color w:val="auto"/>
                <w:sz w:val="21"/>
                <w:szCs w:val="21"/>
                <w:lang w:bidi="ar"/>
              </w:rPr>
              <w:t>使用环境湿度：＜</w:t>
            </w:r>
            <w:r>
              <w:rPr>
                <w:rStyle w:val="50"/>
                <w:rFonts w:ascii="宋体" w:hAnsi="宋体" w:eastAsia="宋体" w:cs="宋体"/>
                <w:color w:val="auto"/>
                <w:sz w:val="21"/>
                <w:szCs w:val="21"/>
                <w:lang w:bidi="ar"/>
              </w:rPr>
              <w:t>95%RH</w:t>
            </w:r>
            <w:r>
              <w:rPr>
                <w:rStyle w:val="51"/>
                <w:rFonts w:hint="default"/>
                <w:color w:val="auto"/>
                <w:sz w:val="21"/>
                <w:szCs w:val="21"/>
                <w:lang w:bidi="ar"/>
              </w:rPr>
              <w:t>（不凝露）</w:t>
            </w:r>
            <w:r>
              <w:rPr>
                <w:rStyle w:val="50"/>
                <w:rFonts w:ascii="宋体" w:hAnsi="宋体" w:eastAsia="宋体" w:cs="宋体"/>
                <w:color w:val="auto"/>
                <w:sz w:val="21"/>
                <w:szCs w:val="21"/>
                <w:lang w:bidi="ar"/>
              </w:rPr>
              <w:br w:type="textWrapping"/>
            </w:r>
            <w:r>
              <w:rPr>
                <w:rStyle w:val="51"/>
                <w:rFonts w:hint="default"/>
                <w:color w:val="auto"/>
                <w:sz w:val="21"/>
                <w:szCs w:val="21"/>
                <w:lang w:bidi="ar"/>
              </w:rPr>
              <w:t>总线工作电压：</w:t>
            </w:r>
            <w:r>
              <w:rPr>
                <w:rStyle w:val="50"/>
                <w:rFonts w:ascii="宋体" w:hAnsi="宋体" w:eastAsia="宋体" w:cs="宋体"/>
                <w:color w:val="auto"/>
                <w:sz w:val="21"/>
                <w:szCs w:val="21"/>
                <w:lang w:bidi="ar"/>
              </w:rPr>
              <w:t>24V</w:t>
            </w:r>
            <w:r>
              <w:rPr>
                <w:rStyle w:val="50"/>
                <w:rFonts w:ascii="宋体" w:hAnsi="宋体" w:eastAsia="宋体" w:cs="宋体"/>
                <w:color w:val="auto"/>
                <w:sz w:val="21"/>
                <w:szCs w:val="21"/>
                <w:lang w:bidi="ar"/>
              </w:rPr>
              <w:br w:type="textWrapping"/>
            </w:r>
            <w:r>
              <w:rPr>
                <w:rStyle w:val="51"/>
                <w:rFonts w:hint="default"/>
                <w:color w:val="auto"/>
                <w:sz w:val="21"/>
                <w:szCs w:val="21"/>
                <w:lang w:bidi="ar"/>
              </w:rPr>
              <w:t>线</w:t>
            </w:r>
            <w:r>
              <w:rPr>
                <w:rStyle w:val="50"/>
                <w:rFonts w:ascii="宋体" w:hAnsi="宋体" w:eastAsia="宋体" w:cs="宋体"/>
                <w:color w:val="auto"/>
                <w:sz w:val="21"/>
                <w:szCs w:val="21"/>
                <w:lang w:bidi="ar"/>
              </w:rPr>
              <w:t xml:space="preserve">    </w:t>
            </w:r>
            <w:r>
              <w:rPr>
                <w:rStyle w:val="51"/>
                <w:rFonts w:hint="default"/>
                <w:color w:val="auto"/>
                <w:sz w:val="21"/>
                <w:szCs w:val="21"/>
                <w:lang w:bidi="ar"/>
              </w:rPr>
              <w:t>制：两总线（无极性）</w:t>
            </w:r>
            <w:r>
              <w:rPr>
                <w:rStyle w:val="50"/>
                <w:rFonts w:ascii="宋体" w:hAnsi="宋体" w:eastAsia="宋体" w:cs="宋体"/>
                <w:color w:val="auto"/>
                <w:sz w:val="21"/>
                <w:szCs w:val="21"/>
                <w:lang w:bidi="ar"/>
              </w:rPr>
              <w:br w:type="textWrapping"/>
            </w:r>
            <w:r>
              <w:rPr>
                <w:rStyle w:val="51"/>
                <w:rFonts w:hint="default"/>
                <w:color w:val="auto"/>
                <w:sz w:val="21"/>
                <w:szCs w:val="21"/>
                <w:lang w:bidi="ar"/>
              </w:rPr>
              <w:t>满载压降：＜</w:t>
            </w:r>
            <w:r>
              <w:rPr>
                <w:rStyle w:val="50"/>
                <w:rFonts w:ascii="宋体" w:hAnsi="宋体" w:eastAsia="宋体" w:cs="宋体"/>
                <w:color w:val="auto"/>
                <w:sz w:val="21"/>
                <w:szCs w:val="21"/>
                <w:lang w:bidi="ar"/>
              </w:rPr>
              <w:t>0.5V</w:t>
            </w:r>
            <w:r>
              <w:rPr>
                <w:rStyle w:val="51"/>
                <w:rFonts w:hint="default"/>
                <w:color w:val="auto"/>
                <w:sz w:val="21"/>
                <w:szCs w:val="21"/>
                <w:lang w:bidi="ar"/>
              </w:rPr>
              <w:t>（</w:t>
            </w:r>
            <w:r>
              <w:rPr>
                <w:rStyle w:val="50"/>
                <w:rFonts w:ascii="宋体" w:hAnsi="宋体" w:eastAsia="宋体" w:cs="宋体"/>
                <w:color w:val="auto"/>
                <w:sz w:val="21"/>
                <w:szCs w:val="21"/>
                <w:lang w:bidi="ar"/>
              </w:rPr>
              <w:t>170 mA</w:t>
            </w:r>
            <w:r>
              <w:rPr>
                <w:rStyle w:val="51"/>
                <w:rFonts w:hint="default"/>
                <w:color w:val="auto"/>
                <w:sz w:val="21"/>
                <w:szCs w:val="21"/>
                <w:lang w:bidi="ar"/>
              </w:rPr>
              <w:t>）</w:t>
            </w:r>
            <w:r>
              <w:rPr>
                <w:rStyle w:val="50"/>
                <w:rFonts w:ascii="宋体" w:hAnsi="宋体" w:eastAsia="宋体" w:cs="宋体"/>
                <w:color w:val="auto"/>
                <w:sz w:val="21"/>
                <w:szCs w:val="21"/>
                <w:lang w:bidi="ar"/>
              </w:rPr>
              <w:br w:type="textWrapping"/>
            </w:r>
            <w:r>
              <w:rPr>
                <w:rStyle w:val="51"/>
                <w:rFonts w:hint="default"/>
                <w:color w:val="auto"/>
                <w:sz w:val="21"/>
                <w:szCs w:val="21"/>
                <w:lang w:bidi="ar"/>
              </w:rPr>
              <w:t>动作电流：＞</w:t>
            </w:r>
            <w:r>
              <w:rPr>
                <w:rStyle w:val="50"/>
                <w:rFonts w:ascii="宋体" w:hAnsi="宋体" w:eastAsia="宋体" w:cs="宋体"/>
                <w:color w:val="auto"/>
                <w:sz w:val="21"/>
                <w:szCs w:val="21"/>
                <w:lang w:bidi="ar"/>
              </w:rPr>
              <w:t>340mA</w:t>
            </w:r>
            <w:r>
              <w:rPr>
                <w:rStyle w:val="50"/>
                <w:rFonts w:ascii="宋体" w:hAnsi="宋体" w:eastAsia="宋体" w:cs="宋体"/>
                <w:color w:val="auto"/>
                <w:sz w:val="21"/>
                <w:szCs w:val="21"/>
                <w:lang w:bidi="ar"/>
              </w:rPr>
              <w:br w:type="textWrapping"/>
            </w:r>
            <w:r>
              <w:rPr>
                <w:rStyle w:val="51"/>
                <w:rFonts w:hint="default"/>
                <w:color w:val="auto"/>
                <w:sz w:val="21"/>
                <w:szCs w:val="21"/>
                <w:lang w:bidi="ar"/>
              </w:rPr>
              <w:t>外壳防护等级</w:t>
            </w:r>
            <w:r>
              <w:rPr>
                <w:rStyle w:val="50"/>
                <w:rFonts w:ascii="宋体" w:hAnsi="宋体" w:eastAsia="宋体" w:cs="宋体"/>
                <w:color w:val="auto"/>
                <w:sz w:val="21"/>
                <w:szCs w:val="21"/>
                <w:lang w:bidi="ar"/>
              </w:rPr>
              <w:t xml:space="preserve"> </w:t>
            </w:r>
            <w:r>
              <w:rPr>
                <w:rStyle w:val="51"/>
                <w:rFonts w:hint="default"/>
                <w:color w:val="auto"/>
                <w:sz w:val="21"/>
                <w:szCs w:val="21"/>
                <w:lang w:bidi="ar"/>
              </w:rPr>
              <w:t>：</w:t>
            </w:r>
            <w:r>
              <w:rPr>
                <w:rStyle w:val="50"/>
                <w:rFonts w:ascii="宋体" w:hAnsi="宋体" w:eastAsia="宋体" w:cs="宋体"/>
                <w:color w:val="auto"/>
                <w:sz w:val="21"/>
                <w:szCs w:val="21"/>
                <w:lang w:bidi="ar"/>
              </w:rPr>
              <w:t>IP30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GST-LD-8318</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410.00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1640.00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声光底座</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HX</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HX</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19.00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152.00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总线隔离器（带底座）</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GST-LD-8313A</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GST-LD-8313A</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95.00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285.00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17</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手</w:t>
            </w:r>
            <w:r>
              <w:rPr>
                <w:rStyle w:val="50"/>
                <w:rFonts w:ascii="宋体" w:hAnsi="宋体" w:eastAsia="宋体" w:cs="宋体"/>
                <w:color w:val="auto"/>
                <w:sz w:val="21"/>
                <w:szCs w:val="21"/>
                <w:lang w:bidi="ar"/>
              </w:rPr>
              <w:t>/</w:t>
            </w:r>
            <w:r>
              <w:rPr>
                <w:rStyle w:val="51"/>
                <w:rFonts w:hint="default"/>
                <w:color w:val="auto"/>
                <w:sz w:val="21"/>
                <w:szCs w:val="21"/>
                <w:lang w:bidi="ar"/>
              </w:rPr>
              <w:t>自动转换开关</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GST-LD-8316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GST-LD-8316</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900.00</w:t>
            </w:r>
          </w:p>
        </w:tc>
      </w:tr>
      <w:tr>
        <w:tblPrEx>
          <w:tblCellMar>
            <w:top w:w="0" w:type="dxa"/>
            <w:left w:w="0" w:type="dxa"/>
            <w:bottom w:w="0" w:type="dxa"/>
            <w:right w:w="0" w:type="dxa"/>
          </w:tblCellMar>
        </w:tblPrEx>
        <w:trPr>
          <w:trHeight w:val="16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气体灭火控制器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Style w:val="51"/>
                <w:rFonts w:hint="default"/>
                <w:color w:val="auto"/>
                <w:sz w:val="21"/>
                <w:szCs w:val="21"/>
                <w:lang w:bidi="ar"/>
              </w:rPr>
              <w:t>交流输入电压：</w:t>
            </w:r>
            <w:r>
              <w:rPr>
                <w:rStyle w:val="50"/>
                <w:rFonts w:ascii="宋体" w:hAnsi="宋体" w:eastAsia="宋体" w:cs="宋体"/>
                <w:color w:val="auto"/>
                <w:sz w:val="21"/>
                <w:szCs w:val="21"/>
                <w:lang w:bidi="ar"/>
              </w:rPr>
              <w:t>220V±1015%, 50Hz±1%</w:t>
            </w:r>
            <w:r>
              <w:rPr>
                <w:rStyle w:val="50"/>
                <w:rFonts w:ascii="宋体" w:hAnsi="宋体" w:eastAsia="宋体" w:cs="宋体"/>
                <w:color w:val="auto"/>
                <w:sz w:val="21"/>
                <w:szCs w:val="21"/>
                <w:lang w:bidi="ar"/>
              </w:rPr>
              <w:br w:type="textWrapping"/>
            </w:r>
            <w:r>
              <w:rPr>
                <w:rStyle w:val="51"/>
                <w:rFonts w:hint="default"/>
                <w:color w:val="auto"/>
                <w:sz w:val="21"/>
                <w:szCs w:val="21"/>
                <w:lang w:bidi="ar"/>
              </w:rPr>
              <w:t>交流输入功率：</w:t>
            </w:r>
            <w:r>
              <w:rPr>
                <w:rStyle w:val="50"/>
                <w:rFonts w:ascii="宋体" w:hAnsi="宋体" w:eastAsia="宋体" w:cs="宋体"/>
                <w:color w:val="auto"/>
                <w:sz w:val="21"/>
                <w:szCs w:val="21"/>
                <w:lang w:bidi="ar"/>
              </w:rPr>
              <w:t>≤100W</w:t>
            </w:r>
            <w:r>
              <w:rPr>
                <w:rStyle w:val="50"/>
                <w:rFonts w:ascii="宋体" w:hAnsi="宋体" w:eastAsia="宋体" w:cs="宋体"/>
                <w:color w:val="auto"/>
                <w:sz w:val="21"/>
                <w:szCs w:val="21"/>
                <w:lang w:bidi="ar"/>
              </w:rPr>
              <w:br w:type="textWrapping"/>
            </w:r>
            <w:r>
              <w:rPr>
                <w:rStyle w:val="51"/>
                <w:rFonts w:hint="default"/>
                <w:color w:val="auto"/>
                <w:sz w:val="21"/>
                <w:szCs w:val="21"/>
                <w:lang w:bidi="ar"/>
              </w:rPr>
              <w:t>直流备电：</w:t>
            </w:r>
            <w:r>
              <w:rPr>
                <w:rStyle w:val="50"/>
                <w:rFonts w:ascii="宋体" w:hAnsi="宋体" w:eastAsia="宋体" w:cs="宋体"/>
                <w:color w:val="auto"/>
                <w:sz w:val="21"/>
                <w:szCs w:val="21"/>
                <w:lang w:bidi="ar"/>
              </w:rPr>
              <w:t>DC24V/5Ah,</w:t>
            </w:r>
            <w:r>
              <w:rPr>
                <w:rStyle w:val="51"/>
                <w:rFonts w:hint="default"/>
                <w:color w:val="auto"/>
                <w:sz w:val="21"/>
                <w:szCs w:val="21"/>
                <w:lang w:bidi="ar"/>
              </w:rPr>
              <w:t>全密封免维护蓄电池</w:t>
            </w:r>
            <w:r>
              <w:rPr>
                <w:rStyle w:val="50"/>
                <w:rFonts w:ascii="宋体" w:hAnsi="宋体" w:eastAsia="宋体" w:cs="宋体"/>
                <w:color w:val="auto"/>
                <w:sz w:val="21"/>
                <w:szCs w:val="21"/>
                <w:lang w:bidi="ar"/>
              </w:rPr>
              <w:br w:type="textWrapping"/>
            </w:r>
            <w:r>
              <w:rPr>
                <w:rStyle w:val="51"/>
                <w:rFonts w:hint="default"/>
                <w:color w:val="auto"/>
                <w:sz w:val="21"/>
                <w:szCs w:val="21"/>
                <w:lang w:bidi="ar"/>
              </w:rPr>
              <w:t>使用环境温度：</w:t>
            </w:r>
            <w:r>
              <w:rPr>
                <w:rStyle w:val="50"/>
                <w:rFonts w:ascii="宋体" w:hAnsi="宋体" w:eastAsia="宋体" w:cs="宋体"/>
                <w:color w:val="auto"/>
                <w:sz w:val="21"/>
                <w:szCs w:val="21"/>
                <w:lang w:bidi="ar"/>
              </w:rPr>
              <w:t>0</w:t>
            </w:r>
            <w:r>
              <w:rPr>
                <w:rStyle w:val="51"/>
                <w:rFonts w:hint="default"/>
                <w:color w:val="auto"/>
                <w:sz w:val="21"/>
                <w:szCs w:val="21"/>
                <w:lang w:bidi="ar"/>
              </w:rPr>
              <w:t>℃～</w:t>
            </w:r>
            <w:r>
              <w:rPr>
                <w:rStyle w:val="50"/>
                <w:rFonts w:ascii="宋体" w:hAnsi="宋体" w:eastAsia="宋体" w:cs="宋体"/>
                <w:color w:val="auto"/>
                <w:sz w:val="21"/>
                <w:szCs w:val="21"/>
                <w:lang w:bidi="ar"/>
              </w:rPr>
              <w:t>40</w:t>
            </w:r>
            <w:r>
              <w:rPr>
                <w:rStyle w:val="51"/>
                <w:rFonts w:hint="default"/>
                <w:color w:val="auto"/>
                <w:sz w:val="21"/>
                <w:szCs w:val="21"/>
                <w:lang w:bidi="ar"/>
              </w:rPr>
              <w:t>℃；</w:t>
            </w:r>
            <w:r>
              <w:rPr>
                <w:rStyle w:val="50"/>
                <w:rFonts w:ascii="宋体" w:hAnsi="宋体" w:eastAsia="宋体" w:cs="宋体"/>
                <w:color w:val="auto"/>
                <w:sz w:val="21"/>
                <w:szCs w:val="21"/>
                <w:lang w:bidi="ar"/>
              </w:rPr>
              <w:br w:type="textWrapping"/>
            </w:r>
            <w:r>
              <w:rPr>
                <w:rStyle w:val="51"/>
                <w:rFonts w:hint="default"/>
                <w:color w:val="auto"/>
                <w:sz w:val="21"/>
                <w:szCs w:val="21"/>
                <w:lang w:bidi="ar"/>
              </w:rPr>
              <w:t>相对湿度：</w:t>
            </w:r>
            <w:r>
              <w:rPr>
                <w:rStyle w:val="50"/>
                <w:rFonts w:ascii="宋体" w:hAnsi="宋体" w:eastAsia="宋体" w:cs="宋体"/>
                <w:color w:val="auto"/>
                <w:sz w:val="21"/>
                <w:szCs w:val="21"/>
                <w:lang w:bidi="ar"/>
              </w:rPr>
              <w:t>≤95% (</w:t>
            </w:r>
            <w:r>
              <w:rPr>
                <w:rStyle w:val="51"/>
                <w:rFonts w:hint="default"/>
                <w:color w:val="auto"/>
                <w:sz w:val="21"/>
                <w:szCs w:val="21"/>
                <w:lang w:bidi="ar"/>
              </w:rPr>
              <w:t>不凝露</w:t>
            </w:r>
            <w:r>
              <w:rPr>
                <w:rStyle w:val="50"/>
                <w:rFonts w:ascii="宋体" w:hAnsi="宋体" w:eastAsia="宋体" w:cs="宋体"/>
                <w:color w:val="auto"/>
                <w:sz w:val="21"/>
                <w:szCs w:val="21"/>
                <w:lang w:bidi="ar"/>
              </w:rPr>
              <w:t xml:space="preserve">) </w:t>
            </w:r>
            <w:r>
              <w:rPr>
                <w:rStyle w:val="50"/>
                <w:rFonts w:ascii="宋体" w:hAnsi="宋体" w:eastAsia="宋体" w:cs="宋体"/>
                <w:color w:val="auto"/>
                <w:sz w:val="21"/>
                <w:szCs w:val="21"/>
                <w:lang w:bidi="ar"/>
              </w:rPr>
              <w:br w:type="textWrapping"/>
            </w:r>
            <w:r>
              <w:rPr>
                <w:rStyle w:val="50"/>
                <w:rFonts w:ascii="宋体" w:hAnsi="宋体" w:eastAsia="宋体" w:cs="宋体"/>
                <w:color w:val="auto"/>
                <w:sz w:val="21"/>
                <w:szCs w:val="21"/>
                <w:lang w:bidi="ar"/>
              </w:rPr>
              <w:t xml:space="preserve"> </w:t>
            </w:r>
            <w:r>
              <w:rPr>
                <w:rStyle w:val="51"/>
                <w:rFonts w:hint="default"/>
                <w:color w:val="auto"/>
                <w:sz w:val="21"/>
                <w:szCs w:val="21"/>
                <w:lang w:bidi="ar"/>
              </w:rPr>
              <w:t>容量：</w:t>
            </w:r>
            <w:r>
              <w:rPr>
                <w:rStyle w:val="50"/>
                <w:rFonts w:ascii="宋体" w:hAnsi="宋体" w:eastAsia="宋体" w:cs="宋体"/>
                <w:color w:val="auto"/>
                <w:sz w:val="21"/>
                <w:szCs w:val="21"/>
                <w:lang w:bidi="ar"/>
              </w:rPr>
              <w:t>4</w:t>
            </w:r>
            <w:r>
              <w:rPr>
                <w:rStyle w:val="51"/>
                <w:rFonts w:hint="default"/>
                <w:color w:val="auto"/>
                <w:sz w:val="21"/>
                <w:szCs w:val="21"/>
                <w:lang w:bidi="ar"/>
              </w:rPr>
              <w:t>区（可选）；回路容量</w:t>
            </w:r>
            <w:r>
              <w:rPr>
                <w:rStyle w:val="50"/>
                <w:rFonts w:ascii="宋体" w:hAnsi="宋体" w:eastAsia="宋体" w:cs="宋体"/>
                <w:color w:val="auto"/>
                <w:sz w:val="21"/>
                <w:szCs w:val="21"/>
                <w:lang w:bidi="ar"/>
              </w:rPr>
              <w:t>≤160</w:t>
            </w:r>
            <w:r>
              <w:rPr>
                <w:rStyle w:val="51"/>
                <w:rFonts w:hint="default"/>
                <w:color w:val="auto"/>
                <w:sz w:val="21"/>
                <w:szCs w:val="21"/>
                <w:lang w:bidi="ar"/>
              </w:rPr>
              <w:t>点</w:t>
            </w:r>
            <w:r>
              <w:rPr>
                <w:rStyle w:val="50"/>
                <w:rFonts w:ascii="宋体" w:hAnsi="宋体" w:eastAsia="宋体" w:cs="宋体"/>
                <w:color w:val="auto"/>
                <w:sz w:val="21"/>
                <w:szCs w:val="21"/>
                <w:lang w:bidi="ar"/>
              </w:rPr>
              <w:t>24V</w:t>
            </w:r>
            <w:r>
              <w:rPr>
                <w:rStyle w:val="51"/>
                <w:rFonts w:hint="default"/>
                <w:color w:val="auto"/>
                <w:sz w:val="21"/>
                <w:szCs w:val="21"/>
                <w:lang w:bidi="ar"/>
              </w:rPr>
              <w:t>电源最大输出电流：</w:t>
            </w:r>
            <w:r>
              <w:rPr>
                <w:rStyle w:val="50"/>
                <w:rFonts w:ascii="宋体" w:hAnsi="宋体" w:eastAsia="宋体" w:cs="宋体"/>
                <w:color w:val="auto"/>
                <w:sz w:val="21"/>
                <w:szCs w:val="21"/>
                <w:lang w:bidi="ar"/>
              </w:rPr>
              <w:t>2A</w:t>
            </w:r>
            <w:r>
              <w:rPr>
                <w:rStyle w:val="51"/>
                <w:rFonts w:hint="default"/>
                <w:color w:val="auto"/>
                <w:sz w:val="21"/>
                <w:szCs w:val="21"/>
                <w:lang w:bidi="ar"/>
              </w:rPr>
              <w:t>（瞬态输出可达</w:t>
            </w:r>
            <w:r>
              <w:rPr>
                <w:rStyle w:val="50"/>
                <w:rFonts w:ascii="宋体" w:hAnsi="宋体" w:eastAsia="宋体" w:cs="宋体"/>
                <w:color w:val="auto"/>
                <w:sz w:val="21"/>
                <w:szCs w:val="21"/>
                <w:lang w:bidi="ar"/>
              </w:rPr>
              <w:t>3A</w:t>
            </w:r>
            <w:r>
              <w:rPr>
                <w:rStyle w:val="51"/>
                <w:rFonts w:hint="default"/>
                <w:color w:val="auto"/>
                <w:sz w:val="21"/>
                <w:szCs w:val="21"/>
                <w:lang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GST-QKP04</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9500.00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联动直流电源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GST-DY-100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海湾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报警信号线</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RVS2*1.5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RVS2*1.5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万马</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5.80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2900.00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气体灭火设备控制线</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BV1.5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BV1.5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万马</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2.20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1320.00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电源线</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RVV3*2.5mm2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RVV3*2.5mm2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万马</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6.50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650.00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辅材</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线缆及管材</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线缆及管材</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批</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定制</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7</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357337.00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二</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宋体" w:hAnsi="宋体" w:eastAsia="宋体" w:cs="宋体"/>
                <w:b/>
                <w:color w:val="auto"/>
                <w:szCs w:val="21"/>
              </w:rPr>
            </w:pPr>
            <w:r>
              <w:rPr>
                <w:rFonts w:hint="eastAsia" w:ascii="宋体" w:hAnsi="宋体" w:eastAsia="宋体" w:cs="宋体"/>
                <w:b/>
                <w:color w:val="auto"/>
                <w:kern w:val="0"/>
                <w:szCs w:val="21"/>
                <w:bdr w:val="single" w:color="000000" w:sz="4" w:space="0"/>
              </w:rPr>
              <w:drawing>
                <wp:anchor distT="0" distB="0" distL="114300" distR="114300" simplePos="0" relativeHeight="252057600"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393" name="TextBox_56"/>
                  <wp:cNvGraphicFramePr/>
                  <a:graphic xmlns:a="http://schemas.openxmlformats.org/drawingml/2006/main">
                    <a:graphicData uri="http://schemas.openxmlformats.org/drawingml/2006/picture">
                      <pic:pic xmlns:pic="http://schemas.openxmlformats.org/drawingml/2006/picture">
                        <pic:nvPicPr>
                          <pic:cNvPr id="393" name="TextBox_5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58624"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394" name="TextBox_6_SpCnt_2"/>
                  <wp:cNvGraphicFramePr/>
                  <a:graphic xmlns:a="http://schemas.openxmlformats.org/drawingml/2006/main">
                    <a:graphicData uri="http://schemas.openxmlformats.org/drawingml/2006/picture">
                      <pic:pic xmlns:pic="http://schemas.openxmlformats.org/drawingml/2006/picture">
                        <pic:nvPicPr>
                          <pic:cNvPr id="394" name="TextBox_6_SpCnt_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59648"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395" name="TextBox_12"/>
                  <wp:cNvGraphicFramePr/>
                  <a:graphic xmlns:a="http://schemas.openxmlformats.org/drawingml/2006/main">
                    <a:graphicData uri="http://schemas.openxmlformats.org/drawingml/2006/picture">
                      <pic:pic xmlns:pic="http://schemas.openxmlformats.org/drawingml/2006/picture">
                        <pic:nvPicPr>
                          <pic:cNvPr id="395" name="TextBox_12"/>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60672"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396" name="TextBox_3_SpCnt_2"/>
                  <wp:cNvGraphicFramePr/>
                  <a:graphic xmlns:a="http://schemas.openxmlformats.org/drawingml/2006/main">
                    <a:graphicData uri="http://schemas.openxmlformats.org/drawingml/2006/picture">
                      <pic:pic xmlns:pic="http://schemas.openxmlformats.org/drawingml/2006/picture">
                        <pic:nvPicPr>
                          <pic:cNvPr id="396" name="TextBox_3_SpCnt_2"/>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61696"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397" name="TextBox_5_SpCnt_2"/>
                  <wp:cNvGraphicFramePr/>
                  <a:graphic xmlns:a="http://schemas.openxmlformats.org/drawingml/2006/main">
                    <a:graphicData uri="http://schemas.openxmlformats.org/drawingml/2006/picture">
                      <pic:pic xmlns:pic="http://schemas.openxmlformats.org/drawingml/2006/picture">
                        <pic:nvPicPr>
                          <pic:cNvPr id="397" name="TextBox_5_SpCnt_2"/>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62720"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398" name="TextBox_1"/>
                  <wp:cNvGraphicFramePr/>
                  <a:graphic xmlns:a="http://schemas.openxmlformats.org/drawingml/2006/main">
                    <a:graphicData uri="http://schemas.openxmlformats.org/drawingml/2006/picture">
                      <pic:pic xmlns:pic="http://schemas.openxmlformats.org/drawingml/2006/picture">
                        <pic:nvPicPr>
                          <pic:cNvPr id="398" name="TextBox_1"/>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63744"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399" name="TextBox_42"/>
                  <wp:cNvGraphicFramePr/>
                  <a:graphic xmlns:a="http://schemas.openxmlformats.org/drawingml/2006/main">
                    <a:graphicData uri="http://schemas.openxmlformats.org/drawingml/2006/picture">
                      <pic:pic xmlns:pic="http://schemas.openxmlformats.org/drawingml/2006/picture">
                        <pic:nvPicPr>
                          <pic:cNvPr id="399" name="TextBox_42"/>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64768"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00" name="TextBox_59"/>
                  <wp:cNvGraphicFramePr/>
                  <a:graphic xmlns:a="http://schemas.openxmlformats.org/drawingml/2006/main">
                    <a:graphicData uri="http://schemas.openxmlformats.org/drawingml/2006/picture">
                      <pic:pic xmlns:pic="http://schemas.openxmlformats.org/drawingml/2006/picture">
                        <pic:nvPicPr>
                          <pic:cNvPr id="400" name="TextBox_5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65792"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01" name="TextBox_10_SpCnt_2"/>
                  <wp:cNvGraphicFramePr/>
                  <a:graphic xmlns:a="http://schemas.openxmlformats.org/drawingml/2006/main">
                    <a:graphicData uri="http://schemas.openxmlformats.org/drawingml/2006/picture">
                      <pic:pic xmlns:pic="http://schemas.openxmlformats.org/drawingml/2006/picture">
                        <pic:nvPicPr>
                          <pic:cNvPr id="401" name="TextBox_10_SpCnt_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66816"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02" name="TextBox_14"/>
                  <wp:cNvGraphicFramePr/>
                  <a:graphic xmlns:a="http://schemas.openxmlformats.org/drawingml/2006/main">
                    <a:graphicData uri="http://schemas.openxmlformats.org/drawingml/2006/picture">
                      <pic:pic xmlns:pic="http://schemas.openxmlformats.org/drawingml/2006/picture">
                        <pic:nvPicPr>
                          <pic:cNvPr id="402" name="TextBox_1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67840"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03" name="TextBox_61"/>
                  <wp:cNvGraphicFramePr/>
                  <a:graphic xmlns:a="http://schemas.openxmlformats.org/drawingml/2006/main">
                    <a:graphicData uri="http://schemas.openxmlformats.org/drawingml/2006/picture">
                      <pic:pic xmlns:pic="http://schemas.openxmlformats.org/drawingml/2006/picture">
                        <pic:nvPicPr>
                          <pic:cNvPr id="403" name="TextBox_6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68864"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04" name="TextBox_55"/>
                  <wp:cNvGraphicFramePr/>
                  <a:graphic xmlns:a="http://schemas.openxmlformats.org/drawingml/2006/main">
                    <a:graphicData uri="http://schemas.openxmlformats.org/drawingml/2006/picture">
                      <pic:pic xmlns:pic="http://schemas.openxmlformats.org/drawingml/2006/picture">
                        <pic:nvPicPr>
                          <pic:cNvPr id="404" name="TextBox_5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69888"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05" name="TextBox_60"/>
                  <wp:cNvGraphicFramePr/>
                  <a:graphic xmlns:a="http://schemas.openxmlformats.org/drawingml/2006/main">
                    <a:graphicData uri="http://schemas.openxmlformats.org/drawingml/2006/picture">
                      <pic:pic xmlns:pic="http://schemas.openxmlformats.org/drawingml/2006/picture">
                        <pic:nvPicPr>
                          <pic:cNvPr id="405" name="TextBox_6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70912"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06" name="TextBox_20"/>
                  <wp:cNvGraphicFramePr/>
                  <a:graphic xmlns:a="http://schemas.openxmlformats.org/drawingml/2006/main">
                    <a:graphicData uri="http://schemas.openxmlformats.org/drawingml/2006/picture">
                      <pic:pic xmlns:pic="http://schemas.openxmlformats.org/drawingml/2006/picture">
                        <pic:nvPicPr>
                          <pic:cNvPr id="406" name="TextBox_2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71936"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07" name="TextBox_18"/>
                  <wp:cNvGraphicFramePr/>
                  <a:graphic xmlns:a="http://schemas.openxmlformats.org/drawingml/2006/main">
                    <a:graphicData uri="http://schemas.openxmlformats.org/drawingml/2006/picture">
                      <pic:pic xmlns:pic="http://schemas.openxmlformats.org/drawingml/2006/picture">
                        <pic:nvPicPr>
                          <pic:cNvPr id="407" name="TextBox_18"/>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72960"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08" name="TextBox_53"/>
                  <wp:cNvGraphicFramePr/>
                  <a:graphic xmlns:a="http://schemas.openxmlformats.org/drawingml/2006/main">
                    <a:graphicData uri="http://schemas.openxmlformats.org/drawingml/2006/picture">
                      <pic:pic xmlns:pic="http://schemas.openxmlformats.org/drawingml/2006/picture">
                        <pic:nvPicPr>
                          <pic:cNvPr id="408" name="TextBox_53"/>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73984"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09" name="TextBox_13"/>
                  <wp:cNvGraphicFramePr/>
                  <a:graphic xmlns:a="http://schemas.openxmlformats.org/drawingml/2006/main">
                    <a:graphicData uri="http://schemas.openxmlformats.org/drawingml/2006/picture">
                      <pic:pic xmlns:pic="http://schemas.openxmlformats.org/drawingml/2006/picture">
                        <pic:nvPicPr>
                          <pic:cNvPr id="409" name="TextBox_13"/>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75008"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10" name="TextBox_51"/>
                  <wp:cNvGraphicFramePr/>
                  <a:graphic xmlns:a="http://schemas.openxmlformats.org/drawingml/2006/main">
                    <a:graphicData uri="http://schemas.openxmlformats.org/drawingml/2006/picture">
                      <pic:pic xmlns:pic="http://schemas.openxmlformats.org/drawingml/2006/picture">
                        <pic:nvPicPr>
                          <pic:cNvPr id="410" name="TextBox_5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76032"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11" name="TextBox_50"/>
                  <wp:cNvGraphicFramePr/>
                  <a:graphic xmlns:a="http://schemas.openxmlformats.org/drawingml/2006/main">
                    <a:graphicData uri="http://schemas.openxmlformats.org/drawingml/2006/picture">
                      <pic:pic xmlns:pic="http://schemas.openxmlformats.org/drawingml/2006/picture">
                        <pic:nvPicPr>
                          <pic:cNvPr id="411" name="TextBox_5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77056"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12" name="TextBox_45"/>
                  <wp:cNvGraphicFramePr/>
                  <a:graphic xmlns:a="http://schemas.openxmlformats.org/drawingml/2006/main">
                    <a:graphicData uri="http://schemas.openxmlformats.org/drawingml/2006/picture">
                      <pic:pic xmlns:pic="http://schemas.openxmlformats.org/drawingml/2006/picture">
                        <pic:nvPicPr>
                          <pic:cNvPr id="412" name="TextBox_4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78080"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13" name="TextBox_43"/>
                  <wp:cNvGraphicFramePr/>
                  <a:graphic xmlns:a="http://schemas.openxmlformats.org/drawingml/2006/main">
                    <a:graphicData uri="http://schemas.openxmlformats.org/drawingml/2006/picture">
                      <pic:pic xmlns:pic="http://schemas.openxmlformats.org/drawingml/2006/picture">
                        <pic:nvPicPr>
                          <pic:cNvPr id="413" name="TextBox_43"/>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79104"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14" name="TextBox_57"/>
                  <wp:cNvGraphicFramePr/>
                  <a:graphic xmlns:a="http://schemas.openxmlformats.org/drawingml/2006/main">
                    <a:graphicData uri="http://schemas.openxmlformats.org/drawingml/2006/picture">
                      <pic:pic xmlns:pic="http://schemas.openxmlformats.org/drawingml/2006/picture">
                        <pic:nvPicPr>
                          <pic:cNvPr id="414" name="TextBox_57"/>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80128"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15" name="TextBox_48"/>
                  <wp:cNvGraphicFramePr/>
                  <a:graphic xmlns:a="http://schemas.openxmlformats.org/drawingml/2006/main">
                    <a:graphicData uri="http://schemas.openxmlformats.org/drawingml/2006/picture">
                      <pic:pic xmlns:pic="http://schemas.openxmlformats.org/drawingml/2006/picture">
                        <pic:nvPicPr>
                          <pic:cNvPr id="415" name="TextBox_48"/>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81152"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16" name="TextBox_44"/>
                  <wp:cNvGraphicFramePr/>
                  <a:graphic xmlns:a="http://schemas.openxmlformats.org/drawingml/2006/main">
                    <a:graphicData uri="http://schemas.openxmlformats.org/drawingml/2006/picture">
                      <pic:pic xmlns:pic="http://schemas.openxmlformats.org/drawingml/2006/picture">
                        <pic:nvPicPr>
                          <pic:cNvPr id="416" name="TextBox_4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82176"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17" name="TextBox_58"/>
                  <wp:cNvGraphicFramePr/>
                  <a:graphic xmlns:a="http://schemas.openxmlformats.org/drawingml/2006/main">
                    <a:graphicData uri="http://schemas.openxmlformats.org/drawingml/2006/picture">
                      <pic:pic xmlns:pic="http://schemas.openxmlformats.org/drawingml/2006/picture">
                        <pic:nvPicPr>
                          <pic:cNvPr id="417" name="TextBox_58"/>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83200"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18" name="TextBox_16"/>
                  <wp:cNvGraphicFramePr/>
                  <a:graphic xmlns:a="http://schemas.openxmlformats.org/drawingml/2006/main">
                    <a:graphicData uri="http://schemas.openxmlformats.org/drawingml/2006/picture">
                      <pic:pic xmlns:pic="http://schemas.openxmlformats.org/drawingml/2006/picture">
                        <pic:nvPicPr>
                          <pic:cNvPr id="418" name="TextBox_16"/>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84224"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19" name="TextBox_46"/>
                  <wp:cNvGraphicFramePr/>
                  <a:graphic xmlns:a="http://schemas.openxmlformats.org/drawingml/2006/main">
                    <a:graphicData uri="http://schemas.openxmlformats.org/drawingml/2006/picture">
                      <pic:pic xmlns:pic="http://schemas.openxmlformats.org/drawingml/2006/picture">
                        <pic:nvPicPr>
                          <pic:cNvPr id="419" name="TextBox_4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85248"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20" name="TextBox_52"/>
                  <wp:cNvGraphicFramePr/>
                  <a:graphic xmlns:a="http://schemas.openxmlformats.org/drawingml/2006/main">
                    <a:graphicData uri="http://schemas.openxmlformats.org/drawingml/2006/picture">
                      <pic:pic xmlns:pic="http://schemas.openxmlformats.org/drawingml/2006/picture">
                        <pic:nvPicPr>
                          <pic:cNvPr id="420" name="TextBox_52"/>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86272"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21" name="TextBox_9_SpCnt_2"/>
                  <wp:cNvGraphicFramePr/>
                  <a:graphic xmlns:a="http://schemas.openxmlformats.org/drawingml/2006/main">
                    <a:graphicData uri="http://schemas.openxmlformats.org/drawingml/2006/picture">
                      <pic:pic xmlns:pic="http://schemas.openxmlformats.org/drawingml/2006/picture">
                        <pic:nvPicPr>
                          <pic:cNvPr id="421" name="TextBox_9_SpCnt_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87296"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22" name="TextBox_54"/>
                  <wp:cNvGraphicFramePr/>
                  <a:graphic xmlns:a="http://schemas.openxmlformats.org/drawingml/2006/main">
                    <a:graphicData uri="http://schemas.openxmlformats.org/drawingml/2006/picture">
                      <pic:pic xmlns:pic="http://schemas.openxmlformats.org/drawingml/2006/picture">
                        <pic:nvPicPr>
                          <pic:cNvPr id="422" name="TextBox_5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88320"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23" name="TextBox_11_SpCnt_2"/>
                  <wp:cNvGraphicFramePr/>
                  <a:graphic xmlns:a="http://schemas.openxmlformats.org/drawingml/2006/main">
                    <a:graphicData uri="http://schemas.openxmlformats.org/drawingml/2006/picture">
                      <pic:pic xmlns:pic="http://schemas.openxmlformats.org/drawingml/2006/picture">
                        <pic:nvPicPr>
                          <pic:cNvPr id="423" name="TextBox_11_SpCnt_2"/>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89344"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24" name="TextBox_15"/>
                  <wp:cNvGraphicFramePr/>
                  <a:graphic xmlns:a="http://schemas.openxmlformats.org/drawingml/2006/main">
                    <a:graphicData uri="http://schemas.openxmlformats.org/drawingml/2006/picture">
                      <pic:pic xmlns:pic="http://schemas.openxmlformats.org/drawingml/2006/picture">
                        <pic:nvPicPr>
                          <pic:cNvPr id="424" name="TextBox_1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90368"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25" name="TextBox_2_SpCnt_2"/>
                  <wp:cNvGraphicFramePr/>
                  <a:graphic xmlns:a="http://schemas.openxmlformats.org/drawingml/2006/main">
                    <a:graphicData uri="http://schemas.openxmlformats.org/drawingml/2006/picture">
                      <pic:pic xmlns:pic="http://schemas.openxmlformats.org/drawingml/2006/picture">
                        <pic:nvPicPr>
                          <pic:cNvPr id="425" name="TextBox_2_SpCnt_2"/>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91392"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26" name="TextBox_47"/>
                  <wp:cNvGraphicFramePr/>
                  <a:graphic xmlns:a="http://schemas.openxmlformats.org/drawingml/2006/main">
                    <a:graphicData uri="http://schemas.openxmlformats.org/drawingml/2006/picture">
                      <pic:pic xmlns:pic="http://schemas.openxmlformats.org/drawingml/2006/picture">
                        <pic:nvPicPr>
                          <pic:cNvPr id="426" name="TextBox_47"/>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92416" behindDoc="0" locked="0" layoutInCell="1" allowOverlap="1">
                  <wp:simplePos x="0" y="0"/>
                  <wp:positionH relativeFrom="column">
                    <wp:posOffset>2486025</wp:posOffset>
                  </wp:positionH>
                  <wp:positionV relativeFrom="paragraph">
                    <wp:posOffset>0</wp:posOffset>
                  </wp:positionV>
                  <wp:extent cx="184150" cy="269240"/>
                  <wp:effectExtent l="0" t="0" r="0" b="0"/>
                  <wp:wrapNone/>
                  <wp:docPr id="427" name="TextBox_4_SpCnt_2"/>
                  <wp:cNvGraphicFramePr/>
                  <a:graphic xmlns:a="http://schemas.openxmlformats.org/drawingml/2006/main">
                    <a:graphicData uri="http://schemas.openxmlformats.org/drawingml/2006/picture">
                      <pic:pic xmlns:pic="http://schemas.openxmlformats.org/drawingml/2006/picture">
                        <pic:nvPicPr>
                          <pic:cNvPr id="427" name="TextBox_4_SpCnt_2"/>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93440"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28" name="TextBox_49"/>
                  <wp:cNvGraphicFramePr/>
                  <a:graphic xmlns:a="http://schemas.openxmlformats.org/drawingml/2006/main">
                    <a:graphicData uri="http://schemas.openxmlformats.org/drawingml/2006/picture">
                      <pic:pic xmlns:pic="http://schemas.openxmlformats.org/drawingml/2006/picture">
                        <pic:nvPicPr>
                          <pic:cNvPr id="428" name="TextBox_4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94464"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29" name="TextBox_19"/>
                  <wp:cNvGraphicFramePr/>
                  <a:graphic xmlns:a="http://schemas.openxmlformats.org/drawingml/2006/main">
                    <a:graphicData uri="http://schemas.openxmlformats.org/drawingml/2006/picture">
                      <pic:pic xmlns:pic="http://schemas.openxmlformats.org/drawingml/2006/picture">
                        <pic:nvPicPr>
                          <pic:cNvPr id="429" name="TextBox_1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95488"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30" name="TextBox_17"/>
                  <wp:cNvGraphicFramePr/>
                  <a:graphic xmlns:a="http://schemas.openxmlformats.org/drawingml/2006/main">
                    <a:graphicData uri="http://schemas.openxmlformats.org/drawingml/2006/picture">
                      <pic:pic xmlns:pic="http://schemas.openxmlformats.org/drawingml/2006/picture">
                        <pic:nvPicPr>
                          <pic:cNvPr id="430" name="TextBox_17"/>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96512"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31" name="TextBox_8_SpCnt_2"/>
                  <wp:cNvGraphicFramePr/>
                  <a:graphic xmlns:a="http://schemas.openxmlformats.org/drawingml/2006/main">
                    <a:graphicData uri="http://schemas.openxmlformats.org/drawingml/2006/picture">
                      <pic:pic xmlns:pic="http://schemas.openxmlformats.org/drawingml/2006/picture">
                        <pic:nvPicPr>
                          <pic:cNvPr id="431" name="TextBox_8_SpCnt_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bdr w:val="single" w:color="000000" w:sz="4" w:space="0"/>
              </w:rPr>
              <w:drawing>
                <wp:anchor distT="0" distB="0" distL="114300" distR="114300" simplePos="0" relativeHeight="252097536" behindDoc="0" locked="0" layoutInCell="1" allowOverlap="1">
                  <wp:simplePos x="0" y="0"/>
                  <wp:positionH relativeFrom="column">
                    <wp:posOffset>2486025</wp:posOffset>
                  </wp:positionH>
                  <wp:positionV relativeFrom="paragraph">
                    <wp:posOffset>0</wp:posOffset>
                  </wp:positionV>
                  <wp:extent cx="184150" cy="256540"/>
                  <wp:effectExtent l="0" t="0" r="0" b="0"/>
                  <wp:wrapNone/>
                  <wp:docPr id="432" name="TextBox_7_SpCnt_2"/>
                  <wp:cNvGraphicFramePr/>
                  <a:graphic xmlns:a="http://schemas.openxmlformats.org/drawingml/2006/main">
                    <a:graphicData uri="http://schemas.openxmlformats.org/drawingml/2006/picture">
                      <pic:pic xmlns:pic="http://schemas.openxmlformats.org/drawingml/2006/picture">
                        <pic:nvPicPr>
                          <pic:cNvPr id="432" name="TextBox_7_SpCnt_2"/>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hint="eastAsia" w:ascii="宋体" w:hAnsi="宋体" w:eastAsia="宋体" w:cs="宋体"/>
                <w:b/>
                <w:color w:val="auto"/>
                <w:kern w:val="0"/>
                <w:szCs w:val="21"/>
                <w:lang w:bidi="ar"/>
              </w:rPr>
              <w:t>机房内主要设备整体解决方案</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bdr w:val="single" w:color="000000" w:sz="4" w:space="0"/>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184150" cy="256540"/>
                  <wp:effectExtent l="0" t="0" r="0" b="0"/>
                  <wp:wrapNone/>
                  <wp:docPr id="433" name="TextBox_38"/>
                  <wp:cNvGraphicFramePr/>
                  <a:graphic xmlns:a="http://schemas.openxmlformats.org/drawingml/2006/main">
                    <a:graphicData uri="http://schemas.openxmlformats.org/drawingml/2006/picture">
                      <pic:pic xmlns:pic="http://schemas.openxmlformats.org/drawingml/2006/picture">
                        <pic:nvPicPr>
                          <pic:cNvPr id="433" name="TextBox_38"/>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184150" cy="269240"/>
                  <wp:effectExtent l="0" t="0" r="0" b="0"/>
                  <wp:wrapNone/>
                  <wp:docPr id="434" name="TextBox_26"/>
                  <wp:cNvGraphicFramePr/>
                  <a:graphic xmlns:a="http://schemas.openxmlformats.org/drawingml/2006/main">
                    <a:graphicData uri="http://schemas.openxmlformats.org/drawingml/2006/picture">
                      <pic:pic xmlns:pic="http://schemas.openxmlformats.org/drawingml/2006/picture">
                        <pic:nvPicPr>
                          <pic:cNvPr id="434" name="TextBox_2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184150" cy="269240"/>
                  <wp:effectExtent l="0" t="0" r="0" b="0"/>
                  <wp:wrapNone/>
                  <wp:docPr id="435" name="TextBox_24"/>
                  <wp:cNvGraphicFramePr/>
                  <a:graphic xmlns:a="http://schemas.openxmlformats.org/drawingml/2006/main">
                    <a:graphicData uri="http://schemas.openxmlformats.org/drawingml/2006/picture">
                      <pic:pic xmlns:pic="http://schemas.openxmlformats.org/drawingml/2006/picture">
                        <pic:nvPicPr>
                          <pic:cNvPr id="435" name="TextBox_2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184150" cy="269240"/>
                  <wp:effectExtent l="0" t="0" r="0" b="0"/>
                  <wp:wrapNone/>
                  <wp:docPr id="436" name="TextBox_33"/>
                  <wp:cNvGraphicFramePr/>
                  <a:graphic xmlns:a="http://schemas.openxmlformats.org/drawingml/2006/main">
                    <a:graphicData uri="http://schemas.openxmlformats.org/drawingml/2006/picture">
                      <pic:pic xmlns:pic="http://schemas.openxmlformats.org/drawingml/2006/picture">
                        <pic:nvPicPr>
                          <pic:cNvPr id="436" name="TextBox_33"/>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184150" cy="269240"/>
                  <wp:effectExtent l="0" t="0" r="0" b="0"/>
                  <wp:wrapNone/>
                  <wp:docPr id="437" name="TextBox_34"/>
                  <wp:cNvGraphicFramePr/>
                  <a:graphic xmlns:a="http://schemas.openxmlformats.org/drawingml/2006/main">
                    <a:graphicData uri="http://schemas.openxmlformats.org/drawingml/2006/picture">
                      <pic:pic xmlns:pic="http://schemas.openxmlformats.org/drawingml/2006/picture">
                        <pic:nvPicPr>
                          <pic:cNvPr id="437" name="TextBox_34"/>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184150" cy="256540"/>
                  <wp:effectExtent l="0" t="0" r="0" b="0"/>
                  <wp:wrapNone/>
                  <wp:docPr id="438" name="TextBox_27"/>
                  <wp:cNvGraphicFramePr/>
                  <a:graphic xmlns:a="http://schemas.openxmlformats.org/drawingml/2006/main">
                    <a:graphicData uri="http://schemas.openxmlformats.org/drawingml/2006/picture">
                      <pic:pic xmlns:pic="http://schemas.openxmlformats.org/drawingml/2006/picture">
                        <pic:nvPicPr>
                          <pic:cNvPr id="438" name="TextBox_27"/>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184150" cy="269240"/>
                  <wp:effectExtent l="0" t="0" r="0" b="0"/>
                  <wp:wrapNone/>
                  <wp:docPr id="439" name="TextBox_23"/>
                  <wp:cNvGraphicFramePr/>
                  <a:graphic xmlns:a="http://schemas.openxmlformats.org/drawingml/2006/main">
                    <a:graphicData uri="http://schemas.openxmlformats.org/drawingml/2006/picture">
                      <pic:pic xmlns:pic="http://schemas.openxmlformats.org/drawingml/2006/picture">
                        <pic:nvPicPr>
                          <pic:cNvPr id="439" name="TextBox_23"/>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184150" cy="269240"/>
                  <wp:effectExtent l="0" t="0" r="0" b="0"/>
                  <wp:wrapNone/>
                  <wp:docPr id="440" name="TextBox_32"/>
                  <wp:cNvGraphicFramePr/>
                  <a:graphic xmlns:a="http://schemas.openxmlformats.org/drawingml/2006/main">
                    <a:graphicData uri="http://schemas.openxmlformats.org/drawingml/2006/picture">
                      <pic:pic xmlns:pic="http://schemas.openxmlformats.org/drawingml/2006/picture">
                        <pic:nvPicPr>
                          <pic:cNvPr id="440" name="TextBox_32"/>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184150" cy="269240"/>
                  <wp:effectExtent l="0" t="0" r="0" b="0"/>
                  <wp:wrapNone/>
                  <wp:docPr id="441" name="TextBox_36"/>
                  <wp:cNvGraphicFramePr/>
                  <a:graphic xmlns:a="http://schemas.openxmlformats.org/drawingml/2006/main">
                    <a:graphicData uri="http://schemas.openxmlformats.org/drawingml/2006/picture">
                      <pic:pic xmlns:pic="http://schemas.openxmlformats.org/drawingml/2006/picture">
                        <pic:nvPicPr>
                          <pic:cNvPr id="441" name="TextBox_36"/>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184150" cy="269240"/>
                  <wp:effectExtent l="0" t="0" r="0" b="0"/>
                  <wp:wrapNone/>
                  <wp:docPr id="442" name="TextBox_25"/>
                  <wp:cNvGraphicFramePr/>
                  <a:graphic xmlns:a="http://schemas.openxmlformats.org/drawingml/2006/main">
                    <a:graphicData uri="http://schemas.openxmlformats.org/drawingml/2006/picture">
                      <pic:pic xmlns:pic="http://schemas.openxmlformats.org/drawingml/2006/picture">
                        <pic:nvPicPr>
                          <pic:cNvPr id="442" name="TextBox_25"/>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184150" cy="256540"/>
                  <wp:effectExtent l="0" t="0" r="0" b="0"/>
                  <wp:wrapNone/>
                  <wp:docPr id="443" name="TextBox_31"/>
                  <wp:cNvGraphicFramePr/>
                  <a:graphic xmlns:a="http://schemas.openxmlformats.org/drawingml/2006/main">
                    <a:graphicData uri="http://schemas.openxmlformats.org/drawingml/2006/picture">
                      <pic:pic xmlns:pic="http://schemas.openxmlformats.org/drawingml/2006/picture">
                        <pic:nvPicPr>
                          <pic:cNvPr id="443" name="TextBox_3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184150" cy="256540"/>
                  <wp:effectExtent l="0" t="0" r="0" b="0"/>
                  <wp:wrapNone/>
                  <wp:docPr id="444" name="TextBox_37"/>
                  <wp:cNvGraphicFramePr/>
                  <a:graphic xmlns:a="http://schemas.openxmlformats.org/drawingml/2006/main">
                    <a:graphicData uri="http://schemas.openxmlformats.org/drawingml/2006/picture">
                      <pic:pic xmlns:pic="http://schemas.openxmlformats.org/drawingml/2006/picture">
                        <pic:nvPicPr>
                          <pic:cNvPr id="444" name="TextBox_37"/>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184150" cy="256540"/>
                  <wp:effectExtent l="0" t="0" r="0" b="0"/>
                  <wp:wrapNone/>
                  <wp:docPr id="445" name="TextBox_39"/>
                  <wp:cNvGraphicFramePr/>
                  <a:graphic xmlns:a="http://schemas.openxmlformats.org/drawingml/2006/main">
                    <a:graphicData uri="http://schemas.openxmlformats.org/drawingml/2006/picture">
                      <pic:pic xmlns:pic="http://schemas.openxmlformats.org/drawingml/2006/picture">
                        <pic:nvPicPr>
                          <pic:cNvPr id="445" name="TextBox_3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184150" cy="269240"/>
                  <wp:effectExtent l="0" t="0" r="0" b="0"/>
                  <wp:wrapNone/>
                  <wp:docPr id="446" name="TextBox_22"/>
                  <wp:cNvGraphicFramePr/>
                  <a:graphic xmlns:a="http://schemas.openxmlformats.org/drawingml/2006/main">
                    <a:graphicData uri="http://schemas.openxmlformats.org/drawingml/2006/picture">
                      <pic:pic xmlns:pic="http://schemas.openxmlformats.org/drawingml/2006/picture">
                        <pic:nvPicPr>
                          <pic:cNvPr id="446" name="TextBox_22"/>
                          <pic:cNvPicPr/>
                        </pic:nvPicPr>
                        <pic:blipFill>
                          <a:blip r:embed="rId19"/>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184150" cy="256540"/>
                  <wp:effectExtent l="0" t="0" r="0" b="0"/>
                  <wp:wrapNone/>
                  <wp:docPr id="447" name="TextBox_29"/>
                  <wp:cNvGraphicFramePr/>
                  <a:graphic xmlns:a="http://schemas.openxmlformats.org/drawingml/2006/main">
                    <a:graphicData uri="http://schemas.openxmlformats.org/drawingml/2006/picture">
                      <pic:pic xmlns:pic="http://schemas.openxmlformats.org/drawingml/2006/picture">
                        <pic:nvPicPr>
                          <pic:cNvPr id="447" name="TextBox_29"/>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184150" cy="256540"/>
                  <wp:effectExtent l="0" t="0" r="0" b="0"/>
                  <wp:wrapNone/>
                  <wp:docPr id="448" name="TextBox_40"/>
                  <wp:cNvGraphicFramePr/>
                  <a:graphic xmlns:a="http://schemas.openxmlformats.org/drawingml/2006/main">
                    <a:graphicData uri="http://schemas.openxmlformats.org/drawingml/2006/picture">
                      <pic:pic xmlns:pic="http://schemas.openxmlformats.org/drawingml/2006/picture">
                        <pic:nvPicPr>
                          <pic:cNvPr id="448" name="TextBox_4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184150" cy="256540"/>
                  <wp:effectExtent l="0" t="0" r="0" b="0"/>
                  <wp:wrapNone/>
                  <wp:docPr id="449" name="TextBox_41"/>
                  <wp:cNvGraphicFramePr/>
                  <a:graphic xmlns:a="http://schemas.openxmlformats.org/drawingml/2006/main">
                    <a:graphicData uri="http://schemas.openxmlformats.org/drawingml/2006/picture">
                      <pic:pic xmlns:pic="http://schemas.openxmlformats.org/drawingml/2006/picture">
                        <pic:nvPicPr>
                          <pic:cNvPr id="449" name="TextBox_41"/>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184150" cy="256540"/>
                  <wp:effectExtent l="0" t="0" r="0" b="0"/>
                  <wp:wrapNone/>
                  <wp:docPr id="450" name="TextBox_28"/>
                  <wp:cNvGraphicFramePr/>
                  <a:graphic xmlns:a="http://schemas.openxmlformats.org/drawingml/2006/main">
                    <a:graphicData uri="http://schemas.openxmlformats.org/drawingml/2006/picture">
                      <pic:pic xmlns:pic="http://schemas.openxmlformats.org/drawingml/2006/picture">
                        <pic:nvPicPr>
                          <pic:cNvPr id="450" name="TextBox_28"/>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184150" cy="256540"/>
                  <wp:effectExtent l="0" t="0" r="0" b="0"/>
                  <wp:wrapNone/>
                  <wp:docPr id="451" name="TextBox_30"/>
                  <wp:cNvGraphicFramePr/>
                  <a:graphic xmlns:a="http://schemas.openxmlformats.org/drawingml/2006/main">
                    <a:graphicData uri="http://schemas.openxmlformats.org/drawingml/2006/picture">
                      <pic:pic xmlns:pic="http://schemas.openxmlformats.org/drawingml/2006/picture">
                        <pic:nvPicPr>
                          <pic:cNvPr id="451" name="TextBox_30"/>
                          <pic:cNvPicPr/>
                        </pic:nvPicPr>
                        <pic:blipFill>
                          <a:blip r:embed="rId20"/>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Cs w:val="21"/>
                <w:bdr w:val="single" w:color="000000" w:sz="4" w:space="0"/>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184150" cy="269240"/>
                  <wp:effectExtent l="0" t="0" r="0" b="0"/>
                  <wp:wrapNone/>
                  <wp:docPr id="454" name="TextBox_35"/>
                  <wp:cNvGraphicFramePr/>
                  <a:graphic xmlns:a="http://schemas.openxmlformats.org/drawingml/2006/main">
                    <a:graphicData uri="http://schemas.openxmlformats.org/drawingml/2006/picture">
                      <pic:pic xmlns:pic="http://schemas.openxmlformats.org/drawingml/2006/picture">
                        <pic:nvPicPr>
                          <pic:cNvPr id="454" name="TextBox_35"/>
                          <pic:cNvPicPr/>
                        </pic:nvPicPr>
                        <pic:blipFill>
                          <a:blip r:embed="rId19"/>
                          <a:stretch>
                            <a:fillRect/>
                          </a:stretch>
                        </pic:blipFill>
                        <pic:spPr>
                          <a:xfrm>
                            <a:off x="0" y="0"/>
                            <a:ext cx="184150" cy="269240"/>
                          </a:xfrm>
                          <a:prstGeom prst="rect">
                            <a:avLst/>
                          </a:prstGeom>
                          <a:noFill/>
                          <a:ln>
                            <a:noFill/>
                          </a:ln>
                        </pic:spPr>
                      </pic:pic>
                    </a:graphicData>
                  </a:graphic>
                </wp:anchor>
              </w:drawing>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8</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空调系统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精密空调</w:t>
            </w:r>
            <w:r>
              <w:rPr>
                <w:rStyle w:val="50"/>
                <w:rFonts w:ascii="宋体" w:hAnsi="宋体" w:eastAsia="宋体" w:cs="宋体"/>
                <w:color w:val="auto"/>
                <w:sz w:val="21"/>
                <w:szCs w:val="21"/>
                <w:lang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房间级精密空调，制冷量</w:t>
            </w:r>
            <w:r>
              <w:rPr>
                <w:rFonts w:ascii="Times New Roman" w:hAnsi="Times New Roman" w:eastAsia="宋体" w:cs="Times New Roman"/>
                <w:color w:val="auto"/>
                <w:kern w:val="0"/>
                <w:szCs w:val="21"/>
                <w:lang w:bidi="ar"/>
              </w:rPr>
              <w:t>100KW</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NetCol8000-A120D</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精密空调</w:t>
            </w:r>
            <w:r>
              <w:rPr>
                <w:rStyle w:val="50"/>
                <w:rFonts w:ascii="宋体" w:hAnsi="宋体" w:eastAsia="宋体" w:cs="宋体"/>
                <w:color w:val="auto"/>
                <w:sz w:val="21"/>
                <w:szCs w:val="21"/>
                <w:lang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精密空调，制冷量</w:t>
            </w:r>
            <w:r>
              <w:rPr>
                <w:rFonts w:ascii="Times New Roman" w:hAnsi="Times New Roman" w:eastAsia="宋体" w:cs="Times New Roman"/>
                <w:color w:val="auto"/>
                <w:kern w:val="0"/>
                <w:szCs w:val="21"/>
                <w:lang w:bidi="ar"/>
              </w:rPr>
              <w:t>12.5KW</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NetCol8000-A013U</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空调原厂五年保</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330000.00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330000.00</w:t>
            </w:r>
          </w:p>
        </w:tc>
      </w:tr>
      <w:tr>
        <w:tblPrEx>
          <w:tblCellMar>
            <w:top w:w="0" w:type="dxa"/>
            <w:left w:w="0" w:type="dxa"/>
            <w:bottom w:w="0" w:type="dxa"/>
            <w:right w:w="0" w:type="dxa"/>
          </w:tblCellMar>
        </w:tblPrEx>
        <w:trPr>
          <w:trHeight w:val="51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精密空调</w:t>
            </w:r>
            <w:r>
              <w:rPr>
                <w:rStyle w:val="50"/>
                <w:rFonts w:ascii="宋体" w:hAnsi="宋体" w:eastAsia="宋体" w:cs="宋体"/>
                <w:color w:val="auto"/>
                <w:sz w:val="21"/>
                <w:szCs w:val="21"/>
                <w:lang w:bidi="ar"/>
              </w:rPr>
              <w:t>1</w:t>
            </w:r>
            <w:r>
              <w:rPr>
                <w:rStyle w:val="51"/>
                <w:rFonts w:hint="default"/>
                <w:color w:val="auto"/>
                <w:sz w:val="21"/>
                <w:szCs w:val="21"/>
                <w:lang w:bidi="ar"/>
              </w:rPr>
              <w:t>安装配件</w:t>
            </w:r>
            <w:r>
              <w:rPr>
                <w:rStyle w:val="50"/>
                <w:rFonts w:ascii="宋体" w:hAnsi="宋体" w:eastAsia="宋体" w:cs="宋体"/>
                <w:color w:val="auto"/>
                <w:sz w:val="21"/>
                <w:szCs w:val="21"/>
                <w:lang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冷媒管、保温材料、制冷剂、延长组件等</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铜管长度暂定</w:t>
            </w:r>
            <w:r>
              <w:rPr>
                <w:rFonts w:ascii="Times New Roman" w:hAnsi="Times New Roman" w:eastAsia="宋体" w:cs="Times New Roman"/>
                <w:color w:val="auto"/>
                <w:kern w:val="0"/>
                <w:szCs w:val="21"/>
                <w:lang w:bidi="ar"/>
              </w:rPr>
              <w:t>30</w:t>
            </w:r>
            <w:r>
              <w:rPr>
                <w:rFonts w:hint="eastAsia" w:ascii="宋体" w:hAnsi="宋体" w:eastAsia="宋体" w:cs="宋体"/>
                <w:color w:val="auto"/>
                <w:kern w:val="0"/>
                <w:szCs w:val="21"/>
                <w:lang w:bidi="ar"/>
              </w:rPr>
              <w:t>米）</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200000.00</w:t>
            </w:r>
          </w:p>
        </w:tc>
      </w:tr>
      <w:tr>
        <w:tblPrEx>
          <w:tblCellMar>
            <w:top w:w="0" w:type="dxa"/>
            <w:left w:w="0" w:type="dxa"/>
            <w:bottom w:w="0" w:type="dxa"/>
            <w:right w:w="0" w:type="dxa"/>
          </w:tblCellMar>
        </w:tblPrEx>
        <w:trPr>
          <w:trHeight w:val="51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精密空调</w:t>
            </w:r>
            <w:r>
              <w:rPr>
                <w:rStyle w:val="50"/>
                <w:rFonts w:ascii="宋体" w:hAnsi="宋体" w:eastAsia="宋体" w:cs="宋体"/>
                <w:color w:val="auto"/>
                <w:sz w:val="21"/>
                <w:szCs w:val="21"/>
                <w:lang w:bidi="ar"/>
              </w:rPr>
              <w:t>1</w:t>
            </w:r>
            <w:r>
              <w:rPr>
                <w:rStyle w:val="51"/>
                <w:rFonts w:hint="default"/>
                <w:color w:val="auto"/>
                <w:sz w:val="21"/>
                <w:szCs w:val="21"/>
                <w:lang w:bidi="ar"/>
              </w:rPr>
              <w:t>安装配件</w:t>
            </w:r>
            <w:r>
              <w:rPr>
                <w:rStyle w:val="50"/>
                <w:rFonts w:ascii="宋体" w:hAnsi="宋体" w:eastAsia="宋体" w:cs="宋体"/>
                <w:color w:val="auto"/>
                <w:sz w:val="21"/>
                <w:szCs w:val="21"/>
                <w:lang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冷媒管、保温材料、制冷剂、延长组件等</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铜管长度暂定</w:t>
            </w:r>
            <w:r>
              <w:rPr>
                <w:rFonts w:ascii="Times New Roman" w:hAnsi="Times New Roman" w:eastAsia="宋体" w:cs="Times New Roman"/>
                <w:color w:val="auto"/>
                <w:kern w:val="0"/>
                <w:szCs w:val="21"/>
                <w:lang w:bidi="ar"/>
              </w:rPr>
              <w:t>30</w:t>
            </w:r>
            <w:r>
              <w:rPr>
                <w:rFonts w:hint="eastAsia" w:ascii="宋体" w:hAnsi="宋体" w:eastAsia="宋体" w:cs="宋体"/>
                <w:color w:val="auto"/>
                <w:kern w:val="0"/>
                <w:szCs w:val="21"/>
                <w:lang w:bidi="ar"/>
              </w:rPr>
              <w:t>米）</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60000.00</w:t>
            </w:r>
          </w:p>
        </w:tc>
      </w:tr>
      <w:tr>
        <w:tblPrEx>
          <w:tblCellMar>
            <w:top w:w="0" w:type="dxa"/>
            <w:left w:w="0" w:type="dxa"/>
            <w:bottom w:w="0" w:type="dxa"/>
            <w:right w:w="0" w:type="dxa"/>
          </w:tblCellMar>
        </w:tblPrEx>
        <w:trPr>
          <w:trHeight w:val="49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精密空调室外机底座</w:t>
            </w:r>
            <w:r>
              <w:rPr>
                <w:rStyle w:val="50"/>
                <w:rFonts w:ascii="宋体" w:hAnsi="宋体" w:eastAsia="宋体" w:cs="宋体"/>
                <w:color w:val="auto"/>
                <w:sz w:val="21"/>
                <w:szCs w:val="21"/>
                <w:lang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水泥基墩，钢结构底座固定</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28000.00</w:t>
            </w:r>
          </w:p>
        </w:tc>
      </w:tr>
      <w:tr>
        <w:tblPrEx>
          <w:tblCellMar>
            <w:top w:w="0" w:type="dxa"/>
            <w:left w:w="0" w:type="dxa"/>
            <w:bottom w:w="0" w:type="dxa"/>
            <w:right w:w="0" w:type="dxa"/>
          </w:tblCellMar>
        </w:tblPrEx>
        <w:trPr>
          <w:trHeight w:val="49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精密空调配套设施</w:t>
            </w:r>
            <w:r>
              <w:rPr>
                <w:rStyle w:val="50"/>
                <w:rFonts w:ascii="宋体" w:hAnsi="宋体" w:eastAsia="宋体" w:cs="宋体"/>
                <w:color w:val="auto"/>
                <w:sz w:val="21"/>
                <w:szCs w:val="21"/>
                <w:lang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进出水管、地漏、挡水堰等，可放置</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台精密空调</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8</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2308000.00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9</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UPS</w:t>
            </w:r>
            <w:r>
              <w:rPr>
                <w:rFonts w:hint="eastAsia" w:ascii="宋体" w:hAnsi="宋体" w:eastAsia="宋体" w:cs="宋体"/>
                <w:b/>
                <w:color w:val="auto"/>
                <w:kern w:val="0"/>
                <w:szCs w:val="21"/>
                <w:lang w:bidi="ar"/>
              </w:rPr>
              <w:t>及电池系统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UPS</w:t>
            </w:r>
            <w:r>
              <w:rPr>
                <w:rStyle w:val="51"/>
                <w:rFonts w:hint="default"/>
                <w:color w:val="auto"/>
                <w:sz w:val="21"/>
                <w:szCs w:val="21"/>
                <w:lang w:bidi="ar"/>
              </w:rPr>
              <w:t>主机</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500KVA</w:t>
            </w:r>
            <w:r>
              <w:rPr>
                <w:rFonts w:hint="eastAsia" w:ascii="宋体" w:hAnsi="宋体" w:eastAsia="宋体" w:cs="宋体"/>
                <w:color w:val="auto"/>
                <w:kern w:val="0"/>
                <w:szCs w:val="21"/>
                <w:lang w:bidi="ar"/>
              </w:rPr>
              <w:t>主机，配置</w:t>
            </w:r>
            <w:r>
              <w:rPr>
                <w:rFonts w:ascii="Times New Roman" w:hAnsi="Times New Roman" w:eastAsia="宋体" w:cs="Times New Roman"/>
                <w:color w:val="auto"/>
                <w:kern w:val="0"/>
                <w:szCs w:val="21"/>
                <w:lang w:bidi="ar"/>
              </w:rPr>
              <w:t>400KVA</w:t>
            </w:r>
            <w:r>
              <w:rPr>
                <w:rFonts w:hint="eastAsia" w:ascii="宋体" w:hAnsi="宋体" w:eastAsia="宋体" w:cs="宋体"/>
                <w:color w:val="auto"/>
                <w:kern w:val="0"/>
                <w:szCs w:val="21"/>
                <w:lang w:bidi="ar"/>
              </w:rPr>
              <w:t>以上模块</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UPS5000-E-500K-SM</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900000.00</w:t>
            </w:r>
          </w:p>
        </w:tc>
      </w:tr>
      <w:tr>
        <w:tblPrEx>
          <w:tblCellMar>
            <w:top w:w="0" w:type="dxa"/>
            <w:left w:w="0" w:type="dxa"/>
            <w:bottom w:w="0" w:type="dxa"/>
            <w:right w:w="0" w:type="dxa"/>
          </w:tblCellMar>
        </w:tblPrEx>
        <w:trPr>
          <w:trHeight w:val="252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BCB B0X</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直流总空开，与</w:t>
            </w:r>
            <w:r>
              <w:rPr>
                <w:rFonts w:ascii="Times New Roman" w:hAnsi="Times New Roman" w:eastAsia="宋体" w:cs="Times New Roman"/>
                <w:color w:val="auto"/>
                <w:kern w:val="0"/>
                <w:szCs w:val="21"/>
                <w:lang w:bidi="ar"/>
              </w:rPr>
              <w:t>UPS</w:t>
            </w:r>
            <w:r>
              <w:rPr>
                <w:rFonts w:hint="eastAsia" w:ascii="宋体" w:hAnsi="宋体" w:eastAsia="宋体" w:cs="宋体"/>
                <w:color w:val="auto"/>
                <w:kern w:val="0"/>
                <w:szCs w:val="21"/>
                <w:lang w:bidi="ar"/>
              </w:rPr>
              <w:t>主机实现实时通讯和智能联控，具有防止误操作和电池深度放电的功能；</w:t>
            </w:r>
            <w:r>
              <w:rPr>
                <w:rFonts w:ascii="Times New Roman" w:hAnsi="Times New Roman" w:eastAsia="宋体" w:cs="Times New Roman"/>
                <w:color w:val="auto"/>
                <w:kern w:val="0"/>
                <w:szCs w:val="21"/>
                <w:lang w:bidi="ar"/>
              </w:rPr>
              <w:t>UPS</w:t>
            </w:r>
            <w:r>
              <w:rPr>
                <w:rFonts w:hint="eastAsia" w:ascii="宋体" w:hAnsi="宋体" w:eastAsia="宋体" w:cs="宋体"/>
                <w:color w:val="auto"/>
                <w:kern w:val="0"/>
                <w:szCs w:val="21"/>
                <w:lang w:bidi="ar"/>
              </w:rPr>
              <w:t>主机能检测电池断路器状态并可以远程监控。在开关意外脱扣的情况下，</w:t>
            </w:r>
            <w:r>
              <w:rPr>
                <w:rFonts w:ascii="Times New Roman" w:hAnsi="Times New Roman" w:eastAsia="宋体" w:cs="Times New Roman"/>
                <w:color w:val="auto"/>
                <w:kern w:val="0"/>
                <w:szCs w:val="21"/>
                <w:lang w:bidi="ar"/>
              </w:rPr>
              <w:t>UPS</w:t>
            </w:r>
            <w:r>
              <w:rPr>
                <w:rFonts w:hint="eastAsia" w:ascii="宋体" w:hAnsi="宋体" w:eastAsia="宋体" w:cs="宋体"/>
                <w:color w:val="auto"/>
                <w:kern w:val="0"/>
                <w:szCs w:val="21"/>
                <w:lang w:bidi="ar"/>
              </w:rPr>
              <w:t>主机能够提供报警。当整流器未建立直流母线电压时，电池断路器不能被闭合，保护人员及设备安全。当电池放电终止时，断路器应能自动断开，以避免蓄电池组因过放电而损坏。</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100000.00</w:t>
            </w:r>
          </w:p>
        </w:tc>
      </w:tr>
      <w:tr>
        <w:tblPrEx>
          <w:tblCellMar>
            <w:top w:w="0" w:type="dxa"/>
            <w:left w:w="0" w:type="dxa"/>
            <w:bottom w:w="0" w:type="dxa"/>
            <w:right w:w="0" w:type="dxa"/>
          </w:tblCellMar>
        </w:tblPrEx>
        <w:trPr>
          <w:trHeight w:val="49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UPS</w:t>
            </w:r>
            <w:r>
              <w:rPr>
                <w:rStyle w:val="51"/>
                <w:rFonts w:hint="default"/>
                <w:color w:val="auto"/>
                <w:sz w:val="21"/>
                <w:szCs w:val="21"/>
                <w:lang w:bidi="ar"/>
              </w:rPr>
              <w:t>原厂五年保</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180000.00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免维护铅酸蓄电池</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12V200AH</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12</w:t>
            </w:r>
            <w:r>
              <w:rPr>
                <w:rFonts w:hint="eastAsia" w:ascii="宋体" w:hAnsi="宋体" w:eastAsia="宋体" w:cs="宋体"/>
                <w:color w:val="auto"/>
                <w:kern w:val="0"/>
                <w:szCs w:val="21"/>
                <w:lang w:bidi="ar"/>
              </w:rPr>
              <w:t>年设计寿命，重量</w:t>
            </w:r>
            <w:r>
              <w:rPr>
                <w:rFonts w:ascii="Times New Roman" w:hAnsi="Times New Roman" w:eastAsia="宋体" w:cs="Times New Roman"/>
                <w:color w:val="auto"/>
                <w:kern w:val="0"/>
                <w:szCs w:val="21"/>
                <w:lang w:bidi="ar"/>
              </w:rPr>
              <w:t>62</w:t>
            </w:r>
            <w:r>
              <w:rPr>
                <w:rFonts w:hint="eastAsia" w:ascii="宋体" w:hAnsi="宋体" w:eastAsia="宋体" w:cs="宋体"/>
                <w:color w:val="auto"/>
                <w:kern w:val="0"/>
                <w:szCs w:val="21"/>
                <w:lang w:bidi="ar"/>
              </w:rPr>
              <w:t>公斤以上，阻燃电池</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6-GFM-200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灯塔</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节</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240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2300.00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552000.00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电池架</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w:t>
            </w:r>
            <w:r>
              <w:rPr>
                <w:rFonts w:hint="eastAsia" w:ascii="宋体" w:hAnsi="宋体" w:eastAsia="宋体" w:cs="宋体"/>
                <w:color w:val="auto"/>
                <w:kern w:val="0"/>
                <w:szCs w:val="21"/>
                <w:lang w:bidi="ar"/>
              </w:rPr>
              <w:t>节装，含内部连接铜排，每个箱子放置</w:t>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层</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120000.00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直流汇流箱</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r>
              <w:rPr>
                <w:rFonts w:hint="eastAsia" w:ascii="宋体" w:hAnsi="宋体" w:eastAsia="宋体" w:cs="宋体"/>
                <w:color w:val="auto"/>
                <w:kern w:val="0"/>
                <w:szCs w:val="21"/>
                <w:lang w:bidi="ar"/>
              </w:rPr>
              <w:t>个</w:t>
            </w:r>
            <w:r>
              <w:rPr>
                <w:rFonts w:ascii="Times New Roman" w:hAnsi="Times New Roman" w:eastAsia="宋体" w:cs="Times New Roman"/>
                <w:color w:val="auto"/>
                <w:kern w:val="0"/>
                <w:szCs w:val="21"/>
                <w:lang w:bidi="ar"/>
              </w:rPr>
              <w:t>400A</w:t>
            </w:r>
            <w:r>
              <w:rPr>
                <w:rFonts w:hint="eastAsia" w:ascii="宋体" w:hAnsi="宋体" w:eastAsia="宋体" w:cs="宋体"/>
                <w:color w:val="auto"/>
                <w:kern w:val="0"/>
                <w:szCs w:val="21"/>
                <w:lang w:bidi="ar"/>
              </w:rPr>
              <w:t>直流分空开</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电池线</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BVR300MM2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万马</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M</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260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117000.00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安装辅材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9</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1991000.00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10</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机柜及冷通道封闭系统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A</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机柜</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机柜</w:t>
            </w:r>
            <w:r>
              <w:rPr>
                <w:rStyle w:val="50"/>
                <w:rFonts w:ascii="宋体" w:hAnsi="宋体" w:eastAsia="宋体" w:cs="宋体"/>
                <w:color w:val="auto"/>
                <w:sz w:val="21"/>
                <w:szCs w:val="21"/>
                <w:lang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600*1100*2000mm,</w:t>
            </w:r>
            <w:r>
              <w:rPr>
                <w:rFonts w:hint="eastAsia" w:ascii="宋体" w:hAnsi="宋体" w:eastAsia="宋体" w:cs="宋体"/>
                <w:color w:val="auto"/>
                <w:kern w:val="0"/>
                <w:szCs w:val="21"/>
                <w:lang w:bidi="ar"/>
              </w:rPr>
              <w:t>含侧门板，顶盖，</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块竖直理线板，不含底板</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NetHos-M FR42611W</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65000.00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机柜</w:t>
            </w:r>
            <w:r>
              <w:rPr>
                <w:rStyle w:val="50"/>
                <w:rFonts w:ascii="宋体" w:hAnsi="宋体" w:eastAsia="宋体" w:cs="宋体"/>
                <w:color w:val="auto"/>
                <w:sz w:val="21"/>
                <w:szCs w:val="21"/>
                <w:lang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600*1100*2000mm,</w:t>
            </w:r>
            <w:r>
              <w:rPr>
                <w:rFonts w:hint="eastAsia" w:ascii="宋体" w:hAnsi="宋体" w:eastAsia="宋体" w:cs="宋体"/>
                <w:color w:val="auto"/>
                <w:kern w:val="0"/>
                <w:szCs w:val="21"/>
                <w:lang w:bidi="ar"/>
              </w:rPr>
              <w:t>顶盖，</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块竖直理线板，不含底板、侧门板</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NetHos-M FR42611W</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412500.00</w:t>
            </w: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机柜托盘</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轻载固定托盘，承重</w:t>
            </w:r>
            <w:r>
              <w:rPr>
                <w:rFonts w:ascii="Times New Roman" w:hAnsi="Times New Roman" w:eastAsia="宋体" w:cs="Times New Roman"/>
                <w:color w:val="auto"/>
                <w:kern w:val="0"/>
                <w:szCs w:val="21"/>
                <w:lang w:bidi="ar"/>
              </w:rPr>
              <w:t>50KG</w:t>
            </w:r>
            <w:r>
              <w:rPr>
                <w:rFonts w:hint="eastAsia" w:ascii="宋体" w:hAnsi="宋体" w:eastAsia="宋体" w:cs="宋体"/>
                <w:color w:val="auto"/>
                <w:kern w:val="0"/>
                <w:szCs w:val="21"/>
                <w:lang w:bidi="ar"/>
              </w:rPr>
              <w:t>（适用于服务器机柜）</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DKBA41273715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12750.00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Style w:val="51"/>
                <w:rFonts w:hint="default"/>
                <w:color w:val="auto"/>
                <w:sz w:val="21"/>
                <w:szCs w:val="21"/>
                <w:lang w:bidi="ar"/>
              </w:rPr>
              <w:t>盲板</w:t>
            </w:r>
            <w:r>
              <w:rPr>
                <w:rStyle w:val="50"/>
                <w:rFonts w:ascii="宋体" w:hAnsi="宋体" w:eastAsia="宋体" w:cs="宋体"/>
                <w:color w:val="auto"/>
                <w:sz w:val="21"/>
                <w:szCs w:val="21"/>
                <w:lang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1U</w:t>
            </w:r>
            <w:r>
              <w:rPr>
                <w:rFonts w:hint="eastAsia" w:ascii="宋体" w:hAnsi="宋体" w:eastAsia="宋体" w:cs="宋体"/>
                <w:color w:val="auto"/>
                <w:kern w:val="0"/>
                <w:szCs w:val="21"/>
                <w:lang w:bidi="ar"/>
              </w:rPr>
              <w:t>塑胶盲板</w:t>
            </w:r>
            <w:r>
              <w:rPr>
                <w:rFonts w:ascii="Times New Roman" w:hAnsi="Times New Roman" w:eastAsia="宋体" w:cs="Times New Roman"/>
                <w:color w:val="auto"/>
                <w:kern w:val="0"/>
                <w:szCs w:val="21"/>
                <w:lang w:bidi="ar"/>
              </w:rPr>
              <w:t>50</w:t>
            </w:r>
            <w:r>
              <w:rPr>
                <w:rFonts w:hint="eastAsia" w:ascii="宋体" w:hAnsi="宋体" w:eastAsia="宋体" w:cs="宋体"/>
                <w:color w:val="auto"/>
                <w:kern w:val="0"/>
                <w:szCs w:val="21"/>
                <w:lang w:bidi="ar"/>
              </w:rPr>
              <w:t>个包</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包</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450.00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B</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冷通道封闭</w:t>
            </w:r>
            <w:r>
              <w:rPr>
                <w:rStyle w:val="43"/>
                <w:rFonts w:eastAsia="宋体"/>
                <w:color w:val="auto"/>
                <w:sz w:val="21"/>
                <w:szCs w:val="21"/>
                <w:lang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9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2000</w:t>
            </w:r>
            <w:r>
              <w:rPr>
                <w:rStyle w:val="51"/>
                <w:rFonts w:hint="default"/>
                <w:color w:val="auto"/>
                <w:sz w:val="21"/>
                <w:szCs w:val="21"/>
                <w:lang w:bidi="ar"/>
              </w:rPr>
              <w:t>高电动滑动门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2000</w:t>
            </w:r>
            <w:r>
              <w:rPr>
                <w:rFonts w:hint="eastAsia" w:ascii="宋体" w:hAnsi="宋体" w:eastAsia="宋体" w:cs="宋体"/>
                <w:color w:val="auto"/>
                <w:kern w:val="0"/>
                <w:szCs w:val="21"/>
                <w:lang w:bidi="ar"/>
              </w:rPr>
              <w:t>高电动滑动门</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含通道两侧门</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专用于</w:t>
            </w:r>
            <w:r>
              <w:rPr>
                <w:rFonts w:ascii="Times New Roman" w:hAnsi="Times New Roman" w:eastAsia="宋体" w:cs="Times New Roman"/>
                <w:color w:val="auto"/>
                <w:kern w:val="0"/>
                <w:szCs w:val="21"/>
                <w:lang w:bidi="ar"/>
              </w:rPr>
              <w:t>1100</w:t>
            </w:r>
            <w:r>
              <w:rPr>
                <w:rFonts w:hint="eastAsia" w:ascii="宋体" w:hAnsi="宋体" w:eastAsia="宋体" w:cs="宋体"/>
                <w:color w:val="auto"/>
                <w:kern w:val="0"/>
                <w:szCs w:val="21"/>
                <w:lang w:bidi="ar"/>
              </w:rPr>
              <w:t>深机柜</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CF</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150000.00</w:t>
            </w:r>
          </w:p>
        </w:tc>
      </w:tr>
      <w:tr>
        <w:tblPrEx>
          <w:tblCellMar>
            <w:top w:w="0" w:type="dxa"/>
            <w:left w:w="0" w:type="dxa"/>
            <w:bottom w:w="0" w:type="dxa"/>
            <w:right w:w="0" w:type="dxa"/>
          </w:tblCellMar>
        </w:tblPrEx>
        <w:trPr>
          <w:trHeight w:val="72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600</w:t>
            </w:r>
            <w:r>
              <w:rPr>
                <w:rStyle w:val="51"/>
                <w:rFonts w:hint="default"/>
                <w:color w:val="auto"/>
                <w:sz w:val="21"/>
                <w:szCs w:val="21"/>
                <w:lang w:bidi="ar"/>
              </w:rPr>
              <w:t>宽固定顶板</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w:t>
            </w:r>
            <w:r>
              <w:rPr>
                <w:rFonts w:hint="eastAsia" w:ascii="宋体" w:hAnsi="宋体" w:eastAsia="宋体" w:cs="宋体"/>
                <w:color w:val="auto"/>
                <w:kern w:val="0"/>
                <w:szCs w:val="21"/>
                <w:lang w:bidi="ar"/>
              </w:rPr>
              <w:t>宽固定顶板，集成三色</w:t>
            </w:r>
            <w:r>
              <w:rPr>
                <w:rFonts w:ascii="Times New Roman" w:hAnsi="Times New Roman" w:eastAsia="宋体" w:cs="Times New Roman"/>
                <w:color w:val="auto"/>
                <w:kern w:val="0"/>
                <w:szCs w:val="21"/>
                <w:lang w:bidi="ar"/>
              </w:rPr>
              <w:t>LED</w:t>
            </w:r>
            <w:r>
              <w:rPr>
                <w:rFonts w:hint="eastAsia" w:ascii="宋体" w:hAnsi="宋体" w:eastAsia="宋体" w:cs="宋体"/>
                <w:color w:val="auto"/>
                <w:kern w:val="0"/>
                <w:szCs w:val="21"/>
                <w:lang w:bidi="ar"/>
              </w:rPr>
              <w:t>通道照明灯，每</w:t>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台</w:t>
            </w:r>
            <w:r>
              <w:rPr>
                <w:rFonts w:ascii="Times New Roman" w:hAnsi="Times New Roman" w:eastAsia="宋体" w:cs="Times New Roman"/>
                <w:color w:val="auto"/>
                <w:kern w:val="0"/>
                <w:szCs w:val="21"/>
                <w:lang w:bidi="ar"/>
              </w:rPr>
              <w:t>600mm</w:t>
            </w:r>
            <w:r>
              <w:rPr>
                <w:rFonts w:hint="eastAsia" w:ascii="宋体" w:hAnsi="宋体" w:eastAsia="宋体" w:cs="宋体"/>
                <w:color w:val="auto"/>
                <w:kern w:val="0"/>
                <w:szCs w:val="21"/>
                <w:lang w:bidi="ar"/>
              </w:rPr>
              <w:t>宽机柜配置</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件</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与开启顶板灵活组合</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DKBA41508649.ASM</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25000.00</w:t>
            </w:r>
          </w:p>
        </w:tc>
      </w:tr>
      <w:tr>
        <w:tblPrEx>
          <w:tblCellMar>
            <w:top w:w="0" w:type="dxa"/>
            <w:left w:w="0" w:type="dxa"/>
            <w:bottom w:w="0" w:type="dxa"/>
            <w:right w:w="0" w:type="dxa"/>
          </w:tblCellMar>
        </w:tblPrEx>
        <w:trPr>
          <w:trHeight w:val="72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600</w:t>
            </w:r>
            <w:r>
              <w:rPr>
                <w:rStyle w:val="51"/>
                <w:rFonts w:hint="default"/>
                <w:color w:val="auto"/>
                <w:sz w:val="21"/>
                <w:szCs w:val="21"/>
                <w:lang w:bidi="ar"/>
              </w:rPr>
              <w:t>宽开启顶板</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w:t>
            </w:r>
            <w:r>
              <w:rPr>
                <w:rFonts w:hint="eastAsia" w:ascii="宋体" w:hAnsi="宋体" w:eastAsia="宋体" w:cs="宋体"/>
                <w:color w:val="auto"/>
                <w:kern w:val="0"/>
                <w:szCs w:val="21"/>
                <w:lang w:bidi="ar"/>
              </w:rPr>
              <w:t>宽开启顶板，集成三色</w:t>
            </w:r>
            <w:r>
              <w:rPr>
                <w:rFonts w:ascii="Times New Roman" w:hAnsi="Times New Roman" w:eastAsia="宋体" w:cs="Times New Roman"/>
                <w:color w:val="auto"/>
                <w:kern w:val="0"/>
                <w:szCs w:val="21"/>
                <w:lang w:bidi="ar"/>
              </w:rPr>
              <w:t>LED</w:t>
            </w:r>
            <w:r>
              <w:rPr>
                <w:rFonts w:hint="eastAsia" w:ascii="宋体" w:hAnsi="宋体" w:eastAsia="宋体" w:cs="宋体"/>
                <w:color w:val="auto"/>
                <w:kern w:val="0"/>
                <w:szCs w:val="21"/>
                <w:lang w:bidi="ar"/>
              </w:rPr>
              <w:t>通道照明灯，每</w:t>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台</w:t>
            </w:r>
            <w:r>
              <w:rPr>
                <w:rFonts w:ascii="Times New Roman" w:hAnsi="Times New Roman" w:eastAsia="宋体" w:cs="Times New Roman"/>
                <w:color w:val="auto"/>
                <w:kern w:val="0"/>
                <w:szCs w:val="21"/>
                <w:lang w:bidi="ar"/>
              </w:rPr>
              <w:t>600mm</w:t>
            </w:r>
            <w:r>
              <w:rPr>
                <w:rFonts w:hint="eastAsia" w:ascii="宋体" w:hAnsi="宋体" w:eastAsia="宋体" w:cs="宋体"/>
                <w:color w:val="auto"/>
                <w:kern w:val="0"/>
                <w:szCs w:val="21"/>
                <w:lang w:bidi="ar"/>
              </w:rPr>
              <w:t>宽机柜配置</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件，与固定顶板灵活组合</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DKBA41508654.ASM</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87500.00</w:t>
            </w:r>
          </w:p>
        </w:tc>
      </w:tr>
      <w:tr>
        <w:tblPrEx>
          <w:tblCellMar>
            <w:top w:w="0" w:type="dxa"/>
            <w:left w:w="0" w:type="dxa"/>
            <w:bottom w:w="0" w:type="dxa"/>
            <w:right w:w="0" w:type="dxa"/>
          </w:tblCellMar>
        </w:tblPrEx>
        <w:trPr>
          <w:trHeight w:val="120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顶部开启监控包</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盏声光告警灯、</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个红外探测器、</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w:t>
            </w:r>
            <w:r>
              <w:rPr>
                <w:rFonts w:ascii="Times New Roman" w:hAnsi="Times New Roman" w:eastAsia="宋体" w:cs="Times New Roman"/>
                <w:color w:val="auto"/>
                <w:kern w:val="0"/>
                <w:szCs w:val="21"/>
                <w:lang w:bidi="ar"/>
              </w:rPr>
              <w:t>8DOAO</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w:t>
            </w:r>
            <w:r>
              <w:rPr>
                <w:rFonts w:ascii="Times New Roman" w:hAnsi="Times New Roman" w:eastAsia="宋体" w:cs="Times New Roman"/>
                <w:color w:val="auto"/>
                <w:kern w:val="0"/>
                <w:szCs w:val="21"/>
                <w:lang w:bidi="ar"/>
              </w:rPr>
              <w:t>4DI</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个顶板状态门磁、</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个开启控制盒、</w:t>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个顶部开启按钮、</w:t>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个顶部开启按钮防护盖、</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套顶部开启成套线缆等</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32500.00</w:t>
            </w:r>
          </w:p>
        </w:tc>
      </w:tr>
      <w:tr>
        <w:tblPrEx>
          <w:tblCellMar>
            <w:top w:w="0" w:type="dxa"/>
            <w:left w:w="0" w:type="dxa"/>
            <w:bottom w:w="0" w:type="dxa"/>
            <w:right w:w="0" w:type="dxa"/>
          </w:tblCellMar>
        </w:tblPrEx>
        <w:trPr>
          <w:trHeight w:val="9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采集监控主机</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、采集监控主机要求：嵌入式系统，</w:t>
            </w:r>
            <w:r>
              <w:rPr>
                <w:rFonts w:ascii="Times New Roman" w:hAnsi="Times New Roman" w:eastAsia="宋体" w:cs="Times New Roman"/>
                <w:color w:val="auto"/>
                <w:kern w:val="0"/>
                <w:szCs w:val="21"/>
                <w:lang w:bidi="ar"/>
              </w:rPr>
              <w:t>B/S</w:t>
            </w:r>
            <w:r>
              <w:rPr>
                <w:rFonts w:hint="eastAsia" w:ascii="宋体" w:hAnsi="宋体" w:eastAsia="宋体" w:cs="宋体"/>
                <w:color w:val="auto"/>
                <w:kern w:val="0"/>
                <w:szCs w:val="21"/>
                <w:lang w:bidi="ar"/>
              </w:rPr>
              <w:t>架构，双路供电，双网口</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光口；支持智能传感器模块的即插即用；支持设备的动态添加、删除和修改；提供告警实时通知功能，并定时提醒用户；提供可编程逻辑控制功能；可接入</w:t>
            </w:r>
            <w:r>
              <w:rPr>
                <w:rFonts w:ascii="Times New Roman" w:hAnsi="Times New Roman" w:eastAsia="宋体" w:cs="Times New Roman"/>
                <w:color w:val="auto"/>
                <w:kern w:val="0"/>
                <w:szCs w:val="21"/>
                <w:lang w:bidi="ar"/>
              </w:rPr>
              <w:t>32</w:t>
            </w:r>
            <w:r>
              <w:rPr>
                <w:rFonts w:hint="eastAsia" w:ascii="宋体" w:hAnsi="宋体" w:eastAsia="宋体" w:cs="宋体"/>
                <w:color w:val="auto"/>
                <w:kern w:val="0"/>
                <w:szCs w:val="21"/>
                <w:lang w:bidi="ar"/>
              </w:rPr>
              <w:t>个智能设备（可扩至</w:t>
            </w:r>
            <w:r>
              <w:rPr>
                <w:rFonts w:ascii="Times New Roman" w:hAnsi="Times New Roman" w:eastAsia="宋体" w:cs="Times New Roman"/>
                <w:color w:val="auto"/>
                <w:kern w:val="0"/>
                <w:szCs w:val="21"/>
                <w:lang w:bidi="ar"/>
              </w:rPr>
              <w:t>64</w:t>
            </w:r>
            <w:r>
              <w:rPr>
                <w:rFonts w:hint="eastAsia" w:ascii="宋体" w:hAnsi="宋体" w:eastAsia="宋体" w:cs="宋体"/>
                <w:color w:val="auto"/>
                <w:kern w:val="0"/>
                <w:szCs w:val="21"/>
                <w:lang w:bidi="ar"/>
              </w:rPr>
              <w:t>个智能设备），</w:t>
            </w:r>
            <w:r>
              <w:rPr>
                <w:rFonts w:ascii="Times New Roman" w:hAnsi="Times New Roman" w:eastAsia="宋体" w:cs="Times New Roman"/>
                <w:color w:val="auto"/>
                <w:kern w:val="0"/>
                <w:szCs w:val="21"/>
                <w:lang w:bidi="ar"/>
              </w:rPr>
              <w:t>32</w:t>
            </w:r>
            <w:r>
              <w:rPr>
                <w:rFonts w:hint="eastAsia" w:ascii="宋体" w:hAnsi="宋体" w:eastAsia="宋体" w:cs="宋体"/>
                <w:color w:val="auto"/>
                <w:kern w:val="0"/>
                <w:szCs w:val="21"/>
                <w:lang w:bidi="ar"/>
              </w:rPr>
              <w:t>个传感器，</w:t>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路视频；</w:t>
            </w:r>
            <w:r>
              <w:rPr>
                <w:rFonts w:hint="eastAsia" w:ascii="宋体" w:hAnsi="宋体" w:eastAsia="宋体" w:cs="宋体"/>
                <w:color w:val="auto"/>
                <w:kern w:val="0"/>
                <w:szCs w:val="21"/>
                <w:lang w:bidi="ar"/>
              </w:rPr>
              <w:br w:type="textWrapping"/>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、设备监控功能：实现对机房环境的视频监视和对不同智能设备的数据采集和处理，并且通过</w:t>
            </w:r>
            <w:r>
              <w:rPr>
                <w:rFonts w:ascii="Times New Roman" w:hAnsi="Times New Roman" w:eastAsia="宋体" w:cs="Times New Roman"/>
                <w:color w:val="auto"/>
                <w:kern w:val="0"/>
                <w:szCs w:val="21"/>
                <w:lang w:bidi="ar"/>
              </w:rPr>
              <w:t>Web</w:t>
            </w:r>
            <w:r>
              <w:rPr>
                <w:rFonts w:hint="eastAsia" w:ascii="宋体" w:hAnsi="宋体" w:eastAsia="宋体" w:cs="宋体"/>
                <w:color w:val="auto"/>
                <w:kern w:val="0"/>
                <w:szCs w:val="21"/>
                <w:lang w:bidi="ar"/>
              </w:rPr>
              <w:t>界面控制智能设备。</w:t>
            </w:r>
            <w:r>
              <w:rPr>
                <w:rFonts w:hint="eastAsia" w:ascii="宋体" w:hAnsi="宋体" w:eastAsia="宋体" w:cs="宋体"/>
                <w:color w:val="auto"/>
                <w:kern w:val="0"/>
                <w:szCs w:val="21"/>
                <w:lang w:bidi="ar"/>
              </w:rPr>
              <w:br w:type="textWrapping"/>
            </w:r>
            <w:r>
              <w:rPr>
                <w:rFonts w:ascii="Times New Roman" w:hAnsi="Times New Roman" w:eastAsia="宋体" w:cs="Times New Roman"/>
                <w:color w:val="auto"/>
                <w:kern w:val="0"/>
                <w:szCs w:val="21"/>
                <w:lang w:bidi="ar"/>
              </w:rPr>
              <w:t>3</w:t>
            </w:r>
            <w:r>
              <w:rPr>
                <w:rFonts w:hint="eastAsia" w:ascii="宋体" w:hAnsi="宋体" w:eastAsia="宋体" w:cs="宋体"/>
                <w:color w:val="auto"/>
                <w:kern w:val="0"/>
                <w:szCs w:val="21"/>
                <w:lang w:bidi="ar"/>
              </w:rPr>
              <w:t>、热管理功能，实现空调群控，按照一定的规则，监控和调度参与群控的各台空调，以达到降低空调能耗、延长空调整体寿命、避免群组空调间竞争运行的目的。</w:t>
            </w:r>
            <w:r>
              <w:rPr>
                <w:rFonts w:hint="eastAsia" w:ascii="宋体" w:hAnsi="宋体" w:eastAsia="宋体" w:cs="宋体"/>
                <w:color w:val="auto"/>
                <w:kern w:val="0"/>
                <w:szCs w:val="21"/>
                <w:lang w:bidi="ar"/>
              </w:rPr>
              <w:br w:type="textWrapping"/>
            </w:r>
            <w:r>
              <w:rPr>
                <w:rFonts w:ascii="Times New Roman" w:hAnsi="Times New Roman" w:eastAsia="宋体" w:cs="Times New Roman"/>
                <w:color w:val="auto"/>
                <w:kern w:val="0"/>
                <w:szCs w:val="21"/>
                <w:lang w:bidi="ar"/>
              </w:rPr>
              <w:t>4</w:t>
            </w:r>
            <w:r>
              <w:rPr>
                <w:rFonts w:hint="eastAsia" w:ascii="宋体" w:hAnsi="宋体" w:eastAsia="宋体" w:cs="宋体"/>
                <w:color w:val="auto"/>
                <w:kern w:val="0"/>
                <w:szCs w:val="21"/>
                <w:lang w:bidi="ar"/>
              </w:rPr>
              <w:t>、电能管理功能；实时能耗：能显示</w:t>
            </w:r>
            <w:r>
              <w:rPr>
                <w:rFonts w:ascii="Times New Roman" w:hAnsi="Times New Roman" w:eastAsia="宋体" w:cs="Times New Roman"/>
                <w:color w:val="auto"/>
                <w:kern w:val="0"/>
                <w:szCs w:val="21"/>
                <w:lang w:bidi="ar"/>
              </w:rPr>
              <w:t>PUE</w:t>
            </w:r>
            <w:r>
              <w:rPr>
                <w:rFonts w:hint="eastAsia" w:ascii="宋体" w:hAnsi="宋体" w:eastAsia="宋体" w:cs="宋体"/>
                <w:color w:val="auto"/>
                <w:kern w:val="0"/>
                <w:szCs w:val="21"/>
                <w:lang w:bidi="ar"/>
              </w:rPr>
              <w:t>和负载率数据。历史记录：显示</w:t>
            </w:r>
            <w:r>
              <w:rPr>
                <w:rFonts w:ascii="Times New Roman" w:hAnsi="Times New Roman" w:eastAsia="宋体" w:cs="Times New Roman"/>
                <w:color w:val="auto"/>
                <w:kern w:val="0"/>
                <w:szCs w:val="21"/>
                <w:lang w:bidi="ar"/>
              </w:rPr>
              <w:t>PUE</w:t>
            </w:r>
            <w:r>
              <w:rPr>
                <w:rFonts w:hint="eastAsia" w:ascii="宋体" w:hAnsi="宋体" w:eastAsia="宋体" w:cs="宋体"/>
                <w:color w:val="auto"/>
                <w:kern w:val="0"/>
                <w:szCs w:val="21"/>
                <w:lang w:bidi="ar"/>
              </w:rPr>
              <w:t>和负载率的历史数据。能耗设置：设置</w:t>
            </w:r>
            <w:r>
              <w:rPr>
                <w:rFonts w:ascii="Times New Roman" w:hAnsi="Times New Roman" w:eastAsia="宋体" w:cs="Times New Roman"/>
                <w:color w:val="auto"/>
                <w:kern w:val="0"/>
                <w:szCs w:val="21"/>
                <w:lang w:bidi="ar"/>
              </w:rPr>
              <w:t>PUE</w:t>
            </w:r>
            <w:r>
              <w:rPr>
                <w:rFonts w:hint="eastAsia" w:ascii="宋体" w:hAnsi="宋体" w:eastAsia="宋体" w:cs="宋体"/>
                <w:color w:val="auto"/>
                <w:kern w:val="0"/>
                <w:szCs w:val="21"/>
                <w:lang w:bidi="ar"/>
              </w:rPr>
              <w:t>统计信号，支持功率模式和电能模式的</w:t>
            </w:r>
            <w:r>
              <w:rPr>
                <w:rFonts w:ascii="Times New Roman" w:hAnsi="Times New Roman" w:eastAsia="宋体" w:cs="Times New Roman"/>
                <w:color w:val="auto"/>
                <w:kern w:val="0"/>
                <w:szCs w:val="21"/>
                <w:lang w:bidi="ar"/>
              </w:rPr>
              <w:t>PUE</w:t>
            </w:r>
            <w:r>
              <w:rPr>
                <w:rFonts w:hint="eastAsia" w:ascii="宋体" w:hAnsi="宋体" w:eastAsia="宋体" w:cs="宋体"/>
                <w:color w:val="auto"/>
                <w:kern w:val="0"/>
                <w:szCs w:val="21"/>
                <w:lang w:bidi="ar"/>
              </w:rPr>
              <w:t>及系统负载百分比的统计</w:t>
            </w:r>
            <w:r>
              <w:rPr>
                <w:rFonts w:hint="eastAsia" w:ascii="宋体" w:hAnsi="宋体" w:eastAsia="宋体" w:cs="宋体"/>
                <w:color w:val="auto"/>
                <w:kern w:val="0"/>
                <w:szCs w:val="21"/>
                <w:lang w:bidi="ar"/>
              </w:rPr>
              <w:br w:type="textWrapping"/>
            </w: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、安全管理功能；门禁管理：实现本地门禁管理，远程开门，记录日志等功能。消防管理：实现对消防信号接入。视频管理：实现网络摄像头视频监控功能。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6</w:t>
            </w:r>
            <w:r>
              <w:rPr>
                <w:rFonts w:hint="eastAsia" w:ascii="宋体" w:hAnsi="宋体" w:eastAsia="宋体" w:cs="宋体"/>
                <w:color w:val="auto"/>
                <w:kern w:val="0"/>
                <w:szCs w:val="21"/>
                <w:lang w:bidi="ar"/>
              </w:rPr>
              <w:t>、每台监控主机可以接入</w:t>
            </w:r>
            <w:r>
              <w:rPr>
                <w:rFonts w:ascii="Times New Roman" w:hAnsi="Times New Roman" w:eastAsia="宋体" w:cs="Times New Roman"/>
                <w:color w:val="auto"/>
                <w:kern w:val="0"/>
                <w:szCs w:val="21"/>
                <w:lang w:bidi="ar"/>
              </w:rPr>
              <w:t>40</w:t>
            </w:r>
            <w:r>
              <w:rPr>
                <w:rFonts w:hint="eastAsia" w:ascii="宋体" w:hAnsi="宋体" w:eastAsia="宋体" w:cs="宋体"/>
                <w:color w:val="auto"/>
                <w:kern w:val="0"/>
                <w:szCs w:val="21"/>
                <w:lang w:bidi="ar"/>
              </w:rPr>
              <w:t>台</w:t>
            </w:r>
            <w:r>
              <w:rPr>
                <w:rFonts w:ascii="Times New Roman" w:hAnsi="Times New Roman" w:eastAsia="宋体" w:cs="Times New Roman"/>
                <w:color w:val="auto"/>
                <w:kern w:val="0"/>
                <w:szCs w:val="21"/>
                <w:lang w:bidi="ar"/>
              </w:rPr>
              <w:t>IPM2.0</w:t>
            </w:r>
            <w:r>
              <w:rPr>
                <w:rFonts w:hint="eastAsia" w:ascii="宋体" w:hAnsi="宋体" w:eastAsia="宋体" w:cs="宋体"/>
                <w:color w:val="auto"/>
                <w:kern w:val="0"/>
                <w:szCs w:val="21"/>
                <w:lang w:bidi="ar"/>
              </w:rPr>
              <w:t>服务器</w:t>
            </w:r>
            <w:r>
              <w:rPr>
                <w:rFonts w:ascii="Times New Roman" w:hAnsi="Times New Roman" w:eastAsia="宋体" w:cs="Times New Roman"/>
                <w:color w:val="auto"/>
                <w:kern w:val="0"/>
                <w:szCs w:val="21"/>
                <w:lang w:bidi="ar"/>
              </w:rPr>
              <w:t>+32</w:t>
            </w:r>
            <w:r>
              <w:rPr>
                <w:rFonts w:hint="eastAsia" w:ascii="宋体" w:hAnsi="宋体" w:eastAsia="宋体" w:cs="宋体"/>
                <w:color w:val="auto"/>
                <w:kern w:val="0"/>
                <w:szCs w:val="21"/>
                <w:lang w:bidi="ar"/>
              </w:rPr>
              <w:t>台</w:t>
            </w:r>
            <w:r>
              <w:rPr>
                <w:rFonts w:ascii="Times New Roman" w:hAnsi="Times New Roman" w:eastAsia="宋体" w:cs="Times New Roman"/>
                <w:color w:val="auto"/>
                <w:kern w:val="0"/>
                <w:szCs w:val="21"/>
                <w:lang w:bidi="ar"/>
              </w:rPr>
              <w:t>RS232</w:t>
            </w:r>
            <w:r>
              <w:rPr>
                <w:rFonts w:hint="eastAsia" w:ascii="宋体" w:hAnsi="宋体" w:eastAsia="宋体" w:cs="宋体"/>
                <w:color w:val="auto"/>
                <w:kern w:val="0"/>
                <w:szCs w:val="21"/>
                <w:lang w:bidi="ar"/>
              </w:rPr>
              <w:t>串口设备，并通过</w:t>
            </w:r>
            <w:r>
              <w:rPr>
                <w:rFonts w:ascii="Times New Roman" w:hAnsi="Times New Roman" w:eastAsia="宋体" w:cs="Times New Roman"/>
                <w:color w:val="auto"/>
                <w:kern w:val="0"/>
                <w:szCs w:val="21"/>
                <w:lang w:bidi="ar"/>
              </w:rPr>
              <w:t>IPMI</w:t>
            </w:r>
            <w:r>
              <w:rPr>
                <w:rFonts w:hint="eastAsia" w:ascii="宋体" w:hAnsi="宋体" w:eastAsia="宋体" w:cs="宋体"/>
                <w:color w:val="auto"/>
                <w:kern w:val="0"/>
                <w:szCs w:val="21"/>
                <w:lang w:bidi="ar"/>
              </w:rPr>
              <w:t>方式实现对</w:t>
            </w:r>
            <w:r>
              <w:rPr>
                <w:rFonts w:ascii="Times New Roman" w:hAnsi="Times New Roman" w:eastAsia="宋体" w:cs="Times New Roman"/>
                <w:color w:val="auto"/>
                <w:kern w:val="0"/>
                <w:szCs w:val="21"/>
                <w:lang w:bidi="ar"/>
              </w:rPr>
              <w:t>IT</w:t>
            </w:r>
            <w:r>
              <w:rPr>
                <w:rFonts w:hint="eastAsia" w:ascii="宋体" w:hAnsi="宋体" w:eastAsia="宋体" w:cs="宋体"/>
                <w:color w:val="auto"/>
                <w:kern w:val="0"/>
                <w:szCs w:val="21"/>
                <w:lang w:bidi="ar"/>
              </w:rPr>
              <w:t>设备的监测和管理；监视</w:t>
            </w:r>
            <w:r>
              <w:rPr>
                <w:rFonts w:ascii="Times New Roman" w:hAnsi="Times New Roman" w:eastAsia="宋体" w:cs="Times New Roman"/>
                <w:color w:val="auto"/>
                <w:kern w:val="0"/>
                <w:szCs w:val="21"/>
                <w:lang w:bidi="ar"/>
              </w:rPr>
              <w:t>IT</w:t>
            </w:r>
            <w:r>
              <w:rPr>
                <w:rFonts w:hint="eastAsia" w:ascii="宋体" w:hAnsi="宋体" w:eastAsia="宋体" w:cs="宋体"/>
                <w:color w:val="auto"/>
                <w:kern w:val="0"/>
                <w:szCs w:val="21"/>
                <w:lang w:bidi="ar"/>
              </w:rPr>
              <w:t>设备的控制台输出；实现对</w:t>
            </w:r>
            <w:r>
              <w:rPr>
                <w:rFonts w:ascii="Times New Roman" w:hAnsi="Times New Roman" w:eastAsia="宋体" w:cs="Times New Roman"/>
                <w:color w:val="auto"/>
                <w:kern w:val="0"/>
                <w:szCs w:val="21"/>
                <w:lang w:bidi="ar"/>
              </w:rPr>
              <w:t>IT</w:t>
            </w:r>
            <w:r>
              <w:rPr>
                <w:rFonts w:hint="eastAsia" w:ascii="宋体" w:hAnsi="宋体" w:eastAsia="宋体" w:cs="宋体"/>
                <w:color w:val="auto"/>
                <w:kern w:val="0"/>
                <w:szCs w:val="21"/>
                <w:lang w:bidi="ar"/>
              </w:rPr>
              <w:t>服务器的开关机管理。</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ECC800-Pro</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150000.00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照明工具包</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含</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个照明控制器、</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个翘板开关、</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套照明线缆</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17500.00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管控屏包</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含</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个管控屏、</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套管控屏线缆</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安装辅材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含电源线、控制线等等</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安装调试费</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spacing w:val="-11"/>
                <w:kern w:val="0"/>
                <w:szCs w:val="21"/>
                <w:lang w:bidi="ar"/>
              </w:rPr>
              <w:t>原厂认证工程师安装、调试费</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10</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1031750.00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11</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机房环境集中监控系统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A</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供配电系统</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智能电表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智能电表</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国产优质</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65000.00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B</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配电柜接入</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70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配电柜接入软件开发</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由设备供应商提供接口和协议</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按设备的型号接入</w:t>
            </w:r>
            <w:r>
              <w:rPr>
                <w:rFonts w:ascii="Times New Roman" w:hAnsi="Times New Roman" w:eastAsia="宋体" w:cs="Times New Roman"/>
                <w:color w:val="auto"/>
                <w:kern w:val="0"/>
                <w:szCs w:val="21"/>
                <w:lang w:bidi="ar"/>
              </w:rPr>
              <w:t xml:space="preserve">  </w:t>
            </w:r>
            <w:r>
              <w:rPr>
                <w:rFonts w:hint="eastAsia" w:ascii="宋体" w:hAnsi="宋体" w:eastAsia="宋体" w:cs="宋体"/>
                <w:color w:val="auto"/>
                <w:kern w:val="0"/>
                <w:szCs w:val="21"/>
                <w:lang w:bidi="ar"/>
              </w:rPr>
              <w:t>精密配电柜软件接口</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24000.00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C</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精密空调接入</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70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精密空调接入软件开发</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由设备供应商提供接口和协议</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按设备的型号接入</w:t>
            </w:r>
            <w:r>
              <w:rPr>
                <w:rFonts w:ascii="Times New Roman" w:hAnsi="Times New Roman" w:eastAsia="宋体" w:cs="Times New Roman"/>
                <w:color w:val="auto"/>
                <w:kern w:val="0"/>
                <w:szCs w:val="21"/>
                <w:lang w:bidi="ar"/>
              </w:rPr>
              <w:t xml:space="preserve">  </w:t>
            </w:r>
            <w:r>
              <w:rPr>
                <w:rFonts w:hint="eastAsia" w:ascii="宋体" w:hAnsi="宋体" w:eastAsia="宋体" w:cs="宋体"/>
                <w:color w:val="auto"/>
                <w:kern w:val="0"/>
                <w:szCs w:val="21"/>
                <w:lang w:bidi="ar"/>
              </w:rPr>
              <w:t>精密空调软件接口</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21000.00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D</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b/>
                <w:color w:val="auto"/>
                <w:szCs w:val="21"/>
              </w:rPr>
            </w:pPr>
            <w:r>
              <w:rPr>
                <w:rStyle w:val="43"/>
                <w:rFonts w:eastAsia="宋体"/>
                <w:color w:val="auto"/>
                <w:sz w:val="21"/>
                <w:szCs w:val="21"/>
                <w:lang w:bidi="ar"/>
              </w:rPr>
              <w:t>UPS</w:t>
            </w:r>
            <w:r>
              <w:rPr>
                <w:rFonts w:hint="eastAsia" w:ascii="宋体" w:hAnsi="宋体" w:eastAsia="宋体" w:cs="宋体"/>
                <w:b/>
                <w:color w:val="auto"/>
                <w:kern w:val="0"/>
                <w:szCs w:val="21"/>
                <w:lang w:bidi="ar"/>
              </w:rPr>
              <w:t>主机接入</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9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UPS</w:t>
            </w:r>
            <w:r>
              <w:rPr>
                <w:rStyle w:val="51"/>
                <w:rFonts w:hint="default"/>
                <w:color w:val="auto"/>
                <w:sz w:val="21"/>
                <w:szCs w:val="21"/>
                <w:lang w:bidi="ar"/>
              </w:rPr>
              <w:t>接入软件开发</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由设备供应商提供接口和协议</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按设备的型号接入</w:t>
            </w:r>
            <w:r>
              <w:rPr>
                <w:rFonts w:ascii="Times New Roman" w:hAnsi="Times New Roman" w:eastAsia="宋体" w:cs="Times New Roman"/>
                <w:color w:val="auto"/>
                <w:kern w:val="0"/>
                <w:szCs w:val="21"/>
                <w:lang w:bidi="ar"/>
              </w:rPr>
              <w:t xml:space="preserve">  UPS</w:t>
            </w:r>
            <w:r>
              <w:rPr>
                <w:rFonts w:hint="eastAsia" w:ascii="宋体" w:hAnsi="宋体" w:eastAsia="宋体" w:cs="宋体"/>
                <w:color w:val="auto"/>
                <w:kern w:val="0"/>
                <w:szCs w:val="21"/>
                <w:lang w:bidi="ar"/>
              </w:rPr>
              <w:t>软件接口</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D</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温湿度监控</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温湿度传感器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带</w:t>
            </w:r>
            <w:r>
              <w:rPr>
                <w:rFonts w:ascii="Times New Roman" w:hAnsi="Times New Roman" w:eastAsia="宋体" w:cs="Times New Roman"/>
                <w:color w:val="auto"/>
                <w:kern w:val="0"/>
                <w:szCs w:val="21"/>
                <w:lang w:bidi="ar"/>
              </w:rPr>
              <w:t>LCD</w:t>
            </w:r>
            <w:r>
              <w:rPr>
                <w:rFonts w:hint="eastAsia" w:ascii="宋体" w:hAnsi="宋体" w:eastAsia="宋体" w:cs="宋体"/>
                <w:color w:val="auto"/>
                <w:kern w:val="0"/>
                <w:szCs w:val="21"/>
                <w:lang w:bidi="ar"/>
              </w:rPr>
              <w:t>，支持级联</w:t>
            </w:r>
            <w:r>
              <w:rPr>
                <w:rFonts w:ascii="Times New Roman" w:hAnsi="Times New Roman" w:eastAsia="宋体" w:cs="Times New Roman"/>
                <w:color w:val="auto"/>
                <w:kern w:val="0"/>
                <w:szCs w:val="21"/>
                <w:lang w:bidi="ar"/>
              </w:rPr>
              <w:t xml:space="preserve"> </w:t>
            </w:r>
            <w:r>
              <w:rPr>
                <w:rFonts w:hint="eastAsia" w:ascii="宋体" w:hAnsi="宋体" w:eastAsia="宋体" w:cs="宋体"/>
                <w:color w:val="auto"/>
                <w:kern w:val="0"/>
                <w:szCs w:val="21"/>
                <w:lang w:bidi="ar"/>
              </w:rPr>
              <w:t>【含智能电量仪软件接口】</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E</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漏水监控</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6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带式水浸</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带式水浸检测线</w:t>
            </w: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米长【含智能电量仪软件接口】</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14000.00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F</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spacing w:val="-11"/>
                <w:kern w:val="0"/>
                <w:szCs w:val="21"/>
                <w:lang w:bidi="ar"/>
              </w:rPr>
              <w:t>集中监控系统配置</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3505" w:hRule="atLeast"/>
          <w:jc w:val="center"/>
        </w:trPr>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监控主机及管理系统</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服务器配置：机架式</w:t>
            </w:r>
            <w:r>
              <w:rPr>
                <w:rFonts w:ascii="Times New Roman" w:hAnsi="Times New Roman" w:eastAsia="宋体" w:cs="Times New Roman"/>
                <w:color w:val="auto"/>
                <w:kern w:val="0"/>
                <w:szCs w:val="21"/>
                <w:lang w:bidi="ar"/>
              </w:rPr>
              <w:t>1U</w:t>
            </w:r>
            <w:r>
              <w:rPr>
                <w:rFonts w:hint="eastAsia" w:ascii="宋体" w:hAnsi="宋体" w:eastAsia="宋体" w:cs="宋体"/>
                <w:color w:val="auto"/>
                <w:kern w:val="0"/>
                <w:szCs w:val="21"/>
                <w:lang w:bidi="ar"/>
              </w:rPr>
              <w:t>、服务器</w:t>
            </w:r>
            <w:r>
              <w:rPr>
                <w:rFonts w:ascii="Times New Roman" w:hAnsi="Times New Roman" w:eastAsia="宋体" w:cs="Times New Roman"/>
                <w:color w:val="auto"/>
                <w:kern w:val="0"/>
                <w:szCs w:val="21"/>
                <w:lang w:bidi="ar"/>
              </w:rPr>
              <w:t>Intel® Xeon® e4426G</w:t>
            </w:r>
            <w:r>
              <w:rPr>
                <w:rFonts w:hint="eastAsia" w:ascii="宋体" w:hAnsi="宋体" w:eastAsia="宋体" w:cs="宋体"/>
                <w:color w:val="auto"/>
                <w:kern w:val="0"/>
                <w:szCs w:val="21"/>
                <w:lang w:bidi="ar"/>
              </w:rPr>
              <w:t>处理器、内存≥</w:t>
            </w:r>
            <w:r>
              <w:rPr>
                <w:rFonts w:ascii="Times New Roman" w:hAnsi="Times New Roman" w:eastAsia="宋体" w:cs="Times New Roman"/>
                <w:color w:val="auto"/>
                <w:kern w:val="0"/>
                <w:szCs w:val="21"/>
                <w:lang w:bidi="ar"/>
              </w:rPr>
              <w:t>16GB</w:t>
            </w:r>
            <w:r>
              <w:rPr>
                <w:rFonts w:hint="eastAsia" w:ascii="宋体" w:hAnsi="宋体" w:eastAsia="宋体" w:cs="宋体"/>
                <w:color w:val="auto"/>
                <w:kern w:val="0"/>
                <w:szCs w:val="21"/>
                <w:lang w:bidi="ar"/>
              </w:rPr>
              <w:t>、功率</w:t>
            </w:r>
            <w:r>
              <w:rPr>
                <w:rFonts w:ascii="Times New Roman" w:hAnsi="Times New Roman" w:eastAsia="宋体" w:cs="Times New Roman"/>
                <w:color w:val="auto"/>
                <w:kern w:val="0"/>
                <w:szCs w:val="21"/>
                <w:lang w:bidi="ar"/>
              </w:rPr>
              <w:t>500W ,100V~240V</w:t>
            </w:r>
            <w:r>
              <w:rPr>
                <w:rFonts w:hint="eastAsia" w:ascii="宋体" w:hAnsi="宋体" w:eastAsia="宋体" w:cs="宋体"/>
                <w:color w:val="auto"/>
                <w:kern w:val="0"/>
                <w:szCs w:val="21"/>
                <w:lang w:bidi="ar"/>
              </w:rPr>
              <w:t>交流自适应、硬盘≥</w:t>
            </w:r>
            <w:r>
              <w:rPr>
                <w:rFonts w:ascii="Times New Roman" w:hAnsi="Times New Roman" w:eastAsia="宋体" w:cs="Times New Roman"/>
                <w:color w:val="auto"/>
                <w:kern w:val="0"/>
                <w:szCs w:val="21"/>
                <w:lang w:bidi="ar"/>
              </w:rPr>
              <w:t>2T</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 xml:space="preserve">   1</w:t>
            </w:r>
            <w:r>
              <w:rPr>
                <w:rFonts w:hint="eastAsia" w:ascii="宋体" w:hAnsi="宋体" w:eastAsia="宋体" w:cs="宋体"/>
                <w:color w:val="auto"/>
                <w:kern w:val="0"/>
                <w:szCs w:val="21"/>
                <w:lang w:bidi="ar"/>
              </w:rPr>
              <w:t>、系统一般要求模块化结构设计：所有监控单元需采用模块化设计，系统扩容维护方便，采用</w:t>
            </w:r>
            <w:r>
              <w:rPr>
                <w:rFonts w:ascii="Times New Roman" w:hAnsi="Times New Roman" w:eastAsia="宋体" w:cs="Times New Roman"/>
                <w:color w:val="auto"/>
                <w:kern w:val="0"/>
                <w:szCs w:val="21"/>
                <w:lang w:bidi="ar"/>
              </w:rPr>
              <w:t>B/S</w:t>
            </w:r>
            <w:r>
              <w:rPr>
                <w:rFonts w:hint="eastAsia" w:ascii="宋体" w:hAnsi="宋体" w:eastAsia="宋体" w:cs="宋体"/>
                <w:color w:val="auto"/>
                <w:kern w:val="0"/>
                <w:szCs w:val="21"/>
                <w:lang w:bidi="ar"/>
              </w:rPr>
              <w:t>架构，不需要安装任何客户端软件，安全可靠。</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系统高可靠性：能够</w:t>
            </w:r>
            <w:r>
              <w:rPr>
                <w:rFonts w:ascii="Times New Roman" w:hAnsi="Times New Roman" w:eastAsia="宋体" w:cs="Times New Roman"/>
                <w:color w:val="auto"/>
                <w:kern w:val="0"/>
                <w:szCs w:val="21"/>
                <w:lang w:bidi="ar"/>
              </w:rPr>
              <w:t>7×24×365</w:t>
            </w:r>
            <w:r>
              <w:rPr>
                <w:rFonts w:hint="eastAsia" w:ascii="宋体" w:hAnsi="宋体" w:eastAsia="宋体" w:cs="宋体"/>
                <w:color w:val="auto"/>
                <w:kern w:val="0"/>
                <w:szCs w:val="21"/>
                <w:lang w:bidi="ar"/>
              </w:rPr>
              <w:t>不间断地连续工作，平均无故障时间</w:t>
            </w:r>
            <w:r>
              <w:rPr>
                <w:rFonts w:ascii="Times New Roman" w:hAnsi="Times New Roman" w:eastAsia="宋体" w:cs="Times New Roman"/>
                <w:color w:val="auto"/>
                <w:kern w:val="0"/>
                <w:szCs w:val="21"/>
                <w:lang w:bidi="ar"/>
              </w:rPr>
              <w:t>(MTBF)</w:t>
            </w:r>
            <w:r>
              <w:rPr>
                <w:rFonts w:hint="eastAsia" w:ascii="宋体" w:hAnsi="宋体" w:eastAsia="宋体" w:cs="宋体"/>
                <w:color w:val="auto"/>
                <w:kern w:val="0"/>
                <w:szCs w:val="21"/>
                <w:lang w:bidi="ar"/>
              </w:rPr>
              <w:t>大于</w:t>
            </w:r>
            <w:r>
              <w:rPr>
                <w:rFonts w:ascii="Times New Roman" w:hAnsi="Times New Roman" w:eastAsia="宋体" w:cs="Times New Roman"/>
                <w:color w:val="auto"/>
                <w:kern w:val="0"/>
                <w:szCs w:val="21"/>
                <w:lang w:bidi="ar"/>
              </w:rPr>
              <w:t>20</w:t>
            </w:r>
            <w:r>
              <w:rPr>
                <w:rFonts w:hint="eastAsia" w:ascii="宋体" w:hAnsi="宋体" w:eastAsia="宋体" w:cs="宋体"/>
                <w:color w:val="auto"/>
                <w:kern w:val="0"/>
                <w:szCs w:val="21"/>
                <w:lang w:bidi="ar"/>
              </w:rPr>
              <w:t>万小时，平均修复时间</w:t>
            </w:r>
            <w:r>
              <w:rPr>
                <w:rFonts w:ascii="Times New Roman" w:hAnsi="Times New Roman" w:eastAsia="宋体" w:cs="Times New Roman"/>
                <w:color w:val="auto"/>
                <w:kern w:val="0"/>
                <w:szCs w:val="21"/>
                <w:lang w:bidi="ar"/>
              </w:rPr>
              <w:t>(MTTR)</w:t>
            </w:r>
            <w:r>
              <w:rPr>
                <w:rFonts w:hint="eastAsia" w:ascii="宋体" w:hAnsi="宋体" w:eastAsia="宋体" w:cs="宋体"/>
                <w:color w:val="auto"/>
                <w:kern w:val="0"/>
                <w:szCs w:val="21"/>
                <w:lang w:bidi="ar"/>
              </w:rPr>
              <w:t>小于</w:t>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小时。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系统安全性控制：服务器应采用</w:t>
            </w:r>
            <w:r>
              <w:rPr>
                <w:rFonts w:ascii="Times New Roman" w:hAnsi="Times New Roman" w:eastAsia="宋体" w:cs="Times New Roman"/>
                <w:color w:val="auto"/>
                <w:kern w:val="0"/>
                <w:szCs w:val="21"/>
                <w:lang w:bidi="ar"/>
              </w:rPr>
              <w:t>Linux</w:t>
            </w:r>
            <w:r>
              <w:rPr>
                <w:rFonts w:hint="eastAsia" w:ascii="宋体" w:hAnsi="宋体" w:eastAsia="宋体" w:cs="宋体"/>
                <w:color w:val="auto"/>
                <w:kern w:val="0"/>
                <w:szCs w:val="21"/>
                <w:lang w:bidi="ar"/>
              </w:rPr>
              <w:t>操作系统，系统稳定可靠，不易受到病毒感染和黑客攻击。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用户权限管理：支持对所有操作人员按其工作性质分配不同的权限，并有完善的密码管理功能，有效的保证系统及数据的安全。</w:t>
            </w:r>
            <w:r>
              <w:rPr>
                <w:rFonts w:hint="eastAsia" w:ascii="宋体" w:hAnsi="宋体" w:eastAsia="宋体" w:cs="宋体"/>
                <w:color w:val="auto"/>
                <w:kern w:val="0"/>
                <w:szCs w:val="21"/>
                <w:lang w:bidi="ar"/>
              </w:rPr>
              <w:br w:type="textWrapping"/>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、监控服务器要求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机架式</w:t>
            </w:r>
            <w:r>
              <w:rPr>
                <w:rFonts w:ascii="Times New Roman" w:hAnsi="Times New Roman" w:eastAsia="宋体" w:cs="Times New Roman"/>
                <w:color w:val="auto"/>
                <w:kern w:val="0"/>
                <w:szCs w:val="21"/>
                <w:lang w:bidi="ar"/>
              </w:rPr>
              <w:t>1U</w:t>
            </w:r>
            <w:r>
              <w:rPr>
                <w:rFonts w:hint="eastAsia" w:ascii="宋体" w:hAnsi="宋体" w:eastAsia="宋体" w:cs="宋体"/>
                <w:color w:val="auto"/>
                <w:kern w:val="0"/>
                <w:szCs w:val="21"/>
                <w:lang w:bidi="ar"/>
              </w:rPr>
              <w:t>、服务器</w:t>
            </w:r>
            <w:r>
              <w:rPr>
                <w:rFonts w:ascii="Times New Roman" w:hAnsi="Times New Roman" w:eastAsia="宋体" w:cs="Times New Roman"/>
                <w:color w:val="auto"/>
                <w:kern w:val="0"/>
                <w:szCs w:val="21"/>
                <w:lang w:bidi="ar"/>
              </w:rPr>
              <w:t>8</w:t>
            </w:r>
            <w:r>
              <w:rPr>
                <w:rFonts w:hint="eastAsia" w:ascii="宋体" w:hAnsi="宋体" w:eastAsia="宋体" w:cs="宋体"/>
                <w:color w:val="auto"/>
                <w:kern w:val="0"/>
                <w:szCs w:val="21"/>
                <w:lang w:bidi="ar"/>
              </w:rPr>
              <w:t>核</w:t>
            </w:r>
            <w:r>
              <w:rPr>
                <w:rFonts w:ascii="Times New Roman" w:hAnsi="Times New Roman" w:eastAsia="宋体" w:cs="Times New Roman"/>
                <w:color w:val="auto"/>
                <w:kern w:val="0"/>
                <w:szCs w:val="21"/>
                <w:lang w:bidi="ar"/>
              </w:rPr>
              <w:t>Intel® Xeon® 3400</w:t>
            </w:r>
            <w:r>
              <w:rPr>
                <w:rFonts w:hint="eastAsia" w:ascii="宋体" w:hAnsi="宋体" w:eastAsia="宋体" w:cs="宋体"/>
                <w:color w:val="auto"/>
                <w:kern w:val="0"/>
                <w:szCs w:val="21"/>
                <w:lang w:bidi="ar"/>
              </w:rPr>
              <w:t>系列或更高性能处理器、内存≥</w:t>
            </w:r>
            <w:r>
              <w:rPr>
                <w:rFonts w:ascii="Times New Roman" w:hAnsi="Times New Roman" w:eastAsia="宋体" w:cs="Times New Roman"/>
                <w:color w:val="auto"/>
                <w:kern w:val="0"/>
                <w:szCs w:val="21"/>
                <w:lang w:bidi="ar"/>
              </w:rPr>
              <w:t>16GB</w:t>
            </w:r>
            <w:r>
              <w:rPr>
                <w:rFonts w:hint="eastAsia" w:ascii="宋体" w:hAnsi="宋体" w:eastAsia="宋体" w:cs="宋体"/>
                <w:color w:val="auto"/>
                <w:kern w:val="0"/>
                <w:szCs w:val="21"/>
                <w:lang w:bidi="ar"/>
              </w:rPr>
              <w:t>、功率</w:t>
            </w:r>
            <w:r>
              <w:rPr>
                <w:rFonts w:ascii="Times New Roman" w:hAnsi="Times New Roman" w:eastAsia="宋体" w:cs="Times New Roman"/>
                <w:color w:val="auto"/>
                <w:kern w:val="0"/>
                <w:szCs w:val="21"/>
                <w:lang w:bidi="ar"/>
              </w:rPr>
              <w:t>500W ,100V~240V</w:t>
            </w:r>
            <w:r>
              <w:rPr>
                <w:rFonts w:hint="eastAsia" w:ascii="宋体" w:hAnsi="宋体" w:eastAsia="宋体" w:cs="宋体"/>
                <w:color w:val="auto"/>
                <w:kern w:val="0"/>
                <w:szCs w:val="21"/>
                <w:lang w:bidi="ar"/>
              </w:rPr>
              <w:t>交流自适应、硬盘≥</w:t>
            </w:r>
            <w:r>
              <w:rPr>
                <w:rFonts w:ascii="Times New Roman" w:hAnsi="Times New Roman" w:eastAsia="宋体" w:cs="Times New Roman"/>
                <w:color w:val="auto"/>
                <w:kern w:val="0"/>
                <w:szCs w:val="21"/>
                <w:lang w:bidi="ar"/>
              </w:rPr>
              <w:t>2T</w:t>
            </w:r>
            <w:r>
              <w:rPr>
                <w:rFonts w:hint="eastAsia" w:ascii="宋体" w:hAnsi="宋体" w:eastAsia="宋体" w:cs="宋体"/>
                <w:color w:val="auto"/>
                <w:kern w:val="0"/>
                <w:szCs w:val="21"/>
                <w:lang w:bidi="ar"/>
              </w:rPr>
              <w:t>。</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订制</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250000.00</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250000.00</w:t>
            </w:r>
          </w:p>
        </w:tc>
      </w:tr>
      <w:tr>
        <w:tblPrEx>
          <w:tblCellMar>
            <w:top w:w="0" w:type="dxa"/>
            <w:left w:w="0" w:type="dxa"/>
            <w:bottom w:w="0" w:type="dxa"/>
            <w:right w:w="0" w:type="dxa"/>
          </w:tblCellMar>
        </w:tblPrEx>
        <w:trPr>
          <w:trHeight w:val="6265" w:hRule="atLeast"/>
          <w:jc w:val="center"/>
        </w:trPr>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rPr>
                <w:rFonts w:ascii="宋体" w:hAnsi="宋体" w:eastAsia="宋体" w:cs="宋体"/>
                <w:color w:val="auto"/>
                <w:szCs w:val="21"/>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r>
              <w:rPr>
                <w:rFonts w:hint="eastAsia" w:ascii="宋体" w:hAnsi="宋体" w:eastAsia="宋体" w:cs="宋体"/>
                <w:color w:val="auto"/>
                <w:kern w:val="0"/>
                <w:szCs w:val="21"/>
                <w:lang w:bidi="ar"/>
              </w:rPr>
              <w:t>、监控界面要求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场地导航：支持通过地图界面，实现场地的快速进入。</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三维主页界面【三维</w:t>
            </w:r>
            <w:r>
              <w:rPr>
                <w:rFonts w:ascii="Times New Roman" w:hAnsi="Times New Roman" w:eastAsia="宋体" w:cs="Times New Roman"/>
                <w:color w:val="auto"/>
                <w:kern w:val="0"/>
                <w:szCs w:val="21"/>
                <w:lang w:bidi="ar"/>
              </w:rPr>
              <w:t>3D</w:t>
            </w:r>
            <w:r>
              <w:rPr>
                <w:rFonts w:hint="eastAsia" w:ascii="宋体" w:hAnsi="宋体" w:eastAsia="宋体" w:cs="宋体"/>
                <w:color w:val="auto"/>
                <w:kern w:val="0"/>
                <w:szCs w:val="21"/>
                <w:lang w:bidi="ar"/>
              </w:rPr>
              <w:t>效果】：三维的形式展现整体机房的效果，</w:t>
            </w:r>
            <w:r>
              <w:rPr>
                <w:rFonts w:ascii="Times New Roman" w:hAnsi="Times New Roman" w:eastAsia="宋体" w:cs="Times New Roman"/>
                <w:color w:val="auto"/>
                <w:kern w:val="0"/>
                <w:szCs w:val="21"/>
                <w:lang w:bidi="ar"/>
              </w:rPr>
              <w:t>3D</w:t>
            </w:r>
            <w:r>
              <w:rPr>
                <w:rFonts w:hint="eastAsia" w:ascii="宋体" w:hAnsi="宋体" w:eastAsia="宋体" w:cs="宋体"/>
                <w:color w:val="auto"/>
                <w:kern w:val="0"/>
                <w:szCs w:val="21"/>
                <w:lang w:bidi="ar"/>
              </w:rPr>
              <w:t>仿真应支持多种视图方式，至少提供正视、俯视、左视和右视五种视图方式。系统应支持以三维的形式展现整体机房的效果，可以做到镜头拉升</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前进</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后退及以</w:t>
            </w:r>
            <w:r>
              <w:rPr>
                <w:rFonts w:ascii="Times New Roman" w:hAnsi="Times New Roman" w:eastAsia="宋体" w:cs="Times New Roman"/>
                <w:color w:val="auto"/>
                <w:kern w:val="0"/>
                <w:szCs w:val="21"/>
                <w:lang w:bidi="ar"/>
              </w:rPr>
              <w:t>360</w:t>
            </w:r>
            <w:r>
              <w:rPr>
                <w:rFonts w:hint="eastAsia" w:ascii="宋体" w:hAnsi="宋体" w:eastAsia="宋体" w:cs="宋体"/>
                <w:color w:val="auto"/>
                <w:kern w:val="0"/>
                <w:szCs w:val="21"/>
                <w:lang w:bidi="ar"/>
              </w:rPr>
              <w:t>旋转方式展示机房及封闭通道。</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可放大缩小</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前进</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后退及以</w:t>
            </w:r>
            <w:r>
              <w:rPr>
                <w:rFonts w:ascii="Times New Roman" w:hAnsi="Times New Roman" w:eastAsia="宋体" w:cs="Times New Roman"/>
                <w:color w:val="auto"/>
                <w:kern w:val="0"/>
                <w:szCs w:val="21"/>
                <w:lang w:bidi="ar"/>
              </w:rPr>
              <w:t>360</w:t>
            </w:r>
            <w:r>
              <w:rPr>
                <w:rFonts w:hint="eastAsia" w:ascii="宋体" w:hAnsi="宋体" w:eastAsia="宋体" w:cs="宋体"/>
                <w:color w:val="auto"/>
                <w:kern w:val="0"/>
                <w:szCs w:val="21"/>
                <w:lang w:bidi="ar"/>
              </w:rPr>
              <w:t>旋转方式展示封闭通道及机房。以图形的方式呈现机房的告警和重要运行参数包括：</w:t>
            </w:r>
            <w:r>
              <w:rPr>
                <w:rFonts w:ascii="Times New Roman" w:hAnsi="Times New Roman" w:eastAsia="宋体" w:cs="Times New Roman"/>
                <w:color w:val="auto"/>
                <w:kern w:val="0"/>
                <w:szCs w:val="21"/>
                <w:lang w:bidi="ar"/>
              </w:rPr>
              <w:t>PUE</w:t>
            </w:r>
            <w:r>
              <w:rPr>
                <w:rFonts w:hint="eastAsia" w:ascii="宋体" w:hAnsi="宋体" w:eastAsia="宋体" w:cs="宋体"/>
                <w:color w:val="auto"/>
                <w:kern w:val="0"/>
                <w:szCs w:val="21"/>
                <w:lang w:bidi="ar"/>
              </w:rPr>
              <w:t>值、能耗情况、温度曲线。如果通道内部有</w:t>
            </w:r>
            <w:r>
              <w:rPr>
                <w:rFonts w:ascii="Times New Roman" w:hAnsi="Times New Roman" w:eastAsia="宋体" w:cs="Times New Roman"/>
                <w:color w:val="auto"/>
                <w:kern w:val="0"/>
                <w:szCs w:val="21"/>
                <w:lang w:bidi="ar"/>
              </w:rPr>
              <w:t>UPS</w:t>
            </w:r>
            <w:r>
              <w:rPr>
                <w:rFonts w:hint="eastAsia" w:ascii="宋体" w:hAnsi="宋体" w:eastAsia="宋体" w:cs="宋体"/>
                <w:color w:val="auto"/>
                <w:kern w:val="0"/>
                <w:szCs w:val="21"/>
                <w:lang w:bidi="ar"/>
              </w:rPr>
              <w:t>、空调等设备，需显示设备的主要运行参数。需提供操作视频及截图证明。</w:t>
            </w:r>
            <w:r>
              <w:rPr>
                <w:rFonts w:hint="eastAsia" w:ascii="宋体" w:hAnsi="宋体" w:eastAsia="宋体" w:cs="宋体"/>
                <w:color w:val="auto"/>
                <w:kern w:val="0"/>
                <w:szCs w:val="21"/>
                <w:lang w:bidi="ar"/>
              </w:rPr>
              <w:br w:type="textWrapping"/>
            </w:r>
            <w:r>
              <w:rPr>
                <w:rFonts w:ascii="Times New Roman" w:hAnsi="Times New Roman" w:eastAsia="宋体" w:cs="Times New Roman"/>
                <w:color w:val="auto"/>
                <w:kern w:val="0"/>
                <w:szCs w:val="21"/>
                <w:lang w:bidi="ar"/>
              </w:rPr>
              <w:t>4</w:t>
            </w:r>
            <w:r>
              <w:rPr>
                <w:rFonts w:hint="eastAsia" w:ascii="宋体" w:hAnsi="宋体" w:eastAsia="宋体" w:cs="宋体"/>
                <w:color w:val="auto"/>
                <w:kern w:val="0"/>
                <w:szCs w:val="21"/>
                <w:lang w:bidi="ar"/>
              </w:rPr>
              <w:t>、门禁管理要求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系统应内置门禁管理模块，实现微模块和机柜门的管理。包括出入浏览、控制和门禁的管理配置。提供各机房出入状况列表，包括刷卡时间、人员、刷卡人信息及头像等信息。选择机房，可对机房的门禁进行远程开门控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系统应提供门禁运行参数配置功能，可对单个和批量门禁运行参数进行设置，配置内容包括卡配置管理、指纹配置管理、门配置管理和门禁准进时段管理等。</w:t>
            </w:r>
            <w:r>
              <w:rPr>
                <w:rFonts w:hint="eastAsia" w:ascii="宋体" w:hAnsi="宋体" w:eastAsia="宋体" w:cs="宋体"/>
                <w:color w:val="auto"/>
                <w:kern w:val="0"/>
                <w:szCs w:val="21"/>
                <w:lang w:bidi="ar"/>
              </w:rPr>
              <w:br w:type="textWrapping"/>
            </w:r>
            <w:r>
              <w:rPr>
                <w:rFonts w:ascii="Times New Roman" w:hAnsi="Times New Roman" w:eastAsia="宋体" w:cs="Times New Roman"/>
                <w:color w:val="auto"/>
                <w:kern w:val="0"/>
                <w:szCs w:val="21"/>
                <w:lang w:bidi="ar"/>
              </w:rPr>
              <w:t>5</w:t>
            </w:r>
            <w:r>
              <w:rPr>
                <w:rFonts w:hint="eastAsia" w:ascii="宋体" w:hAnsi="宋体" w:eastAsia="宋体" w:cs="宋体"/>
                <w:color w:val="auto"/>
                <w:kern w:val="0"/>
                <w:szCs w:val="21"/>
                <w:lang w:bidi="ar"/>
              </w:rPr>
              <w:t>、视频管理要求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视频监控功能，可对连接的</w:t>
            </w:r>
            <w:r>
              <w:rPr>
                <w:rFonts w:ascii="Times New Roman" w:hAnsi="Times New Roman" w:eastAsia="宋体" w:cs="Times New Roman"/>
                <w:color w:val="auto"/>
                <w:kern w:val="0"/>
                <w:szCs w:val="21"/>
                <w:lang w:bidi="ar"/>
              </w:rPr>
              <w:t>NVR</w:t>
            </w:r>
            <w:r>
              <w:rPr>
                <w:rFonts w:hint="eastAsia" w:ascii="宋体" w:hAnsi="宋体" w:eastAsia="宋体" w:cs="宋体"/>
                <w:color w:val="auto"/>
                <w:kern w:val="0"/>
                <w:szCs w:val="21"/>
                <w:lang w:bidi="ar"/>
              </w:rPr>
              <w:t>和摄像机，进行管理。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可实时监视各机房视频信息，应支持多画面分割显示或回放机房多路实时视频，支持一机同屏</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4</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9</w:t>
            </w:r>
            <w:r>
              <w:rPr>
                <w:rFonts w:hint="eastAsia" w:ascii="宋体" w:hAnsi="宋体" w:eastAsia="宋体" w:cs="宋体"/>
                <w:color w:val="auto"/>
                <w:kern w:val="0"/>
                <w:szCs w:val="21"/>
                <w:lang w:bidi="ar"/>
              </w:rPr>
              <w:t>画面等规格画面显示方式。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需提供操作视频及截图证明。</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宋体" w:hAnsi="宋体" w:eastAsia="宋体" w:cs="宋体"/>
                <w:color w:val="auto"/>
                <w:szCs w:val="21"/>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5680" w:hRule="atLeast"/>
          <w:jc w:val="center"/>
        </w:trPr>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rPr>
                <w:rFonts w:ascii="宋体" w:hAnsi="宋体" w:eastAsia="宋体" w:cs="宋体"/>
                <w:color w:val="auto"/>
                <w:szCs w:val="21"/>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r>
              <w:rPr>
                <w:rFonts w:hint="eastAsia" w:ascii="宋体" w:hAnsi="宋体" w:eastAsia="宋体" w:cs="宋体"/>
                <w:color w:val="auto"/>
                <w:kern w:val="0"/>
                <w:szCs w:val="21"/>
                <w:lang w:bidi="ar"/>
              </w:rPr>
              <w:t>、报表管理要求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为更好的使用监控系统的数据，需要提供完善的报表功能。系统内置的报表分为基础报表和分析报告。</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基础报表：应提供历史信号报表、告警记录报表、通知发送记录报表、控制记录报表、门禁刷卡记录报表等报表。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分析报表：支持根据系统数据做进一步的数据处理分析，生成管理类报表。包括空间容量分析报表、关键信号分析报表、设备告警分析报表、站点告警分析报表、告警持续时长分析报表、能耗分析报表。分析报表可根据系统信号和告警做选择。</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需提供操作视频及截图证明。</w:t>
            </w:r>
            <w:r>
              <w:rPr>
                <w:rFonts w:hint="eastAsia" w:ascii="宋体" w:hAnsi="宋体" w:eastAsia="宋体" w:cs="宋体"/>
                <w:color w:val="auto"/>
                <w:kern w:val="0"/>
                <w:szCs w:val="21"/>
                <w:lang w:bidi="ar"/>
              </w:rPr>
              <w:br w:type="textWrapping"/>
            </w:r>
            <w:r>
              <w:rPr>
                <w:rFonts w:ascii="Times New Roman" w:hAnsi="Times New Roman" w:eastAsia="宋体" w:cs="Times New Roman"/>
                <w:color w:val="auto"/>
                <w:kern w:val="0"/>
                <w:szCs w:val="21"/>
                <w:lang w:bidi="ar"/>
              </w:rPr>
              <w:t>7</w:t>
            </w:r>
            <w:r>
              <w:rPr>
                <w:rFonts w:hint="eastAsia" w:ascii="宋体" w:hAnsi="宋体" w:eastAsia="宋体" w:cs="宋体"/>
                <w:color w:val="auto"/>
                <w:kern w:val="0"/>
                <w:szCs w:val="21"/>
                <w:lang w:bidi="ar"/>
              </w:rPr>
              <w:t>、系统管理要求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应支持以下系统功能管理。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配置管理：站点配置、告警联动配置功能。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设备管理：设备监控配置和管理。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日志管理：提供系统各类操作日志，包括：设备告警日志、设备运行日志、用户操作日志、日志数据管理。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系统备份与升级：系统关键数据的备份，恢复与系统本身升级服务。</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时钟同步和系统时间设定：为保证系统的时间准确同步，监控系统的时间以服务器的时间为准，可在服务器上进行全系统的时钟校准。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8</w:t>
            </w:r>
            <w:r>
              <w:rPr>
                <w:rFonts w:hint="eastAsia" w:ascii="宋体" w:hAnsi="宋体" w:eastAsia="宋体" w:cs="宋体"/>
                <w:color w:val="auto"/>
                <w:kern w:val="0"/>
                <w:szCs w:val="21"/>
                <w:lang w:bidi="ar"/>
              </w:rPr>
              <w:t>、需要将原有</w:t>
            </w: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套监控主机及本次</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套冷通道监控主机接入此次此监控服务器，实现统一管理及统一告警。</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宋体" w:hAnsi="宋体" w:eastAsia="宋体" w:cs="宋体"/>
                <w:color w:val="auto"/>
                <w:szCs w:val="21"/>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监控主机系统调试</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由具备原厂商认证资格的工程师进行【含现场采集单元】</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华为配套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30000.00</w:t>
            </w:r>
          </w:p>
        </w:tc>
      </w:tr>
      <w:tr>
        <w:tblPrEx>
          <w:tblCellMar>
            <w:top w:w="0" w:type="dxa"/>
            <w:left w:w="0" w:type="dxa"/>
            <w:bottom w:w="0" w:type="dxa"/>
            <w:right w:w="0" w:type="dxa"/>
          </w:tblCellMar>
        </w:tblPrEx>
        <w:trPr>
          <w:trHeight w:val="67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台式电脑</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23.8英寸窄边显示器/8G内存/1T机械硬盘+256G固态硬盘/核芯显卡/键盘/鼠标</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Optiplex 3070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DELL</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32500.00</w:t>
            </w:r>
          </w:p>
        </w:tc>
      </w:tr>
      <w:tr>
        <w:tblPrEx>
          <w:tblCellMar>
            <w:top w:w="0" w:type="dxa"/>
            <w:left w:w="0" w:type="dxa"/>
            <w:bottom w:w="0" w:type="dxa"/>
            <w:right w:w="0" w:type="dxa"/>
          </w:tblCellMar>
        </w:tblPrEx>
        <w:trPr>
          <w:trHeight w:val="90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笔记本电脑</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15.6英寸屏幕/12G内存/1T机械硬盘+256G固态硬盘/处理器十代酷睿i5-10300H/显卡GTX1650-4G独显/白色背光键盘/高色域 </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Y7000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联想</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25500.00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辅材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含电源线、控制线等等</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安装调试费</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原厂认证工程师安装、调试费</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b/>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b/>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493500.00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12</w:t>
            </w:r>
          </w:p>
        </w:tc>
        <w:tc>
          <w:tcPr>
            <w:tcW w:w="24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KVM</w:t>
            </w:r>
            <w:r>
              <w:rPr>
                <w:rFonts w:hint="eastAsia" w:ascii="宋体" w:hAnsi="宋体" w:eastAsia="宋体" w:cs="宋体"/>
                <w:b/>
                <w:color w:val="auto"/>
                <w:kern w:val="0"/>
                <w:szCs w:val="21"/>
                <w:lang w:bidi="ar"/>
              </w:rPr>
              <w:t>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KVM</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r>
              <w:rPr>
                <w:rFonts w:hint="eastAsia" w:ascii="宋体" w:hAnsi="宋体" w:eastAsia="宋体" w:cs="宋体"/>
                <w:color w:val="auto"/>
                <w:kern w:val="0"/>
                <w:szCs w:val="21"/>
                <w:lang w:bidi="ar"/>
              </w:rPr>
              <w:t>控</w:t>
            </w:r>
            <w:r>
              <w:rPr>
                <w:rFonts w:ascii="Times New Roman" w:hAnsi="Times New Roman" w:eastAsia="宋体" w:cs="Times New Roman"/>
                <w:color w:val="auto"/>
                <w:kern w:val="0"/>
                <w:szCs w:val="21"/>
                <w:lang w:bidi="ar"/>
              </w:rPr>
              <w:t>48</w:t>
            </w:r>
            <w:r>
              <w:rPr>
                <w:rFonts w:hint="eastAsia" w:ascii="宋体" w:hAnsi="宋体" w:eastAsia="宋体" w:cs="宋体"/>
                <w:color w:val="auto"/>
                <w:kern w:val="0"/>
                <w:szCs w:val="21"/>
                <w:lang w:bidi="ar"/>
              </w:rPr>
              <w:t>远程数字</w:t>
            </w:r>
            <w:r>
              <w:rPr>
                <w:rFonts w:ascii="Times New Roman" w:hAnsi="Times New Roman" w:eastAsia="宋体" w:cs="Times New Roman"/>
                <w:color w:val="auto"/>
                <w:kern w:val="0"/>
                <w:szCs w:val="21"/>
                <w:lang w:bidi="ar"/>
              </w:rPr>
              <w:t>KVM</w:t>
            </w:r>
            <w:r>
              <w:rPr>
                <w:rFonts w:hint="eastAsia" w:ascii="宋体" w:hAnsi="宋体" w:eastAsia="宋体" w:cs="宋体"/>
                <w:color w:val="auto"/>
                <w:kern w:val="0"/>
                <w:szCs w:val="21"/>
                <w:lang w:bidi="ar"/>
              </w:rPr>
              <w:t>切换器</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KMD-3248-HZ</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LANBE</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50000.00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250000.00</w:t>
            </w:r>
          </w:p>
        </w:tc>
      </w:tr>
      <w:tr>
        <w:tblPrEx>
          <w:tblCellMar>
            <w:top w:w="0" w:type="dxa"/>
            <w:left w:w="0" w:type="dxa"/>
            <w:bottom w:w="0" w:type="dxa"/>
            <w:right w:w="0" w:type="dxa"/>
          </w:tblCellMar>
        </w:tblPrEx>
        <w:trPr>
          <w:trHeight w:val="51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电脑端模块</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电脑端模块</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Style w:val="50"/>
                <w:rFonts w:ascii="宋体" w:hAnsi="宋体" w:eastAsia="宋体" w:cs="宋体"/>
                <w:color w:val="auto"/>
                <w:sz w:val="21"/>
                <w:szCs w:val="21"/>
                <w:lang w:bidi="ar"/>
              </w:rPr>
              <w:t>KMT-150V</w:t>
            </w:r>
            <w:r>
              <w:rPr>
                <w:rStyle w:val="51"/>
                <w:rFonts w:hint="default"/>
                <w:color w:val="auto"/>
                <w:sz w:val="21"/>
                <w:szCs w:val="21"/>
                <w:lang w:bidi="ar"/>
              </w:rPr>
              <w:t>（</w:t>
            </w:r>
            <w:r>
              <w:rPr>
                <w:rStyle w:val="50"/>
                <w:rFonts w:ascii="宋体" w:hAnsi="宋体" w:eastAsia="宋体" w:cs="宋体"/>
                <w:color w:val="auto"/>
                <w:sz w:val="21"/>
                <w:szCs w:val="21"/>
                <w:lang w:bidi="ar"/>
              </w:rPr>
              <w:t>VGA</w:t>
            </w:r>
            <w:r>
              <w:rPr>
                <w:rStyle w:val="51"/>
                <w:rFonts w:hint="default"/>
                <w:color w:val="auto"/>
                <w:sz w:val="21"/>
                <w:szCs w:val="21"/>
                <w:lang w:bidi="ar"/>
              </w:rPr>
              <w:t>模块）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LANBE</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120000.00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辅材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水晶头、网线等等</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国产</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12</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b/>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372000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网络设备升级</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60" w:hRule="atLeast"/>
          <w:jc w:val="center"/>
        </w:trPr>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核心交换机</w:t>
            </w:r>
          </w:p>
        </w:tc>
        <w:tc>
          <w:tcPr>
            <w:tcW w:w="18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双引擎、</w:t>
            </w:r>
            <w:r>
              <w:rPr>
                <w:rFonts w:ascii="Times New Roman" w:hAnsi="Times New Roman" w:eastAsia="宋体" w:cs="Times New Roman"/>
                <w:color w:val="auto"/>
                <w:kern w:val="0"/>
                <w:szCs w:val="21"/>
                <w:lang w:bidi="ar"/>
              </w:rPr>
              <w:t>N+1</w:t>
            </w:r>
            <w:r>
              <w:rPr>
                <w:rFonts w:hint="eastAsia" w:ascii="宋体" w:hAnsi="宋体" w:eastAsia="宋体" w:cs="宋体"/>
                <w:color w:val="auto"/>
                <w:kern w:val="0"/>
                <w:szCs w:val="21"/>
                <w:lang w:bidi="ar"/>
              </w:rPr>
              <w:t>冗余电源，含多业务板卡，千兆电口≥</w:t>
            </w:r>
            <w:r>
              <w:rPr>
                <w:rFonts w:ascii="Times New Roman" w:hAnsi="Times New Roman" w:eastAsia="宋体" w:cs="Times New Roman"/>
                <w:color w:val="auto"/>
                <w:kern w:val="0"/>
                <w:szCs w:val="21"/>
                <w:lang w:bidi="ar"/>
              </w:rPr>
              <w:t>48,</w:t>
            </w:r>
            <w:r>
              <w:rPr>
                <w:rFonts w:hint="eastAsia" w:ascii="宋体" w:hAnsi="宋体" w:eastAsia="宋体" w:cs="宋体"/>
                <w:color w:val="auto"/>
                <w:kern w:val="0"/>
                <w:szCs w:val="21"/>
                <w:lang w:bidi="ar"/>
              </w:rPr>
              <w:t>万兆接口≥</w:t>
            </w:r>
            <w:r>
              <w:rPr>
                <w:rFonts w:ascii="Times New Roman" w:hAnsi="Times New Roman" w:eastAsia="宋体" w:cs="Times New Roman"/>
                <w:color w:val="auto"/>
                <w:kern w:val="0"/>
                <w:szCs w:val="21"/>
                <w:lang w:bidi="ar"/>
              </w:rPr>
              <w:t>96</w:t>
            </w:r>
            <w:r>
              <w:rPr>
                <w:rFonts w:hint="eastAsia" w:ascii="宋体" w:hAnsi="宋体" w:eastAsia="宋体" w:cs="宋体"/>
                <w:color w:val="auto"/>
                <w:kern w:val="0"/>
                <w:szCs w:val="21"/>
                <w:lang w:bidi="ar"/>
              </w:rPr>
              <w:t>，交换网板≥</w:t>
            </w:r>
            <w:r>
              <w:rPr>
                <w:rFonts w:ascii="Times New Roman" w:hAnsi="Times New Roman" w:eastAsia="宋体" w:cs="Times New Roman"/>
                <w:color w:val="auto"/>
                <w:kern w:val="0"/>
                <w:szCs w:val="21"/>
                <w:lang w:bidi="ar"/>
              </w:rPr>
              <w:t>6</w:t>
            </w:r>
            <w:r>
              <w:rPr>
                <w:rFonts w:hint="eastAsia" w:ascii="宋体" w:hAnsi="宋体" w:eastAsia="宋体" w:cs="宋体"/>
                <w:color w:val="auto"/>
                <w:kern w:val="0"/>
                <w:szCs w:val="21"/>
                <w:lang w:bidi="ar"/>
              </w:rPr>
              <w:t>块，电源、风扇（前后风道）</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支持端口镜像和流镜像功能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支持端口聚合、端口隔离、端口镜像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w:t>
            </w:r>
            <w:r>
              <w:rPr>
                <w:rFonts w:ascii="Times New Roman" w:hAnsi="Times New Roman" w:eastAsia="宋体" w:cs="Times New Roman"/>
                <w:color w:val="auto"/>
                <w:kern w:val="0"/>
                <w:szCs w:val="21"/>
                <w:lang w:bidi="ar"/>
              </w:rPr>
              <w:t>802.1d(STP)/802.1w(RSTP)/802.1s(MSTP)</w:t>
            </w:r>
            <w:r>
              <w:rPr>
                <w:rFonts w:ascii="Times New Roman" w:hAnsi="Times New Roman" w:eastAsia="宋体" w:cs="Times New Roman"/>
                <w:color w:val="auto"/>
                <w:kern w:val="0"/>
                <w:szCs w:val="21"/>
                <w:lang w:bidi="ar"/>
              </w:rPr>
              <w:br w:type="textWrapping"/>
            </w:r>
            <w:r>
              <w:rPr>
                <w:rFonts w:hint="eastAsia" w:ascii="宋体" w:hAnsi="宋体" w:eastAsia="宋体" w:cs="宋体"/>
                <w:color w:val="auto"/>
                <w:kern w:val="0"/>
                <w:szCs w:val="21"/>
                <w:lang w:bidi="ar"/>
              </w:rPr>
              <w:t>支持</w:t>
            </w:r>
            <w:r>
              <w:rPr>
                <w:rFonts w:ascii="Times New Roman" w:hAnsi="Times New Roman" w:eastAsia="宋体" w:cs="Times New Roman"/>
                <w:color w:val="auto"/>
                <w:kern w:val="0"/>
                <w:szCs w:val="21"/>
                <w:lang w:bidi="ar"/>
              </w:rPr>
              <w:t>IEEE 802.3ad</w:t>
            </w:r>
            <w:r>
              <w:rPr>
                <w:rFonts w:hint="eastAsia" w:ascii="宋体" w:hAnsi="宋体" w:eastAsia="宋体" w:cs="宋体"/>
                <w:color w:val="auto"/>
                <w:kern w:val="0"/>
                <w:szCs w:val="21"/>
                <w:lang w:bidi="ar"/>
              </w:rPr>
              <w:t>（动态链路聚合）、静态端口聚合和跨板链路聚合</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支持静态路由、</w:t>
            </w:r>
            <w:r>
              <w:rPr>
                <w:rFonts w:ascii="Times New Roman" w:hAnsi="Times New Roman" w:eastAsia="宋体" w:cs="Times New Roman"/>
                <w:color w:val="auto"/>
                <w:kern w:val="0"/>
                <w:szCs w:val="21"/>
                <w:lang w:bidi="ar"/>
              </w:rPr>
              <w:t>RIP</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OSPF</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IS-IS</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BGP4</w:t>
            </w:r>
            <w:r>
              <w:rPr>
                <w:rFonts w:hint="eastAsia" w:ascii="宋体" w:hAnsi="宋体" w:eastAsia="宋体" w:cs="宋体"/>
                <w:color w:val="auto"/>
                <w:kern w:val="0"/>
                <w:szCs w:val="21"/>
                <w:lang w:bidi="ar"/>
              </w:rPr>
              <w:t>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w:t>
            </w:r>
            <w:r>
              <w:rPr>
                <w:rFonts w:ascii="Times New Roman" w:hAnsi="Times New Roman" w:eastAsia="宋体" w:cs="Times New Roman"/>
                <w:color w:val="auto"/>
                <w:kern w:val="0"/>
                <w:szCs w:val="21"/>
                <w:lang w:bidi="ar"/>
              </w:rPr>
              <w:t>IPv4</w:t>
            </w:r>
            <w:r>
              <w:rPr>
                <w:rFonts w:hint="eastAsia" w:ascii="宋体" w:hAnsi="宋体" w:eastAsia="宋体" w:cs="宋体"/>
                <w:color w:val="auto"/>
                <w:kern w:val="0"/>
                <w:szCs w:val="21"/>
                <w:lang w:bidi="ar"/>
              </w:rPr>
              <w:t>和</w:t>
            </w:r>
            <w:r>
              <w:rPr>
                <w:rFonts w:ascii="Times New Roman" w:hAnsi="Times New Roman" w:eastAsia="宋体" w:cs="Times New Roman"/>
                <w:color w:val="auto"/>
                <w:kern w:val="0"/>
                <w:szCs w:val="21"/>
                <w:lang w:bidi="ar"/>
              </w:rPr>
              <w:t>IPv6</w:t>
            </w:r>
            <w:r>
              <w:rPr>
                <w:rFonts w:hint="eastAsia" w:ascii="宋体" w:hAnsi="宋体" w:eastAsia="宋体" w:cs="宋体"/>
                <w:color w:val="auto"/>
                <w:kern w:val="0"/>
                <w:szCs w:val="21"/>
                <w:lang w:bidi="ar"/>
              </w:rPr>
              <w:t>双协议栈</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w:t>
            </w:r>
            <w:r>
              <w:rPr>
                <w:rFonts w:ascii="Times New Roman" w:hAnsi="Times New Roman" w:eastAsia="宋体" w:cs="Times New Roman"/>
                <w:color w:val="auto"/>
                <w:kern w:val="0"/>
                <w:szCs w:val="21"/>
                <w:lang w:bidi="ar"/>
              </w:rPr>
              <w:t>IPv6</w:t>
            </w:r>
            <w:r>
              <w:rPr>
                <w:rFonts w:hint="eastAsia" w:ascii="宋体" w:hAnsi="宋体" w:eastAsia="宋体" w:cs="宋体"/>
                <w:color w:val="auto"/>
                <w:kern w:val="0"/>
                <w:szCs w:val="21"/>
                <w:lang w:bidi="ar"/>
              </w:rPr>
              <w:t>静态路由、</w:t>
            </w:r>
            <w:r>
              <w:rPr>
                <w:rFonts w:ascii="Times New Roman" w:hAnsi="Times New Roman" w:eastAsia="宋体" w:cs="Times New Roman"/>
                <w:color w:val="auto"/>
                <w:kern w:val="0"/>
                <w:szCs w:val="21"/>
                <w:lang w:bidi="ar"/>
              </w:rPr>
              <w:t>RIPng</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OSPFv3</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IS-ISv6</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BGP4+</w:t>
            </w:r>
            <w:r>
              <w:rPr>
                <w:rFonts w:ascii="Times New Roman" w:hAnsi="Times New Roman" w:eastAsia="宋体" w:cs="Times New Roman"/>
                <w:color w:val="auto"/>
                <w:kern w:val="0"/>
                <w:szCs w:val="21"/>
                <w:lang w:bidi="ar"/>
              </w:rPr>
              <w:br w:type="textWrapping"/>
            </w:r>
            <w:r>
              <w:rPr>
                <w:rFonts w:hint="eastAsia" w:ascii="宋体" w:hAnsi="宋体" w:eastAsia="宋体" w:cs="宋体"/>
                <w:color w:val="auto"/>
                <w:kern w:val="0"/>
                <w:szCs w:val="21"/>
                <w:lang w:bidi="ar"/>
              </w:rPr>
              <w:t>支持</w:t>
            </w:r>
            <w:r>
              <w:rPr>
                <w:rFonts w:ascii="Times New Roman" w:hAnsi="Times New Roman" w:eastAsia="宋体" w:cs="Times New Roman"/>
                <w:color w:val="auto"/>
                <w:kern w:val="0"/>
                <w:szCs w:val="21"/>
                <w:lang w:bidi="ar"/>
              </w:rPr>
              <w:t>IPv4</w:t>
            </w:r>
            <w:r>
              <w:rPr>
                <w:rFonts w:hint="eastAsia" w:ascii="宋体" w:hAnsi="宋体" w:eastAsia="宋体" w:cs="宋体"/>
                <w:color w:val="auto"/>
                <w:kern w:val="0"/>
                <w:szCs w:val="21"/>
                <w:lang w:bidi="ar"/>
              </w:rPr>
              <w:t>向</w:t>
            </w:r>
            <w:r>
              <w:rPr>
                <w:rFonts w:ascii="Times New Roman" w:hAnsi="Times New Roman" w:eastAsia="宋体" w:cs="Times New Roman"/>
                <w:color w:val="auto"/>
                <w:kern w:val="0"/>
                <w:szCs w:val="21"/>
                <w:lang w:bidi="ar"/>
              </w:rPr>
              <w:t>IPv6</w:t>
            </w:r>
            <w:r>
              <w:rPr>
                <w:rFonts w:hint="eastAsia" w:ascii="宋体" w:hAnsi="宋体" w:eastAsia="宋体" w:cs="宋体"/>
                <w:color w:val="auto"/>
                <w:kern w:val="0"/>
                <w:szCs w:val="21"/>
                <w:lang w:bidi="ar"/>
              </w:rPr>
              <w:t>的过渡技术，包括：</w:t>
            </w:r>
            <w:r>
              <w:rPr>
                <w:rFonts w:ascii="Times New Roman" w:hAnsi="Times New Roman" w:eastAsia="宋体" w:cs="Times New Roman"/>
                <w:color w:val="auto"/>
                <w:kern w:val="0"/>
                <w:szCs w:val="21"/>
                <w:lang w:bidi="ar"/>
              </w:rPr>
              <w:t>IPv6</w:t>
            </w:r>
            <w:r>
              <w:rPr>
                <w:rFonts w:hint="eastAsia" w:ascii="宋体" w:hAnsi="宋体" w:eastAsia="宋体" w:cs="宋体"/>
                <w:color w:val="auto"/>
                <w:kern w:val="0"/>
                <w:szCs w:val="21"/>
                <w:lang w:bidi="ar"/>
              </w:rPr>
              <w:t>手工隧道、</w:t>
            </w:r>
            <w:r>
              <w:rPr>
                <w:rFonts w:ascii="Times New Roman" w:hAnsi="Times New Roman" w:eastAsia="宋体" w:cs="Times New Roman"/>
                <w:color w:val="auto"/>
                <w:kern w:val="0"/>
                <w:szCs w:val="21"/>
                <w:lang w:bidi="ar"/>
              </w:rPr>
              <w:t>6to4</w:t>
            </w:r>
            <w:r>
              <w:rPr>
                <w:rFonts w:hint="eastAsia" w:ascii="宋体" w:hAnsi="宋体" w:eastAsia="宋体" w:cs="宋体"/>
                <w:color w:val="auto"/>
                <w:kern w:val="0"/>
                <w:szCs w:val="21"/>
                <w:lang w:bidi="ar"/>
              </w:rPr>
              <w:t>隧道、</w:t>
            </w:r>
            <w:r>
              <w:rPr>
                <w:rFonts w:ascii="Times New Roman" w:hAnsi="Times New Roman" w:eastAsia="宋体" w:cs="Times New Roman"/>
                <w:color w:val="auto"/>
                <w:kern w:val="0"/>
                <w:szCs w:val="21"/>
                <w:lang w:bidi="ar"/>
              </w:rPr>
              <w:t>ISATAP</w:t>
            </w:r>
            <w:r>
              <w:rPr>
                <w:rFonts w:hint="eastAsia" w:ascii="宋体" w:hAnsi="宋体" w:eastAsia="宋体" w:cs="宋体"/>
                <w:color w:val="auto"/>
                <w:kern w:val="0"/>
                <w:szCs w:val="21"/>
                <w:lang w:bidi="ar"/>
              </w:rPr>
              <w:t>隧道、</w:t>
            </w:r>
            <w:r>
              <w:rPr>
                <w:rFonts w:ascii="Times New Roman" w:hAnsi="Times New Roman" w:eastAsia="宋体" w:cs="Times New Roman"/>
                <w:color w:val="auto"/>
                <w:kern w:val="0"/>
                <w:szCs w:val="21"/>
                <w:lang w:bidi="ar"/>
              </w:rPr>
              <w:t>GRE</w:t>
            </w:r>
            <w:r>
              <w:rPr>
                <w:rFonts w:hint="eastAsia" w:ascii="宋体" w:hAnsi="宋体" w:eastAsia="宋体" w:cs="宋体"/>
                <w:color w:val="auto"/>
                <w:kern w:val="0"/>
                <w:szCs w:val="21"/>
                <w:lang w:bidi="ar"/>
              </w:rPr>
              <w:t>隧道、</w:t>
            </w:r>
            <w:r>
              <w:rPr>
                <w:rFonts w:ascii="Times New Roman" w:hAnsi="Times New Roman" w:eastAsia="宋体" w:cs="Times New Roman"/>
                <w:color w:val="auto"/>
                <w:kern w:val="0"/>
                <w:szCs w:val="21"/>
                <w:lang w:bidi="ar"/>
              </w:rPr>
              <w:t>IPv4</w:t>
            </w:r>
            <w:r>
              <w:rPr>
                <w:rFonts w:hint="eastAsia" w:ascii="宋体" w:hAnsi="宋体" w:eastAsia="宋体" w:cs="宋体"/>
                <w:color w:val="auto"/>
                <w:kern w:val="0"/>
                <w:szCs w:val="21"/>
                <w:lang w:bidi="ar"/>
              </w:rPr>
              <w:t>兼容自动配置隧道</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所有端口均支持路由模式，支持独立配置</w:t>
            </w:r>
            <w:r>
              <w:rPr>
                <w:rFonts w:ascii="Times New Roman" w:hAnsi="Times New Roman" w:eastAsia="宋体" w:cs="Times New Roman"/>
                <w:color w:val="auto"/>
                <w:kern w:val="0"/>
                <w:szCs w:val="21"/>
                <w:lang w:bidi="ar"/>
              </w:rPr>
              <w:t>IP</w:t>
            </w:r>
            <w:r>
              <w:rPr>
                <w:rFonts w:hint="eastAsia" w:ascii="宋体" w:hAnsi="宋体" w:eastAsia="宋体" w:cs="宋体"/>
                <w:color w:val="auto"/>
                <w:kern w:val="0"/>
                <w:szCs w:val="21"/>
                <w:lang w:bidi="ar"/>
              </w:rPr>
              <w:t>地址</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支持全局</w:t>
            </w:r>
            <w:r>
              <w:rPr>
                <w:rFonts w:ascii="Times New Roman" w:hAnsi="Times New Roman" w:eastAsia="宋体" w:cs="Times New Roman"/>
                <w:color w:val="auto"/>
                <w:kern w:val="0"/>
                <w:szCs w:val="21"/>
                <w:lang w:bidi="ar"/>
              </w:rPr>
              <w:t xml:space="preserve"> ACL</w:t>
            </w:r>
            <w:r>
              <w:rPr>
                <w:rFonts w:ascii="Times New Roman" w:hAnsi="Times New Roman" w:eastAsia="宋体" w:cs="Times New Roman"/>
                <w:color w:val="auto"/>
                <w:kern w:val="0"/>
                <w:szCs w:val="21"/>
                <w:lang w:bidi="ar"/>
              </w:rPr>
              <w:br w:type="textWrapping"/>
            </w:r>
            <w:r>
              <w:rPr>
                <w:rFonts w:hint="eastAsia" w:ascii="宋体" w:hAnsi="宋体" w:eastAsia="宋体" w:cs="宋体"/>
                <w:color w:val="auto"/>
                <w:kern w:val="0"/>
                <w:szCs w:val="21"/>
                <w:lang w:bidi="ar"/>
              </w:rPr>
              <w:t>支持防</w:t>
            </w:r>
            <w:r>
              <w:rPr>
                <w:rFonts w:ascii="Times New Roman" w:hAnsi="Times New Roman" w:eastAsia="宋体" w:cs="Times New Roman"/>
                <w:color w:val="auto"/>
                <w:kern w:val="0"/>
                <w:szCs w:val="21"/>
                <w:lang w:bidi="ar"/>
              </w:rPr>
              <w:t>DDos</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ARP</w:t>
            </w:r>
            <w:r>
              <w:rPr>
                <w:rFonts w:hint="eastAsia" w:ascii="宋体" w:hAnsi="宋体" w:eastAsia="宋体" w:cs="宋体"/>
                <w:color w:val="auto"/>
                <w:kern w:val="0"/>
                <w:szCs w:val="21"/>
                <w:lang w:bidi="ar"/>
              </w:rPr>
              <w:t>攻击和</w:t>
            </w:r>
            <w:r>
              <w:rPr>
                <w:rFonts w:ascii="Times New Roman" w:hAnsi="Times New Roman" w:eastAsia="宋体" w:cs="Times New Roman"/>
                <w:color w:val="auto"/>
                <w:kern w:val="0"/>
                <w:szCs w:val="21"/>
                <w:lang w:bidi="ar"/>
              </w:rPr>
              <w:t>ICMP</w:t>
            </w:r>
            <w:r>
              <w:rPr>
                <w:rFonts w:hint="eastAsia" w:ascii="宋体" w:hAnsi="宋体" w:eastAsia="宋体" w:cs="宋体"/>
                <w:color w:val="auto"/>
                <w:kern w:val="0"/>
                <w:szCs w:val="21"/>
                <w:lang w:bidi="ar"/>
              </w:rPr>
              <w:t>攻击功能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w:t>
            </w:r>
            <w:r>
              <w:rPr>
                <w:rFonts w:ascii="Times New Roman" w:hAnsi="Times New Roman" w:eastAsia="宋体" w:cs="Times New Roman"/>
                <w:color w:val="auto"/>
                <w:kern w:val="0"/>
                <w:szCs w:val="21"/>
                <w:lang w:bidi="ar"/>
              </w:rPr>
              <w:t>IP</w:t>
            </w:r>
            <w:r>
              <w:rPr>
                <w:rFonts w:hint="eastAsia" w:ascii="宋体" w:hAnsi="宋体" w:eastAsia="宋体" w:cs="宋体"/>
                <w:color w:val="auto"/>
                <w:kern w:val="0"/>
                <w:szCs w:val="21"/>
                <w:lang w:bidi="ar"/>
              </w:rPr>
              <w:t>地址、</w:t>
            </w:r>
            <w:r>
              <w:rPr>
                <w:rFonts w:ascii="Times New Roman" w:hAnsi="Times New Roman" w:eastAsia="宋体" w:cs="Times New Roman"/>
                <w:color w:val="auto"/>
                <w:kern w:val="0"/>
                <w:szCs w:val="21"/>
                <w:lang w:bidi="ar"/>
              </w:rPr>
              <w:t>VLAN ID</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MAC</w:t>
            </w:r>
            <w:r>
              <w:rPr>
                <w:rFonts w:hint="eastAsia" w:ascii="宋体" w:hAnsi="宋体" w:eastAsia="宋体" w:cs="宋体"/>
                <w:color w:val="auto"/>
                <w:kern w:val="0"/>
                <w:szCs w:val="21"/>
                <w:lang w:bidi="ar"/>
              </w:rPr>
              <w:t>地址和端口等多种组合绑定</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w:t>
            </w:r>
            <w:r>
              <w:rPr>
                <w:rFonts w:ascii="Times New Roman" w:hAnsi="Times New Roman" w:eastAsia="宋体" w:cs="Times New Roman"/>
                <w:color w:val="auto"/>
                <w:kern w:val="0"/>
                <w:szCs w:val="21"/>
                <w:lang w:bidi="ar"/>
              </w:rPr>
              <w:t>SNMP v1/v2/v3</w:t>
            </w:r>
            <w:r>
              <w:rPr>
                <w:rFonts w:ascii="Times New Roman" w:hAnsi="Times New Roman" w:eastAsia="宋体" w:cs="Times New Roman"/>
                <w:color w:val="auto"/>
                <w:kern w:val="0"/>
                <w:szCs w:val="21"/>
                <w:lang w:bidi="ar"/>
              </w:rPr>
              <w:br w:type="textWrapping"/>
            </w:r>
            <w:r>
              <w:rPr>
                <w:rFonts w:hint="eastAsia" w:ascii="宋体" w:hAnsi="宋体" w:eastAsia="宋体" w:cs="宋体"/>
                <w:color w:val="auto"/>
                <w:kern w:val="0"/>
                <w:szCs w:val="21"/>
                <w:lang w:bidi="ar"/>
              </w:rPr>
              <w:t>支持风扇智能管理，支持对风扇温度、转速等信息进行监测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支持设备在线状态监测机制，实现对包括主控引擎，背板，芯片和存储等关键元器件进行检测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独立的硬件交换网板设计，实现了控制和转发的真正分离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关键部件交换路由处理板支持</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w:t>
            </w:r>
            <w:r>
              <w:rPr>
                <w:rFonts w:ascii="Times New Roman" w:hAnsi="Times New Roman" w:eastAsia="宋体" w:cs="Times New Roman"/>
                <w:color w:val="auto"/>
                <w:kern w:val="0"/>
                <w:szCs w:val="21"/>
                <w:lang w:bidi="ar"/>
              </w:rPr>
              <w:t>1</w:t>
            </w:r>
            <w:r>
              <w:rPr>
                <w:rFonts w:hint="eastAsia" w:ascii="宋体" w:hAnsi="宋体" w:eastAsia="宋体" w:cs="宋体"/>
                <w:color w:val="auto"/>
                <w:kern w:val="0"/>
                <w:szCs w:val="21"/>
                <w:lang w:bidi="ar"/>
              </w:rPr>
              <w:t>冗余备份，电源支持</w:t>
            </w:r>
            <w:r>
              <w:rPr>
                <w:rFonts w:ascii="Times New Roman" w:hAnsi="Times New Roman" w:eastAsia="宋体" w:cs="Times New Roman"/>
                <w:color w:val="auto"/>
                <w:kern w:val="0"/>
                <w:szCs w:val="21"/>
                <w:lang w:bidi="ar"/>
              </w:rPr>
              <w:t>M+N</w:t>
            </w:r>
            <w:r>
              <w:rPr>
                <w:rFonts w:hint="eastAsia" w:ascii="宋体" w:hAnsi="宋体" w:eastAsia="宋体" w:cs="宋体"/>
                <w:color w:val="auto"/>
                <w:kern w:val="0"/>
                <w:szCs w:val="21"/>
                <w:lang w:bidi="ar"/>
              </w:rPr>
              <w:t>冗余备份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交换网板支持</w:t>
            </w:r>
            <w:r>
              <w:rPr>
                <w:rFonts w:ascii="Times New Roman" w:hAnsi="Times New Roman" w:eastAsia="宋体" w:cs="Times New Roman"/>
                <w:color w:val="auto"/>
                <w:kern w:val="0"/>
                <w:szCs w:val="21"/>
                <w:lang w:bidi="ar"/>
              </w:rPr>
              <w:t>N+1</w:t>
            </w:r>
            <w:r>
              <w:rPr>
                <w:rFonts w:hint="eastAsia" w:ascii="宋体" w:hAnsi="宋体" w:eastAsia="宋体" w:cs="宋体"/>
                <w:color w:val="auto"/>
                <w:kern w:val="0"/>
                <w:szCs w:val="21"/>
                <w:lang w:bidi="ar"/>
              </w:rPr>
              <w:t>冗余备份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背板采用无源设计，避免单点故障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各组件均支持热插拔功能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支持各种配置数据在主备主控板上实时热备份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支持热补丁功能，可在线进行补丁升级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w:t>
            </w:r>
            <w:r>
              <w:rPr>
                <w:rFonts w:ascii="Times New Roman" w:hAnsi="Times New Roman" w:eastAsia="宋体" w:cs="Times New Roman"/>
                <w:color w:val="auto"/>
                <w:kern w:val="0"/>
                <w:szCs w:val="21"/>
                <w:lang w:bidi="ar"/>
              </w:rPr>
              <w:t>BFD for VRRP/BGP/IS-IS/OSPF/RSVP/</w:t>
            </w:r>
            <w:r>
              <w:rPr>
                <w:rFonts w:hint="eastAsia" w:ascii="宋体" w:hAnsi="宋体" w:eastAsia="宋体" w:cs="宋体"/>
                <w:color w:val="auto"/>
                <w:kern w:val="0"/>
                <w:szCs w:val="21"/>
                <w:lang w:bidi="ar"/>
              </w:rPr>
              <w:t>静态路由等，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w:t>
            </w:r>
            <w:r>
              <w:rPr>
                <w:rFonts w:ascii="Times New Roman" w:hAnsi="Times New Roman" w:eastAsia="宋体" w:cs="Times New Roman"/>
                <w:color w:val="auto"/>
                <w:kern w:val="0"/>
                <w:szCs w:val="21"/>
                <w:lang w:bidi="ar"/>
              </w:rPr>
              <w:t>RRPP</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S7706</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155000.00</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155000.00</w:t>
            </w:r>
          </w:p>
        </w:tc>
      </w:tr>
      <w:tr>
        <w:tblPrEx>
          <w:tblCellMar>
            <w:top w:w="0" w:type="dxa"/>
            <w:left w:w="0" w:type="dxa"/>
            <w:bottom w:w="0" w:type="dxa"/>
            <w:right w:w="0" w:type="dxa"/>
          </w:tblCellMar>
        </w:tblPrEx>
        <w:trPr>
          <w:trHeight w:val="260" w:hRule="atLeast"/>
          <w:jc w:val="center"/>
        </w:trPr>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rPr>
                <w:rFonts w:ascii="宋体" w:hAnsi="宋体" w:eastAsia="宋体" w:cs="宋体"/>
                <w:color w:val="auto"/>
                <w:szCs w:val="21"/>
              </w:rPr>
            </w:pP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宋体" w:hAnsi="宋体" w:eastAsia="宋体" w:cs="宋体"/>
                <w:color w:val="auto"/>
                <w:szCs w:val="21"/>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宋体" w:hAnsi="宋体" w:eastAsia="宋体" w:cs="宋体"/>
                <w:color w:val="auto"/>
                <w:szCs w:val="21"/>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6515" w:hRule="atLeast"/>
          <w:jc w:val="center"/>
        </w:trPr>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rPr>
                <w:rFonts w:ascii="宋体" w:hAnsi="宋体" w:eastAsia="宋体" w:cs="宋体"/>
                <w:color w:val="auto"/>
                <w:szCs w:val="21"/>
              </w:rPr>
            </w:pP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宋体" w:hAnsi="宋体" w:eastAsia="宋体" w:cs="宋体"/>
                <w:color w:val="auto"/>
                <w:szCs w:val="21"/>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宋体" w:hAnsi="宋体" w:eastAsia="宋体" w:cs="宋体"/>
                <w:color w:val="auto"/>
                <w:szCs w:val="21"/>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72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交换机</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48</w:t>
            </w:r>
            <w:r>
              <w:rPr>
                <w:rFonts w:hint="eastAsia" w:ascii="宋体" w:hAnsi="宋体" w:eastAsia="宋体" w:cs="宋体"/>
                <w:color w:val="auto"/>
                <w:kern w:val="0"/>
                <w:szCs w:val="21"/>
                <w:lang w:bidi="ar"/>
              </w:rPr>
              <w:t>口交换机，</w:t>
            </w:r>
            <w:r>
              <w:rPr>
                <w:rFonts w:ascii="Times New Roman" w:hAnsi="Times New Roman" w:eastAsia="宋体" w:cs="Times New Roman"/>
                <w:color w:val="auto"/>
                <w:kern w:val="0"/>
                <w:szCs w:val="21"/>
                <w:lang w:bidi="ar"/>
              </w:rPr>
              <w:t>4</w:t>
            </w:r>
            <w:r>
              <w:rPr>
                <w:rFonts w:hint="eastAsia" w:ascii="宋体" w:hAnsi="宋体" w:eastAsia="宋体" w:cs="宋体"/>
                <w:color w:val="auto"/>
                <w:kern w:val="0"/>
                <w:szCs w:val="21"/>
                <w:lang w:bidi="ar"/>
              </w:rPr>
              <w:t>个万兆口</w:t>
            </w:r>
            <w:r>
              <w:rPr>
                <w:rFonts w:ascii="Times New Roman" w:hAnsi="Times New Roman" w:eastAsia="宋体" w:cs="Times New Roman"/>
                <w:color w:val="auto"/>
                <w:kern w:val="0"/>
                <w:szCs w:val="21"/>
                <w:lang w:bidi="ar"/>
              </w:rPr>
              <w:t xml:space="preserve"> (48</w:t>
            </w:r>
            <w:r>
              <w:rPr>
                <w:rFonts w:hint="eastAsia" w:ascii="宋体" w:hAnsi="宋体" w:eastAsia="宋体" w:cs="宋体"/>
                <w:color w:val="auto"/>
                <w:kern w:val="0"/>
                <w:szCs w:val="21"/>
                <w:lang w:bidi="ar"/>
              </w:rPr>
              <w:t>个</w:t>
            </w:r>
            <w:r>
              <w:rPr>
                <w:rFonts w:ascii="Times New Roman" w:hAnsi="Times New Roman" w:eastAsia="宋体" w:cs="Times New Roman"/>
                <w:color w:val="auto"/>
                <w:kern w:val="0"/>
                <w:szCs w:val="21"/>
                <w:lang w:bidi="ar"/>
              </w:rPr>
              <w:t>10/100/1000BASE-T</w:t>
            </w:r>
            <w:r>
              <w:rPr>
                <w:rFonts w:hint="eastAsia" w:ascii="宋体" w:hAnsi="宋体" w:eastAsia="宋体" w:cs="宋体"/>
                <w:color w:val="auto"/>
                <w:kern w:val="0"/>
                <w:szCs w:val="21"/>
                <w:lang w:bidi="ar"/>
              </w:rPr>
              <w:t>以太网端口</w:t>
            </w:r>
            <w:r>
              <w:rPr>
                <w:rFonts w:ascii="Times New Roman" w:hAnsi="Times New Roman" w:eastAsia="宋体" w:cs="Times New Roman"/>
                <w:color w:val="auto"/>
                <w:kern w:val="0"/>
                <w:szCs w:val="21"/>
                <w:lang w:bidi="ar"/>
              </w:rPr>
              <w:t>,4</w:t>
            </w:r>
            <w:r>
              <w:rPr>
                <w:rFonts w:hint="eastAsia" w:ascii="宋体" w:hAnsi="宋体" w:eastAsia="宋体" w:cs="宋体"/>
                <w:color w:val="auto"/>
                <w:kern w:val="0"/>
                <w:szCs w:val="21"/>
                <w:lang w:bidi="ar"/>
              </w:rPr>
              <w:t>个万兆</w:t>
            </w:r>
            <w:r>
              <w:rPr>
                <w:rFonts w:ascii="Times New Roman" w:hAnsi="Times New Roman" w:eastAsia="宋体" w:cs="Times New Roman"/>
                <w:color w:val="auto"/>
                <w:kern w:val="0"/>
                <w:szCs w:val="21"/>
                <w:lang w:bidi="ar"/>
              </w:rPr>
              <w:t>SFP+,</w:t>
            </w:r>
            <w:r>
              <w:rPr>
                <w:rFonts w:hint="eastAsia" w:ascii="宋体" w:hAnsi="宋体" w:eastAsia="宋体" w:cs="宋体"/>
                <w:color w:val="auto"/>
                <w:kern w:val="0"/>
                <w:szCs w:val="21"/>
                <w:lang w:bidi="ar"/>
              </w:rPr>
              <w:t>交流供电</w:t>
            </w:r>
            <w:r>
              <w:rPr>
                <w:rFonts w:ascii="Times New Roman" w:hAnsi="Times New Roman" w:eastAsia="宋体" w:cs="Times New Roman"/>
                <w:color w:val="auto"/>
                <w:kern w:val="0"/>
                <w:szCs w:val="21"/>
                <w:lang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CloudEngine S5735-L48T4X-A</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8500.00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340000.00</w:t>
            </w:r>
          </w:p>
        </w:tc>
      </w:tr>
      <w:tr>
        <w:tblPrEx>
          <w:tblCellMar>
            <w:top w:w="0" w:type="dxa"/>
            <w:left w:w="0" w:type="dxa"/>
            <w:bottom w:w="0" w:type="dxa"/>
            <w:right w:w="0" w:type="dxa"/>
          </w:tblCellMar>
        </w:tblPrEx>
        <w:trPr>
          <w:trHeight w:val="96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万兆模块</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单模</w:t>
            </w:r>
            <w:r>
              <w:rPr>
                <w:rFonts w:ascii="Times New Roman" w:hAnsi="Times New Roman" w:eastAsia="宋体" w:cs="Times New Roman"/>
                <w:color w:val="auto"/>
                <w:kern w:val="0"/>
                <w:szCs w:val="21"/>
                <w:lang w:bidi="ar"/>
              </w:rPr>
              <w:t>10km</w:t>
            </w:r>
            <w:r>
              <w:rPr>
                <w:rFonts w:hint="eastAsia" w:ascii="宋体" w:hAnsi="宋体" w:eastAsia="宋体" w:cs="宋体"/>
                <w:color w:val="auto"/>
                <w:kern w:val="0"/>
                <w:szCs w:val="21"/>
                <w:lang w:bidi="ar"/>
              </w:rPr>
              <w:t>万兆模块，含</w:t>
            </w:r>
            <w:r>
              <w:rPr>
                <w:rFonts w:ascii="Times New Roman" w:hAnsi="Times New Roman" w:eastAsia="宋体" w:cs="Times New Roman"/>
                <w:color w:val="auto"/>
                <w:kern w:val="0"/>
                <w:szCs w:val="21"/>
                <w:lang w:bidi="ar"/>
              </w:rPr>
              <w:t>SFP</w:t>
            </w:r>
            <w:r>
              <w:rPr>
                <w:rFonts w:hint="eastAsia" w:ascii="宋体" w:hAnsi="宋体" w:eastAsia="宋体" w:cs="宋体"/>
                <w:color w:val="auto"/>
                <w:kern w:val="0"/>
                <w:szCs w:val="21"/>
                <w:lang w:bidi="ar"/>
              </w:rPr>
              <w:t>尾纤</w:t>
            </w:r>
            <w:r>
              <w:rPr>
                <w:rFonts w:ascii="Times New Roman" w:hAnsi="Times New Roman" w:eastAsia="宋体" w:cs="Times New Roman"/>
                <w:color w:val="auto"/>
                <w:kern w:val="0"/>
                <w:szCs w:val="21"/>
                <w:lang w:bidi="ar"/>
              </w:rPr>
              <w:t>,</w:t>
            </w:r>
            <w:r>
              <w:rPr>
                <w:rFonts w:hint="eastAsia" w:ascii="宋体" w:hAnsi="宋体" w:eastAsia="宋体" w:cs="宋体"/>
                <w:color w:val="auto"/>
                <w:kern w:val="0"/>
                <w:szCs w:val="21"/>
                <w:lang w:bidi="ar"/>
              </w:rPr>
              <w:t>与核心交换机同品牌</w:t>
            </w:r>
            <w:r>
              <w:rPr>
                <w:rFonts w:ascii="Times New Roman" w:hAnsi="Times New Roman" w:eastAsia="宋体" w:cs="Times New Roman"/>
                <w:color w:val="auto"/>
                <w:kern w:val="0"/>
                <w:szCs w:val="21"/>
                <w:lang w:bidi="ar"/>
              </w:rPr>
              <w:t xml:space="preserve"> </w:t>
            </w:r>
            <w:r>
              <w:rPr>
                <w:rFonts w:ascii="Times New Roman" w:hAnsi="Times New Roman" w:eastAsia="宋体" w:cs="Times New Roman"/>
                <w:color w:val="auto"/>
                <w:kern w:val="0"/>
                <w:szCs w:val="21"/>
                <w:lang w:bidi="ar"/>
              </w:rPr>
              <w:br w:type="textWrapping"/>
            </w:r>
            <w:r>
              <w:rPr>
                <w:rFonts w:hint="eastAsia" w:ascii="宋体" w:hAnsi="宋体" w:eastAsia="宋体" w:cs="宋体"/>
                <w:color w:val="auto"/>
                <w:kern w:val="0"/>
                <w:szCs w:val="21"/>
                <w:lang w:bidi="ar"/>
              </w:rPr>
              <w:t>光模块</w:t>
            </w:r>
            <w:r>
              <w:rPr>
                <w:rFonts w:ascii="Times New Roman" w:hAnsi="Times New Roman" w:eastAsia="宋体" w:cs="Times New Roman"/>
                <w:color w:val="auto"/>
                <w:kern w:val="0"/>
                <w:szCs w:val="21"/>
                <w:lang w:bidi="ar"/>
              </w:rPr>
              <w:t>-SFP+-10G-</w:t>
            </w:r>
            <w:r>
              <w:rPr>
                <w:rFonts w:hint="eastAsia" w:ascii="宋体" w:hAnsi="宋体" w:eastAsia="宋体" w:cs="宋体"/>
                <w:color w:val="auto"/>
                <w:kern w:val="0"/>
                <w:szCs w:val="21"/>
                <w:lang w:bidi="ar"/>
              </w:rPr>
              <w:t>单模模块</w:t>
            </w:r>
            <w:r>
              <w:rPr>
                <w:rFonts w:ascii="Times New Roman" w:hAnsi="Times New Roman" w:eastAsia="宋体" w:cs="Times New Roman"/>
                <w:color w:val="auto"/>
                <w:kern w:val="0"/>
                <w:szCs w:val="21"/>
                <w:lang w:bidi="ar"/>
              </w:rPr>
              <w:t>(1310nm,10km,LC)</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光模块</w:t>
            </w:r>
            <w:r>
              <w:rPr>
                <w:rFonts w:ascii="Times New Roman" w:hAnsi="Times New Roman" w:eastAsia="宋体" w:cs="Times New Roman"/>
                <w:color w:val="auto"/>
                <w:kern w:val="0"/>
                <w:szCs w:val="21"/>
                <w:lang w:bidi="ar"/>
              </w:rPr>
              <w:t>-SFP+-10G-</w:t>
            </w:r>
            <w:r>
              <w:rPr>
                <w:rFonts w:hint="eastAsia" w:ascii="宋体" w:hAnsi="宋体" w:eastAsia="宋体" w:cs="宋体"/>
                <w:color w:val="auto"/>
                <w:kern w:val="0"/>
                <w:szCs w:val="21"/>
                <w:lang w:bidi="ar"/>
              </w:rPr>
              <w:t>单模模块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Style w:val="51"/>
                <w:rFonts w:hint="default"/>
                <w:color w:val="auto"/>
                <w:sz w:val="21"/>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2100.00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168000.00</w:t>
            </w:r>
          </w:p>
        </w:tc>
      </w:tr>
      <w:tr>
        <w:tblPrEx>
          <w:tblCellMar>
            <w:top w:w="0" w:type="dxa"/>
            <w:left w:w="0" w:type="dxa"/>
            <w:bottom w:w="0" w:type="dxa"/>
            <w:right w:w="0" w:type="dxa"/>
          </w:tblCellMar>
        </w:tblPrEx>
        <w:trPr>
          <w:trHeight w:val="72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万兆模块</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多模万兆模块，含</w:t>
            </w:r>
            <w:r>
              <w:rPr>
                <w:rFonts w:ascii="Times New Roman" w:hAnsi="Times New Roman" w:eastAsia="宋体" w:cs="Times New Roman"/>
                <w:color w:val="auto"/>
                <w:kern w:val="0"/>
                <w:szCs w:val="21"/>
                <w:lang w:bidi="ar"/>
              </w:rPr>
              <w:t>SFP</w:t>
            </w:r>
            <w:r>
              <w:rPr>
                <w:rFonts w:hint="eastAsia" w:ascii="宋体" w:hAnsi="宋体" w:eastAsia="宋体" w:cs="宋体"/>
                <w:color w:val="auto"/>
                <w:kern w:val="0"/>
                <w:szCs w:val="21"/>
                <w:lang w:bidi="ar"/>
              </w:rPr>
              <w:t>尾纤</w:t>
            </w:r>
            <w:r>
              <w:rPr>
                <w:rFonts w:ascii="Times New Roman" w:hAnsi="Times New Roman" w:eastAsia="宋体" w:cs="Times New Roman"/>
                <w:color w:val="auto"/>
                <w:kern w:val="0"/>
                <w:szCs w:val="21"/>
                <w:lang w:bidi="ar"/>
              </w:rPr>
              <w:t xml:space="preserve"> </w:t>
            </w:r>
            <w:r>
              <w:rPr>
                <w:rFonts w:hint="eastAsia" w:ascii="宋体" w:hAnsi="宋体" w:eastAsia="宋体" w:cs="宋体"/>
                <w:color w:val="auto"/>
                <w:kern w:val="0"/>
                <w:szCs w:val="21"/>
                <w:lang w:bidi="ar"/>
              </w:rPr>
              <w:t>光模块</w:t>
            </w:r>
            <w:r>
              <w:rPr>
                <w:rFonts w:ascii="Times New Roman" w:hAnsi="Times New Roman" w:eastAsia="宋体" w:cs="Times New Roman"/>
                <w:color w:val="auto"/>
                <w:kern w:val="0"/>
                <w:szCs w:val="21"/>
                <w:lang w:bidi="ar"/>
              </w:rPr>
              <w:t>-SFP+-10G-</w:t>
            </w:r>
            <w:r>
              <w:rPr>
                <w:rFonts w:hint="eastAsia" w:ascii="宋体" w:hAnsi="宋体" w:eastAsia="宋体" w:cs="宋体"/>
                <w:color w:val="auto"/>
                <w:kern w:val="0"/>
                <w:szCs w:val="21"/>
                <w:lang w:bidi="ar"/>
              </w:rPr>
              <w:t>多模模块</w:t>
            </w:r>
            <w:r>
              <w:rPr>
                <w:rFonts w:ascii="Times New Roman" w:hAnsi="Times New Roman" w:eastAsia="宋体" w:cs="Times New Roman"/>
                <w:color w:val="auto"/>
                <w:kern w:val="0"/>
                <w:szCs w:val="21"/>
                <w:lang w:bidi="ar"/>
              </w:rPr>
              <w:t>(850nm,0.3km,LC)</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光模块</w:t>
            </w:r>
            <w:r>
              <w:rPr>
                <w:rFonts w:ascii="Times New Roman" w:hAnsi="Times New Roman" w:eastAsia="宋体" w:cs="Times New Roman"/>
                <w:color w:val="auto"/>
                <w:kern w:val="0"/>
                <w:szCs w:val="21"/>
                <w:lang w:bidi="ar"/>
              </w:rPr>
              <w:t>-SFP+-10G-</w:t>
            </w:r>
            <w:r>
              <w:rPr>
                <w:rFonts w:hint="eastAsia" w:ascii="宋体" w:hAnsi="宋体" w:eastAsia="宋体" w:cs="宋体"/>
                <w:color w:val="auto"/>
                <w:kern w:val="0"/>
                <w:szCs w:val="21"/>
                <w:lang w:bidi="ar"/>
              </w:rPr>
              <w:t>多模模块</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华为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540.00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4320.00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13</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667320.00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14</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机房迁改</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设备拆装搬运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核心、安全、服务器等设备拆除、搬运、安装</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w:t>
            </w:r>
          </w:p>
        </w:tc>
      </w:tr>
      <w:tr>
        <w:tblPrEx>
          <w:tblCellMar>
            <w:top w:w="0" w:type="dxa"/>
            <w:left w:w="0" w:type="dxa"/>
            <w:bottom w:w="0" w:type="dxa"/>
            <w:right w:w="0" w:type="dxa"/>
          </w:tblCellMar>
        </w:tblPrEx>
        <w:trPr>
          <w:trHeight w:val="480"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网络割接调试</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核心、安全、服务器等设备割接调试厂家支持</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w:t>
            </w: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辅材</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尾纤、网线、水晶头等耗材</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14</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15</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驻场服务</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r>
      <w:tr>
        <w:tblPrEx>
          <w:tblCellMar>
            <w:top w:w="0" w:type="dxa"/>
            <w:left w:w="0" w:type="dxa"/>
            <w:bottom w:w="0" w:type="dxa"/>
            <w:right w:w="0" w:type="dxa"/>
          </w:tblCellMar>
        </w:tblPrEx>
        <w:trPr>
          <w:trHeight w:val="25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驻场服务</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color w:val="auto"/>
                <w:szCs w:val="21"/>
              </w:rPr>
            </w:pPr>
            <w:r>
              <w:rPr>
                <w:rFonts w:hint="eastAsia" w:ascii="宋体" w:hAnsi="宋体" w:eastAsia="宋体" w:cs="宋体"/>
                <w:color w:val="auto"/>
                <w:kern w:val="0"/>
                <w:szCs w:val="21"/>
                <w:lang w:bidi="ar"/>
              </w:rPr>
              <w:t>2人三年驻场服务</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900000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900000</w:t>
            </w:r>
          </w:p>
        </w:tc>
      </w:tr>
      <w:tr>
        <w:tblPrEx>
          <w:tblCellMar>
            <w:top w:w="0" w:type="dxa"/>
            <w:left w:w="0" w:type="dxa"/>
            <w:bottom w:w="0" w:type="dxa"/>
            <w:right w:w="0" w:type="dxa"/>
          </w:tblCellMar>
        </w:tblPrEx>
        <w:trPr>
          <w:trHeight w:val="31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15</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eastAsia="宋体" w:cs="Times New Roman"/>
                <w:color w:val="auto"/>
                <w:szCs w:val="21"/>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900000.00</w:t>
            </w:r>
          </w:p>
        </w:tc>
      </w:tr>
      <w:tr>
        <w:tblPrEx>
          <w:tblCellMar>
            <w:top w:w="0" w:type="dxa"/>
            <w:left w:w="0" w:type="dxa"/>
            <w:bottom w:w="0" w:type="dxa"/>
            <w:right w:w="0" w:type="dxa"/>
          </w:tblCellMar>
        </w:tblPrEx>
        <w:trPr>
          <w:trHeight w:val="405" w:hRule="atLeast"/>
          <w:jc w:val="center"/>
        </w:trPr>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
                <w:color w:val="auto"/>
                <w:szCs w:val="21"/>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总计</w:t>
            </w:r>
          </w:p>
        </w:tc>
        <w:tc>
          <w:tcPr>
            <w:tcW w:w="1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color w:val="auto"/>
                <w:szCs w:val="21"/>
              </w:rPr>
            </w:pP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1~</w:t>
            </w:r>
            <w:r>
              <w:rPr>
                <w:rFonts w:hint="eastAsia" w:ascii="宋体" w:hAnsi="宋体" w:eastAsia="宋体" w:cs="宋体"/>
                <w:b/>
                <w:color w:val="auto"/>
                <w:kern w:val="0"/>
                <w:szCs w:val="21"/>
                <w:lang w:bidi="ar"/>
              </w:rPr>
              <w:t>小计</w:t>
            </w:r>
            <w:r>
              <w:rPr>
                <w:rFonts w:ascii="Times New Roman" w:hAnsi="Times New Roman" w:eastAsia="宋体" w:cs="Times New Roman"/>
                <w:b/>
                <w:color w:val="auto"/>
                <w:kern w:val="0"/>
                <w:szCs w:val="21"/>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imes New Roman" w:hAnsi="Times New Roman" w:eastAsia="宋体" w:cs="Times New Roman"/>
                <w:color w:val="auto"/>
                <w:szCs w:val="21"/>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rPr>
                <w:rFonts w:ascii="Times New Roman" w:hAnsi="Times New Roman" w:eastAsia="宋体"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ind w:left="-105" w:leftChars="-50" w:right="-105" w:rightChars="-50"/>
              <w:jc w:val="center"/>
              <w:textAlignment w:val="center"/>
              <w:rPr>
                <w:rFonts w:ascii="Times New Roman" w:hAnsi="Times New Roman" w:eastAsia="宋体" w:cs="Times New Roman"/>
                <w:b/>
                <w:color w:val="auto"/>
                <w:szCs w:val="21"/>
              </w:rPr>
            </w:pPr>
            <w:r>
              <w:rPr>
                <w:rFonts w:ascii="Times New Roman" w:hAnsi="Times New Roman" w:eastAsia="宋体" w:cs="Times New Roman"/>
                <w:b/>
                <w:color w:val="auto"/>
                <w:kern w:val="0"/>
                <w:szCs w:val="21"/>
                <w:lang w:bidi="ar"/>
              </w:rPr>
              <w:t>10791807.00</w:t>
            </w:r>
          </w:p>
        </w:tc>
      </w:tr>
    </w:tbl>
    <w:p>
      <w:pPr>
        <w:rPr>
          <w:color w:val="auto"/>
        </w:rPr>
      </w:pPr>
    </w:p>
    <w:p>
      <w:pPr>
        <w:pStyle w:val="2"/>
        <w:ind w:firstLine="0" w:firstLineChars="0"/>
        <w:rPr>
          <w:color w:val="auto"/>
        </w:rPr>
      </w:pPr>
    </w:p>
    <w:p>
      <w:pPr>
        <w:pStyle w:val="2"/>
        <w:ind w:firstLine="0" w:firstLineChars="0"/>
        <w:rPr>
          <w:color w:val="auto"/>
        </w:rPr>
        <w:sectPr>
          <w:pgSz w:w="16838" w:h="11906" w:orient="landscape"/>
          <w:pgMar w:top="726" w:right="1440" w:bottom="1406" w:left="1440" w:header="851" w:footer="992" w:gutter="0"/>
          <w:cols w:space="425" w:num="1"/>
          <w:docGrid w:type="lines" w:linePitch="312" w:charSpace="0"/>
        </w:sectPr>
      </w:pPr>
    </w:p>
    <w:p>
      <w:pPr>
        <w:rPr>
          <w:color w:val="auto"/>
        </w:rPr>
      </w:pPr>
    </w:p>
    <w:p>
      <w:pPr>
        <w:pStyle w:val="4"/>
        <w:spacing w:before="100" w:after="100"/>
        <w:rPr>
          <w:rFonts w:hint="default"/>
          <w:color w:val="auto"/>
        </w:rPr>
      </w:pPr>
      <w:r>
        <w:rPr>
          <w:color w:val="auto"/>
        </w:rPr>
        <w:t>二、增补需求清单</w:t>
      </w:r>
    </w:p>
    <w:tbl>
      <w:tblPr>
        <w:tblStyle w:val="18"/>
        <w:tblW w:w="0" w:type="auto"/>
        <w:jc w:val="center"/>
        <w:tblLayout w:type="autofit"/>
        <w:tblCellMar>
          <w:top w:w="0" w:type="dxa"/>
          <w:left w:w="108" w:type="dxa"/>
          <w:bottom w:w="0" w:type="dxa"/>
          <w:right w:w="108" w:type="dxa"/>
        </w:tblCellMar>
      </w:tblPr>
      <w:tblGrid>
        <w:gridCol w:w="617"/>
        <w:gridCol w:w="2302"/>
        <w:gridCol w:w="6018"/>
        <w:gridCol w:w="558"/>
        <w:gridCol w:w="618"/>
        <w:gridCol w:w="4883"/>
      </w:tblGrid>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序号</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名称</w:t>
            </w:r>
          </w:p>
        </w:tc>
        <w:tc>
          <w:tcPr>
            <w:tcW w:w="6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Style w:val="44"/>
                <w:rFonts w:hint="default"/>
                <w:color w:val="auto"/>
                <w:lang w:bidi="ar"/>
              </w:rPr>
              <w:t>规格</w:t>
            </w:r>
            <w:r>
              <w:rPr>
                <w:rStyle w:val="45"/>
                <w:rFonts w:eastAsia="宋体"/>
                <w:color w:val="auto"/>
                <w:lang w:bidi="ar"/>
              </w:rPr>
              <w:t>/</w:t>
            </w:r>
            <w:r>
              <w:rPr>
                <w:rStyle w:val="44"/>
                <w:rFonts w:hint="default"/>
                <w:color w:val="auto"/>
                <w:lang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备注</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工程类子系统费用列表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0"/>
                <w:szCs w:val="20"/>
              </w:rPr>
            </w:pP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auto"/>
                <w:sz w:val="20"/>
                <w:szCs w:val="20"/>
              </w:rPr>
            </w:pPr>
            <w:r>
              <w:rPr>
                <w:rFonts w:ascii="Times New Roman" w:hAnsi="Times New Roman" w:eastAsia="宋体" w:cs="Times New Roman"/>
                <w:b/>
                <w:bCs/>
                <w:color w:val="auto"/>
                <w:kern w:val="0"/>
                <w:sz w:val="20"/>
                <w:szCs w:val="20"/>
                <w:lang w:bidi="ar"/>
              </w:rPr>
              <w:t>E</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其他基础工程</w:t>
            </w:r>
          </w:p>
        </w:tc>
        <w:tc>
          <w:tcPr>
            <w:tcW w:w="6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0"/>
                <w:szCs w:val="20"/>
              </w:rPr>
            </w:pPr>
          </w:p>
        </w:tc>
      </w:tr>
      <w:tr>
        <w:tblPrEx>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配电柜底座</w:t>
            </w:r>
          </w:p>
        </w:tc>
        <w:tc>
          <w:tcPr>
            <w:tcW w:w="6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5#</w:t>
            </w:r>
            <w:r>
              <w:rPr>
                <w:rStyle w:val="46"/>
                <w:rFonts w:hint="default"/>
                <w:color w:val="auto"/>
                <w:lang w:bidi="ar"/>
              </w:rPr>
              <w:t>镀锌角钢制作，具体尺寸按现场实际情况确定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Style w:val="47"/>
                <w:rFonts w:hint="default"/>
                <w:color w:val="auto"/>
                <w:lang w:bidi="ar"/>
              </w:rPr>
              <w:t>输入输出配电柜增加底座</w:t>
            </w:r>
            <w:r>
              <w:rPr>
                <w:rStyle w:val="42"/>
                <w:rFonts w:eastAsia="宋体"/>
                <w:color w:val="auto"/>
                <w:lang w:bidi="ar"/>
              </w:rPr>
              <w:t>2</w:t>
            </w:r>
            <w:r>
              <w:rPr>
                <w:rStyle w:val="47"/>
                <w:rFonts w:hint="default"/>
                <w:color w:val="auto"/>
                <w:lang w:bidi="ar"/>
              </w:rPr>
              <w:t>个</w:t>
            </w:r>
          </w:p>
        </w:tc>
      </w:tr>
      <w:tr>
        <w:tblPrEx>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主机底座</w:t>
            </w:r>
          </w:p>
        </w:tc>
        <w:tc>
          <w:tcPr>
            <w:tcW w:w="6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10#</w:t>
            </w:r>
            <w:r>
              <w:rPr>
                <w:rStyle w:val="46"/>
                <w:rFonts w:hint="default"/>
                <w:color w:val="auto"/>
                <w:lang w:bidi="ar"/>
              </w:rPr>
              <w:t>槽钢制作，刷防锈漆，具体尺寸按现场实际情况确定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Style w:val="47"/>
                <w:rFonts w:hint="default"/>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主机新增</w:t>
            </w:r>
            <w:r>
              <w:rPr>
                <w:rStyle w:val="42"/>
                <w:rFonts w:eastAsia="宋体"/>
                <w:color w:val="auto"/>
                <w:lang w:bidi="ar"/>
              </w:rPr>
              <w:t>2</w:t>
            </w:r>
            <w:r>
              <w:rPr>
                <w:rStyle w:val="47"/>
                <w:rFonts w:hint="default"/>
                <w:color w:val="auto"/>
                <w:lang w:bidi="ar"/>
              </w:rPr>
              <w:t>台</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b/>
                <w:bCs/>
                <w:color w:val="auto"/>
                <w:sz w:val="24"/>
              </w:rPr>
            </w:pPr>
          </w:p>
        </w:tc>
        <w:tc>
          <w:tcPr>
            <w:tcW w:w="2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 w:val="24"/>
              </w:rPr>
            </w:pPr>
            <w:r>
              <w:rPr>
                <w:rStyle w:val="48"/>
                <w:rFonts w:hint="default"/>
                <w:color w:val="auto"/>
                <w:lang w:bidi="ar"/>
              </w:rPr>
              <w:t>小计</w:t>
            </w:r>
            <w:r>
              <w:rPr>
                <w:rStyle w:val="49"/>
                <w:rFonts w:eastAsia="宋体"/>
                <w:color w:val="auto"/>
                <w:lang w:bidi="ar"/>
              </w:rPr>
              <w:t>1</w:t>
            </w:r>
          </w:p>
        </w:tc>
        <w:tc>
          <w:tcPr>
            <w:tcW w:w="6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b/>
                <w:bCs/>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auto"/>
                <w:sz w:val="24"/>
              </w:rPr>
            </w:pPr>
            <w:r>
              <w:rPr>
                <w:rFonts w:ascii="Times New Roman" w:hAnsi="Times New Roman" w:eastAsia="宋体" w:cs="Times New Roman"/>
                <w:b/>
                <w:bCs/>
                <w:color w:val="auto"/>
                <w:kern w:val="0"/>
                <w:sz w:val="24"/>
                <w:lang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机房供配电系统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auto"/>
                <w:sz w:val="20"/>
                <w:szCs w:val="20"/>
              </w:rPr>
            </w:pPr>
            <w:r>
              <w:rPr>
                <w:rFonts w:ascii="Times New Roman" w:hAnsi="Times New Roman" w:eastAsia="宋体" w:cs="Times New Roman"/>
                <w:b/>
                <w:bCs/>
                <w:color w:val="auto"/>
                <w:kern w:val="0"/>
                <w:sz w:val="20"/>
                <w:szCs w:val="20"/>
                <w:lang w:bidi="ar"/>
              </w:rPr>
              <w:t>A</w:t>
            </w:r>
          </w:p>
        </w:tc>
        <w:tc>
          <w:tcPr>
            <w:tcW w:w="2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配电柜及防雷器</w:t>
            </w:r>
          </w:p>
        </w:tc>
        <w:tc>
          <w:tcPr>
            <w:tcW w:w="6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b/>
                <w:bCs/>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UPS1.2</w:t>
            </w:r>
            <w:r>
              <w:rPr>
                <w:rStyle w:val="47"/>
                <w:rFonts w:hint="default"/>
                <w:color w:val="auto"/>
                <w:lang w:bidi="ar"/>
              </w:rPr>
              <w:t>输入输出配电柜</w:t>
            </w:r>
          </w:p>
        </w:tc>
        <w:tc>
          <w:tcPr>
            <w:tcW w:w="6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18"/>
                <w:szCs w:val="18"/>
              </w:rPr>
            </w:pPr>
            <w:r>
              <w:rPr>
                <w:rStyle w:val="46"/>
                <w:rFonts w:hint="default"/>
                <w:color w:val="auto"/>
                <w:lang w:bidi="ar"/>
              </w:rPr>
              <w:t>定制，施耐德或</w:t>
            </w:r>
            <w:r>
              <w:rPr>
                <w:rStyle w:val="43"/>
                <w:rFonts w:eastAsia="宋体"/>
                <w:color w:val="auto"/>
                <w:lang w:bidi="ar"/>
              </w:rPr>
              <w:t>ABB</w:t>
            </w:r>
            <w:r>
              <w:rPr>
                <w:rStyle w:val="46"/>
                <w:rFonts w:hint="default"/>
                <w:color w:val="auto"/>
                <w:lang w:bidi="ar"/>
              </w:rPr>
              <w:t>空开，具体开关配置见图纸【含市电维修旁路】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高配房总空开不够，变更增加</w:t>
            </w:r>
          </w:p>
        </w:tc>
      </w:tr>
      <w:tr>
        <w:tblPrEx>
          <w:tblCellMar>
            <w:top w:w="0" w:type="dxa"/>
            <w:left w:w="108" w:type="dxa"/>
            <w:bottom w:w="0" w:type="dxa"/>
            <w:right w:w="108" w:type="dxa"/>
          </w:tblCellMar>
        </w:tblPrEx>
        <w:trPr>
          <w:trHeight w:val="7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ATS</w:t>
            </w:r>
            <w:r>
              <w:rPr>
                <w:rStyle w:val="47"/>
                <w:rFonts w:hint="default"/>
                <w:color w:val="auto"/>
                <w:lang w:bidi="ar"/>
              </w:rPr>
              <w:t>切换柜（市电柜）</w:t>
            </w:r>
          </w:p>
        </w:tc>
        <w:tc>
          <w:tcPr>
            <w:tcW w:w="6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18"/>
                <w:szCs w:val="18"/>
              </w:rPr>
            </w:pPr>
            <w:r>
              <w:rPr>
                <w:rStyle w:val="46"/>
                <w:rFonts w:hint="default"/>
                <w:color w:val="auto"/>
                <w:lang w:bidi="ar"/>
              </w:rPr>
              <w:t>市电</w:t>
            </w:r>
            <w:r>
              <w:rPr>
                <w:rStyle w:val="43"/>
                <w:rFonts w:eastAsia="宋体"/>
                <w:color w:val="auto"/>
                <w:lang w:bidi="ar"/>
              </w:rPr>
              <w:t>ATS</w:t>
            </w:r>
            <w:r>
              <w:rPr>
                <w:rStyle w:val="46"/>
                <w:rFonts w:hint="default"/>
                <w:color w:val="auto"/>
                <w:lang w:bidi="ar"/>
              </w:rPr>
              <w:t>柜</w:t>
            </w:r>
            <w:r>
              <w:rPr>
                <w:rStyle w:val="43"/>
                <w:rFonts w:eastAsia="宋体"/>
                <w:color w:val="auto"/>
                <w:lang w:bidi="ar"/>
              </w:rPr>
              <w:t xml:space="preserve"> </w:t>
            </w:r>
            <w:r>
              <w:rPr>
                <w:rStyle w:val="46"/>
                <w:rFonts w:hint="default"/>
                <w:color w:val="auto"/>
                <w:lang w:bidi="ar"/>
              </w:rPr>
              <w:t>定制，施耐德或</w:t>
            </w:r>
            <w:r>
              <w:rPr>
                <w:rStyle w:val="43"/>
                <w:rFonts w:eastAsia="宋体"/>
                <w:color w:val="auto"/>
                <w:lang w:bidi="ar"/>
              </w:rPr>
              <w:t>ABB</w:t>
            </w:r>
            <w:r>
              <w:rPr>
                <w:rStyle w:val="46"/>
                <w:rFonts w:hint="default"/>
                <w:color w:val="auto"/>
                <w:lang w:bidi="ar"/>
              </w:rPr>
              <w:t>元器件，具体开关配置见图纸（双市电切换含油机接口）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高配房总空开不够，变更增加</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auto"/>
                <w:sz w:val="20"/>
                <w:szCs w:val="20"/>
              </w:rPr>
            </w:pPr>
            <w:r>
              <w:rPr>
                <w:rFonts w:ascii="Times New Roman" w:hAnsi="Times New Roman" w:eastAsia="宋体" w:cs="Times New Roman"/>
                <w:b/>
                <w:bCs/>
                <w:color w:val="auto"/>
                <w:kern w:val="0"/>
                <w:sz w:val="20"/>
                <w:szCs w:val="20"/>
                <w:lang w:bidi="ar"/>
              </w:rPr>
              <w:t>B</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电缆电线</w:t>
            </w:r>
          </w:p>
        </w:tc>
        <w:tc>
          <w:tcPr>
            <w:tcW w:w="6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bCs/>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49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变更</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主机输入电缆</w:t>
            </w:r>
            <w:r>
              <w:rPr>
                <w:rStyle w:val="42"/>
                <w:rFonts w:eastAsia="宋体"/>
                <w:color w:val="auto"/>
                <w:lang w:bidi="ar"/>
              </w:rPr>
              <w:t>(</w:t>
            </w:r>
            <w:r>
              <w:rPr>
                <w:rStyle w:val="47"/>
                <w:rFonts w:hint="default"/>
                <w:color w:val="auto"/>
                <w:lang w:bidi="ar"/>
              </w:rPr>
              <w:t>两根合并</w:t>
            </w:r>
            <w:r>
              <w:rPr>
                <w:rStyle w:val="42"/>
                <w:rFonts w:eastAsia="宋体"/>
                <w:color w:val="auto"/>
                <w:lang w:bidi="ar"/>
              </w:rPr>
              <w:t>)</w:t>
            </w:r>
          </w:p>
        </w:tc>
        <w:tc>
          <w:tcPr>
            <w:tcW w:w="6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ZR-YJVR-4*185+1*90mm2</w:t>
            </w:r>
            <w:r>
              <w:rPr>
                <w:rStyle w:val="46"/>
                <w:rFonts w:hint="default"/>
                <w:color w:val="auto"/>
                <w:lang w:bidi="ar"/>
              </w:rPr>
              <w:t>【</w:t>
            </w:r>
            <w:r>
              <w:rPr>
                <w:rStyle w:val="43"/>
                <w:rFonts w:eastAsia="宋体"/>
                <w:color w:val="auto"/>
                <w:lang w:bidi="ar"/>
              </w:rPr>
              <w:t>UPS</w:t>
            </w:r>
            <w:r>
              <w:rPr>
                <w:rStyle w:val="46"/>
                <w:rFonts w:hint="default"/>
                <w:color w:val="auto"/>
                <w:lang w:bidi="ar"/>
              </w:rPr>
              <w:t>输入输出电缆】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高配房总空开不够，变更，原2台主机，现4台主机，线缆数量翻倍</w:t>
            </w:r>
          </w:p>
        </w:tc>
      </w:tr>
      <w:tr>
        <w:tblPrEx>
          <w:tblCellMar>
            <w:top w:w="0" w:type="dxa"/>
            <w:left w:w="108" w:type="dxa"/>
            <w:bottom w:w="0" w:type="dxa"/>
            <w:right w:w="108" w:type="dxa"/>
          </w:tblCellMar>
        </w:tblPrEx>
        <w:trPr>
          <w:trHeight w:val="61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0"/>
                <w:szCs w:val="20"/>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输出电缆</w:t>
            </w:r>
            <w:r>
              <w:rPr>
                <w:rStyle w:val="42"/>
                <w:rFonts w:eastAsia="宋体"/>
                <w:color w:val="auto"/>
                <w:lang w:bidi="ar"/>
              </w:rPr>
              <w:t>(</w:t>
            </w:r>
            <w:r>
              <w:rPr>
                <w:rStyle w:val="47"/>
                <w:rFonts w:hint="default"/>
                <w:color w:val="auto"/>
                <w:lang w:bidi="ar"/>
              </w:rPr>
              <w:t>两根合并</w:t>
            </w:r>
            <w:r>
              <w:rPr>
                <w:rStyle w:val="42"/>
                <w:rFonts w:eastAsia="宋体"/>
                <w:color w:val="auto"/>
                <w:lang w:bidi="ar"/>
              </w:rPr>
              <w:t>)</w:t>
            </w:r>
          </w:p>
        </w:tc>
        <w:tc>
          <w:tcPr>
            <w:tcW w:w="6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ZR-YJVR-4*185+1*90mm2</w:t>
            </w:r>
            <w:r>
              <w:rPr>
                <w:rStyle w:val="46"/>
                <w:rFonts w:hint="default"/>
                <w:color w:val="auto"/>
                <w:lang w:bidi="ar"/>
              </w:rPr>
              <w:t>【配电列头柜电缆】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7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0"/>
                <w:szCs w:val="20"/>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主机输入电缆</w:t>
            </w:r>
            <w:r>
              <w:rPr>
                <w:rStyle w:val="42"/>
                <w:rFonts w:eastAsia="宋体"/>
                <w:color w:val="auto"/>
                <w:lang w:bidi="ar"/>
              </w:rPr>
              <w:t>(</w:t>
            </w:r>
            <w:r>
              <w:rPr>
                <w:rStyle w:val="47"/>
                <w:rFonts w:hint="default"/>
                <w:color w:val="auto"/>
                <w:lang w:bidi="ar"/>
              </w:rPr>
              <w:t>两根合并</w:t>
            </w:r>
            <w:r>
              <w:rPr>
                <w:rStyle w:val="42"/>
                <w:rFonts w:eastAsia="宋体"/>
                <w:color w:val="auto"/>
                <w:lang w:bidi="ar"/>
              </w:rPr>
              <w:t>)</w:t>
            </w:r>
          </w:p>
        </w:tc>
        <w:tc>
          <w:tcPr>
            <w:tcW w:w="6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ZR-YJVR-4*120+1*70mm2</w:t>
            </w:r>
            <w:r>
              <w:rPr>
                <w:rStyle w:val="46"/>
                <w:rFonts w:hint="default"/>
                <w:color w:val="auto"/>
                <w:lang w:bidi="ar"/>
              </w:rPr>
              <w:t>（双拼）【UPS输入输出电缆】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0"/>
                <w:szCs w:val="20"/>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输出电缆</w:t>
            </w:r>
            <w:r>
              <w:rPr>
                <w:rStyle w:val="42"/>
                <w:rFonts w:eastAsia="宋体"/>
                <w:color w:val="auto"/>
                <w:lang w:bidi="ar"/>
              </w:rPr>
              <w:t>(</w:t>
            </w:r>
            <w:r>
              <w:rPr>
                <w:rStyle w:val="47"/>
                <w:rFonts w:hint="default"/>
                <w:color w:val="auto"/>
                <w:lang w:bidi="ar"/>
              </w:rPr>
              <w:t>两根合并</w:t>
            </w:r>
            <w:r>
              <w:rPr>
                <w:rStyle w:val="42"/>
                <w:rFonts w:eastAsia="宋体"/>
                <w:color w:val="auto"/>
                <w:lang w:bidi="ar"/>
              </w:rPr>
              <w:t>)</w:t>
            </w:r>
          </w:p>
        </w:tc>
        <w:tc>
          <w:tcPr>
            <w:tcW w:w="6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ZR-YJVR-4*120+1*70mm2</w:t>
            </w:r>
            <w:r>
              <w:rPr>
                <w:rStyle w:val="46"/>
                <w:rFonts w:hint="default"/>
                <w:color w:val="auto"/>
                <w:lang w:bidi="ar"/>
              </w:rPr>
              <w:t>（双拼）【配电列头柜电缆】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b/>
                <w:bCs/>
                <w:color w:val="auto"/>
                <w:sz w:val="20"/>
                <w:szCs w:val="20"/>
              </w:rPr>
            </w:pPr>
          </w:p>
        </w:tc>
        <w:tc>
          <w:tcPr>
            <w:tcW w:w="2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 w:val="24"/>
              </w:rPr>
            </w:pPr>
            <w:r>
              <w:rPr>
                <w:rStyle w:val="48"/>
                <w:rFonts w:hint="default"/>
                <w:color w:val="auto"/>
                <w:lang w:bidi="ar"/>
              </w:rPr>
              <w:t>小计</w:t>
            </w:r>
            <w:r>
              <w:rPr>
                <w:rStyle w:val="49"/>
                <w:rFonts w:eastAsia="宋体"/>
                <w:color w:val="auto"/>
                <w:lang w:bidi="ar"/>
              </w:rPr>
              <w:t>2</w:t>
            </w:r>
          </w:p>
        </w:tc>
        <w:tc>
          <w:tcPr>
            <w:tcW w:w="6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b/>
                <w:bCs/>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auto"/>
                <w:sz w:val="24"/>
              </w:rPr>
            </w:pPr>
            <w:r>
              <w:rPr>
                <w:rFonts w:ascii="Times New Roman" w:hAnsi="Times New Roman" w:eastAsia="宋体" w:cs="Times New Roman"/>
                <w:b/>
                <w:bCs/>
                <w:color w:val="auto"/>
                <w:kern w:val="0"/>
                <w:sz w:val="24"/>
                <w:lang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auto"/>
                <w:sz w:val="24"/>
              </w:rPr>
            </w:pP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1904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55" name="TextBox_1"/>
                  <wp:cNvGraphicFramePr/>
                  <a:graphic xmlns:a="http://schemas.openxmlformats.org/drawingml/2006/main">
                    <a:graphicData uri="http://schemas.openxmlformats.org/drawingml/2006/picture">
                      <pic:pic xmlns:pic="http://schemas.openxmlformats.org/drawingml/2006/picture">
                        <pic:nvPicPr>
                          <pic:cNvPr id="455" name="TextBox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2006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56" name="TextBox_3"/>
                  <wp:cNvGraphicFramePr/>
                  <a:graphic xmlns:a="http://schemas.openxmlformats.org/drawingml/2006/main">
                    <a:graphicData uri="http://schemas.openxmlformats.org/drawingml/2006/picture">
                      <pic:pic xmlns:pic="http://schemas.openxmlformats.org/drawingml/2006/picture">
                        <pic:nvPicPr>
                          <pic:cNvPr id="456" name="TextBox_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2108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57" name="TextBox_7"/>
                  <wp:cNvGraphicFramePr/>
                  <a:graphic xmlns:a="http://schemas.openxmlformats.org/drawingml/2006/main">
                    <a:graphicData uri="http://schemas.openxmlformats.org/drawingml/2006/picture">
                      <pic:pic xmlns:pic="http://schemas.openxmlformats.org/drawingml/2006/picture">
                        <pic:nvPicPr>
                          <pic:cNvPr id="457" name="TextBox_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2211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58" name="TextBox_15"/>
                  <wp:cNvGraphicFramePr/>
                  <a:graphic xmlns:a="http://schemas.openxmlformats.org/drawingml/2006/main">
                    <a:graphicData uri="http://schemas.openxmlformats.org/drawingml/2006/picture">
                      <pic:pic xmlns:pic="http://schemas.openxmlformats.org/drawingml/2006/picture">
                        <pic:nvPicPr>
                          <pic:cNvPr id="458" name="TextBox_1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2313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60" name="TextBox_65"/>
                  <wp:cNvGraphicFramePr/>
                  <a:graphic xmlns:a="http://schemas.openxmlformats.org/drawingml/2006/main">
                    <a:graphicData uri="http://schemas.openxmlformats.org/drawingml/2006/picture">
                      <pic:pic xmlns:pic="http://schemas.openxmlformats.org/drawingml/2006/picture">
                        <pic:nvPicPr>
                          <pic:cNvPr id="460" name="TextBox_6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2416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61" name="TextBox_66"/>
                  <wp:cNvGraphicFramePr/>
                  <a:graphic xmlns:a="http://schemas.openxmlformats.org/drawingml/2006/main">
                    <a:graphicData uri="http://schemas.openxmlformats.org/drawingml/2006/picture">
                      <pic:pic xmlns:pic="http://schemas.openxmlformats.org/drawingml/2006/picture">
                        <pic:nvPicPr>
                          <pic:cNvPr id="461" name="TextBox_6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2518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62" name="TextBox_61"/>
                  <wp:cNvGraphicFramePr/>
                  <a:graphic xmlns:a="http://schemas.openxmlformats.org/drawingml/2006/main">
                    <a:graphicData uri="http://schemas.openxmlformats.org/drawingml/2006/picture">
                      <pic:pic xmlns:pic="http://schemas.openxmlformats.org/drawingml/2006/picture">
                        <pic:nvPicPr>
                          <pic:cNvPr id="462" name="TextBox_6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2620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63" name="TextBox_64"/>
                  <wp:cNvGraphicFramePr/>
                  <a:graphic xmlns:a="http://schemas.openxmlformats.org/drawingml/2006/main">
                    <a:graphicData uri="http://schemas.openxmlformats.org/drawingml/2006/picture">
                      <pic:pic xmlns:pic="http://schemas.openxmlformats.org/drawingml/2006/picture">
                        <pic:nvPicPr>
                          <pic:cNvPr id="463" name="TextBox_6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2723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64" name="TextBox_123"/>
                  <wp:cNvGraphicFramePr/>
                  <a:graphic xmlns:a="http://schemas.openxmlformats.org/drawingml/2006/main">
                    <a:graphicData uri="http://schemas.openxmlformats.org/drawingml/2006/picture">
                      <pic:pic xmlns:pic="http://schemas.openxmlformats.org/drawingml/2006/picture">
                        <pic:nvPicPr>
                          <pic:cNvPr id="464" name="TextBox_12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2825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65" name="TextBox_14"/>
                  <wp:cNvGraphicFramePr/>
                  <a:graphic xmlns:a="http://schemas.openxmlformats.org/drawingml/2006/main">
                    <a:graphicData uri="http://schemas.openxmlformats.org/drawingml/2006/picture">
                      <pic:pic xmlns:pic="http://schemas.openxmlformats.org/drawingml/2006/picture">
                        <pic:nvPicPr>
                          <pic:cNvPr id="465" name="TextBox_1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2928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66" name="TextBox_59"/>
                  <wp:cNvGraphicFramePr/>
                  <a:graphic xmlns:a="http://schemas.openxmlformats.org/drawingml/2006/main">
                    <a:graphicData uri="http://schemas.openxmlformats.org/drawingml/2006/picture">
                      <pic:pic xmlns:pic="http://schemas.openxmlformats.org/drawingml/2006/picture">
                        <pic:nvPicPr>
                          <pic:cNvPr id="466" name="TextBox_5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3030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67" name="TextBox_60"/>
                  <wp:cNvGraphicFramePr/>
                  <a:graphic xmlns:a="http://schemas.openxmlformats.org/drawingml/2006/main">
                    <a:graphicData uri="http://schemas.openxmlformats.org/drawingml/2006/picture">
                      <pic:pic xmlns:pic="http://schemas.openxmlformats.org/drawingml/2006/picture">
                        <pic:nvPicPr>
                          <pic:cNvPr id="467" name="TextBox_6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3132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68" name="TextBox_122"/>
                  <wp:cNvGraphicFramePr/>
                  <a:graphic xmlns:a="http://schemas.openxmlformats.org/drawingml/2006/main">
                    <a:graphicData uri="http://schemas.openxmlformats.org/drawingml/2006/picture">
                      <pic:pic xmlns:pic="http://schemas.openxmlformats.org/drawingml/2006/picture">
                        <pic:nvPicPr>
                          <pic:cNvPr id="468" name="TextBox_12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3235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69" name="TextBox_121"/>
                  <wp:cNvGraphicFramePr/>
                  <a:graphic xmlns:a="http://schemas.openxmlformats.org/drawingml/2006/main">
                    <a:graphicData uri="http://schemas.openxmlformats.org/drawingml/2006/picture">
                      <pic:pic xmlns:pic="http://schemas.openxmlformats.org/drawingml/2006/picture">
                        <pic:nvPicPr>
                          <pic:cNvPr id="469" name="TextBox_12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3337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70" name="TextBox_119"/>
                  <wp:cNvGraphicFramePr/>
                  <a:graphic xmlns:a="http://schemas.openxmlformats.org/drawingml/2006/main">
                    <a:graphicData uri="http://schemas.openxmlformats.org/drawingml/2006/picture">
                      <pic:pic xmlns:pic="http://schemas.openxmlformats.org/drawingml/2006/picture">
                        <pic:nvPicPr>
                          <pic:cNvPr id="470" name="TextBox_11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3440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71" name="TextBox_120"/>
                  <wp:cNvGraphicFramePr/>
                  <a:graphic xmlns:a="http://schemas.openxmlformats.org/drawingml/2006/main">
                    <a:graphicData uri="http://schemas.openxmlformats.org/drawingml/2006/picture">
                      <pic:pic xmlns:pic="http://schemas.openxmlformats.org/drawingml/2006/picture">
                        <pic:nvPicPr>
                          <pic:cNvPr id="471" name="TextBox_12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3542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72" name="TextBox_57"/>
                  <wp:cNvGraphicFramePr/>
                  <a:graphic xmlns:a="http://schemas.openxmlformats.org/drawingml/2006/main">
                    <a:graphicData uri="http://schemas.openxmlformats.org/drawingml/2006/picture">
                      <pic:pic xmlns:pic="http://schemas.openxmlformats.org/drawingml/2006/picture">
                        <pic:nvPicPr>
                          <pic:cNvPr id="472" name="TextBox_5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3644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73" name="TextBox_58"/>
                  <wp:cNvGraphicFramePr/>
                  <a:graphic xmlns:a="http://schemas.openxmlformats.org/drawingml/2006/main">
                    <a:graphicData uri="http://schemas.openxmlformats.org/drawingml/2006/picture">
                      <pic:pic xmlns:pic="http://schemas.openxmlformats.org/drawingml/2006/picture">
                        <pic:nvPicPr>
                          <pic:cNvPr id="473" name="TextBox_5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3747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74" name="TextBox_118"/>
                  <wp:cNvGraphicFramePr/>
                  <a:graphic xmlns:a="http://schemas.openxmlformats.org/drawingml/2006/main">
                    <a:graphicData uri="http://schemas.openxmlformats.org/drawingml/2006/picture">
                      <pic:pic xmlns:pic="http://schemas.openxmlformats.org/drawingml/2006/picture">
                        <pic:nvPicPr>
                          <pic:cNvPr id="474" name="TextBox_11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3849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75" name="TextBox_117"/>
                  <wp:cNvGraphicFramePr/>
                  <a:graphic xmlns:a="http://schemas.openxmlformats.org/drawingml/2006/main">
                    <a:graphicData uri="http://schemas.openxmlformats.org/drawingml/2006/picture">
                      <pic:pic xmlns:pic="http://schemas.openxmlformats.org/drawingml/2006/picture">
                        <pic:nvPicPr>
                          <pic:cNvPr id="475" name="TextBox_11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3952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76" name="TextBox_115"/>
                  <wp:cNvGraphicFramePr/>
                  <a:graphic xmlns:a="http://schemas.openxmlformats.org/drawingml/2006/main">
                    <a:graphicData uri="http://schemas.openxmlformats.org/drawingml/2006/picture">
                      <pic:pic xmlns:pic="http://schemas.openxmlformats.org/drawingml/2006/picture">
                        <pic:nvPicPr>
                          <pic:cNvPr id="476" name="TextBox_11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4054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77" name="TextBox_116"/>
                  <wp:cNvGraphicFramePr/>
                  <a:graphic xmlns:a="http://schemas.openxmlformats.org/drawingml/2006/main">
                    <a:graphicData uri="http://schemas.openxmlformats.org/drawingml/2006/picture">
                      <pic:pic xmlns:pic="http://schemas.openxmlformats.org/drawingml/2006/picture">
                        <pic:nvPicPr>
                          <pic:cNvPr id="477" name="TextBox_11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4156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78" name="TextBox_6"/>
                  <wp:cNvGraphicFramePr/>
                  <a:graphic xmlns:a="http://schemas.openxmlformats.org/drawingml/2006/main">
                    <a:graphicData uri="http://schemas.openxmlformats.org/drawingml/2006/picture">
                      <pic:pic xmlns:pic="http://schemas.openxmlformats.org/drawingml/2006/picture">
                        <pic:nvPicPr>
                          <pic:cNvPr id="478" name="TextBox_6"/>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4259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79" name="TextBox_13"/>
                  <wp:cNvGraphicFramePr/>
                  <a:graphic xmlns:a="http://schemas.openxmlformats.org/drawingml/2006/main">
                    <a:graphicData uri="http://schemas.openxmlformats.org/drawingml/2006/picture">
                      <pic:pic xmlns:pic="http://schemas.openxmlformats.org/drawingml/2006/picture">
                        <pic:nvPicPr>
                          <pic:cNvPr id="479" name="TextBox_1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4361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80" name="TextBox_55"/>
                  <wp:cNvGraphicFramePr/>
                  <a:graphic xmlns:a="http://schemas.openxmlformats.org/drawingml/2006/main">
                    <a:graphicData uri="http://schemas.openxmlformats.org/drawingml/2006/picture">
                      <pic:pic xmlns:pic="http://schemas.openxmlformats.org/drawingml/2006/picture">
                        <pic:nvPicPr>
                          <pic:cNvPr id="480" name="TextBox_5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4464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81" name="TextBox_56"/>
                  <wp:cNvGraphicFramePr/>
                  <a:graphic xmlns:a="http://schemas.openxmlformats.org/drawingml/2006/main">
                    <a:graphicData uri="http://schemas.openxmlformats.org/drawingml/2006/picture">
                      <pic:pic xmlns:pic="http://schemas.openxmlformats.org/drawingml/2006/picture">
                        <pic:nvPicPr>
                          <pic:cNvPr id="481" name="TextBox_5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4566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82" name="TextBox_114"/>
                  <wp:cNvGraphicFramePr/>
                  <a:graphic xmlns:a="http://schemas.openxmlformats.org/drawingml/2006/main">
                    <a:graphicData uri="http://schemas.openxmlformats.org/drawingml/2006/picture">
                      <pic:pic xmlns:pic="http://schemas.openxmlformats.org/drawingml/2006/picture">
                        <pic:nvPicPr>
                          <pic:cNvPr id="482" name="TextBox_11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4668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83" name="TextBox_113"/>
                  <wp:cNvGraphicFramePr/>
                  <a:graphic xmlns:a="http://schemas.openxmlformats.org/drawingml/2006/main">
                    <a:graphicData uri="http://schemas.openxmlformats.org/drawingml/2006/picture">
                      <pic:pic xmlns:pic="http://schemas.openxmlformats.org/drawingml/2006/picture">
                        <pic:nvPicPr>
                          <pic:cNvPr id="483" name="TextBox_11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4771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84" name="TextBox_111"/>
                  <wp:cNvGraphicFramePr/>
                  <a:graphic xmlns:a="http://schemas.openxmlformats.org/drawingml/2006/main">
                    <a:graphicData uri="http://schemas.openxmlformats.org/drawingml/2006/picture">
                      <pic:pic xmlns:pic="http://schemas.openxmlformats.org/drawingml/2006/picture">
                        <pic:nvPicPr>
                          <pic:cNvPr id="484" name="TextBox_11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4873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85" name="TextBox_112"/>
                  <wp:cNvGraphicFramePr/>
                  <a:graphic xmlns:a="http://schemas.openxmlformats.org/drawingml/2006/main">
                    <a:graphicData uri="http://schemas.openxmlformats.org/drawingml/2006/picture">
                      <pic:pic xmlns:pic="http://schemas.openxmlformats.org/drawingml/2006/picture">
                        <pic:nvPicPr>
                          <pic:cNvPr id="485" name="TextBox_11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4976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86" name="TextBox_53"/>
                  <wp:cNvGraphicFramePr/>
                  <a:graphic xmlns:a="http://schemas.openxmlformats.org/drawingml/2006/main">
                    <a:graphicData uri="http://schemas.openxmlformats.org/drawingml/2006/picture">
                      <pic:pic xmlns:pic="http://schemas.openxmlformats.org/drawingml/2006/picture">
                        <pic:nvPicPr>
                          <pic:cNvPr id="486" name="TextBox_5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5078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87" name="TextBox_54"/>
                  <wp:cNvGraphicFramePr/>
                  <a:graphic xmlns:a="http://schemas.openxmlformats.org/drawingml/2006/main">
                    <a:graphicData uri="http://schemas.openxmlformats.org/drawingml/2006/picture">
                      <pic:pic xmlns:pic="http://schemas.openxmlformats.org/drawingml/2006/picture">
                        <pic:nvPicPr>
                          <pic:cNvPr id="487" name="TextBox_5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5180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88" name="TextBox_110"/>
                  <wp:cNvGraphicFramePr/>
                  <a:graphic xmlns:a="http://schemas.openxmlformats.org/drawingml/2006/main">
                    <a:graphicData uri="http://schemas.openxmlformats.org/drawingml/2006/picture">
                      <pic:pic xmlns:pic="http://schemas.openxmlformats.org/drawingml/2006/picture">
                        <pic:nvPicPr>
                          <pic:cNvPr id="488" name="TextBox_11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5283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89" name="TextBox_109"/>
                  <wp:cNvGraphicFramePr/>
                  <a:graphic xmlns:a="http://schemas.openxmlformats.org/drawingml/2006/main">
                    <a:graphicData uri="http://schemas.openxmlformats.org/drawingml/2006/picture">
                      <pic:pic xmlns:pic="http://schemas.openxmlformats.org/drawingml/2006/picture">
                        <pic:nvPicPr>
                          <pic:cNvPr id="489" name="TextBox_10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5385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90" name="TextBox_107"/>
                  <wp:cNvGraphicFramePr/>
                  <a:graphic xmlns:a="http://schemas.openxmlformats.org/drawingml/2006/main">
                    <a:graphicData uri="http://schemas.openxmlformats.org/drawingml/2006/picture">
                      <pic:pic xmlns:pic="http://schemas.openxmlformats.org/drawingml/2006/picture">
                        <pic:nvPicPr>
                          <pic:cNvPr id="490" name="TextBox_10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5488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91" name="TextBox_108"/>
                  <wp:cNvGraphicFramePr/>
                  <a:graphic xmlns:a="http://schemas.openxmlformats.org/drawingml/2006/main">
                    <a:graphicData uri="http://schemas.openxmlformats.org/drawingml/2006/picture">
                      <pic:pic xmlns:pic="http://schemas.openxmlformats.org/drawingml/2006/picture">
                        <pic:nvPicPr>
                          <pic:cNvPr id="491" name="TextBox_10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5590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92" name="TextBox_12"/>
                  <wp:cNvGraphicFramePr/>
                  <a:graphic xmlns:a="http://schemas.openxmlformats.org/drawingml/2006/main">
                    <a:graphicData uri="http://schemas.openxmlformats.org/drawingml/2006/picture">
                      <pic:pic xmlns:pic="http://schemas.openxmlformats.org/drawingml/2006/picture">
                        <pic:nvPicPr>
                          <pic:cNvPr id="492" name="TextBox_1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5692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93" name="TextBox_51"/>
                  <wp:cNvGraphicFramePr/>
                  <a:graphic xmlns:a="http://schemas.openxmlformats.org/drawingml/2006/main">
                    <a:graphicData uri="http://schemas.openxmlformats.org/drawingml/2006/picture">
                      <pic:pic xmlns:pic="http://schemas.openxmlformats.org/drawingml/2006/picture">
                        <pic:nvPicPr>
                          <pic:cNvPr id="493" name="TextBox_5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5795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94" name="TextBox_52"/>
                  <wp:cNvGraphicFramePr/>
                  <a:graphic xmlns:a="http://schemas.openxmlformats.org/drawingml/2006/main">
                    <a:graphicData uri="http://schemas.openxmlformats.org/drawingml/2006/picture">
                      <pic:pic xmlns:pic="http://schemas.openxmlformats.org/drawingml/2006/picture">
                        <pic:nvPicPr>
                          <pic:cNvPr id="494" name="TextBox_5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5897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95" name="TextBox_106"/>
                  <wp:cNvGraphicFramePr/>
                  <a:graphic xmlns:a="http://schemas.openxmlformats.org/drawingml/2006/main">
                    <a:graphicData uri="http://schemas.openxmlformats.org/drawingml/2006/picture">
                      <pic:pic xmlns:pic="http://schemas.openxmlformats.org/drawingml/2006/picture">
                        <pic:nvPicPr>
                          <pic:cNvPr id="495" name="TextBox_10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6000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96" name="TextBox_105"/>
                  <wp:cNvGraphicFramePr/>
                  <a:graphic xmlns:a="http://schemas.openxmlformats.org/drawingml/2006/main">
                    <a:graphicData uri="http://schemas.openxmlformats.org/drawingml/2006/picture">
                      <pic:pic xmlns:pic="http://schemas.openxmlformats.org/drawingml/2006/picture">
                        <pic:nvPicPr>
                          <pic:cNvPr id="496" name="TextBox_10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6102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497" name="TextBox_104"/>
                  <wp:cNvGraphicFramePr/>
                  <a:graphic xmlns:a="http://schemas.openxmlformats.org/drawingml/2006/main">
                    <a:graphicData uri="http://schemas.openxmlformats.org/drawingml/2006/picture">
                      <pic:pic xmlns:pic="http://schemas.openxmlformats.org/drawingml/2006/picture">
                        <pic:nvPicPr>
                          <pic:cNvPr id="497" name="TextBox_10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6204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98" name="TextBox_49"/>
                  <wp:cNvGraphicFramePr/>
                  <a:graphic xmlns:a="http://schemas.openxmlformats.org/drawingml/2006/main">
                    <a:graphicData uri="http://schemas.openxmlformats.org/drawingml/2006/picture">
                      <pic:pic xmlns:pic="http://schemas.openxmlformats.org/drawingml/2006/picture">
                        <pic:nvPicPr>
                          <pic:cNvPr id="498" name="TextBox_4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6307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499" name="TextBox_50"/>
                  <wp:cNvGraphicFramePr/>
                  <a:graphic xmlns:a="http://schemas.openxmlformats.org/drawingml/2006/main">
                    <a:graphicData uri="http://schemas.openxmlformats.org/drawingml/2006/picture">
                      <pic:pic xmlns:pic="http://schemas.openxmlformats.org/drawingml/2006/picture">
                        <pic:nvPicPr>
                          <pic:cNvPr id="499" name="TextBox_5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6409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00" name="TextBox_2"/>
                  <wp:cNvGraphicFramePr/>
                  <a:graphic xmlns:a="http://schemas.openxmlformats.org/drawingml/2006/main">
                    <a:graphicData uri="http://schemas.openxmlformats.org/drawingml/2006/picture">
                      <pic:pic xmlns:pic="http://schemas.openxmlformats.org/drawingml/2006/picture">
                        <pic:nvPicPr>
                          <pic:cNvPr id="500" name="TextBox_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6512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01" name="TextBox_5"/>
                  <wp:cNvGraphicFramePr/>
                  <a:graphic xmlns:a="http://schemas.openxmlformats.org/drawingml/2006/main">
                    <a:graphicData uri="http://schemas.openxmlformats.org/drawingml/2006/picture">
                      <pic:pic xmlns:pic="http://schemas.openxmlformats.org/drawingml/2006/picture">
                        <pic:nvPicPr>
                          <pic:cNvPr id="501" name="TextBox_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6614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02" name="TextBox_11"/>
                  <wp:cNvGraphicFramePr/>
                  <a:graphic xmlns:a="http://schemas.openxmlformats.org/drawingml/2006/main">
                    <a:graphicData uri="http://schemas.openxmlformats.org/drawingml/2006/picture">
                      <pic:pic xmlns:pic="http://schemas.openxmlformats.org/drawingml/2006/picture">
                        <pic:nvPicPr>
                          <pic:cNvPr id="502" name="TextBox_1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6716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03" name="TextBox_47"/>
                  <wp:cNvGraphicFramePr/>
                  <a:graphic xmlns:a="http://schemas.openxmlformats.org/drawingml/2006/main">
                    <a:graphicData uri="http://schemas.openxmlformats.org/drawingml/2006/picture">
                      <pic:pic xmlns:pic="http://schemas.openxmlformats.org/drawingml/2006/picture">
                        <pic:nvPicPr>
                          <pic:cNvPr id="503" name="TextBox_4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6819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04" name="TextBox_48"/>
                  <wp:cNvGraphicFramePr/>
                  <a:graphic xmlns:a="http://schemas.openxmlformats.org/drawingml/2006/main">
                    <a:graphicData uri="http://schemas.openxmlformats.org/drawingml/2006/picture">
                      <pic:pic xmlns:pic="http://schemas.openxmlformats.org/drawingml/2006/picture">
                        <pic:nvPicPr>
                          <pic:cNvPr id="504" name="TextBox_4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6921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05" name="TextBox_45"/>
                  <wp:cNvGraphicFramePr/>
                  <a:graphic xmlns:a="http://schemas.openxmlformats.org/drawingml/2006/main">
                    <a:graphicData uri="http://schemas.openxmlformats.org/drawingml/2006/picture">
                      <pic:pic xmlns:pic="http://schemas.openxmlformats.org/drawingml/2006/picture">
                        <pic:nvPicPr>
                          <pic:cNvPr id="505" name="TextBox_4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7024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06" name="TextBox_46"/>
                  <wp:cNvGraphicFramePr/>
                  <a:graphic xmlns:a="http://schemas.openxmlformats.org/drawingml/2006/main">
                    <a:graphicData uri="http://schemas.openxmlformats.org/drawingml/2006/picture">
                      <pic:pic xmlns:pic="http://schemas.openxmlformats.org/drawingml/2006/picture">
                        <pic:nvPicPr>
                          <pic:cNvPr id="506" name="TextBox_4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7126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07" name="TextBox_11_SpCnt_1"/>
                  <wp:cNvGraphicFramePr/>
                  <a:graphic xmlns:a="http://schemas.openxmlformats.org/drawingml/2006/main">
                    <a:graphicData uri="http://schemas.openxmlformats.org/drawingml/2006/picture">
                      <pic:pic xmlns:pic="http://schemas.openxmlformats.org/drawingml/2006/picture">
                        <pic:nvPicPr>
                          <pic:cNvPr id="507" name="TextBox_11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7228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08" name="TextBox_7_SpCnt_1"/>
                  <wp:cNvGraphicFramePr/>
                  <a:graphic xmlns:a="http://schemas.openxmlformats.org/drawingml/2006/main">
                    <a:graphicData uri="http://schemas.openxmlformats.org/drawingml/2006/picture">
                      <pic:pic xmlns:pic="http://schemas.openxmlformats.org/drawingml/2006/picture">
                        <pic:nvPicPr>
                          <pic:cNvPr id="508" name="TextBox_7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7331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09" name="TextBox_9"/>
                  <wp:cNvGraphicFramePr/>
                  <a:graphic xmlns:a="http://schemas.openxmlformats.org/drawingml/2006/main">
                    <a:graphicData uri="http://schemas.openxmlformats.org/drawingml/2006/picture">
                      <pic:pic xmlns:pic="http://schemas.openxmlformats.org/drawingml/2006/picture">
                        <pic:nvPicPr>
                          <pic:cNvPr id="509" name="TextBox_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7433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10" name="TextBox_10"/>
                  <wp:cNvGraphicFramePr/>
                  <a:graphic xmlns:a="http://schemas.openxmlformats.org/drawingml/2006/main">
                    <a:graphicData uri="http://schemas.openxmlformats.org/drawingml/2006/picture">
                      <pic:pic xmlns:pic="http://schemas.openxmlformats.org/drawingml/2006/picture">
                        <pic:nvPicPr>
                          <pic:cNvPr id="510" name="TextBox_1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7536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11" name="TextBox_8"/>
                  <wp:cNvGraphicFramePr/>
                  <a:graphic xmlns:a="http://schemas.openxmlformats.org/drawingml/2006/main">
                    <a:graphicData uri="http://schemas.openxmlformats.org/drawingml/2006/picture">
                      <pic:pic xmlns:pic="http://schemas.openxmlformats.org/drawingml/2006/picture">
                        <pic:nvPicPr>
                          <pic:cNvPr id="511" name="TextBox_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7638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12" name="TextBox_10_SpCnt_1"/>
                  <wp:cNvGraphicFramePr/>
                  <a:graphic xmlns:a="http://schemas.openxmlformats.org/drawingml/2006/main">
                    <a:graphicData uri="http://schemas.openxmlformats.org/drawingml/2006/picture">
                      <pic:pic xmlns:pic="http://schemas.openxmlformats.org/drawingml/2006/picture">
                        <pic:nvPicPr>
                          <pic:cNvPr id="512" name="TextBox_10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7740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13" name="TextBox_43"/>
                  <wp:cNvGraphicFramePr/>
                  <a:graphic xmlns:a="http://schemas.openxmlformats.org/drawingml/2006/main">
                    <a:graphicData uri="http://schemas.openxmlformats.org/drawingml/2006/picture">
                      <pic:pic xmlns:pic="http://schemas.openxmlformats.org/drawingml/2006/picture">
                        <pic:nvPicPr>
                          <pic:cNvPr id="513" name="TextBox_4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7843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14" name="TextBox_44"/>
                  <wp:cNvGraphicFramePr/>
                  <a:graphic xmlns:a="http://schemas.openxmlformats.org/drawingml/2006/main">
                    <a:graphicData uri="http://schemas.openxmlformats.org/drawingml/2006/picture">
                      <pic:pic xmlns:pic="http://schemas.openxmlformats.org/drawingml/2006/picture">
                        <pic:nvPicPr>
                          <pic:cNvPr id="514" name="TextBox_4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7945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15" name="TextBox_5_SpCnt_1"/>
                  <wp:cNvGraphicFramePr/>
                  <a:graphic xmlns:a="http://schemas.openxmlformats.org/drawingml/2006/main">
                    <a:graphicData uri="http://schemas.openxmlformats.org/drawingml/2006/picture">
                      <pic:pic xmlns:pic="http://schemas.openxmlformats.org/drawingml/2006/picture">
                        <pic:nvPicPr>
                          <pic:cNvPr id="515" name="TextBox_5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8048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16" name="TextBox_6_SpCnt_1"/>
                  <wp:cNvGraphicFramePr/>
                  <a:graphic xmlns:a="http://schemas.openxmlformats.org/drawingml/2006/main">
                    <a:graphicData uri="http://schemas.openxmlformats.org/drawingml/2006/picture">
                      <pic:pic xmlns:pic="http://schemas.openxmlformats.org/drawingml/2006/picture">
                        <pic:nvPicPr>
                          <pic:cNvPr id="516" name="TextBox_6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8150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17" name="TextBox_3_SpCnt_1"/>
                  <wp:cNvGraphicFramePr/>
                  <a:graphic xmlns:a="http://schemas.openxmlformats.org/drawingml/2006/main">
                    <a:graphicData uri="http://schemas.openxmlformats.org/drawingml/2006/picture">
                      <pic:pic xmlns:pic="http://schemas.openxmlformats.org/drawingml/2006/picture">
                        <pic:nvPicPr>
                          <pic:cNvPr id="517" name="TextBox_3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8252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18" name="TextBox_4"/>
                  <wp:cNvGraphicFramePr/>
                  <a:graphic xmlns:a="http://schemas.openxmlformats.org/drawingml/2006/main">
                    <a:graphicData uri="http://schemas.openxmlformats.org/drawingml/2006/picture">
                      <pic:pic xmlns:pic="http://schemas.openxmlformats.org/drawingml/2006/picture">
                        <pic:nvPicPr>
                          <pic:cNvPr id="518" name="TextBox_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8355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19" name="TextBox_2_SpCnt_1"/>
                  <wp:cNvGraphicFramePr/>
                  <a:graphic xmlns:a="http://schemas.openxmlformats.org/drawingml/2006/main">
                    <a:graphicData uri="http://schemas.openxmlformats.org/drawingml/2006/picture">
                      <pic:pic xmlns:pic="http://schemas.openxmlformats.org/drawingml/2006/picture">
                        <pic:nvPicPr>
                          <pic:cNvPr id="519" name="TextBox_2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8457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20" name="TextBox_20"/>
                  <wp:cNvGraphicFramePr/>
                  <a:graphic xmlns:a="http://schemas.openxmlformats.org/drawingml/2006/main">
                    <a:graphicData uri="http://schemas.openxmlformats.org/drawingml/2006/picture">
                      <pic:pic xmlns:pic="http://schemas.openxmlformats.org/drawingml/2006/picture">
                        <pic:nvPicPr>
                          <pic:cNvPr id="520" name="TextBox_2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8560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21" name="TextBox_42"/>
                  <wp:cNvGraphicFramePr/>
                  <a:graphic xmlns:a="http://schemas.openxmlformats.org/drawingml/2006/main">
                    <a:graphicData uri="http://schemas.openxmlformats.org/drawingml/2006/picture">
                      <pic:pic xmlns:pic="http://schemas.openxmlformats.org/drawingml/2006/picture">
                        <pic:nvPicPr>
                          <pic:cNvPr id="521" name="TextBox_4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8662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22" name="TextBox_83"/>
                  <wp:cNvGraphicFramePr/>
                  <a:graphic xmlns:a="http://schemas.openxmlformats.org/drawingml/2006/main">
                    <a:graphicData uri="http://schemas.openxmlformats.org/drawingml/2006/picture">
                      <pic:pic xmlns:pic="http://schemas.openxmlformats.org/drawingml/2006/picture">
                        <pic:nvPicPr>
                          <pic:cNvPr id="522" name="TextBox_8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8764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23" name="TextBox_4_SpCnt_1"/>
                  <wp:cNvGraphicFramePr/>
                  <a:graphic xmlns:a="http://schemas.openxmlformats.org/drawingml/2006/main">
                    <a:graphicData uri="http://schemas.openxmlformats.org/drawingml/2006/picture">
                      <pic:pic xmlns:pic="http://schemas.openxmlformats.org/drawingml/2006/picture">
                        <pic:nvPicPr>
                          <pic:cNvPr id="523" name="TextBox_4_SpCnt_1"/>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8867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24" name="TextBox_9_SpCnt_1"/>
                  <wp:cNvGraphicFramePr/>
                  <a:graphic xmlns:a="http://schemas.openxmlformats.org/drawingml/2006/main">
                    <a:graphicData uri="http://schemas.openxmlformats.org/drawingml/2006/picture">
                      <pic:pic xmlns:pic="http://schemas.openxmlformats.org/drawingml/2006/picture">
                        <pic:nvPicPr>
                          <pic:cNvPr id="524" name="TextBox_9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8969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25" name="TextBox_19"/>
                  <wp:cNvGraphicFramePr/>
                  <a:graphic xmlns:a="http://schemas.openxmlformats.org/drawingml/2006/main">
                    <a:graphicData uri="http://schemas.openxmlformats.org/drawingml/2006/picture">
                      <pic:pic xmlns:pic="http://schemas.openxmlformats.org/drawingml/2006/picture">
                        <pic:nvPicPr>
                          <pic:cNvPr id="525" name="TextBox_1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9072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26" name="TextBox_81"/>
                  <wp:cNvGraphicFramePr/>
                  <a:graphic xmlns:a="http://schemas.openxmlformats.org/drawingml/2006/main">
                    <a:graphicData uri="http://schemas.openxmlformats.org/drawingml/2006/picture">
                      <pic:pic xmlns:pic="http://schemas.openxmlformats.org/drawingml/2006/picture">
                        <pic:nvPicPr>
                          <pic:cNvPr id="526" name="TextBox_8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9174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27" name="TextBox_82"/>
                  <wp:cNvGraphicFramePr/>
                  <a:graphic xmlns:a="http://schemas.openxmlformats.org/drawingml/2006/main">
                    <a:graphicData uri="http://schemas.openxmlformats.org/drawingml/2006/picture">
                      <pic:pic xmlns:pic="http://schemas.openxmlformats.org/drawingml/2006/picture">
                        <pic:nvPicPr>
                          <pic:cNvPr id="527" name="TextBox_8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9276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28" name="TextBox_79"/>
                  <wp:cNvGraphicFramePr/>
                  <a:graphic xmlns:a="http://schemas.openxmlformats.org/drawingml/2006/main">
                    <a:graphicData uri="http://schemas.openxmlformats.org/drawingml/2006/picture">
                      <pic:pic xmlns:pic="http://schemas.openxmlformats.org/drawingml/2006/picture">
                        <pic:nvPicPr>
                          <pic:cNvPr id="528" name="TextBox_7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9379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29" name="TextBox_80"/>
                  <wp:cNvGraphicFramePr/>
                  <a:graphic xmlns:a="http://schemas.openxmlformats.org/drawingml/2006/main">
                    <a:graphicData uri="http://schemas.openxmlformats.org/drawingml/2006/picture">
                      <pic:pic xmlns:pic="http://schemas.openxmlformats.org/drawingml/2006/picture">
                        <pic:nvPicPr>
                          <pic:cNvPr id="529" name="TextBox_8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9481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30" name="TextBox_18"/>
                  <wp:cNvGraphicFramePr/>
                  <a:graphic xmlns:a="http://schemas.openxmlformats.org/drawingml/2006/main">
                    <a:graphicData uri="http://schemas.openxmlformats.org/drawingml/2006/picture">
                      <pic:pic xmlns:pic="http://schemas.openxmlformats.org/drawingml/2006/picture">
                        <pic:nvPicPr>
                          <pic:cNvPr id="530" name="TextBox_1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95840"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31" name="TextBox_77"/>
                  <wp:cNvGraphicFramePr/>
                  <a:graphic xmlns:a="http://schemas.openxmlformats.org/drawingml/2006/main">
                    <a:graphicData uri="http://schemas.openxmlformats.org/drawingml/2006/picture">
                      <pic:pic xmlns:pic="http://schemas.openxmlformats.org/drawingml/2006/picture">
                        <pic:nvPicPr>
                          <pic:cNvPr id="531" name="TextBox_7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96864"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32" name="TextBox_78"/>
                  <wp:cNvGraphicFramePr/>
                  <a:graphic xmlns:a="http://schemas.openxmlformats.org/drawingml/2006/main">
                    <a:graphicData uri="http://schemas.openxmlformats.org/drawingml/2006/picture">
                      <pic:pic xmlns:pic="http://schemas.openxmlformats.org/drawingml/2006/picture">
                        <pic:nvPicPr>
                          <pic:cNvPr id="532" name="TextBox_7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9788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33" name="TextBox_75"/>
                  <wp:cNvGraphicFramePr/>
                  <a:graphic xmlns:a="http://schemas.openxmlformats.org/drawingml/2006/main">
                    <a:graphicData uri="http://schemas.openxmlformats.org/drawingml/2006/picture">
                      <pic:pic xmlns:pic="http://schemas.openxmlformats.org/drawingml/2006/picture">
                        <pic:nvPicPr>
                          <pic:cNvPr id="533" name="TextBox_7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9891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34" name="TextBox_76"/>
                  <wp:cNvGraphicFramePr/>
                  <a:graphic xmlns:a="http://schemas.openxmlformats.org/drawingml/2006/main">
                    <a:graphicData uri="http://schemas.openxmlformats.org/drawingml/2006/picture">
                      <pic:pic xmlns:pic="http://schemas.openxmlformats.org/drawingml/2006/picture">
                        <pic:nvPicPr>
                          <pic:cNvPr id="534" name="TextBox_7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19993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35" name="TextBox_8_SpCnt_1"/>
                  <wp:cNvGraphicFramePr/>
                  <a:graphic xmlns:a="http://schemas.openxmlformats.org/drawingml/2006/main">
                    <a:graphicData uri="http://schemas.openxmlformats.org/drawingml/2006/picture">
                      <pic:pic xmlns:pic="http://schemas.openxmlformats.org/drawingml/2006/picture">
                        <pic:nvPicPr>
                          <pic:cNvPr id="535" name="TextBox_8_SpCnt_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20096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36" name="TextBox_17"/>
                  <wp:cNvGraphicFramePr/>
                  <a:graphic xmlns:a="http://schemas.openxmlformats.org/drawingml/2006/main">
                    <a:graphicData uri="http://schemas.openxmlformats.org/drawingml/2006/picture">
                      <pic:pic xmlns:pic="http://schemas.openxmlformats.org/drawingml/2006/picture">
                        <pic:nvPicPr>
                          <pic:cNvPr id="536" name="TextBox_1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20198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37" name="TextBox_73"/>
                  <wp:cNvGraphicFramePr/>
                  <a:graphic xmlns:a="http://schemas.openxmlformats.org/drawingml/2006/main">
                    <a:graphicData uri="http://schemas.openxmlformats.org/drawingml/2006/picture">
                      <pic:pic xmlns:pic="http://schemas.openxmlformats.org/drawingml/2006/picture">
                        <pic:nvPicPr>
                          <pic:cNvPr id="537" name="TextBox_7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203008"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38" name="TextBox_74"/>
                  <wp:cNvGraphicFramePr/>
                  <a:graphic xmlns:a="http://schemas.openxmlformats.org/drawingml/2006/main">
                    <a:graphicData uri="http://schemas.openxmlformats.org/drawingml/2006/picture">
                      <pic:pic xmlns:pic="http://schemas.openxmlformats.org/drawingml/2006/picture">
                        <pic:nvPicPr>
                          <pic:cNvPr id="538" name="TextBox_7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204032"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39" name="TextBox_71"/>
                  <wp:cNvGraphicFramePr/>
                  <a:graphic xmlns:a="http://schemas.openxmlformats.org/drawingml/2006/main">
                    <a:graphicData uri="http://schemas.openxmlformats.org/drawingml/2006/picture">
                      <pic:pic xmlns:pic="http://schemas.openxmlformats.org/drawingml/2006/picture">
                        <pic:nvPicPr>
                          <pic:cNvPr id="539" name="TextBox_7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205056"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40" name="TextBox_72"/>
                  <wp:cNvGraphicFramePr/>
                  <a:graphic xmlns:a="http://schemas.openxmlformats.org/drawingml/2006/main">
                    <a:graphicData uri="http://schemas.openxmlformats.org/drawingml/2006/picture">
                      <pic:pic xmlns:pic="http://schemas.openxmlformats.org/drawingml/2006/picture">
                        <pic:nvPicPr>
                          <pic:cNvPr id="540" name="TextBox_7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206080"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41" name="TextBox_16"/>
                  <wp:cNvGraphicFramePr/>
                  <a:graphic xmlns:a="http://schemas.openxmlformats.org/drawingml/2006/main">
                    <a:graphicData uri="http://schemas.openxmlformats.org/drawingml/2006/picture">
                      <pic:pic xmlns:pic="http://schemas.openxmlformats.org/drawingml/2006/picture">
                        <pic:nvPicPr>
                          <pic:cNvPr id="541" name="TextBox_16"/>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207104"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42" name="TextBox_69"/>
                  <wp:cNvGraphicFramePr/>
                  <a:graphic xmlns:a="http://schemas.openxmlformats.org/drawingml/2006/main">
                    <a:graphicData uri="http://schemas.openxmlformats.org/drawingml/2006/picture">
                      <pic:pic xmlns:pic="http://schemas.openxmlformats.org/drawingml/2006/picture">
                        <pic:nvPicPr>
                          <pic:cNvPr id="542" name="TextBox_6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208128" behindDoc="0" locked="0" layoutInCell="1" allowOverlap="1">
                  <wp:simplePos x="0" y="0"/>
                  <wp:positionH relativeFrom="column">
                    <wp:posOffset>3228975</wp:posOffset>
                  </wp:positionH>
                  <wp:positionV relativeFrom="paragraph">
                    <wp:posOffset>0</wp:posOffset>
                  </wp:positionV>
                  <wp:extent cx="184150" cy="256540"/>
                  <wp:effectExtent l="0" t="0" r="0" b="0"/>
                  <wp:wrapNone/>
                  <wp:docPr id="543" name="TextBox_70"/>
                  <wp:cNvGraphicFramePr/>
                  <a:graphic xmlns:a="http://schemas.openxmlformats.org/drawingml/2006/main">
                    <a:graphicData uri="http://schemas.openxmlformats.org/drawingml/2006/picture">
                      <pic:pic xmlns:pic="http://schemas.openxmlformats.org/drawingml/2006/picture">
                        <pic:nvPicPr>
                          <pic:cNvPr id="543" name="TextBox_7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209152"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44" name="TextBox_67"/>
                  <wp:cNvGraphicFramePr/>
                  <a:graphic xmlns:a="http://schemas.openxmlformats.org/drawingml/2006/main">
                    <a:graphicData uri="http://schemas.openxmlformats.org/drawingml/2006/picture">
                      <pic:pic xmlns:pic="http://schemas.openxmlformats.org/drawingml/2006/picture">
                        <pic:nvPicPr>
                          <pic:cNvPr id="544" name="TextBox_6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4"/>
                <w:bdr w:val="single" w:color="000000" w:sz="4" w:space="0"/>
                <w:shd w:val="clear" w:color="auto" w:fill="FFFFFF"/>
              </w:rPr>
              <w:drawing>
                <wp:anchor distT="0" distB="0" distL="114300" distR="114300" simplePos="0" relativeHeight="252210176" behindDoc="0" locked="0" layoutInCell="1" allowOverlap="1">
                  <wp:simplePos x="0" y="0"/>
                  <wp:positionH relativeFrom="column">
                    <wp:posOffset>3228975</wp:posOffset>
                  </wp:positionH>
                  <wp:positionV relativeFrom="paragraph">
                    <wp:posOffset>0</wp:posOffset>
                  </wp:positionV>
                  <wp:extent cx="184150" cy="269240"/>
                  <wp:effectExtent l="0" t="0" r="0" b="0"/>
                  <wp:wrapNone/>
                  <wp:docPr id="545" name="TextBox_68"/>
                  <wp:cNvGraphicFramePr/>
                  <a:graphic xmlns:a="http://schemas.openxmlformats.org/drawingml/2006/main">
                    <a:graphicData uri="http://schemas.openxmlformats.org/drawingml/2006/picture">
                      <pic:pic xmlns:pic="http://schemas.openxmlformats.org/drawingml/2006/picture">
                        <pic:nvPicPr>
                          <pic:cNvPr id="545" name="TextBox_68"/>
                          <pic:cNvPicPr/>
                        </pic:nvPicPr>
                        <pic:blipFill>
                          <a:blip r:embed="rId17"/>
                          <a:stretch>
                            <a:fillRect/>
                          </a:stretch>
                        </pic:blipFill>
                        <pic:spPr>
                          <a:xfrm>
                            <a:off x="0" y="0"/>
                            <a:ext cx="184150" cy="269240"/>
                          </a:xfrm>
                          <a:prstGeom prst="rect">
                            <a:avLst/>
                          </a:prstGeom>
                          <a:noFill/>
                          <a:ln>
                            <a:noFill/>
                          </a:ln>
                        </pic:spPr>
                      </pic:pic>
                    </a:graphicData>
                  </a:graphic>
                </wp:anchor>
              </w:drawing>
            </w:r>
            <w:r>
              <w:rPr>
                <w:rStyle w:val="49"/>
                <w:rFonts w:eastAsia="宋体"/>
                <w:color w:val="auto"/>
                <w:lang w:bidi="ar"/>
              </w:rPr>
              <w:t>UPS</w:t>
            </w:r>
            <w:r>
              <w:rPr>
                <w:rStyle w:val="48"/>
                <w:rFonts w:hint="default"/>
                <w:color w:val="auto"/>
                <w:lang w:bidi="ar"/>
              </w:rPr>
              <w:t>及电池系统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b/>
                <w:bCs/>
                <w:color w:val="auto"/>
                <w:sz w:val="20"/>
                <w:szCs w:val="20"/>
              </w:rPr>
            </w:pP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184150" cy="256540"/>
                  <wp:effectExtent l="0" t="0" r="0" b="0"/>
                  <wp:wrapNone/>
                  <wp:docPr id="636" name="TextBox_29"/>
                  <wp:cNvGraphicFramePr/>
                  <a:graphic xmlns:a="http://schemas.openxmlformats.org/drawingml/2006/main">
                    <a:graphicData uri="http://schemas.openxmlformats.org/drawingml/2006/picture">
                      <pic:pic xmlns:pic="http://schemas.openxmlformats.org/drawingml/2006/picture">
                        <pic:nvPicPr>
                          <pic:cNvPr id="636" name="TextBox_2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184150" cy="256540"/>
                  <wp:effectExtent l="0" t="0" r="0" b="0"/>
                  <wp:wrapNone/>
                  <wp:docPr id="637" name="TextBox_92"/>
                  <wp:cNvGraphicFramePr/>
                  <a:graphic xmlns:a="http://schemas.openxmlformats.org/drawingml/2006/main">
                    <a:graphicData uri="http://schemas.openxmlformats.org/drawingml/2006/picture">
                      <pic:pic xmlns:pic="http://schemas.openxmlformats.org/drawingml/2006/picture">
                        <pic:nvPicPr>
                          <pic:cNvPr id="637" name="TextBox_9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184150" cy="256540"/>
                  <wp:effectExtent l="0" t="0" r="0" b="0"/>
                  <wp:wrapNone/>
                  <wp:docPr id="638" name="TextBox_91"/>
                  <wp:cNvGraphicFramePr/>
                  <a:graphic xmlns:a="http://schemas.openxmlformats.org/drawingml/2006/main">
                    <a:graphicData uri="http://schemas.openxmlformats.org/drawingml/2006/picture">
                      <pic:pic xmlns:pic="http://schemas.openxmlformats.org/drawingml/2006/picture">
                        <pic:nvPicPr>
                          <pic:cNvPr id="638" name="TextBox_9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184150" cy="256540"/>
                  <wp:effectExtent l="0" t="0" r="0" b="0"/>
                  <wp:wrapNone/>
                  <wp:docPr id="639" name="TextBox_39"/>
                  <wp:cNvGraphicFramePr/>
                  <a:graphic xmlns:a="http://schemas.openxmlformats.org/drawingml/2006/main">
                    <a:graphicData uri="http://schemas.openxmlformats.org/drawingml/2006/picture">
                      <pic:pic xmlns:pic="http://schemas.openxmlformats.org/drawingml/2006/picture">
                        <pic:nvPicPr>
                          <pic:cNvPr id="639" name="TextBox_3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184150" cy="256540"/>
                  <wp:effectExtent l="0" t="0" r="0" b="0"/>
                  <wp:wrapNone/>
                  <wp:docPr id="640" name="TextBox_38"/>
                  <wp:cNvGraphicFramePr/>
                  <a:graphic xmlns:a="http://schemas.openxmlformats.org/drawingml/2006/main">
                    <a:graphicData uri="http://schemas.openxmlformats.org/drawingml/2006/picture">
                      <pic:pic xmlns:pic="http://schemas.openxmlformats.org/drawingml/2006/picture">
                        <pic:nvPicPr>
                          <pic:cNvPr id="640" name="TextBox_3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184150" cy="256540"/>
                  <wp:effectExtent l="0" t="0" r="0" b="0"/>
                  <wp:wrapNone/>
                  <wp:docPr id="641" name="TextBox_37"/>
                  <wp:cNvGraphicFramePr/>
                  <a:graphic xmlns:a="http://schemas.openxmlformats.org/drawingml/2006/main">
                    <a:graphicData uri="http://schemas.openxmlformats.org/drawingml/2006/picture">
                      <pic:pic xmlns:pic="http://schemas.openxmlformats.org/drawingml/2006/picture">
                        <pic:nvPicPr>
                          <pic:cNvPr id="641" name="TextBox_3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184150" cy="256540"/>
                  <wp:effectExtent l="0" t="0" r="0" b="0"/>
                  <wp:wrapNone/>
                  <wp:docPr id="642" name="TextBox_28"/>
                  <wp:cNvGraphicFramePr/>
                  <a:graphic xmlns:a="http://schemas.openxmlformats.org/drawingml/2006/main">
                    <a:graphicData uri="http://schemas.openxmlformats.org/drawingml/2006/picture">
                      <pic:pic xmlns:pic="http://schemas.openxmlformats.org/drawingml/2006/picture">
                        <pic:nvPicPr>
                          <pic:cNvPr id="642" name="TextBox_28"/>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184150" cy="269240"/>
                  <wp:effectExtent l="0" t="0" r="0" b="0"/>
                  <wp:wrapNone/>
                  <wp:docPr id="643" name="TextBox_35"/>
                  <wp:cNvGraphicFramePr/>
                  <a:graphic xmlns:a="http://schemas.openxmlformats.org/drawingml/2006/main">
                    <a:graphicData uri="http://schemas.openxmlformats.org/drawingml/2006/picture">
                      <pic:pic xmlns:pic="http://schemas.openxmlformats.org/drawingml/2006/picture">
                        <pic:nvPicPr>
                          <pic:cNvPr id="643" name="TextBox_3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184150" cy="269240"/>
                  <wp:effectExtent l="0" t="0" r="0" b="0"/>
                  <wp:wrapNone/>
                  <wp:docPr id="644" name="TextBox_23"/>
                  <wp:cNvGraphicFramePr/>
                  <a:graphic xmlns:a="http://schemas.openxmlformats.org/drawingml/2006/main">
                    <a:graphicData uri="http://schemas.openxmlformats.org/drawingml/2006/picture">
                      <pic:pic xmlns:pic="http://schemas.openxmlformats.org/drawingml/2006/picture">
                        <pic:nvPicPr>
                          <pic:cNvPr id="644" name="TextBox_2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184150" cy="269240"/>
                  <wp:effectExtent l="0" t="0" r="0" b="0"/>
                  <wp:wrapNone/>
                  <wp:docPr id="645" name="TextBox_34"/>
                  <wp:cNvGraphicFramePr/>
                  <a:graphic xmlns:a="http://schemas.openxmlformats.org/drawingml/2006/main">
                    <a:graphicData uri="http://schemas.openxmlformats.org/drawingml/2006/picture">
                      <pic:pic xmlns:pic="http://schemas.openxmlformats.org/drawingml/2006/picture">
                        <pic:nvPicPr>
                          <pic:cNvPr id="645" name="TextBox_3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184150" cy="269240"/>
                  <wp:effectExtent l="0" t="0" r="0" b="0"/>
                  <wp:wrapNone/>
                  <wp:docPr id="646" name="TextBox_36"/>
                  <wp:cNvGraphicFramePr/>
                  <a:graphic xmlns:a="http://schemas.openxmlformats.org/drawingml/2006/main">
                    <a:graphicData uri="http://schemas.openxmlformats.org/drawingml/2006/picture">
                      <pic:pic xmlns:pic="http://schemas.openxmlformats.org/drawingml/2006/picture">
                        <pic:nvPicPr>
                          <pic:cNvPr id="646" name="TextBox_3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184150" cy="269240"/>
                  <wp:effectExtent l="0" t="0" r="0" b="0"/>
                  <wp:wrapNone/>
                  <wp:docPr id="647" name="TextBox_88"/>
                  <wp:cNvGraphicFramePr/>
                  <a:graphic xmlns:a="http://schemas.openxmlformats.org/drawingml/2006/main">
                    <a:graphicData uri="http://schemas.openxmlformats.org/drawingml/2006/picture">
                      <pic:pic xmlns:pic="http://schemas.openxmlformats.org/drawingml/2006/picture">
                        <pic:nvPicPr>
                          <pic:cNvPr id="647" name="TextBox_8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184150" cy="269240"/>
                  <wp:effectExtent l="0" t="0" r="0" b="0"/>
                  <wp:wrapNone/>
                  <wp:docPr id="648" name="TextBox_87"/>
                  <wp:cNvGraphicFramePr/>
                  <a:graphic xmlns:a="http://schemas.openxmlformats.org/drawingml/2006/main">
                    <a:graphicData uri="http://schemas.openxmlformats.org/drawingml/2006/picture">
                      <pic:pic xmlns:pic="http://schemas.openxmlformats.org/drawingml/2006/picture">
                        <pic:nvPicPr>
                          <pic:cNvPr id="648" name="TextBox_8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184150" cy="256540"/>
                  <wp:effectExtent l="0" t="0" r="0" b="0"/>
                  <wp:wrapNone/>
                  <wp:docPr id="649" name="TextBox_31"/>
                  <wp:cNvGraphicFramePr/>
                  <a:graphic xmlns:a="http://schemas.openxmlformats.org/drawingml/2006/main">
                    <a:graphicData uri="http://schemas.openxmlformats.org/drawingml/2006/picture">
                      <pic:pic xmlns:pic="http://schemas.openxmlformats.org/drawingml/2006/picture">
                        <pic:nvPicPr>
                          <pic:cNvPr id="649" name="TextBox_3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184150" cy="256540"/>
                  <wp:effectExtent l="0" t="0" r="0" b="0"/>
                  <wp:wrapNone/>
                  <wp:docPr id="650" name="TextBox_41"/>
                  <wp:cNvGraphicFramePr/>
                  <a:graphic xmlns:a="http://schemas.openxmlformats.org/drawingml/2006/main">
                    <a:graphicData uri="http://schemas.openxmlformats.org/drawingml/2006/picture">
                      <pic:pic xmlns:pic="http://schemas.openxmlformats.org/drawingml/2006/picture">
                        <pic:nvPicPr>
                          <pic:cNvPr id="650" name="TextBox_41"/>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184150" cy="269240"/>
                  <wp:effectExtent l="0" t="0" r="0" b="0"/>
                  <wp:wrapNone/>
                  <wp:docPr id="651" name="TextBox_26"/>
                  <wp:cNvGraphicFramePr/>
                  <a:graphic xmlns:a="http://schemas.openxmlformats.org/drawingml/2006/main">
                    <a:graphicData uri="http://schemas.openxmlformats.org/drawingml/2006/picture">
                      <pic:pic xmlns:pic="http://schemas.openxmlformats.org/drawingml/2006/picture">
                        <pic:nvPicPr>
                          <pic:cNvPr id="651" name="TextBox_2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184150" cy="256540"/>
                  <wp:effectExtent l="0" t="0" r="0" b="0"/>
                  <wp:wrapNone/>
                  <wp:docPr id="652" name="TextBox_103"/>
                  <wp:cNvGraphicFramePr/>
                  <a:graphic xmlns:a="http://schemas.openxmlformats.org/drawingml/2006/main">
                    <a:graphicData uri="http://schemas.openxmlformats.org/drawingml/2006/picture">
                      <pic:pic xmlns:pic="http://schemas.openxmlformats.org/drawingml/2006/picture">
                        <pic:nvPicPr>
                          <pic:cNvPr id="652" name="TextBox_10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184150" cy="256540"/>
                  <wp:effectExtent l="0" t="0" r="0" b="0"/>
                  <wp:wrapNone/>
                  <wp:docPr id="653" name="TextBox_102"/>
                  <wp:cNvGraphicFramePr/>
                  <a:graphic xmlns:a="http://schemas.openxmlformats.org/drawingml/2006/main">
                    <a:graphicData uri="http://schemas.openxmlformats.org/drawingml/2006/picture">
                      <pic:pic xmlns:pic="http://schemas.openxmlformats.org/drawingml/2006/picture">
                        <pic:nvPicPr>
                          <pic:cNvPr id="653" name="TextBox_102"/>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184150" cy="256540"/>
                  <wp:effectExtent l="0" t="0" r="0" b="0"/>
                  <wp:wrapNone/>
                  <wp:docPr id="654" name="TextBox_30"/>
                  <wp:cNvGraphicFramePr/>
                  <a:graphic xmlns:a="http://schemas.openxmlformats.org/drawingml/2006/main">
                    <a:graphicData uri="http://schemas.openxmlformats.org/drawingml/2006/picture">
                      <pic:pic xmlns:pic="http://schemas.openxmlformats.org/drawingml/2006/picture">
                        <pic:nvPicPr>
                          <pic:cNvPr id="654" name="TextBox_3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184150" cy="269240"/>
                  <wp:effectExtent l="0" t="0" r="0" b="0"/>
                  <wp:wrapNone/>
                  <wp:docPr id="655" name="TextBox_25"/>
                  <wp:cNvGraphicFramePr/>
                  <a:graphic xmlns:a="http://schemas.openxmlformats.org/drawingml/2006/main">
                    <a:graphicData uri="http://schemas.openxmlformats.org/drawingml/2006/picture">
                      <pic:pic xmlns:pic="http://schemas.openxmlformats.org/drawingml/2006/picture">
                        <pic:nvPicPr>
                          <pic:cNvPr id="655" name="TextBox_2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184150" cy="269240"/>
                  <wp:effectExtent l="0" t="0" r="0" b="0"/>
                  <wp:wrapNone/>
                  <wp:docPr id="656" name="TextBox_98"/>
                  <wp:cNvGraphicFramePr/>
                  <a:graphic xmlns:a="http://schemas.openxmlformats.org/drawingml/2006/main">
                    <a:graphicData uri="http://schemas.openxmlformats.org/drawingml/2006/picture">
                      <pic:pic xmlns:pic="http://schemas.openxmlformats.org/drawingml/2006/picture">
                        <pic:nvPicPr>
                          <pic:cNvPr id="656" name="TextBox_98"/>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184150" cy="269240"/>
                  <wp:effectExtent l="0" t="0" r="0" b="0"/>
                  <wp:wrapNone/>
                  <wp:docPr id="657" name="TextBox_97"/>
                  <wp:cNvGraphicFramePr/>
                  <a:graphic xmlns:a="http://schemas.openxmlformats.org/drawingml/2006/main">
                    <a:graphicData uri="http://schemas.openxmlformats.org/drawingml/2006/picture">
                      <pic:pic xmlns:pic="http://schemas.openxmlformats.org/drawingml/2006/picture">
                        <pic:nvPicPr>
                          <pic:cNvPr id="657" name="TextBox_97"/>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184150" cy="269240"/>
                  <wp:effectExtent l="0" t="0" r="0" b="0"/>
                  <wp:wrapNone/>
                  <wp:docPr id="658" name="TextBox_24"/>
                  <wp:cNvGraphicFramePr/>
                  <a:graphic xmlns:a="http://schemas.openxmlformats.org/drawingml/2006/main">
                    <a:graphicData uri="http://schemas.openxmlformats.org/drawingml/2006/picture">
                      <pic:pic xmlns:pic="http://schemas.openxmlformats.org/drawingml/2006/picture">
                        <pic:nvPicPr>
                          <pic:cNvPr id="658" name="TextBox_2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184150" cy="269240"/>
                  <wp:effectExtent l="0" t="0" r="0" b="0"/>
                  <wp:wrapNone/>
                  <wp:docPr id="659" name="TextBox_96"/>
                  <wp:cNvGraphicFramePr/>
                  <a:graphic xmlns:a="http://schemas.openxmlformats.org/drawingml/2006/main">
                    <a:graphicData uri="http://schemas.openxmlformats.org/drawingml/2006/picture">
                      <pic:pic xmlns:pic="http://schemas.openxmlformats.org/drawingml/2006/picture">
                        <pic:nvPicPr>
                          <pic:cNvPr id="659" name="TextBox_9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184150" cy="269240"/>
                  <wp:effectExtent l="0" t="0" r="0" b="0"/>
                  <wp:wrapNone/>
                  <wp:docPr id="660" name="TextBox_95"/>
                  <wp:cNvGraphicFramePr/>
                  <a:graphic xmlns:a="http://schemas.openxmlformats.org/drawingml/2006/main">
                    <a:graphicData uri="http://schemas.openxmlformats.org/drawingml/2006/picture">
                      <pic:pic xmlns:pic="http://schemas.openxmlformats.org/drawingml/2006/picture">
                        <pic:nvPicPr>
                          <pic:cNvPr id="660" name="TextBox_9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184150" cy="269240"/>
                  <wp:effectExtent l="0" t="0" r="0" b="0"/>
                  <wp:wrapNone/>
                  <wp:docPr id="661" name="TextBox_94"/>
                  <wp:cNvGraphicFramePr/>
                  <a:graphic xmlns:a="http://schemas.openxmlformats.org/drawingml/2006/main">
                    <a:graphicData uri="http://schemas.openxmlformats.org/drawingml/2006/picture">
                      <pic:pic xmlns:pic="http://schemas.openxmlformats.org/drawingml/2006/picture">
                        <pic:nvPicPr>
                          <pic:cNvPr id="661" name="TextBox_9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184150" cy="256540"/>
                  <wp:effectExtent l="0" t="0" r="0" b="0"/>
                  <wp:wrapNone/>
                  <wp:docPr id="662" name="TextBox_93"/>
                  <wp:cNvGraphicFramePr/>
                  <a:graphic xmlns:a="http://schemas.openxmlformats.org/drawingml/2006/main">
                    <a:graphicData uri="http://schemas.openxmlformats.org/drawingml/2006/picture">
                      <pic:pic xmlns:pic="http://schemas.openxmlformats.org/drawingml/2006/picture">
                        <pic:nvPicPr>
                          <pic:cNvPr id="662" name="TextBox_9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184150" cy="269240"/>
                  <wp:effectExtent l="0" t="0" r="0" b="0"/>
                  <wp:wrapNone/>
                  <wp:docPr id="663" name="TextBox_32"/>
                  <wp:cNvGraphicFramePr/>
                  <a:graphic xmlns:a="http://schemas.openxmlformats.org/drawingml/2006/main">
                    <a:graphicData uri="http://schemas.openxmlformats.org/drawingml/2006/picture">
                      <pic:pic xmlns:pic="http://schemas.openxmlformats.org/drawingml/2006/picture">
                        <pic:nvPicPr>
                          <pic:cNvPr id="663" name="TextBox_3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184150" cy="256540"/>
                  <wp:effectExtent l="0" t="0" r="0" b="0"/>
                  <wp:wrapNone/>
                  <wp:docPr id="664" name="TextBox_90"/>
                  <wp:cNvGraphicFramePr/>
                  <a:graphic xmlns:a="http://schemas.openxmlformats.org/drawingml/2006/main">
                    <a:graphicData uri="http://schemas.openxmlformats.org/drawingml/2006/picture">
                      <pic:pic xmlns:pic="http://schemas.openxmlformats.org/drawingml/2006/picture">
                        <pic:nvPicPr>
                          <pic:cNvPr id="664" name="TextBox_9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184150" cy="256540"/>
                  <wp:effectExtent l="0" t="0" r="0" b="0"/>
                  <wp:wrapNone/>
                  <wp:docPr id="665" name="TextBox_89"/>
                  <wp:cNvGraphicFramePr/>
                  <a:graphic xmlns:a="http://schemas.openxmlformats.org/drawingml/2006/main">
                    <a:graphicData uri="http://schemas.openxmlformats.org/drawingml/2006/picture">
                      <pic:pic xmlns:pic="http://schemas.openxmlformats.org/drawingml/2006/picture">
                        <pic:nvPicPr>
                          <pic:cNvPr id="665" name="TextBox_8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184150" cy="269240"/>
                  <wp:effectExtent l="0" t="0" r="0" b="0"/>
                  <wp:wrapNone/>
                  <wp:docPr id="666" name="TextBox_22"/>
                  <wp:cNvGraphicFramePr/>
                  <a:graphic xmlns:a="http://schemas.openxmlformats.org/drawingml/2006/main">
                    <a:graphicData uri="http://schemas.openxmlformats.org/drawingml/2006/picture">
                      <pic:pic xmlns:pic="http://schemas.openxmlformats.org/drawingml/2006/picture">
                        <pic:nvPicPr>
                          <pic:cNvPr id="666" name="TextBox_22"/>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184150" cy="256540"/>
                  <wp:effectExtent l="0" t="0" r="0" b="0"/>
                  <wp:wrapNone/>
                  <wp:docPr id="667" name="TextBox_99"/>
                  <wp:cNvGraphicFramePr/>
                  <a:graphic xmlns:a="http://schemas.openxmlformats.org/drawingml/2006/main">
                    <a:graphicData uri="http://schemas.openxmlformats.org/drawingml/2006/picture">
                      <pic:pic xmlns:pic="http://schemas.openxmlformats.org/drawingml/2006/picture">
                        <pic:nvPicPr>
                          <pic:cNvPr id="667" name="TextBox_99"/>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184150" cy="256540"/>
                  <wp:effectExtent l="0" t="0" r="0" b="0"/>
                  <wp:wrapNone/>
                  <wp:docPr id="668" name="TextBox_100"/>
                  <wp:cNvGraphicFramePr/>
                  <a:graphic xmlns:a="http://schemas.openxmlformats.org/drawingml/2006/main">
                    <a:graphicData uri="http://schemas.openxmlformats.org/drawingml/2006/picture">
                      <pic:pic xmlns:pic="http://schemas.openxmlformats.org/drawingml/2006/picture">
                        <pic:nvPicPr>
                          <pic:cNvPr id="668" name="TextBox_10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184150" cy="269240"/>
                  <wp:effectExtent l="0" t="0" r="0" b="0"/>
                  <wp:wrapNone/>
                  <wp:docPr id="669" name="TextBox_86"/>
                  <wp:cNvGraphicFramePr/>
                  <a:graphic xmlns:a="http://schemas.openxmlformats.org/drawingml/2006/main">
                    <a:graphicData uri="http://schemas.openxmlformats.org/drawingml/2006/picture">
                      <pic:pic xmlns:pic="http://schemas.openxmlformats.org/drawingml/2006/picture">
                        <pic:nvPicPr>
                          <pic:cNvPr id="669" name="TextBox_86"/>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184150" cy="269240"/>
                  <wp:effectExtent l="0" t="0" r="0" b="0"/>
                  <wp:wrapNone/>
                  <wp:docPr id="670" name="TextBox_85"/>
                  <wp:cNvGraphicFramePr/>
                  <a:graphic xmlns:a="http://schemas.openxmlformats.org/drawingml/2006/main">
                    <a:graphicData uri="http://schemas.openxmlformats.org/drawingml/2006/picture">
                      <pic:pic xmlns:pic="http://schemas.openxmlformats.org/drawingml/2006/picture">
                        <pic:nvPicPr>
                          <pic:cNvPr id="670" name="TextBox_85"/>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184150" cy="269240"/>
                  <wp:effectExtent l="0" t="0" r="0" b="0"/>
                  <wp:wrapNone/>
                  <wp:docPr id="671" name="TextBox_84"/>
                  <wp:cNvGraphicFramePr/>
                  <a:graphic xmlns:a="http://schemas.openxmlformats.org/drawingml/2006/main">
                    <a:graphicData uri="http://schemas.openxmlformats.org/drawingml/2006/picture">
                      <pic:pic xmlns:pic="http://schemas.openxmlformats.org/drawingml/2006/picture">
                        <pic:nvPicPr>
                          <pic:cNvPr id="671" name="TextBox_84"/>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184150" cy="256540"/>
                  <wp:effectExtent l="0" t="0" r="0" b="0"/>
                  <wp:wrapNone/>
                  <wp:docPr id="672" name="TextBox_40"/>
                  <wp:cNvGraphicFramePr/>
                  <a:graphic xmlns:a="http://schemas.openxmlformats.org/drawingml/2006/main">
                    <a:graphicData uri="http://schemas.openxmlformats.org/drawingml/2006/picture">
                      <pic:pic xmlns:pic="http://schemas.openxmlformats.org/drawingml/2006/picture">
                        <pic:nvPicPr>
                          <pic:cNvPr id="672" name="TextBox_40"/>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184150" cy="256540"/>
                  <wp:effectExtent l="0" t="0" r="0" b="0"/>
                  <wp:wrapNone/>
                  <wp:docPr id="673" name="TextBox_27"/>
                  <wp:cNvGraphicFramePr/>
                  <a:graphic xmlns:a="http://schemas.openxmlformats.org/drawingml/2006/main">
                    <a:graphicData uri="http://schemas.openxmlformats.org/drawingml/2006/picture">
                      <pic:pic xmlns:pic="http://schemas.openxmlformats.org/drawingml/2006/picture">
                        <pic:nvPicPr>
                          <pic:cNvPr id="673" name="TextBox_27"/>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184150" cy="269240"/>
                  <wp:effectExtent l="0" t="0" r="0" b="0"/>
                  <wp:wrapNone/>
                  <wp:docPr id="674" name="TextBox_33"/>
                  <wp:cNvGraphicFramePr/>
                  <a:graphic xmlns:a="http://schemas.openxmlformats.org/drawingml/2006/main">
                    <a:graphicData uri="http://schemas.openxmlformats.org/drawingml/2006/picture">
                      <pic:pic xmlns:pic="http://schemas.openxmlformats.org/drawingml/2006/picture">
                        <pic:nvPicPr>
                          <pic:cNvPr id="674" name="TextBox_3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b/>
                <w:bCs/>
                <w:color w:val="auto"/>
                <w:kern w:val="0"/>
                <w:sz w:val="20"/>
                <w:szCs w:val="20"/>
                <w:bdr w:val="single" w:color="000000" w:sz="4" w:space="0"/>
                <w:shd w:val="clear" w:color="auto" w:fill="FFFFFF"/>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184150" cy="256540"/>
                  <wp:effectExtent l="0" t="0" r="0" b="0"/>
                  <wp:wrapNone/>
                  <wp:docPr id="675" name="TextBox_101"/>
                  <wp:cNvGraphicFramePr/>
                  <a:graphic xmlns:a="http://schemas.openxmlformats.org/drawingml/2006/main">
                    <a:graphicData uri="http://schemas.openxmlformats.org/drawingml/2006/picture">
                      <pic:pic xmlns:pic="http://schemas.openxmlformats.org/drawingml/2006/picture">
                        <pic:nvPicPr>
                          <pic:cNvPr id="675" name="TextBox_101"/>
                          <pic:cNvPicPr/>
                        </pic:nvPicPr>
                        <pic:blipFill>
                          <a:blip r:embed="rId18"/>
                          <a:stretch>
                            <a:fillRect/>
                          </a:stretch>
                        </pic:blipFill>
                        <pic:spPr>
                          <a:xfrm>
                            <a:off x="0" y="0"/>
                            <a:ext cx="184150" cy="25654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bdr w:val="single" w:color="000000" w:sz="4" w:space="0"/>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184150" cy="269240"/>
                  <wp:effectExtent l="0" t="0" r="0" b="0"/>
                  <wp:wrapNone/>
                  <wp:docPr id="676" name="TextBox_6_SpCnt_3"/>
                  <wp:cNvGraphicFramePr/>
                  <a:graphic xmlns:a="http://schemas.openxmlformats.org/drawingml/2006/main">
                    <a:graphicData uri="http://schemas.openxmlformats.org/drawingml/2006/picture">
                      <pic:pic xmlns:pic="http://schemas.openxmlformats.org/drawingml/2006/picture">
                        <pic:nvPicPr>
                          <pic:cNvPr id="676" name="TextBox_6_SpCnt_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184150" cy="269240"/>
                  <wp:effectExtent l="0" t="0" r="0" b="0"/>
                  <wp:wrapNone/>
                  <wp:docPr id="677" name="TextBox_3_SpCnt_3"/>
                  <wp:cNvGraphicFramePr/>
                  <a:graphic xmlns:a="http://schemas.openxmlformats.org/drawingml/2006/main">
                    <a:graphicData uri="http://schemas.openxmlformats.org/drawingml/2006/picture">
                      <pic:pic xmlns:pic="http://schemas.openxmlformats.org/drawingml/2006/picture">
                        <pic:nvPicPr>
                          <pic:cNvPr id="677" name="TextBox_3_SpCnt_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184150" cy="256540"/>
                  <wp:effectExtent l="0" t="0" r="0" b="0"/>
                  <wp:wrapNone/>
                  <wp:docPr id="678" name="TextBox_8_SpCnt_3"/>
                  <wp:cNvGraphicFramePr/>
                  <a:graphic xmlns:a="http://schemas.openxmlformats.org/drawingml/2006/main">
                    <a:graphicData uri="http://schemas.openxmlformats.org/drawingml/2006/picture">
                      <pic:pic xmlns:pic="http://schemas.openxmlformats.org/drawingml/2006/picture">
                        <pic:nvPicPr>
                          <pic:cNvPr id="678" name="TextBox_8_SpCnt_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184150" cy="256540"/>
                  <wp:effectExtent l="0" t="0" r="0" b="0"/>
                  <wp:wrapNone/>
                  <wp:docPr id="679" name="TextBox_9_SpCnt_3"/>
                  <wp:cNvGraphicFramePr/>
                  <a:graphic xmlns:a="http://schemas.openxmlformats.org/drawingml/2006/main">
                    <a:graphicData uri="http://schemas.openxmlformats.org/drawingml/2006/picture">
                      <pic:pic xmlns:pic="http://schemas.openxmlformats.org/drawingml/2006/picture">
                        <pic:nvPicPr>
                          <pic:cNvPr id="679" name="TextBox_9_SpCnt_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184150" cy="256540"/>
                  <wp:effectExtent l="0" t="0" r="0" b="0"/>
                  <wp:wrapNone/>
                  <wp:docPr id="680" name="TextBox_7_SpCnt_3"/>
                  <wp:cNvGraphicFramePr/>
                  <a:graphic xmlns:a="http://schemas.openxmlformats.org/drawingml/2006/main">
                    <a:graphicData uri="http://schemas.openxmlformats.org/drawingml/2006/picture">
                      <pic:pic xmlns:pic="http://schemas.openxmlformats.org/drawingml/2006/picture">
                        <pic:nvPicPr>
                          <pic:cNvPr id="680" name="TextBox_7_SpCnt_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184150" cy="256540"/>
                  <wp:effectExtent l="0" t="0" r="0" b="0"/>
                  <wp:wrapNone/>
                  <wp:docPr id="681" name="TextBox_11_SpCnt_3"/>
                  <wp:cNvGraphicFramePr/>
                  <a:graphic xmlns:a="http://schemas.openxmlformats.org/drawingml/2006/main">
                    <a:graphicData uri="http://schemas.openxmlformats.org/drawingml/2006/picture">
                      <pic:pic xmlns:pic="http://schemas.openxmlformats.org/drawingml/2006/picture">
                        <pic:nvPicPr>
                          <pic:cNvPr id="681" name="TextBox_11_SpCnt_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184150" cy="256540"/>
                  <wp:effectExtent l="0" t="0" r="0" b="0"/>
                  <wp:wrapNone/>
                  <wp:docPr id="682" name="TextBox_10_SpCnt_3"/>
                  <wp:cNvGraphicFramePr/>
                  <a:graphic xmlns:a="http://schemas.openxmlformats.org/drawingml/2006/main">
                    <a:graphicData uri="http://schemas.openxmlformats.org/drawingml/2006/picture">
                      <pic:pic xmlns:pic="http://schemas.openxmlformats.org/drawingml/2006/picture">
                        <pic:nvPicPr>
                          <pic:cNvPr id="682" name="TextBox_10_SpCnt_3"/>
                          <pic:cNvPicPr/>
                        </pic:nvPicPr>
                        <pic:blipFill>
                          <a:blip r:embed="rId18"/>
                          <a:stretch>
                            <a:fillRect/>
                          </a:stretch>
                        </pic:blipFill>
                        <pic:spPr>
                          <a:xfrm>
                            <a:off x="0" y="0"/>
                            <a:ext cx="184150" cy="2565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184150" cy="269240"/>
                  <wp:effectExtent l="0" t="0" r="0" b="0"/>
                  <wp:wrapNone/>
                  <wp:docPr id="683" name="TextBox_2_SpCnt_3"/>
                  <wp:cNvGraphicFramePr/>
                  <a:graphic xmlns:a="http://schemas.openxmlformats.org/drawingml/2006/main">
                    <a:graphicData uri="http://schemas.openxmlformats.org/drawingml/2006/picture">
                      <pic:pic xmlns:pic="http://schemas.openxmlformats.org/drawingml/2006/picture">
                        <pic:nvPicPr>
                          <pic:cNvPr id="683" name="TextBox_2_SpCnt_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184150" cy="269240"/>
                  <wp:effectExtent l="0" t="0" r="0" b="0"/>
                  <wp:wrapNone/>
                  <wp:docPr id="684" name="TextBox_5_SpCnt_3"/>
                  <wp:cNvGraphicFramePr/>
                  <a:graphic xmlns:a="http://schemas.openxmlformats.org/drawingml/2006/main">
                    <a:graphicData uri="http://schemas.openxmlformats.org/drawingml/2006/picture">
                      <pic:pic xmlns:pic="http://schemas.openxmlformats.org/drawingml/2006/picture">
                        <pic:nvPicPr>
                          <pic:cNvPr id="684" name="TextBox_5_SpCnt_3"/>
                          <pic:cNvPicPr/>
                        </pic:nvPicPr>
                        <pic:blipFill>
                          <a:blip r:embed="rId17"/>
                          <a:stretch>
                            <a:fillRect/>
                          </a:stretch>
                        </pic:blipFill>
                        <pic:spPr>
                          <a:xfrm>
                            <a:off x="0" y="0"/>
                            <a:ext cx="184150" cy="269240"/>
                          </a:xfrm>
                          <a:prstGeom prst="rect">
                            <a:avLst/>
                          </a:prstGeom>
                          <a:noFill/>
                          <a:ln>
                            <a:noFill/>
                          </a:ln>
                        </pic:spPr>
                      </pic:pic>
                    </a:graphicData>
                  </a:graphic>
                </wp:anchor>
              </w:drawing>
            </w:r>
            <w:r>
              <w:rPr>
                <w:rFonts w:ascii="Times New Roman" w:hAnsi="Times New Roman" w:eastAsia="宋体" w:cs="Times New Roman"/>
                <w:color w:val="auto"/>
                <w:kern w:val="0"/>
                <w:sz w:val="20"/>
                <w:szCs w:val="20"/>
                <w:bdr w:val="single" w:color="000000" w:sz="4" w:space="0"/>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184150" cy="269240"/>
                  <wp:effectExtent l="0" t="0" r="0" b="0"/>
                  <wp:wrapNone/>
                  <wp:docPr id="685" name="TextBox_4_SpCnt_3"/>
                  <wp:cNvGraphicFramePr/>
                  <a:graphic xmlns:a="http://schemas.openxmlformats.org/drawingml/2006/main">
                    <a:graphicData uri="http://schemas.openxmlformats.org/drawingml/2006/picture">
                      <pic:pic xmlns:pic="http://schemas.openxmlformats.org/drawingml/2006/picture">
                        <pic:nvPicPr>
                          <pic:cNvPr id="685" name="TextBox_4_SpCnt_3"/>
                          <pic:cNvPicPr/>
                        </pic:nvPicPr>
                        <pic:blipFill>
                          <a:blip r:embed="rId17"/>
                          <a:stretch>
                            <a:fillRect/>
                          </a:stretch>
                        </pic:blipFill>
                        <pic:spPr>
                          <a:xfrm>
                            <a:off x="0" y="0"/>
                            <a:ext cx="184150" cy="2692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变更</w:t>
            </w:r>
          </w:p>
        </w:tc>
        <w:tc>
          <w:tcPr>
            <w:tcW w:w="2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w:t>
            </w:r>
          </w:p>
        </w:tc>
        <w:tc>
          <w:tcPr>
            <w:tcW w:w="6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500KVA</w:t>
            </w:r>
            <w:r>
              <w:rPr>
                <w:rStyle w:val="46"/>
                <w:rFonts w:hint="default"/>
                <w:color w:val="auto"/>
                <w:lang w:bidi="ar"/>
              </w:rPr>
              <w:t>主机，配置</w:t>
            </w:r>
            <w:r>
              <w:rPr>
                <w:rStyle w:val="43"/>
                <w:rFonts w:eastAsia="宋体"/>
                <w:color w:val="auto"/>
                <w:lang w:bidi="ar"/>
              </w:rPr>
              <w:t>400KVA</w:t>
            </w:r>
            <w:r>
              <w:rPr>
                <w:rStyle w:val="46"/>
                <w:rFonts w:hint="default"/>
                <w:color w:val="auto"/>
                <w:lang w:bidi="ar"/>
              </w:rPr>
              <w:t>以上模块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高配总空开不够，变更成4台200KVA主机</w:t>
            </w:r>
          </w:p>
        </w:tc>
      </w:tr>
      <w:tr>
        <w:tblPrEx>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0"/>
                <w:szCs w:val="20"/>
              </w:rPr>
            </w:pPr>
          </w:p>
        </w:tc>
        <w:tc>
          <w:tcPr>
            <w:tcW w:w="2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auto"/>
                <w:sz w:val="20"/>
                <w:szCs w:val="20"/>
              </w:rPr>
            </w:pPr>
            <w:r>
              <w:rPr>
                <w:rStyle w:val="42"/>
                <w:rFonts w:eastAsia="宋体"/>
                <w:color w:val="auto"/>
                <w:lang w:bidi="ar"/>
              </w:rPr>
              <w:t>UPS</w:t>
            </w:r>
            <w:r>
              <w:rPr>
                <w:rStyle w:val="47"/>
                <w:rFonts w:hint="default"/>
                <w:color w:val="auto"/>
                <w:lang w:bidi="ar"/>
              </w:rPr>
              <w:t>主机</w:t>
            </w:r>
          </w:p>
        </w:tc>
        <w:tc>
          <w:tcPr>
            <w:tcW w:w="6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200KVA</w:t>
            </w:r>
            <w:r>
              <w:rPr>
                <w:rStyle w:val="46"/>
                <w:rFonts w:hint="default"/>
                <w:color w:val="auto"/>
                <w:lang w:bidi="ar"/>
              </w:rPr>
              <w:t>主机，配置</w:t>
            </w:r>
            <w:r>
              <w:rPr>
                <w:rStyle w:val="43"/>
                <w:rFonts w:eastAsia="宋体"/>
                <w:color w:val="auto"/>
                <w:lang w:bidi="ar"/>
              </w:rPr>
              <w:t>200KVA</w:t>
            </w:r>
            <w:r>
              <w:rPr>
                <w:rStyle w:val="46"/>
                <w:rFonts w:hint="default"/>
                <w:color w:val="auto"/>
                <w:lang w:bidi="ar"/>
              </w:rPr>
              <w:t>以上模块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直流汇流箱</w:t>
            </w:r>
          </w:p>
        </w:tc>
        <w:tc>
          <w:tcPr>
            <w:tcW w:w="6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auto"/>
                <w:sz w:val="18"/>
                <w:szCs w:val="18"/>
              </w:rPr>
            </w:pPr>
            <w:r>
              <w:rPr>
                <w:rStyle w:val="43"/>
                <w:rFonts w:eastAsia="宋体"/>
                <w:color w:val="auto"/>
                <w:lang w:bidi="ar"/>
              </w:rPr>
              <w:t>4</w:t>
            </w:r>
            <w:r>
              <w:rPr>
                <w:rStyle w:val="46"/>
                <w:rFonts w:hint="default"/>
                <w:color w:val="auto"/>
                <w:lang w:bidi="ar"/>
              </w:rPr>
              <w:t>个</w:t>
            </w:r>
            <w:r>
              <w:rPr>
                <w:rStyle w:val="43"/>
                <w:rFonts w:eastAsia="宋体"/>
                <w:color w:val="auto"/>
                <w:lang w:bidi="ar"/>
              </w:rPr>
              <w:t>400A</w:t>
            </w:r>
            <w:r>
              <w:rPr>
                <w:rStyle w:val="46"/>
                <w:rFonts w:hint="default"/>
                <w:color w:val="auto"/>
                <w:lang w:bidi="ar"/>
              </w:rPr>
              <w:t>直流分空开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Style w:val="47"/>
                <w:rFonts w:hint="default"/>
                <w:color w:val="auto"/>
                <w:lang w:bidi="ar"/>
              </w:rPr>
              <w:t>增加</w:t>
            </w:r>
            <w:r>
              <w:rPr>
                <w:rStyle w:val="42"/>
                <w:rFonts w:eastAsia="宋体"/>
                <w:color w:val="auto"/>
                <w:lang w:bidi="ar"/>
              </w:rPr>
              <w:t>2</w:t>
            </w:r>
            <w:r>
              <w:rPr>
                <w:rStyle w:val="47"/>
                <w:rFonts w:hint="default"/>
                <w:color w:val="auto"/>
                <w:lang w:bidi="ar"/>
              </w:rPr>
              <w:t>套</w:t>
            </w:r>
          </w:p>
        </w:tc>
      </w:tr>
      <w:tr>
        <w:tblPrEx>
          <w:tblCellMar>
            <w:top w:w="0" w:type="dxa"/>
            <w:left w:w="108" w:type="dxa"/>
            <w:bottom w:w="0" w:type="dxa"/>
            <w:right w:w="108" w:type="dxa"/>
          </w:tblCellMar>
        </w:tblPrEx>
        <w:trPr>
          <w:trHeight w:val="5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新增</w:t>
            </w:r>
          </w:p>
        </w:tc>
        <w:tc>
          <w:tcPr>
            <w:tcW w:w="2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电池线</w:t>
            </w:r>
          </w:p>
        </w:tc>
        <w:tc>
          <w:tcPr>
            <w:tcW w:w="6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auto"/>
                <w:sz w:val="20"/>
                <w:szCs w:val="20"/>
              </w:rPr>
            </w:pPr>
            <w:r>
              <w:rPr>
                <w:rFonts w:ascii="Times New Roman" w:hAnsi="Times New Roman" w:eastAsia="宋体" w:cs="Times New Roman"/>
                <w:color w:val="auto"/>
                <w:kern w:val="0"/>
                <w:sz w:val="20"/>
                <w:szCs w:val="20"/>
                <w:lang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Style w:val="47"/>
                <w:rFonts w:hint="default"/>
                <w:color w:val="auto"/>
                <w:lang w:bidi="ar"/>
              </w:rPr>
              <w:t>主机数量变更，华为设备需</w:t>
            </w:r>
            <w:r>
              <w:rPr>
                <w:rStyle w:val="42"/>
                <w:rFonts w:eastAsia="宋体"/>
                <w:color w:val="auto"/>
                <w:lang w:bidi="ar"/>
              </w:rPr>
              <w:t>3</w:t>
            </w:r>
            <w:r>
              <w:rPr>
                <w:rStyle w:val="47"/>
                <w:rFonts w:hint="default"/>
                <w:color w:val="auto"/>
                <w:lang w:bidi="ar"/>
              </w:rPr>
              <w:t>条电池线</w:t>
            </w:r>
          </w:p>
        </w:tc>
      </w:tr>
    </w:tbl>
    <w:p>
      <w:pPr>
        <w:pStyle w:val="2"/>
        <w:ind w:firstLine="344"/>
        <w:rPr>
          <w:color w:val="auto"/>
        </w:rPr>
      </w:pPr>
    </w:p>
    <w:p>
      <w:pPr>
        <w:pStyle w:val="17"/>
        <w:rPr>
          <w:rFonts w:hint="eastAsia" w:ascii="仿宋" w:hAnsi="仿宋" w:eastAsia="仿宋" w:cs="仿宋"/>
          <w:b/>
          <w:color w:val="auto"/>
          <w:sz w:val="36"/>
          <w:szCs w:val="36"/>
        </w:rPr>
      </w:pPr>
    </w:p>
    <w:p>
      <w:pPr>
        <w:rPr>
          <w:rFonts w:hint="eastAsia" w:ascii="仿宋" w:hAnsi="仿宋" w:eastAsia="仿宋" w:cs="仿宋"/>
          <w:b/>
          <w:color w:val="auto"/>
          <w:sz w:val="36"/>
          <w:szCs w:val="36"/>
        </w:rPr>
      </w:pPr>
    </w:p>
    <w:p>
      <w:pPr>
        <w:pStyle w:val="17"/>
        <w:rPr>
          <w:rFonts w:hint="eastAsia" w:ascii="仿宋" w:hAnsi="仿宋" w:eastAsia="仿宋" w:cs="仿宋"/>
          <w:b/>
          <w:color w:val="auto"/>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rPr>
          <w:rFonts w:hint="eastAsia" w:ascii="仿宋" w:hAnsi="仿宋" w:eastAsia="仿宋" w:cs="仿宋"/>
          <w:b/>
          <w:sz w:val="36"/>
          <w:szCs w:val="36"/>
        </w:rPr>
        <w:sectPr>
          <w:headerReference r:id="rId4" w:type="default"/>
          <w:footerReference r:id="rId5" w:type="default"/>
          <w:pgSz w:w="16838" w:h="11906" w:orient="landscape"/>
          <w:pgMar w:top="1418" w:right="1247" w:bottom="1418" w:left="811" w:header="851" w:footer="992" w:gutter="0"/>
          <w:cols w:space="720" w:num="1"/>
          <w:titlePg/>
          <w:docGrid w:linePitch="312" w:charSpace="0"/>
        </w:sectPr>
      </w:pPr>
    </w:p>
    <w:p>
      <w:pPr>
        <w:pStyle w:val="2"/>
        <w:spacing w:line="360" w:lineRule="auto"/>
        <w:ind w:firstLine="0" w:firstLineChars="0"/>
        <w:jc w:val="center"/>
        <w:rPr>
          <w:rFonts w:hAnsi="宋体"/>
          <w:b/>
          <w:sz w:val="32"/>
          <w:szCs w:val="32"/>
        </w:rPr>
      </w:pPr>
      <w:r>
        <w:rPr>
          <w:rFonts w:hint="eastAsia" w:hAnsi="宋体"/>
          <w:bCs/>
          <w:sz w:val="36"/>
          <w:szCs w:val="36"/>
        </w:rPr>
        <w:t>杭州市临安区数据资源管理局*</w:t>
      </w:r>
      <w:r>
        <w:rPr>
          <w:rFonts w:hAnsi="宋体"/>
          <w:bCs/>
          <w:sz w:val="36"/>
          <w:szCs w:val="36"/>
        </w:rPr>
        <w:t>*******</w:t>
      </w:r>
      <w:r>
        <w:rPr>
          <w:rFonts w:hint="eastAsia" w:hAnsi="宋体"/>
          <w:bCs/>
          <w:sz w:val="36"/>
          <w:szCs w:val="36"/>
        </w:rPr>
        <w:t>项目</w:t>
      </w:r>
    </w:p>
    <w:p>
      <w:pPr>
        <w:pStyle w:val="12"/>
        <w:snapToGrid w:val="0"/>
        <w:spacing w:beforeLines="0" w:afterLines="0" w:line="360" w:lineRule="auto"/>
        <w:ind w:firstLine="2520" w:firstLineChars="1050"/>
        <w:rPr>
          <w:rFonts w:hAnsi="宋体"/>
        </w:rPr>
      </w:pPr>
      <w:r>
        <w:rPr>
          <w:rFonts w:hint="eastAsia" w:hAnsi="宋体"/>
        </w:rPr>
        <w:t xml:space="preserve">  </w:t>
      </w:r>
    </w:p>
    <w:p>
      <w:pPr>
        <w:spacing w:line="480" w:lineRule="auto"/>
        <w:ind w:right="532"/>
        <w:rPr>
          <w:rFonts w:ascii="宋体" w:hAnsi="宋体"/>
          <w:sz w:val="32"/>
          <w:szCs w:val="32"/>
        </w:rPr>
      </w:pPr>
      <w:r>
        <w:rPr>
          <w:rFonts w:hint="eastAsia" w:ascii="宋体" w:hAnsi="宋体"/>
          <w:sz w:val="32"/>
          <w:szCs w:val="32"/>
        </w:rPr>
        <w:t xml:space="preserve">甲方（采购人）： </w:t>
      </w:r>
    </w:p>
    <w:p>
      <w:pPr>
        <w:spacing w:line="480" w:lineRule="auto"/>
        <w:ind w:right="532"/>
        <w:rPr>
          <w:rFonts w:ascii="宋体" w:hAnsi="宋体"/>
          <w:sz w:val="32"/>
          <w:szCs w:val="32"/>
        </w:rPr>
      </w:pPr>
      <w:r>
        <w:rPr>
          <w:rFonts w:hint="eastAsia" w:ascii="宋体" w:hAnsi="宋体"/>
          <w:sz w:val="32"/>
          <w:szCs w:val="32"/>
        </w:rPr>
        <w:t xml:space="preserve">乙方（供应商）： </w:t>
      </w:r>
    </w:p>
    <w:p>
      <w:pPr>
        <w:spacing w:line="520" w:lineRule="exact"/>
        <w:ind w:firstLine="0" w:firstLineChars="0"/>
        <w:rPr>
          <w:rFonts w:ascii="宋体" w:hAnsi="宋体"/>
          <w:sz w:val="32"/>
          <w:szCs w:val="32"/>
        </w:rPr>
      </w:pPr>
      <w:r>
        <w:rPr>
          <w:rFonts w:hint="eastAsia" w:ascii="宋体" w:hAnsi="宋体"/>
          <w:sz w:val="32"/>
          <w:szCs w:val="32"/>
        </w:rPr>
        <w:t>鉴证方：</w:t>
      </w:r>
      <w:r>
        <w:rPr>
          <w:rFonts w:ascii="宋体" w:hAnsi="宋体"/>
          <w:sz w:val="32"/>
          <w:szCs w:val="32"/>
        </w:rPr>
        <w:t xml:space="preserve"> </w:t>
      </w:r>
    </w:p>
    <w:p>
      <w:pPr>
        <w:spacing w:line="520" w:lineRule="exact"/>
        <w:ind w:firstLine="0" w:firstLineChars="0"/>
        <w:rPr>
          <w:rFonts w:ascii="宋体" w:hAnsi="宋体"/>
          <w:sz w:val="32"/>
          <w:szCs w:val="32"/>
        </w:rPr>
      </w:pPr>
    </w:p>
    <w:p>
      <w:pPr>
        <w:adjustRightInd w:val="0"/>
        <w:snapToGrid w:val="0"/>
        <w:spacing w:beforeLines="0" w:afterLines="0" w:line="520" w:lineRule="exact"/>
        <w:ind w:firstLine="420" w:firstLineChars="200"/>
        <w:rPr>
          <w:rFonts w:hAnsi="宋体"/>
        </w:rPr>
      </w:pPr>
      <w:r>
        <w:rPr>
          <w:rFonts w:hint="eastAsia" w:hAnsi="宋体"/>
        </w:rPr>
        <w:t>甲、乙双方根据杭州市公共资源交易中心临安分中心关于项目编号为</w:t>
      </w:r>
      <w:r>
        <w:rPr>
          <w:rFonts w:hAnsi="宋体"/>
          <w:u w:val="single"/>
        </w:rPr>
        <w:t>*****************</w:t>
      </w:r>
      <w:r>
        <w:rPr>
          <w:rFonts w:hint="eastAsia" w:hAnsi="宋体"/>
        </w:rPr>
        <w:t>的</w:t>
      </w:r>
      <w:r>
        <w:rPr>
          <w:rFonts w:hint="eastAsia" w:hAnsi="宋体"/>
          <w:u w:val="single"/>
        </w:rPr>
        <w:t>*</w:t>
      </w:r>
      <w:r>
        <w:rPr>
          <w:rFonts w:hAnsi="宋体"/>
          <w:u w:val="single"/>
        </w:rPr>
        <w:t>*************************</w:t>
      </w:r>
      <w:r>
        <w:rPr>
          <w:rFonts w:hint="eastAsia" w:hAnsi="宋体"/>
        </w:rPr>
        <w:t>项目招标的结果，签署本合同。</w:t>
      </w:r>
    </w:p>
    <w:p>
      <w:pPr>
        <w:pStyle w:val="12"/>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30"/>
        <w:gridCol w:w="3720"/>
        <w:gridCol w:w="894"/>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273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项目名称</w:t>
            </w:r>
          </w:p>
        </w:tc>
        <w:tc>
          <w:tcPr>
            <w:tcW w:w="372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项目建设内容</w:t>
            </w:r>
          </w:p>
        </w:tc>
        <w:tc>
          <w:tcPr>
            <w:tcW w:w="894"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6" w:hRule="exact"/>
          <w:jc w:val="center"/>
        </w:trPr>
        <w:tc>
          <w:tcPr>
            <w:tcW w:w="273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372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894"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1批</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480" w:firstLineChars="200"/>
              <w:rPr>
                <w:rFonts w:ascii="宋体" w:hAnsi="宋体"/>
                <w:sz w:val="24"/>
              </w:rPr>
            </w:pPr>
            <w:r>
              <w:rPr>
                <w:rFonts w:hint="eastAsia" w:ascii="宋体" w:hAnsi="宋体"/>
                <w:sz w:val="24"/>
              </w:rPr>
              <w:t>五年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273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金额</w:t>
            </w:r>
          </w:p>
        </w:tc>
        <w:tc>
          <w:tcPr>
            <w:tcW w:w="372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大写：*</w:t>
            </w:r>
            <w:r>
              <w:rPr>
                <w:rFonts w:ascii="宋体" w:hAnsi="宋体"/>
                <w:sz w:val="24"/>
              </w:rPr>
              <w:t>******</w:t>
            </w:r>
            <w:r>
              <w:rPr>
                <w:rFonts w:hint="eastAsia" w:ascii="宋体" w:hAnsi="宋体"/>
                <w:sz w:val="24"/>
              </w:rPr>
              <w:t>元整</w:t>
            </w:r>
          </w:p>
        </w:tc>
        <w:tc>
          <w:tcPr>
            <w:tcW w:w="282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r>
              <w:rPr>
                <w:rFonts w:ascii="宋体" w:hAnsi="宋体"/>
                <w:sz w:val="24"/>
              </w:rPr>
              <w:t>*******</w:t>
            </w:r>
            <w:r>
              <w:rPr>
                <w:rFonts w:hint="eastAsia" w:ascii="宋体" w:hAnsi="宋体"/>
                <w:sz w:val="24"/>
              </w:rPr>
              <w:t>元</w:t>
            </w:r>
          </w:p>
        </w:tc>
      </w:tr>
    </w:tbl>
    <w:p>
      <w:pPr>
        <w:pStyle w:val="12"/>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2、以上合同总价为含税价包含产品到达用户并能正常使用所需的一切费用。</w:t>
      </w:r>
    </w:p>
    <w:p>
      <w:pPr>
        <w:pStyle w:val="12"/>
        <w:adjustRightInd w:val="0"/>
        <w:snapToGrid w:val="0"/>
        <w:spacing w:beforeLines="0" w:afterLines="0" w:line="480" w:lineRule="exact"/>
        <w:ind w:firstLine="511" w:firstLineChars="213"/>
        <w:rPr>
          <w:rFonts w:hAnsi="宋体"/>
        </w:rPr>
      </w:pPr>
      <w:r>
        <w:rPr>
          <w:rFonts w:hint="eastAsia" w:hAnsi="宋体"/>
        </w:rPr>
        <w:t>二、技术资料</w:t>
      </w:r>
    </w:p>
    <w:p>
      <w:pPr>
        <w:pStyle w:val="12"/>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12"/>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adjustRightInd w:val="0"/>
        <w:snapToGrid w:val="0"/>
        <w:spacing w:beforeLines="0" w:afterLines="0" w:line="480" w:lineRule="exact"/>
        <w:ind w:firstLine="475" w:firstLineChars="198"/>
        <w:rPr>
          <w:rFonts w:hAnsi="宋体"/>
        </w:rPr>
      </w:pPr>
      <w:r>
        <w:rPr>
          <w:rFonts w:hint="eastAsia" w:hAnsi="宋体"/>
        </w:rPr>
        <w:t>三、知识产权</w:t>
      </w:r>
    </w:p>
    <w:p>
      <w:pPr>
        <w:pStyle w:val="12"/>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否则由此造成的一切纠纷均有乙方自行处理并解决，与甲方无关，若由此给甲方造成的一切损失由乙方全额赔偿，并且乙方应承担甲方因维护自身权益支出的一切费用（包括但不限于律师费、差旅费以及诉讼费等）。</w:t>
      </w:r>
    </w:p>
    <w:p>
      <w:pPr>
        <w:pStyle w:val="12"/>
        <w:adjustRightInd w:val="0"/>
        <w:snapToGrid w:val="0"/>
        <w:spacing w:beforeLines="0" w:afterLines="0" w:line="480" w:lineRule="exact"/>
        <w:ind w:firstLine="475" w:firstLineChars="198"/>
        <w:rPr>
          <w:rFonts w:hAnsi="宋体"/>
        </w:rPr>
      </w:pPr>
      <w:r>
        <w:rPr>
          <w:rFonts w:hint="eastAsia" w:hAnsi="宋体"/>
        </w:rPr>
        <w:t>四、产权担保</w:t>
      </w:r>
    </w:p>
    <w:p>
      <w:pPr>
        <w:pStyle w:val="12"/>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否则由此造成的一切纠纷均有乙方自行处理并解决，与甲方无关，若由此给甲方造成的一切损失由乙方全额赔偿，并且乙方应承担甲方因维护自身权益支出的一切费用（包括但不限于律师费、差旅费以及诉讼费等）。</w:t>
      </w:r>
    </w:p>
    <w:p>
      <w:pPr>
        <w:pStyle w:val="12"/>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本合同范围的货物，应由乙方直接供应，不得转让他人供应，否则，甲方有权选择是否解除本合同，甲方未解除合同的，</w:t>
      </w:r>
      <w:r>
        <w:rPr>
          <w:rFonts w:hint="eastAsia" w:ascii="宋体" w:hAnsi="宋体" w:cs="Arial"/>
          <w:color w:val="000000"/>
          <w:kern w:val="0"/>
          <w:sz w:val="24"/>
        </w:rPr>
        <w:t>乙方应对实际供应商的供货行为和货物质量承担连带责任，甲方解除合同的，乙方应立即退还甲方已付的所有款项并向甲方支付本合同项下总金额</w:t>
      </w:r>
      <w:r>
        <w:rPr>
          <w:rFonts w:ascii="宋体" w:hAnsi="宋体" w:cs="Arial"/>
          <w:color w:val="000000"/>
          <w:kern w:val="0"/>
          <w:sz w:val="24"/>
        </w:rPr>
        <w:t>10</w:t>
      </w:r>
      <w:r>
        <w:rPr>
          <w:rFonts w:hint="eastAsia" w:ascii="宋体" w:hAnsi="宋体" w:cs="Arial"/>
          <w:color w:val="000000"/>
          <w:kern w:val="0"/>
          <w:sz w:val="24"/>
        </w:rPr>
        <w:t>%的违约金，且甲方有权没收质量保证金</w:t>
      </w:r>
      <w:r>
        <w:rPr>
          <w:rFonts w:ascii="宋体" w:hAnsi="宋体" w:cs="Arial"/>
          <w:color w:val="000000"/>
          <w:kern w:val="0"/>
          <w:sz w:val="24"/>
        </w:rPr>
        <w:t>。</w:t>
      </w:r>
    </w:p>
    <w:p>
      <w:pPr>
        <w:pStyle w:val="12"/>
        <w:adjustRightInd w:val="0"/>
        <w:snapToGrid w:val="0"/>
        <w:spacing w:beforeLines="0" w:afterLines="0" w:line="480" w:lineRule="exact"/>
        <w:ind w:firstLine="511" w:firstLineChars="213"/>
        <w:rPr>
          <w:rFonts w:hAnsi="宋体"/>
        </w:rPr>
      </w:pPr>
      <w:r>
        <w:rPr>
          <w:rFonts w:hint="eastAsia" w:hAnsi="宋体"/>
        </w:rPr>
        <w:t>六、交货期、交货地点及服务维护时间</w:t>
      </w:r>
    </w:p>
    <w:p>
      <w:pPr>
        <w:pStyle w:val="12"/>
        <w:adjustRightInd w:val="0"/>
        <w:snapToGrid w:val="0"/>
        <w:spacing w:beforeLines="0" w:afterLines="0" w:line="480" w:lineRule="exact"/>
        <w:ind w:firstLine="511" w:firstLineChars="213"/>
        <w:rPr>
          <w:rFonts w:hAnsi="宋体"/>
        </w:rPr>
      </w:pPr>
      <w:r>
        <w:rPr>
          <w:rFonts w:hint="eastAsia" w:hAnsi="宋体"/>
        </w:rPr>
        <w:t>1. 交货期：合同签订之后60天。</w:t>
      </w:r>
    </w:p>
    <w:p>
      <w:pPr>
        <w:pStyle w:val="12"/>
        <w:adjustRightInd w:val="0"/>
        <w:snapToGrid w:val="0"/>
        <w:spacing w:beforeLines="0" w:afterLines="0" w:line="480" w:lineRule="exact"/>
        <w:ind w:firstLine="511" w:firstLineChars="213"/>
        <w:rPr>
          <w:rFonts w:hAnsi="宋体"/>
        </w:rPr>
      </w:pPr>
      <w:r>
        <w:rPr>
          <w:rFonts w:hint="eastAsia" w:hAnsi="宋体"/>
        </w:rPr>
        <w:t>2. 交货地点：临安区数据资源管理局。</w:t>
      </w:r>
    </w:p>
    <w:p>
      <w:pPr>
        <w:pStyle w:val="12"/>
        <w:adjustRightInd w:val="0"/>
        <w:snapToGrid w:val="0"/>
        <w:spacing w:beforeLines="0" w:afterLines="0" w:line="480" w:lineRule="exact"/>
        <w:ind w:firstLine="511" w:firstLineChars="213"/>
        <w:rPr>
          <w:rFonts w:hAnsi="宋体"/>
          <w:color w:val="auto"/>
        </w:rPr>
      </w:pPr>
      <w:r>
        <w:rPr>
          <w:rFonts w:hAnsi="宋体"/>
          <w:color w:val="auto"/>
        </w:rPr>
        <w:t xml:space="preserve">3. </w:t>
      </w:r>
      <w:r>
        <w:rPr>
          <w:rFonts w:hint="eastAsia" w:hAnsi="宋体"/>
          <w:color w:val="auto"/>
        </w:rPr>
        <w:t>服务维护时间：自项目验收完成之日起计算，至五年后止。</w:t>
      </w:r>
    </w:p>
    <w:p>
      <w:pPr>
        <w:pStyle w:val="12"/>
        <w:adjustRightInd w:val="0"/>
        <w:snapToGrid w:val="0"/>
        <w:spacing w:beforeLines="0" w:afterLines="0" w:line="480" w:lineRule="exact"/>
        <w:ind w:firstLine="511" w:firstLineChars="213"/>
        <w:rPr>
          <w:rFonts w:hAnsi="宋体"/>
        </w:rPr>
      </w:pPr>
      <w:r>
        <w:rPr>
          <w:rFonts w:hint="eastAsia" w:hAnsi="宋体"/>
        </w:rPr>
        <w:t>七、货款支付</w:t>
      </w:r>
    </w:p>
    <w:p>
      <w:pPr>
        <w:pStyle w:val="12"/>
        <w:adjustRightInd w:val="0"/>
        <w:snapToGrid w:val="0"/>
        <w:spacing w:beforeLines="0" w:afterLines="0" w:line="480" w:lineRule="exact"/>
        <w:ind w:firstLine="511" w:firstLineChars="213"/>
        <w:rPr>
          <w:rFonts w:hAnsi="宋体"/>
        </w:rPr>
      </w:pPr>
      <w:r>
        <w:rPr>
          <w:rFonts w:hint="eastAsia" w:hAnsi="宋体"/>
        </w:rPr>
        <w:t>本次项目合同总价为大写*</w:t>
      </w:r>
      <w:r>
        <w:rPr>
          <w:rFonts w:hAnsi="宋体"/>
        </w:rPr>
        <w:t>*****</w:t>
      </w:r>
      <w:r>
        <w:rPr>
          <w:rFonts w:hint="eastAsia" w:hAnsi="宋体"/>
        </w:rPr>
        <w:t>整（￥</w:t>
      </w:r>
      <w:r>
        <w:rPr>
          <w:rFonts w:hAnsi="宋体"/>
        </w:rPr>
        <w:t>*******</w:t>
      </w:r>
      <w:r>
        <w:rPr>
          <w:rFonts w:hint="eastAsia" w:hAnsi="宋体"/>
        </w:rPr>
        <w:t>.00），采用一次性付款方式，项目经验收合格，正式交付使用后10个工作日内，甲方向乙方支付合同总额的100%货款结算手续，计人民币*</w:t>
      </w:r>
      <w:r>
        <w:rPr>
          <w:rFonts w:hAnsi="宋体"/>
        </w:rPr>
        <w:t>*****</w:t>
      </w:r>
      <w:r>
        <w:rPr>
          <w:rFonts w:hint="eastAsia" w:hAnsi="宋体"/>
        </w:rPr>
        <w:t>元整（￥</w:t>
      </w:r>
      <w:r>
        <w:rPr>
          <w:rFonts w:hAnsi="宋体"/>
        </w:rPr>
        <w:t>******</w:t>
      </w:r>
      <w:r>
        <w:rPr>
          <w:rFonts w:hint="eastAsia" w:hAnsi="宋体"/>
        </w:rPr>
        <w:t>.00）。该价格为含税价，若遇政府税率调整，不含税价不变，含税价随着政府税率调整而调整。甲方付款前，乙方须提供符合国家规定的足额增值税发票，否则甲方有权拒绝支付价款。</w:t>
      </w:r>
    </w:p>
    <w:p>
      <w:pPr>
        <w:pStyle w:val="12"/>
        <w:adjustRightInd w:val="0"/>
        <w:snapToGrid w:val="0"/>
        <w:spacing w:beforeLines="0" w:afterLines="0" w:line="480" w:lineRule="exact"/>
        <w:ind w:firstLine="511" w:firstLineChars="213"/>
        <w:rPr>
          <w:rFonts w:hAnsi="宋体"/>
        </w:rPr>
      </w:pPr>
      <w:r>
        <w:rPr>
          <w:rFonts w:hint="eastAsia" w:hAnsi="宋体"/>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12"/>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12"/>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12"/>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12"/>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12"/>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12"/>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⑶退货处理：乙方应退还甲方支付的合同款，同时应承担该货物的直接费用（运输、保险、检验、货款利息及银行手续费等），并向甲方支付本合同项下总金额</w:t>
      </w:r>
      <w:r>
        <w:rPr>
          <w:rFonts w:hAnsi="宋体"/>
          <w:color w:val="FF0000"/>
        </w:rPr>
        <w:t>5</w:t>
      </w:r>
      <w:r>
        <w:rPr>
          <w:rFonts w:hint="eastAsia" w:hAnsi="宋体"/>
        </w:rPr>
        <w:t>%的违约金。</w:t>
      </w:r>
    </w:p>
    <w:p>
      <w:pPr>
        <w:pStyle w:val="12"/>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12"/>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12"/>
        <w:adjustRightInd w:val="0"/>
        <w:snapToGrid w:val="0"/>
        <w:spacing w:beforeLines="0" w:afterLines="0" w:line="480" w:lineRule="exact"/>
        <w:ind w:firstLine="511" w:firstLineChars="213"/>
        <w:rPr>
          <w:rFonts w:hAnsi="宋体"/>
        </w:rPr>
      </w:pPr>
      <w:r>
        <w:rPr>
          <w:rFonts w:hint="eastAsia" w:hAnsi="宋体"/>
        </w:rPr>
        <w:t>十、调试和验收</w:t>
      </w:r>
    </w:p>
    <w:p>
      <w:pPr>
        <w:pStyle w:val="12"/>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12"/>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12"/>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12"/>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12"/>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12"/>
        <w:adjustRightInd w:val="0"/>
        <w:snapToGrid w:val="0"/>
        <w:spacing w:beforeLines="0" w:afterLines="0" w:line="480" w:lineRule="exact"/>
        <w:ind w:firstLine="511" w:firstLineChars="213"/>
        <w:rPr>
          <w:rFonts w:hAnsi="宋体"/>
        </w:rPr>
      </w:pPr>
      <w:r>
        <w:rPr>
          <w:rFonts w:hint="eastAsia" w:hAnsi="宋体"/>
        </w:rPr>
        <w:t>十一、货物包装</w:t>
      </w:r>
    </w:p>
    <w:p>
      <w:pPr>
        <w:pStyle w:val="12"/>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12"/>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12"/>
        <w:adjustRightInd w:val="0"/>
        <w:snapToGrid w:val="0"/>
        <w:spacing w:beforeLines="0" w:afterLines="0" w:line="480" w:lineRule="exact"/>
        <w:ind w:firstLine="511" w:firstLineChars="213"/>
        <w:rPr>
          <w:rFonts w:hAnsi="宋体"/>
        </w:rPr>
      </w:pPr>
      <w:r>
        <w:rPr>
          <w:rFonts w:hint="eastAsia" w:hAnsi="宋体"/>
        </w:rPr>
        <w:t>十二、违约责任</w:t>
      </w:r>
    </w:p>
    <w:p>
      <w:pPr>
        <w:pStyle w:val="12"/>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12"/>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12"/>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15%的违约金，如造成甲方损失超过违约金的，超出部分由乙方继续承担赔偿责任。 </w:t>
      </w:r>
    </w:p>
    <w:p>
      <w:pPr>
        <w:pStyle w:val="12"/>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12"/>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12"/>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12"/>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12"/>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12"/>
        <w:adjustRightInd w:val="0"/>
        <w:snapToGrid w:val="0"/>
        <w:spacing w:beforeLines="0" w:afterLines="0" w:line="480" w:lineRule="exact"/>
        <w:ind w:firstLine="511" w:firstLineChars="213"/>
        <w:rPr>
          <w:rFonts w:hAnsi="宋体"/>
        </w:rPr>
      </w:pPr>
      <w:r>
        <w:rPr>
          <w:rFonts w:hint="eastAsia" w:hAnsi="宋体"/>
        </w:rPr>
        <w:t>十四、诉讼</w:t>
      </w:r>
    </w:p>
    <w:p>
      <w:pPr>
        <w:pStyle w:val="12"/>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12"/>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12"/>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12"/>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12"/>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12"/>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12"/>
        <w:adjustRightInd w:val="0"/>
        <w:snapToGrid w:val="0"/>
        <w:spacing w:beforeLines="0" w:afterLines="0" w:line="480" w:lineRule="exact"/>
        <w:ind w:left="2" w:leftChars="1" w:firstLine="480" w:firstLineChars="200"/>
        <w:rPr>
          <w:rFonts w:hAnsi="宋体"/>
        </w:rPr>
      </w:pPr>
      <w:r>
        <w:rPr>
          <w:rFonts w:hint="eastAsia" w:hAnsi="宋体"/>
        </w:rPr>
        <w:t>5.本合同一式拾份，具有同等法律效力，甲方执贰份、乙方执柒份。</w:t>
      </w:r>
    </w:p>
    <w:p>
      <w:pPr>
        <w:pStyle w:val="12"/>
        <w:adjustRightInd w:val="0"/>
        <w:snapToGrid w:val="0"/>
        <w:spacing w:beforeLines="0" w:afterLines="0" w:line="480" w:lineRule="exact"/>
        <w:ind w:left="2" w:leftChars="1" w:firstLine="480" w:firstLineChars="200"/>
        <w:rPr>
          <w:rFonts w:hAnsi="宋体"/>
          <w:snapToGrid w:val="0"/>
          <w:kern w:val="0"/>
        </w:rPr>
      </w:pPr>
    </w:p>
    <w:p>
      <w:pPr>
        <w:pStyle w:val="12"/>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12"/>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12"/>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12"/>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12"/>
        <w:adjustRightInd w:val="0"/>
        <w:snapToGrid w:val="0"/>
        <w:spacing w:beforeLines="0" w:afterLines="0" w:line="480" w:lineRule="exact"/>
        <w:ind w:firstLine="511" w:firstLineChars="213"/>
        <w:rPr>
          <w:rFonts w:hAnsi="宋体"/>
          <w:snapToGrid w:val="0"/>
          <w:kern w:val="0"/>
        </w:rPr>
      </w:pP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 xml:space="preserve">  开户银行：</w:t>
      </w:r>
    </w:p>
    <w:p>
      <w:pPr>
        <w:pStyle w:val="12"/>
        <w:adjustRightInd w:val="0"/>
        <w:snapToGrid w:val="0"/>
        <w:spacing w:beforeLines="0" w:afterLines="0" w:line="480" w:lineRule="exact"/>
        <w:ind w:firstLine="511" w:firstLineChars="213"/>
        <w:rPr>
          <w:rFonts w:hAnsi="宋体"/>
          <w:snapToGrid w:val="0"/>
          <w:kern w:val="0"/>
        </w:rPr>
      </w:pP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ab/>
      </w:r>
      <w:r>
        <w:rPr>
          <w:rFonts w:hAnsi="宋体"/>
          <w:snapToGrid w:val="0"/>
          <w:kern w:val="0"/>
        </w:rPr>
        <w:t xml:space="preserve">  账号：</w:t>
      </w:r>
    </w:p>
    <w:p>
      <w:pPr>
        <w:pStyle w:val="12"/>
        <w:adjustRightInd w:val="0"/>
        <w:snapToGrid w:val="0"/>
        <w:spacing w:beforeLines="0" w:afterLines="0" w:line="460" w:lineRule="exact"/>
        <w:ind w:firstLine="480" w:firstLineChars="200"/>
        <w:rPr>
          <w:rFonts w:hAnsi="宋体"/>
          <w:snapToGrid w:val="0"/>
          <w:kern w:val="0"/>
        </w:rPr>
        <w:sectPr>
          <w:footerReference r:id="rId9" w:type="first"/>
          <w:headerReference r:id="rId6" w:type="default"/>
          <w:footerReference r:id="rId7" w:type="default"/>
          <w:footerReference r:id="rId8" w:type="even"/>
          <w:pgSz w:w="11906" w:h="16838"/>
          <w:pgMar w:top="1418" w:right="1247" w:bottom="1418" w:left="1418" w:header="851" w:footer="992" w:gutter="0"/>
          <w:cols w:space="720" w:num="1"/>
          <w:docGrid w:type="lines" w:linePitch="312" w:charSpace="0"/>
        </w:sectPr>
      </w:pPr>
      <w:r>
        <w:rPr>
          <w:rFonts w:hint="eastAsia" w:hAnsi="宋体"/>
          <w:snapToGrid w:val="0"/>
          <w:kern w:val="0"/>
        </w:rPr>
        <w:t xml:space="preserve">                 签订时间：   年   月  日</w:t>
      </w:r>
    </w:p>
    <w:p>
      <w:pPr>
        <w:pStyle w:val="30"/>
        <w:numPr>
          <w:ilvl w:val="0"/>
          <w:numId w:val="0"/>
        </w:numPr>
        <w:jc w:val="center"/>
        <w:rPr>
          <w:rFonts w:hint="eastAsia" w:ascii="仿宋" w:hAnsi="仿宋" w:eastAsia="仿宋" w:cs="仿宋"/>
          <w:b/>
          <w:sz w:val="36"/>
          <w:szCs w:val="36"/>
        </w:rPr>
      </w:pPr>
    </w:p>
    <w:p>
      <w:pPr>
        <w:pStyle w:val="30"/>
        <w:numPr>
          <w:ilvl w:val="0"/>
          <w:numId w:val="0"/>
        </w:numPr>
        <w:jc w:val="center"/>
        <w:rPr>
          <w:rFonts w:hint="eastAsia" w:ascii="仿宋" w:hAnsi="仿宋" w:eastAsia="仿宋" w:cs="仿宋"/>
          <w:b/>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 w:hAnsi="仿宋" w:eastAsia="仿宋" w:cs="仿宋"/>
          <w:sz w:val="24"/>
        </w:rPr>
        <w:t>营业执照复印件；</w:t>
      </w:r>
      <w:r>
        <w:rPr>
          <w:rFonts w:hint="eastAsia" w:ascii="仿宋" w:hAnsi="仿宋" w:eastAsia="仿宋" w:cs="仿宋"/>
          <w:b/>
          <w:kern w:val="0"/>
          <w:sz w:val="24"/>
        </w:rPr>
        <w:t>（以联合体形式进行政府采购的，参加联合体的供应商均应当提供）</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（2）法人授权书 ……………………………………………………………………（页码）</w:t>
      </w:r>
    </w:p>
    <w:p>
      <w:pPr>
        <w:snapToGrid w:val="0"/>
        <w:spacing w:line="360" w:lineRule="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法定代表人、</w:t>
      </w:r>
      <w:r>
        <w:rPr>
          <w:rFonts w:hint="eastAsia" w:ascii="仿宋" w:hAnsi="仿宋" w:eastAsia="仿宋" w:cs="仿宋"/>
          <w:sz w:val="24"/>
        </w:rPr>
        <w:t>授权代表的身份证（复印件）…………………………………（页码）</w:t>
      </w:r>
    </w:p>
    <w:p>
      <w:pPr>
        <w:snapToGrid w:val="0"/>
        <w:spacing w:line="360" w:lineRule="auto"/>
        <w:rPr>
          <w:rFonts w:hint="eastAsia" w:ascii="仿宋" w:hAnsi="仿宋" w:eastAsia="仿宋" w:cs="仿宋"/>
          <w:sz w:val="24"/>
        </w:rPr>
      </w:pPr>
      <w:r>
        <w:rPr>
          <w:rFonts w:hint="eastAsia" w:ascii="仿宋" w:hAnsi="仿宋" w:eastAsia="仿宋" w:cs="仿宋"/>
          <w:kern w:val="0"/>
          <w:sz w:val="24"/>
        </w:rPr>
        <w:t>（4）</w:t>
      </w:r>
      <w:r>
        <w:rPr>
          <w:rFonts w:hint="eastAsia" w:ascii="仿宋" w:hAnsi="仿宋" w:eastAsia="仿宋" w:cs="仿宋"/>
          <w:sz w:val="24"/>
          <w:lang w:eastAsia="zh-CN"/>
        </w:rPr>
        <w:t>上一</w:t>
      </w:r>
      <w:r>
        <w:rPr>
          <w:rFonts w:hint="eastAsia" w:ascii="仿宋" w:hAnsi="仿宋" w:eastAsia="仿宋" w:cs="仿宋"/>
          <w:sz w:val="24"/>
        </w:rPr>
        <w:t>年度资产负债表等财务报表资料文件(新成立的公司，提供情况说明)</w:t>
      </w:r>
      <w:r>
        <w:rPr>
          <w:rFonts w:hint="eastAsia" w:ascii="仿宋" w:hAnsi="仿宋" w:eastAsia="仿宋" w:cs="仿宋"/>
          <w:kern w:val="0"/>
          <w:sz w:val="24"/>
        </w:rPr>
        <w:t>（页码）</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（5）具有履行合同所必需的设备和专业技术能力的承诺函………………………（页码）</w:t>
      </w:r>
    </w:p>
    <w:p>
      <w:pPr>
        <w:snapToGrid w:val="0"/>
        <w:spacing w:line="360" w:lineRule="auto"/>
        <w:rPr>
          <w:rFonts w:hint="eastAsia" w:ascii="仿宋" w:hAnsi="仿宋" w:eastAsia="仿宋" w:cs="仿宋"/>
          <w:kern w:val="0"/>
          <w:sz w:val="24"/>
        </w:rPr>
      </w:pPr>
      <w:r>
        <w:rPr>
          <w:rFonts w:hint="eastAsia" w:ascii="仿宋" w:hAnsi="仿宋" w:eastAsia="仿宋" w:cs="仿宋"/>
          <w:sz w:val="24"/>
        </w:rPr>
        <w:t>（6）参加政府采购活动前三年内，在经营活动中没有重大违法记录的声明</w:t>
      </w:r>
      <w:r>
        <w:rPr>
          <w:rFonts w:hint="eastAsia" w:ascii="仿宋" w:hAnsi="仿宋" w:eastAsia="仿宋" w:cs="仿宋"/>
          <w:kern w:val="0"/>
          <w:sz w:val="24"/>
        </w:rPr>
        <w:t xml:space="preserve"> …（页码）</w:t>
      </w:r>
    </w:p>
    <w:p>
      <w:pPr>
        <w:snapToGrid w:val="0"/>
        <w:spacing w:line="360" w:lineRule="auto"/>
        <w:rPr>
          <w:rFonts w:hint="eastAsia" w:ascii="仿宋" w:hAnsi="仿宋" w:eastAsia="仿宋" w:cs="仿宋"/>
          <w:kern w:val="0"/>
          <w:sz w:val="24"/>
        </w:rPr>
      </w:pPr>
      <w:r>
        <w:rPr>
          <w:rFonts w:hint="eastAsia" w:ascii="仿宋" w:hAnsi="仿宋" w:eastAsia="仿宋" w:cs="仿宋"/>
          <w:sz w:val="24"/>
        </w:rPr>
        <w:t>（7）具有良好商业信誉特别声明</w:t>
      </w:r>
      <w:r>
        <w:rPr>
          <w:rFonts w:hint="eastAsia" w:ascii="仿宋" w:hAnsi="仿宋" w:eastAsia="仿宋" w:cs="仿宋"/>
          <w:kern w:val="0"/>
          <w:sz w:val="24"/>
        </w:rPr>
        <w:t>……………………………………………………（页码）</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（8）</w:t>
      </w:r>
      <w:r>
        <w:rPr>
          <w:rFonts w:hint="eastAsia" w:ascii="仿宋" w:hAnsi="仿宋" w:eastAsia="仿宋" w:cs="仿宋"/>
          <w:sz w:val="24"/>
        </w:rPr>
        <w:t>符合特定资格条件（如果项目要求）的有关证明材料（复印件）</w:t>
      </w:r>
      <w:r>
        <w:rPr>
          <w:rFonts w:hint="eastAsia" w:ascii="仿宋" w:hAnsi="仿宋" w:eastAsia="仿宋" w:cs="仿宋"/>
          <w:kern w:val="0"/>
          <w:sz w:val="24"/>
        </w:rPr>
        <w:t>…………（页码）</w:t>
      </w:r>
    </w:p>
    <w:p>
      <w:pPr>
        <w:spacing w:line="360" w:lineRule="auto"/>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9</w:t>
      </w:r>
      <w:r>
        <w:rPr>
          <w:rFonts w:hint="eastAsia" w:ascii="仿宋" w:hAnsi="仿宋" w:eastAsia="仿宋" w:cs="仿宋"/>
          <w:kern w:val="0"/>
          <w:sz w:val="24"/>
        </w:rPr>
        <w:t>）</w:t>
      </w:r>
      <w:r>
        <w:rPr>
          <w:rFonts w:hint="eastAsia" w:ascii="仿宋" w:hAnsi="仿宋" w:eastAsia="仿宋" w:cs="仿宋"/>
          <w:sz w:val="24"/>
        </w:rPr>
        <w:t>以联合体形式投标的，提供联合体协议；本项目不接受联合体投标或者投标人不以联合体形式投标的，则不需要提供</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一、</w:t>
      </w:r>
      <w:r>
        <w:rPr>
          <w:rFonts w:hint="eastAsia" w:ascii="仿宋" w:hAnsi="仿宋" w:eastAsia="仿宋" w:cs="仿宋"/>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 w:hAnsi="仿宋" w:eastAsia="仿宋" w:cs="仿宋"/>
          <w:sz w:val="24"/>
        </w:rPr>
        <w:t>营业执照复印件；</w:t>
      </w:r>
      <w:r>
        <w:rPr>
          <w:rFonts w:hint="eastAsia" w:ascii="仿宋" w:hAnsi="仿宋" w:eastAsia="仿宋" w:cs="仿宋"/>
          <w:b/>
          <w:kern w:val="0"/>
          <w:sz w:val="24"/>
        </w:rPr>
        <w:t>（以联合体形式进行政府采购的，参加联合体的供应商均应当提供）</w:t>
      </w:r>
    </w:p>
    <w:p>
      <w:pPr>
        <w:spacing w:line="360" w:lineRule="auto"/>
        <w:jc w:val="center"/>
        <w:rPr>
          <w:rFonts w:hint="eastAsia" w:ascii="仿宋" w:hAnsi="仿宋" w:eastAsia="仿宋" w:cs="仿宋"/>
          <w:b/>
          <w:sz w:val="30"/>
          <w:szCs w:val="30"/>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投标人名称(电子签名)：                              </w:t>
      </w:r>
    </w:p>
    <w:p>
      <w:pPr>
        <w:spacing w:line="360" w:lineRule="auto"/>
        <w:jc w:val="center"/>
        <w:rPr>
          <w:rFonts w:hint="eastAsia" w:ascii="仿宋" w:hAnsi="仿宋" w:eastAsia="仿宋" w:cs="仿宋"/>
          <w:b/>
          <w:sz w:val="30"/>
          <w:szCs w:val="30"/>
        </w:rPr>
      </w:pPr>
      <w:r>
        <w:rPr>
          <w:rFonts w:hint="eastAsia" w:ascii="仿宋" w:hAnsi="仿宋" w:eastAsia="仿宋" w:cs="仿宋"/>
          <w:kern w:val="0"/>
          <w:sz w:val="24"/>
          <w:lang w:val="zh-CN"/>
        </w:rPr>
        <w:t xml:space="preserve">                   日期：  年  月</w:t>
      </w:r>
    </w:p>
    <w:p>
      <w:pPr>
        <w:snapToGrid w:val="0"/>
        <w:spacing w:line="360" w:lineRule="auto"/>
        <w:ind w:firstLine="2570" w:firstLineChars="800"/>
        <w:rPr>
          <w:rFonts w:hint="eastAsia" w:ascii="仿宋" w:hAnsi="仿宋" w:eastAsia="仿宋" w:cs="仿宋"/>
          <w:b/>
          <w:kern w:val="0"/>
          <w:sz w:val="32"/>
          <w:szCs w:val="32"/>
          <w:lang w:val="zh-CN"/>
        </w:rPr>
      </w:pPr>
    </w:p>
    <w:p>
      <w:pPr>
        <w:snapToGrid w:val="0"/>
        <w:spacing w:line="360" w:lineRule="auto"/>
        <w:ind w:firstLine="2570" w:firstLineChars="800"/>
        <w:rPr>
          <w:rFonts w:hint="eastAsia" w:ascii="仿宋" w:hAnsi="仿宋" w:eastAsia="仿宋" w:cs="仿宋"/>
          <w:b/>
          <w:kern w:val="0"/>
          <w:sz w:val="32"/>
          <w:szCs w:val="32"/>
          <w:lang w:val="zh-CN"/>
        </w:rPr>
      </w:pPr>
    </w:p>
    <w:p>
      <w:pPr>
        <w:snapToGrid w:val="0"/>
        <w:spacing w:line="360" w:lineRule="auto"/>
        <w:ind w:firstLine="2570" w:firstLineChars="80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二、法人授权书</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______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，联系电话：</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)，代表我公司全权处理</w:t>
      </w:r>
      <w:r>
        <w:rPr>
          <w:rFonts w:hint="eastAsia" w:ascii="仿宋" w:hAnsi="仿宋" w:eastAsia="仿宋" w:cs="仿宋"/>
          <w:kern w:val="0"/>
          <w:sz w:val="24"/>
          <w:u w:val="single"/>
          <w:lang w:val="zh-CN"/>
        </w:rPr>
        <w:t>____________项目名称_____________________ 【项目编号：_______________】</w:t>
      </w:r>
      <w:r>
        <w:rPr>
          <w:rFonts w:hint="eastAsia" w:ascii="仿宋" w:hAnsi="仿宋" w:eastAsia="仿宋" w:cs="仿宋"/>
          <w:kern w:val="0"/>
          <w:sz w:val="24"/>
          <w:lang w:val="zh-CN"/>
        </w:rPr>
        <w:t>政府采购投标的一切事项，若中标则全权代表本公司签订相关合同，并负责处理合同履行等事宜。</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联合体投标授权书（适用联合体投标）</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兹委派公司____先生/女士(其在该公司的职务是：____，联系电话：____手机：____传真：____)；公司____先生/女士(其在该公司的职务是：____，联系电话：</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)；……，代表本联合体全权处理</w:t>
      </w:r>
      <w:r>
        <w:rPr>
          <w:rFonts w:hint="eastAsia" w:ascii="仿宋" w:hAnsi="仿宋" w:eastAsia="仿宋" w:cs="仿宋"/>
          <w:kern w:val="0"/>
          <w:sz w:val="24"/>
          <w:u w:val="single"/>
          <w:lang w:val="zh-CN"/>
        </w:rPr>
        <w:t xml:space="preserve">_______________项目名称__________________ </w:t>
      </w:r>
      <w:r>
        <w:rPr>
          <w:rFonts w:hint="eastAsia" w:ascii="仿宋" w:hAnsi="仿宋" w:eastAsia="仿宋" w:cs="仿宋"/>
          <w:kern w:val="0"/>
          <w:sz w:val="24"/>
          <w:lang w:val="zh-CN"/>
        </w:rPr>
        <w:t>【项目编号：     】政府采购投标的一切事项，若中标则全权代表本联合体签订相关合同，并负责处理合同履行等事宜。</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单位：            （电子签名）         单位：          （电子签名）</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日期：    年   月   日             日期：    年   月   日</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rPr>
          <w:rFonts w:hint="eastAsia" w:ascii="仿宋" w:hAnsi="仿宋" w:eastAsia="仿宋" w:cs="仿宋"/>
          <w:b/>
          <w:bCs/>
          <w:sz w:val="24"/>
        </w:rPr>
      </w:pPr>
    </w:p>
    <w:p>
      <w:pPr>
        <w:pStyle w:val="17"/>
        <w:rPr>
          <w:rFonts w:hint="eastAsia"/>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b/>
          <w:bCs/>
          <w:sz w:val="30"/>
          <w:szCs w:val="30"/>
        </w:rPr>
        <w:t>三、</w:t>
      </w:r>
      <w:r>
        <w:rPr>
          <w:rFonts w:hint="eastAsia" w:ascii="仿宋" w:hAnsi="仿宋" w:eastAsia="仿宋" w:cs="仿宋"/>
          <w:b/>
          <w:sz w:val="30"/>
          <w:szCs w:val="30"/>
        </w:rPr>
        <w:t>法定代表人及其授权代表的身份证（复印件）</w:t>
      </w:r>
    </w:p>
    <w:p>
      <w:pPr>
        <w:pStyle w:val="31"/>
        <w:spacing w:line="360" w:lineRule="auto"/>
        <w:rPr>
          <w:rFonts w:hint="eastAsia" w:ascii="仿宋" w:hAnsi="仿宋" w:eastAsia="仿宋" w:cs="仿宋"/>
          <w:bCs/>
          <w:sz w:val="24"/>
        </w:rPr>
      </w:pPr>
      <w:r>
        <w:rPr>
          <w:rFonts w:hint="eastAsia" w:ascii="仿宋" w:hAnsi="仿宋" w:eastAsia="仿宋" w:cs="仿宋"/>
          <w:bCs/>
          <w:sz w:val="24"/>
        </w:rPr>
        <w:t>法定代表人身份证件扫描件：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1"/>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31"/>
              <w:spacing w:line="360" w:lineRule="auto"/>
              <w:rPr>
                <w:rFonts w:hint="eastAsia" w:ascii="仿宋" w:hAnsi="仿宋" w:eastAsia="仿宋" w:cs="仿宋"/>
                <w:bCs/>
                <w:sz w:val="24"/>
              </w:rPr>
            </w:pPr>
          </w:p>
        </w:tc>
      </w:tr>
    </w:tbl>
    <w:p>
      <w:pPr>
        <w:pStyle w:val="31"/>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1"/>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31"/>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w:t>
      </w:r>
    </w:p>
    <w:p>
      <w:pPr>
        <w:pStyle w:val="30"/>
        <w:numPr>
          <w:ilvl w:val="0"/>
          <w:numId w:val="0"/>
        </w:numPr>
        <w:jc w:val="both"/>
        <w:rPr>
          <w:rFonts w:hint="eastAsia" w:ascii="仿宋" w:hAnsi="仿宋" w:eastAsia="仿宋" w:cs="仿宋"/>
          <w:b/>
          <w:sz w:val="36"/>
          <w:szCs w:val="36"/>
        </w:rPr>
      </w:pPr>
    </w:p>
    <w:p>
      <w:pPr>
        <w:pStyle w:val="30"/>
        <w:numPr>
          <w:ilvl w:val="0"/>
          <w:numId w:val="0"/>
        </w:numPr>
        <w:jc w:val="both"/>
        <w:rPr>
          <w:rFonts w:hint="eastAsia" w:ascii="仿宋" w:hAnsi="仿宋" w:eastAsia="仿宋" w:cs="仿宋"/>
          <w:b/>
          <w:sz w:val="36"/>
          <w:szCs w:val="36"/>
        </w:rPr>
      </w:pPr>
    </w:p>
    <w:p>
      <w:pPr>
        <w:spacing w:line="360" w:lineRule="auto"/>
        <w:jc w:val="center"/>
        <w:rPr>
          <w:rFonts w:hint="eastAsia" w:ascii="仿宋" w:hAnsi="仿宋" w:eastAsia="仿宋" w:cs="仿宋"/>
          <w:kern w:val="0"/>
          <w:sz w:val="24"/>
          <w:lang w:val="zh-CN"/>
        </w:rPr>
      </w:pPr>
    </w:p>
    <w:p>
      <w:pPr>
        <w:spacing w:line="360" w:lineRule="auto"/>
        <w:rPr>
          <w:rFonts w:hint="eastAsia" w:ascii="仿宋" w:hAnsi="仿宋" w:eastAsia="仿宋" w:cs="仿宋"/>
          <w:b/>
          <w:sz w:val="30"/>
          <w:szCs w:val="30"/>
        </w:rPr>
      </w:pPr>
      <w:r>
        <w:rPr>
          <w:rFonts w:hint="eastAsia" w:ascii="仿宋" w:hAnsi="仿宋" w:eastAsia="仿宋" w:cs="仿宋"/>
          <w:b/>
          <w:sz w:val="30"/>
          <w:szCs w:val="30"/>
        </w:rPr>
        <w:t>四、</w:t>
      </w:r>
      <w:r>
        <w:rPr>
          <w:rFonts w:hint="eastAsia" w:ascii="仿宋" w:hAnsi="仿宋" w:eastAsia="仿宋" w:cs="仿宋"/>
          <w:b/>
          <w:sz w:val="30"/>
          <w:szCs w:val="30"/>
          <w:lang w:eastAsia="zh-CN"/>
        </w:rPr>
        <w:t>上一</w:t>
      </w:r>
      <w:r>
        <w:rPr>
          <w:rFonts w:hint="eastAsia" w:ascii="仿宋" w:hAnsi="仿宋" w:eastAsia="仿宋" w:cs="仿宋"/>
          <w:b/>
          <w:sz w:val="30"/>
          <w:szCs w:val="30"/>
        </w:rPr>
        <w:t>年度资产负债表等财务报表资料文件（复印件）</w:t>
      </w:r>
    </w:p>
    <w:p>
      <w:pPr>
        <w:spacing w:line="360" w:lineRule="auto"/>
        <w:rPr>
          <w:rFonts w:hint="eastAsia" w:ascii="仿宋" w:hAnsi="仿宋" w:eastAsia="仿宋" w:cs="仿宋"/>
          <w:b/>
          <w:sz w:val="30"/>
          <w:szCs w:val="30"/>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napToGrid w:val="0"/>
        <w:spacing w:line="360" w:lineRule="auto"/>
        <w:ind w:right="48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w:t>
      </w:r>
    </w:p>
    <w:p>
      <w:pPr>
        <w:snapToGrid w:val="0"/>
        <w:spacing w:line="360" w:lineRule="auto"/>
        <w:ind w:right="480"/>
        <w:jc w:val="center"/>
        <w:rPr>
          <w:rFonts w:hint="eastAsia" w:ascii="仿宋" w:hAnsi="仿宋" w:eastAsia="仿宋" w:cs="仿宋"/>
          <w:b/>
          <w:kern w:val="0"/>
          <w:sz w:val="32"/>
          <w:szCs w:val="32"/>
          <w:lang w:val="zh-CN"/>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五、具有履行合同所必需的设备和专业技术能力的承诺函</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我方郑重承诺，我方具有履行</w:t>
      </w:r>
      <w:r>
        <w:rPr>
          <w:rFonts w:hint="eastAsia" w:ascii="仿宋" w:hAnsi="仿宋" w:eastAsia="仿宋" w:cs="仿宋"/>
          <w:kern w:val="0"/>
          <w:sz w:val="24"/>
          <w:u w:val="single"/>
          <w:lang w:val="zh-CN"/>
        </w:rPr>
        <w:t xml:space="preserve">_______________项目名称_______________ </w:t>
      </w:r>
      <w:r>
        <w:rPr>
          <w:rFonts w:hint="eastAsia" w:ascii="仿宋" w:hAnsi="仿宋" w:eastAsia="仿宋" w:cs="仿宋"/>
          <w:sz w:val="24"/>
        </w:rPr>
        <w:t>【项目编号：      】合同所必需的设备和专业技术能力。如中标，我方将保证合同顺利履行。</w:t>
      </w:r>
    </w:p>
    <w:p>
      <w:pPr>
        <w:snapToGrid w:val="0"/>
        <w:spacing w:line="360" w:lineRule="auto"/>
        <w:rPr>
          <w:rFonts w:hint="eastAsia" w:ascii="仿宋" w:hAnsi="仿宋" w:eastAsia="仿宋" w:cs="仿宋"/>
          <w:kern w:val="0"/>
          <w:sz w:val="24"/>
          <w:lang w:val="zh-CN"/>
        </w:rPr>
      </w:pPr>
    </w:p>
    <w:p>
      <w:pPr>
        <w:snapToGrid w:val="0"/>
        <w:spacing w:line="360" w:lineRule="auto"/>
        <w:ind w:firstLine="5040" w:firstLineChars="2100"/>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六、参加政府采购活动前三年内，在经营活动中</w:t>
      </w: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没有重大违法记录的声明</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声明投标截止时间前三年，在</w:t>
      </w:r>
      <w:r>
        <w:rPr>
          <w:rFonts w:hint="eastAsia" w:ascii="仿宋" w:hAnsi="仿宋" w:eastAsia="仿宋" w:cs="仿宋"/>
          <w:kern w:val="0"/>
          <w:sz w:val="24"/>
        </w:rPr>
        <w:t>经营活动中</w:t>
      </w:r>
      <w:r>
        <w:rPr>
          <w:rFonts w:hint="eastAsia" w:ascii="仿宋" w:hAnsi="仿宋" w:eastAsia="仿宋" w:cs="仿宋"/>
          <w:sz w:val="24"/>
        </w:rPr>
        <w:t xml:space="preserve">没有重大违法记录。 </w:t>
      </w:r>
    </w:p>
    <w:p>
      <w:pPr>
        <w:spacing w:line="360" w:lineRule="auto"/>
        <w:ind w:firstLine="480" w:firstLineChars="200"/>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napToGrid w:val="0"/>
        <w:spacing w:line="360" w:lineRule="auto"/>
        <w:ind w:firstLine="5160" w:firstLineChars="2150"/>
        <w:rPr>
          <w:rFonts w:hint="eastAsia" w:ascii="仿宋" w:hAnsi="仿宋" w:eastAsia="仿宋" w:cs="仿宋"/>
          <w:kern w:val="0"/>
          <w:sz w:val="24"/>
          <w:lang w:val="zh-CN"/>
        </w:rPr>
      </w:pPr>
    </w:p>
    <w:p>
      <w:pPr>
        <w:snapToGrid w:val="0"/>
        <w:spacing w:line="360" w:lineRule="auto"/>
        <w:ind w:firstLine="5160" w:firstLineChars="2150"/>
        <w:rPr>
          <w:rFonts w:hint="eastAsia" w:ascii="仿宋" w:hAnsi="仿宋" w:eastAsia="仿宋" w:cs="仿宋"/>
          <w:kern w:val="0"/>
          <w:sz w:val="24"/>
          <w:lang w:val="zh-CN"/>
        </w:rPr>
      </w:pPr>
    </w:p>
    <w:p>
      <w:pPr>
        <w:snapToGrid w:val="0"/>
        <w:spacing w:line="360" w:lineRule="auto"/>
        <w:ind w:firstLine="1606" w:firstLineChars="500"/>
        <w:rPr>
          <w:rFonts w:hint="eastAsia" w:ascii="仿宋" w:hAnsi="仿宋" w:eastAsia="仿宋" w:cs="仿宋"/>
          <w:b/>
          <w:kern w:val="0"/>
          <w:sz w:val="32"/>
          <w:szCs w:val="32"/>
        </w:rPr>
      </w:pPr>
    </w:p>
    <w:p>
      <w:pPr>
        <w:snapToGrid w:val="0"/>
        <w:spacing w:line="360" w:lineRule="auto"/>
        <w:ind w:firstLine="1606" w:firstLineChars="500"/>
        <w:rPr>
          <w:rFonts w:hint="eastAsia" w:ascii="仿宋" w:hAnsi="仿宋" w:eastAsia="仿宋" w:cs="仿宋"/>
          <w:b/>
          <w:kern w:val="0"/>
          <w:sz w:val="32"/>
          <w:szCs w:val="32"/>
        </w:rPr>
      </w:pPr>
      <w:r>
        <w:rPr>
          <w:rFonts w:hint="eastAsia" w:ascii="仿宋" w:hAnsi="仿宋" w:eastAsia="仿宋" w:cs="仿宋"/>
          <w:b/>
          <w:kern w:val="0"/>
          <w:sz w:val="32"/>
          <w:szCs w:val="32"/>
        </w:rPr>
        <w:t>七、具有良好商业信誉特别声明</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sz w:val="24"/>
        </w:rPr>
        <w:t>截至投标截止时间，我方具有良好的商业信誉，不存在下列情形（包括但不限于）。否则，我方将承担在资格审查时不被通过的后果。</w:t>
      </w:r>
    </w:p>
    <w:p>
      <w:pPr>
        <w:pStyle w:val="25"/>
        <w:spacing w:before="0"/>
        <w:ind w:firstLine="495" w:firstLineChars="0"/>
        <w:rPr>
          <w:rFonts w:hint="eastAsia" w:ascii="仿宋" w:hAnsi="仿宋" w:eastAsia="仿宋" w:cs="仿宋"/>
        </w:rPr>
      </w:pPr>
      <w:r>
        <w:rPr>
          <w:rFonts w:hint="eastAsia" w:ascii="仿宋" w:hAnsi="仿宋" w:eastAsia="仿宋" w:cs="仿宋"/>
        </w:rPr>
        <w:t>1</w:t>
      </w:r>
      <w:r>
        <w:rPr>
          <w:rFonts w:hint="eastAsia" w:ascii="仿宋" w:hAnsi="仿宋" w:eastAsia="仿宋" w:cs="仿宋"/>
          <w:b/>
          <w:szCs w:val="24"/>
        </w:rPr>
        <w:t>、</w:t>
      </w:r>
      <w:r>
        <w:rPr>
          <w:rFonts w:hint="eastAsia" w:ascii="仿宋" w:hAnsi="仿宋" w:eastAsia="仿宋" w:cs="仿宋"/>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仿宋" w:hAnsi="仿宋" w:eastAsia="仿宋" w:cs="仿宋"/>
          <w:sz w:val="24"/>
        </w:rPr>
      </w:pPr>
    </w:p>
    <w:p>
      <w:pPr>
        <w:snapToGrid w:val="0"/>
        <w:spacing w:line="360" w:lineRule="auto"/>
        <w:ind w:firstLine="4680" w:firstLineChars="19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pacing w:line="360" w:lineRule="auto"/>
        <w:jc w:val="center"/>
        <w:rPr>
          <w:rFonts w:hint="eastAsia" w:ascii="仿宋" w:hAnsi="仿宋" w:eastAsia="仿宋" w:cs="仿宋"/>
          <w:b/>
          <w:sz w:val="30"/>
          <w:szCs w:val="30"/>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八、特定资格条件要求的资质文件（复印件）</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（由投标人根据招标公告合格的投标人应具备的特定资格要求编制；如果本项目没有设置特定资格条件，则不需要提供）</w:t>
      </w: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snapToGrid w:val="0"/>
        <w:spacing w:before="50" w:after="50" w:line="360" w:lineRule="auto"/>
        <w:jc w:val="center"/>
        <w:rPr>
          <w:rFonts w:hint="eastAsia" w:ascii="仿宋" w:hAnsi="仿宋" w:eastAsia="仿宋" w:cs="仿宋"/>
          <w:b/>
          <w:sz w:val="30"/>
          <w:szCs w:val="30"/>
        </w:rPr>
      </w:pPr>
      <w:r>
        <w:rPr>
          <w:rFonts w:hint="eastAsia" w:ascii="仿宋" w:hAnsi="仿宋" w:eastAsia="仿宋" w:cs="仿宋"/>
          <w:b/>
          <w:sz w:val="32"/>
          <w:szCs w:val="32"/>
          <w:lang w:eastAsia="zh-CN"/>
        </w:rPr>
        <w:t>九</w:t>
      </w:r>
      <w:r>
        <w:rPr>
          <w:rFonts w:hint="eastAsia" w:ascii="仿宋" w:hAnsi="仿宋" w:eastAsia="仿宋" w:cs="仿宋"/>
          <w:b/>
          <w:sz w:val="30"/>
          <w:szCs w:val="30"/>
        </w:rPr>
        <w:t>、联合体协议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（以联合体形式投标的，提供联合体协议；本项目不接受联合体投标或者投标人不以联合体形式投标的，则不需要提供）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甲方：</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乙方：</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各方经协商一致，决定组成一个联合体，以一个投标人的身份就项目名称：</w:t>
      </w:r>
      <w:r>
        <w:rPr>
          <w:rFonts w:hint="eastAsia" w:ascii="仿宋" w:hAnsi="仿宋" w:eastAsia="仿宋" w:cs="仿宋"/>
          <w:kern w:val="0"/>
          <w:sz w:val="24"/>
          <w:u w:val="single"/>
          <w:lang w:val="en-US" w:eastAsia="zh-CN"/>
        </w:rPr>
        <w:t xml:space="preserve">     </w:t>
      </w:r>
      <w:r>
        <w:rPr>
          <w:rFonts w:hint="eastAsia" w:ascii="仿宋" w:hAnsi="仿宋" w:eastAsia="仿宋" w:cs="仿宋"/>
          <w:sz w:val="24"/>
        </w:rPr>
        <w:t>【招标编号：</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共同投标。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sz w:val="24"/>
        </w:rPr>
        <w:t>指定</w:t>
      </w:r>
      <w:r>
        <w:rPr>
          <w:rFonts w:hint="eastAsia" w:ascii="仿宋" w:hAnsi="仿宋" w:eastAsia="仿宋" w:cs="仿宋"/>
          <w:u w:val="single"/>
        </w:rPr>
        <w:t xml:space="preserve">   </w:t>
      </w:r>
      <w:r>
        <w:rPr>
          <w:rFonts w:hint="eastAsia" w:ascii="仿宋" w:hAnsi="仿宋" w:eastAsia="仿宋" w:cs="仿宋"/>
          <w:sz w:val="24"/>
        </w:rPr>
        <w:t>方牵头人，代表所有联合体成员负责投标和合同实施阶段的主办、协调工作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三、本次联合投标中，分工如下：甲方承担的工作和义务为：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；乙方承担的工作和义务为：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甲方单位：         （电子签名）          乙方单位：          （电子签名）</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lang w:val="zh-CN"/>
        </w:rPr>
        <w:t>日期：    年   月   日                  日期：    年   月   日</w:t>
      </w:r>
    </w:p>
    <w:p>
      <w:pPr>
        <w:spacing w:line="360" w:lineRule="auto"/>
        <w:ind w:firstLine="480" w:firstLineChars="200"/>
        <w:rPr>
          <w:rFonts w:hint="eastAsia" w:ascii="仿宋" w:hAnsi="仿宋" w:eastAsia="仿宋" w:cs="仿宋"/>
          <w:sz w:val="24"/>
        </w:rPr>
      </w:pPr>
    </w:p>
    <w:p>
      <w:pPr>
        <w:widowControl/>
        <w:adjustRightInd/>
        <w:jc w:val="center"/>
        <w:rPr>
          <w:rFonts w:hint="eastAsia"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商务技术文件部分</w:t>
      </w:r>
    </w:p>
    <w:p>
      <w:pPr>
        <w:spacing w:line="360" w:lineRule="auto"/>
        <w:rPr>
          <w:rFonts w:hint="eastAsia" w:ascii="仿宋" w:hAnsi="仿宋" w:eastAsia="仿宋" w:cs="仿宋"/>
          <w:b/>
          <w:kern w:val="0"/>
          <w:sz w:val="36"/>
          <w:szCs w:val="36"/>
        </w:rPr>
      </w:pPr>
    </w:p>
    <w:p>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pStyle w:val="33"/>
        <w:spacing w:line="360" w:lineRule="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）声明书………………………………………………………………（页码）</w:t>
      </w:r>
    </w:p>
    <w:p>
      <w:pPr>
        <w:pStyle w:val="33"/>
        <w:spacing w:line="360" w:lineRule="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）所有资信文件（复印件）…………………………………………（页码）</w:t>
      </w:r>
    </w:p>
    <w:p>
      <w:pPr>
        <w:pStyle w:val="33"/>
        <w:spacing w:line="360" w:lineRule="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）主要业绩证明</w:t>
      </w:r>
      <w:r>
        <w:rPr>
          <w:rFonts w:hint="eastAsia" w:ascii="仿宋" w:hAnsi="仿宋" w:eastAsia="仿宋" w:cs="仿宋"/>
          <w:lang w:val="zh-CN"/>
        </w:rPr>
        <w:t>………………………………………………………</w:t>
      </w:r>
      <w:r>
        <w:rPr>
          <w:rFonts w:hint="eastAsia" w:ascii="仿宋" w:hAnsi="仿宋" w:eastAsia="仿宋" w:cs="仿宋"/>
        </w:rPr>
        <w:t>（页码）</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）非本地供应商售后服务机构证明材料</w:t>
      </w:r>
      <w:r>
        <w:rPr>
          <w:rFonts w:hint="eastAsia" w:ascii="仿宋" w:hAnsi="仿宋" w:eastAsia="仿宋" w:cs="仿宋"/>
          <w:kern w:val="0"/>
          <w:sz w:val="24"/>
          <w:lang w:eastAsia="zh-CN"/>
        </w:rPr>
        <w:t>（如果有）</w:t>
      </w:r>
      <w:r>
        <w:rPr>
          <w:rFonts w:hint="eastAsia" w:ascii="仿宋" w:hAnsi="仿宋" w:eastAsia="仿宋" w:cs="仿宋"/>
          <w:sz w:val="24"/>
          <w:lang w:val="zh-CN"/>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zh-CN"/>
        </w:rPr>
        <w:t>关于对谈判文件中有关条款的拒绝声明…………………………</w:t>
      </w:r>
      <w:r>
        <w:rPr>
          <w:rFonts w:hint="eastAsia" w:ascii="仿宋" w:hAnsi="仿宋" w:eastAsia="仿宋" w:cs="仿宋"/>
          <w:kern w:val="0"/>
          <w:sz w:val="24"/>
        </w:rPr>
        <w:t>（页码）</w:t>
      </w:r>
    </w:p>
    <w:p>
      <w:pPr>
        <w:pStyle w:val="33"/>
        <w:spacing w:line="360" w:lineRule="auto"/>
        <w:ind w:left="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）认为需要的其他商务文件或说明…………………………………（页码）</w:t>
      </w:r>
    </w:p>
    <w:p>
      <w:pPr>
        <w:pStyle w:val="33"/>
        <w:spacing w:line="360" w:lineRule="auto"/>
        <w:rPr>
          <w:rFonts w:hint="eastAsia" w:ascii="仿宋" w:hAnsi="仿宋" w:eastAsia="仿宋" w:cs="仿宋"/>
        </w:rPr>
      </w:pPr>
      <w:r>
        <w:rPr>
          <w:rFonts w:hint="eastAsia" w:ascii="仿宋" w:hAnsi="仿宋" w:eastAsia="仿宋" w:cs="仿宋"/>
          <w:kern w:val="0"/>
        </w:rPr>
        <w:t>（</w:t>
      </w:r>
      <w:r>
        <w:rPr>
          <w:rFonts w:hint="eastAsia" w:ascii="仿宋" w:hAnsi="仿宋" w:eastAsia="仿宋" w:cs="仿宋"/>
          <w:kern w:val="0"/>
          <w:lang w:val="en-US" w:eastAsia="zh-CN"/>
        </w:rPr>
        <w:t>7</w:t>
      </w:r>
      <w:r>
        <w:rPr>
          <w:rFonts w:hint="eastAsia" w:ascii="仿宋" w:hAnsi="仿宋" w:eastAsia="仿宋" w:cs="仿宋"/>
          <w:kern w:val="0"/>
        </w:rPr>
        <w:t>）廉政承诺书…………………………………………………………（页码）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8</w:t>
      </w:r>
      <w:r>
        <w:rPr>
          <w:rFonts w:hint="eastAsia" w:ascii="仿宋" w:hAnsi="仿宋" w:eastAsia="仿宋" w:cs="仿宋"/>
          <w:kern w:val="0"/>
          <w:sz w:val="24"/>
        </w:rPr>
        <w:t>）技术解决方案……………………………………………………（页码）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9</w:t>
      </w:r>
      <w:r>
        <w:rPr>
          <w:rFonts w:hint="eastAsia" w:ascii="仿宋" w:hAnsi="仿宋" w:eastAsia="仿宋" w:cs="仿宋"/>
          <w:kern w:val="0"/>
          <w:sz w:val="24"/>
        </w:rPr>
        <w:t>）组织实施方案……………………………………………………（页码）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）售后服务方案……………………………………………………（页码）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1</w:t>
      </w:r>
      <w:r>
        <w:rPr>
          <w:rFonts w:hint="eastAsia" w:ascii="仿宋" w:hAnsi="仿宋" w:eastAsia="仿宋" w:cs="仿宋"/>
          <w:kern w:val="0"/>
          <w:sz w:val="24"/>
        </w:rPr>
        <w:t>）项目小组人员名单………………………………………………（页码）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2</w:t>
      </w:r>
      <w:r>
        <w:rPr>
          <w:rFonts w:hint="eastAsia" w:ascii="仿宋" w:hAnsi="仿宋" w:eastAsia="仿宋" w:cs="仿宋"/>
          <w:kern w:val="0"/>
          <w:sz w:val="24"/>
        </w:rPr>
        <w:t>）</w:t>
      </w:r>
      <w:r>
        <w:rPr>
          <w:rFonts w:hint="eastAsia" w:ascii="仿宋" w:hAnsi="仿宋" w:eastAsia="仿宋" w:cs="仿宋"/>
          <w:kern w:val="0"/>
          <w:sz w:val="24"/>
          <w:lang w:val="zh-CN"/>
        </w:rPr>
        <w:t>优惠条件及特殊承诺……………………………………………</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w:t>
      </w:r>
      <w:r>
        <w:rPr>
          <w:rFonts w:hint="eastAsia" w:ascii="仿宋" w:hAnsi="仿宋" w:eastAsia="仿宋" w:cs="仿宋"/>
          <w:kern w:val="0"/>
          <w:sz w:val="24"/>
          <w:lang w:val="zh-CN"/>
        </w:rPr>
        <w:t>培训计划…………………………………………………………</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sz w:val="24"/>
        </w:rPr>
        <w:t>随机特殊工具和备品备件清单</w:t>
      </w:r>
      <w:r>
        <w:rPr>
          <w:rFonts w:hint="eastAsia" w:ascii="仿宋" w:hAnsi="仿宋" w:eastAsia="仿宋" w:cs="仿宋"/>
          <w:kern w:val="0"/>
          <w:sz w:val="24"/>
          <w:lang w:val="zh-CN"/>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zh-CN"/>
        </w:rPr>
        <w:t>认为需要的其他技术文件或说明………………………………</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pPr>
        <w:spacing w:line="360" w:lineRule="auto"/>
        <w:jc w:val="center"/>
        <w:rPr>
          <w:rFonts w:hint="eastAsia" w:ascii="仿宋" w:hAnsi="仿宋" w:eastAsia="仿宋" w:cs="仿宋"/>
          <w:sz w:val="24"/>
        </w:rPr>
      </w:pPr>
      <w:r>
        <w:rPr>
          <w:rFonts w:hint="eastAsia" w:ascii="仿宋" w:hAnsi="仿宋" w:eastAsia="仿宋" w:cs="仿宋"/>
          <w:sz w:val="36"/>
          <w:szCs w:val="36"/>
        </w:rPr>
        <w:br w:type="page"/>
      </w:r>
    </w:p>
    <w:p>
      <w:pPr>
        <w:spacing w:line="360" w:lineRule="auto"/>
        <w:rPr>
          <w:rFonts w:hint="eastAsia" w:ascii="仿宋" w:hAnsi="仿宋" w:eastAsia="仿宋" w:cs="仿宋"/>
          <w:b/>
          <w:bCs/>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一、声明书</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我公司</w:t>
      </w:r>
      <w:r>
        <w:rPr>
          <w:rFonts w:hint="eastAsia" w:ascii="仿宋" w:hAnsi="仿宋" w:eastAsia="仿宋" w:cs="仿宋"/>
          <w:sz w:val="24"/>
        </w:rPr>
        <w:t>声明截止响应时间近三年以来，在浙江省范围内</w:t>
      </w:r>
      <w:r>
        <w:rPr>
          <w:rFonts w:hint="eastAsia" w:ascii="仿宋" w:hAnsi="仿宋" w:eastAsia="仿宋" w:cs="仿宋"/>
          <w:kern w:val="0"/>
          <w:sz w:val="24"/>
        </w:rPr>
        <w:t>政府采购领域中</w:t>
      </w:r>
      <w:r>
        <w:rPr>
          <w:rFonts w:hint="eastAsia" w:ascii="仿宋" w:hAnsi="仿宋" w:eastAsia="仿宋" w:cs="仿宋"/>
          <w:sz w:val="24"/>
        </w:rPr>
        <w:t>，在项目采购、响应和合同履约期间无任何不良行为记录和违法、违规行为</w:t>
      </w:r>
      <w:r>
        <w:rPr>
          <w:rFonts w:hint="eastAsia" w:ascii="仿宋" w:hAnsi="仿宋" w:eastAsia="仿宋" w:cs="仿宋"/>
          <w:kern w:val="0"/>
          <w:sz w:val="24"/>
          <w:lang w:val="zh-CN"/>
        </w:rPr>
        <w:t>。</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我公司自愿参加</w:t>
      </w:r>
      <w:r>
        <w:rPr>
          <w:rFonts w:hint="eastAsia" w:ascii="仿宋" w:hAnsi="仿宋" w:eastAsia="仿宋" w:cs="仿宋"/>
          <w:sz w:val="24"/>
        </w:rPr>
        <w:t>XXXXXX项目【采购编号：XXX】</w:t>
      </w:r>
      <w:r>
        <w:rPr>
          <w:rFonts w:hint="eastAsia" w:ascii="仿宋" w:hAnsi="仿宋" w:eastAsia="仿宋" w:cs="仿宋"/>
          <w:kern w:val="0"/>
          <w:sz w:val="24"/>
          <w:lang w:val="zh-CN"/>
        </w:rPr>
        <w:t>的响应，并保证响应文件中所列举的相关资料和公司基本情况资料是真实的、合法的。</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我公司已详细阅读全部“谈判文件”，包括“更正（延期）公告”（如果有）以及全部采购资料和相关附件，并已了解我公司在响应过程中的权利和义务。</w:t>
      </w:r>
    </w:p>
    <w:p>
      <w:pPr>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lang w:val="zh-CN"/>
        </w:rPr>
        <w:t>我公司理解并接受谈判文件的各项规定和要求，同意此次谈判文件中的各项内容，</w:t>
      </w:r>
      <w:r>
        <w:rPr>
          <w:rFonts w:hint="eastAsia" w:ascii="仿宋" w:hAnsi="仿宋" w:eastAsia="仿宋" w:cs="仿宋"/>
          <w:kern w:val="0"/>
          <w:sz w:val="24"/>
        </w:rPr>
        <w:t>并</w:t>
      </w:r>
      <w:r>
        <w:rPr>
          <w:rFonts w:hint="eastAsia" w:ascii="仿宋" w:hAnsi="仿宋" w:eastAsia="仿宋" w:cs="仿宋"/>
          <w:kern w:val="0"/>
          <w:sz w:val="24"/>
          <w:lang w:val="zh-CN"/>
        </w:rPr>
        <w:t>同意提供“贵方可能要求的与响应有关的一切数据或资料”等。</w:t>
      </w:r>
    </w:p>
    <w:p>
      <w:pPr>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lang w:val="zh-CN"/>
        </w:rPr>
        <w:t>本公司如成交，保证按照响应文件的承诺与贵方签订合同，保证履行合同条款并缴纳履约保证金。</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、所有资信文件（复印件）</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spacing w:line="360" w:lineRule="auto"/>
        <w:jc w:val="center"/>
        <w:rPr>
          <w:rFonts w:hint="eastAsia" w:ascii="仿宋" w:hAnsi="仿宋" w:eastAsia="仿宋" w:cs="仿宋"/>
          <w:b/>
          <w:sz w:val="30"/>
          <w:szCs w:val="30"/>
        </w:rPr>
      </w:pPr>
    </w:p>
    <w:p>
      <w:pPr>
        <w:spacing w:line="360" w:lineRule="auto"/>
        <w:jc w:val="center"/>
        <w:rPr>
          <w:rFonts w:hint="eastAsia" w:ascii="仿宋" w:hAnsi="仿宋" w:eastAsia="仿宋" w:cs="仿宋"/>
          <w:b/>
          <w:sz w:val="32"/>
          <w:szCs w:val="32"/>
        </w:rPr>
      </w:pP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pacing w:line="360" w:lineRule="auto"/>
        <w:rPr>
          <w:rFonts w:hint="eastAsia" w:ascii="仿宋" w:hAnsi="仿宋" w:eastAsia="仿宋" w:cs="仿宋"/>
          <w:b/>
          <w:sz w:val="32"/>
          <w:szCs w:val="32"/>
        </w:rPr>
        <w:sectPr>
          <w:footerReference r:id="rId12" w:type="first"/>
          <w:headerReference r:id="rId10" w:type="default"/>
          <w:footerReference r:id="rId11" w:type="default"/>
          <w:pgSz w:w="11906" w:h="16838"/>
          <w:pgMar w:top="1247" w:right="1418" w:bottom="18" w:left="1418" w:header="851" w:footer="992" w:gutter="0"/>
          <w:cols w:space="720" w:num="1"/>
          <w:titlePg/>
          <w:docGrid w:linePitch="312" w:charSpace="0"/>
        </w:sect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18"/>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投资</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注：供应商可按上述的格式自行编制，须随表提交相应的合同复印件和用户单位验收证明</w:t>
      </w:r>
      <w:r>
        <w:rPr>
          <w:rFonts w:hint="eastAsia" w:ascii="仿宋" w:hAnsi="仿宋" w:eastAsia="仿宋" w:cs="仿宋"/>
          <w:b/>
          <w:sz w:val="24"/>
          <w:lang w:eastAsia="zh-CN"/>
        </w:rPr>
        <w:t>（如需要）</w:t>
      </w:r>
      <w:r>
        <w:rPr>
          <w:rFonts w:hint="eastAsia" w:ascii="仿宋" w:hAnsi="仿宋" w:eastAsia="仿宋" w:cs="仿宋"/>
          <w:b/>
          <w:sz w:val="24"/>
        </w:rPr>
        <w:t>并注明所在文件页码。</w:t>
      </w:r>
    </w:p>
    <w:p>
      <w:pPr>
        <w:autoSpaceDE w:val="0"/>
        <w:autoSpaceDN w:val="0"/>
        <w:spacing w:line="360" w:lineRule="auto"/>
        <w:rPr>
          <w:rFonts w:hint="eastAsia" w:ascii="仿宋" w:hAnsi="仿宋" w:eastAsia="仿宋" w:cs="仿宋"/>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、非本地供应商售后服务机构证明材料</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spacing w:line="360" w:lineRule="auto"/>
        <w:jc w:val="center"/>
        <w:rPr>
          <w:rFonts w:hint="eastAsia" w:ascii="仿宋" w:hAnsi="仿宋" w:eastAsia="仿宋" w:cs="仿宋"/>
          <w:b/>
          <w:bCs/>
          <w:sz w:val="32"/>
          <w:szCs w:val="32"/>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、关于</w:t>
      </w:r>
      <w:r>
        <w:rPr>
          <w:rFonts w:hint="eastAsia" w:ascii="仿宋" w:hAnsi="仿宋" w:eastAsia="仿宋" w:cs="仿宋"/>
          <w:b/>
          <w:kern w:val="0"/>
          <w:sz w:val="32"/>
          <w:szCs w:val="32"/>
          <w:lang w:val="zh-CN"/>
        </w:rPr>
        <w:t>对谈判文件中有关条款的拒绝声明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、认为需要的</w:t>
      </w:r>
      <w:r>
        <w:rPr>
          <w:rFonts w:hint="eastAsia" w:ascii="仿宋" w:hAnsi="仿宋" w:eastAsia="仿宋" w:cs="仿宋"/>
          <w:b/>
          <w:kern w:val="0"/>
          <w:sz w:val="32"/>
          <w:szCs w:val="32"/>
          <w:lang w:val="zh-CN"/>
        </w:rPr>
        <w:t>其他商务文件或说明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rPr>
          <w:rFonts w:hint="eastAsia" w:ascii="仿宋" w:hAnsi="仿宋" w:eastAsia="仿宋" w:cs="仿宋"/>
          <w:b/>
          <w:bCs/>
          <w:kern w:val="0"/>
          <w:sz w:val="24"/>
        </w:rPr>
      </w:pPr>
    </w:p>
    <w:p>
      <w:pPr>
        <w:widowControl/>
        <w:adjustRightInd/>
        <w:jc w:val="left"/>
        <w:rPr>
          <w:rFonts w:hint="eastAsia" w:ascii="仿宋" w:hAnsi="仿宋" w:eastAsia="仿宋" w:cs="仿宋"/>
          <w:b/>
          <w:sz w:val="32"/>
          <w:szCs w:val="32"/>
        </w:rPr>
      </w:pPr>
      <w:r>
        <w:rPr>
          <w:rFonts w:hint="eastAsia" w:ascii="仿宋" w:hAnsi="仿宋" w:eastAsia="仿宋" w:cs="仿宋"/>
        </w:rPr>
        <w:br w:type="page"/>
      </w:r>
    </w:p>
    <w:p>
      <w:pPr>
        <w:pStyle w:val="34"/>
        <w:outlineLvl w:val="9"/>
        <w:rPr>
          <w:rFonts w:hint="eastAsia" w:ascii="仿宋" w:hAnsi="仿宋" w:eastAsia="仿宋" w:cs="仿宋"/>
        </w:rPr>
      </w:pPr>
      <w:r>
        <w:rPr>
          <w:rFonts w:hint="eastAsia" w:ascii="仿宋" w:hAnsi="仿宋" w:eastAsia="仿宋" w:cs="仿宋"/>
          <w:lang w:eastAsia="zh-CN"/>
        </w:rPr>
        <w:t>七</w:t>
      </w:r>
      <w:r>
        <w:rPr>
          <w:rFonts w:hint="eastAsia" w:ascii="仿宋" w:hAnsi="仿宋" w:eastAsia="仿宋" w:cs="仿宋"/>
        </w:rPr>
        <w:t>、廉政承诺书</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r>
        <w:rPr>
          <w:rFonts w:hint="eastAsia" w:ascii="仿宋" w:hAnsi="仿宋" w:eastAsia="仿宋" w:cs="仿宋"/>
          <w:sz w:val="24"/>
        </w:rPr>
        <w:t>XXX（单位名称）</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项目采购要求参加响应。在这次响应过程中和成交后，我们将严格遵守国家法律法规要求，并郑重承诺：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    六、严格遵守政府采购法、采购响应法、合同法等法律，诚实守信，合法经营，坚</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w:t>
      </w:r>
      <w:r>
        <w:rPr>
          <w:rFonts w:hint="eastAsia" w:ascii="仿宋" w:hAnsi="仿宋" w:eastAsia="仿宋" w:cs="仿宋"/>
          <w:sz w:val="24"/>
        </w:rPr>
        <w:t>财政局</w:t>
      </w:r>
      <w:r>
        <w:rPr>
          <w:rFonts w:hint="eastAsia" w:ascii="仿宋" w:hAnsi="仿宋" w:eastAsia="仿宋" w:cs="仿宋"/>
          <w:kern w:val="0"/>
          <w:sz w:val="24"/>
          <w:lang w:val="zh-CN"/>
        </w:rPr>
        <w:t>。由此引起的相应损失均由我单位承担。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、技术解决方案</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spacing w:line="360" w:lineRule="auto"/>
        <w:jc w:val="center"/>
        <w:rPr>
          <w:rFonts w:hint="eastAsia" w:ascii="仿宋" w:hAnsi="仿宋" w:eastAsia="仿宋" w:cs="仿宋"/>
          <w:sz w:val="24"/>
        </w:rPr>
      </w:pP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响应产品规格配置清单</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设备名称</w:t>
            </w:r>
          </w:p>
        </w:tc>
        <w:tc>
          <w:tcPr>
            <w:tcW w:w="216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响应品牌及型号</w:t>
            </w:r>
          </w:p>
        </w:tc>
        <w:tc>
          <w:tcPr>
            <w:tcW w:w="234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108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bl>
    <w:p>
      <w:pPr>
        <w:autoSpaceDE w:val="0"/>
        <w:autoSpaceDN w:val="0"/>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pPr>
        <w:spacing w:line="360" w:lineRule="auto"/>
        <w:ind w:firstLine="1333" w:firstLineChars="400"/>
        <w:jc w:val="left"/>
        <w:rPr>
          <w:rFonts w:hint="eastAsia" w:ascii="仿宋" w:hAnsi="仿宋" w:eastAsia="仿宋" w:cs="仿宋"/>
          <w:b/>
          <w:spacing w:val="6"/>
          <w:sz w:val="32"/>
          <w:szCs w:val="32"/>
        </w:rPr>
      </w:pPr>
    </w:p>
    <w:p>
      <w:pPr>
        <w:spacing w:line="360" w:lineRule="auto"/>
        <w:ind w:firstLine="1333" w:firstLineChars="400"/>
        <w:jc w:val="left"/>
        <w:rPr>
          <w:rFonts w:hint="eastAsia" w:ascii="仿宋" w:hAnsi="仿宋" w:eastAsia="仿宋" w:cs="仿宋"/>
          <w:b/>
          <w:spacing w:val="6"/>
          <w:sz w:val="32"/>
          <w:szCs w:val="32"/>
        </w:rPr>
      </w:pPr>
    </w:p>
    <w:p>
      <w:pPr>
        <w:spacing w:line="360" w:lineRule="auto"/>
        <w:ind w:firstLine="1333" w:firstLineChars="400"/>
        <w:jc w:val="left"/>
        <w:rPr>
          <w:rFonts w:hint="eastAsia" w:ascii="仿宋" w:hAnsi="仿宋" w:eastAsia="仿宋" w:cs="仿宋"/>
          <w:b/>
          <w:spacing w:val="6"/>
          <w:sz w:val="32"/>
          <w:szCs w:val="32"/>
        </w:rPr>
      </w:pPr>
      <w:r>
        <w:rPr>
          <w:rFonts w:hint="eastAsia" w:ascii="仿宋" w:hAnsi="仿宋" w:eastAsia="仿宋" w:cs="仿宋"/>
          <w:b/>
          <w:spacing w:val="6"/>
          <w:sz w:val="32"/>
          <w:szCs w:val="32"/>
        </w:rPr>
        <w:t>节能产品认证证书（电子签名）</w:t>
      </w:r>
    </w:p>
    <w:p>
      <w:pPr>
        <w:spacing w:line="360" w:lineRule="auto"/>
        <w:ind w:firstLine="1333" w:firstLineChars="400"/>
        <w:jc w:val="left"/>
        <w:rPr>
          <w:rFonts w:hint="eastAsia" w:ascii="仿宋" w:hAnsi="仿宋" w:eastAsia="仿宋" w:cs="仿宋"/>
          <w:b/>
          <w:spacing w:val="6"/>
          <w:sz w:val="32"/>
          <w:szCs w:val="32"/>
        </w:rPr>
      </w:pPr>
    </w:p>
    <w:p>
      <w:pPr>
        <w:spacing w:line="360" w:lineRule="auto"/>
        <w:rPr>
          <w:rFonts w:hint="eastAsia" w:ascii="仿宋" w:hAnsi="仿宋" w:eastAsia="仿宋" w:cs="仿宋"/>
          <w:b/>
          <w:bCs/>
          <w:sz w:val="24"/>
        </w:rPr>
      </w:pPr>
    </w:p>
    <w:p>
      <w:pPr>
        <w:spacing w:line="360" w:lineRule="auto"/>
        <w:ind w:firstLine="1000" w:firstLineChars="300"/>
        <w:jc w:val="left"/>
        <w:rPr>
          <w:rFonts w:hint="eastAsia" w:ascii="仿宋" w:hAnsi="仿宋" w:eastAsia="仿宋" w:cs="仿宋"/>
          <w:b/>
          <w:spacing w:val="6"/>
          <w:sz w:val="32"/>
          <w:szCs w:val="32"/>
        </w:rPr>
      </w:pPr>
      <w:r>
        <w:rPr>
          <w:rFonts w:hint="eastAsia" w:ascii="仿宋" w:hAnsi="仿宋" w:eastAsia="仿宋" w:cs="仿宋"/>
          <w:b/>
          <w:spacing w:val="6"/>
          <w:sz w:val="32"/>
          <w:szCs w:val="32"/>
        </w:rPr>
        <w:t>环境标志产品认证证书（电子签名）</w:t>
      </w:r>
    </w:p>
    <w:p>
      <w:pPr>
        <w:autoSpaceDE w:val="0"/>
        <w:autoSpaceDN w:val="0"/>
        <w:spacing w:line="360" w:lineRule="auto"/>
        <w:rPr>
          <w:rFonts w:hint="eastAsia" w:ascii="仿宋" w:hAnsi="仿宋" w:eastAsia="仿宋" w:cs="仿宋"/>
          <w:b/>
          <w:kern w:val="0"/>
          <w:sz w:val="28"/>
          <w:szCs w:val="28"/>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pStyle w:val="17"/>
        <w:rPr>
          <w:rFonts w:hint="eastAsia" w:ascii="仿宋" w:hAnsi="仿宋" w:eastAsia="仿宋" w:cs="仿宋"/>
          <w:b/>
          <w:bCs/>
          <w:sz w:val="32"/>
          <w:szCs w:val="32"/>
        </w:rPr>
      </w:pPr>
      <w:r>
        <w:rPr>
          <w:rFonts w:hint="eastAsia" w:ascii="仿宋" w:hAnsi="仿宋" w:eastAsia="仿宋" w:cs="仿宋"/>
          <w:kern w:val="0"/>
          <w:sz w:val="24"/>
        </w:rPr>
        <w:t xml:space="preserve">                                      日期：  年  月   日</w:t>
      </w:r>
    </w:p>
    <w:p>
      <w:pPr>
        <w:pStyle w:val="17"/>
        <w:rPr>
          <w:rFonts w:hint="eastAsia" w:ascii="仿宋" w:hAnsi="仿宋" w:eastAsia="仿宋" w:cs="仿宋"/>
          <w:b/>
          <w:bCs/>
          <w:sz w:val="32"/>
          <w:szCs w:val="32"/>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九、组织实施方案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autoSpaceDE w:val="0"/>
        <w:autoSpaceDN w:val="0"/>
        <w:spacing w:line="360" w:lineRule="auto"/>
        <w:ind w:firstLine="4560" w:firstLineChars="1900"/>
        <w:rPr>
          <w:rFonts w:hint="eastAsia" w:ascii="仿宋" w:hAnsi="仿宋" w:eastAsia="仿宋" w:cs="仿宋"/>
          <w:kern w:val="0"/>
          <w:sz w:val="24"/>
        </w:rPr>
      </w:pPr>
    </w:p>
    <w:p>
      <w:pPr>
        <w:pStyle w:val="17"/>
        <w:rPr>
          <w:rFonts w:hint="eastAsia" w:ascii="仿宋" w:hAnsi="仿宋" w:eastAsia="仿宋" w:cs="仿宋"/>
          <w:kern w:val="0"/>
          <w:sz w:val="24"/>
        </w:rPr>
      </w:pPr>
    </w:p>
    <w:p>
      <w:pPr>
        <w:pStyle w:val="17"/>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pStyle w:val="17"/>
        <w:rPr>
          <w:rFonts w:hint="eastAsia" w:ascii="仿宋" w:hAnsi="仿宋" w:eastAsia="仿宋" w:cs="仿宋"/>
          <w:b/>
          <w:bCs/>
          <w:sz w:val="32"/>
          <w:szCs w:val="32"/>
        </w:rPr>
      </w:pPr>
    </w:p>
    <w:p>
      <w:pPr>
        <w:pStyle w:val="17"/>
        <w:rPr>
          <w:rFonts w:hint="eastAsia" w:ascii="仿宋" w:hAnsi="仿宋" w:eastAsia="仿宋" w:cs="仿宋"/>
          <w:b/>
          <w:bCs/>
          <w:sz w:val="32"/>
          <w:szCs w:val="32"/>
        </w:rPr>
      </w:pPr>
    </w:p>
    <w:p>
      <w:pPr>
        <w:pStyle w:val="17"/>
        <w:rPr>
          <w:rFonts w:hint="eastAsia" w:ascii="仿宋" w:hAnsi="仿宋" w:eastAsia="仿宋" w:cs="仿宋"/>
          <w:b/>
          <w:bCs/>
          <w:sz w:val="32"/>
          <w:szCs w:val="32"/>
        </w:rPr>
      </w:pPr>
    </w:p>
    <w:p>
      <w:pPr>
        <w:pStyle w:val="17"/>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十、售后服务方案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w:t>
      </w:r>
      <w:r>
        <w:rPr>
          <w:rFonts w:hint="eastAsia" w:ascii="仿宋" w:hAnsi="仿宋" w:eastAsia="仿宋" w:cs="仿宋"/>
          <w:kern w:val="0"/>
          <w:sz w:val="24"/>
        </w:rPr>
        <w:t>供应商</w:t>
      </w:r>
      <w:r>
        <w:rPr>
          <w:rFonts w:hint="eastAsia" w:ascii="仿宋" w:hAnsi="仿宋" w:eastAsia="仿宋" w:cs="仿宋"/>
          <w:sz w:val="24"/>
        </w:rPr>
        <w:t>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、项目小组人员名单</w:t>
      </w:r>
    </w:p>
    <w:p>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本项目的项目小组人员情况表</w:t>
      </w:r>
      <w:r>
        <w:rPr>
          <w:rFonts w:hint="eastAsia" w:ascii="仿宋" w:hAnsi="仿宋" w:eastAsia="仿宋" w:cs="仿宋"/>
          <w:sz w:val="24"/>
        </w:rPr>
        <w:t>（按此格式自制）</w:t>
      </w:r>
    </w:p>
    <w:tbl>
      <w:tblPr>
        <w:tblStyle w:val="18"/>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w:t>
      </w:r>
      <w:r>
        <w:rPr>
          <w:rFonts w:hint="eastAsia" w:ascii="仿宋" w:hAnsi="仿宋" w:eastAsia="仿宋" w:cs="仿宋"/>
          <w:b/>
          <w:sz w:val="24"/>
          <w:lang w:eastAsia="zh-CN"/>
        </w:rPr>
        <w:t>及</w:t>
      </w:r>
      <w:r>
        <w:rPr>
          <w:rFonts w:hint="eastAsia" w:ascii="仿宋" w:hAnsi="仿宋" w:eastAsia="仿宋" w:cs="仿宋"/>
          <w:b/>
          <w:sz w:val="24"/>
        </w:rPr>
        <w:t>近3个月交纳社保</w:t>
      </w:r>
      <w:r>
        <w:rPr>
          <w:rFonts w:hint="eastAsia" w:ascii="仿宋" w:hAnsi="仿宋" w:eastAsia="仿宋" w:cs="仿宋"/>
          <w:b/>
          <w:sz w:val="24"/>
          <w:lang w:eastAsia="zh-CN"/>
        </w:rPr>
        <w:t>证明</w:t>
      </w:r>
      <w:r>
        <w:rPr>
          <w:rFonts w:hint="eastAsia" w:ascii="仿宋" w:hAnsi="仿宋" w:eastAsia="仿宋" w:cs="仿宋"/>
          <w:b/>
          <w:sz w:val="24"/>
        </w:rPr>
        <w:t>并注明所在响应文件页码。</w:t>
      </w:r>
    </w:p>
    <w:p>
      <w:pPr>
        <w:spacing w:line="360" w:lineRule="auto"/>
        <w:rPr>
          <w:rFonts w:hint="eastAsia" w:ascii="仿宋" w:hAnsi="仿宋" w:eastAsia="仿宋" w:cs="仿宋"/>
          <w:b/>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十二</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优惠条件及特殊承诺（若有）</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kern w:val="0"/>
          <w:sz w:val="32"/>
          <w:szCs w:val="32"/>
          <w:lang w:val="zh-CN"/>
        </w:rPr>
        <w:t>培训计划（若有）</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autoSpaceDE w:val="0"/>
        <w:autoSpaceDN w:val="0"/>
        <w:spacing w:line="360" w:lineRule="auto"/>
        <w:rPr>
          <w:rFonts w:hint="eastAsia" w:ascii="仿宋" w:hAnsi="仿宋" w:eastAsia="仿宋" w:cs="仿宋"/>
          <w:b/>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eastAsia="zh-CN"/>
        </w:rPr>
        <w:t>四</w:t>
      </w:r>
      <w:r>
        <w:rPr>
          <w:rFonts w:hint="eastAsia" w:ascii="仿宋" w:hAnsi="仿宋" w:eastAsia="仿宋" w:cs="仿宋"/>
          <w:b/>
          <w:sz w:val="32"/>
          <w:szCs w:val="32"/>
        </w:rPr>
        <w:t>、随机特殊工具和备品备件清单</w:t>
      </w:r>
      <w:r>
        <w:rPr>
          <w:rFonts w:hint="eastAsia" w:ascii="仿宋" w:hAnsi="仿宋" w:eastAsia="仿宋" w:cs="仿宋"/>
          <w:b/>
          <w:kern w:val="0"/>
          <w:sz w:val="32"/>
          <w:szCs w:val="32"/>
          <w:lang w:val="zh-CN"/>
        </w:rPr>
        <w:t>（若有）</w:t>
      </w:r>
    </w:p>
    <w:tbl>
      <w:tblPr>
        <w:tblStyle w:val="18"/>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9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品牌</w:t>
            </w:r>
          </w:p>
        </w:tc>
        <w:tc>
          <w:tcPr>
            <w:tcW w:w="18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制造厂/原产地</w:t>
            </w:r>
          </w:p>
        </w:tc>
        <w:tc>
          <w:tcPr>
            <w:tcW w:w="288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规格型号</w:t>
            </w:r>
          </w:p>
        </w:tc>
        <w:tc>
          <w:tcPr>
            <w:tcW w:w="133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bl>
    <w:p>
      <w:pPr>
        <w:spacing w:line="360" w:lineRule="auto"/>
        <w:ind w:firstLine="470" w:firstLineChars="196"/>
        <w:rPr>
          <w:rFonts w:hint="eastAsia" w:ascii="仿宋" w:hAnsi="仿宋" w:eastAsia="仿宋" w:cs="仿宋"/>
          <w:sz w:val="24"/>
        </w:rPr>
      </w:pPr>
      <w:r>
        <w:rPr>
          <w:rFonts w:hint="eastAsia" w:ascii="仿宋" w:hAnsi="仿宋" w:eastAsia="仿宋" w:cs="仿宋"/>
          <w:sz w:val="24"/>
        </w:rPr>
        <w:t>注：随机特殊工具和备品备件是指供应商在供货时免费赠送给采购人的工具及零配件，以备用。</w:t>
      </w:r>
    </w:p>
    <w:p>
      <w:pPr>
        <w:spacing w:line="360" w:lineRule="auto"/>
        <w:ind w:firstLine="480" w:firstLineChars="200"/>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pStyle w:val="11"/>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、认为需求的</w:t>
      </w:r>
      <w:r>
        <w:rPr>
          <w:rFonts w:hint="eastAsia" w:ascii="仿宋" w:hAnsi="仿宋" w:eastAsia="仿宋" w:cs="仿宋"/>
          <w:b/>
          <w:kern w:val="0"/>
          <w:sz w:val="32"/>
          <w:szCs w:val="32"/>
          <w:lang w:val="zh-CN"/>
        </w:rPr>
        <w:t>其他技术文件或说明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pStyle w:val="11"/>
        <w:rPr>
          <w:rFonts w:hint="eastAsia" w:ascii="仿宋" w:hAnsi="仿宋" w:eastAsia="仿宋" w:cs="仿宋"/>
          <w:b/>
          <w:bCs/>
          <w:sz w:val="24"/>
        </w:rPr>
      </w:pPr>
      <w:r>
        <w:rPr>
          <w:rFonts w:hint="eastAsia" w:ascii="仿宋" w:hAnsi="仿宋" w:eastAsia="仿宋" w:cs="仿宋"/>
          <w:sz w:val="36"/>
          <w:szCs w:val="36"/>
          <w:lang w:val="zh-CN"/>
        </w:rPr>
        <w:br w:type="page"/>
      </w:r>
    </w:p>
    <w:p>
      <w:pPr>
        <w:pStyle w:val="11"/>
        <w:rPr>
          <w:rFonts w:hint="eastAsia" w:ascii="仿宋" w:hAnsi="仿宋" w:eastAsia="仿宋" w:cs="仿宋"/>
          <w:b/>
          <w:bCs/>
          <w:sz w:val="24"/>
        </w:rPr>
      </w:pPr>
    </w:p>
    <w:p>
      <w:pPr>
        <w:spacing w:line="360" w:lineRule="auto"/>
        <w:jc w:val="center"/>
        <w:rPr>
          <w:rFonts w:hint="eastAsia" w:ascii="仿宋" w:hAnsi="仿宋" w:eastAsia="仿宋" w:cs="仿宋"/>
          <w:b/>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outlineLvl w:val="0"/>
        <w:rPr>
          <w:rFonts w:hint="eastAsia" w:ascii="仿宋" w:hAnsi="仿宋" w:eastAsia="仿宋" w:cs="仿宋"/>
          <w:kern w:val="0"/>
          <w:sz w:val="24"/>
        </w:rPr>
      </w:pPr>
      <w:r>
        <w:rPr>
          <w:rFonts w:hint="eastAsia" w:ascii="仿宋" w:hAnsi="仿宋" w:eastAsia="仿宋" w:cs="仿宋"/>
          <w:kern w:val="0"/>
          <w:sz w:val="24"/>
        </w:rPr>
        <w:t>（1）投标响应函……………………………………………………（页码）</w:t>
      </w:r>
    </w:p>
    <w:p>
      <w:pPr>
        <w:spacing w:line="360" w:lineRule="auto"/>
        <w:outlineLvl w:val="0"/>
        <w:rPr>
          <w:rFonts w:hint="eastAsia" w:ascii="仿宋" w:hAnsi="仿宋" w:eastAsia="仿宋" w:cs="仿宋"/>
          <w:kern w:val="0"/>
          <w:sz w:val="24"/>
        </w:rPr>
      </w:pPr>
      <w:r>
        <w:rPr>
          <w:rFonts w:hint="eastAsia" w:ascii="仿宋" w:hAnsi="仿宋" w:eastAsia="仿宋" w:cs="仿宋"/>
          <w:kern w:val="0"/>
          <w:sz w:val="24"/>
        </w:rPr>
        <w:t>（2）首次投标（开标）一览表……………………………………（页码）</w:t>
      </w:r>
    </w:p>
    <w:p>
      <w:pPr>
        <w:spacing w:line="360" w:lineRule="auto"/>
        <w:outlineLvl w:val="0"/>
        <w:rPr>
          <w:rFonts w:hint="eastAsia" w:ascii="仿宋" w:hAnsi="仿宋" w:eastAsia="仿宋" w:cs="仿宋"/>
          <w:kern w:val="0"/>
          <w:sz w:val="24"/>
        </w:rPr>
      </w:pPr>
      <w:r>
        <w:rPr>
          <w:rFonts w:hint="eastAsia" w:ascii="仿宋" w:hAnsi="仿宋" w:eastAsia="仿宋" w:cs="仿宋"/>
          <w:kern w:val="0"/>
          <w:sz w:val="24"/>
        </w:rPr>
        <w:t>（3）中小企业声明函………………………………………………（页码）</w:t>
      </w: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一、投标响应</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(投标人全称)授权(全权代表姓名)(职务、职称)为全权代表，参加贵方组织的 </w:t>
      </w:r>
      <w:r>
        <w:rPr>
          <w:rFonts w:hint="eastAsia" w:ascii="仿宋" w:hAnsi="仿宋" w:eastAsia="仿宋" w:cs="仿宋"/>
          <w:kern w:val="0"/>
          <w:sz w:val="24"/>
          <w:u w:val="single"/>
          <w:lang w:val="zh-CN"/>
        </w:rPr>
        <w:t>____________ 项目名称_________</w:t>
      </w:r>
      <w:r>
        <w:rPr>
          <w:rFonts w:hint="eastAsia" w:ascii="仿宋" w:hAnsi="仿宋" w:eastAsia="仿宋" w:cs="仿宋"/>
          <w:sz w:val="24"/>
        </w:rPr>
        <w:t>【项目编号：         】招标的有关活动，并对此项目进行投标。为此：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1、我方同意在投标人</w:t>
      </w:r>
      <w:r>
        <w:rPr>
          <w:rFonts w:hint="eastAsia" w:ascii="仿宋" w:hAnsi="仿宋" w:eastAsia="仿宋" w:cs="仿宋"/>
          <w:kern w:val="44"/>
          <w:sz w:val="24"/>
        </w:rPr>
        <w:t>投标人须知</w:t>
      </w:r>
      <w:r>
        <w:rPr>
          <w:rFonts w:hint="eastAsia" w:ascii="仿宋" w:hAnsi="仿宋" w:eastAsia="仿宋" w:cs="仿宋"/>
          <w:sz w:val="24"/>
        </w:rPr>
        <w:t>规定的开标日期起遵守本投标文件中的承诺且在投标有效期满之前均具有约束力。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(2)遵守国家法律、行政法规，具有良好的信誉和商业道德；</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(3)具有履行合同的能力和良好的履行合同记录；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(4)良好的资金、财务状况；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(5)产品及生产所需装备符合中国政府规定的相应技术标准和环保标准；</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(6)没有违反政府采购法规、政策的记录；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(7)没有发生重大经济纠纷和走私犯罪记录。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3、我方中标后拟在中标后将</w:t>
      </w:r>
      <w:r>
        <w:rPr>
          <w:rFonts w:hint="eastAsia" w:ascii="仿宋" w:hAnsi="仿宋" w:eastAsia="仿宋" w:cs="仿宋"/>
          <w:kern w:val="0"/>
          <w:sz w:val="24"/>
          <w:u w:val="single"/>
          <w:lang w:val="zh-CN"/>
        </w:rPr>
        <w:t xml:space="preserve">_______________ </w:t>
      </w:r>
      <w:r>
        <w:rPr>
          <w:rFonts w:hint="eastAsia" w:ascii="仿宋" w:hAnsi="仿宋" w:eastAsia="仿宋" w:cs="仿宋"/>
          <w:sz w:val="24"/>
        </w:rPr>
        <w:t>工作分包，分包承担主体是</w:t>
      </w:r>
      <w:r>
        <w:rPr>
          <w:rFonts w:hint="eastAsia" w:ascii="仿宋" w:hAnsi="仿宋" w:eastAsia="仿宋" w:cs="仿宋"/>
          <w:kern w:val="0"/>
          <w:sz w:val="24"/>
          <w:u w:val="single"/>
          <w:lang w:val="zh-CN"/>
        </w:rPr>
        <w:t>_________</w:t>
      </w:r>
      <w:r>
        <w:rPr>
          <w:rFonts w:hint="eastAsia" w:ascii="仿宋" w:hAnsi="仿宋" w:eastAsia="仿宋" w:cs="仿宋"/>
          <w:sz w:val="24"/>
        </w:rPr>
        <w:t>，我方承诺分包承担主体具备相应资质条件</w:t>
      </w:r>
      <w:r>
        <w:rPr>
          <w:rFonts w:hint="eastAsia" w:ascii="仿宋" w:hAnsi="仿宋" w:eastAsia="仿宋" w:cs="仿宋"/>
          <w:kern w:val="0"/>
          <w:sz w:val="24"/>
          <w:u w:val="single"/>
          <w:lang w:val="zh-CN"/>
        </w:rPr>
        <w:t xml:space="preserve">____________ </w:t>
      </w:r>
      <w:r>
        <w:rPr>
          <w:rFonts w:hint="eastAsia" w:ascii="仿宋" w:hAnsi="仿宋" w:eastAsia="仿宋" w:cs="仿宋"/>
          <w:sz w:val="24"/>
        </w:rPr>
        <w:t>，且不再次分包。（不再将工作进行分包或本项目不允许分包的，下划线处填写“/”。）</w:t>
      </w:r>
    </w:p>
    <w:p>
      <w:pPr>
        <w:pStyle w:val="12"/>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4、提供</w:t>
      </w:r>
      <w:r>
        <w:rPr>
          <w:rFonts w:hint="eastAsia" w:ascii="仿宋" w:hAnsi="仿宋" w:eastAsia="仿宋" w:cs="仿宋"/>
          <w:kern w:val="44"/>
          <w:sz w:val="24"/>
        </w:rPr>
        <w:t>投标人须知</w:t>
      </w:r>
      <w:r>
        <w:rPr>
          <w:rFonts w:hint="eastAsia" w:ascii="仿宋" w:hAnsi="仿宋" w:eastAsia="仿宋" w:cs="仿宋"/>
          <w:sz w:val="24"/>
        </w:rPr>
        <w:t>规定的全部投标文件</w:t>
      </w:r>
      <w:r>
        <w:rPr>
          <w:rFonts w:hint="eastAsia" w:ascii="仿宋" w:hAnsi="仿宋" w:eastAsia="仿宋" w:cs="仿宋"/>
          <w:kern w:val="44"/>
          <w:sz w:val="24"/>
        </w:rPr>
        <w:t>。</w:t>
      </w:r>
      <w:r>
        <w:rPr>
          <w:rFonts w:hint="eastAsia" w:ascii="仿宋" w:hAnsi="仿宋" w:eastAsia="仿宋" w:cs="仿宋"/>
          <w:sz w:val="24"/>
        </w:rPr>
        <w:t>具体内容为：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(1)投标(开标)一览表；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(2)投标</w:t>
      </w:r>
      <w:r>
        <w:rPr>
          <w:rFonts w:hint="eastAsia" w:ascii="仿宋" w:hAnsi="仿宋" w:eastAsia="仿宋" w:cs="仿宋"/>
          <w:kern w:val="0"/>
          <w:sz w:val="24"/>
          <w:lang w:val="zh-CN"/>
        </w:rPr>
        <w:t>技术文件和</w:t>
      </w:r>
      <w:r>
        <w:rPr>
          <w:rFonts w:hint="eastAsia" w:ascii="仿宋" w:hAnsi="仿宋" w:eastAsia="仿宋" w:cs="仿宋"/>
          <w:sz w:val="24"/>
          <w:lang w:val="zh-CN"/>
        </w:rPr>
        <w:t>商务文件</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kern w:val="44"/>
          <w:sz w:val="24"/>
        </w:rPr>
        <w:t>投标人须知</w:t>
      </w:r>
      <w:r>
        <w:rPr>
          <w:rFonts w:hint="eastAsia" w:ascii="仿宋" w:hAnsi="仿宋" w:eastAsia="仿宋" w:cs="仿宋"/>
          <w:sz w:val="24"/>
        </w:rPr>
        <w:t>要求投标人提交的全部文件；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(4)按招标文件要求提供和交付的货物和服务的投标报价详见投标(开标)一览表；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(5)保证忠实地执行双方所签订的合同，并承担合同规定的责任和义务；</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(6)保证遵守招标文件中的其他有关规定。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6、我方完全理解贵方不一定要接受最低价的投标。</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8、我方已详细审核全部招标文件，包括招标文件修改书(如果有)、参考资料及有关附件，确认无误。</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a)提供虚假材料谋取中标、成交的；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b)采取不正当手段诋毁、排挤其他供应商的；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c)与采购人、其它供应商或者采购机构恶意串通的；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d)向采购人、采购机构行贿或者提供其他不正当利益的；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f)拒绝有关部门监督检查或提供虚假情况的。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供应商有前款第a)至e)项情形之一的，中标、成交无效。</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ind w:left="420" w:leftChars="200"/>
        <w:rPr>
          <w:rFonts w:hint="eastAsia" w:ascii="仿宋" w:hAnsi="仿宋" w:eastAsia="仿宋" w:cs="仿宋"/>
          <w:kern w:val="0"/>
          <w:sz w:val="24"/>
        </w:rPr>
      </w:pPr>
      <w:r>
        <w:rPr>
          <w:rFonts w:hint="eastAsia" w:ascii="仿宋" w:hAnsi="仿宋" w:eastAsia="仿宋" w:cs="仿宋"/>
          <w:kern w:val="0"/>
          <w:sz w:val="24"/>
          <w:lang w:val="zh-CN"/>
        </w:rPr>
        <w:t xml:space="preserve">联系人：                联系电话： </w:t>
      </w:r>
    </w:p>
    <w:p>
      <w:pPr>
        <w:snapToGrid w:val="0"/>
        <w:spacing w:line="360" w:lineRule="auto"/>
        <w:ind w:left="420" w:leftChars="200"/>
        <w:rPr>
          <w:rFonts w:hint="eastAsia" w:ascii="仿宋" w:hAnsi="仿宋" w:eastAsia="仿宋" w:cs="仿宋"/>
          <w:kern w:val="0"/>
          <w:sz w:val="24"/>
        </w:rPr>
      </w:pPr>
      <w:r>
        <w:rPr>
          <w:rFonts w:hint="eastAsia" w:ascii="仿宋" w:hAnsi="仿宋" w:eastAsia="仿宋" w:cs="仿宋"/>
          <w:kern w:val="0"/>
          <w:sz w:val="24"/>
          <w:lang w:val="zh-CN"/>
        </w:rPr>
        <w:t>联系地址：</w:t>
      </w:r>
    </w:p>
    <w:p>
      <w:pPr>
        <w:snapToGrid w:val="0"/>
        <w:spacing w:line="360" w:lineRule="auto"/>
        <w:ind w:left="420" w:leftChars="200"/>
        <w:rPr>
          <w:rFonts w:hint="eastAsia" w:ascii="仿宋" w:hAnsi="仿宋" w:eastAsia="仿宋" w:cs="仿宋"/>
          <w:kern w:val="0"/>
          <w:sz w:val="24"/>
        </w:rPr>
      </w:pPr>
      <w:r>
        <w:rPr>
          <w:rFonts w:hint="eastAsia" w:ascii="仿宋" w:hAnsi="仿宋" w:eastAsia="仿宋" w:cs="仿宋"/>
          <w:kern w:val="0"/>
          <w:sz w:val="24"/>
          <w:lang w:val="zh-CN"/>
        </w:rPr>
        <w:t>邮政编码：              传真号码：</w:t>
      </w:r>
    </w:p>
    <w:p>
      <w:pPr>
        <w:snapToGrid w:val="0"/>
        <w:spacing w:line="360" w:lineRule="auto"/>
        <w:rPr>
          <w:rFonts w:hint="eastAsia" w:ascii="仿宋" w:hAnsi="仿宋" w:eastAsia="仿宋" w:cs="仿宋"/>
          <w:sz w:val="24"/>
        </w:rPr>
      </w:pPr>
      <w:r>
        <w:rPr>
          <w:rFonts w:hint="eastAsia" w:ascii="仿宋" w:hAnsi="仿宋" w:eastAsia="仿宋" w:cs="仿宋"/>
          <w:b/>
          <w:kern w:val="0"/>
          <w:sz w:val="24"/>
          <w:lang w:val="zh-CN"/>
        </w:rPr>
        <w:t>注：未按照本投标响应函要求填报的将被视为非实质性响应投标，从而可能导致该投标被拒绝。</w:t>
      </w:r>
    </w:p>
    <w:p>
      <w:pPr>
        <w:snapToGrid w:val="0"/>
        <w:spacing w:line="360" w:lineRule="auto"/>
        <w:jc w:val="center"/>
        <w:rPr>
          <w:rFonts w:hint="eastAsia" w:ascii="仿宋" w:hAnsi="仿宋" w:eastAsia="仿宋" w:cs="仿宋"/>
          <w:color w:val="000000"/>
          <w:sz w:val="24"/>
        </w:rPr>
      </w:pPr>
    </w:p>
    <w:p>
      <w:pPr>
        <w:snapToGrid w:val="0"/>
        <w:spacing w:line="360" w:lineRule="auto"/>
        <w:jc w:val="center"/>
        <w:rPr>
          <w:rFonts w:hint="eastAsia" w:ascii="仿宋" w:hAnsi="仿宋" w:eastAsia="仿宋" w:cs="仿宋"/>
          <w:color w:val="000000"/>
          <w:sz w:val="24"/>
        </w:rPr>
        <w:sectPr>
          <w:headerReference r:id="rId13" w:type="first"/>
          <w:pgSz w:w="11906" w:h="16838"/>
          <w:pgMar w:top="777" w:right="1418" w:bottom="471" w:left="1418" w:header="851" w:footer="992" w:gutter="0"/>
          <w:cols w:space="720" w:num="1"/>
          <w:titlePg/>
          <w:docGrid w:linePitch="312" w:charSpace="0"/>
        </w:sectPr>
      </w:pPr>
    </w:p>
    <w:p>
      <w:pPr>
        <w:pStyle w:val="3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二、首次投标(开标)一览表</w:t>
      </w:r>
    </w:p>
    <w:p>
      <w:pPr>
        <w:snapToGrid w:val="0"/>
        <w:spacing w:line="360" w:lineRule="auto"/>
        <w:rPr>
          <w:rFonts w:hint="eastAsia" w:ascii="仿宋" w:hAnsi="仿宋" w:eastAsia="仿宋" w:cs="仿宋"/>
          <w:kern w:val="0"/>
          <w:sz w:val="24"/>
        </w:rPr>
      </w:pPr>
      <w:bookmarkStart w:id="9" w:name="_Toc86217005"/>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按你方谈判文件要求，我们，本谈判响应文件签字方，谨此向你方发出要约如下：如你方接受本响应，我方承诺按照如下投标(开标)一览表的价格完成</w:t>
      </w:r>
      <w:r>
        <w:rPr>
          <w:rFonts w:hint="eastAsia" w:ascii="仿宋" w:hAnsi="仿宋" w:eastAsia="仿宋" w:cs="仿宋"/>
          <w:sz w:val="24"/>
          <w:szCs w:val="24"/>
          <w:lang w:eastAsia="zh-CN"/>
        </w:rPr>
        <w:t>项目名称：</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【招标编号：</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投标(开标)一览表(单位均为人民币元)</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7"/>
        <w:gridCol w:w="1972"/>
        <w:gridCol w:w="791"/>
        <w:gridCol w:w="798"/>
        <w:gridCol w:w="12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477"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623" w:type="pct"/>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062"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规格型号（或具体服务）</w:t>
            </w:r>
          </w:p>
        </w:tc>
        <w:tc>
          <w:tcPr>
            <w:tcW w:w="426"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430"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672"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总价</w:t>
            </w:r>
          </w:p>
        </w:tc>
        <w:tc>
          <w:tcPr>
            <w:tcW w:w="1062" w:type="pct"/>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服务要求（年限）</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477" w:type="pct"/>
            <w:vAlign w:val="center"/>
          </w:tcPr>
          <w:p>
            <w:pPr>
              <w:snapToGrid w:val="0"/>
              <w:spacing w:line="360" w:lineRule="auto"/>
              <w:jc w:val="center"/>
              <w:rPr>
                <w:rFonts w:hint="eastAsia" w:ascii="仿宋" w:hAnsi="仿宋" w:eastAsia="仿宋" w:cs="仿宋"/>
                <w:sz w:val="24"/>
              </w:rPr>
            </w:pPr>
          </w:p>
        </w:tc>
        <w:tc>
          <w:tcPr>
            <w:tcW w:w="623" w:type="pct"/>
            <w:vAlign w:val="center"/>
          </w:tcPr>
          <w:p>
            <w:pPr>
              <w:snapToGrid w:val="0"/>
              <w:spacing w:line="360" w:lineRule="auto"/>
              <w:jc w:val="center"/>
              <w:rPr>
                <w:rFonts w:hint="eastAsia" w:ascii="仿宋" w:hAnsi="仿宋" w:eastAsia="仿宋" w:cs="仿宋"/>
                <w:sz w:val="24"/>
              </w:rPr>
            </w:pPr>
          </w:p>
        </w:tc>
        <w:tc>
          <w:tcPr>
            <w:tcW w:w="1062" w:type="pct"/>
            <w:vAlign w:val="center"/>
          </w:tcPr>
          <w:p>
            <w:pPr>
              <w:snapToGrid w:val="0"/>
              <w:spacing w:line="360" w:lineRule="auto"/>
              <w:jc w:val="center"/>
              <w:rPr>
                <w:rFonts w:hint="eastAsia" w:ascii="仿宋" w:hAnsi="仿宋" w:eastAsia="仿宋" w:cs="仿宋"/>
                <w:sz w:val="24"/>
              </w:rPr>
            </w:pPr>
          </w:p>
        </w:tc>
        <w:tc>
          <w:tcPr>
            <w:tcW w:w="426" w:type="pct"/>
            <w:vAlign w:val="center"/>
          </w:tcPr>
          <w:p>
            <w:pPr>
              <w:snapToGrid w:val="0"/>
              <w:spacing w:line="360" w:lineRule="auto"/>
              <w:jc w:val="center"/>
              <w:rPr>
                <w:rFonts w:hint="eastAsia" w:ascii="仿宋" w:hAnsi="仿宋" w:eastAsia="仿宋" w:cs="仿宋"/>
                <w:sz w:val="24"/>
              </w:rPr>
            </w:pPr>
          </w:p>
        </w:tc>
        <w:tc>
          <w:tcPr>
            <w:tcW w:w="430" w:type="pct"/>
            <w:vAlign w:val="center"/>
          </w:tcPr>
          <w:p>
            <w:pPr>
              <w:spacing w:line="360" w:lineRule="auto"/>
              <w:jc w:val="center"/>
              <w:rPr>
                <w:rFonts w:hint="eastAsia" w:ascii="仿宋" w:hAnsi="仿宋" w:eastAsia="仿宋" w:cs="仿宋"/>
                <w:sz w:val="24"/>
              </w:rPr>
            </w:pPr>
          </w:p>
        </w:tc>
        <w:tc>
          <w:tcPr>
            <w:tcW w:w="672" w:type="pct"/>
            <w:vAlign w:val="center"/>
          </w:tcPr>
          <w:p>
            <w:pPr>
              <w:spacing w:line="360" w:lineRule="auto"/>
              <w:jc w:val="center"/>
              <w:rPr>
                <w:rFonts w:hint="eastAsia" w:ascii="仿宋" w:hAnsi="仿宋" w:eastAsia="仿宋" w:cs="仿宋"/>
                <w:sz w:val="24"/>
              </w:rPr>
            </w:pPr>
          </w:p>
        </w:tc>
        <w:tc>
          <w:tcPr>
            <w:tcW w:w="1062"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77" w:type="pct"/>
            <w:vAlign w:val="center"/>
          </w:tcPr>
          <w:p>
            <w:pPr>
              <w:snapToGrid w:val="0"/>
              <w:spacing w:line="360" w:lineRule="auto"/>
              <w:jc w:val="center"/>
              <w:rPr>
                <w:rFonts w:hint="eastAsia" w:ascii="仿宋" w:hAnsi="仿宋" w:eastAsia="仿宋" w:cs="仿宋"/>
                <w:sz w:val="24"/>
              </w:rPr>
            </w:pPr>
          </w:p>
        </w:tc>
        <w:tc>
          <w:tcPr>
            <w:tcW w:w="623" w:type="pct"/>
            <w:vAlign w:val="center"/>
          </w:tcPr>
          <w:p>
            <w:pPr>
              <w:snapToGrid w:val="0"/>
              <w:spacing w:line="360" w:lineRule="auto"/>
              <w:jc w:val="center"/>
              <w:rPr>
                <w:rFonts w:hint="eastAsia" w:ascii="仿宋" w:hAnsi="仿宋" w:eastAsia="仿宋" w:cs="仿宋"/>
                <w:sz w:val="24"/>
              </w:rPr>
            </w:pPr>
          </w:p>
        </w:tc>
        <w:tc>
          <w:tcPr>
            <w:tcW w:w="1062" w:type="pct"/>
            <w:vAlign w:val="center"/>
          </w:tcPr>
          <w:p>
            <w:pPr>
              <w:snapToGrid w:val="0"/>
              <w:spacing w:line="360" w:lineRule="auto"/>
              <w:jc w:val="center"/>
              <w:rPr>
                <w:rFonts w:hint="eastAsia" w:ascii="仿宋" w:hAnsi="仿宋" w:eastAsia="仿宋" w:cs="仿宋"/>
                <w:sz w:val="24"/>
              </w:rPr>
            </w:pPr>
          </w:p>
        </w:tc>
        <w:tc>
          <w:tcPr>
            <w:tcW w:w="426" w:type="pct"/>
            <w:vAlign w:val="center"/>
          </w:tcPr>
          <w:p>
            <w:pPr>
              <w:snapToGrid w:val="0"/>
              <w:spacing w:line="360" w:lineRule="auto"/>
              <w:jc w:val="center"/>
              <w:rPr>
                <w:rFonts w:hint="eastAsia" w:ascii="仿宋" w:hAnsi="仿宋" w:eastAsia="仿宋" w:cs="仿宋"/>
                <w:sz w:val="24"/>
              </w:rPr>
            </w:pPr>
          </w:p>
        </w:tc>
        <w:tc>
          <w:tcPr>
            <w:tcW w:w="430" w:type="pct"/>
            <w:vAlign w:val="center"/>
          </w:tcPr>
          <w:p>
            <w:pPr>
              <w:spacing w:line="360" w:lineRule="auto"/>
              <w:jc w:val="center"/>
              <w:rPr>
                <w:rFonts w:hint="eastAsia" w:ascii="仿宋" w:hAnsi="仿宋" w:eastAsia="仿宋" w:cs="仿宋"/>
                <w:sz w:val="24"/>
              </w:rPr>
            </w:pPr>
          </w:p>
        </w:tc>
        <w:tc>
          <w:tcPr>
            <w:tcW w:w="672" w:type="pct"/>
            <w:vAlign w:val="center"/>
          </w:tcPr>
          <w:p>
            <w:pPr>
              <w:spacing w:line="360" w:lineRule="auto"/>
              <w:jc w:val="center"/>
              <w:rPr>
                <w:rFonts w:hint="eastAsia" w:ascii="仿宋" w:hAnsi="仿宋" w:eastAsia="仿宋" w:cs="仿宋"/>
                <w:sz w:val="24"/>
              </w:rPr>
            </w:pPr>
          </w:p>
        </w:tc>
        <w:tc>
          <w:tcPr>
            <w:tcW w:w="1062"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77" w:type="pct"/>
            <w:vAlign w:val="center"/>
          </w:tcPr>
          <w:p>
            <w:pPr>
              <w:snapToGrid w:val="0"/>
              <w:spacing w:line="360" w:lineRule="auto"/>
              <w:jc w:val="center"/>
              <w:rPr>
                <w:rFonts w:hint="eastAsia" w:ascii="仿宋" w:hAnsi="仿宋" w:eastAsia="仿宋" w:cs="仿宋"/>
                <w:sz w:val="24"/>
              </w:rPr>
            </w:pPr>
          </w:p>
        </w:tc>
        <w:tc>
          <w:tcPr>
            <w:tcW w:w="623" w:type="pct"/>
            <w:vAlign w:val="center"/>
          </w:tcPr>
          <w:p>
            <w:pPr>
              <w:snapToGrid w:val="0"/>
              <w:spacing w:line="360" w:lineRule="auto"/>
              <w:jc w:val="center"/>
              <w:rPr>
                <w:rFonts w:hint="eastAsia" w:ascii="仿宋" w:hAnsi="仿宋" w:eastAsia="仿宋" w:cs="仿宋"/>
                <w:sz w:val="24"/>
              </w:rPr>
            </w:pPr>
          </w:p>
        </w:tc>
        <w:tc>
          <w:tcPr>
            <w:tcW w:w="1062" w:type="pct"/>
            <w:vAlign w:val="center"/>
          </w:tcPr>
          <w:p>
            <w:pPr>
              <w:snapToGrid w:val="0"/>
              <w:spacing w:line="360" w:lineRule="auto"/>
              <w:jc w:val="center"/>
              <w:rPr>
                <w:rFonts w:hint="eastAsia" w:ascii="仿宋" w:hAnsi="仿宋" w:eastAsia="仿宋" w:cs="仿宋"/>
                <w:sz w:val="24"/>
              </w:rPr>
            </w:pPr>
          </w:p>
        </w:tc>
        <w:tc>
          <w:tcPr>
            <w:tcW w:w="426" w:type="pct"/>
            <w:vAlign w:val="center"/>
          </w:tcPr>
          <w:p>
            <w:pPr>
              <w:snapToGrid w:val="0"/>
              <w:spacing w:line="360" w:lineRule="auto"/>
              <w:jc w:val="center"/>
              <w:rPr>
                <w:rFonts w:hint="eastAsia" w:ascii="仿宋" w:hAnsi="仿宋" w:eastAsia="仿宋" w:cs="仿宋"/>
                <w:sz w:val="24"/>
              </w:rPr>
            </w:pPr>
          </w:p>
        </w:tc>
        <w:tc>
          <w:tcPr>
            <w:tcW w:w="430" w:type="pct"/>
            <w:vAlign w:val="center"/>
          </w:tcPr>
          <w:p>
            <w:pPr>
              <w:spacing w:line="360" w:lineRule="auto"/>
              <w:jc w:val="center"/>
              <w:rPr>
                <w:rFonts w:hint="eastAsia" w:ascii="仿宋" w:hAnsi="仿宋" w:eastAsia="仿宋" w:cs="仿宋"/>
                <w:sz w:val="24"/>
              </w:rPr>
            </w:pPr>
          </w:p>
        </w:tc>
        <w:tc>
          <w:tcPr>
            <w:tcW w:w="672" w:type="pct"/>
            <w:vAlign w:val="center"/>
          </w:tcPr>
          <w:p>
            <w:pPr>
              <w:spacing w:line="360" w:lineRule="auto"/>
              <w:jc w:val="center"/>
              <w:rPr>
                <w:rFonts w:hint="eastAsia" w:ascii="仿宋" w:hAnsi="仿宋" w:eastAsia="仿宋" w:cs="仿宋"/>
                <w:sz w:val="24"/>
              </w:rPr>
            </w:pPr>
          </w:p>
        </w:tc>
        <w:tc>
          <w:tcPr>
            <w:tcW w:w="1062"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8" w:type="pct"/>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2591" w:type="pct"/>
            <w:gridSpan w:val="4"/>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8" w:type="pct"/>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2591" w:type="pct"/>
            <w:gridSpan w:val="4"/>
            <w:vAlign w:val="center"/>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napToGrid w:val="0"/>
        <w:spacing w:line="360" w:lineRule="auto"/>
        <w:ind w:left="48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2、有关本项目实施所涉及的一切费用（详见前附表）均计入报价。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各项明细费用请按实填写（不得出现“0元”“免费赠送”等形式的无偿报价）。</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3600" w:firstLineChars="1500"/>
        <w:rPr>
          <w:rFonts w:hint="eastAsia" w:ascii="仿宋" w:hAnsi="仿宋" w:eastAsia="仿宋" w:cs="仿宋"/>
          <w:sz w:val="24"/>
        </w:rPr>
      </w:pP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ind w:right="480"/>
        <w:jc w:val="center"/>
        <w:rPr>
          <w:rFonts w:hint="eastAsia" w:ascii="仿宋" w:hAnsi="仿宋" w:eastAsia="仿宋" w:cs="仿宋"/>
          <w:sz w:val="24"/>
        </w:rPr>
      </w:pPr>
    </w:p>
    <w:bookmarkEnd w:id="9"/>
    <w:p>
      <w:pPr>
        <w:pStyle w:val="35"/>
        <w:keepNext w:val="0"/>
        <w:pageBreakBefore w:val="0"/>
        <w:tabs>
          <w:tab w:val="clear" w:pos="720"/>
        </w:tabs>
        <w:snapToGrid w:val="0"/>
        <w:spacing w:before="120" w:after="120"/>
        <w:jc w:val="both"/>
        <w:outlineLvl w:val="9"/>
        <w:rPr>
          <w:rFonts w:hint="eastAsia" w:ascii="仿宋" w:hAnsi="仿宋" w:eastAsia="仿宋" w:cs="仿宋"/>
          <w:kern w:val="2"/>
          <w:sz w:val="32"/>
          <w:szCs w:val="32"/>
        </w:rPr>
      </w:pPr>
    </w:p>
    <w:p>
      <w:pPr>
        <w:pStyle w:val="35"/>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三、</w:t>
      </w:r>
      <w:r>
        <w:rPr>
          <w:rFonts w:hint="eastAsia" w:ascii="仿宋" w:hAnsi="仿宋" w:eastAsia="仿宋" w:cs="仿宋"/>
          <w:kern w:val="2"/>
          <w:sz w:val="32"/>
          <w:szCs w:val="32"/>
        </w:rPr>
        <w:t>中小企业声明函</w:t>
      </w:r>
      <w:r>
        <w:rPr>
          <w:rFonts w:hint="eastAsia" w:ascii="仿宋" w:hAnsi="仿宋" w:eastAsia="仿宋" w:cs="仿宋"/>
          <w:kern w:val="2"/>
          <w:sz w:val="32"/>
          <w:szCs w:val="32"/>
          <w:lang w:eastAsia="zh-CN"/>
        </w:rPr>
        <w:t>（货物）</w:t>
      </w:r>
    </w:p>
    <w:p>
      <w:pPr>
        <w:spacing w:line="360" w:lineRule="auto"/>
        <w:ind w:firstLine="600" w:firstLineChars="2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w:t>
      </w:r>
      <w:r>
        <w:rPr>
          <w:rFonts w:hint="eastAsia" w:ascii="仿宋" w:hAnsi="仿宋" w:eastAsia="仿宋" w:cs="仿宋"/>
          <w:sz w:val="24"/>
          <w:lang w:eastAsia="zh-CN"/>
        </w:rPr>
        <w:t>制造商</w:t>
      </w:r>
      <w:r>
        <w:rPr>
          <w:rFonts w:hint="eastAsia" w:ascii="仿宋" w:hAnsi="仿宋" w:eastAsia="仿宋" w:cs="仿宋"/>
          <w:sz w:val="24"/>
        </w:rPr>
        <w:t xml:space="preserve">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Fonts w:hint="eastAsia" w:ascii="仿宋" w:hAnsi="仿宋" w:eastAsia="仿宋" w:cs="仿宋"/>
          <w:sz w:val="24"/>
          <w:lang w:eastAsia="zh-CN"/>
        </w:rPr>
        <w:t>，</w:t>
      </w:r>
      <w:r>
        <w:rPr>
          <w:rFonts w:hint="eastAsia" w:ascii="仿宋" w:hAnsi="仿宋" w:eastAsia="仿宋" w:cs="仿宋"/>
          <w:sz w:val="24"/>
        </w:rPr>
        <w:t>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（标的名称） </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w:t>
      </w:r>
      <w:r>
        <w:rPr>
          <w:rFonts w:hint="eastAsia" w:ascii="仿宋" w:hAnsi="仿宋" w:eastAsia="仿宋" w:cs="仿宋"/>
          <w:sz w:val="24"/>
          <w:lang w:eastAsia="zh-CN"/>
        </w:rPr>
        <w:t>制造商</w:t>
      </w:r>
      <w:r>
        <w:rPr>
          <w:rFonts w:hint="eastAsia" w:ascii="仿宋" w:hAnsi="仿宋" w:eastAsia="仿宋" w:cs="仿宋"/>
          <w:sz w:val="24"/>
        </w:rPr>
        <w:t xml:space="preserve">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 xml:space="preserve">万元，属于 </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040"/>
        <w:jc w:val="right"/>
        <w:rPr>
          <w:rFonts w:hint="eastAsia" w:ascii="仿宋" w:hAnsi="仿宋" w:eastAsia="仿宋" w:cs="仿宋"/>
          <w:sz w:val="24"/>
        </w:rPr>
      </w:pPr>
      <w:r>
        <w:rPr>
          <w:rFonts w:hint="eastAsia" w:ascii="仿宋" w:hAnsi="仿宋" w:eastAsia="仿宋" w:cs="仿宋"/>
          <w:sz w:val="24"/>
        </w:rPr>
        <w:t>投标人名称（ 电子签名）：</w:t>
      </w:r>
    </w:p>
    <w:p>
      <w:pPr>
        <w:spacing w:line="360" w:lineRule="auto"/>
        <w:ind w:right="1120" w:firstLine="5160" w:firstLineChars="21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7"/>
        <w:ind w:left="0" w:leftChars="0" w:firstLine="0" w:firstLineChars="0"/>
        <w:rPr>
          <w:rFonts w:hint="eastAsia" w:ascii="仿宋" w:hAnsi="仿宋" w:eastAsia="仿宋" w:cs="仿宋"/>
          <w:sz w:val="36"/>
          <w:szCs w:val="36"/>
          <w:lang w:val="zh-CN"/>
        </w:rPr>
      </w:pPr>
    </w:p>
    <w:p>
      <w:pPr>
        <w:pStyle w:val="17"/>
        <w:ind w:left="0" w:leftChars="0" w:firstLine="0" w:firstLineChars="0"/>
        <w:rPr>
          <w:rFonts w:hint="eastAsia" w:ascii="仿宋" w:hAnsi="仿宋" w:eastAsia="仿宋" w:cs="仿宋"/>
          <w:sz w:val="36"/>
          <w:szCs w:val="36"/>
          <w:lang w:val="zh-CN"/>
        </w:rPr>
      </w:pP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bookmarkStart w:id="10" w:name="_Toc465665161"/>
      <w:r>
        <w:rPr>
          <w:rFonts w:hint="eastAsia" w:ascii="仿宋" w:hAnsi="仿宋" w:eastAsia="仿宋" w:cs="仿宋"/>
        </w:rPr>
        <w:t>附件</w:t>
      </w:r>
      <w:bookmarkEnd w:id="10"/>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11" w:name="OLE_LINK14"/>
      <w:bookmarkStart w:id="12" w:name="OLE_LINK13"/>
      <w:r>
        <w:rPr>
          <w:rFonts w:hint="eastAsia" w:ascii="仿宋" w:hAnsi="仿宋" w:eastAsia="仿宋" w:cs="仿宋"/>
          <w:b/>
          <w:spacing w:val="6"/>
          <w:sz w:val="32"/>
          <w:szCs w:val="32"/>
        </w:rPr>
        <w:t>残疾人福利性单位声明函</w:t>
      </w:r>
    </w:p>
    <w:bookmarkEnd w:id="11"/>
    <w:bookmarkEnd w:id="12"/>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17"/>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kern w:val="0"/>
          <w:sz w:val="24"/>
        </w:rPr>
      </w:pPr>
    </w:p>
    <w:p>
      <w:pPr>
        <w:pStyle w:val="30"/>
        <w:numPr>
          <w:ilvl w:val="0"/>
          <w:numId w:val="0"/>
        </w:numPr>
        <w:jc w:val="both"/>
        <w:rPr>
          <w:rFonts w:hint="eastAsia" w:ascii="仿宋" w:hAnsi="仿宋" w:eastAsia="仿宋" w:cs="仿宋"/>
          <w:b/>
          <w:sz w:val="36"/>
          <w:szCs w:val="36"/>
        </w:rPr>
      </w:pPr>
    </w:p>
    <w:p>
      <w:pPr>
        <w:jc w:val="left"/>
        <w:rPr>
          <w:rFonts w:hint="eastAsia" w:ascii="仿宋" w:hAnsi="仿宋" w:eastAsia="仿宋" w:cs="仿宋"/>
          <w:b/>
          <w:spacing w:val="6"/>
          <w:sz w:val="32"/>
          <w:szCs w:val="32"/>
        </w:rPr>
      </w:pPr>
    </w:p>
    <w:p>
      <w:pPr>
        <w:jc w:val="left"/>
        <w:rPr>
          <w:rFonts w:hint="eastAsia" w:ascii="仿宋" w:hAnsi="仿宋" w:eastAsia="仿宋" w:cs="仿宋"/>
          <w:b/>
          <w:spacing w:val="6"/>
          <w:sz w:val="32"/>
          <w:szCs w:val="32"/>
        </w:rPr>
      </w:pPr>
    </w:p>
    <w:p>
      <w:pPr>
        <w:jc w:val="left"/>
        <w:rPr>
          <w:rFonts w:hint="eastAsia" w:ascii="仿宋" w:hAnsi="仿宋" w:eastAsia="仿宋" w:cs="仿宋"/>
          <w:sz w:val="28"/>
          <w:szCs w:val="28"/>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sz w:val="28"/>
          <w:szCs w:val="28"/>
          <w:lang w:eastAsia="zh-CN"/>
        </w:rPr>
        <w:t>：</w:t>
      </w:r>
    </w:p>
    <w:p>
      <w:pPr>
        <w:jc w:val="center"/>
        <w:rPr>
          <w:rFonts w:hint="eastAsia" w:ascii="仿宋" w:hAnsi="仿宋" w:eastAsia="仿宋" w:cs="仿宋"/>
          <w:sz w:val="44"/>
          <w:szCs w:val="44"/>
        </w:rPr>
      </w:pPr>
      <w:r>
        <w:rPr>
          <w:rFonts w:hint="eastAsia" w:ascii="仿宋" w:hAnsi="仿宋" w:eastAsia="仿宋" w:cs="仿宋"/>
          <w:sz w:val="40"/>
          <w:szCs w:val="40"/>
        </w:rPr>
        <w:t>政府采购融资畅通工程金融机构联系信息表</w:t>
      </w:r>
    </w:p>
    <w:p>
      <w:pPr>
        <w:rPr>
          <w:rFonts w:hint="eastAsia" w:ascii="仿宋" w:hAnsi="仿宋" w:eastAsia="仿宋" w:cs="仿宋"/>
          <w:sz w:val="44"/>
          <w:szCs w:val="44"/>
        </w:rPr>
      </w:pPr>
    </w:p>
    <w:tbl>
      <w:tblPr>
        <w:tblStyle w:val="18"/>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5"/>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30"/>
        <w:numPr>
          <w:ilvl w:val="0"/>
          <w:numId w:val="0"/>
        </w:numPr>
        <w:jc w:val="both"/>
        <w:rPr>
          <w:rFonts w:hint="eastAsia" w:ascii="仿宋" w:hAnsi="仿宋" w:eastAsia="仿宋" w:cs="仿宋"/>
          <w:b/>
          <w:sz w:val="36"/>
          <w:szCs w:val="36"/>
        </w:rPr>
      </w:pPr>
    </w:p>
    <w:p>
      <w:pPr>
        <w:pStyle w:val="30"/>
        <w:numPr>
          <w:ilvl w:val="0"/>
          <w:numId w:val="0"/>
        </w:numPr>
        <w:jc w:val="both"/>
        <w:rPr>
          <w:rFonts w:hint="eastAsia" w:ascii="仿宋" w:hAnsi="仿宋" w:eastAsia="仿宋" w:cs="仿宋"/>
          <w:b/>
          <w:sz w:val="36"/>
          <w:szCs w:val="36"/>
        </w:rPr>
      </w:pPr>
    </w:p>
    <w:p>
      <w:pPr>
        <w:pStyle w:val="30"/>
        <w:numPr>
          <w:ilvl w:val="0"/>
          <w:numId w:val="0"/>
        </w:numPr>
        <w:jc w:val="both"/>
        <w:rPr>
          <w:rFonts w:hint="eastAsia" w:ascii="仿宋" w:hAnsi="仿宋" w:eastAsia="仿宋" w:cs="仿宋"/>
          <w:b/>
          <w:sz w:val="36"/>
          <w:szCs w:val="36"/>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1"/>
        <w:rPr>
          <w:rFonts w:hint="eastAsia" w:ascii="仿宋" w:hAnsi="仿宋" w:eastAsia="仿宋" w:cs="仿宋"/>
          <w:b/>
          <w:bCs/>
          <w:sz w:val="24"/>
        </w:rPr>
      </w:pPr>
    </w:p>
    <w:p>
      <w:pPr>
        <w:pStyle w:val="17"/>
        <w:rPr>
          <w:rFonts w:hint="eastAsia" w:ascii="仿宋" w:hAnsi="仿宋" w:eastAsia="仿宋" w:cs="仿宋"/>
          <w:lang w:val="en-US"/>
        </w:rPr>
      </w:pPr>
    </w:p>
    <w:p>
      <w:pPr>
        <w:spacing w:before="120" w:beforeLines="50" w:line="480" w:lineRule="exact"/>
        <w:ind w:left="165"/>
        <w:rPr>
          <w:rFonts w:hint="eastAsia" w:ascii="仿宋" w:hAnsi="仿宋" w:eastAsia="仿宋" w:cs="仿宋"/>
        </w:rPr>
      </w:pPr>
    </w:p>
    <w:sectPr>
      <w:pgSz w:w="11906" w:h="16838"/>
      <w:pgMar w:top="680" w:right="1417" w:bottom="47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宋体_x0003_...销.">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891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91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890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90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6</w:t>
    </w:r>
    <w:r>
      <w:fldChar w:fldCharType="end"/>
    </w:r>
  </w:p>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48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6</w:t>
    </w:r>
    <w:r>
      <w:fldChar w:fldCharType="end"/>
    </w:r>
  </w:p>
  <w:p>
    <w:pPr>
      <w:pStyle w:val="1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48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rPr>
        <w:rFonts w:hint="eastAsia" w:eastAsia="宋体"/>
        <w:lang w:eastAsia="zh-CN"/>
      </w:rPr>
    </w:pPr>
    <w:r>
      <w:rPr>
        <w:rFonts w:hint="eastAsia"/>
        <w:lang w:val="en-US" w:eastAsia="zh-CN"/>
      </w:rPr>
      <w:t xml:space="preserve">                                            </w:t>
    </w:r>
    <w:r>
      <w:rPr>
        <w:rFonts w:hint="eastAsia"/>
        <w:lang w:eastAsia="zh-CN"/>
      </w:rPr>
      <w:t>杭州市公共资源交易中心临安分中心政府采购单一来源谈判文件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jc w:val="right"/>
    </w:pPr>
    <w:r>
      <w:rPr>
        <w:rFonts w:hint="eastAsia" w:ascii="仿宋" w:hAnsi="仿宋" w:eastAsia="仿宋"/>
        <w:b w:val="0"/>
        <w:i/>
        <w:sz w:val="18"/>
        <w:u w:val="single"/>
      </w:rPr>
      <w:t>杭州高新区（滨江）政府采购竞争性</w:t>
    </w:r>
    <w:r>
      <w:rPr>
        <w:rFonts w:hint="eastAsia" w:ascii="仿宋" w:hAnsi="仿宋" w:eastAsia="仿宋"/>
        <w:b w:val="0"/>
        <w:i/>
        <w:sz w:val="18"/>
        <w:u w:val="single"/>
        <w:lang w:eastAsia="zh-CN"/>
      </w:rPr>
      <w:t>谈判</w:t>
    </w:r>
    <w:r>
      <w:rPr>
        <w:rFonts w:hint="eastAsia" w:ascii="仿宋" w:hAnsi="仿宋" w:eastAsia="仿宋"/>
        <w:b w:val="0"/>
        <w:i/>
        <w:sz w:val="18"/>
        <w:u w:val="single"/>
      </w:rPr>
      <w:t>文件</w:t>
    </w:r>
  </w:p>
  <w:p>
    <w:pPr>
      <w:pStyle w:val="14"/>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29A1B"/>
    <w:multiLevelType w:val="singleLevel"/>
    <w:tmpl w:val="9EA29A1B"/>
    <w:lvl w:ilvl="0" w:tentative="0">
      <w:start w:val="2"/>
      <w:numFmt w:val="decimal"/>
      <w:lvlText w:val="%1."/>
      <w:lvlJc w:val="left"/>
      <w:pPr>
        <w:tabs>
          <w:tab w:val="left" w:pos="312"/>
        </w:tabs>
      </w:pPr>
    </w:lvl>
  </w:abstractNum>
  <w:abstractNum w:abstractNumId="1">
    <w:nsid w:val="FCCDBA70"/>
    <w:multiLevelType w:val="singleLevel"/>
    <w:tmpl w:val="FCCDBA70"/>
    <w:lvl w:ilvl="0" w:tentative="0">
      <w:start w:val="3"/>
      <w:numFmt w:val="decimal"/>
      <w:lvlText w:val="%1."/>
      <w:lvlJc w:val="left"/>
      <w:pPr>
        <w:tabs>
          <w:tab w:val="left" w:pos="312"/>
        </w:tabs>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467FA"/>
    <w:rsid w:val="04697E4D"/>
    <w:rsid w:val="0A3A3356"/>
    <w:rsid w:val="0B7512EA"/>
    <w:rsid w:val="0CC73D09"/>
    <w:rsid w:val="0E200B05"/>
    <w:rsid w:val="10534E6D"/>
    <w:rsid w:val="1CBE380D"/>
    <w:rsid w:val="20517361"/>
    <w:rsid w:val="2317052F"/>
    <w:rsid w:val="2F793B02"/>
    <w:rsid w:val="3DEA09E8"/>
    <w:rsid w:val="407467FA"/>
    <w:rsid w:val="40CE1414"/>
    <w:rsid w:val="45D861EE"/>
    <w:rsid w:val="45E13F4B"/>
    <w:rsid w:val="48E57B5D"/>
    <w:rsid w:val="494F370C"/>
    <w:rsid w:val="548E3997"/>
    <w:rsid w:val="58976FB5"/>
    <w:rsid w:val="5AEC0916"/>
    <w:rsid w:val="5B6C3E66"/>
    <w:rsid w:val="5B6E5D52"/>
    <w:rsid w:val="5CC26C04"/>
    <w:rsid w:val="637E3C7E"/>
    <w:rsid w:val="64ED51A3"/>
    <w:rsid w:val="684F0593"/>
    <w:rsid w:val="691E0CF4"/>
    <w:rsid w:val="704D4561"/>
    <w:rsid w:val="748813B5"/>
    <w:rsid w:val="75627D0D"/>
    <w:rsid w:val="77A640DC"/>
    <w:rsid w:val="7BB8344B"/>
    <w:rsid w:val="7F3030FB"/>
    <w:rsid w:val="7FFB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4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480" w:lineRule="exact"/>
      <w:ind w:firstLine="480" w:firstLineChars="200"/>
    </w:pPr>
    <w:rPr>
      <w:rFonts w:ascii="宋体" w:hAnsi="宋体"/>
      <w:sz w:val="24"/>
    </w:rPr>
  </w:style>
  <w:style w:type="paragraph" w:styleId="10">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1">
    <w:name w:val="Body Text"/>
    <w:basedOn w:val="1"/>
    <w:next w:val="1"/>
    <w:qFormat/>
    <w:uiPriority w:val="0"/>
    <w:pPr>
      <w:autoSpaceDE w:val="0"/>
      <w:autoSpaceDN w:val="0"/>
      <w:spacing w:line="360" w:lineRule="auto"/>
    </w:pPr>
    <w:rPr>
      <w:rFonts w:ascii="宋体"/>
      <w:sz w:val="24"/>
      <w:szCs w:val="21"/>
      <w:lang w:val="zh-CN"/>
    </w:rPr>
  </w:style>
  <w:style w:type="paragraph" w:styleId="12">
    <w:name w:val="Plain Text"/>
    <w:basedOn w:val="1"/>
    <w:qFormat/>
    <w:uiPriority w:val="0"/>
    <w:pPr>
      <w:spacing w:before="156" w:beforeLines="50" w:after="156" w:afterLines="50" w:line="400" w:lineRule="exact"/>
    </w:pPr>
    <w:rPr>
      <w:rFonts w:ascii="宋体" w:hAnsi="Courier New"/>
      <w:sz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7">
    <w:name w:val="Body Text First Indent"/>
    <w:basedOn w:val="11"/>
    <w:next w:val="1"/>
    <w:qFormat/>
    <w:uiPriority w:val="0"/>
    <w:pPr>
      <w:ind w:firstLine="420"/>
    </w:pPr>
    <w:rPr>
      <w:rFonts w:hAnsi="Times New Roman" w:cs="Times New Roman"/>
      <w:snapToGrid/>
      <w:szCs w:val="20"/>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rFonts w:ascii="Arial" w:hAnsi="Arial" w:eastAsia="黑体" w:cs="Arial"/>
      <w:snapToGrid w:val="0"/>
      <w:color w:val="000000"/>
      <w:kern w:val="0"/>
      <w:sz w:val="18"/>
      <w:szCs w:val="18"/>
      <w:u w:val="none"/>
    </w:rPr>
  </w:style>
  <w:style w:type="paragraph" w:customStyle="1" w:styleId="23">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character" w:customStyle="1" w:styleId="24">
    <w:name w:val="bulletintext1"/>
    <w:qFormat/>
    <w:uiPriority w:val="0"/>
    <w:rPr>
      <w:color w:val="000000"/>
      <w:sz w:val="18"/>
      <w:szCs w:val="18"/>
    </w:rPr>
  </w:style>
  <w:style w:type="paragraph" w:customStyle="1" w:styleId="25">
    <w:name w:val="正文2"/>
    <w:basedOn w:val="1"/>
    <w:qFormat/>
    <w:uiPriority w:val="0"/>
    <w:pPr>
      <w:spacing w:before="156" w:beforeLines="0" w:line="360" w:lineRule="auto"/>
      <w:ind w:firstLine="510" w:firstLineChars="200"/>
    </w:pPr>
    <w:rPr>
      <w:sz w:val="24"/>
      <w:szCs w:val="20"/>
    </w:rPr>
  </w:style>
  <w:style w:type="paragraph" w:styleId="26">
    <w:name w:val="List Paragraph"/>
    <w:basedOn w:val="1"/>
    <w:qFormat/>
    <w:uiPriority w:val="0"/>
    <w:pPr>
      <w:spacing w:line="360" w:lineRule="auto"/>
      <w:ind w:firstLine="200" w:firstLineChars="200"/>
    </w:pPr>
    <w:rPr>
      <w:rFonts w:eastAsia="楷体_GB2312" w:cs="Lucida Sans"/>
      <w:sz w:val="24"/>
    </w:rPr>
  </w:style>
  <w:style w:type="paragraph" w:customStyle="1" w:styleId="27">
    <w:name w:val="正文缩进1"/>
    <w:basedOn w:val="1"/>
    <w:next w:val="3"/>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8">
    <w:name w:val="索引 11"/>
    <w:basedOn w:val="1"/>
    <w:next w:val="1"/>
    <w:qFormat/>
    <w:uiPriority w:val="0"/>
    <w:pPr>
      <w:adjustRightInd/>
      <w:spacing w:line="360" w:lineRule="auto"/>
    </w:pPr>
    <w:rPr>
      <w:rFonts w:ascii="仿宋_GB2312" w:eastAsia="仿宋_GB2312"/>
      <w:sz w:val="24"/>
      <w:szCs w:val="20"/>
    </w:rPr>
  </w:style>
  <w:style w:type="paragraph" w:customStyle="1" w:styleId="29">
    <w:name w:val="纯文本1"/>
    <w:basedOn w:val="1"/>
    <w:qFormat/>
    <w:uiPriority w:val="0"/>
    <w:pPr>
      <w:adjustRightInd/>
    </w:pPr>
    <w:rPr>
      <w:rFonts w:ascii="宋体" w:hAnsi="Courier New"/>
      <w:kern w:val="0"/>
      <w:sz w:val="20"/>
      <w:szCs w:val="20"/>
    </w:rPr>
  </w:style>
  <w:style w:type="paragraph" w:customStyle="1" w:styleId="30">
    <w:name w:val="[Normal]"/>
    <w:qFormat/>
    <w:uiPriority w:val="0"/>
    <w:rPr>
      <w:rFonts w:ascii="宋体" w:hAnsi="宋体" w:eastAsia="宋体" w:cs="Times New Roman"/>
      <w:sz w:val="24"/>
      <w:szCs w:val="22"/>
      <w:lang w:val="zh-CN" w:eastAsia="zh-CN" w:bidi="ar-SA"/>
    </w:rPr>
  </w:style>
  <w:style w:type="paragraph" w:customStyle="1" w:styleId="31">
    <w:name w:val="纯文本_0_0"/>
    <w:basedOn w:val="32"/>
    <w:qFormat/>
    <w:uiPriority w:val="0"/>
    <w:pPr>
      <w:adjustRightInd/>
    </w:pPr>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6">
    <w:name w:val="正文-DTC"/>
    <w:qFormat/>
    <w:uiPriority w:val="0"/>
    <w:pPr>
      <w:spacing w:line="360" w:lineRule="auto"/>
      <w:ind w:firstLine="200" w:firstLineChars="200"/>
      <w:jc w:val="both"/>
    </w:pPr>
    <w:rPr>
      <w:rFonts w:ascii="Times New Roman" w:hAnsi="Times New Roman" w:eastAsia="仿宋" w:cs="宋体"/>
      <w:bCs/>
      <w:sz w:val="28"/>
      <w:szCs w:val="24"/>
      <w:lang w:val="en-US" w:eastAsia="zh-CN" w:bidi="ar-SA"/>
    </w:rPr>
  </w:style>
  <w:style w:type="paragraph" w:customStyle="1" w:styleId="37">
    <w:name w:val="表格标题"/>
    <w:basedOn w:val="38"/>
    <w:next w:val="38"/>
    <w:qFormat/>
    <w:uiPriority w:val="0"/>
    <w:rPr>
      <w:rFonts w:eastAsia="黑体"/>
      <w:bCs/>
    </w:rPr>
  </w:style>
  <w:style w:type="paragraph" w:customStyle="1" w:styleId="38">
    <w:name w:val="表格内容"/>
    <w:basedOn w:val="1"/>
    <w:qFormat/>
    <w:uiPriority w:val="0"/>
    <w:pPr>
      <w:spacing w:line="360" w:lineRule="auto"/>
      <w:jc w:val="center"/>
    </w:pPr>
    <w:rPr>
      <w:szCs w:val="20"/>
    </w:rPr>
  </w:style>
  <w:style w:type="paragraph" w:customStyle="1" w:styleId="39">
    <w:name w:val="单点描述标题"/>
    <w:basedOn w:val="5"/>
    <w:qFormat/>
    <w:uiPriority w:val="0"/>
    <w:pPr>
      <w:adjustRightInd w:val="0"/>
      <w:spacing w:before="240" w:after="0" w:line="360" w:lineRule="auto"/>
      <w:ind w:firstLine="482" w:firstLineChars="200"/>
      <w:jc w:val="left"/>
      <w:outlineLvl w:val="9"/>
    </w:pPr>
    <w:rPr>
      <w:rFonts w:ascii="Times New Roman" w:hAnsi="Times New Roman" w:eastAsia="黑体" w:cs="Times New Roman"/>
      <w:sz w:val="24"/>
    </w:rPr>
  </w:style>
  <w:style w:type="paragraph" w:customStyle="1" w:styleId="40">
    <w:name w:val="我的正文"/>
    <w:basedOn w:val="1"/>
    <w:qFormat/>
    <w:uiPriority w:val="99"/>
    <w:pPr>
      <w:spacing w:line="300" w:lineRule="auto"/>
      <w:ind w:firstLine="480" w:firstLineChars="200"/>
    </w:pPr>
    <w:rPr>
      <w:rFonts w:asciiTheme="minorHAnsi" w:hAnsiTheme="minorHAnsi" w:eastAsiaTheme="minorEastAsia"/>
      <w:color w:val="000000"/>
      <w:kern w:val="2"/>
      <w:lang w:val="zh-CN"/>
    </w:rPr>
  </w:style>
  <w:style w:type="character" w:customStyle="1" w:styleId="41">
    <w:name w:val="标题 7 Char"/>
    <w:link w:val="9"/>
    <w:qFormat/>
    <w:uiPriority w:val="0"/>
    <w:rPr>
      <w:b/>
      <w:sz w:val="24"/>
    </w:rPr>
  </w:style>
  <w:style w:type="character" w:customStyle="1" w:styleId="42">
    <w:name w:val="font31"/>
    <w:basedOn w:val="20"/>
    <w:qFormat/>
    <w:uiPriority w:val="0"/>
    <w:rPr>
      <w:rFonts w:hint="eastAsia" w:ascii="宋体" w:hAnsi="宋体" w:eastAsia="宋体" w:cs="宋体"/>
      <w:color w:val="FF0000"/>
      <w:sz w:val="18"/>
      <w:szCs w:val="18"/>
      <w:u w:val="none"/>
    </w:rPr>
  </w:style>
  <w:style w:type="character" w:customStyle="1" w:styleId="43">
    <w:name w:val="font11"/>
    <w:basedOn w:val="20"/>
    <w:qFormat/>
    <w:uiPriority w:val="0"/>
    <w:rPr>
      <w:rFonts w:hint="eastAsia" w:ascii="宋体" w:hAnsi="宋体" w:eastAsia="宋体" w:cs="宋体"/>
      <w:color w:val="000000"/>
      <w:sz w:val="22"/>
      <w:szCs w:val="22"/>
      <w:u w:val="none"/>
    </w:rPr>
  </w:style>
  <w:style w:type="character" w:customStyle="1" w:styleId="44">
    <w:name w:val="font51"/>
    <w:basedOn w:val="20"/>
    <w:qFormat/>
    <w:uiPriority w:val="0"/>
    <w:rPr>
      <w:rFonts w:hint="eastAsia" w:ascii="宋体" w:hAnsi="宋体" w:eastAsia="宋体" w:cs="宋体"/>
      <w:b/>
      <w:bCs/>
      <w:color w:val="000000"/>
      <w:sz w:val="20"/>
      <w:szCs w:val="20"/>
      <w:u w:val="none"/>
    </w:rPr>
  </w:style>
  <w:style w:type="character" w:customStyle="1" w:styleId="45">
    <w:name w:val="font21"/>
    <w:basedOn w:val="20"/>
    <w:qFormat/>
    <w:uiPriority w:val="0"/>
    <w:rPr>
      <w:rFonts w:hint="default" w:ascii="Times New Roman" w:hAnsi="Times New Roman" w:cs="Times New Roman"/>
      <w:b/>
      <w:bCs/>
      <w:color w:val="000000"/>
      <w:sz w:val="20"/>
      <w:szCs w:val="20"/>
      <w:u w:val="none"/>
    </w:rPr>
  </w:style>
  <w:style w:type="character" w:customStyle="1" w:styleId="46">
    <w:name w:val="font121"/>
    <w:basedOn w:val="20"/>
    <w:qFormat/>
    <w:uiPriority w:val="0"/>
    <w:rPr>
      <w:rFonts w:hint="eastAsia" w:ascii="宋体" w:hAnsi="宋体" w:eastAsia="宋体" w:cs="宋体"/>
      <w:color w:val="000000"/>
      <w:sz w:val="18"/>
      <w:szCs w:val="18"/>
      <w:u w:val="none"/>
    </w:rPr>
  </w:style>
  <w:style w:type="character" w:customStyle="1" w:styleId="47">
    <w:name w:val="font91"/>
    <w:basedOn w:val="20"/>
    <w:qFormat/>
    <w:uiPriority w:val="0"/>
    <w:rPr>
      <w:rFonts w:hint="eastAsia" w:ascii="宋体" w:hAnsi="宋体" w:eastAsia="宋体" w:cs="宋体"/>
      <w:color w:val="000000"/>
      <w:sz w:val="20"/>
      <w:szCs w:val="20"/>
      <w:u w:val="none"/>
    </w:rPr>
  </w:style>
  <w:style w:type="character" w:customStyle="1" w:styleId="48">
    <w:name w:val="font61"/>
    <w:basedOn w:val="20"/>
    <w:qFormat/>
    <w:uiPriority w:val="0"/>
    <w:rPr>
      <w:rFonts w:hint="eastAsia" w:ascii="宋体" w:hAnsi="宋体" w:eastAsia="宋体" w:cs="宋体"/>
      <w:b/>
      <w:bCs/>
      <w:color w:val="000000"/>
      <w:sz w:val="24"/>
      <w:szCs w:val="24"/>
      <w:u w:val="none"/>
    </w:rPr>
  </w:style>
  <w:style w:type="character" w:customStyle="1" w:styleId="49">
    <w:name w:val="font81"/>
    <w:basedOn w:val="20"/>
    <w:qFormat/>
    <w:uiPriority w:val="0"/>
    <w:rPr>
      <w:rFonts w:hint="default" w:ascii="Times New Roman" w:hAnsi="Times New Roman" w:cs="Times New Roman"/>
      <w:b/>
      <w:bCs/>
      <w:color w:val="000000"/>
      <w:sz w:val="24"/>
      <w:szCs w:val="24"/>
      <w:u w:val="none"/>
    </w:rPr>
  </w:style>
  <w:style w:type="character" w:customStyle="1" w:styleId="50">
    <w:name w:val="font112"/>
    <w:basedOn w:val="20"/>
    <w:qFormat/>
    <w:uiPriority w:val="0"/>
    <w:rPr>
      <w:rFonts w:hint="default" w:ascii="Times New Roman" w:hAnsi="Times New Roman" w:cs="Times New Roman"/>
      <w:color w:val="000000"/>
      <w:sz w:val="20"/>
      <w:szCs w:val="20"/>
      <w:u w:val="none"/>
    </w:rPr>
  </w:style>
  <w:style w:type="character" w:customStyle="1" w:styleId="51">
    <w:name w:val="font0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2021-02-07T02:01:00Z</dcterms:created>
  <dc:creator>admin</dc:creator>
  <cp:lastModifiedBy>杨颖</cp:lastModifiedBy>
  <dcterms:modified xsi:type="dcterms:W3CDTF">2021-05-24T01:33:34Z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F62665B4ACAD482EA0C2CC503FCFCCFB</vt:lpwstr>
  </property>
</Properties>
</file>