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仿宋_GB2312" w:hAnsi="仿宋" w:eastAsia="仿宋_GB2312" w:cs="仿宋_GB2312"/>
          <w:b/>
          <w:sz w:val="24"/>
          <w:szCs w:val="24"/>
        </w:rPr>
      </w:pPr>
    </w:p>
    <w:p>
      <w:pPr>
        <w:adjustRightInd w:val="0"/>
        <w:spacing w:line="360" w:lineRule="auto"/>
        <w:jc w:val="center"/>
        <w:rPr>
          <w:rFonts w:ascii="仿宋_GB2312" w:hAnsi="仿宋" w:eastAsia="仿宋_GB2312" w:cs="仿宋_GB2312"/>
          <w:b/>
          <w:sz w:val="24"/>
          <w:szCs w:val="24"/>
        </w:rPr>
      </w:pPr>
    </w:p>
    <w:p>
      <w:pPr>
        <w:spacing w:line="360" w:lineRule="auto"/>
        <w:jc w:val="center"/>
        <w:rPr>
          <w:rFonts w:ascii="仿宋_GB2312" w:hAnsi="仿宋" w:eastAsia="仿宋_GB2312" w:cs="仿宋_GB2312"/>
          <w:b/>
          <w:sz w:val="44"/>
          <w:szCs w:val="44"/>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spacing w:line="360" w:lineRule="auto"/>
        <w:jc w:val="center"/>
        <w:rPr>
          <w:rFonts w:hint="eastAsia" w:ascii="仿宋_GB2312" w:hAnsi="仿宋" w:eastAsia="仿宋_GB2312" w:cs="仿宋_GB2312"/>
          <w:sz w:val="48"/>
          <w:szCs w:val="48"/>
        </w:rPr>
      </w:pPr>
      <w:r>
        <w:rPr>
          <w:rFonts w:hint="eastAsia" w:ascii="仿宋_GB2312" w:hAnsi="仿宋" w:eastAsia="仿宋_GB2312" w:cs="仿宋_GB2312"/>
          <w:sz w:val="48"/>
          <w:szCs w:val="48"/>
        </w:rPr>
        <w:t>杭州市公安局临安区分局交通警察大队关于临安区公安分局交通警察大队交通管理中心建设项目</w:t>
      </w:r>
    </w:p>
    <w:p>
      <w:pPr>
        <w:spacing w:line="360" w:lineRule="auto"/>
        <w:jc w:val="center"/>
        <w:rPr>
          <w:rFonts w:ascii="仿宋_GB2312" w:hAnsi="仿宋" w:eastAsia="仿宋_GB2312" w:cs="仿宋_GB2312"/>
          <w:b/>
          <w:sz w:val="72"/>
          <w:szCs w:val="72"/>
        </w:rPr>
      </w:pPr>
      <w:r>
        <w:rPr>
          <w:rFonts w:hint="eastAsia" w:ascii="仿宋_GB2312" w:hAnsi="仿宋" w:eastAsia="仿宋_GB2312" w:cs="仿宋_GB2312"/>
          <w:b/>
          <w:sz w:val="72"/>
          <w:szCs w:val="72"/>
        </w:rPr>
        <w:t>招标文件</w:t>
      </w:r>
    </w:p>
    <w:p>
      <w:pPr>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（电子招投标）</w:t>
      </w:r>
    </w:p>
    <w:p>
      <w:pPr>
        <w:adjustRightInd w:val="0"/>
        <w:spacing w:line="360" w:lineRule="auto"/>
        <w:jc w:val="center"/>
        <w:rPr>
          <w:rFonts w:ascii="仿宋_GB2312" w:hAnsi="仿宋" w:eastAsia="仿宋_GB2312" w:cs="仿宋_GB2312"/>
          <w:b/>
          <w:sz w:val="24"/>
          <w:szCs w:val="24"/>
        </w:rPr>
      </w:pPr>
    </w:p>
    <w:p>
      <w:pPr>
        <w:adjustRightInd w:val="0"/>
        <w:snapToGrid w:val="0"/>
        <w:spacing w:line="360" w:lineRule="auto"/>
        <w:jc w:val="center"/>
        <w:rPr>
          <w:rFonts w:hint="default" w:ascii="仿宋_GB2312" w:hAnsi="仿宋" w:eastAsia="仿宋_GB2312" w:cs="仿宋_GB2312"/>
          <w:sz w:val="30"/>
          <w:szCs w:val="30"/>
          <w:lang w:val="en-US" w:eastAsia="zh-CN"/>
        </w:rPr>
      </w:pPr>
      <w:r>
        <w:rPr>
          <w:rFonts w:hint="eastAsia" w:ascii="仿宋_GB2312" w:hAnsi="仿宋" w:eastAsia="仿宋_GB2312" w:cs="仿宋_GB2312"/>
          <w:sz w:val="30"/>
          <w:szCs w:val="30"/>
        </w:rPr>
        <w:t>编号:</w:t>
      </w:r>
      <w:r>
        <w:rPr>
          <w:rFonts w:hint="eastAsia" w:ascii="仿宋_GB2312" w:hAnsi="仿宋" w:eastAsia="仿宋_GB2312" w:cs="仿宋_GB2312"/>
          <w:sz w:val="30"/>
          <w:szCs w:val="30"/>
          <w:lang w:val="en-US" w:eastAsia="zh-CN"/>
        </w:rPr>
        <w:t>LZC</w:t>
      </w:r>
      <w:r>
        <w:rPr>
          <w:rFonts w:hint="eastAsia" w:ascii="仿宋_GB2312" w:hAnsi="仿宋" w:eastAsia="仿宋_GB2312" w:cs="仿宋_GB2312"/>
          <w:sz w:val="30"/>
          <w:szCs w:val="30"/>
        </w:rPr>
        <w:t>-</w:t>
      </w:r>
      <w:r>
        <w:rPr>
          <w:rFonts w:hint="eastAsia" w:ascii="仿宋_GB2312" w:hAnsi="仿宋" w:eastAsia="仿宋_GB2312" w:cs="仿宋_GB2312"/>
          <w:sz w:val="30"/>
          <w:szCs w:val="30"/>
          <w:lang w:val="en-US" w:eastAsia="zh-CN"/>
        </w:rPr>
        <w:t>GK-</w:t>
      </w:r>
      <w:r>
        <w:rPr>
          <w:rFonts w:hint="eastAsia" w:ascii="仿宋_GB2312" w:hAnsi="仿宋" w:eastAsia="仿宋_GB2312" w:cs="仿宋_GB2312"/>
          <w:sz w:val="30"/>
          <w:szCs w:val="30"/>
        </w:rPr>
        <w:t>2021-</w:t>
      </w:r>
      <w:r>
        <w:rPr>
          <w:rFonts w:hint="eastAsia" w:ascii="仿宋_GB2312" w:hAnsi="仿宋" w:eastAsia="仿宋_GB2312" w:cs="仿宋_GB2312"/>
          <w:sz w:val="30"/>
          <w:szCs w:val="30"/>
          <w:lang w:val="en-US" w:eastAsia="zh-CN"/>
        </w:rPr>
        <w:t>11097</w:t>
      </w:r>
    </w:p>
    <w:p>
      <w:pPr>
        <w:spacing w:line="360" w:lineRule="auto"/>
        <w:rPr>
          <w:rFonts w:ascii="仿宋_GB2312" w:hAnsi="仿宋" w:eastAsia="仿宋_GB2312" w:cs="仿宋_GB2312"/>
          <w:sz w:val="28"/>
          <w:szCs w:val="20"/>
        </w:rPr>
      </w:pP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b/>
          <w:sz w:val="44"/>
          <w:szCs w:val="44"/>
        </w:rPr>
      </w:pPr>
      <w:r>
        <w:rPr>
          <w:rFonts w:hint="eastAsia" w:ascii="仿宋_GB2312" w:hAnsi="仿宋" w:eastAsia="仿宋_GB2312" w:cs="仿宋_GB2312"/>
          <w:b/>
          <w:sz w:val="44"/>
          <w:szCs w:val="44"/>
        </w:rPr>
        <w:t xml:space="preserve"> </w:t>
      </w:r>
    </w:p>
    <w:p>
      <w:pPr>
        <w:adjustRightInd w:val="0"/>
        <w:spacing w:line="360" w:lineRule="auto"/>
        <w:jc w:val="center"/>
        <w:rPr>
          <w:rFonts w:ascii="仿宋_GB2312" w:hAnsi="仿宋" w:eastAsia="仿宋_GB2312" w:cs="仿宋_GB2312"/>
          <w:sz w:val="24"/>
          <w:szCs w:val="24"/>
        </w:rPr>
      </w:pPr>
    </w:p>
    <w:p>
      <w:pPr>
        <w:adjustRightInd w:val="0"/>
        <w:spacing w:line="360" w:lineRule="auto"/>
        <w:jc w:val="center"/>
        <w:rPr>
          <w:rFonts w:ascii="仿宋_GB2312" w:hAnsi="仿宋" w:eastAsia="仿宋_GB2312" w:cs="仿宋_GB2312"/>
          <w:sz w:val="24"/>
          <w:szCs w:val="24"/>
        </w:rPr>
      </w:pPr>
    </w:p>
    <w:p>
      <w:pPr>
        <w:adjustRightInd w:val="0"/>
        <w:spacing w:line="360" w:lineRule="auto"/>
        <w:rPr>
          <w:rFonts w:ascii="仿宋_GB2312" w:hAnsi="仿宋" w:eastAsia="仿宋_GB2312" w:cs="仿宋_GB2312"/>
          <w:sz w:val="32"/>
          <w:szCs w:val="32"/>
        </w:rPr>
      </w:pPr>
      <w:r>
        <w:rPr>
          <w:rFonts w:hint="eastAsia" w:ascii="仿宋_GB2312" w:hAnsi="仿宋" w:eastAsia="仿宋_GB2312" w:cs="仿宋_GB2312"/>
          <w:sz w:val="24"/>
          <w:szCs w:val="24"/>
        </w:rPr>
        <w:t xml:space="preserve">  </w:t>
      </w:r>
    </w:p>
    <w:p>
      <w:pPr>
        <w:adjustRightInd w:val="0"/>
        <w:spacing w:line="360" w:lineRule="auto"/>
        <w:jc w:val="center"/>
        <w:rPr>
          <w:rFonts w:hint="eastAsia" w:ascii="仿宋_GB2312" w:hAnsi="仿宋" w:eastAsia="仿宋_GB2312" w:cs="仿宋_GB2312"/>
          <w:bCs/>
          <w:sz w:val="32"/>
          <w:szCs w:val="32"/>
        </w:rPr>
      </w:pPr>
      <w:r>
        <w:rPr>
          <w:rFonts w:hint="eastAsia" w:ascii="仿宋_GB2312" w:hAnsi="仿宋" w:eastAsia="仿宋_GB2312" w:cs="仿宋_GB2312"/>
          <w:bCs/>
          <w:sz w:val="32"/>
          <w:szCs w:val="32"/>
        </w:rPr>
        <w:t>杭州市公安局临安区分局交通警察大队</w:t>
      </w:r>
    </w:p>
    <w:p>
      <w:pPr>
        <w:adjustRightInd w:val="0"/>
        <w:spacing w:line="360" w:lineRule="auto"/>
        <w:jc w:val="center"/>
        <w:rPr>
          <w:rFonts w:hint="eastAsia" w:ascii="仿宋_GB2312" w:hAnsi="仿宋" w:eastAsia="仿宋_GB2312" w:cs="仿宋_GB2312"/>
          <w:bCs/>
          <w:sz w:val="32"/>
          <w:szCs w:val="32"/>
          <w:highlight w:val="yellow"/>
          <w:lang w:val="en-US" w:eastAsia="zh-CN"/>
        </w:rPr>
      </w:pPr>
      <w:r>
        <w:rPr>
          <w:rFonts w:hint="eastAsia" w:ascii="仿宋_GB2312" w:hAnsi="仿宋" w:eastAsia="仿宋_GB2312" w:cs="仿宋_GB2312"/>
          <w:bCs/>
          <w:sz w:val="32"/>
          <w:szCs w:val="32"/>
        </w:rPr>
        <w:t>杭州市公共资源交易中心</w:t>
      </w:r>
      <w:r>
        <w:rPr>
          <w:rFonts w:hint="eastAsia" w:ascii="仿宋_GB2312" w:hAnsi="仿宋" w:eastAsia="仿宋_GB2312" w:cs="仿宋_GB2312"/>
          <w:bCs/>
          <w:sz w:val="32"/>
          <w:szCs w:val="32"/>
          <w:lang w:eastAsia="zh-CN"/>
        </w:rPr>
        <w:t>临安分中心</w:t>
      </w:r>
    </w:p>
    <w:p>
      <w:pPr>
        <w:adjustRightInd w:val="0"/>
        <w:snapToGrid w:val="0"/>
        <w:spacing w:line="360" w:lineRule="auto"/>
        <w:jc w:val="center"/>
        <w:rPr>
          <w:rFonts w:ascii="仿宋_GB2312" w:hAnsi="仿宋" w:eastAsia="仿宋_GB2312" w:cs="仿宋_GB2312"/>
          <w:bCs/>
          <w:sz w:val="32"/>
          <w:szCs w:val="32"/>
        </w:rPr>
      </w:pPr>
      <w:r>
        <w:rPr>
          <w:rFonts w:hint="eastAsia" w:ascii="仿宋_GB2312" w:hAnsi="仿宋" w:eastAsia="仿宋_GB2312" w:cs="仿宋_GB2312"/>
          <w:bCs/>
          <w:sz w:val="32"/>
          <w:szCs w:val="32"/>
        </w:rPr>
        <w:t>二</w:t>
      </w:r>
      <w:r>
        <w:rPr>
          <w:rFonts w:hint="eastAsia" w:ascii="宋体" w:hAnsi="宋体" w:eastAsia="宋体" w:cs="宋体"/>
          <w:bCs/>
          <w:sz w:val="32"/>
          <w:szCs w:val="32"/>
        </w:rPr>
        <w:t>〇</w:t>
      </w:r>
      <w:r>
        <w:rPr>
          <w:rFonts w:hint="eastAsia" w:ascii="仿宋_GB2312" w:hAnsi="仿宋" w:eastAsia="仿宋_GB2312" w:cs="仿宋_GB2312"/>
          <w:bCs/>
          <w:sz w:val="32"/>
          <w:szCs w:val="32"/>
        </w:rPr>
        <w:t>二</w:t>
      </w:r>
      <w:r>
        <w:rPr>
          <w:rFonts w:hint="eastAsia" w:ascii="宋体" w:hAnsi="宋体" w:eastAsia="宋体" w:cs="宋体"/>
          <w:bCs/>
          <w:sz w:val="32"/>
          <w:szCs w:val="32"/>
        </w:rPr>
        <w:t>一</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eastAsia="zh-CN"/>
        </w:rPr>
        <w:t>十二</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eastAsia="zh-CN"/>
        </w:rPr>
        <w:t>七</w:t>
      </w:r>
      <w:r>
        <w:rPr>
          <w:rFonts w:hint="eastAsia" w:ascii="仿宋_GB2312" w:hAnsi="仿宋" w:eastAsia="仿宋_GB2312" w:cs="仿宋_GB2312"/>
          <w:bCs/>
          <w:sz w:val="32"/>
          <w:szCs w:val="32"/>
        </w:rPr>
        <w:t>日</w:t>
      </w:r>
    </w:p>
    <w:p>
      <w:pPr>
        <w:adjustRightInd w:val="0"/>
        <w:spacing w:line="360" w:lineRule="auto"/>
        <w:jc w:val="center"/>
        <w:rPr>
          <w:rFonts w:ascii="仿宋_GB2312" w:hAnsi="仿宋" w:eastAsia="仿宋_GB2312" w:cs="仿宋_GB2312"/>
          <w:b/>
          <w:sz w:val="48"/>
          <w:szCs w:val="48"/>
        </w:rPr>
      </w:pPr>
      <w:r>
        <w:rPr>
          <w:rFonts w:hint="eastAsia" w:ascii="仿宋_GB2312" w:hAnsi="仿宋" w:eastAsia="仿宋_GB2312" w:cs="仿宋_GB2312"/>
          <w:sz w:val="24"/>
          <w:szCs w:val="24"/>
        </w:rPr>
        <w:br w:type="page"/>
      </w:r>
      <w:bookmarkStart w:id="0" w:name="_Hlt67893495"/>
      <w:bookmarkEnd w:id="0"/>
      <w:r>
        <w:rPr>
          <w:rFonts w:hint="eastAsia" w:ascii="仿宋_GB2312" w:hAnsi="仿宋" w:eastAsia="仿宋_GB2312" w:cs="仿宋_GB2312"/>
          <w:b/>
          <w:sz w:val="48"/>
          <w:szCs w:val="48"/>
        </w:rPr>
        <w:t>目  录</w:t>
      </w:r>
    </w:p>
    <w:p>
      <w:pPr>
        <w:adjustRightInd w:val="0"/>
        <w:spacing w:line="360" w:lineRule="auto"/>
        <w:rPr>
          <w:rFonts w:ascii="仿宋_GB2312" w:hAnsi="仿宋" w:eastAsia="仿宋_GB2312" w:cs="仿宋_GB2312"/>
          <w:sz w:val="32"/>
          <w:szCs w:val="32"/>
        </w:rPr>
      </w:pPr>
    </w:p>
    <w:p>
      <w:pPr>
        <w:adjustRightInd w:val="0"/>
        <w:spacing w:line="360" w:lineRule="auto"/>
        <w:rPr>
          <w:rFonts w:ascii="仿宋_GB2312" w:hAnsi="仿宋" w:eastAsia="仿宋_GB2312" w:cs="仿宋_GB2312"/>
          <w:sz w:val="32"/>
          <w:szCs w:val="32"/>
        </w:rPr>
      </w:pP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第一部分      招标公告</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第二部分      投标人须知</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第三部分      采购需求</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第四部分      评标方法及评分标准</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第五部分      拟签订的合同文本</w:t>
      </w:r>
    </w:p>
    <w:p>
      <w:pPr>
        <w:adjustRightInd w:val="0"/>
        <w:spacing w:line="360" w:lineRule="auto"/>
        <w:ind w:firstLine="1280" w:firstLineChars="400"/>
        <w:rPr>
          <w:rFonts w:ascii="仿宋_GB2312" w:hAnsi="仿宋" w:eastAsia="仿宋_GB2312" w:cs="仿宋_GB2312"/>
          <w:sz w:val="32"/>
          <w:szCs w:val="32"/>
        </w:rPr>
      </w:pPr>
      <w:r>
        <w:rPr>
          <w:rFonts w:hint="eastAsia" w:ascii="仿宋_GB2312" w:hAnsi="仿宋" w:eastAsia="仿宋_GB2312" w:cs="仿宋_GB2312"/>
          <w:sz w:val="32"/>
          <w:szCs w:val="32"/>
        </w:rPr>
        <w:t>第六部分      应提交的有关格式范例</w:t>
      </w:r>
    </w:p>
    <w:p>
      <w:pPr>
        <w:adjustRightInd w:val="0"/>
        <w:spacing w:line="360" w:lineRule="auto"/>
        <w:ind w:firstLine="549" w:firstLineChars="229"/>
        <w:rPr>
          <w:rFonts w:ascii="仿宋_GB2312" w:hAnsi="仿宋" w:eastAsia="仿宋_GB2312" w:cs="仿宋_GB2312"/>
          <w:sz w:val="24"/>
          <w:szCs w:val="24"/>
        </w:rPr>
      </w:pPr>
      <w:bookmarkStart w:id="1" w:name="_Hlt91233176"/>
      <w:bookmarkEnd w:id="1"/>
      <w:bookmarkStart w:id="2" w:name="_Toc91899869"/>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p>
      <w:pPr>
        <w:adjustRightInd w:val="0"/>
        <w:spacing w:line="360" w:lineRule="auto"/>
        <w:ind w:firstLine="549" w:firstLineChars="229"/>
        <w:rPr>
          <w:rFonts w:ascii="仿宋_GB2312" w:hAnsi="仿宋" w:eastAsia="仿宋_GB2312" w:cs="仿宋_GB2312"/>
          <w:sz w:val="24"/>
          <w:szCs w:val="24"/>
        </w:rPr>
      </w:pPr>
    </w:p>
    <w:bookmarkEnd w:id="2"/>
    <w:p>
      <w:pPr>
        <w:spacing w:line="360" w:lineRule="auto"/>
        <w:jc w:val="center"/>
        <w:outlineLvl w:val="0"/>
        <w:rPr>
          <w:rFonts w:ascii="仿宋_GB2312" w:hAnsi="仿宋" w:eastAsia="仿宋_GB2312" w:cs="仿宋_GB2312"/>
          <w:b/>
          <w:sz w:val="36"/>
          <w:szCs w:val="20"/>
        </w:r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p>
    <w:p>
      <w:pPr>
        <w:spacing w:line="360" w:lineRule="auto"/>
        <w:jc w:val="center"/>
        <w:outlineLvl w:val="0"/>
        <w:rPr>
          <w:rFonts w:ascii="仿宋_GB2312" w:hAnsi="仿宋" w:eastAsia="仿宋_GB2312" w:cs="仿宋_GB2312"/>
          <w:b/>
          <w:sz w:val="36"/>
          <w:szCs w:val="20"/>
        </w:rPr>
      </w:pP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t>第一部分 招标公告</w:t>
      </w:r>
    </w:p>
    <w:p>
      <w:pPr>
        <w:pBdr>
          <w:top w:val="single" w:color="auto" w:sz="4" w:space="1"/>
          <w:left w:val="single" w:color="auto" w:sz="4" w:space="4"/>
          <w:bottom w:val="single" w:color="auto" w:sz="4" w:space="1"/>
          <w:right w:val="single" w:color="auto" w:sz="4" w:space="4"/>
        </w:pBd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项目概况</w:t>
      </w:r>
    </w:p>
    <w:p>
      <w:pPr>
        <w:pBdr>
          <w:top w:val="single" w:color="auto" w:sz="4" w:space="1"/>
          <w:left w:val="single" w:color="auto" w:sz="4" w:space="4"/>
          <w:bottom w:val="single" w:color="auto" w:sz="4" w:space="1"/>
          <w:right w:val="single" w:color="auto" w:sz="4" w:space="4"/>
        </w:pBd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杭州市公安局临安区分局交通警察大队关于临安区公安分局交通警察大队交通管理中心建设项目招标项目</w:t>
      </w:r>
      <w:r>
        <w:rPr>
          <w:rFonts w:hint="eastAsia" w:ascii="仿宋_GB2312" w:hAnsi="仿宋" w:eastAsia="仿宋_GB2312" w:cs="Times New Roman"/>
          <w:sz w:val="24"/>
          <w:szCs w:val="24"/>
          <w:highlight w:val="none"/>
        </w:rPr>
        <w:t>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_GB2312" w:hAnsi="仿宋" w:eastAsia="仿宋_GB2312" w:cs="Times New Roman"/>
          <w:sz w:val="24"/>
          <w:szCs w:val="24"/>
          <w:highlight w:val="none"/>
        </w:rPr>
        <w:t>https://www.zcygov.cn/）获取（下载）招标文件，并于2021年</w:t>
      </w:r>
      <w:r>
        <w:rPr>
          <w:rFonts w:hint="eastAsia" w:ascii="仿宋_GB2312" w:hAnsi="仿宋" w:eastAsia="仿宋_GB2312" w:cs="Times New Roman"/>
          <w:sz w:val="24"/>
          <w:szCs w:val="24"/>
          <w:highlight w:val="none"/>
        </w:rPr>
        <w:fldChar w:fldCharType="end"/>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29</w:t>
      </w:r>
      <w:r>
        <w:rPr>
          <w:rFonts w:hint="eastAsia" w:ascii="仿宋_GB2312" w:hAnsi="仿宋" w:eastAsia="仿宋_GB2312" w:cs="Times New Roman"/>
          <w:sz w:val="24"/>
          <w:szCs w:val="24"/>
          <w:highlight w:val="none"/>
        </w:rPr>
        <w:t>日</w:t>
      </w:r>
      <w:r>
        <w:rPr>
          <w:rFonts w:hint="eastAsia" w:ascii="仿宋_GB2312" w:hAnsi="仿宋" w:eastAsia="仿宋_GB2312" w:cs="Times New Roman"/>
          <w:sz w:val="24"/>
          <w:szCs w:val="24"/>
          <w:highlight w:val="none"/>
          <w:lang w:val="en-US" w:eastAsia="zh-CN"/>
        </w:rPr>
        <w:t>13</w:t>
      </w:r>
      <w:r>
        <w:rPr>
          <w:rFonts w:hint="eastAsia" w:ascii="仿宋_GB2312" w:hAnsi="仿宋" w:eastAsia="仿宋_GB2312" w:cs="Times New Roman"/>
          <w:sz w:val="24"/>
          <w:szCs w:val="24"/>
          <w:highlight w:val="none"/>
        </w:rPr>
        <w:t>点</w:t>
      </w:r>
      <w:r>
        <w:rPr>
          <w:rFonts w:hint="eastAsia" w:ascii="仿宋_GB2312" w:hAnsi="仿宋" w:eastAsia="仿宋_GB2312" w:cs="Times New Roman"/>
          <w:sz w:val="24"/>
          <w:szCs w:val="24"/>
          <w:highlight w:val="none"/>
          <w:lang w:val="en-US" w:eastAsia="zh-CN"/>
        </w:rPr>
        <w:t>30</w:t>
      </w:r>
      <w:r>
        <w:rPr>
          <w:rFonts w:hint="eastAsia" w:ascii="仿宋_GB2312" w:hAnsi="仿宋" w:eastAsia="仿宋_GB2312" w:cs="Times New Roman"/>
          <w:sz w:val="24"/>
          <w:szCs w:val="24"/>
          <w:highlight w:val="none"/>
        </w:rPr>
        <w:t>分00秒</w:t>
      </w:r>
      <w:r>
        <w:rPr>
          <w:rFonts w:hint="eastAsia" w:ascii="仿宋_GB2312" w:hAnsi="仿宋" w:eastAsia="仿宋_GB2312" w:cs="Times New Roman"/>
          <w:sz w:val="24"/>
          <w:szCs w:val="24"/>
        </w:rPr>
        <w:t xml:space="preserve">（北京时间）前递交（上传）投标文件。 </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rPr>
        <w:t>一、项目基本情</w:t>
      </w:r>
      <w:r>
        <w:rPr>
          <w:rFonts w:hint="eastAsia" w:ascii="仿宋_GB2312" w:hAnsi="仿宋" w:eastAsia="仿宋_GB2312" w:cs="Times New Roman"/>
          <w:b/>
          <w:sz w:val="24"/>
          <w:szCs w:val="24"/>
          <w:highlight w:val="none"/>
        </w:rPr>
        <w:t xml:space="preserve">况                                            </w:t>
      </w:r>
    </w:p>
    <w:p>
      <w:pPr>
        <w:adjustRightInd w:val="0"/>
        <w:spacing w:line="360" w:lineRule="auto"/>
        <w:rPr>
          <w:rFonts w:hint="default"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项目编号：</w:t>
      </w:r>
      <w:r>
        <w:rPr>
          <w:rFonts w:hint="eastAsia" w:ascii="仿宋_GB2312" w:hAnsi="仿宋" w:eastAsia="仿宋_GB2312" w:cs="Times New Roman"/>
          <w:sz w:val="24"/>
          <w:szCs w:val="24"/>
          <w:highlight w:val="none"/>
          <w:lang w:val="en-US" w:eastAsia="zh-CN"/>
        </w:rPr>
        <w:t>LZC</w:t>
      </w:r>
      <w:r>
        <w:rPr>
          <w:rFonts w:hint="eastAsia" w:ascii="仿宋_GB2312" w:hAnsi="仿宋" w:eastAsia="仿宋_GB2312" w:cs="Times New Roman"/>
          <w:sz w:val="24"/>
          <w:szCs w:val="24"/>
          <w:highlight w:val="none"/>
        </w:rPr>
        <w:t>-</w:t>
      </w:r>
      <w:r>
        <w:rPr>
          <w:rFonts w:hint="eastAsia" w:ascii="仿宋_GB2312" w:hAnsi="仿宋" w:eastAsia="仿宋_GB2312" w:cs="Times New Roman"/>
          <w:sz w:val="24"/>
          <w:szCs w:val="24"/>
          <w:highlight w:val="none"/>
          <w:lang w:val="en-US" w:eastAsia="zh-CN"/>
        </w:rPr>
        <w:t>GK-</w:t>
      </w:r>
      <w:r>
        <w:rPr>
          <w:rFonts w:hint="eastAsia" w:ascii="仿宋_GB2312" w:hAnsi="仿宋" w:eastAsia="仿宋_GB2312" w:cs="Times New Roman"/>
          <w:sz w:val="24"/>
          <w:szCs w:val="24"/>
          <w:highlight w:val="none"/>
        </w:rPr>
        <w:t>2021-</w:t>
      </w:r>
      <w:r>
        <w:rPr>
          <w:rFonts w:hint="eastAsia" w:ascii="仿宋_GB2312" w:hAnsi="仿宋" w:eastAsia="仿宋_GB2312" w:cs="Times New Roman"/>
          <w:sz w:val="24"/>
          <w:szCs w:val="24"/>
          <w:highlight w:val="none"/>
          <w:lang w:val="en-US" w:eastAsia="zh-CN"/>
        </w:rPr>
        <w:t>11097</w:t>
      </w:r>
    </w:p>
    <w:p>
      <w:pPr>
        <w:adjustRightInd w:val="0"/>
        <w:spacing w:line="360" w:lineRule="auto"/>
        <w:rPr>
          <w:rFonts w:ascii="仿宋_GB2312" w:hAnsi="仿宋" w:eastAsia="仿宋_GB2312" w:cs="Times New Roman"/>
          <w:b w:val="0"/>
          <w:bCs/>
          <w:sz w:val="24"/>
          <w:szCs w:val="24"/>
        </w:rPr>
      </w:pPr>
      <w:r>
        <w:rPr>
          <w:rFonts w:hint="eastAsia" w:ascii="仿宋_GB2312" w:hAnsi="仿宋" w:eastAsia="仿宋_GB2312" w:cs="Times New Roman"/>
          <w:sz w:val="24"/>
          <w:szCs w:val="24"/>
          <w:highlight w:val="none"/>
        </w:rPr>
        <w:t xml:space="preserve">   </w:t>
      </w:r>
      <w:r>
        <w:rPr>
          <w:rFonts w:hint="eastAsia" w:ascii="仿宋_GB2312" w:hAnsi="仿宋" w:eastAsia="仿宋_GB2312" w:cs="Times New Roman"/>
          <w:b/>
          <w:sz w:val="24"/>
          <w:szCs w:val="24"/>
          <w:highlight w:val="none"/>
        </w:rPr>
        <w:t xml:space="preserve"> 项目名称：</w:t>
      </w:r>
      <w:r>
        <w:rPr>
          <w:rFonts w:hint="eastAsia" w:ascii="仿宋_GB2312" w:hAnsi="仿宋" w:eastAsia="仿宋_GB2312" w:cs="Times New Roman"/>
          <w:b w:val="0"/>
          <w:bCs/>
          <w:sz w:val="24"/>
          <w:szCs w:val="24"/>
          <w:highlight w:val="none"/>
        </w:rPr>
        <w:t>杭</w:t>
      </w:r>
      <w:r>
        <w:rPr>
          <w:rFonts w:hint="eastAsia" w:ascii="仿宋_GB2312" w:hAnsi="仿宋" w:eastAsia="仿宋_GB2312" w:cs="Times New Roman"/>
          <w:b w:val="0"/>
          <w:bCs/>
          <w:sz w:val="24"/>
          <w:szCs w:val="24"/>
        </w:rPr>
        <w:t>州市公安局临安区分局交通警察大队关于临安区公安分局交通警察大队交通管理中心建设项目</w:t>
      </w:r>
    </w:p>
    <w:p>
      <w:pPr>
        <w:adjustRightInd w:val="0"/>
        <w:spacing w:line="360" w:lineRule="auto"/>
        <w:ind w:firstLine="482" w:firstLineChars="200"/>
        <w:rPr>
          <w:rFonts w:ascii="仿宋_GB2312" w:hAnsi="仿宋" w:eastAsia="仿宋_GB2312" w:cs="仿宋_GB2312"/>
          <w:sz w:val="24"/>
          <w:szCs w:val="24"/>
        </w:rPr>
      </w:pPr>
      <w:r>
        <w:rPr>
          <w:rFonts w:hint="eastAsia" w:ascii="仿宋_GB2312" w:hAnsi="仿宋" w:eastAsia="仿宋_GB2312" w:cs="Times New Roman"/>
          <w:b/>
          <w:sz w:val="24"/>
          <w:szCs w:val="24"/>
        </w:rPr>
        <w:t>预算金额（元）</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en-US" w:eastAsia="zh-CN"/>
        </w:rPr>
        <w:t>4800000</w:t>
      </w:r>
      <w:r>
        <w:rPr>
          <w:rFonts w:hint="eastAsia" w:ascii="仿宋_GB2312" w:hAnsi="仿宋" w:eastAsia="仿宋_GB2312" w:cs="仿宋_GB2312"/>
          <w:sz w:val="24"/>
          <w:szCs w:val="24"/>
        </w:rPr>
        <w:t xml:space="preserve">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最高限价（元）：</w:t>
      </w:r>
      <w:r>
        <w:rPr>
          <w:rFonts w:hint="eastAsia" w:ascii="仿宋_GB2312" w:hAnsi="仿宋" w:eastAsia="仿宋_GB2312" w:cs="Times New Roman"/>
          <w:b/>
          <w:sz w:val="24"/>
          <w:szCs w:val="24"/>
          <w:lang w:val="en-US" w:eastAsia="zh-CN"/>
        </w:rPr>
        <w:t>4800000</w:t>
      </w:r>
      <w:r>
        <w:rPr>
          <w:rFonts w:hint="eastAsia" w:ascii="仿宋_GB2312" w:hAnsi="仿宋" w:eastAsia="仿宋_GB2312" w:cs="Times New Roman"/>
          <w:sz w:val="24"/>
          <w:szCs w:val="24"/>
        </w:rPr>
        <w:t xml:space="preserve"> </w:t>
      </w:r>
    </w:p>
    <w:p>
      <w:pPr>
        <w:spacing w:line="360" w:lineRule="auto"/>
        <w:ind w:firstLine="482" w:firstLineChars="200"/>
        <w:rPr>
          <w:rFonts w:hint="eastAsia" w:ascii="仿宋_GB2312" w:hAnsi="仿宋" w:eastAsia="仿宋_GB2312" w:cs="仿宋_GB2312"/>
          <w:sz w:val="24"/>
          <w:szCs w:val="24"/>
          <w:lang w:eastAsia="zh-CN"/>
        </w:rPr>
      </w:pPr>
      <w:r>
        <w:rPr>
          <w:rFonts w:hint="eastAsia" w:ascii="仿宋_GB2312" w:hAnsi="仿宋" w:eastAsia="仿宋_GB2312" w:cs="Times New Roman"/>
          <w:b/>
          <w:sz w:val="24"/>
          <w:szCs w:val="24"/>
        </w:rPr>
        <w:t>采购需求：</w:t>
      </w:r>
      <w:r>
        <w:rPr>
          <w:rFonts w:hint="eastAsia" w:ascii="仿宋_GB2312" w:hAnsi="仿宋" w:eastAsia="仿宋_GB2312" w:cs="Times New Roman"/>
          <w:b w:val="0"/>
          <w:bCs/>
          <w:sz w:val="24"/>
          <w:szCs w:val="24"/>
        </w:rPr>
        <w:t>大队交通综合管控平台升级</w:t>
      </w:r>
      <w:r>
        <w:rPr>
          <w:rFonts w:hint="eastAsia" w:ascii="仿宋_GB2312" w:hAnsi="仿宋" w:eastAsia="仿宋_GB2312" w:cs="Times New Roman"/>
          <w:b w:val="0"/>
          <w:bCs/>
          <w:sz w:val="24"/>
          <w:szCs w:val="24"/>
          <w:lang w:eastAsia="zh-CN"/>
        </w:rPr>
        <w:t>、大队农村道路三色预警系统建设。</w:t>
      </w:r>
    </w:p>
    <w:p>
      <w:pPr>
        <w:spacing w:line="360" w:lineRule="auto"/>
        <w:ind w:firstLine="482" w:firstLineChars="2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备注：无</w:t>
      </w:r>
      <w:r>
        <w:rPr>
          <w:rFonts w:hint="eastAsia" w:ascii="仿宋_GB2312" w:hAnsi="Times New Roman" w:eastAsia="仿宋_GB2312" w:cs="Times New Roman"/>
          <w:sz w:val="24"/>
          <w:szCs w:val="24"/>
        </w:rPr>
        <w:t xml:space="preserve"> </w:t>
      </w:r>
    </w:p>
    <w:p>
      <w:pPr>
        <w:adjustRightInd w:val="0"/>
        <w:spacing w:line="360" w:lineRule="auto"/>
        <w:rPr>
          <w:rFonts w:ascii="仿宋_GB2312" w:hAnsi="Times New Roman" w:eastAsia="仿宋_GB2312" w:cs="Times New Roman"/>
          <w:b w:val="0"/>
          <w:bCs/>
          <w:sz w:val="24"/>
          <w:szCs w:val="24"/>
          <w:highlight w:val="none"/>
        </w:rPr>
      </w:pPr>
      <w:r>
        <w:rPr>
          <w:rFonts w:ascii="仿宋_GB2312" w:hAnsi="仿宋" w:eastAsia="仿宋_GB2312" w:cs="Times New Roman"/>
          <w:sz w:val="24"/>
          <w:szCs w:val="24"/>
        </w:rPr>
        <w:t xml:space="preserve">    </w:t>
      </w:r>
      <w:r>
        <w:rPr>
          <w:rFonts w:hint="eastAsia" w:ascii="仿宋_GB2312" w:hAnsi="仿宋" w:eastAsia="仿宋_GB2312" w:cs="Times New Roman"/>
          <w:b/>
          <w:sz w:val="24"/>
          <w:szCs w:val="24"/>
        </w:rPr>
        <w:t>合</w:t>
      </w:r>
      <w:r>
        <w:rPr>
          <w:rFonts w:hint="eastAsia" w:ascii="仿宋_GB2312" w:hAnsi="仿宋" w:eastAsia="仿宋_GB2312" w:cs="Times New Roman"/>
          <w:b/>
          <w:sz w:val="24"/>
          <w:szCs w:val="24"/>
          <w:highlight w:val="none"/>
        </w:rPr>
        <w:t>同履约期限：</w:t>
      </w:r>
      <w:r>
        <w:rPr>
          <w:rFonts w:hint="eastAsia" w:ascii="仿宋_GB2312" w:hAnsi="仿宋" w:eastAsia="仿宋_GB2312" w:cs="Times New Roman"/>
          <w:b w:val="0"/>
          <w:bCs/>
          <w:sz w:val="24"/>
          <w:szCs w:val="24"/>
          <w:highlight w:val="none"/>
        </w:rPr>
        <w:t>要求成交供应商在合同签订后的60天内完成货物的安装调试及平台上线。</w:t>
      </w:r>
      <w:r>
        <w:rPr>
          <w:rFonts w:hint="eastAsia" w:ascii="仿宋_GB2312" w:hAnsi="Times New Roman" w:eastAsia="仿宋_GB2312" w:cs="Times New Roman"/>
          <w:b w:val="0"/>
          <w:bCs/>
          <w:sz w:val="24"/>
          <w:szCs w:val="24"/>
          <w:highlight w:val="none"/>
        </w:rPr>
        <w:t xml:space="preserve"> </w:t>
      </w:r>
    </w:p>
    <w:p>
      <w:pPr>
        <w:adjustRightInd w:val="0"/>
        <w:spacing w:line="360" w:lineRule="auto"/>
        <w:ind w:firstLine="48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本项目（否）接受联合体投标。</w:t>
      </w:r>
    </w:p>
    <w:p>
      <w:pPr>
        <w:adjustRightInd w:val="0"/>
        <w:spacing w:line="360" w:lineRule="auto"/>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二、申请人的资格要求：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highlight w:val="none"/>
        </w:rPr>
        <w:t>1.满足《中华人民共和国政府采购</w:t>
      </w:r>
      <w:r>
        <w:rPr>
          <w:rFonts w:hint="eastAsia" w:ascii="仿宋_GB2312" w:hAnsi="仿宋" w:eastAsia="仿宋_GB2312" w:cs="Times New Roman"/>
          <w:sz w:val="24"/>
          <w:szCs w:val="24"/>
        </w:rPr>
        <w:t>法》第二十二条规定；</w:t>
      </w:r>
    </w:p>
    <w:p>
      <w:pPr>
        <w:adjustRightInd w:val="0"/>
        <w:spacing w:line="360" w:lineRule="auto"/>
        <w:ind w:firstLine="480" w:firstLineChars="200"/>
        <w:rPr>
          <w:rFonts w:hint="eastAsia" w:ascii="仿宋_GB2312" w:hAnsi="仿宋" w:eastAsia="仿宋_GB2312" w:cs="Times New Roman"/>
          <w:sz w:val="24"/>
          <w:szCs w:val="24"/>
        </w:rPr>
      </w:pPr>
      <w:r>
        <w:rPr>
          <w:rFonts w:hint="eastAsia" w:ascii="仿宋_GB2312" w:hAnsi="仿宋" w:eastAsia="仿宋_GB2312" w:cs="Times New Roman"/>
          <w:sz w:val="24"/>
          <w:szCs w:val="24"/>
        </w:rPr>
        <w:t>2.落实政府采购政策需满足的资格要求：无。</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3.本项目的特定资格要求：无。</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三、获取招标文件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时间：</w:t>
      </w:r>
      <w:r>
        <w:rPr>
          <w:rFonts w:hint="eastAsia" w:ascii="仿宋_GB2312" w:hAnsi="仿宋" w:eastAsia="仿宋_GB2312" w:cs="Times New Roman"/>
          <w:sz w:val="24"/>
          <w:szCs w:val="24"/>
        </w:rPr>
        <w:t>/至2021</w:t>
      </w:r>
      <w:r>
        <w:rPr>
          <w:rFonts w:hint="eastAsia" w:ascii="仿宋_GB2312" w:hAnsi="仿宋" w:eastAsia="仿宋_GB2312" w:cs="Times New Roman"/>
          <w:sz w:val="24"/>
          <w:szCs w:val="24"/>
          <w:highlight w:val="none"/>
        </w:rPr>
        <w:t>年</w:t>
      </w:r>
      <w:r>
        <w:rPr>
          <w:rFonts w:hint="eastAsia" w:ascii="仿宋_GB2312" w:hAnsi="仿宋" w:eastAsia="仿宋_GB2312" w:cs="Times New Roman"/>
          <w:sz w:val="24"/>
          <w:szCs w:val="24"/>
          <w:highlight w:val="none"/>
          <w:lang w:val="en-US" w:eastAsia="zh-CN"/>
        </w:rPr>
        <w:t>12</w:t>
      </w:r>
      <w:r>
        <w:rPr>
          <w:rFonts w:hint="eastAsia" w:ascii="仿宋_GB2312" w:hAnsi="仿宋" w:eastAsia="仿宋_GB2312" w:cs="Times New Roman"/>
          <w:sz w:val="24"/>
          <w:szCs w:val="24"/>
          <w:highlight w:val="none"/>
        </w:rPr>
        <w:t>月</w:t>
      </w:r>
      <w:r>
        <w:rPr>
          <w:rFonts w:hint="eastAsia" w:ascii="仿宋_GB2312" w:hAnsi="仿宋" w:eastAsia="仿宋_GB2312" w:cs="Times New Roman"/>
          <w:sz w:val="24"/>
          <w:szCs w:val="24"/>
          <w:highlight w:val="none"/>
          <w:lang w:val="en-US" w:eastAsia="zh-CN"/>
        </w:rPr>
        <w:t>29</w:t>
      </w:r>
      <w:r>
        <w:rPr>
          <w:rFonts w:hint="eastAsia" w:ascii="仿宋_GB2312" w:hAnsi="仿宋" w:eastAsia="仿宋_GB2312" w:cs="Times New Roman"/>
          <w:sz w:val="24"/>
          <w:szCs w:val="24"/>
          <w:highlight w:val="none"/>
        </w:rPr>
        <w:t>日 ，每天</w:t>
      </w:r>
      <w:r>
        <w:rPr>
          <w:rFonts w:hint="eastAsia" w:ascii="仿宋_GB2312" w:hAnsi="仿宋" w:eastAsia="仿宋_GB2312" w:cs="Times New Roman"/>
          <w:sz w:val="24"/>
          <w:szCs w:val="24"/>
        </w:rPr>
        <w:t>上午00:00至12:00 ，下午12:00至23:59（北京时间，线上获取法定节假日均可，线下获取文件法定节假日除外）</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地点（网址）：</w:t>
      </w:r>
      <w:r>
        <w:rPr>
          <w:rFonts w:hint="eastAsia" w:ascii="仿宋_GB2312" w:hAnsi="仿宋" w:eastAsia="仿宋_GB2312" w:cs="Times New Roman"/>
          <w:b w:val="0"/>
          <w:bCs/>
          <w:sz w:val="24"/>
          <w:szCs w:val="24"/>
          <w:lang w:eastAsia="zh-CN"/>
        </w:rPr>
        <w:t>浙江政府采购网</w:t>
      </w:r>
      <w:r>
        <w:rPr>
          <w:rFonts w:hint="eastAsia" w:ascii="仿宋_GB2312" w:hAnsi="仿宋" w:eastAsia="仿宋_GB2312" w:cs="Times New Roman"/>
          <w:sz w:val="24"/>
          <w:szCs w:val="24"/>
        </w:rPr>
        <w:t xml:space="preserve">（https://zfcg.czt.zj.gov.cn/）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方式：</w:t>
      </w:r>
      <w:r>
        <w:rPr>
          <w:rFonts w:hint="eastAsia" w:ascii="仿宋_GB2312" w:hAnsi="仿宋" w:eastAsia="仿宋_GB2312" w:cs="Times New Roman"/>
          <w:sz w:val="24"/>
          <w:szCs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售价（元）：</w:t>
      </w:r>
      <w:r>
        <w:rPr>
          <w:rFonts w:hint="eastAsia" w:ascii="仿宋_GB2312" w:hAnsi="仿宋" w:eastAsia="仿宋_GB2312" w:cs="Times New Roman"/>
          <w:sz w:val="24"/>
          <w:szCs w:val="24"/>
        </w:rPr>
        <w:t xml:space="preserve">0 </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四、提交投标文件截止时间、开标时间和地点</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rPr>
        <w:t>提交投标文件截止时间：</w:t>
      </w:r>
      <w:r>
        <w:rPr>
          <w:rFonts w:hint="eastAsia" w:ascii="仿宋_GB2312" w:hAnsi="仿宋" w:eastAsia="仿宋_GB2312" w:cs="Times New Roman"/>
          <w:sz w:val="24"/>
          <w:szCs w:val="24"/>
          <w:u w:val="single"/>
        </w:rPr>
        <w:t>202</w:t>
      </w:r>
      <w:r>
        <w:rPr>
          <w:rFonts w:hint="eastAsia" w:ascii="仿宋_GB2312" w:hAnsi="仿宋" w:eastAsia="仿宋_GB2312" w:cs="Times New Roman"/>
          <w:sz w:val="24"/>
          <w:szCs w:val="24"/>
          <w:highlight w:val="none"/>
          <w:u w:val="single"/>
        </w:rPr>
        <w:t>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r>
        <w:rPr>
          <w:rFonts w:hint="eastAsia" w:ascii="仿宋_GB2312" w:hAnsi="仿宋" w:eastAsia="仿宋_GB2312" w:cs="Times New Roman"/>
          <w:sz w:val="24"/>
          <w:szCs w:val="24"/>
          <w:highlight w:val="none"/>
        </w:rPr>
        <w:t>（北京时间）</w:t>
      </w:r>
    </w:p>
    <w:p>
      <w:pPr>
        <w:adjustRightInd w:val="0"/>
        <w:spacing w:line="360" w:lineRule="auto"/>
        <w:ind w:firstLine="482" w:firstLineChars="200"/>
        <w:rPr>
          <w:rFonts w:ascii="仿宋_GB2312" w:hAnsi="仿宋" w:eastAsia="仿宋_GB2312" w:cs="Times New Roman"/>
          <w:b/>
          <w:sz w:val="24"/>
          <w:szCs w:val="24"/>
          <w:highlight w:val="none"/>
        </w:rPr>
      </w:pPr>
      <w:r>
        <w:rPr>
          <w:rFonts w:hint="eastAsia" w:ascii="仿宋_GB2312" w:hAnsi="仿宋" w:eastAsia="仿宋_GB2312" w:cs="Times New Roman"/>
          <w:b/>
          <w:sz w:val="24"/>
          <w:szCs w:val="24"/>
          <w:highlight w:val="none"/>
        </w:rPr>
        <w:t>投标地点（网址）：</w:t>
      </w:r>
      <w:r>
        <w:rPr>
          <w:rFonts w:hint="eastAsia" w:ascii="仿宋_GB2312" w:hAnsi="仿宋" w:eastAsia="仿宋_GB2312" w:cs="Times New Roman"/>
          <w:sz w:val="24"/>
          <w:szCs w:val="24"/>
          <w:highlight w:val="none"/>
        </w:rPr>
        <w:t xml:space="preserve">政采云平台（https://www.zcygov.cn/） </w:t>
      </w:r>
    </w:p>
    <w:p>
      <w:pPr>
        <w:adjustRightInd w:val="0"/>
        <w:spacing w:line="360" w:lineRule="auto"/>
        <w:ind w:firstLine="482" w:firstLineChars="200"/>
        <w:rPr>
          <w:rFonts w:ascii="仿宋_GB2312" w:hAnsi="仿宋" w:eastAsia="仿宋_GB2312" w:cs="Times New Roman"/>
          <w:sz w:val="24"/>
          <w:szCs w:val="24"/>
          <w:highlight w:val="none"/>
        </w:rPr>
      </w:pPr>
      <w:r>
        <w:rPr>
          <w:rFonts w:hint="eastAsia" w:ascii="仿宋_GB2312" w:hAnsi="仿宋" w:eastAsia="仿宋_GB2312" w:cs="Times New Roman"/>
          <w:b/>
          <w:sz w:val="24"/>
          <w:szCs w:val="24"/>
          <w:highlight w:val="none"/>
        </w:rPr>
        <w:t>开标时间：</w:t>
      </w:r>
      <w:r>
        <w:rPr>
          <w:rFonts w:hint="eastAsia" w:ascii="仿宋_GB2312" w:hAnsi="仿宋" w:eastAsia="仿宋_GB2312" w:cs="Times New Roman"/>
          <w:sz w:val="24"/>
          <w:szCs w:val="24"/>
          <w:highlight w:val="none"/>
          <w:u w:val="single"/>
        </w:rPr>
        <w:t>2021年</w:t>
      </w:r>
      <w:r>
        <w:rPr>
          <w:rFonts w:hint="eastAsia" w:ascii="仿宋_GB2312" w:hAnsi="仿宋" w:eastAsia="仿宋_GB2312" w:cs="Times New Roman"/>
          <w:sz w:val="24"/>
          <w:szCs w:val="24"/>
          <w:highlight w:val="none"/>
          <w:u w:val="single"/>
          <w:lang w:val="en-US" w:eastAsia="zh-CN"/>
        </w:rPr>
        <w:t>12</w:t>
      </w:r>
      <w:r>
        <w:rPr>
          <w:rFonts w:hint="eastAsia" w:ascii="仿宋_GB2312" w:hAnsi="仿宋" w:eastAsia="仿宋_GB2312" w:cs="Times New Roman"/>
          <w:sz w:val="24"/>
          <w:szCs w:val="24"/>
          <w:highlight w:val="none"/>
          <w:u w:val="single"/>
        </w:rPr>
        <w:t>月</w:t>
      </w:r>
      <w:r>
        <w:rPr>
          <w:rFonts w:hint="eastAsia" w:ascii="仿宋_GB2312" w:hAnsi="仿宋" w:eastAsia="仿宋_GB2312" w:cs="Times New Roman"/>
          <w:sz w:val="24"/>
          <w:szCs w:val="24"/>
          <w:highlight w:val="none"/>
          <w:u w:val="single"/>
          <w:lang w:val="en-US" w:eastAsia="zh-CN"/>
        </w:rPr>
        <w:t>29</w:t>
      </w:r>
      <w:r>
        <w:rPr>
          <w:rFonts w:hint="eastAsia" w:ascii="仿宋_GB2312" w:hAnsi="仿宋" w:eastAsia="仿宋_GB2312" w:cs="Times New Roman"/>
          <w:sz w:val="24"/>
          <w:szCs w:val="24"/>
          <w:highlight w:val="none"/>
          <w:u w:val="single"/>
        </w:rPr>
        <w:t>日</w:t>
      </w:r>
      <w:r>
        <w:rPr>
          <w:rFonts w:hint="eastAsia" w:ascii="仿宋_GB2312" w:hAnsi="仿宋" w:eastAsia="仿宋_GB2312" w:cs="Times New Roman"/>
          <w:sz w:val="24"/>
          <w:szCs w:val="24"/>
          <w:highlight w:val="none"/>
          <w:u w:val="single"/>
          <w:lang w:val="en-US" w:eastAsia="zh-CN"/>
        </w:rPr>
        <w:t>13</w:t>
      </w:r>
      <w:r>
        <w:rPr>
          <w:rFonts w:hint="eastAsia" w:ascii="仿宋_GB2312" w:hAnsi="仿宋" w:eastAsia="仿宋_GB2312" w:cs="Times New Roman"/>
          <w:sz w:val="24"/>
          <w:szCs w:val="24"/>
          <w:highlight w:val="none"/>
          <w:u w:val="single"/>
        </w:rPr>
        <w:t>点</w:t>
      </w:r>
      <w:r>
        <w:rPr>
          <w:rFonts w:hint="eastAsia" w:ascii="仿宋_GB2312" w:hAnsi="仿宋" w:eastAsia="仿宋_GB2312" w:cs="Times New Roman"/>
          <w:sz w:val="24"/>
          <w:szCs w:val="24"/>
          <w:highlight w:val="none"/>
          <w:u w:val="single"/>
          <w:lang w:val="en-US" w:eastAsia="zh-CN"/>
        </w:rPr>
        <w:t>30</w:t>
      </w:r>
      <w:r>
        <w:rPr>
          <w:rFonts w:hint="eastAsia" w:ascii="仿宋_GB2312" w:hAnsi="仿宋" w:eastAsia="仿宋_GB2312" w:cs="Times New Roman"/>
          <w:sz w:val="24"/>
          <w:szCs w:val="24"/>
          <w:highlight w:val="none"/>
          <w:u w:val="single"/>
        </w:rPr>
        <w:t>分00秒</w:t>
      </w:r>
    </w:p>
    <w:p>
      <w:pPr>
        <w:adjustRightInd w:val="0"/>
        <w:spacing w:line="360" w:lineRule="auto"/>
        <w:ind w:firstLine="482" w:firstLineChars="200"/>
        <w:rPr>
          <w:rFonts w:ascii="仿宋_GB2312" w:hAnsi="仿宋" w:eastAsia="仿宋_GB2312" w:cs="Times New Roman"/>
          <w:sz w:val="24"/>
          <w:szCs w:val="24"/>
        </w:rPr>
      </w:pPr>
      <w:r>
        <w:rPr>
          <w:rFonts w:hint="eastAsia" w:ascii="仿宋_GB2312" w:hAnsi="仿宋" w:eastAsia="仿宋_GB2312" w:cs="Times New Roman"/>
          <w:b/>
          <w:sz w:val="24"/>
          <w:szCs w:val="24"/>
        </w:rPr>
        <w:t>开标地点（网址）：</w:t>
      </w:r>
      <w:r>
        <w:rPr>
          <w:rFonts w:hint="eastAsia" w:ascii="仿宋_GB2312" w:hAnsi="仿宋" w:eastAsia="仿宋_GB2312" w:cs="Times New Roman"/>
          <w:sz w:val="24"/>
          <w:szCs w:val="24"/>
        </w:rPr>
        <w:t>杭州市公共资源交易中心</w:t>
      </w:r>
      <w:r>
        <w:rPr>
          <w:rFonts w:hint="eastAsia" w:ascii="仿宋_GB2312" w:hAnsi="仿宋" w:eastAsia="仿宋_GB2312" w:cs="Times New Roman"/>
          <w:color w:val="auto"/>
          <w:sz w:val="24"/>
          <w:szCs w:val="24"/>
          <w:lang w:eastAsia="zh-CN"/>
        </w:rPr>
        <w:t>临安分中心</w:t>
      </w:r>
      <w:r>
        <w:rPr>
          <w:rFonts w:hint="eastAsia" w:ascii="仿宋_GB2312" w:hAnsi="仿宋" w:eastAsia="仿宋_GB2312" w:cs="Times New Roman"/>
          <w:color w:val="auto"/>
          <w:sz w:val="24"/>
          <w:szCs w:val="24"/>
          <w:lang w:val="en-US" w:eastAsia="zh-CN"/>
        </w:rPr>
        <w:t>1号</w:t>
      </w:r>
      <w:r>
        <w:rPr>
          <w:rFonts w:hint="eastAsia" w:ascii="仿宋_GB2312" w:hAnsi="仿宋" w:eastAsia="仿宋_GB2312" w:cs="Times New Roman"/>
          <w:color w:val="auto"/>
          <w:sz w:val="24"/>
          <w:szCs w:val="24"/>
        </w:rPr>
        <w:t>开标室[杭州市</w:t>
      </w:r>
      <w:r>
        <w:rPr>
          <w:rFonts w:hint="eastAsia" w:ascii="仿宋_GB2312" w:hAnsi="仿宋" w:eastAsia="仿宋_GB2312" w:cs="Times New Roman"/>
          <w:color w:val="auto"/>
          <w:sz w:val="24"/>
          <w:szCs w:val="24"/>
          <w:lang w:eastAsia="zh-CN"/>
        </w:rPr>
        <w:t>临安区锦北街道科技大道</w:t>
      </w:r>
      <w:r>
        <w:rPr>
          <w:rFonts w:hint="eastAsia" w:ascii="仿宋_GB2312" w:hAnsi="仿宋" w:eastAsia="仿宋_GB2312" w:cs="Times New Roman"/>
          <w:color w:val="auto"/>
          <w:sz w:val="24"/>
          <w:szCs w:val="24"/>
          <w:lang w:val="en-US" w:eastAsia="zh-CN"/>
        </w:rPr>
        <w:t>4398号市民中心B座4楼</w:t>
      </w:r>
      <w:r>
        <w:rPr>
          <w:rFonts w:hint="eastAsia" w:ascii="仿宋_GB2312" w:hAnsi="仿宋" w:eastAsia="仿宋_GB2312" w:cs="Times New Roman"/>
          <w:color w:val="auto"/>
          <w:sz w:val="24"/>
          <w:szCs w:val="24"/>
        </w:rPr>
        <w:t>]， 政采云平台（https://www.zcygov.cn/）</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 xml:space="preserve">五、公告期限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自本公告发布之日起5个工作日。</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六、其他补充事宜</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2.其他事项： 2.1落实政府采购政策：包括保护环境、节约能源、促进中小企业发展等。详见招标文件的第二部分总则。为支持和促进中小企业发展，杭州市财政局出台了政府采购信用融资政策，供应商可凭中标合同申请贷款，利率一般为不高于基准利率上浮10%。具体可登录http://220.191.208.230/login.do办理业务。 2.2电子招投标的说明：2.2.1采购人、采购机构将依托政采云平台完成本项目的电子交易活动，平台不接受未按上述方式获取招标文件的供应商进行投标活动； 2.2.2对未按上述方式获取招标文件的供应商对该文件提出的质疑，采购人或采购代理机构将不予处理；2.2.3不提供招标文件纸质版；2.2.4电子招投标：本项目以数据电文形式，依托“政府采购云平台（www.zcygov.cn）”进行招投标活动，不接受纸质投标文件；2.2.5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2.2.6招标文件的获取：使用账号登录或者使用CA登录政采云平台；进入“项目采购”应用，在获取采购文件菜单中选择项目，获取招标文件；2.2.7投标文件的制作：在“政采云电子交易客户端”中完成“填写基本信息”、“导入投标文件”、“标书关联”、“标书检查”、“电子签名”、“生成电子标书”等操作；2.2.8投标文件的传输递交：投标人在投标截止时间前将加密的投标文件上传至政府采购云平台，还可以在投标截止时间前直接提交或者以邮政快递方式递交备份投标文件1份；备份投标文的制作、存储、密封详见招标文件第二部分第15点—“备份投标文件”；2.2.9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2.2.10具体操作指南：详见政采云平台“服务中心-帮助文档-项目采购-操作流程-电子招投标-政府采购项目电子交易管理操作指南-供应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七、对本次采购提出询问、质疑、投诉，请按以下方式联系</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1.采购人信息</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称：杭州市公安局临安区分局交通警察大队</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w:t>
      </w:r>
      <w:r>
        <w:rPr>
          <w:rFonts w:ascii="仿宋_GB2312" w:hAnsi="仿宋" w:eastAsia="仿宋_GB2312" w:cs="Times New Roman"/>
          <w:sz w:val="24"/>
          <w:szCs w:val="24"/>
        </w:rPr>
        <w:t xml:space="preserve">    </w:t>
      </w:r>
      <w:r>
        <w:rPr>
          <w:rFonts w:hint="eastAsia" w:ascii="仿宋_GB2312" w:hAnsi="仿宋" w:eastAsia="仿宋_GB2312" w:cs="Times New Roman"/>
          <w:sz w:val="24"/>
          <w:szCs w:val="24"/>
        </w:rPr>
        <w:t>址：马溪路667号</w:t>
      </w:r>
      <w:r>
        <w:rPr>
          <w:rFonts w:hint="eastAsia" w:ascii="仿宋" w:hAnsi="仿宋" w:eastAsia="仿宋" w:cs="仿宋"/>
          <w:sz w:val="24"/>
        </w:rPr>
        <w:t xml:space="preserve"> </w:t>
      </w:r>
    </w:p>
    <w:p>
      <w:pPr>
        <w:adjustRightInd w:val="0"/>
        <w:spacing w:line="360" w:lineRule="auto"/>
        <w:ind w:firstLine="480"/>
        <w:rPr>
          <w:rFonts w:ascii="仿宋" w:hAnsi="仿宋" w:eastAsia="仿宋" w:cs="仿宋"/>
          <w:sz w:val="24"/>
        </w:rPr>
      </w:pPr>
      <w:r>
        <w:rPr>
          <w:rFonts w:ascii="仿宋_GB2312" w:hAnsi="仿宋" w:eastAsia="仿宋_GB2312" w:cs="Times New Roman"/>
          <w:sz w:val="24"/>
          <w:szCs w:val="24"/>
        </w:rPr>
        <w:t>传    真：</w:t>
      </w:r>
      <w:r>
        <w:rPr>
          <w:rFonts w:hint="eastAsia" w:ascii="仿宋_GB2312" w:hAnsi="仿宋" w:eastAsia="仿宋_GB2312" w:cs="Times New Roman"/>
          <w:sz w:val="24"/>
          <w:szCs w:val="24"/>
          <w:lang w:val="en-US" w:eastAsia="zh-CN"/>
        </w:rPr>
        <w:t>/</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项目联系人（询问）：凌雨田</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ascii="仿宋_GB2312" w:hAnsi="仿宋" w:eastAsia="仿宋_GB2312" w:cs="Times New Roman"/>
          <w:sz w:val="24"/>
          <w:szCs w:val="24"/>
        </w:rPr>
        <w:t xml:space="preserve">    项目联系方式（询问）：0571-63817268</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质疑联系人：沈妙雨</w:t>
      </w:r>
      <w:r>
        <w:rPr>
          <w:rFonts w:hint="eastAsia" w:ascii="仿宋" w:hAnsi="仿宋" w:eastAsia="仿宋" w:cs="仿宋"/>
          <w:sz w:val="24"/>
        </w:rPr>
        <w:t xml:space="preserve"> </w:t>
      </w:r>
    </w:p>
    <w:p>
      <w:pPr>
        <w:adjustRightInd w:val="0"/>
        <w:spacing w:line="360" w:lineRule="auto"/>
        <w:ind w:firstLine="480"/>
        <w:rPr>
          <w:rFonts w:ascii="仿宋_GB2312" w:hAnsi="仿宋" w:eastAsia="仿宋_GB2312" w:cs="Times New Roman"/>
          <w:sz w:val="24"/>
          <w:szCs w:val="24"/>
        </w:rPr>
      </w:pPr>
      <w:r>
        <w:rPr>
          <w:rFonts w:ascii="仿宋_GB2312" w:hAnsi="仿宋" w:eastAsia="仿宋_GB2312" w:cs="Times New Roman"/>
          <w:sz w:val="24"/>
          <w:szCs w:val="24"/>
        </w:rPr>
        <w:t>质疑联系方式：0571-63817268</w:t>
      </w:r>
      <w:r>
        <w:rPr>
          <w:rFonts w:hint="eastAsia" w:ascii="仿宋" w:hAnsi="仿宋" w:eastAsia="仿宋" w:cs="仿宋"/>
          <w:sz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2.采购代理机构信息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称：杭州市公共资源交易中心</w:t>
      </w:r>
      <w:r>
        <w:rPr>
          <w:rFonts w:hint="eastAsia" w:ascii="仿宋_GB2312" w:hAnsi="仿宋" w:eastAsia="仿宋_GB2312" w:cs="Times New Roman"/>
          <w:sz w:val="24"/>
          <w:szCs w:val="24"/>
          <w:lang w:eastAsia="zh-CN"/>
        </w:rPr>
        <w:t>临安分中心</w:t>
      </w:r>
      <w:r>
        <w:rPr>
          <w:rFonts w:hint="eastAsia" w:ascii="仿宋_GB2312" w:hAnsi="仿宋" w:eastAsia="仿宋_GB2312" w:cs="Times New Roman"/>
          <w:sz w:val="24"/>
          <w:szCs w:val="24"/>
        </w:rPr>
        <w:t xml:space="preserve">             </w:t>
      </w:r>
    </w:p>
    <w:p>
      <w:pPr>
        <w:adjustRightIn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 xml:space="preserve">    地    址：</w:t>
      </w:r>
      <w:r>
        <w:rPr>
          <w:rFonts w:hint="eastAsia" w:ascii="仿宋_GB2312" w:hAnsi="仿宋" w:eastAsia="仿宋_GB2312" w:cs="Times New Roman"/>
          <w:sz w:val="24"/>
          <w:szCs w:val="24"/>
          <w:lang w:eastAsia="zh-CN"/>
        </w:rPr>
        <w:t>浙江省杭州市临安区锦北街道科技大道</w:t>
      </w:r>
      <w:r>
        <w:rPr>
          <w:rFonts w:hint="eastAsia" w:ascii="仿宋_GB2312" w:hAnsi="仿宋" w:eastAsia="仿宋_GB2312" w:cs="Times New Roman"/>
          <w:sz w:val="24"/>
          <w:szCs w:val="24"/>
          <w:lang w:val="en-US" w:eastAsia="zh-CN"/>
        </w:rPr>
        <w:t>4398号市民中心4楼</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w:t>
      </w:r>
      <w:r>
        <w:rPr>
          <w:rFonts w:hint="eastAsia" w:ascii="仿宋_GB2312" w:hAnsi="仿宋" w:eastAsia="仿宋_GB2312" w:cs="Times New Roman"/>
          <w:sz w:val="24"/>
          <w:szCs w:val="24"/>
          <w:lang w:val="en-US" w:eastAsia="zh-CN"/>
        </w:rPr>
        <w:t>0571-23616016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项目联系人（询问）：</w:t>
      </w:r>
      <w:r>
        <w:rPr>
          <w:rFonts w:hint="eastAsia" w:ascii="仿宋_GB2312" w:hAnsi="仿宋" w:eastAsia="仿宋_GB2312" w:cs="Times New Roman"/>
          <w:sz w:val="24"/>
          <w:szCs w:val="24"/>
          <w:lang w:eastAsia="zh-CN"/>
        </w:rPr>
        <w:t>杨颖</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项目联系方式（询问）：</w:t>
      </w:r>
      <w:r>
        <w:rPr>
          <w:rFonts w:hint="eastAsia" w:ascii="仿宋_GB2312" w:hAnsi="仿宋" w:eastAsia="仿宋_GB2312" w:cs="Times New Roman"/>
          <w:sz w:val="24"/>
          <w:szCs w:val="24"/>
          <w:lang w:val="en-US" w:eastAsia="zh-CN"/>
        </w:rPr>
        <w:t>0571-23616011</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质疑联系人：</w:t>
      </w:r>
      <w:r>
        <w:rPr>
          <w:rFonts w:hint="eastAsia" w:ascii="仿宋_GB2312" w:hAnsi="仿宋" w:eastAsia="仿宋_GB2312" w:cs="Times New Roman"/>
          <w:sz w:val="24"/>
          <w:szCs w:val="24"/>
          <w:lang w:eastAsia="zh-CN"/>
        </w:rPr>
        <w:t>张晨</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质疑联系方式：0571-</w:t>
      </w:r>
      <w:r>
        <w:rPr>
          <w:rFonts w:hint="eastAsia" w:ascii="仿宋_GB2312" w:hAnsi="仿宋" w:eastAsia="仿宋_GB2312" w:cs="Times New Roman"/>
          <w:sz w:val="24"/>
          <w:szCs w:val="24"/>
          <w:lang w:val="en-US" w:eastAsia="zh-CN"/>
        </w:rPr>
        <w:t>23616016</w:t>
      </w:r>
      <w:r>
        <w:rPr>
          <w:rFonts w:hint="eastAsia" w:ascii="仿宋_GB2312" w:hAnsi="仿宋" w:eastAsia="仿宋_GB2312" w:cs="Times New Roman"/>
          <w:sz w:val="24"/>
          <w:szCs w:val="24"/>
        </w:rPr>
        <w:t xml:space="preserve">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3.同级政府采购监督管理部门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名    称：杭州市临安区财政局政府采购监督管理科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地    址：</w:t>
      </w:r>
      <w:r>
        <w:rPr>
          <w:rFonts w:hint="eastAsia" w:ascii="仿宋_GB2312" w:hAnsi="仿宋" w:eastAsia="仿宋_GB2312"/>
          <w:sz w:val="24"/>
        </w:rPr>
        <w:t>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cs="Times New Roman"/>
          <w:sz w:val="24"/>
          <w:szCs w:val="24"/>
        </w:rPr>
        <w:t xml:space="preserve"> </w:t>
      </w:r>
    </w:p>
    <w:p>
      <w:pPr>
        <w:adjustRightInd w:val="0"/>
        <w:spacing w:line="360" w:lineRule="auto"/>
        <w:ind w:firstLine="240" w:firstLineChars="100"/>
        <w:rPr>
          <w:rFonts w:ascii="仿宋_GB2312" w:hAnsi="仿宋" w:eastAsia="仿宋_GB2312" w:cs="Times New Roman"/>
          <w:sz w:val="24"/>
          <w:szCs w:val="24"/>
        </w:rPr>
      </w:pPr>
      <w:r>
        <w:rPr>
          <w:rFonts w:hint="eastAsia" w:ascii="仿宋_GB2312" w:hAnsi="仿宋" w:eastAsia="仿宋_GB2312" w:cs="Times New Roman"/>
          <w:sz w:val="24"/>
          <w:szCs w:val="24"/>
        </w:rPr>
        <w:t xml:space="preserve">  传    真：0571-63722886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联系人 ：喻伟建 </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 xml:space="preserve">    监督投诉电话：0571-61073953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 xml:space="preserve">若对项目采购电子交易系统操作有疑问，可登录政采云（https://www.zcygov.cn/），点击右侧咨询小采，获取采小蜜智能服务管家帮助，或拨打政采云服务热线400-881-7190获取热线服务帮助。       </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CA问题联系电话（人工）：汇信CA 400-888-4636；天谷CA 400-087-8198。</w:t>
      </w:r>
    </w:p>
    <w:p>
      <w:pPr>
        <w:adjustRightInd w:val="0"/>
        <w:spacing w:line="360" w:lineRule="auto"/>
        <w:ind w:firstLine="472" w:firstLineChars="196"/>
        <w:rPr>
          <w:rFonts w:ascii="仿宋_GB2312" w:hAnsi="仿宋" w:eastAsia="仿宋_GB2312" w:cs="仿宋_GB2312"/>
          <w:b/>
          <w:snapToGrid w:val="0"/>
          <w:sz w:val="24"/>
          <w:szCs w:val="24"/>
        </w:rPr>
      </w:pPr>
    </w:p>
    <w:p>
      <w:pPr>
        <w:adjustRightInd w:val="0"/>
        <w:spacing w:line="360" w:lineRule="auto"/>
        <w:ind w:firstLine="200"/>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p>
    <w:p>
      <w:pPr>
        <w:adjustRightInd w:val="0"/>
        <w:spacing w:line="360" w:lineRule="auto"/>
        <w:ind w:firstLine="200"/>
        <w:jc w:val="center"/>
        <w:rPr>
          <w:rFonts w:ascii="仿宋_GB2312" w:hAnsi="仿宋" w:eastAsia="仿宋_GB2312" w:cs="仿宋_GB2312"/>
          <w:snapToGrid w:val="0"/>
          <w:sz w:val="24"/>
          <w:szCs w:val="24"/>
        </w:rPr>
      </w:pPr>
      <w:r>
        <w:rPr>
          <w:rFonts w:hint="eastAsia" w:ascii="仿宋_GB2312" w:hAnsi="仿宋" w:eastAsia="仿宋_GB2312" w:cs="仿宋_GB2312"/>
          <w:sz w:val="24"/>
          <w:szCs w:val="24"/>
        </w:rPr>
        <w:t xml:space="preserve">                     </w:t>
      </w:r>
    </w:p>
    <w:p>
      <w:pPr>
        <w:spacing w:line="360" w:lineRule="auto"/>
        <w:jc w:val="center"/>
        <w:outlineLvl w:val="0"/>
        <w:rPr>
          <w:rFonts w:ascii="仿宋_GB2312" w:hAnsi="仿宋" w:eastAsia="仿宋_GB2312" w:cs="仿宋_GB2312"/>
          <w:b/>
          <w:sz w:val="36"/>
          <w:szCs w:val="20"/>
        </w:rPr>
      </w:pPr>
      <w:r>
        <w:rPr>
          <w:rFonts w:hint="eastAsia" w:ascii="仿宋_GB2312" w:hAnsi="仿宋" w:eastAsia="仿宋_GB2312" w:cs="仿宋_GB2312"/>
          <w:b/>
          <w:sz w:val="36"/>
          <w:szCs w:val="20"/>
        </w:rPr>
        <w:br w:type="page"/>
      </w:r>
      <w:r>
        <w:rPr>
          <w:rFonts w:hint="eastAsia" w:ascii="仿宋_GB2312" w:hAnsi="仿宋" w:eastAsia="仿宋_GB2312" w:cs="仿宋_GB2312"/>
          <w:b/>
          <w:sz w:val="36"/>
          <w:szCs w:val="20"/>
        </w:rPr>
        <w:t>第二部分</w:t>
      </w:r>
      <w:bookmarkEnd w:id="7"/>
      <w:r>
        <w:rPr>
          <w:rFonts w:hint="eastAsia" w:ascii="仿宋_GB2312" w:hAnsi="仿宋" w:eastAsia="仿宋_GB2312" w:cs="仿宋_GB2312"/>
          <w:b/>
          <w:sz w:val="36"/>
          <w:szCs w:val="20"/>
        </w:rPr>
        <w:t xml:space="preserve"> 投标人须知</w:t>
      </w:r>
      <w:bookmarkEnd w:id="8"/>
    </w:p>
    <w:p>
      <w:pPr>
        <w:adjustRightInd w:val="0"/>
        <w:snapToGrid w:val="0"/>
        <w:spacing w:line="360" w:lineRule="auto"/>
        <w:jc w:val="center"/>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2"/>
        <w:tblW w:w="855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kern w:val="0"/>
                <w:sz w:val="24"/>
                <w:szCs w:val="24"/>
                <w:lang w:val="zh-CN"/>
              </w:rPr>
              <w:t>有关本项目建设所需费用均计入报价。</w:t>
            </w:r>
            <w:r>
              <w:rPr>
                <w:rFonts w:hint="eastAsia" w:ascii="仿宋_GB2312" w:hAnsi="仿宋" w:eastAsia="仿宋_GB2312" w:cs="Times New Roman"/>
                <w:sz w:val="24"/>
                <w:szCs w:val="24"/>
              </w:rPr>
              <w:t>《投标（开标）一览表》是报价的唯一载体</w:t>
            </w:r>
            <w:r>
              <w:rPr>
                <w:rFonts w:hint="eastAsia" w:ascii="仿宋_GB2312" w:hAnsi="仿宋" w:eastAsia="仿宋_GB2312" w:cs="仿宋_GB2312"/>
                <w:kern w:val="0"/>
                <w:sz w:val="24"/>
                <w:szCs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4"/>
                <w:lang w:val="zh-CN"/>
              </w:rPr>
              <w:t>。</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投标报价出现下列情形的，投标无效：</w:t>
            </w:r>
          </w:p>
          <w:p>
            <w:pPr>
              <w:adjustRightInd w:val="0"/>
              <w:snapToGrid w:val="0"/>
              <w:spacing w:line="360" w:lineRule="auto"/>
              <w:jc w:val="left"/>
              <w:rPr>
                <w:rFonts w:ascii="仿宋_GB2312" w:hAnsi="仿宋" w:eastAsia="仿宋_GB2312" w:cs="仿宋_GB2312"/>
                <w:b/>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kern w:val="0"/>
                <w:sz w:val="24"/>
                <w:szCs w:val="24"/>
                <w:lang w:val="zh-CN"/>
              </w:rPr>
              <w:t>投标文件出现不是唯一的、有选择性投标报价的；</w:t>
            </w:r>
          </w:p>
          <w:p>
            <w:pPr>
              <w:adjustRightInd w:val="0"/>
              <w:snapToGrid w:val="0"/>
              <w:spacing w:line="360" w:lineRule="auto"/>
              <w:jc w:val="left"/>
              <w:rPr>
                <w:rFonts w:ascii="仿宋_GB2312" w:hAnsi="仿宋" w:eastAsia="仿宋_GB2312" w:cs="仿宋_GB2312"/>
                <w:kern w:val="0"/>
                <w:sz w:val="24"/>
                <w:szCs w:val="24"/>
                <w:lang w:val="zh-CN"/>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4"/>
              </w:rPr>
              <w:t>投标报价高于本项目采购预算或者最高限价的;</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Times New Roman"/>
                <w:b/>
                <w:sz w:val="24"/>
                <w:szCs w:val="24"/>
              </w:rPr>
              <w:t>▲</w:t>
            </w:r>
            <w:r>
              <w:rPr>
                <w:rFonts w:hint="eastAsia" w:ascii="仿宋_GB2312" w:hAnsi="仿宋" w:eastAsia="仿宋_GB2312" w:cs="Arial"/>
                <w:b/>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仿宋_GB2312" w:hAnsi="仿宋" w:eastAsia="仿宋_GB2312" w:cs="仿宋_GB2312"/>
                <w:b/>
                <w:sz w:val="24"/>
                <w:szCs w:val="21"/>
              </w:rPr>
              <w:t>;</w:t>
            </w:r>
          </w:p>
          <w:p>
            <w:pPr>
              <w:adjustRightInd w:val="0"/>
              <w:spacing w:line="360" w:lineRule="auto"/>
              <w:rPr>
                <w:rFonts w:ascii="仿宋_GB2312" w:hAnsi="仿宋" w:eastAsia="仿宋_GB2312" w:cs="仿宋_GB2312"/>
                <w:sz w:val="24"/>
                <w:szCs w:val="21"/>
              </w:rPr>
            </w:pPr>
            <w:r>
              <w:rPr>
                <w:rFonts w:hint="eastAsia" w:ascii="仿宋_GB2312" w:hAnsi="仿宋" w:eastAsia="仿宋_GB2312" w:cs="Times New Roman"/>
                <w:b/>
                <w:sz w:val="24"/>
                <w:szCs w:val="24"/>
              </w:rPr>
              <w:t>▲《投标（开标）一览表》填写不完整或字迹不能辨认或有漏项的；</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Arial"/>
                <w:b/>
                <w:kern w:val="0"/>
                <w:sz w:val="24"/>
                <w:szCs w:val="24"/>
              </w:rPr>
              <w:t>▲投标人对根据修正原则修正后的报价不确认的</w:t>
            </w:r>
            <w:r>
              <w:rPr>
                <w:rFonts w:hint="eastAsia" w:ascii="仿宋_GB2312" w:hAnsi="仿宋"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（1）采购人不同意分包</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Times New Roman"/>
                <w:sz w:val="24"/>
                <w:szCs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02" w:hRule="atLeast"/>
          <w:tblHeader/>
        </w:trPr>
        <w:tc>
          <w:tcPr>
            <w:tcW w:w="629" w:type="dxa"/>
            <w:vMerge w:val="restart"/>
            <w:tcBorders>
              <w:top w:val="single" w:color="auto" w:sz="4" w:space="0"/>
              <w:left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投标人应当提供的资格、资信证明文件</w:t>
            </w:r>
          </w:p>
        </w:tc>
        <w:tc>
          <w:tcPr>
            <w:tcW w:w="6079" w:type="dxa"/>
            <w:tcBorders>
              <w:top w:val="single" w:color="000000" w:sz="8" w:space="0"/>
              <w:left w:val="single" w:color="000000" w:sz="2" w:space="0"/>
              <w:bottom w:val="single" w:color="auto" w:sz="4"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（1）资格证明文件：见招标文件第二部分</w:t>
            </w:r>
            <w:r>
              <w:rPr>
                <w:rFonts w:hint="eastAsia" w:ascii="仿宋_GB2312" w:hAnsi="仿宋" w:eastAsia="仿宋_GB2312" w:cs="仿宋_GB2312"/>
                <w:sz w:val="24"/>
                <w:szCs w:val="24"/>
              </w:rPr>
              <w:t>11.1。</w:t>
            </w:r>
          </w:p>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w:t>
            </w:r>
            <w:r>
              <w:rPr>
                <w:rFonts w:hint="eastAsia" w:ascii="仿宋_GB2312" w:hAnsi="仿宋" w:eastAsia="仿宋_GB2312" w:cs="仿宋_GB2312"/>
                <w:b/>
                <w:sz w:val="24"/>
                <w:szCs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52" w:hRule="atLeast"/>
          <w:tblHeader/>
        </w:trPr>
        <w:tc>
          <w:tcPr>
            <w:tcW w:w="629" w:type="dxa"/>
            <w:vMerge w:val="continue"/>
            <w:tcBorders>
              <w:left w:val="single" w:color="auto" w:sz="4" w:space="0"/>
              <w:bottom w:val="single" w:color="auto" w:sz="4" w:space="0"/>
              <w:right w:val="single" w:color="auto" w:sz="4" w:space="0"/>
            </w:tcBorders>
          </w:tcPr>
          <w:p>
            <w:pPr>
              <w:adjustRightInd w:val="0"/>
              <w:snapToGrid w:val="0"/>
              <w:spacing w:line="360" w:lineRule="auto"/>
              <w:jc w:val="center"/>
              <w:rPr>
                <w:rFonts w:ascii="仿宋_GB2312" w:hAnsi="仿宋" w:eastAsia="仿宋_GB2312" w:cs="仿宋_GB2312"/>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p>
        </w:tc>
        <w:tc>
          <w:tcPr>
            <w:tcW w:w="6079" w:type="dxa"/>
            <w:tcBorders>
              <w:top w:val="single" w:color="auto" w:sz="4"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highlight w:val="none"/>
              </w:rPr>
            </w:pPr>
            <w:r>
              <w:rPr>
                <w:rFonts w:hint="eastAsia" w:ascii="仿宋_GB2312" w:hAnsi="仿宋" w:eastAsia="仿宋_GB2312" w:cs="仿宋_GB2312"/>
                <w:b/>
                <w:sz w:val="24"/>
                <w:szCs w:val="24"/>
                <w:highlight w:val="none"/>
              </w:rPr>
              <w:t>开标前答疑会或现场考察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Arial"/>
                <w:snapToGrid w:val="0"/>
                <w:sz w:val="24"/>
                <w:szCs w:val="20"/>
                <w:highlight w:val="none"/>
              </w:rPr>
            </w:pPr>
            <w:r>
              <w:rPr>
                <w:rFonts w:hint="eastAsia" w:ascii="仿宋_GB2312" w:hAnsi="仿宋" w:eastAsia="仿宋_GB2312" w:cs="Times New Roman"/>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jc w:val="left"/>
              <w:rPr>
                <w:rFonts w:hint="eastAsia" w:ascii="仿宋_GB2312" w:hAnsi="仿宋" w:eastAsia="仿宋_GB2312" w:cs="Times New Roman"/>
                <w:b/>
                <w:sz w:val="24"/>
                <w:szCs w:val="24"/>
                <w:lang w:eastAsia="zh-CN"/>
              </w:rPr>
            </w:pPr>
            <w:r>
              <w:rPr>
                <w:rFonts w:hint="eastAsia" w:ascii="仿宋_GB2312" w:hAnsi="仿宋" w:eastAsia="仿宋_GB2312" w:cs="Arial"/>
                <w:snapToGrid w:val="0"/>
                <w:sz w:val="24"/>
                <w:szCs w:val="21"/>
                <w:lang w:eastAsia="zh-CN"/>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Cs/>
                <w:sz w:val="24"/>
                <w:szCs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tabs>
                <w:tab w:val="left" w:pos="0"/>
              </w:tabs>
              <w:kinsoku/>
              <w:wordWrap/>
              <w:overflowPunct/>
              <w:topLinePunct w:val="0"/>
              <w:bidi w:val="0"/>
              <w:spacing w:line="480" w:lineRule="atLeast"/>
              <w:textAlignment w:val="auto"/>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系统演示：由投标人自行准备相关演示环境，软件模型成功展现本次项目要求的功能，演示视频须制作成光盘或U盘，在投标截止前2021年</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lang w:val="zh-CN" w:eastAsia="zh-CN"/>
              </w:rPr>
              <w:t>月</w:t>
            </w:r>
            <w:r>
              <w:rPr>
                <w:rFonts w:hint="eastAsia" w:ascii="仿宋_GB2312" w:hAnsi="仿宋_GB2312" w:eastAsia="仿宋_GB2312" w:cs="仿宋_GB2312"/>
                <w:sz w:val="24"/>
                <w:szCs w:val="24"/>
                <w:highlight w:val="none"/>
                <w:lang w:val="en-US" w:eastAsia="zh-CN"/>
              </w:rPr>
              <w:t>29</w:t>
            </w:r>
            <w:r>
              <w:rPr>
                <w:rFonts w:hint="eastAsia" w:ascii="仿宋_GB2312" w:hAnsi="仿宋_GB2312" w:eastAsia="仿宋_GB2312" w:cs="仿宋_GB2312"/>
                <w:sz w:val="24"/>
                <w:szCs w:val="24"/>
                <w:highlight w:val="none"/>
                <w:lang w:val="zh-CN" w:eastAsia="zh-CN"/>
              </w:rPr>
              <w:t>日13:30提交至杭州市临安区行政服务中心B座四楼B448办公室，逾期拒收（演示均以真实系统或者DEMO形式演示，PPT、Word演示或未提供演示不得分）。</w:t>
            </w:r>
          </w:p>
          <w:p>
            <w:pPr>
              <w:keepNext w:val="0"/>
              <w:keepLines w:val="0"/>
              <w:pageBreakBefore w:val="0"/>
              <w:widowControl w:val="0"/>
              <w:tabs>
                <w:tab w:val="left" w:pos="0"/>
              </w:tabs>
              <w:kinsoku/>
              <w:wordWrap/>
              <w:overflowPunct/>
              <w:topLinePunct w:val="0"/>
              <w:bidi w:val="0"/>
              <w:spacing w:line="480" w:lineRule="atLeast"/>
              <w:textAlignment w:val="auto"/>
              <w:rPr>
                <w:rFonts w:ascii="仿宋_GB2312" w:hAnsi="仿宋" w:eastAsia="仿宋_GB2312" w:cs="仿宋_GB2312"/>
                <w:b/>
                <w:kern w:val="0"/>
                <w:sz w:val="24"/>
                <w:szCs w:val="20"/>
                <w:lang w:val="zh-CN"/>
              </w:rPr>
            </w:pPr>
            <w:r>
              <w:rPr>
                <w:rFonts w:hint="eastAsia" w:ascii="仿宋_GB2312" w:hAnsi="仿宋_GB2312" w:eastAsia="仿宋_GB2312" w:cs="仿宋_GB2312"/>
                <w:b/>
                <w:bCs/>
                <w:sz w:val="24"/>
                <w:szCs w:val="24"/>
                <w:highlight w:val="none"/>
                <w:lang w:val="zh-CN" w:eastAsia="zh-CN"/>
              </w:rPr>
              <w:t>注：演示视频需密封送达，评标阶段拆封演示，因响应方自身原因导致无法演示或者演示效果不理想的，责任自负。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服务类</w:t>
            </w:r>
            <w:r>
              <w:rPr>
                <w:rFonts w:hint="eastAsia" w:ascii="仿宋_GB2312" w:hAnsi="仿宋"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color w:val="auto"/>
                <w:sz w:val="24"/>
                <w:szCs w:val="24"/>
              </w:rPr>
              <w:t>采购标的：</w:t>
            </w:r>
            <w:r>
              <w:rPr>
                <w:rFonts w:hint="eastAsia" w:ascii="仿宋_GB2312" w:hAnsi="仿宋" w:eastAsia="仿宋_GB2312" w:cs="Times New Roman"/>
                <w:b/>
                <w:bCs/>
                <w:color w:val="auto"/>
                <w:sz w:val="24"/>
                <w:szCs w:val="24"/>
                <w:u w:val="single"/>
              </w:rPr>
              <w:t>交通警</w:t>
            </w:r>
            <w:r>
              <w:rPr>
                <w:rFonts w:hint="eastAsia" w:ascii="仿宋_GB2312" w:hAnsi="仿宋" w:eastAsia="仿宋_GB2312" w:cs="Times New Roman"/>
                <w:b/>
                <w:bCs/>
                <w:color w:val="auto"/>
                <w:sz w:val="24"/>
                <w:szCs w:val="24"/>
                <w:highlight w:val="none"/>
                <w:u w:val="single"/>
              </w:rPr>
              <w:t>察大队交通管理中心建设</w:t>
            </w:r>
            <w:r>
              <w:rPr>
                <w:rFonts w:hint="eastAsia" w:ascii="仿宋_GB2312" w:hAnsi="仿宋" w:eastAsia="仿宋_GB2312" w:cs="Times New Roman"/>
                <w:color w:val="auto"/>
                <w:sz w:val="24"/>
                <w:szCs w:val="24"/>
                <w:highlight w:val="none"/>
              </w:rPr>
              <w:t>，所属行业：</w:t>
            </w:r>
            <w:r>
              <w:rPr>
                <w:rFonts w:hint="eastAsia" w:ascii="仿宋_GB2312" w:hAnsi="仿宋" w:eastAsia="仿宋_GB2312" w:cs="Times New Roman"/>
                <w:b/>
                <w:bCs/>
                <w:color w:val="auto"/>
                <w:sz w:val="24"/>
                <w:szCs w:val="24"/>
                <w:highlight w:val="none"/>
                <w:u w:val="single"/>
                <w:lang w:eastAsia="zh-CN"/>
              </w:rPr>
              <w:t>软件和信息技术服务业</w:t>
            </w:r>
            <w:r>
              <w:rPr>
                <w:rFonts w:hint="eastAsia" w:ascii="仿宋_GB2312" w:hAnsi="仿宋" w:eastAsia="仿宋_GB2312"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adjustRightInd w:val="0"/>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根据《</w:t>
            </w:r>
            <w:r>
              <w:rPr>
                <w:rFonts w:hint="eastAsia" w:ascii="仿宋_GB2312" w:hAnsi="仿宋" w:eastAsia="仿宋_GB2312" w:cs="Times New Roman"/>
                <w:sz w:val="24"/>
                <w:szCs w:val="24"/>
                <w:highlight w:val="none"/>
              </w:rPr>
              <w:t>政府采购促进中小企业发展管理办法》财库〔</w:t>
            </w:r>
            <w:r>
              <w:rPr>
                <w:rFonts w:ascii="仿宋_GB2312" w:hAnsi="仿宋" w:eastAsia="仿宋_GB2312" w:cs="Times New Roman"/>
                <w:sz w:val="24"/>
                <w:szCs w:val="24"/>
                <w:highlight w:val="none"/>
              </w:rPr>
              <w:t>2020〕46号</w:t>
            </w:r>
            <w:r>
              <w:rPr>
                <w:rFonts w:hint="eastAsia" w:ascii="仿宋_GB2312" w:hAnsi="仿宋" w:eastAsia="仿宋_GB2312" w:cs="Times New Roman"/>
                <w:sz w:val="24"/>
                <w:szCs w:val="24"/>
                <w:highlight w:val="none"/>
              </w:rPr>
              <w:t>文件的规定，本项目不适宜预留份额专门面向中小企业采购。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adjustRightInd w:val="0"/>
              <w:spacing w:line="360" w:lineRule="auto"/>
              <w:rPr>
                <w:rFonts w:ascii="仿宋_GB2312" w:hAnsi="仿宋" w:eastAsia="仿宋_GB2312" w:cs="Times New Roman"/>
                <w:sz w:val="24"/>
                <w:szCs w:val="24"/>
              </w:rPr>
            </w:pP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tc>
      </w:tr>
    </w:tbl>
    <w:p>
      <w:pPr>
        <w:adjustRightInd w:val="0"/>
        <w:snapToGrid w:val="0"/>
        <w:spacing w:line="360" w:lineRule="auto"/>
        <w:jc w:val="center"/>
        <w:rPr>
          <w:rFonts w:ascii="仿宋_GB2312" w:hAnsi="仿宋" w:eastAsia="仿宋_GB2312" w:cs="仿宋_GB2312"/>
          <w:b/>
          <w:sz w:val="32"/>
          <w:szCs w:val="20"/>
        </w:rPr>
      </w:pPr>
    </w:p>
    <w:p>
      <w:pPr>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1. 适用范围</w:t>
      </w:r>
    </w:p>
    <w:p>
      <w:pPr>
        <w:adjustRightInd w:val="0"/>
        <w:snapToGrid w:val="0"/>
        <w:spacing w:line="360" w:lineRule="auto"/>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本招标文件适用于该项目的招标、投标、开标、资格审查及信用信息查询、评标、定标、合同、验收等行为（法律、法规另有规定的，从其规定）。</w:t>
      </w:r>
    </w:p>
    <w:p>
      <w:pPr>
        <w:adjustRightInd w:val="0"/>
        <w:snapToGrid w:val="0"/>
        <w:spacing w:line="360" w:lineRule="auto"/>
        <w:jc w:val="left"/>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2.定义</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2.1 “采购人”系指招标公告中载明的本项目的采购人。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2.2 “采购机构”系指招标公告中载明的本项目的采购机构。</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2.3 “投标人”系指是指响应招标、参加投标竞争的法人、其他组织或者自然人。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2.4 “负责人”系指法人企业的法定负责人，或其他组织为法律、行政法规规定代表单位行使职权的主要负责人，或自然人本人。</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2.5“电子签名”系指数据电文中以电子形式所含、所附用于识别签名人身份并表明签名人认可其中内容的数据。</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2.6“电子交易平台”是指本项目政府采购活动所依托的政府采购云平台（https://www.zcygov.cn/）。</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2.7 “▲” 系指实质性要求条款，“★”系产品采购项目中单一产品或核心产品。</w:t>
      </w:r>
    </w:p>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3.</w:t>
      </w:r>
      <w:r>
        <w:rPr>
          <w:rFonts w:hint="eastAsia" w:ascii="仿宋_GB2312" w:hAnsi="仿宋" w:eastAsia="仿宋_GB2312" w:cs="Times New Roman"/>
          <w:szCs w:val="24"/>
        </w:rPr>
        <w:t xml:space="preserve"> </w:t>
      </w:r>
      <w:r>
        <w:rPr>
          <w:rFonts w:hint="eastAsia" w:ascii="仿宋_GB2312" w:hAnsi="仿宋" w:eastAsia="仿宋_GB2312" w:cs="Times New Roman"/>
          <w:b/>
          <w:sz w:val="24"/>
          <w:szCs w:val="24"/>
        </w:rPr>
        <w:t>采购项目需要落实的政府采购政策</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 节能环保要求</w:t>
      </w:r>
    </w:p>
    <w:p>
      <w:pPr>
        <w:adjustRightInd w:val="0"/>
        <w:spacing w:line="360" w:lineRule="auto"/>
        <w:ind w:firstLine="480" w:firstLineChars="200"/>
        <w:rPr>
          <w:rFonts w:ascii="仿宋_GB2312" w:hAnsi="仿宋" w:eastAsia="仿宋_GB2312" w:cs="Times New Roman"/>
          <w:sz w:val="24"/>
          <w:szCs w:val="24"/>
        </w:rPr>
      </w:pPr>
      <w:r>
        <w:rPr>
          <w:rFonts w:hint="eastAsia" w:ascii="仿宋_GB2312" w:hAnsi="仿宋" w:eastAsia="仿宋_GB2312" w:cs="Times New Roman"/>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3.2.2▲</w:t>
      </w:r>
      <w:r>
        <w:rPr>
          <w:rFonts w:hint="eastAsia" w:ascii="仿宋_GB2312" w:hAnsi="仿宋" w:eastAsia="仿宋_GB2312" w:cs="Times New Roman"/>
          <w:b/>
          <w:sz w:val="24"/>
          <w:szCs w:val="24"/>
        </w:rPr>
        <w:t>采购人拟采购的产品属于政府强制采购的节能产品品目清单范围的，投标人未按招标文件要求提供国家确定的认证机构出具的、处于有效期之内的节能产品认证证书，投标无效。</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w:t>
      </w:r>
      <w:r>
        <w:rPr>
          <w:rFonts w:hint="eastAsia" w:ascii="仿宋_GB2312" w:hAnsi="仿宋" w:eastAsia="仿宋_GB2312" w:cs="Times New Roman"/>
          <w:bCs/>
          <w:color w:val="auto"/>
          <w:sz w:val="24"/>
          <w:szCs w:val="24"/>
        </w:rPr>
        <w:t>支持中小企业发展</w:t>
      </w:r>
      <w:r>
        <w:rPr>
          <w:rFonts w:hint="eastAsia" w:ascii="仿宋_GB2312" w:hAnsi="仿宋" w:eastAsia="仿宋_GB2312" w:cs="Times New Roman"/>
          <w:color w:val="auto"/>
          <w:sz w:val="24"/>
          <w:szCs w:val="24"/>
        </w:rPr>
        <w:t>。</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符合中小企业划分标准的个体工商户，在政府采购活动中视同中小企业。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ascii="仿宋_GB2312" w:hAnsi="Times New Roman" w:eastAsia="仿宋_GB2312" w:cs="Times New Roman"/>
          <w:bCs/>
          <w:color w:val="auto"/>
          <w:sz w:val="24"/>
          <w:szCs w:val="24"/>
        </w:rPr>
        <w:t>3.3.2</w:t>
      </w:r>
      <w:r>
        <w:rPr>
          <w:rFonts w:hint="eastAsia" w:ascii="仿宋_GB2312" w:hAnsi="宋体" w:eastAsia="仿宋_GB2312" w:cs="宋体"/>
          <w:color w:val="auto"/>
          <w:kern w:val="0"/>
          <w:sz w:val="24"/>
          <w:szCs w:val="24"/>
        </w:rPr>
        <w:t>在政府采购活动中，投标人提供的货物、工程或者服务符合下列情形的，享受中小企业扶持政策：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1）在货物采购项目中，货物由中小企业制造，即货物由中小企业生产且使用该中小企业商号或者注册商标；</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2）在工程采购项目中，工程由中小企业承建，即工程施工单位为中小企业；</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r>
        <w:rPr>
          <w:rFonts w:ascii="仿宋_GB2312" w:hAnsi="宋体" w:eastAsia="仿宋_GB2312" w:cs="宋体"/>
          <w:color w:val="auto"/>
          <w:kern w:val="0"/>
          <w:sz w:val="24"/>
          <w:szCs w:val="24"/>
        </w:rPr>
        <w:t>3）在服务采购项目中，服务由中小企业承接，即提供服务的人员为中小企业依照《中华人民共和国劳动合同法》订立劳动合同的从业人员。</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在货物采购项目中，投标人提供的货物既有中小企业制造货物，也有大型企业制造货物的，不享受中小企业扶持政策。</w:t>
      </w:r>
    </w:p>
    <w:p>
      <w:pPr>
        <w:widowControl/>
        <w:adjustRightInd w:val="0"/>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以联合体形式参加政府采购活动，联合体各方均为中小企业的，联合体视同中小企业。其中，联合体各方均为小微企业的，联合体视同小微企业。</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3.3.3</w:t>
      </w:r>
      <w:r>
        <w:rPr>
          <w:rFonts w:hint="eastAsia" w:ascii="仿宋_GB2312" w:hAnsi="仿宋" w:eastAsia="仿宋_GB2312" w:cs="Times New Roman"/>
          <w:color w:val="auto"/>
          <w:sz w:val="24"/>
          <w:szCs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s="Times New Roman"/>
          <w:b/>
          <w:bCs/>
          <w:color w:val="auto"/>
          <w:sz w:val="24"/>
          <w:szCs w:val="24"/>
        </w:rPr>
        <w:t>10%</w:t>
      </w:r>
      <w:r>
        <w:rPr>
          <w:rFonts w:ascii="仿宋_GB2312" w:hAnsi="仿宋" w:eastAsia="仿宋_GB2312" w:cs="Times New Roman"/>
          <w:color w:val="auto"/>
          <w:sz w:val="24"/>
          <w:szCs w:val="24"/>
        </w:rPr>
        <w:t>的扣除，用扣除后的价格参与评审。</w:t>
      </w:r>
    </w:p>
    <w:p>
      <w:pPr>
        <w:adjustRightInd w:val="0"/>
        <w:spacing w:line="360" w:lineRule="auto"/>
        <w:ind w:firstLine="480" w:firstLineChars="200"/>
        <w:rPr>
          <w:rFonts w:ascii="仿宋_GB2312" w:hAnsi="仿宋" w:eastAsia="仿宋_GB2312" w:cs="Times New Roman"/>
          <w:color w:val="auto"/>
          <w:sz w:val="24"/>
          <w:szCs w:val="24"/>
        </w:rPr>
      </w:pPr>
      <w:r>
        <w:rPr>
          <w:rFonts w:ascii="仿宋_GB2312" w:hAnsi="仿宋" w:eastAsia="仿宋_GB2312" w:cs="Times New Roman"/>
          <w:color w:val="auto"/>
          <w:sz w:val="24"/>
          <w:szCs w:val="24"/>
        </w:rPr>
        <w:t>3.3.4接受大中型企业与小微企业组成联合体或者允许大中型企业向一家或者多家小微企业分包的</w:t>
      </w:r>
      <w:r>
        <w:rPr>
          <w:rFonts w:hint="eastAsia" w:ascii="仿宋_GB2312" w:hAnsi="仿宋" w:eastAsia="仿宋_GB2312" w:cs="Times New Roman"/>
          <w:color w:val="auto"/>
          <w:sz w:val="24"/>
          <w:szCs w:val="24"/>
        </w:rPr>
        <w:t>政府</w:t>
      </w:r>
      <w:r>
        <w:rPr>
          <w:rFonts w:ascii="仿宋_GB2312" w:hAnsi="仿宋" w:eastAsia="仿宋_GB2312" w:cs="Times New Roman"/>
          <w:color w:val="auto"/>
          <w:sz w:val="24"/>
          <w:szCs w:val="24"/>
        </w:rPr>
        <w:t>采购</w:t>
      </w:r>
      <w:r>
        <w:rPr>
          <w:rFonts w:hint="eastAsia" w:ascii="仿宋_GB2312" w:hAnsi="仿宋" w:eastAsia="仿宋_GB2312" w:cs="Times New Roman"/>
          <w:color w:val="auto"/>
          <w:sz w:val="24"/>
          <w:szCs w:val="24"/>
        </w:rPr>
        <w:t>货物或服务</w:t>
      </w:r>
      <w:r>
        <w:rPr>
          <w:rFonts w:ascii="仿宋_GB2312" w:hAnsi="仿宋" w:eastAsia="仿宋_GB2312" w:cs="Times New Roman"/>
          <w:color w:val="auto"/>
          <w:sz w:val="24"/>
          <w:szCs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3.3.5</w:t>
      </w:r>
      <w:r>
        <w:rPr>
          <w:rFonts w:hint="eastAsia" w:ascii="仿宋_GB2312" w:hAnsi="仿宋" w:eastAsia="仿宋_GB2312" w:cs="Times New Roman"/>
          <w:sz w:val="24"/>
          <w:szCs w:val="24"/>
        </w:rPr>
        <w:t>符合《关于促进残疾人就业政府采购政策的通知》（财库〔</w:t>
      </w:r>
      <w:r>
        <w:rPr>
          <w:rFonts w:ascii="仿宋_GB2312" w:hAnsi="仿宋" w:eastAsia="仿宋_GB2312" w:cs="Times New Roman"/>
          <w:sz w:val="24"/>
          <w:szCs w:val="24"/>
        </w:rPr>
        <w:t>2017〕141号）规定的条件并提供《残疾人福利性单位声明函》（附件1）的残疾人福利性单位视同小型、微型企业；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3.3.6</w:t>
      </w:r>
      <w:r>
        <w:rPr>
          <w:rFonts w:hint="eastAsia" w:ascii="仿宋_GB2312" w:hAnsi="仿宋" w:eastAsia="仿宋_GB2312" w:cs="Times New Roman"/>
          <w:sz w:val="24"/>
          <w:szCs w:val="24"/>
        </w:rPr>
        <w:t>符合《关于政府采购支持监狱企业发展有关问题的通知》（财库</w:t>
      </w:r>
      <w:r>
        <w:rPr>
          <w:rFonts w:ascii="仿宋_GB2312" w:hAnsi="仿宋" w:eastAsia="仿宋_GB2312" w:cs="Times New Roman"/>
          <w:sz w:val="24"/>
          <w:szCs w:val="24"/>
        </w:rPr>
        <w:t>[2014]68号）规定的监狱企业并提供由省级以上监狱管理局、戒毒管理局（含新疆生产建设兵团）出具的属于监狱企业证明文件的，视同为小型、微型企业。</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3.3.7</w:t>
      </w:r>
      <w:r>
        <w:rPr>
          <w:rFonts w:hint="eastAsia" w:ascii="仿宋_GB2312" w:hAnsi="仿宋" w:eastAsia="仿宋_GB2312" w:cs="Times New Roman"/>
          <w:sz w:val="24"/>
          <w:szCs w:val="24"/>
        </w:rPr>
        <w:t>可享受</w:t>
      </w:r>
      <w:r>
        <w:rPr>
          <w:rFonts w:hint="eastAsia" w:ascii="仿宋_GB2312" w:hAnsi="宋体" w:eastAsia="仿宋_GB2312" w:cs="宋体"/>
          <w:kern w:val="0"/>
          <w:sz w:val="24"/>
          <w:szCs w:val="24"/>
        </w:rPr>
        <w:t>中小企业扶持政策</w:t>
      </w:r>
      <w:r>
        <w:rPr>
          <w:rFonts w:hint="eastAsia" w:ascii="仿宋_GB2312" w:hAnsi="仿宋" w:eastAsia="仿宋_GB2312" w:cs="Times New Roman"/>
          <w:sz w:val="24"/>
          <w:szCs w:val="24"/>
        </w:rPr>
        <w:t>的投标人应按照招标文件格式要求提供《中小企业声明函》。</w:t>
      </w:r>
    </w:p>
    <w:p>
      <w:pPr>
        <w:adjustRightInd w:val="0"/>
        <w:spacing w:line="360" w:lineRule="auto"/>
        <w:ind w:firstLine="480" w:firstLineChars="200"/>
        <w:rPr>
          <w:rFonts w:ascii="仿宋_GB2312" w:hAnsi="仿宋" w:eastAsia="仿宋_GB2312" w:cs="Times New Roman"/>
          <w:sz w:val="24"/>
          <w:szCs w:val="24"/>
        </w:rPr>
      </w:pPr>
      <w:r>
        <w:rPr>
          <w:rFonts w:ascii="仿宋_GB2312" w:hAnsi="仿宋" w:eastAsia="仿宋_GB2312" w:cs="Times New Roman"/>
          <w:sz w:val="24"/>
          <w:szCs w:val="24"/>
        </w:rPr>
        <w:t>3.3.8</w:t>
      </w:r>
      <w:r>
        <w:rPr>
          <w:rFonts w:hint="eastAsia" w:ascii="仿宋_GB2312" w:hAnsi="仿宋" w:eastAsia="仿宋_GB2312" w:cs="Times New Roman"/>
          <w:sz w:val="24"/>
          <w:szCs w:val="24"/>
        </w:rPr>
        <w:t>中小企业</w:t>
      </w:r>
      <w:r>
        <w:rPr>
          <w:rFonts w:ascii="仿宋_GB2312" w:hAnsi="仿宋" w:eastAsia="仿宋_GB2312" w:cs="Times New Roman"/>
          <w:sz w:val="24"/>
          <w:szCs w:val="24"/>
        </w:rPr>
        <w:t>享受扶持政策获得政府采购合同的，小微企业不得将合同分包给大中型企业，中型企业不得将合同分包给大型企业</w:t>
      </w:r>
      <w:r>
        <w:rPr>
          <w:rFonts w:hint="eastAsia" w:ascii="仿宋_GB2312" w:hAnsi="仿宋" w:eastAsia="仿宋_GB2312" w:cs="Times New Roman"/>
          <w:sz w:val="24"/>
          <w:szCs w:val="24"/>
        </w:rPr>
        <w:t>。</w:t>
      </w:r>
    </w:p>
    <w:p>
      <w:pPr>
        <w:adjustRightInd w:val="0"/>
        <w:spacing w:line="360" w:lineRule="auto"/>
        <w:ind w:firstLine="480" w:firstLineChars="200"/>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pPr>
      <w:r>
        <w:rPr>
          <w:rFonts w:hint="eastAsia" w:ascii="仿宋_GB2312" w:hAnsi="仿宋" w:eastAsia="仿宋_GB2312" w:cs="Times New Roman"/>
          <w:sz w:val="24"/>
          <w:szCs w:val="24"/>
        </w:rPr>
        <w:t>3.4</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adjustRightInd w:val="0"/>
        <w:spacing w:line="360" w:lineRule="auto"/>
        <w:ind w:firstLine="482" w:firstLineChars="200"/>
        <w:rPr>
          <w:rFonts w:ascii="仿宋_GB2312" w:hAnsi="仿宋" w:eastAsia="仿宋_GB2312" w:cs="Times New Roman"/>
          <w:b/>
          <w:sz w:val="24"/>
          <w:szCs w:val="24"/>
        </w:rPr>
      </w:pPr>
      <w:r>
        <w:rPr>
          <w:rFonts w:hint="eastAsia" w:ascii="仿宋_GB2312" w:hAnsi="仿宋" w:eastAsia="仿宋_GB2312" w:cs="Times New Roman"/>
          <w:b/>
          <w:sz w:val="24"/>
          <w:szCs w:val="24"/>
        </w:rPr>
        <w:t>4. 询问、质疑、投诉</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4.1供应商询问</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根据采购人与采购机构签订的《杭州市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autoSpaceDE w:val="0"/>
        <w:autoSpaceDN w:val="0"/>
        <w:adjustRightInd w:val="0"/>
        <w:spacing w:line="360" w:lineRule="auto"/>
        <w:ind w:firstLine="480" w:firstLineChars="200"/>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4.2供应商质疑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.1提出质疑的供应商应当是参与所质疑项目采购活动的供应商。潜在供应商已依法获取其可质疑的采购文件的，可以对该文件提出质疑。</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w:t>
      </w:r>
      <w:r>
        <w:rPr>
          <w:rFonts w:hint="eastAsia" w:ascii="仿宋_GB2312" w:hAnsi="仿宋" w:eastAsia="仿宋_GB2312" w:cs="Arial"/>
          <w:snapToGrid w:val="0"/>
          <w:sz w:val="24"/>
          <w:szCs w:val="21"/>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widowControl/>
        <w:adjustRightInd w:val="0"/>
        <w:snapToGrid w:val="0"/>
        <w:spacing w:line="360" w:lineRule="auto"/>
        <w:ind w:firstLine="434" w:firstLineChars="181"/>
        <w:rPr>
          <w:rFonts w:ascii="仿宋_GB2312" w:hAnsi="仿宋" w:eastAsia="仿宋_GB2312"/>
          <w:sz w:val="24"/>
        </w:rPr>
      </w:pPr>
      <w:r>
        <w:rPr>
          <w:rFonts w:hint="eastAsia" w:ascii="仿宋_GB2312" w:hAnsi="仿宋" w:eastAsia="仿宋_GB231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杭州市集中采购年度委托协议》的规定：对采购文件中特定资格条件、采购需求、评分办法提出的质疑，原则上由采购人负责答复；对采购文件中其他内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4.2.2.2对采购过程提出质疑的，质疑期限为各采购程序环节结束之日起计算。对同一采购程序环节的质疑，供应商须一次性提出。根据采购人与采购机构签订的《杭州市集中采购年度委托协议》的规定：对采购过程中有关现场考察或开标前答疑会事项提出的质疑，原则上由采购人负责答复；对采购过程中其它事项提出的质疑，原则上由采购机构负责答复。</w:t>
      </w:r>
    </w:p>
    <w:p>
      <w:pPr>
        <w:adjustRightInd w:val="0"/>
        <w:spacing w:line="360" w:lineRule="auto"/>
        <w:ind w:firstLine="480" w:firstLineChars="200"/>
        <w:rPr>
          <w:rFonts w:ascii="仿宋_GB2312" w:hAnsi="仿宋" w:eastAsia="仿宋_GB2312" w:cs="Arial"/>
          <w:snapToGrid w:val="0"/>
          <w:sz w:val="24"/>
          <w:szCs w:val="21"/>
        </w:rPr>
      </w:pPr>
      <w:r>
        <w:rPr>
          <w:rFonts w:hint="eastAsia" w:ascii="仿宋_GB2312" w:hAnsi="仿宋" w:eastAsia="仿宋_GB2312" w:cs="Arial"/>
          <w:snapToGrid w:val="0"/>
          <w:sz w:val="24"/>
          <w:szCs w:val="21"/>
        </w:rPr>
        <w:t>4.2.2.3对采购结果提出质疑的，质疑期限自采购结果公告期限届满之日起计算。对采购结果提出质疑的，采购机构负责答复。</w:t>
      </w:r>
    </w:p>
    <w:p>
      <w:pPr>
        <w:adjustRightInd w:val="0"/>
        <w:snapToGrid w:val="0"/>
        <w:spacing w:line="360" w:lineRule="auto"/>
        <w:ind w:firstLine="480" w:firstLineChars="200"/>
        <w:contextualSpacing/>
        <w:rPr>
          <w:rFonts w:ascii="仿宋_GB2312" w:hAnsi="仿宋" w:eastAsia="仿宋_GB2312" w:cs="Arial"/>
          <w:snapToGrid w:val="0"/>
          <w:sz w:val="24"/>
          <w:szCs w:val="21"/>
        </w:rPr>
      </w:pPr>
      <w:r>
        <w:rPr>
          <w:rFonts w:hint="eastAsia" w:ascii="仿宋_GB2312" w:hAnsi="仿宋" w:eastAsia="仿宋_GB2312" w:cs="微软雅黑"/>
          <w:snapToGrid w:val="0"/>
          <w:kern w:val="0"/>
          <w:sz w:val="24"/>
          <w:szCs w:val="21"/>
          <w:lang w:val="zh-CN"/>
        </w:rPr>
        <w:t>4.2.3</w:t>
      </w:r>
      <w:r>
        <w:rPr>
          <w:rFonts w:hint="eastAsia" w:ascii="仿宋_GB2312" w:hAnsi="仿宋" w:eastAsia="仿宋_GB2312" w:cs="Arial"/>
          <w:snapToGrid w:val="0"/>
          <w:sz w:val="24"/>
          <w:szCs w:val="21"/>
        </w:rPr>
        <w:t>供应商提出质疑应当提交质疑函和必要的证明材料。质疑函应当包括下列内容：</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4.2.3.1</w:t>
      </w:r>
      <w:r>
        <w:rPr>
          <w:rFonts w:hint="eastAsia" w:ascii="仿宋_GB2312" w:hAnsi="仿宋" w:eastAsia="仿宋_GB2312" w:cs="Arial"/>
          <w:snapToGrid w:val="0"/>
          <w:sz w:val="24"/>
          <w:szCs w:val="21"/>
        </w:rPr>
        <w:t>供应商的姓名或者名称、地址、邮编、联系人及联系电话；</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4.2.3.2</w:t>
      </w:r>
      <w:r>
        <w:rPr>
          <w:rFonts w:hint="eastAsia" w:ascii="仿宋_GB2312" w:hAnsi="仿宋" w:eastAsia="仿宋_GB2312" w:cs="Arial"/>
          <w:snapToGrid w:val="0"/>
          <w:sz w:val="24"/>
          <w:szCs w:val="21"/>
        </w:rPr>
        <w:t>质疑项目的名称、编号；</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4.2.3.3</w:t>
      </w:r>
      <w:r>
        <w:rPr>
          <w:rFonts w:hint="eastAsia" w:ascii="仿宋_GB2312" w:hAnsi="仿宋" w:eastAsia="仿宋_GB2312" w:cs="Arial"/>
          <w:snapToGrid w:val="0"/>
          <w:sz w:val="24"/>
          <w:szCs w:val="21"/>
        </w:rPr>
        <w:t>具体、明确的质疑事项和与质疑事项相关的请求；</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4.2.3.4</w:t>
      </w:r>
      <w:r>
        <w:rPr>
          <w:rFonts w:hint="eastAsia" w:ascii="仿宋_GB2312" w:hAnsi="仿宋" w:eastAsia="仿宋_GB2312" w:cs="Arial"/>
          <w:snapToGrid w:val="0"/>
          <w:sz w:val="24"/>
          <w:szCs w:val="21"/>
        </w:rPr>
        <w:t>事实依据；</w:t>
      </w:r>
    </w:p>
    <w:p>
      <w:pPr>
        <w:widowControl/>
        <w:shd w:val="clear" w:color="auto" w:fill="FFFFFF"/>
        <w:snapToGrid w:val="0"/>
        <w:spacing w:before="100" w:beforeAutospacing="1" w:after="240" w:line="360" w:lineRule="auto"/>
        <w:contextualSpacing/>
        <w:jc w:val="left"/>
        <w:rPr>
          <w:rFonts w:ascii="仿宋_GB2312" w:hAnsi="仿宋" w:eastAsia="仿宋_GB2312" w:cs="Arial"/>
          <w:snapToGrid w:val="0"/>
          <w:sz w:val="24"/>
          <w:szCs w:val="21"/>
        </w:rPr>
      </w:pPr>
      <w:r>
        <w:rPr>
          <w:rFonts w:hint="eastAsia" w:ascii="仿宋_GB2312" w:hAnsi="仿宋" w:eastAsia="仿宋_GB2312" w:cs="Arial"/>
          <w:snapToGrid w:val="0"/>
          <w:sz w:val="24"/>
          <w:szCs w:val="21"/>
        </w:rPr>
        <w:t>　　</w:t>
      </w:r>
      <w:r>
        <w:rPr>
          <w:rFonts w:hint="eastAsia" w:ascii="仿宋_GB2312" w:hAnsi="仿宋" w:eastAsia="仿宋_GB2312" w:cs="微软雅黑"/>
          <w:kern w:val="0"/>
          <w:sz w:val="24"/>
          <w:szCs w:val="24"/>
          <w:lang w:val="zh-CN"/>
        </w:rPr>
        <w:t>4.2.3.5</w:t>
      </w:r>
      <w:r>
        <w:rPr>
          <w:rFonts w:hint="eastAsia" w:ascii="仿宋_GB2312" w:hAnsi="仿宋" w:eastAsia="仿宋_GB2312" w:cs="Arial"/>
          <w:snapToGrid w:val="0"/>
          <w:sz w:val="24"/>
          <w:szCs w:val="21"/>
        </w:rPr>
        <w:t>必要的法律依据；</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Arial"/>
          <w:snapToGrid w:val="0"/>
          <w:sz w:val="24"/>
          <w:szCs w:val="21"/>
        </w:rPr>
      </w:pPr>
      <w:r>
        <w:rPr>
          <w:rFonts w:hint="eastAsia" w:ascii="仿宋_GB2312" w:hAnsi="仿宋" w:eastAsia="仿宋_GB2312" w:cs="微软雅黑"/>
          <w:kern w:val="0"/>
          <w:sz w:val="24"/>
          <w:szCs w:val="24"/>
          <w:lang w:val="zh-CN"/>
        </w:rPr>
        <w:t>4.2.3.6</w:t>
      </w:r>
      <w:r>
        <w:rPr>
          <w:rFonts w:hint="eastAsia" w:ascii="仿宋_GB2312" w:hAnsi="仿宋" w:eastAsia="仿宋_GB2312" w:cs="Arial"/>
          <w:snapToGrid w:val="0"/>
          <w:sz w:val="24"/>
          <w:szCs w:val="21"/>
        </w:rPr>
        <w:t>提出质疑的日期。</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质疑函范本及制作说明详见附件</w:t>
      </w:r>
      <w:r>
        <w:rPr>
          <w:rFonts w:hint="eastAsia" w:ascii="仿宋_GB2312" w:hAnsi="仿宋" w:eastAsia="仿宋_GB2312" w:cs="宋体"/>
          <w:kern w:val="0"/>
          <w:sz w:val="24"/>
          <w:szCs w:val="24"/>
          <w:lang w:val="en-US" w:eastAsia="zh-CN"/>
        </w:rPr>
        <w:t>4</w:t>
      </w:r>
      <w:r>
        <w:rPr>
          <w:rFonts w:hint="eastAsia" w:ascii="仿宋_GB2312" w:hAnsi="仿宋" w:eastAsia="仿宋_GB2312" w:cs="宋体"/>
          <w:kern w:val="0"/>
          <w:sz w:val="24"/>
          <w:szCs w:val="24"/>
        </w:rPr>
        <w:t>。</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微软雅黑"/>
          <w:kern w:val="0"/>
          <w:sz w:val="24"/>
          <w:szCs w:val="24"/>
          <w:lang w:val="zh-CN"/>
        </w:rPr>
        <w:t>4.2</w:t>
      </w:r>
      <w:r>
        <w:rPr>
          <w:rFonts w:hint="eastAsia" w:ascii="仿宋_GB2312" w:hAnsi="仿宋" w:eastAsia="仿宋_GB2312" w:cs="宋体"/>
          <w:kern w:val="0"/>
          <w:sz w:val="24"/>
          <w:szCs w:val="24"/>
        </w:rPr>
        <w:t>.5询问或者质疑事项可能影响采购结果的，采购人应当暂停签订合同，已经签订合同的，应当中止履行合同。</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微软雅黑"/>
          <w:kern w:val="0"/>
          <w:sz w:val="24"/>
          <w:szCs w:val="24"/>
          <w:lang w:val="zh-CN"/>
        </w:rPr>
      </w:pPr>
      <w:r>
        <w:rPr>
          <w:rFonts w:hint="eastAsia" w:ascii="仿宋_GB2312" w:hAnsi="仿宋" w:eastAsia="仿宋_GB2312" w:cs="微软雅黑"/>
          <w:kern w:val="0"/>
          <w:sz w:val="24"/>
          <w:szCs w:val="24"/>
          <w:lang w:val="zh-CN"/>
        </w:rPr>
        <w:t>4.3供应商投诉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w:t>
      </w:r>
      <w:r>
        <w:rPr>
          <w:rFonts w:hint="eastAsia" w:ascii="仿宋_GB2312" w:hAnsi="仿宋" w:eastAsia="仿宋_GB2312" w:cs="微软雅黑"/>
          <w:kern w:val="0"/>
          <w:sz w:val="24"/>
          <w:szCs w:val="24"/>
          <w:lang w:val="zh-CN"/>
        </w:rPr>
        <w:t>2</w:t>
      </w:r>
      <w:r>
        <w:rPr>
          <w:rFonts w:hint="eastAsia" w:ascii="仿宋_GB2312" w:hAnsi="仿宋" w:eastAsia="仿宋_GB2312" w:cs="宋体"/>
          <w:kern w:val="0"/>
          <w:sz w:val="24"/>
          <w:szCs w:val="24"/>
        </w:rPr>
        <w:t>供应商投诉的事项不得超出已质疑事项的范围，基于质疑答复内容提出的投诉事项除外。</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4.3.3供应商投诉应当有明确的请求和必要的证明材料。</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4.3.4 以联合体形式参加政府采购活动的，其投诉应当由组成联合体的所有供应商共同提出。</w:t>
      </w:r>
    </w:p>
    <w:p>
      <w:pPr>
        <w:widowControl/>
        <w:shd w:val="clear" w:color="auto" w:fill="FFFFFF"/>
        <w:snapToGrid w:val="0"/>
        <w:spacing w:before="100" w:beforeAutospacing="1" w:after="240" w:line="360" w:lineRule="auto"/>
        <w:ind w:firstLine="480"/>
        <w:contextualSpacing/>
        <w:jc w:val="left"/>
        <w:rPr>
          <w:rFonts w:ascii="仿宋_GB2312" w:hAnsi="仿宋" w:eastAsia="仿宋_GB2312" w:cs="宋体"/>
          <w:kern w:val="0"/>
          <w:sz w:val="24"/>
          <w:szCs w:val="24"/>
        </w:rPr>
      </w:pPr>
      <w:r>
        <w:rPr>
          <w:rFonts w:hint="eastAsia" w:ascii="仿宋_GB2312" w:hAnsi="仿宋" w:eastAsia="仿宋_GB2312" w:cs="宋体"/>
          <w:kern w:val="0"/>
          <w:sz w:val="24"/>
          <w:szCs w:val="24"/>
        </w:rPr>
        <w:t>投诉书范本及制作说明详见附件</w:t>
      </w:r>
      <w:r>
        <w:rPr>
          <w:rFonts w:hint="eastAsia" w:ascii="仿宋_GB2312" w:hAnsi="仿宋" w:eastAsia="仿宋_GB2312" w:cs="宋体"/>
          <w:kern w:val="0"/>
          <w:sz w:val="24"/>
          <w:szCs w:val="24"/>
          <w:lang w:val="en-US" w:eastAsia="zh-CN"/>
        </w:rPr>
        <w:t>5</w:t>
      </w:r>
      <w:r>
        <w:rPr>
          <w:rFonts w:hint="eastAsia" w:ascii="仿宋_GB2312" w:hAnsi="仿宋" w:eastAsia="仿宋_GB2312" w:cs="宋体"/>
          <w:kern w:val="0"/>
          <w:sz w:val="24"/>
          <w:szCs w:val="24"/>
        </w:rPr>
        <w:t>。</w:t>
      </w:r>
    </w:p>
    <w:p>
      <w:pPr>
        <w:adjustRightInd w:val="0"/>
        <w:snapToGrid w:val="0"/>
        <w:spacing w:after="120" w:line="360" w:lineRule="auto"/>
        <w:ind w:firstLine="360" w:firstLineChars="200"/>
        <w:rPr>
          <w:rFonts w:ascii="仿宋_GB2312" w:hAnsi="仿宋" w:eastAsia="仿宋_GB2312" w:cs="仿宋_GB2312"/>
          <w:sz w:val="18"/>
          <w:szCs w:val="18"/>
        </w:rPr>
      </w:pPr>
    </w:p>
    <w:p>
      <w:pPr>
        <w:spacing w:line="360" w:lineRule="auto"/>
        <w:jc w:val="center"/>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5．招标文件的构成</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5.1 招标文件包括下列文件及附件</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第一部分 招标公告</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第二部分 投标人须知</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第三部分 采购需求</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第四部分 评标方法及评分标准</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第五部分 拟签订的合同文本</w:t>
      </w:r>
    </w:p>
    <w:p>
      <w:pPr>
        <w:numPr>
          <w:ilvl w:val="0"/>
          <w:numId w:val="5"/>
        </w:numPr>
        <w:adjustRightInd w:val="0"/>
        <w:spacing w:line="360" w:lineRule="auto"/>
        <w:ind w:left="839"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第六部分 应提交的有关格式范例</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5.2与本项目有关的</w:t>
      </w:r>
      <w:r>
        <w:rPr>
          <w:rFonts w:hint="eastAsia" w:ascii="仿宋_GB2312" w:hAnsi="仿宋" w:eastAsia="仿宋_GB2312" w:cs="Times New Roman"/>
          <w:bCs/>
          <w:sz w:val="24"/>
          <w:szCs w:val="24"/>
        </w:rPr>
        <w:t>澄清或者修改的内容为招标文件的组成部分</w:t>
      </w:r>
      <w:r>
        <w:rPr>
          <w:rFonts w:hint="eastAsia" w:ascii="仿宋_GB2312" w:hAnsi="仿宋" w:eastAsia="仿宋_GB2312" w:cs="仿宋_GB2312"/>
          <w:sz w:val="24"/>
          <w:szCs w:val="24"/>
        </w:rPr>
        <w:t>。</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6. 招标文件的澄清、修改</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6.1已获取招标文件的潜在投标人，若有问题需要澄清，应于投标截止时间前，以书面形式向采购机构提出。</w:t>
      </w:r>
    </w:p>
    <w:p>
      <w:pPr>
        <w:adjustRightInd w:val="0"/>
        <w:snapToGrid w:val="0"/>
        <w:spacing w:after="120" w:line="360" w:lineRule="auto"/>
        <w:ind w:firstLine="480" w:firstLineChars="200"/>
        <w:rPr>
          <w:rFonts w:ascii="仿宋_GB2312" w:hAnsi="仿宋" w:eastAsia="仿宋_GB2312"/>
          <w:sz w:val="24"/>
        </w:rPr>
      </w:pPr>
      <w:r>
        <w:rPr>
          <w:rFonts w:hint="eastAsia" w:ascii="仿宋_GB2312" w:hAnsi="仿宋" w:eastAsia="仿宋_GB2312"/>
          <w:sz w:val="24"/>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adjustRightInd w:val="0"/>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cs="Times New Roman"/>
          <w:b/>
          <w:sz w:val="24"/>
          <w:szCs w:val="24"/>
        </w:rPr>
        <w:t>▲</w:t>
      </w:r>
      <w:r>
        <w:rPr>
          <w:rFonts w:hint="eastAsia" w:ascii="仿宋_GB2312" w:hAnsi="仿宋" w:eastAsia="仿宋_GB2312" w:cs="仿宋_GB2312"/>
          <w:b/>
          <w:sz w:val="24"/>
          <w:szCs w:val="21"/>
        </w:rPr>
        <w:t>投标文件未按招标文件的澄清、修改的内容编制，又不符合实质性要求的，投标无效。</w:t>
      </w:r>
    </w:p>
    <w:p>
      <w:pPr>
        <w:autoSpaceDE w:val="0"/>
        <w:autoSpaceDN w:val="0"/>
        <w:adjustRightInd w:val="0"/>
        <w:spacing w:line="360" w:lineRule="auto"/>
        <w:rPr>
          <w:rFonts w:ascii="仿宋_GB2312" w:hAnsi="仿宋" w:eastAsia="仿宋_GB2312" w:cs="仿宋_GB2312"/>
          <w:snapToGrid w:val="0"/>
          <w:sz w:val="18"/>
          <w:szCs w:val="18"/>
        </w:rPr>
      </w:pPr>
      <w:r>
        <w:rPr>
          <w:rFonts w:hint="eastAsia" w:ascii="仿宋_GB2312" w:hAnsi="仿宋" w:eastAsia="仿宋_GB2312" w:cs="仿宋_GB2312"/>
          <w:snapToGrid w:val="0"/>
          <w:sz w:val="24"/>
          <w:szCs w:val="24"/>
        </w:rPr>
        <w:t xml:space="preserve">    </w:t>
      </w:r>
    </w:p>
    <w:p>
      <w:pPr>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7. 招标文件的获取</w:t>
      </w:r>
    </w:p>
    <w:p>
      <w:pPr>
        <w:adjustRightInd w:val="0"/>
        <w:spacing w:line="360" w:lineRule="auto"/>
        <w:ind w:firstLine="480" w:firstLineChars="200"/>
        <w:rPr>
          <w:rFonts w:ascii="仿宋_GB2312" w:hAnsi="仿宋" w:eastAsia="仿宋_GB2312" w:cs="仿宋_GB2312"/>
          <w:snapToGrid w:val="0"/>
          <w:kern w:val="28"/>
          <w:sz w:val="24"/>
          <w:szCs w:val="24"/>
        </w:rPr>
      </w:pPr>
      <w:r>
        <w:rPr>
          <w:rFonts w:hint="eastAsia" w:ascii="仿宋_GB2312" w:hAnsi="仿宋" w:eastAsia="仿宋_GB2312" w:cs="仿宋_GB2312"/>
          <w:snapToGrid w:val="0"/>
          <w:kern w:val="28"/>
          <w:sz w:val="24"/>
          <w:szCs w:val="24"/>
        </w:rPr>
        <w:t>详见招标公告中获取招标文件的时间期限、地点、方式及招标文件售价。</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8.开标前答疑会或现场考察</w:t>
      </w:r>
    </w:p>
    <w:p>
      <w:pPr>
        <w:adjustRightInd w:val="0"/>
        <w:spacing w:line="360" w:lineRule="auto"/>
        <w:ind w:firstLine="480" w:firstLineChars="200"/>
        <w:rPr>
          <w:rFonts w:ascii="仿宋_GB2312" w:hAnsi="仿宋" w:eastAsia="仿宋_GB2312" w:cs="Arial"/>
          <w:snapToGrid w:val="0"/>
          <w:sz w:val="24"/>
          <w:szCs w:val="24"/>
        </w:rPr>
      </w:pPr>
      <w:r>
        <w:rPr>
          <w:rFonts w:hint="eastAsia" w:ascii="仿宋_GB2312" w:hAnsi="仿宋" w:eastAsia="仿宋_GB2312" w:cs="Arial"/>
          <w:snapToGrid w:val="0"/>
          <w:sz w:val="24"/>
          <w:szCs w:val="24"/>
        </w:rPr>
        <w:t>采购人组织潜在投标人现场考察或者召开开标前答疑会的，潜在投标人按前附表的规定参加现场考察或者开标前答疑会。</w:t>
      </w:r>
    </w:p>
    <w:p>
      <w:pPr>
        <w:adjustRightInd w:val="0"/>
        <w:spacing w:line="360" w:lineRule="auto"/>
        <w:rPr>
          <w:rFonts w:ascii="仿宋_GB2312" w:hAnsi="仿宋" w:eastAsia="仿宋_GB2312" w:cs="仿宋_GB2312"/>
          <w:b/>
          <w:snapToGrid w:val="0"/>
          <w:szCs w:val="24"/>
        </w:rPr>
      </w:pPr>
      <w:r>
        <w:rPr>
          <w:rFonts w:hint="eastAsia" w:ascii="仿宋_GB2312" w:hAnsi="仿宋" w:eastAsia="仿宋_GB2312" w:cs="Arial"/>
          <w:b/>
          <w:snapToGrid w:val="0"/>
          <w:kern w:val="28"/>
          <w:sz w:val="24"/>
          <w:szCs w:val="24"/>
        </w:rPr>
        <w:t>9.投标保证金</w:t>
      </w:r>
    </w:p>
    <w:p>
      <w:pPr>
        <w:widowControl/>
        <w:adjustRightInd w:val="0"/>
        <w:snapToGrid w:val="0"/>
        <w:spacing w:line="360" w:lineRule="auto"/>
        <w:ind w:firstLine="470" w:firstLineChars="196"/>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本项目不需要交纳投标保证金。</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10. 投标文件的语言</w:t>
      </w:r>
    </w:p>
    <w:p>
      <w:pPr>
        <w:autoSpaceDE w:val="0"/>
        <w:autoSpaceDN w:val="0"/>
        <w:adjustRightInd w:val="0"/>
        <w:spacing w:line="360" w:lineRule="auto"/>
        <w:ind w:firstLine="480" w:firstLineChars="200"/>
        <w:rPr>
          <w:rFonts w:hint="eastAsia" w:ascii="仿宋_GB2312" w:hAnsi="仿宋_GB2312" w:eastAsia="仿宋_GB2312" w:cs="仿宋_GB2312"/>
          <w:sz w:val="24"/>
          <w:szCs w:val="24"/>
          <w:lang w:val="zh-CN"/>
        </w:rPr>
      </w:pPr>
      <w:r>
        <w:rPr>
          <w:rFonts w:hint="eastAsia" w:ascii="仿宋_GB2312" w:hAnsi="仿宋" w:eastAsia="仿宋_GB2312" w:cs="仿宋_GB2312"/>
          <w:sz w:val="24"/>
          <w:szCs w:val="24"/>
        </w:rPr>
        <w:t>投标</w:t>
      </w:r>
      <w:r>
        <w:rPr>
          <w:rFonts w:hint="eastAsia" w:ascii="仿宋_GB2312" w:hAnsi="仿宋_GB2312" w:eastAsia="仿宋_GB2312" w:cs="仿宋_GB2312"/>
          <w:sz w:val="24"/>
          <w:szCs w:val="24"/>
        </w:rPr>
        <w:t>文件及投标人与采购有关的来往通知、函件和文件均应使用中文。</w:t>
      </w:r>
    </w:p>
    <w:p>
      <w:pPr>
        <w:adjustRightInd w:val="0"/>
        <w:spacing w:line="360" w:lineRule="auto"/>
        <w:rPr>
          <w:rFonts w:hint="eastAsia" w:ascii="仿宋_GB2312" w:hAnsi="仿宋_GB2312" w:eastAsia="仿宋_GB2312" w:cs="仿宋_GB2312"/>
          <w:b/>
          <w:snapToGrid w:val="0"/>
          <w:sz w:val="24"/>
          <w:szCs w:val="24"/>
        </w:rPr>
      </w:pPr>
      <w:r>
        <w:rPr>
          <w:rFonts w:hint="eastAsia" w:ascii="仿宋_GB2312" w:hAnsi="仿宋_GB2312" w:eastAsia="仿宋_GB2312" w:cs="仿宋_GB2312"/>
          <w:b/>
          <w:snapToGrid w:val="0"/>
          <w:sz w:val="24"/>
          <w:szCs w:val="24"/>
        </w:rPr>
        <w:t>11. 投标文件的组成</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kern w:val="0"/>
          <w:sz w:val="24"/>
          <w:szCs w:val="24"/>
        </w:rPr>
        <w:t>投标文件应当包括以下主要内容：</w:t>
      </w:r>
      <w:r>
        <w:rPr>
          <w:rFonts w:hint="eastAsia" w:ascii="仿宋_GB2312" w:hAnsi="仿宋_GB2312" w:eastAsia="仿宋_GB2312" w:cs="仿宋_GB2312"/>
          <w:b/>
          <w:snapToGrid w:val="0"/>
          <w:sz w:val="24"/>
          <w:szCs w:val="24"/>
        </w:rPr>
        <w:t>资格文件、报价文件、商务技术文件</w:t>
      </w:r>
      <w:r>
        <w:rPr>
          <w:rFonts w:hint="eastAsia" w:ascii="仿宋_GB2312" w:hAnsi="仿宋_GB2312" w:eastAsia="仿宋_GB2312" w:cs="仿宋_GB2312"/>
          <w:snapToGrid w:val="0"/>
          <w:sz w:val="24"/>
          <w:szCs w:val="24"/>
        </w:rPr>
        <w:t>。投标文件应当对招标文件提出的要求和条件作出明确响应。</w:t>
      </w:r>
    </w:p>
    <w:p>
      <w:pPr>
        <w:adjustRightInd w:val="0"/>
        <w:snapToGrid w:val="0"/>
        <w:spacing w:line="360" w:lineRule="auto"/>
        <w:ind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sz w:val="24"/>
          <w:szCs w:val="24"/>
        </w:rPr>
        <w:t>11.1</w:t>
      </w:r>
      <w:r>
        <w:rPr>
          <w:rFonts w:hint="eastAsia" w:ascii="仿宋_GB2312" w:hAnsi="仿宋_GB2312" w:eastAsia="仿宋_GB2312" w:cs="仿宋_GB2312"/>
          <w:b/>
          <w:sz w:val="24"/>
          <w:szCs w:val="24"/>
        </w:rPr>
        <w:t>资格文件</w:t>
      </w:r>
      <w:r>
        <w:rPr>
          <w:rFonts w:hint="eastAsia" w:ascii="仿宋_GB2312" w:hAnsi="仿宋_GB2312" w:eastAsia="仿宋_GB2312" w:cs="仿宋_GB2312"/>
          <w:sz w:val="24"/>
          <w:szCs w:val="24"/>
        </w:rPr>
        <w:t>应包括以下内容（均需使用电子签名）：</w:t>
      </w:r>
      <w:r>
        <w:rPr>
          <w:rFonts w:hint="eastAsia" w:ascii="仿宋_GB2312" w:hAnsi="仿宋_GB2312" w:eastAsia="仿宋_GB2312" w:cs="仿宋_GB2312"/>
          <w:kern w:val="0"/>
          <w:sz w:val="24"/>
          <w:szCs w:val="24"/>
        </w:rPr>
        <w:t>证明其符合《中华人民共和国政府采购法》规定的供应商基本条件和采购项目对供应商的特定条件</w:t>
      </w:r>
      <w:r>
        <w:rPr>
          <w:rFonts w:hint="eastAsia" w:ascii="仿宋_GB2312" w:hAnsi="仿宋_GB2312" w:eastAsia="仿宋_GB2312" w:cs="仿宋_GB2312"/>
          <w:sz w:val="24"/>
          <w:szCs w:val="24"/>
        </w:rPr>
        <w:t>（如果项目要求）</w:t>
      </w:r>
      <w:r>
        <w:rPr>
          <w:rFonts w:hint="eastAsia" w:ascii="仿宋_GB2312" w:hAnsi="仿宋_GB2312" w:eastAsia="仿宋_GB2312" w:cs="仿宋_GB2312"/>
          <w:kern w:val="0"/>
          <w:sz w:val="24"/>
          <w:szCs w:val="24"/>
        </w:rPr>
        <w:t>的有关资格证明文件。</w:t>
      </w:r>
      <w:r>
        <w:rPr>
          <w:rFonts w:hint="eastAsia" w:ascii="仿宋_GB2312" w:hAnsi="仿宋_GB2312" w:eastAsia="仿宋_GB2312" w:cs="仿宋_GB2312"/>
          <w:b/>
          <w:kern w:val="0"/>
          <w:sz w:val="24"/>
          <w:szCs w:val="24"/>
        </w:rPr>
        <w:t>（以联合体形式进行政府采购的，参加联合体的供应商均应当提</w:t>
      </w:r>
      <w:r>
        <w:rPr>
          <w:rFonts w:hint="eastAsia" w:ascii="仿宋_GB2312" w:hAnsi="仿宋_GB2312" w:eastAsia="仿宋_GB2312" w:cs="仿宋_GB2312"/>
          <w:b/>
          <w:color w:val="auto"/>
          <w:kern w:val="0"/>
          <w:sz w:val="24"/>
          <w:szCs w:val="24"/>
        </w:rPr>
        <w:t>供）</w:t>
      </w:r>
    </w:p>
    <w:p>
      <w:pPr>
        <w:pStyle w:val="33"/>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11.1.1</w:t>
      </w:r>
      <w:r>
        <w:rPr>
          <w:rFonts w:hint="eastAsia" w:ascii="仿宋_GB2312" w:hAnsi="仿宋_GB2312" w:eastAsia="仿宋_GB2312" w:cs="仿宋_GB2312"/>
          <w:snapToGrid w:val="0"/>
          <w:color w:val="auto"/>
          <w:sz w:val="24"/>
          <w:szCs w:val="21"/>
        </w:rPr>
        <w:t>营业执照(或事业法人登记证或其他工商等登记证明材料)复印件（投标人为自然人的，提供</w:t>
      </w:r>
      <w:r>
        <w:rPr>
          <w:rFonts w:hint="eastAsia" w:ascii="仿宋_GB2312" w:hAnsi="仿宋_GB2312" w:eastAsia="仿宋_GB2312" w:cs="仿宋_GB2312"/>
          <w:snapToGrid w:val="0"/>
          <w:color w:val="auto"/>
          <w:kern w:val="0"/>
          <w:sz w:val="24"/>
          <w:szCs w:val="21"/>
        </w:rPr>
        <w:t>自然人的身份证明</w:t>
      </w:r>
      <w:r>
        <w:rPr>
          <w:rFonts w:hint="eastAsia" w:ascii="仿宋_GB2312" w:hAnsi="仿宋_GB2312" w:eastAsia="仿宋_GB2312" w:cs="仿宋_GB2312"/>
          <w:snapToGrid w:val="0"/>
          <w:color w:val="auto"/>
          <w:sz w:val="24"/>
          <w:szCs w:val="21"/>
        </w:rPr>
        <w:t>）复印件；</w:t>
      </w:r>
    </w:p>
    <w:p>
      <w:pPr>
        <w:pStyle w:val="33"/>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auto"/>
          <w:sz w:val="24"/>
        </w:rPr>
        <w:t>金融、保险、通讯等特定行业的全国性企业所设立的</w:t>
      </w:r>
      <w:r>
        <w:rPr>
          <w:rFonts w:hint="eastAsia" w:ascii="仿宋_GB2312" w:hAnsi="仿宋_GB2312" w:eastAsia="仿宋_GB2312" w:cs="仿宋_GB2312"/>
          <w:sz w:val="24"/>
        </w:rPr>
        <w:t>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rPr>
        <w:t>11.1.2</w:t>
      </w:r>
      <w:r>
        <w:rPr>
          <w:rFonts w:hint="eastAsia" w:ascii="仿宋_GB2312" w:hAnsi="仿宋_GB2312" w:eastAsia="仿宋_GB2312" w:cs="仿宋_GB2312"/>
          <w:sz w:val="24"/>
          <w:lang w:eastAsia="zh-CN"/>
        </w:rPr>
        <w:t>法人</w:t>
      </w:r>
      <w:r>
        <w:rPr>
          <w:rFonts w:hint="eastAsia" w:ascii="仿宋_GB2312" w:hAnsi="仿宋_GB2312" w:eastAsia="仿宋_GB2312" w:cs="仿宋_GB2312"/>
          <w:sz w:val="24"/>
        </w:rPr>
        <w:t>授权书（如法定代表人直接参加投标并对相应文件签字的，只需提供其身份证复印件正反面；如以联合体形式参加政府采购活动的，按招标文件有关格式范例提供联合</w:t>
      </w:r>
      <w:r>
        <w:rPr>
          <w:rFonts w:hint="eastAsia" w:ascii="仿宋_GB2312" w:hAnsi="仿宋_GB2312" w:eastAsia="仿宋_GB2312" w:cs="仿宋_GB2312"/>
          <w:sz w:val="24"/>
          <w:highlight w:val="none"/>
        </w:rPr>
        <w:t>体投标授权书）；▲</w:t>
      </w:r>
      <w:r>
        <w:rPr>
          <w:rFonts w:hint="eastAsia" w:ascii="仿宋_GB2312" w:hAnsi="仿宋_GB2312" w:eastAsia="仿宋_GB2312" w:cs="仿宋_GB2312"/>
          <w:b/>
          <w:sz w:val="24"/>
          <w:highlight w:val="none"/>
        </w:rPr>
        <w:t>投标文件中法人授权书所载内容与本项目内容有异的，投标无效</w:t>
      </w:r>
      <w:r>
        <w:rPr>
          <w:rFonts w:hint="eastAsia" w:ascii="仿宋_GB2312" w:hAnsi="仿宋_GB2312" w:eastAsia="仿宋_GB2312" w:cs="仿宋_GB2312"/>
          <w:b/>
          <w:sz w:val="24"/>
          <w:highlight w:val="none"/>
          <w:lang w:eastAsia="zh-CN"/>
        </w:rPr>
        <w:t>；</w:t>
      </w:r>
    </w:p>
    <w:p>
      <w:pPr>
        <w:pStyle w:val="33"/>
        <w:spacing w:line="360" w:lineRule="auto"/>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11.1.3法定代表人及其授权代表的身份证（复印件）</w:t>
      </w:r>
      <w:r>
        <w:rPr>
          <w:rFonts w:hint="eastAsia" w:ascii="仿宋_GB2312" w:hAnsi="仿宋_GB2312" w:eastAsia="仿宋_GB2312" w:cs="仿宋_GB2312"/>
          <w:sz w:val="24"/>
          <w:highlight w:val="none"/>
          <w:lang w:eastAsia="zh-CN"/>
        </w:rPr>
        <w:t>；</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w:t>
      </w:r>
      <w:r>
        <w:rPr>
          <w:rFonts w:hint="eastAsia" w:ascii="仿宋_GB2312" w:hAnsi="仿宋" w:eastAsia="仿宋_GB2312" w:cs="仿宋_GB2312"/>
          <w:sz w:val="24"/>
        </w:rPr>
        <w:t>符合参与政府采购活动的资格条件并且没有税收缴纳、社会保障等方面的失信记录的承诺函；</w:t>
      </w:r>
    </w:p>
    <w:p>
      <w:pPr>
        <w:pStyle w:val="33"/>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11.1.5具有履行合同所必需的设备和专业技术能力的承诺函；</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11.1.6参加政府采购活动前三年内，在经营活动中没有重大违法记录的声明；</w:t>
      </w:r>
    </w:p>
    <w:p>
      <w:pPr>
        <w:snapToGrid w:val="0"/>
        <w:spacing w:line="360" w:lineRule="auto"/>
        <w:ind w:firstLine="480" w:firstLineChars="200"/>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11.1.7</w:t>
      </w:r>
      <w:r>
        <w:rPr>
          <w:rFonts w:hint="eastAsia" w:ascii="仿宋_GB2312" w:hAnsi="仿宋_GB2312" w:eastAsia="仿宋_GB2312" w:cs="仿宋_GB2312"/>
          <w:sz w:val="24"/>
          <w:szCs w:val="20"/>
          <w:highlight w:val="none"/>
        </w:rPr>
        <w:t>具有良好商业信誉的声明；</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11.1.8</w:t>
      </w:r>
      <w:r>
        <w:rPr>
          <w:rFonts w:hint="eastAsia" w:ascii="仿宋_GB2312" w:hAnsi="仿宋_GB2312" w:eastAsia="仿宋_GB2312" w:cs="仿宋_GB2312"/>
          <w:sz w:val="24"/>
        </w:rPr>
        <w:t>符合特定资格条件（如果项目要求）的有关证明材料（复印件）；</w:t>
      </w:r>
    </w:p>
    <w:p>
      <w:pPr>
        <w:adjustRightIn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11.1.</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以联合体形式投标的，提供联合体协议；本项目不接受联合体投标或者投标人不以联合体形式投标的，则不需要提供</w:t>
      </w:r>
      <w:r>
        <w:rPr>
          <w:rFonts w:hint="eastAsia" w:ascii="仿宋_GB2312" w:hAnsi="仿宋_GB2312" w:eastAsia="仿宋_GB2312" w:cs="仿宋_GB2312"/>
          <w:sz w:val="24"/>
          <w:lang w:eastAsia="zh-CN"/>
        </w:rPr>
        <w:t>；</w:t>
      </w:r>
    </w:p>
    <w:p>
      <w:pPr>
        <w:adjustRightInd w:val="0"/>
        <w:spacing w:line="360" w:lineRule="auto"/>
        <w:ind w:firstLine="480" w:firstLineChars="200"/>
        <w:rPr>
          <w:rFonts w:hint="eastAsia" w:ascii="仿宋_GB2312" w:hAnsi="仿宋_GB2312" w:eastAsia="仿宋_GB2312" w:cs="仿宋_GB2312"/>
          <w:sz w:val="24"/>
          <w:szCs w:val="24"/>
          <w:u w:val="single"/>
          <w:lang w:val="zh-CN"/>
        </w:rPr>
      </w:pPr>
      <w:r>
        <w:rPr>
          <w:rFonts w:hint="eastAsia" w:ascii="仿宋_GB2312" w:hAnsi="仿宋_GB2312" w:eastAsia="仿宋_GB2312" w:cs="仿宋_GB2312"/>
          <w:kern w:val="0"/>
          <w:sz w:val="24"/>
          <w:szCs w:val="24"/>
          <w:lang w:val="zh-CN"/>
        </w:rPr>
        <w:t xml:space="preserve">11.2 </w:t>
      </w:r>
      <w:r>
        <w:rPr>
          <w:rFonts w:hint="eastAsia" w:ascii="仿宋_GB2312" w:hAnsi="仿宋_GB2312" w:eastAsia="仿宋_GB2312" w:cs="仿宋_GB2312"/>
          <w:sz w:val="24"/>
          <w:szCs w:val="24"/>
        </w:rPr>
        <w:t>投标人的</w:t>
      </w:r>
      <w:r>
        <w:rPr>
          <w:rFonts w:hint="eastAsia" w:ascii="仿宋_GB2312" w:hAnsi="仿宋_GB2312" w:eastAsia="仿宋_GB2312" w:cs="仿宋_GB2312"/>
          <w:b/>
          <w:sz w:val="24"/>
          <w:szCs w:val="24"/>
        </w:rPr>
        <w:t>报价文件</w:t>
      </w:r>
      <w:r>
        <w:rPr>
          <w:rFonts w:hint="eastAsia" w:ascii="仿宋_GB2312" w:hAnsi="仿宋_GB2312" w:eastAsia="仿宋_GB2312" w:cs="仿宋_GB2312"/>
          <w:sz w:val="24"/>
          <w:szCs w:val="24"/>
        </w:rPr>
        <w:t>应包括以下内容（均需使用电子签名）：</w:t>
      </w:r>
    </w:p>
    <w:p>
      <w:pPr>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11.2.1</w:t>
      </w:r>
      <w:r>
        <w:rPr>
          <w:rFonts w:hint="eastAsia" w:ascii="仿宋_GB2312" w:hAnsi="仿宋_GB2312" w:eastAsia="仿宋_GB2312" w:cs="仿宋_GB2312"/>
          <w:kern w:val="0"/>
          <w:sz w:val="24"/>
          <w:szCs w:val="24"/>
        </w:rPr>
        <w:t>投标响应函</w:t>
      </w:r>
      <w:r>
        <w:rPr>
          <w:rFonts w:hint="eastAsia" w:ascii="仿宋_GB2312" w:hAnsi="仿宋_GB2312" w:eastAsia="仿宋_GB2312" w:cs="仿宋_GB2312"/>
          <w:sz w:val="24"/>
          <w:szCs w:val="24"/>
        </w:rPr>
        <w:t>；</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11.2.2投标(开标)一览表；</w:t>
      </w:r>
    </w:p>
    <w:p>
      <w:pPr>
        <w:adjustRightInd w:val="0"/>
        <w:snapToGrid w:val="0"/>
        <w:spacing w:line="360" w:lineRule="auto"/>
        <w:ind w:firstLine="480" w:firstLineChars="200"/>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11.2.3中小企业声明函。</w:t>
      </w:r>
    </w:p>
    <w:p>
      <w:pPr>
        <w:adjustRightInd w:val="0"/>
        <w:spacing w:line="360" w:lineRule="auto"/>
        <w:ind w:firstLine="480" w:firstLineChars="200"/>
        <w:rPr>
          <w:rFonts w:hint="eastAsia" w:ascii="仿宋_GB2312" w:hAnsi="仿宋_GB2312" w:eastAsia="仿宋_GB2312" w:cs="仿宋_GB2312"/>
          <w:snapToGrid w:val="0"/>
          <w:sz w:val="24"/>
          <w:szCs w:val="24"/>
          <w:lang w:val="zh-CN"/>
        </w:rPr>
      </w:pPr>
      <w:r>
        <w:rPr>
          <w:rFonts w:hint="eastAsia" w:ascii="仿宋_GB2312" w:hAnsi="仿宋_GB2312" w:eastAsia="仿宋_GB2312" w:cs="仿宋_GB2312"/>
          <w:snapToGrid w:val="0"/>
          <w:kern w:val="0"/>
          <w:sz w:val="24"/>
          <w:szCs w:val="24"/>
          <w:lang w:val="zh-CN"/>
        </w:rPr>
        <w:t>11.3  投标人的</w:t>
      </w:r>
      <w:r>
        <w:rPr>
          <w:rFonts w:hint="eastAsia" w:ascii="仿宋_GB2312" w:hAnsi="仿宋_GB2312" w:eastAsia="仿宋_GB2312" w:cs="仿宋_GB2312"/>
          <w:b/>
          <w:snapToGrid w:val="0"/>
          <w:sz w:val="24"/>
          <w:szCs w:val="24"/>
        </w:rPr>
        <w:t>商务技术</w:t>
      </w:r>
      <w:r>
        <w:rPr>
          <w:rFonts w:hint="eastAsia" w:ascii="仿宋_GB2312" w:hAnsi="仿宋_GB2312" w:eastAsia="仿宋_GB2312" w:cs="仿宋_GB2312"/>
          <w:b/>
          <w:snapToGrid w:val="0"/>
          <w:kern w:val="0"/>
          <w:sz w:val="24"/>
          <w:szCs w:val="24"/>
          <w:lang w:val="zh-CN"/>
        </w:rPr>
        <w:t>文件应</w:t>
      </w:r>
      <w:r>
        <w:rPr>
          <w:rFonts w:hint="eastAsia" w:ascii="仿宋_GB2312" w:hAnsi="仿宋_GB2312" w:eastAsia="仿宋_GB2312" w:cs="仿宋_GB2312"/>
          <w:snapToGrid w:val="0"/>
          <w:kern w:val="0"/>
          <w:sz w:val="24"/>
          <w:szCs w:val="24"/>
          <w:lang w:val="zh-CN"/>
        </w:rPr>
        <w:t>包括以下内容</w:t>
      </w:r>
      <w:r>
        <w:rPr>
          <w:rFonts w:hint="eastAsia" w:ascii="仿宋_GB2312" w:hAnsi="仿宋_GB2312" w:eastAsia="仿宋_GB2312" w:cs="仿宋_GB2312"/>
          <w:snapToGrid w:val="0"/>
          <w:sz w:val="24"/>
          <w:szCs w:val="24"/>
        </w:rPr>
        <w:t>（均需使用电子签名）</w:t>
      </w:r>
      <w:r>
        <w:rPr>
          <w:rFonts w:hint="eastAsia" w:ascii="仿宋_GB2312" w:hAnsi="仿宋_GB2312" w:eastAsia="仿宋_GB2312" w:cs="仿宋_GB2312"/>
          <w:snapToGrid w:val="0"/>
          <w:kern w:val="0"/>
          <w:sz w:val="24"/>
          <w:szCs w:val="24"/>
          <w:lang w:val="zh-CN"/>
        </w:rPr>
        <w:t>：</w:t>
      </w:r>
      <w:r>
        <w:rPr>
          <w:rFonts w:hint="eastAsia" w:ascii="仿宋_GB2312" w:hAnsi="仿宋_GB2312" w:eastAsia="仿宋_GB2312" w:cs="仿宋_GB2312"/>
          <w:snapToGrid w:val="0"/>
          <w:sz w:val="24"/>
          <w:szCs w:val="24"/>
          <w:lang w:val="zh-CN"/>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资信文件：</w:t>
      </w:r>
      <w:r>
        <w:rPr>
          <w:rFonts w:hint="eastAsia" w:ascii="仿宋_GB2312" w:hAnsi="仿宋_GB2312" w:eastAsia="仿宋_GB2312" w:cs="仿宋_GB2312"/>
          <w:kern w:val="0"/>
          <w:sz w:val="24"/>
          <w:szCs w:val="20"/>
        </w:rPr>
        <w:t>见投标须知前附表所述；</w:t>
      </w:r>
    </w:p>
    <w:p>
      <w:pPr>
        <w:pStyle w:val="232"/>
        <w:snapToGrid w:val="0"/>
        <w:spacing w:before="0"/>
        <w:ind w:firstLine="480"/>
        <w:rPr>
          <w:rFonts w:hint="eastAsia" w:ascii="仿宋_GB2312" w:hAnsi="仿宋_GB2312" w:eastAsia="仿宋_GB2312" w:cs="仿宋_GB2312"/>
          <w:kern w:val="0"/>
          <w:highlight w:val="none"/>
          <w:lang w:val="zh-CN"/>
        </w:rPr>
      </w:pPr>
      <w:r>
        <w:rPr>
          <w:rFonts w:hint="eastAsia" w:ascii="仿宋_GB2312" w:hAnsi="仿宋_GB2312" w:eastAsia="仿宋_GB2312" w:cs="仿宋_GB2312"/>
          <w:lang w:val="zh-CN"/>
        </w:rPr>
        <w:t>11.3.</w:t>
      </w:r>
      <w:r>
        <w:rPr>
          <w:rFonts w:hint="eastAsia" w:ascii="仿宋_GB2312" w:hAnsi="仿宋_GB2312" w:eastAsia="仿宋_GB2312" w:cs="仿宋_GB2312"/>
          <w:lang w:val="en-US" w:eastAsia="zh-CN"/>
        </w:rPr>
        <w:t>2</w:t>
      </w:r>
      <w:r>
        <w:rPr>
          <w:rFonts w:hint="eastAsia" w:ascii="仿宋_GB2312" w:hAnsi="仿宋_GB2312" w:eastAsia="仿宋_GB2312" w:cs="仿宋_GB2312"/>
          <w:kern w:val="0"/>
        </w:rPr>
        <w:t>投标人的主要业绩证明材料即</w:t>
      </w:r>
      <w:r>
        <w:rPr>
          <w:rFonts w:hint="eastAsia" w:ascii="仿宋_GB2312" w:hAnsi="仿宋_GB2312" w:eastAsia="仿宋_GB2312" w:cs="仿宋_GB2312"/>
          <w:lang w:val="zh-CN"/>
        </w:rPr>
        <w:t>合同</w:t>
      </w:r>
      <w:r>
        <w:rPr>
          <w:rFonts w:hint="eastAsia" w:ascii="仿宋_GB2312" w:hAnsi="仿宋_GB2312" w:eastAsia="仿宋_GB2312" w:cs="仿宋_GB2312"/>
        </w:rPr>
        <w:t>和用户验收报告</w:t>
      </w:r>
      <w:r>
        <w:rPr>
          <w:rFonts w:hint="eastAsia" w:ascii="仿宋_GB2312" w:hAnsi="仿宋_GB2312" w:eastAsia="仿宋_GB2312" w:cs="仿宋_GB2312"/>
          <w:lang w:eastAsia="zh-CN"/>
        </w:rPr>
        <w:t>（如需要）</w:t>
      </w:r>
      <w:r>
        <w:rPr>
          <w:rFonts w:hint="eastAsia" w:ascii="仿宋_GB2312" w:hAnsi="仿宋_GB2312" w:eastAsia="仿宋_GB2312" w:cs="仿宋_GB2312"/>
          <w:szCs w:val="24"/>
        </w:rPr>
        <w:t>（</w:t>
      </w:r>
      <w:r>
        <w:rPr>
          <w:rFonts w:hint="eastAsia" w:ascii="仿宋_GB2312" w:hAnsi="仿宋_GB2312" w:eastAsia="仿宋_GB2312" w:cs="仿宋_GB2312"/>
        </w:rPr>
        <w:t>联合体投标的，联合体各方</w:t>
      </w:r>
      <w:r>
        <w:rPr>
          <w:rFonts w:hint="eastAsia" w:ascii="仿宋_GB2312" w:hAnsi="仿宋_GB2312" w:eastAsia="仿宋_GB2312" w:cs="仿宋_GB2312"/>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w:t>
      </w:r>
      <w:r>
        <w:rPr>
          <w:rFonts w:hint="eastAsia" w:ascii="仿宋_GB2312" w:hAnsi="仿宋_GB2312" w:eastAsia="仿宋_GB2312" w:cs="仿宋_GB2312"/>
          <w:kern w:val="0"/>
          <w:highlight w:val="none"/>
        </w:rPr>
        <w:t>项目采购人同意分包的证明材料</w:t>
      </w:r>
      <w:r>
        <w:rPr>
          <w:rFonts w:hint="eastAsia" w:ascii="仿宋_GB2312" w:hAnsi="仿宋_GB2312" w:eastAsia="仿宋_GB2312" w:cs="仿宋_GB2312"/>
          <w:szCs w:val="24"/>
          <w:highlight w:val="none"/>
        </w:rPr>
        <w:t>)</w:t>
      </w:r>
      <w:r>
        <w:rPr>
          <w:rFonts w:hint="eastAsia" w:ascii="仿宋_GB2312" w:hAnsi="仿宋_GB2312" w:eastAsia="仿宋_GB2312" w:cs="仿宋_GB2312"/>
          <w:kern w:val="0"/>
          <w:highlight w:val="none"/>
        </w:rPr>
        <w:t>；</w:t>
      </w:r>
    </w:p>
    <w:p>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kern w:val="0"/>
          <w:sz w:val="24"/>
          <w:highlight w:val="none"/>
          <w:lang w:val="zh-CN"/>
        </w:rPr>
        <w:t>投标人认为需要的其他商务文件或说明；</w:t>
      </w:r>
      <w:r>
        <w:rPr>
          <w:rFonts w:hint="eastAsia" w:ascii="仿宋_GB2312" w:hAnsi="仿宋_GB2312" w:eastAsia="仿宋_GB2312" w:cs="仿宋_GB2312"/>
          <w:sz w:val="24"/>
          <w:highlight w:val="none"/>
        </w:rPr>
        <w:t xml:space="preserve"> </w:t>
      </w:r>
    </w:p>
    <w:p>
      <w:pPr>
        <w:pStyle w:val="33"/>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4</w:t>
      </w:r>
      <w:r>
        <w:rPr>
          <w:rFonts w:hint="eastAsia" w:ascii="仿宋_GB2312" w:hAnsi="仿宋" w:eastAsia="仿宋_GB2312" w:cs="Times New Roman"/>
          <w:sz w:val="24"/>
          <w:szCs w:val="24"/>
          <w:highlight w:val="none"/>
        </w:rPr>
        <w:t>技术和服务方案，</w:t>
      </w:r>
      <w:r>
        <w:rPr>
          <w:rFonts w:hint="eastAsia" w:ascii="仿宋_GB2312" w:hAnsi="仿宋" w:eastAsia="仿宋_GB2312" w:cs="Times New Roman"/>
          <w:b/>
          <w:sz w:val="24"/>
          <w:szCs w:val="24"/>
          <w:highlight w:val="none"/>
        </w:rPr>
        <w:t>投标人根据项目</w:t>
      </w:r>
      <w:r>
        <w:rPr>
          <w:rFonts w:hint="eastAsia" w:ascii="仿宋_GB2312" w:hAnsi="仿宋" w:eastAsia="仿宋_GB2312" w:cs="微软雅黑"/>
          <w:b/>
          <w:sz w:val="24"/>
          <w:szCs w:val="24"/>
          <w:highlight w:val="none"/>
        </w:rPr>
        <w:t>采购需求、评分标准等</w:t>
      </w:r>
      <w:r>
        <w:rPr>
          <w:rFonts w:hint="eastAsia" w:ascii="仿宋_GB2312" w:hAnsi="仿宋" w:eastAsia="仿宋_GB2312" w:cs="Times New Roman"/>
          <w:b/>
          <w:sz w:val="24"/>
          <w:szCs w:val="24"/>
          <w:highlight w:val="none"/>
        </w:rPr>
        <w:t>提出合理的技术和服务方案</w:t>
      </w:r>
      <w:r>
        <w:rPr>
          <w:rFonts w:hint="eastAsia" w:ascii="仿宋_GB2312" w:hAnsi="仿宋"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snapToGrid w:val="0"/>
          <w:kern w:val="0"/>
          <w:sz w:val="24"/>
          <w:szCs w:val="21"/>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napToGrid w:val="0"/>
          <w:kern w:val="0"/>
          <w:sz w:val="24"/>
          <w:szCs w:val="21"/>
          <w:highlight w:val="none"/>
        </w:rPr>
        <w:t>技术和服务偏离说明表，投标人应对采购需求中所提出各项要求明确是否偏离</w:t>
      </w:r>
      <w:r>
        <w:rPr>
          <w:rFonts w:hint="eastAsia" w:ascii="仿宋_GB2312" w:hAnsi="仿宋_GB2312" w:eastAsia="仿宋_GB2312" w:cs="仿宋_GB2312"/>
          <w:snapToGrid w:val="0"/>
          <w:kern w:val="0"/>
          <w:sz w:val="24"/>
          <w:szCs w:val="21"/>
          <w:highlight w:val="none"/>
          <w:lang w:val="zh-CN"/>
        </w:rPr>
        <w:t xml:space="preserve">； </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kern w:val="0"/>
          <w:sz w:val="24"/>
          <w:szCs w:val="24"/>
          <w:highlight w:val="none"/>
          <w:lang w:val="zh-CN"/>
        </w:rPr>
        <w:t>组织实施方案</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b/>
          <w:sz w:val="24"/>
          <w:szCs w:val="24"/>
          <w:highlight w:val="none"/>
        </w:rPr>
        <w:t>投标人根据项目采购需求、评分标准等提出组织实施方案</w:t>
      </w:r>
      <w:r>
        <w:rPr>
          <w:rFonts w:hint="eastAsia" w:ascii="仿宋_GB2312" w:hAnsi="仿宋_GB2312" w:eastAsia="仿宋_GB2312" w:cs="仿宋_GB2312"/>
          <w:b/>
          <w:kern w:val="0"/>
          <w:sz w:val="24"/>
          <w:szCs w:val="24"/>
          <w:highlight w:val="none"/>
          <w:lang w:val="zh-CN"/>
        </w:rPr>
        <w:t>；</w:t>
      </w:r>
    </w:p>
    <w:p>
      <w:pPr>
        <w:adjustRightInd w:val="0"/>
        <w:snapToGrid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szCs w:val="24"/>
          <w:highlight w:val="none"/>
        </w:rPr>
        <w:t>人员投入计划</w:t>
      </w:r>
      <w:r>
        <w:rPr>
          <w:rFonts w:hint="eastAsia" w:ascii="仿宋_GB2312" w:hAnsi="仿宋_GB2312" w:eastAsia="仿宋_GB2312" w:cs="仿宋_GB2312"/>
          <w:snapToGrid w:val="0"/>
          <w:kern w:val="0"/>
          <w:sz w:val="24"/>
          <w:szCs w:val="24"/>
          <w:highlight w:val="none"/>
        </w:rPr>
        <w:t>：人员数量配置（重要岗位须人员详细资料，并附上有关证明材料）等</w:t>
      </w:r>
      <w:r>
        <w:rPr>
          <w:rFonts w:hint="eastAsia" w:ascii="仿宋_GB2312" w:hAnsi="仿宋_GB2312" w:eastAsia="仿宋_GB2312" w:cs="仿宋_GB2312"/>
          <w:kern w:val="0"/>
          <w:sz w:val="24"/>
          <w:szCs w:val="24"/>
          <w:highlight w:val="none"/>
          <w:lang w:val="zh-CN"/>
        </w:rPr>
        <w:t>；</w:t>
      </w:r>
    </w:p>
    <w:p>
      <w:pPr>
        <w:tabs>
          <w:tab w:val="left" w:pos="0"/>
          <w:tab w:val="left" w:pos="840"/>
        </w:tabs>
        <w:autoSpaceDE w:val="0"/>
        <w:autoSpaceDN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8</w:t>
      </w:r>
      <w:r>
        <w:rPr>
          <w:rFonts w:hint="eastAsia" w:ascii="仿宋_GB2312" w:hAnsi="仿宋_GB2312" w:eastAsia="仿宋_GB2312" w:cs="仿宋_GB2312"/>
          <w:sz w:val="24"/>
          <w:szCs w:val="24"/>
          <w:highlight w:val="none"/>
        </w:rPr>
        <w:t>材料、设备、工具等投入计划</w:t>
      </w:r>
      <w:r>
        <w:rPr>
          <w:rFonts w:hint="eastAsia" w:ascii="仿宋_GB2312" w:hAnsi="仿宋_GB2312" w:eastAsia="仿宋_GB2312" w:cs="仿宋_GB2312"/>
          <w:kern w:val="0"/>
          <w:sz w:val="24"/>
          <w:szCs w:val="24"/>
          <w:highlight w:val="none"/>
          <w:lang w:val="zh-CN"/>
        </w:rPr>
        <w:t>；</w:t>
      </w:r>
    </w:p>
    <w:p>
      <w:pPr>
        <w:tabs>
          <w:tab w:val="left" w:pos="0"/>
          <w:tab w:val="left" w:pos="840"/>
        </w:tabs>
        <w:autoSpaceDE w:val="0"/>
        <w:autoSpaceDN w:val="0"/>
        <w:spacing w:line="360" w:lineRule="auto"/>
        <w:ind w:firstLine="480" w:firstLineChars="200"/>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sz w:val="24"/>
          <w:highlight w:val="none"/>
          <w:lang w:val="zh-CN"/>
        </w:rPr>
        <w:t>11.3.</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napToGrid w:val="0"/>
          <w:kern w:val="0"/>
          <w:sz w:val="24"/>
          <w:szCs w:val="24"/>
          <w:highlight w:val="none"/>
        </w:rPr>
        <w:t>各项服务承诺</w:t>
      </w:r>
      <w:r>
        <w:rPr>
          <w:rFonts w:hint="eastAsia" w:ascii="仿宋_GB2312" w:hAnsi="仿宋_GB2312" w:eastAsia="仿宋_GB2312" w:cs="仿宋_GB2312"/>
          <w:kern w:val="0"/>
          <w:sz w:val="24"/>
          <w:szCs w:val="24"/>
          <w:highlight w:val="none"/>
          <w:lang w:val="zh-CN"/>
        </w:rPr>
        <w:t>；</w:t>
      </w:r>
    </w:p>
    <w:p>
      <w:pPr>
        <w:snapToGrid w:val="0"/>
        <w:spacing w:line="360" w:lineRule="auto"/>
        <w:ind w:firstLine="480" w:firstLineChars="200"/>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kern w:val="0"/>
          <w:sz w:val="24"/>
          <w:szCs w:val="24"/>
          <w:lang w:val="zh-CN"/>
        </w:rPr>
        <w:t>认为需要的其他技术文件或说明（如果有）</w:t>
      </w:r>
    </w:p>
    <w:p>
      <w:pPr>
        <w:tabs>
          <w:tab w:val="left" w:pos="0"/>
        </w:tabs>
        <w:autoSpaceDE w:val="0"/>
        <w:autoSpaceDN w:val="0"/>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sz w:val="24"/>
          <w:lang w:val="zh-CN"/>
        </w:rPr>
        <w:t>11.3.</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480" w:firstLineChars="200"/>
        <w:rPr>
          <w:rFonts w:hint="eastAsia"/>
          <w:lang w:val="zh-CN"/>
        </w:rPr>
      </w:pPr>
      <w:r>
        <w:rPr>
          <w:rFonts w:hint="eastAsia" w:ascii="仿宋_GB2312" w:hAnsi="仿宋" w:eastAsia="仿宋_GB2312" w:cs="仿宋_GB2312"/>
          <w:kern w:val="0"/>
          <w:sz w:val="24"/>
          <w:lang w:val="zh-CN"/>
        </w:rPr>
        <w:t>11.3.1</w:t>
      </w:r>
      <w:r>
        <w:rPr>
          <w:rFonts w:hint="eastAsia" w:ascii="仿宋_GB2312" w:hAnsi="仿宋" w:eastAsia="仿宋_GB2312" w:cs="仿宋_GB2312"/>
          <w:kern w:val="0"/>
          <w:sz w:val="24"/>
          <w:lang w:val="en-US" w:eastAsia="zh-CN"/>
        </w:rPr>
        <w:t>2</w:t>
      </w:r>
      <w:r>
        <w:rPr>
          <w:rFonts w:hint="eastAsia" w:ascii="仿宋_GB2312" w:hAnsi="仿宋" w:eastAsia="仿宋_GB2312" w:cs="仿宋_GB2312"/>
          <w:kern w:val="0"/>
          <w:sz w:val="24"/>
          <w:lang w:val="zh-CN"/>
        </w:rPr>
        <w:t>廉政承诺书。</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▲投标文件组成漏项，内容不全或内容字迹模糊辨认不清的，投标无效；</w:t>
      </w:r>
    </w:p>
    <w:p>
      <w:pPr>
        <w:adjustRightInd w:val="0"/>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▲投标文件含有采购人不能接受的附加条件的，投标无效；</w:t>
      </w:r>
    </w:p>
    <w:p>
      <w:pPr>
        <w:adjustRightInd w:val="0"/>
        <w:spacing w:line="360" w:lineRule="auto"/>
        <w:ind w:firstLine="482" w:firstLineChars="200"/>
        <w:rPr>
          <w:rFonts w:hint="eastAsia" w:ascii="仿宋_GB2312" w:hAnsi="仿宋_GB2312" w:eastAsia="仿宋_GB2312" w:cs="仿宋_GB2312"/>
          <w:b/>
          <w:sz w:val="24"/>
          <w:szCs w:val="21"/>
        </w:rPr>
      </w:pPr>
      <w:r>
        <w:rPr>
          <w:rFonts w:hint="eastAsia" w:ascii="仿宋_GB2312" w:hAnsi="仿宋_GB2312" w:eastAsia="仿宋_GB2312" w:cs="仿宋_GB2312"/>
          <w:b/>
          <w:sz w:val="24"/>
          <w:szCs w:val="24"/>
        </w:rPr>
        <w:t>▲投标人提供虚假材料投标的，投标无效。</w:t>
      </w:r>
    </w:p>
    <w:p>
      <w:pPr>
        <w:adjustRightInd w:val="0"/>
        <w:snapToGrid w:val="0"/>
        <w:spacing w:after="120"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12</w:t>
      </w:r>
      <w:r>
        <w:rPr>
          <w:rFonts w:hint="eastAsia" w:ascii="仿宋_GB2312" w:hAnsi="仿宋_GB2312" w:eastAsia="仿宋_GB2312" w:cs="仿宋_GB2312"/>
          <w:b/>
          <w:kern w:val="0"/>
          <w:sz w:val="24"/>
          <w:szCs w:val="24"/>
          <w:lang w:val="zh-CN"/>
        </w:rPr>
        <w:t xml:space="preserve">. </w:t>
      </w:r>
      <w:r>
        <w:rPr>
          <w:rFonts w:hint="eastAsia" w:ascii="仿宋_GB2312" w:hAnsi="仿宋_GB2312" w:eastAsia="仿宋_GB2312" w:cs="仿宋_GB2312"/>
          <w:b/>
          <w:sz w:val="24"/>
          <w:szCs w:val="24"/>
        </w:rPr>
        <w:t>投标文件的编制</w:t>
      </w:r>
    </w:p>
    <w:p>
      <w:pPr>
        <w:adjustRightInd w:val="0"/>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_GB2312" w:eastAsia="仿宋_GB2312" w:cs="仿宋_GB2312"/>
          <w:b/>
          <w:sz w:val="24"/>
          <w:szCs w:val="24"/>
        </w:rPr>
        <w:t>▲投标文件未按规定的格式编制的，投标无效；</w:t>
      </w:r>
    </w:p>
    <w:p>
      <w:pPr>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13.投标文件的签署、盖章</w:t>
      </w:r>
    </w:p>
    <w:p>
      <w:pPr>
        <w:adjustRightInd w:val="0"/>
        <w:snapToGrid w:val="0"/>
        <w:spacing w:after="120"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szCs w:val="24"/>
        </w:rPr>
        <w:t>13.1投标文件按照招标文件第六部分格式要</w:t>
      </w:r>
      <w:r>
        <w:rPr>
          <w:rFonts w:hint="eastAsia" w:ascii="仿宋_GB2312" w:hAnsi="仿宋_GB2312" w:eastAsia="仿宋_GB2312" w:cs="仿宋_GB2312"/>
          <w:sz w:val="24"/>
        </w:rPr>
        <w:t>求进行签署、盖章。</w:t>
      </w:r>
      <w:r>
        <w:rPr>
          <w:rFonts w:hint="eastAsia" w:ascii="仿宋_GB2312" w:hAnsi="仿宋_GB2312" w:eastAsia="仿宋_GB2312" w:cs="仿宋_GB2312"/>
          <w:b/>
          <w:sz w:val="24"/>
        </w:rPr>
        <w:t>▲投标人的投标文件未按照招标文件要求签署、盖章的，其投标无效</w:t>
      </w:r>
      <w:r>
        <w:rPr>
          <w:rFonts w:hint="eastAsia" w:ascii="仿宋_GB2312" w:hAnsi="仿宋_GB2312" w:eastAsia="仿宋_GB2312" w:cs="仿宋_GB2312"/>
          <w:sz w:val="24"/>
          <w:szCs w:val="24"/>
        </w:rPr>
        <w:t>。</w:t>
      </w:r>
    </w:p>
    <w:p>
      <w:pPr>
        <w:adjustRightInd w:val="0"/>
        <w:snapToGrid w:val="0"/>
        <w:spacing w:after="12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rPr>
        <w:t>13.2为确保网上操作合法、有效和安全，投标人应当在投标截止时间前完成在“政府采购云平台”的身份认证，确保在电子投标过程中能够对相关数据电文进行加密和使用电子签名。</w:t>
      </w:r>
    </w:p>
    <w:p>
      <w:pPr>
        <w:adjustRightInd w:val="0"/>
        <w:spacing w:after="120"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14. 投标文件的提交、补充、修改、撤回</w:t>
      </w:r>
    </w:p>
    <w:p>
      <w:pPr>
        <w:adjustRightInd w:val="0"/>
        <w:spacing w:before="156" w:after="120" w:line="360" w:lineRule="auto"/>
        <w:ind w:firstLine="480" w:firstLineChars="200"/>
        <w:rPr>
          <w:rFonts w:ascii="仿宋_GB2312" w:hAnsi="仿宋" w:eastAsia="仿宋_GB2312" w:cs="仿宋_GB2312"/>
          <w:sz w:val="24"/>
          <w:szCs w:val="24"/>
        </w:rPr>
      </w:pPr>
      <w:r>
        <w:rPr>
          <w:rFonts w:hint="eastAsia" w:ascii="仿宋_GB2312" w:hAnsi="仿宋_GB2312" w:eastAsia="仿宋_GB2312" w:cs="仿宋_GB2312"/>
          <w:sz w:val="24"/>
          <w:szCs w:val="24"/>
        </w:rPr>
        <w:t>14.1供应商应当在投标截止时间前完成投标文件的传输递交，并可以补充、修改</w:t>
      </w:r>
      <w:r>
        <w:rPr>
          <w:rFonts w:hint="eastAsia" w:ascii="仿宋_GB2312" w:hAnsi="仿宋" w:eastAsia="仿宋_GB2312" w:cs="仿宋_GB2312"/>
          <w:sz w:val="24"/>
          <w:szCs w:val="24"/>
        </w:rPr>
        <w:t>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14.2电子交易平台收到投标文件，将妥善保存并即时向供应商发出确认回执通知。在投标截止时间前，除供应商补充、修改或者撤回投标文件外，任何单位和个人不得解密或提取投标文件。</w:t>
      </w:r>
    </w:p>
    <w:p>
      <w:pPr>
        <w:adjustRightIn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14.3采购机构可以视情况延长投标文件提交的截止时间。在上述情况下，采购机构与投标人以前在投标截止期方面的全部权利、责任和义务，将适用于延长至新的投标截止期。</w:t>
      </w:r>
    </w:p>
    <w:p>
      <w:pPr>
        <w:adjustRightInd w:val="0"/>
        <w:spacing w:line="360" w:lineRule="auto"/>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15.备份投标文件</w:t>
      </w:r>
    </w:p>
    <w:p>
      <w:pPr>
        <w:adjustRightInd w:val="0"/>
        <w:spacing w:line="360" w:lineRule="auto"/>
        <w:ind w:firstLine="360" w:firstLineChars="15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napToGrid w:val="0"/>
          <w:sz w:val="24"/>
          <w:szCs w:val="24"/>
        </w:rPr>
        <w:t>但采购人、采购机构不强制或变相强制投标人提交备份投标文件。</w:t>
      </w:r>
    </w:p>
    <w:p>
      <w:pPr>
        <w:adjustRightInd w:val="0"/>
        <w:spacing w:line="360" w:lineRule="auto"/>
        <w:ind w:firstLine="480" w:firstLineChars="200"/>
        <w:rPr>
          <w:rFonts w:ascii="仿宋_GB2312" w:hAnsi="仿宋" w:eastAsia="仿宋_GB2312" w:cs="仿宋_GB2312"/>
          <w:b/>
          <w:snapToGrid w:val="0"/>
          <w:sz w:val="24"/>
          <w:szCs w:val="24"/>
        </w:rPr>
      </w:pPr>
      <w:r>
        <w:rPr>
          <w:rFonts w:hint="eastAsia" w:ascii="仿宋_GB2312" w:hAnsi="仿宋" w:eastAsia="仿宋_GB2312" w:cs="仿宋_GB2312"/>
          <w:snapToGrid w:val="0"/>
          <w:sz w:val="24"/>
          <w:szCs w:val="24"/>
        </w:rPr>
        <w:t>15.2备份投标文件须在“政采云投标客户端”制作生成，并储</w:t>
      </w:r>
      <w:r>
        <w:rPr>
          <w:rFonts w:hint="eastAsia" w:ascii="仿宋_GB2312" w:hAnsi="仿宋" w:eastAsia="仿宋_GB2312" w:cs="仿宋_GB2312"/>
          <w:snapToGrid w:val="0"/>
          <w:color w:val="auto"/>
          <w:sz w:val="24"/>
          <w:szCs w:val="24"/>
        </w:rPr>
        <w:t>存在不可修改的</w:t>
      </w:r>
      <w:r>
        <w:rPr>
          <w:rFonts w:hint="eastAsia" w:ascii="仿宋_GB2312" w:hAnsi="仿宋" w:eastAsia="仿宋_GB2312" w:cs="Arial"/>
          <w:snapToGrid w:val="0"/>
          <w:color w:val="auto"/>
          <w:sz w:val="24"/>
          <w:szCs w:val="21"/>
        </w:rPr>
        <w:t>电子光盘</w:t>
      </w:r>
      <w:r>
        <w:rPr>
          <w:rFonts w:hint="eastAsia" w:ascii="仿宋_GB2312" w:hAnsi="仿宋" w:eastAsia="仿宋_GB2312" w:cs="仿宋_GB2312"/>
          <w:snapToGrid w:val="0"/>
          <w:color w:val="auto"/>
          <w:sz w:val="24"/>
          <w:szCs w:val="24"/>
        </w:rPr>
        <w:t>中。备份投标文件应当密封包装并在包装上加盖公章并注明投标项目名称，投标人名称(联合体投标的，包装物封面需注明联合体投标，并注明联合体成员各方</w:t>
      </w:r>
      <w:r>
        <w:rPr>
          <w:rFonts w:hint="eastAsia" w:ascii="仿宋_GB2312" w:hAnsi="仿宋" w:eastAsia="仿宋_GB2312" w:cs="仿宋_GB2312"/>
          <w:snapToGrid w:val="0"/>
          <w:sz w:val="24"/>
          <w:szCs w:val="24"/>
        </w:rPr>
        <w:t>的名称和联合体协议中约定的牵头人的名称)</w:t>
      </w:r>
      <w:r>
        <w:rPr>
          <w:rFonts w:hint="eastAsia" w:ascii="仿宋_GB2312" w:hAnsi="仿宋" w:eastAsia="仿宋_GB2312" w:cs="Arial"/>
          <w:b/>
          <w:snapToGrid w:val="0"/>
          <w:sz w:val="24"/>
          <w:szCs w:val="21"/>
        </w:rPr>
        <w:t>▲不符合上述制作、</w:t>
      </w:r>
      <w:r>
        <w:rPr>
          <w:rFonts w:hint="eastAsia" w:ascii="仿宋_GB2312" w:hAnsi="仿宋" w:eastAsia="仿宋_GB2312" w:cs="仿宋_GB2312"/>
          <w:b/>
          <w:snapToGrid w:val="0"/>
          <w:sz w:val="24"/>
          <w:szCs w:val="24"/>
        </w:rPr>
        <w:t>存储、密封规定的备份投标文件将被视为无效或者被拒绝接收。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15.3直接提交备份投标文件的，投标人应于投标截止时间前在招标公告中载明的开标地点将备份投标文件提交给采购机构，采购机构将拒绝接受逾期送达的备份投标文件。</w:t>
      </w:r>
    </w:p>
    <w:p>
      <w:pPr>
        <w:adjustRightInd w:val="0"/>
        <w:spacing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15.4以邮政快递方式递交备份投标文件的，投标人应先将备份投标文件按要求密封和标记，再进行邮政快递包装后邮寄。备份投标文件须在投标截止时间之前送达杭州市</w:t>
      </w:r>
      <w:r>
        <w:rPr>
          <w:rFonts w:hint="eastAsia" w:ascii="仿宋_GB2312" w:hAnsi="仿宋" w:eastAsia="仿宋_GB2312" w:cs="仿宋_GB2312"/>
          <w:snapToGrid w:val="0"/>
          <w:sz w:val="24"/>
          <w:szCs w:val="24"/>
          <w:lang w:eastAsia="zh-CN"/>
        </w:rPr>
        <w:t>临安区锦北街道科技大道</w:t>
      </w:r>
      <w:r>
        <w:rPr>
          <w:rFonts w:hint="eastAsia" w:ascii="仿宋_GB2312" w:hAnsi="仿宋" w:eastAsia="仿宋_GB2312" w:cs="仿宋_GB2312"/>
          <w:snapToGrid w:val="0"/>
          <w:sz w:val="24"/>
          <w:szCs w:val="24"/>
          <w:lang w:val="en-US" w:eastAsia="zh-CN"/>
        </w:rPr>
        <w:t>4398号市民中心B座B448室</w:t>
      </w:r>
      <w:r>
        <w:rPr>
          <w:rFonts w:hint="eastAsia" w:ascii="仿宋_GB2312" w:hAnsi="仿宋" w:eastAsia="仿宋_GB2312" w:cs="仿宋_GB2312"/>
          <w:snapToGrid w:val="0"/>
          <w:sz w:val="24"/>
          <w:szCs w:val="24"/>
        </w:rPr>
        <w:t>（杭州市公共资源交易中心</w:t>
      </w:r>
      <w:r>
        <w:rPr>
          <w:rFonts w:hint="eastAsia" w:ascii="仿宋_GB2312" w:hAnsi="仿宋" w:eastAsia="仿宋_GB2312" w:cs="仿宋_GB2312"/>
          <w:snapToGrid w:val="0"/>
          <w:sz w:val="24"/>
          <w:szCs w:val="24"/>
          <w:lang w:eastAsia="zh-CN"/>
        </w:rPr>
        <w:t>临安分中心</w:t>
      </w:r>
      <w:r>
        <w:rPr>
          <w:rFonts w:hint="eastAsia" w:ascii="仿宋_GB2312" w:hAnsi="仿宋" w:eastAsia="仿宋_GB2312" w:cs="仿宋_GB2312"/>
          <w:snapToGrid w:val="0"/>
          <w:sz w:val="24"/>
          <w:szCs w:val="24"/>
        </w:rPr>
        <w:t>政府采购</w:t>
      </w:r>
      <w:r>
        <w:rPr>
          <w:rFonts w:hint="eastAsia" w:ascii="仿宋_GB2312" w:hAnsi="仿宋" w:eastAsia="仿宋_GB2312" w:cs="仿宋_GB2312"/>
          <w:snapToGrid w:val="0"/>
          <w:sz w:val="24"/>
          <w:szCs w:val="24"/>
          <w:lang w:eastAsia="zh-CN"/>
        </w:rPr>
        <w:t>科</w:t>
      </w:r>
      <w:r>
        <w:rPr>
          <w:rFonts w:hint="eastAsia" w:ascii="仿宋_GB2312" w:hAnsi="仿宋" w:eastAsia="仿宋_GB2312" w:cs="仿宋_GB2312"/>
          <w:snapToGrid w:val="0"/>
          <w:sz w:val="24"/>
          <w:szCs w:val="24"/>
        </w:rPr>
        <w:t>）；送达时间以签收人签收时间为准（签收人：</w:t>
      </w:r>
      <w:r>
        <w:rPr>
          <w:rFonts w:hint="eastAsia" w:ascii="仿宋_GB2312" w:hAnsi="仿宋" w:eastAsia="仿宋_GB2312" w:cs="仿宋_GB2312"/>
          <w:snapToGrid w:val="0"/>
          <w:sz w:val="24"/>
          <w:szCs w:val="24"/>
          <w:lang w:eastAsia="zh-CN"/>
        </w:rPr>
        <w:t>杨颖</w:t>
      </w:r>
      <w:r>
        <w:rPr>
          <w:rFonts w:hint="eastAsia" w:ascii="仿宋_GB2312" w:hAnsi="仿宋" w:eastAsia="仿宋_GB2312" w:cs="仿宋_GB2312"/>
          <w:snapToGrid w:val="0"/>
          <w:sz w:val="24"/>
          <w:szCs w:val="24"/>
        </w:rPr>
        <w:t>， 联系电话：0571-</w:t>
      </w:r>
      <w:r>
        <w:rPr>
          <w:rFonts w:hint="eastAsia" w:ascii="仿宋_GB2312" w:hAnsi="仿宋" w:eastAsia="仿宋_GB2312" w:cs="仿宋_GB2312"/>
          <w:snapToGrid w:val="0"/>
          <w:sz w:val="24"/>
          <w:szCs w:val="24"/>
          <w:lang w:val="en-US" w:eastAsia="zh-CN"/>
        </w:rPr>
        <w:t>23616011</w:t>
      </w:r>
      <w:r>
        <w:rPr>
          <w:rFonts w:hint="eastAsia" w:ascii="仿宋_GB2312" w:hAnsi="仿宋" w:eastAsia="仿宋_GB2312" w:cs="仿宋_GB2312"/>
          <w:snapToGrid w:val="0"/>
          <w:sz w:val="24"/>
          <w:szCs w:val="24"/>
        </w:rPr>
        <w:t>）。采购机构将拒绝接受逾期送达的备份投标文件。邮寄过程中，电子备份投标文件发生泄露、遗失、损坏或延期送达等情况的，由投标人自行负责。</w:t>
      </w:r>
    </w:p>
    <w:p>
      <w:pPr>
        <w:adjustRightInd w:val="0"/>
        <w:spacing w:line="360" w:lineRule="auto"/>
        <w:ind w:firstLine="361" w:firstLineChars="150"/>
        <w:rPr>
          <w:rFonts w:ascii="仿宋_GB2312" w:hAnsi="仿宋" w:eastAsia="仿宋_GB2312" w:cs="仿宋_GB2312"/>
          <w:b/>
          <w:snapToGrid w:val="0"/>
          <w:sz w:val="24"/>
          <w:szCs w:val="24"/>
        </w:rPr>
      </w:pPr>
      <w:r>
        <w:rPr>
          <w:rFonts w:hint="eastAsia" w:ascii="仿宋_GB2312" w:hAnsi="仿宋" w:eastAsia="仿宋_GB2312" w:cs="仿宋_GB2312"/>
          <w:b/>
          <w:snapToGrid w:val="0"/>
          <w:sz w:val="24"/>
          <w:szCs w:val="24"/>
        </w:rPr>
        <w:t>15.5</w:t>
      </w:r>
      <w:r>
        <w:rPr>
          <w:rFonts w:hint="eastAsia" w:ascii="仿宋_GB2312" w:hAnsi="仿宋" w:eastAsia="仿宋_GB2312" w:cs="仿宋_GB2312"/>
          <w:sz w:val="24"/>
          <w:szCs w:val="20"/>
        </w:rPr>
        <w:t>▲</w:t>
      </w:r>
      <w:r>
        <w:rPr>
          <w:rFonts w:hint="eastAsia" w:ascii="仿宋_GB2312" w:hAnsi="仿宋" w:eastAsia="仿宋_GB2312" w:cs="仿宋_GB2312"/>
          <w:b/>
          <w:snapToGrid w:val="0"/>
          <w:sz w:val="24"/>
          <w:szCs w:val="24"/>
        </w:rPr>
        <w:t>投标人仅提交备份投标文件，没有在电子交易平台传输递交投标文件的，投标无效。</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16.投标文件的无效处理</w:t>
      </w:r>
    </w:p>
    <w:p>
      <w:pPr>
        <w:adjustRightInd w:val="0"/>
        <w:spacing w:after="120" w:line="360" w:lineRule="auto"/>
        <w:ind w:firstLine="480" w:firstLineChars="200"/>
        <w:rPr>
          <w:rFonts w:ascii="仿宋_GB2312" w:hAnsi="仿宋" w:eastAsia="仿宋_GB2312" w:cs="仿宋_GB2312"/>
          <w:snapToGrid w:val="0"/>
          <w:sz w:val="24"/>
          <w:szCs w:val="24"/>
        </w:rPr>
      </w:pPr>
      <w:r>
        <w:rPr>
          <w:rFonts w:hint="eastAsia" w:ascii="仿宋_GB2312" w:hAnsi="仿宋" w:eastAsia="仿宋_GB2312" w:cs="仿宋_GB2312"/>
          <w:snapToGrid w:val="0"/>
          <w:sz w:val="24"/>
          <w:szCs w:val="24"/>
        </w:rPr>
        <w:t>有招标文件第四部分第</w:t>
      </w:r>
      <w:r>
        <w:rPr>
          <w:rFonts w:ascii="仿宋_GB2312" w:hAnsi="仿宋" w:eastAsia="仿宋_GB2312" w:cs="仿宋_GB2312"/>
          <w:snapToGrid w:val="0"/>
          <w:sz w:val="24"/>
          <w:szCs w:val="24"/>
        </w:rPr>
        <w:t>13项规定的情形之一的，投标无效</w:t>
      </w:r>
      <w:r>
        <w:rPr>
          <w:rFonts w:hint="eastAsia" w:ascii="仿宋_GB2312" w:hAnsi="仿宋" w:eastAsia="仿宋_GB2312" w:cs="仿宋_GB2312"/>
          <w:snapToGrid w:val="0"/>
          <w:sz w:val="24"/>
          <w:szCs w:val="24"/>
        </w:rPr>
        <w:t>。</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17.投标有效期</w:t>
      </w:r>
    </w:p>
    <w:p>
      <w:pPr>
        <w:adjustRightInd w:val="0"/>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17.2投标文件合格投递后，自投标截止日期起，在投标有效期内有效。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17.3在原定投标有效期满之前，如果出现特殊情况，采购机构可以以书面形式通知投标人延长投标有效期。投标人同意延长的，不得要求或被允许修改其投标文件，投标人拒绝延长的，其投标无效。</w:t>
      </w:r>
    </w:p>
    <w:p>
      <w:pPr>
        <w:adjustRightInd w:val="0"/>
        <w:spacing w:after="120" w:line="360" w:lineRule="auto"/>
        <w:ind w:firstLine="643" w:firstLineChars="200"/>
        <w:rPr>
          <w:rFonts w:ascii="仿宋_GB2312" w:hAnsi="仿宋" w:eastAsia="仿宋_GB2312" w:cs="仿宋_GB2312"/>
          <w:b/>
          <w:sz w:val="32"/>
        </w:rPr>
      </w:pPr>
    </w:p>
    <w:p>
      <w:pPr>
        <w:adjustRightInd w:val="0"/>
        <w:spacing w:after="120" w:line="360" w:lineRule="auto"/>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autoSpaceDE w:val="0"/>
        <w:autoSpaceDN w:val="0"/>
        <w:adjustRightInd w:val="0"/>
        <w:spacing w:line="360" w:lineRule="auto"/>
        <w:contextualSpacing/>
        <w:rPr>
          <w:rFonts w:ascii="仿宋_GB2312" w:hAnsi="仿宋" w:eastAsia="仿宋_GB2312" w:cs="Times New Roman"/>
          <w:kern w:val="0"/>
          <w:sz w:val="24"/>
          <w:szCs w:val="20"/>
        </w:rPr>
      </w:pPr>
      <w:r>
        <w:rPr>
          <w:rFonts w:hint="eastAsia" w:ascii="仿宋_GB2312" w:hAnsi="仿宋" w:eastAsia="仿宋_GB2312" w:cs="仿宋_GB2312"/>
          <w:b/>
          <w:kern w:val="0"/>
          <w:sz w:val="24"/>
          <w:szCs w:val="24"/>
        </w:rPr>
        <w:t>18.开标</w:t>
      </w:r>
      <w:r>
        <w:rPr>
          <w:rFonts w:hint="eastAsia" w:ascii="仿宋_GB2312" w:hAnsi="仿宋" w:eastAsia="仿宋_GB2312" w:cs="Times New Roman"/>
          <w:kern w:val="0"/>
          <w:sz w:val="24"/>
          <w:szCs w:val="20"/>
        </w:rPr>
        <w:t xml:space="preserve"> </w:t>
      </w:r>
    </w:p>
    <w:p>
      <w:pPr>
        <w:autoSpaceDE w:val="0"/>
        <w:autoSpaceDN w:val="0"/>
        <w:adjustRightInd w:val="0"/>
        <w:spacing w:line="360" w:lineRule="auto"/>
        <w:ind w:firstLine="480" w:firstLineChars="200"/>
        <w:contextualSpacing/>
        <w:rPr>
          <w:rFonts w:ascii="仿宋_GB2312" w:hAnsi="仿宋" w:eastAsia="仿宋_GB2312" w:cs="仿宋_GB2312"/>
          <w:kern w:val="0"/>
          <w:sz w:val="24"/>
          <w:szCs w:val="20"/>
        </w:rPr>
      </w:pPr>
      <w:r>
        <w:rPr>
          <w:rFonts w:hint="eastAsia" w:ascii="仿宋_GB2312" w:hAnsi="仿宋" w:eastAsia="仿宋_GB2312" w:cs="仿宋_GB2312"/>
          <w:kern w:val="0"/>
          <w:sz w:val="24"/>
          <w:szCs w:val="20"/>
        </w:rPr>
        <w:t>18.1采购机构按照招标文件规定的时间通过电子交易平台组织开标，所有投标人均应当准时在线参加。投标人不足3家的，不得开标。</w:t>
      </w:r>
    </w:p>
    <w:p>
      <w:pPr>
        <w:autoSpaceDE w:val="0"/>
        <w:autoSpaceDN w:val="0"/>
        <w:adjustRightInd w:val="0"/>
        <w:spacing w:line="360" w:lineRule="auto"/>
        <w:ind w:firstLine="240" w:firstLineChars="100"/>
        <w:contextualSpacing/>
        <w:rPr>
          <w:rFonts w:hint="eastAsia" w:ascii="仿宋_GB2312" w:hAnsi="仿宋_GB2312" w:eastAsia="仿宋_GB2312" w:cs="仿宋_GB2312"/>
          <w:kern w:val="0"/>
          <w:sz w:val="24"/>
          <w:szCs w:val="20"/>
        </w:rPr>
      </w:pPr>
      <w:r>
        <w:rPr>
          <w:rFonts w:hint="eastAsia" w:ascii="仿宋_GB2312" w:hAnsi="仿宋" w:eastAsia="仿宋_GB2312" w:cs="仿宋_GB2312"/>
          <w:kern w:val="0"/>
          <w:sz w:val="24"/>
          <w:szCs w:val="20"/>
        </w:rPr>
        <w:t>　18.2开标时，电子交易平台按开标时间自动提取所有投标文件。采购机构依托电子交</w:t>
      </w:r>
      <w:r>
        <w:rPr>
          <w:rFonts w:hint="eastAsia" w:ascii="仿宋_GB2312" w:hAnsi="仿宋_GB2312" w:eastAsia="仿宋_GB2312" w:cs="仿宋_GB2312"/>
          <w:kern w:val="0"/>
          <w:sz w:val="24"/>
          <w:szCs w:val="20"/>
        </w:rPr>
        <w:t>易平台发起开始解密指令，投标人按照平台提示和招标文件的规定在半小时内完成在线解密。</w:t>
      </w:r>
    </w:p>
    <w:p>
      <w:pPr>
        <w:autoSpaceDE w:val="0"/>
        <w:autoSpaceDN w:val="0"/>
        <w:adjustRightInd w:val="0"/>
        <w:spacing w:line="360" w:lineRule="auto"/>
        <w:ind w:firstLine="240" w:firstLineChars="100"/>
        <w:contextualSpacing/>
        <w:rPr>
          <w:rFonts w:hint="eastAsia" w:ascii="仿宋_GB2312" w:hAnsi="仿宋_GB2312" w:eastAsia="仿宋_GB2312" w:cs="仿宋_GB2312"/>
          <w:b/>
          <w:kern w:val="0"/>
          <w:sz w:val="24"/>
          <w:szCs w:val="20"/>
        </w:rPr>
      </w:pPr>
      <w:r>
        <w:rPr>
          <w:rFonts w:hint="eastAsia" w:ascii="仿宋_GB2312" w:hAnsi="仿宋_GB2312" w:eastAsia="仿宋_GB2312" w:cs="仿宋_GB2312"/>
          <w:kern w:val="0"/>
          <w:sz w:val="24"/>
          <w:szCs w:val="20"/>
        </w:rPr>
        <w:t>　18.3</w:t>
      </w:r>
      <w:r>
        <w:rPr>
          <w:rFonts w:hint="eastAsia" w:ascii="仿宋_GB2312" w:hAnsi="仿宋_GB2312" w:eastAsia="仿宋_GB2312" w:cs="仿宋_GB2312"/>
          <w:b/>
          <w:kern w:val="0"/>
          <w:sz w:val="24"/>
          <w:szCs w:val="20"/>
        </w:rPr>
        <w:t>投标文件未按时解密，投标人提供了备份投标文件的，以备份投标文件作为依据，否则视为投标文件撤回。投标文件已按时解密的，备份投标文件自动失效。</w:t>
      </w:r>
    </w:p>
    <w:p>
      <w:pPr>
        <w:pStyle w:val="526"/>
        <w:spacing w:before="0" w:line="360" w:lineRule="auto"/>
        <w:ind w:left="0" w:leftChars="0" w:firstLine="480" w:firstLineChars="200"/>
        <w:contextualSpacing/>
        <w:rPr>
          <w:rFonts w:hint="eastAsia" w:ascii="仿宋_GB2312" w:hAnsi="仿宋_GB2312" w:eastAsia="仿宋_GB2312" w:cs="仿宋_GB2312"/>
        </w:rPr>
      </w:pPr>
      <w:r>
        <w:rPr>
          <w:rFonts w:hint="eastAsia" w:ascii="仿宋_GB2312" w:hAnsi="仿宋_GB2312" w:eastAsia="仿宋_GB2312" w:cs="仿宋_GB2312"/>
          <w:b w:val="0"/>
          <w:bCs w:val="0"/>
          <w:sz w:val="24"/>
          <w:szCs w:val="22"/>
          <w:lang w:val="en-US" w:eastAsia="zh-CN"/>
        </w:rPr>
        <w:t>18.4开标记录开启后，请将附件2《政府采购活动现场确认声明书》填写完整发送至邮箱：649656585@qq.com。</w:t>
      </w:r>
    </w:p>
    <w:p>
      <w:pPr>
        <w:widowControl/>
        <w:adjustRightInd w:val="0"/>
        <w:spacing w:before="100" w:beforeAutospacing="1" w:after="240" w:line="360" w:lineRule="auto"/>
        <w:jc w:val="left"/>
        <w:rPr>
          <w:rFonts w:hint="eastAsia" w:ascii="仿宋_GB2312" w:hAnsi="仿宋_GB2312" w:eastAsia="仿宋_GB2312" w:cs="仿宋_GB2312"/>
          <w:b/>
          <w:sz w:val="24"/>
          <w:szCs w:val="20"/>
        </w:rPr>
      </w:pPr>
      <w:r>
        <w:rPr>
          <w:rFonts w:hint="eastAsia" w:ascii="仿宋_GB2312" w:hAnsi="仿宋_GB2312" w:eastAsia="仿宋_GB2312" w:cs="仿宋_GB2312"/>
          <w:b/>
          <w:sz w:val="24"/>
          <w:szCs w:val="20"/>
        </w:rPr>
        <w:t>19、资格审查</w:t>
      </w:r>
    </w:p>
    <w:p>
      <w:pPr>
        <w:adjustRightInd w:val="0"/>
        <w:spacing w:after="120" w:line="360" w:lineRule="auto"/>
        <w:ind w:firstLine="480" w:firstLineChars="200"/>
        <w:rPr>
          <w:rFonts w:ascii="仿宋_GB2312" w:hAnsi="仿宋" w:eastAsia="仿宋_GB2312" w:cs="Arial"/>
          <w:kern w:val="0"/>
          <w:sz w:val="24"/>
          <w:szCs w:val="24"/>
        </w:rPr>
      </w:pPr>
      <w:r>
        <w:rPr>
          <w:rFonts w:hint="eastAsia" w:ascii="仿宋_GB2312" w:hAnsi="仿宋_GB2312" w:eastAsia="仿宋_GB2312" w:cs="仿宋_GB2312"/>
          <w:kern w:val="0"/>
          <w:sz w:val="24"/>
          <w:szCs w:val="24"/>
        </w:rPr>
        <w:t>19.1开标后，采购人或采购机构将依</w:t>
      </w:r>
      <w:r>
        <w:rPr>
          <w:rFonts w:hint="eastAsia" w:ascii="仿宋_GB2312" w:hAnsi="仿宋" w:eastAsia="仿宋_GB2312" w:cs="Arial"/>
          <w:kern w:val="0"/>
          <w:sz w:val="24"/>
          <w:szCs w:val="24"/>
        </w:rPr>
        <w:t>法对投标人的资格进行审查。</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Arial"/>
          <w:kern w:val="0"/>
          <w:sz w:val="24"/>
          <w:szCs w:val="24"/>
        </w:rPr>
        <w:t>19.2</w:t>
      </w:r>
      <w:r>
        <w:rPr>
          <w:rFonts w:hint="eastAsia" w:ascii="仿宋_GB2312" w:hAnsi="仿宋" w:eastAsia="仿宋_GB2312" w:cs="仿宋_GB2312"/>
          <w:sz w:val="24"/>
          <w:szCs w:val="24"/>
        </w:rPr>
        <w:t>采购人或采购机构依据法律法规和招标文件的规定，对投标人的基本资格条件、特定资格条件进行审查。</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19.3投标人未按照招标文件要求提供与</w:t>
      </w:r>
      <w:r>
        <w:rPr>
          <w:rFonts w:hint="eastAsia" w:ascii="仿宋_GB2312" w:hAnsi="仿宋" w:eastAsia="仿宋_GB2312" w:cs="仿宋_GB2312"/>
          <w:sz w:val="24"/>
        </w:rPr>
        <w:t>基本资格条件、特定资格条件相应的</w:t>
      </w:r>
      <w:r>
        <w:rPr>
          <w:rFonts w:hint="eastAsia" w:ascii="仿宋_GB2312" w:hAnsi="仿宋" w:eastAsia="仿宋_GB2312" w:cs="Arial"/>
          <w:kern w:val="0"/>
          <w:sz w:val="24"/>
          <w:szCs w:val="24"/>
        </w:rPr>
        <w:t>有效资格证明材料的，视为</w:t>
      </w:r>
      <w:r>
        <w:rPr>
          <w:rFonts w:hint="eastAsia" w:ascii="仿宋_GB2312" w:hAnsi="仿宋" w:eastAsia="仿宋_GB2312" w:cs="仿宋_GB2312"/>
          <w:sz w:val="24"/>
        </w:rPr>
        <w:t>投标人不具备招标文件中规定的资格要求，其投标无效。</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4对未通过资格审查的投标人，采购人或采购机构告知其未通过的原因。</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19.</w:t>
      </w:r>
      <w:r>
        <w:rPr>
          <w:rFonts w:hint="eastAsia" w:ascii="仿宋_GB2312" w:hAnsi="仿宋" w:eastAsia="仿宋_GB2312" w:cs="仿宋_GB2312"/>
          <w:sz w:val="24"/>
        </w:rPr>
        <w:t>5合格投标人不足3家的，不再评标。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20、信用信息查询</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20.1信用信息查询渠道及截止时间：采购机构将通过“信用中国”网站(www.creditchina.gov.cn)、中国政府采购网(www.ccgp.gov.cn)渠道查询投标人投标截止时间当天的信用记录。</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20.2信用信息查询记录和证据留存的具体方式：现场查询的投标人的信用记录、查询结果经确认后将与采购文件一起存档。</w:t>
      </w:r>
    </w:p>
    <w:p>
      <w:pPr>
        <w:adjustRightInd w:val="0"/>
        <w:spacing w:after="120" w:line="360" w:lineRule="auto"/>
        <w:ind w:firstLine="495"/>
        <w:rPr>
          <w:rFonts w:ascii="仿宋_GB2312" w:hAnsi="仿宋" w:eastAsia="仿宋_GB2312" w:cs="Arial"/>
          <w:kern w:val="0"/>
          <w:sz w:val="24"/>
          <w:szCs w:val="24"/>
        </w:rPr>
      </w:pPr>
      <w:r>
        <w:rPr>
          <w:rFonts w:hint="eastAsia" w:ascii="仿宋_GB2312" w:hAnsi="仿宋" w:eastAsia="仿宋_GB2312" w:cs="Arial"/>
          <w:kern w:val="0"/>
          <w:sz w:val="24"/>
          <w:szCs w:val="24"/>
        </w:rPr>
        <w:t>20.3信用信息的使用规则：经查询列入失信被执行人名单、重大税收违法案件当事人名单、政府采购严重违法失信行为记录名单的投标人将被拒绝参与政府采购活动。</w:t>
      </w:r>
    </w:p>
    <w:p>
      <w:pPr>
        <w:adjustRightIn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Arial"/>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sz w:val="24"/>
        </w:rPr>
        <w:t>。</w:t>
      </w:r>
    </w:p>
    <w:p>
      <w:pPr>
        <w:adjustRightInd w:val="0"/>
        <w:spacing w:after="120" w:line="360" w:lineRule="auto"/>
        <w:rPr>
          <w:rFonts w:ascii="仿宋_GB2312" w:hAnsi="仿宋" w:eastAsia="仿宋_GB2312" w:cs="Arial"/>
          <w:kern w:val="0"/>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adjustRightInd w:val="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21.</w:t>
      </w:r>
      <w:r>
        <w:rPr>
          <w:rFonts w:hint="eastAsia" w:ascii="仿宋_GB2312" w:hAnsi="仿宋" w:eastAsia="仿宋_GB2312" w:cs="Times New Roman"/>
          <w:szCs w:val="24"/>
        </w:rPr>
        <w:t xml:space="preserve"> </w:t>
      </w:r>
      <w:r>
        <w:rPr>
          <w:rFonts w:hint="eastAsia" w:ascii="仿宋_GB2312" w:hAnsi="仿宋" w:eastAsia="仿宋_GB2312" w:cs="仿宋_GB2312"/>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szCs w:val="24"/>
        </w:rPr>
        <w:t>详见招标文件第四部分“评标方法及评分标准”</w:t>
      </w:r>
    </w:p>
    <w:p>
      <w:pPr>
        <w:adjustRightInd w:val="0"/>
        <w:spacing w:line="360" w:lineRule="auto"/>
        <w:rPr>
          <w:rFonts w:ascii="仿宋_GB2312" w:hAnsi="仿宋" w:eastAsia="仿宋_GB2312" w:cs="仿宋_GB2312"/>
          <w:b/>
          <w:sz w:val="24"/>
          <w:szCs w:val="24"/>
        </w:rPr>
      </w:pPr>
    </w:p>
    <w:p>
      <w:pPr>
        <w:adjustRightInd w:val="0"/>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 标</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22. 确定中标供应商</w:t>
      </w:r>
    </w:p>
    <w:p>
      <w:pPr>
        <w:adjustRightInd w:val="0"/>
        <w:snapToGrid w:val="0"/>
        <w:spacing w:after="120" w:line="360" w:lineRule="auto"/>
        <w:ind w:firstLine="480" w:firstLineChars="200"/>
        <w:rPr>
          <w:rFonts w:ascii="仿宋_GB2312" w:hAnsi="仿宋" w:eastAsia="仿宋_GB2312" w:cs="仿宋_GB2312"/>
          <w:b/>
          <w:sz w:val="24"/>
          <w:szCs w:val="24"/>
        </w:rPr>
      </w:pPr>
      <w:r>
        <w:rPr>
          <w:rFonts w:hint="eastAsia" w:ascii="仿宋_GB2312" w:hAnsi="仿宋" w:eastAsia="仿宋_GB2312" w:cs="仿宋_GB2312"/>
          <w:sz w:val="24"/>
          <w:szCs w:val="24"/>
        </w:rPr>
        <w:t>采购人将自收到评审报告之日起5个工作日内通过电子交易平台在评审报告推荐的中标候选人中按顺序确定中标供应商。</w:t>
      </w:r>
    </w:p>
    <w:p>
      <w:pPr>
        <w:adjustRightInd w:val="0"/>
        <w:snapToGri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23. 中标通知与中标结果公告</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adjustRightInd w:val="0"/>
        <w:spacing w:line="360" w:lineRule="auto"/>
        <w:ind w:firstLine="480"/>
        <w:jc w:val="left"/>
        <w:rPr>
          <w:rFonts w:ascii="仿宋_GB2312" w:hAnsi="仿宋" w:eastAsia="仿宋_GB2312" w:cs="仿宋_GB2312"/>
          <w:sz w:val="24"/>
          <w:szCs w:val="24"/>
        </w:rPr>
      </w:pPr>
      <w:r>
        <w:rPr>
          <w:rFonts w:hint="eastAsia" w:ascii="仿宋_GB2312" w:hAnsi="仿宋" w:eastAsia="仿宋_GB2312" w:cs="仿宋_GB2312"/>
          <w:sz w:val="24"/>
          <w:szCs w:val="24"/>
        </w:rPr>
        <w:t>23.3公告期限为1个工作日。</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七、合同</w:t>
      </w:r>
    </w:p>
    <w:p>
      <w:pPr>
        <w:adjustRightInd w:val="0"/>
        <w:spacing w:after="120"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 xml:space="preserve">24. </w:t>
      </w:r>
      <w:r>
        <w:rPr>
          <w:rFonts w:hint="eastAsia" w:ascii="仿宋_GB2312" w:hAnsi="仿宋" w:eastAsia="仿宋_GB2312" w:cs="仿宋_GB2312"/>
          <w:sz w:val="24"/>
          <w:szCs w:val="24"/>
        </w:rPr>
        <w:t>合同主要条款详见第五部分拟签订的合同文本。</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25. </w:t>
      </w:r>
      <w:r>
        <w:rPr>
          <w:rFonts w:hint="eastAsia" w:ascii="仿宋_GB2312" w:hAnsi="仿宋" w:eastAsia="仿宋_GB2312" w:cs="仿宋_GB2312"/>
          <w:b/>
          <w:sz w:val="24"/>
          <w:szCs w:val="24"/>
        </w:rPr>
        <w:t>合同的签订</w:t>
      </w:r>
    </w:p>
    <w:p>
      <w:pPr>
        <w:widowControl/>
        <w:shd w:val="clear" w:color="auto" w:fill="FFFFFF"/>
        <w:adjustRightInd w:val="0"/>
        <w:spacing w:line="360" w:lineRule="auto"/>
        <w:ind w:firstLine="480"/>
        <w:jc w:val="left"/>
        <w:rPr>
          <w:rFonts w:ascii="仿宋_GB2312" w:hAnsi="仿宋" w:eastAsia="仿宋_GB2312" w:cs="Arial"/>
          <w:kern w:val="0"/>
          <w:sz w:val="24"/>
          <w:szCs w:val="24"/>
        </w:rPr>
      </w:pPr>
      <w:r>
        <w:rPr>
          <w:rFonts w:hint="eastAsia" w:ascii="仿宋_GB2312" w:hAnsi="仿宋" w:eastAsia="仿宋_GB2312" w:cs="仿宋_GB2312"/>
          <w:sz w:val="24"/>
          <w:szCs w:val="24"/>
        </w:rPr>
        <w:t>25.1</w:t>
      </w:r>
      <w:r>
        <w:rPr>
          <w:rFonts w:hint="eastAsia" w:ascii="仿宋_GB2312" w:hAnsi="仿宋" w:eastAsia="仿宋_GB2312" w:cs="Arial"/>
          <w:kern w:val="0"/>
          <w:sz w:val="24"/>
          <w:szCs w:val="24"/>
        </w:rPr>
        <w:t xml:space="preserve"> 采购人与中标人应当通过电子交易平台在中标通知书发出之日起三十日内，按照招标文件确定的事项签订政府采购合同，并在规定时间内依法发布合同公告。</w:t>
      </w:r>
    </w:p>
    <w:p>
      <w:pPr>
        <w:adjustRightInd w:val="0"/>
        <w:snapToGrid w:val="0"/>
        <w:spacing w:after="120" w:line="360" w:lineRule="auto"/>
        <w:ind w:firstLine="480" w:firstLineChars="200"/>
        <w:rPr>
          <w:rFonts w:ascii="仿宋_GB2312" w:hAnsi="仿宋" w:eastAsia="仿宋_GB2312"/>
          <w:kern w:val="0"/>
          <w:sz w:val="24"/>
        </w:rPr>
      </w:pPr>
      <w:r>
        <w:rPr>
          <w:rFonts w:hint="eastAsia" w:ascii="仿宋_GB2312" w:hAnsi="仿宋" w:eastAsia="仿宋_GB2312" w:cs="仿宋_GB2312"/>
          <w:kern w:val="0"/>
          <w:sz w:val="24"/>
          <w:lang w:val="zh-CN"/>
        </w:rPr>
        <w:t>25.2</w:t>
      </w:r>
      <w:r>
        <w:rPr>
          <w:rFonts w:hint="eastAsia" w:ascii="仿宋_GB2312" w:hAnsi="仿宋" w:eastAsia="仿宋_GB2312"/>
          <w:kern w:val="0"/>
          <w:sz w:val="24"/>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25.3如签订合同并生效后，供应商无故拒绝或延期，除按照合同条款处理外，列入不良行为记录一次，并给予通报。</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25.4中标供应商拒绝与采购人签订合同的，采购人可以按照评审报告推荐的中标或者成交候选人名单排序，确定下一候选人为中标供应商，也可以重新开展政府采购活动。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_GB2312" w:hAnsi="仿宋" w:eastAsia="仿宋_GB2312" w:cs="仿宋_GB2312"/>
          <w:sz w:val="24"/>
        </w:rPr>
      </w:pPr>
      <w:r>
        <w:rPr>
          <w:rFonts w:ascii="仿宋_GB2312" w:hAnsi="仿宋" w:eastAsia="仿宋_GB2312" w:cs="仿宋_GB2312"/>
          <w:sz w:val="24"/>
        </w:rPr>
        <w:t>25.5采购合同由采购人与中标供应商根据</w:t>
      </w:r>
      <w:r>
        <w:rPr>
          <w:rFonts w:hint="eastAsia" w:ascii="仿宋_GB2312" w:hAnsi="仿宋" w:eastAsia="仿宋_GB2312" w:cs="仿宋_GB2312"/>
          <w:sz w:val="24"/>
        </w:rPr>
        <w:t>招标文件、投标文件等内容通过政府采购电子交易平台在线签订，自动备案。</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26. </w:t>
      </w:r>
      <w:r>
        <w:rPr>
          <w:rFonts w:hint="eastAsia" w:ascii="仿宋_GB2312" w:hAnsi="仿宋" w:eastAsia="仿宋_GB2312" w:cs="仿宋_GB2312"/>
          <w:b/>
          <w:sz w:val="24"/>
          <w:szCs w:val="24"/>
        </w:rPr>
        <w:t>履约保证金</w:t>
      </w:r>
    </w:p>
    <w:p>
      <w:pPr>
        <w:tabs>
          <w:tab w:val="left" w:pos="0"/>
        </w:tabs>
        <w:adjustRightInd w:val="0"/>
        <w:spacing w:line="360" w:lineRule="auto"/>
        <w:ind w:firstLine="480"/>
        <w:rPr>
          <w:rFonts w:ascii="仿宋_GB2312" w:hAnsi="仿宋" w:eastAsia="仿宋_GB2312" w:cs="Times New Roman"/>
          <w:sz w:val="24"/>
          <w:szCs w:val="24"/>
        </w:rPr>
      </w:pPr>
      <w:r>
        <w:rPr>
          <w:rFonts w:hint="eastAsia" w:ascii="仿宋_GB2312" w:hAnsi="仿宋" w:eastAsia="仿宋_GB2312" w:cs="Helvetica"/>
          <w:kern w:val="0"/>
          <w:sz w:val="24"/>
          <w:szCs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s="Times New Roman"/>
          <w:sz w:val="24"/>
          <w:szCs w:val="24"/>
        </w:rPr>
        <w:t>。履约保证金的数额不得超过政府采购合同金额的5%。</w:t>
      </w:r>
      <w:r>
        <w:rPr>
          <w:rFonts w:hint="eastAsia" w:ascii="仿宋_GB2312" w:hAnsi="仿宋" w:eastAsia="仿宋_GB2312" w:cs="Times New Roman"/>
          <w:b/>
          <w:sz w:val="24"/>
          <w:szCs w:val="24"/>
        </w:rPr>
        <w:t>采购人不得拒收履约保函。</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firstLine="3357" w:firstLineChars="1045"/>
        <w:rPr>
          <w:rFonts w:ascii="仿宋_GB2312" w:hAnsi="仿宋" w:eastAsia="仿宋_GB2312" w:cs="Times New Roman"/>
          <w:b/>
          <w:sz w:val="24"/>
          <w:szCs w:val="24"/>
        </w:rPr>
      </w:pPr>
      <w:r>
        <w:rPr>
          <w:rFonts w:hint="eastAsia" w:ascii="仿宋_GB2312" w:hAnsi="仿宋" w:eastAsia="仿宋_GB2312" w:cs="仿宋_GB2312"/>
          <w:b/>
          <w:sz w:val="32"/>
          <w:szCs w:val="24"/>
        </w:rPr>
        <w:t>八、电子交易活动的中止</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b/>
          <w:sz w:val="24"/>
          <w:szCs w:val="24"/>
        </w:rPr>
        <w:t>27. 电子交易活动的中止。</w:t>
      </w:r>
      <w:r>
        <w:rPr>
          <w:rFonts w:hint="eastAsia" w:ascii="仿宋_GB2312" w:hAnsi="仿宋" w:eastAsia="仿宋_GB2312" w:cs="仿宋_GB2312"/>
          <w:sz w:val="24"/>
        </w:rPr>
        <w:t>采购过程中出现以下情形，导致电子交易平台无法正常运行，或者无法保证电子交易的公平、公正和安全时，采购机构可中止电子交易活动：</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27.1电子交易平台发生故障而无法登录访问的；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27.2电子交易平台应用或数据库出现错误，不能进行正常操作的；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27.3电子交易平台发现严重安全漏洞，有潜在泄密危险的；</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27.4病毒发作导致不能进行正常操作的； </w:t>
      </w:r>
    </w:p>
    <w:p>
      <w:pPr>
        <w:adjustRightInd w:val="0"/>
        <w:snapToGrid w:val="0"/>
        <w:spacing w:after="120"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27.5其他无法保证电子交易的公平、公正和安全的情况。</w:t>
      </w:r>
    </w:p>
    <w:p>
      <w:pPr>
        <w:adjustRightInd w:val="0"/>
        <w:snapToGrid w:val="0"/>
        <w:spacing w:after="120" w:line="360" w:lineRule="auto"/>
        <w:rPr>
          <w:rFonts w:ascii="仿宋_GB2312" w:hAnsi="仿宋" w:eastAsia="仿宋_GB2312" w:cs="仿宋_GB2312"/>
          <w:sz w:val="24"/>
        </w:rPr>
      </w:pPr>
      <w:r>
        <w:rPr>
          <w:rFonts w:hint="eastAsia" w:ascii="仿宋_GB2312" w:hAnsi="仿宋" w:eastAsia="仿宋_GB2312" w:cs="仿宋_GB2312"/>
          <w:sz w:val="24"/>
        </w:rPr>
        <w:t xml:space="preserve"> </w:t>
      </w:r>
      <w:r>
        <w:rPr>
          <w:rFonts w:hint="eastAsia" w:ascii="仿宋_GB2312" w:hAnsi="仿宋" w:eastAsia="仿宋_GB2312" w:cs="仿宋_GB2312"/>
          <w:b/>
          <w:sz w:val="24"/>
        </w:rPr>
        <w:t>28.</w:t>
      </w:r>
      <w:r>
        <w:rPr>
          <w:rFonts w:hint="eastAsia" w:ascii="仿宋_GB2312" w:hAnsi="仿宋" w:eastAsia="仿宋_GB2312" w:cs="仿宋_GB2312"/>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val="0"/>
        <w:spacing w:line="360" w:lineRule="auto"/>
        <w:ind w:firstLine="480"/>
        <w:rPr>
          <w:rFonts w:ascii="仿宋_GB2312" w:hAnsi="仿宋" w:eastAsia="仿宋_GB2312" w:cs="Times New Roman"/>
          <w:sz w:val="24"/>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九、验收</w:t>
      </w:r>
    </w:p>
    <w:p>
      <w:pPr>
        <w:adjustRightInd w:val="0"/>
        <w:spacing w:after="120" w:line="360" w:lineRule="auto"/>
        <w:rPr>
          <w:rFonts w:ascii="仿宋_GB2312" w:hAnsi="仿宋" w:eastAsia="仿宋_GB2312" w:cs="仿宋_GB2312"/>
          <w:b/>
          <w:sz w:val="24"/>
          <w:szCs w:val="24"/>
        </w:rPr>
      </w:pPr>
      <w:r>
        <w:rPr>
          <w:rFonts w:ascii="仿宋_GB2312" w:hAnsi="仿宋" w:eastAsia="仿宋_GB2312" w:cs="仿宋_GB2312"/>
          <w:b/>
          <w:sz w:val="24"/>
          <w:szCs w:val="24"/>
        </w:rPr>
        <w:t>29.验收</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adjustRightInd w:val="0"/>
        <w:spacing w:line="360" w:lineRule="auto"/>
        <w:ind w:firstLine="480"/>
        <w:rPr>
          <w:rFonts w:ascii="仿宋_GB2312" w:hAnsi="仿宋" w:eastAsia="仿宋_GB2312" w:cs="Helvetica"/>
          <w:kern w:val="0"/>
          <w:sz w:val="24"/>
          <w:szCs w:val="24"/>
        </w:rPr>
      </w:pPr>
      <w:r>
        <w:rPr>
          <w:rFonts w:hint="eastAsia" w:ascii="仿宋_GB2312" w:hAnsi="仿宋" w:eastAsia="仿宋_GB2312" w:cs="Helvetica"/>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pacing w:line="360" w:lineRule="auto"/>
        <w:ind w:firstLine="480"/>
        <w:rPr>
          <w:rFonts w:ascii="仿宋_GB2312" w:hAnsi="仿宋" w:eastAsia="仿宋_GB2312" w:cs="仿宋_GB2312"/>
          <w:sz w:val="18"/>
          <w:szCs w:val="18"/>
        </w:rPr>
      </w:pPr>
      <w:r>
        <w:rPr>
          <w:rFonts w:hint="eastAsia" w:ascii="仿宋_GB2312" w:hAnsi="仿宋" w:eastAsia="仿宋_GB2312" w:cs="Helvetica"/>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pPr>
        <w:spacing w:line="360" w:lineRule="auto"/>
        <w:jc w:val="center"/>
        <w:rPr>
          <w:rFonts w:ascii="仿宋_GB2312" w:hAnsi="仿宋" w:eastAsia="仿宋_GB2312" w:cs="仿宋_GB2312"/>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0" w:name="_Hlt68403820"/>
      <w:bookmarkEnd w:id="10"/>
      <w:bookmarkStart w:id="11" w:name="_Hlt75236290"/>
      <w:bookmarkEnd w:id="11"/>
      <w:bookmarkStart w:id="12" w:name="_Hlt68057669"/>
      <w:bookmarkEnd w:id="12"/>
      <w:bookmarkStart w:id="13" w:name="_Hlt74730295"/>
      <w:bookmarkEnd w:id="13"/>
      <w:bookmarkStart w:id="14" w:name="_Hlt68073093"/>
      <w:bookmarkEnd w:id="14"/>
      <w:bookmarkStart w:id="15" w:name="_Hlt75236101"/>
      <w:bookmarkEnd w:id="15"/>
      <w:bookmarkStart w:id="16" w:name="_Hlt74714665"/>
      <w:bookmarkEnd w:id="16"/>
      <w:bookmarkStart w:id="17" w:name="_Hlt75236011"/>
      <w:bookmarkEnd w:id="17"/>
      <w:bookmarkStart w:id="18" w:name="_Hlt68072990"/>
      <w:bookmarkEnd w:id="18"/>
      <w:bookmarkStart w:id="19" w:name="_Hlt74707468"/>
      <w:bookmarkEnd w:id="19"/>
      <w:bookmarkStart w:id="20" w:name="_Hlt68072998"/>
      <w:bookmarkEnd w:id="20"/>
      <w:bookmarkStart w:id="21" w:name="_Hlt74729768"/>
      <w:bookmarkEnd w:id="21"/>
      <w:bookmarkStart w:id="22" w:name="第三部分"/>
      <w:bookmarkStart w:id="23" w:name="_Toc164416483"/>
    </w:p>
    <w:bookmarkEnd w:id="22"/>
    <w:bookmarkEnd w:id="23"/>
    <w:p>
      <w:pPr>
        <w:adjustRightInd w:val="0"/>
        <w:spacing w:line="360" w:lineRule="auto"/>
        <w:jc w:val="center"/>
        <w:outlineLvl w:val="0"/>
        <w:rPr>
          <w:rFonts w:ascii="仿宋_GB2312" w:hAnsi="仿宋" w:eastAsia="仿宋_GB2312" w:cs="仿宋_GB2312"/>
          <w:b/>
          <w:sz w:val="36"/>
          <w:szCs w:val="36"/>
        </w:rPr>
      </w:pPr>
      <w:bookmarkStart w:id="24" w:name="第四部分"/>
      <w:r>
        <w:rPr>
          <w:rFonts w:hint="eastAsia" w:ascii="仿宋_GB2312" w:hAnsi="仿宋" w:eastAsia="仿宋_GB2312" w:cs="仿宋_GB2312"/>
          <w:b/>
          <w:sz w:val="36"/>
          <w:szCs w:val="36"/>
        </w:rPr>
        <w:t>第三部分   采购需求</w:t>
      </w:r>
    </w:p>
    <w:p>
      <w:pPr>
        <w:spacing w:before="120" w:beforeLines="50" w:after="120" w:afterLines="50" w:line="360" w:lineRule="auto"/>
        <w:jc w:val="left"/>
        <w:outlineLvl w:val="1"/>
        <w:rPr>
          <w:rFonts w:hint="eastAsia" w:ascii="仿宋_GB2312" w:hAnsi="仿宋_GB2312" w:eastAsia="仿宋_GB2312" w:cs="仿宋_GB2312"/>
          <w:b/>
          <w:bCs/>
          <w:sz w:val="24"/>
        </w:rPr>
      </w:pPr>
      <w:r>
        <w:rPr>
          <w:rFonts w:hint="eastAsia" w:ascii="仿宋_GB2312" w:hAnsi="仿宋_GB2312" w:eastAsia="仿宋_GB2312" w:cs="仿宋_GB2312"/>
          <w:sz w:val="24"/>
        </w:rPr>
        <w:t>属于实质性要求条款的，已用符号“▲”标明，否则属于非实质性要求。</w:t>
      </w:r>
    </w:p>
    <w:p>
      <w:pPr>
        <w:pStyle w:val="4"/>
        <w:numPr>
          <w:ilvl w:val="0"/>
          <w:numId w:val="0"/>
        </w:numPr>
        <w:snapToGrid w:val="0"/>
        <w:spacing w:before="120" w:after="120" w:line="360" w:lineRule="auto"/>
        <w:ind w:leftChars="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项目概述</w:t>
      </w:r>
    </w:p>
    <w:p>
      <w:pPr>
        <w:pStyle w:val="5"/>
        <w:numPr>
          <w:ilvl w:val="2"/>
          <w:numId w:val="0"/>
        </w:numPr>
        <w:snapToGrid w:val="0"/>
        <w:spacing w:before="120" w:after="120" w:line="360" w:lineRule="auto"/>
        <w:ind w:left="180" w:leftChars="0"/>
        <w:rPr>
          <w:rFonts w:ascii="仿宋" w:hAnsi="仿宋" w:eastAsia="仿宋"/>
          <w:sz w:val="24"/>
          <w:szCs w:val="24"/>
        </w:rPr>
      </w:pPr>
      <w:bookmarkStart w:id="25" w:name="_Toc51872472"/>
      <w:bookmarkStart w:id="26" w:name="_Toc523315790"/>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建设背景</w:t>
      </w:r>
      <w:bookmarkEnd w:id="25"/>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.1.1</w:t>
      </w:r>
      <w:r>
        <w:rPr>
          <w:rFonts w:hint="eastAsia" w:ascii="仿宋" w:hAnsi="仿宋" w:eastAsia="仿宋" w:cs="仿宋"/>
          <w:b/>
          <w:bCs/>
          <w:sz w:val="24"/>
        </w:rPr>
        <w:t>大队交通综合管控平台升级</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随着临安城市的快速发展，公安交警执勤警力不足的问题日渐突出，勤务作为公安交通管理工作的基础，亟须依靠信息技术改革创新加强。勤务作为公安交通管理工作的基础，亟须依靠信息技术改革创新加强。为提高城市治理的社会化、法治化、智能化、专业化水平，充分运用大数据、云计算、物联网、互联网、人工智能等信息技术手段，以信息主导**，以科技引领勤务，实现交通规划决策的科学化、勤务管理的精细化、交通管理的精细化，提高交通管理的科学化水平和智能化程度，建立扁平化、集成化的综合交通指挥调度模式。推动交通系统由单一建设发展模式向多元服务发展模式转变，促进建设协调可持续发展的综合交通体系，真正做到科技强警。</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.1.2</w:t>
      </w:r>
      <w:r>
        <w:rPr>
          <w:rFonts w:hint="eastAsia" w:ascii="仿宋" w:hAnsi="仿宋" w:eastAsia="仿宋" w:cs="仿宋"/>
          <w:b/>
          <w:bCs/>
          <w:sz w:val="24"/>
        </w:rPr>
        <w:t>大队农村道路三色预警</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（1）道路隐患：</w:t>
      </w:r>
      <w:r>
        <w:rPr>
          <w:rFonts w:hint="eastAsia" w:ascii="仿宋" w:hAnsi="仿宋" w:eastAsia="仿宋" w:cs="仿宋"/>
          <w:sz w:val="24"/>
        </w:rPr>
        <w:t>当前临安农村地区机动车拥有量和道路硬化建设里程均在急剧增长，但由于管理基础薄弱等诸多因素，农村地区道路仍存在大量的隐患，普遍存在通行条件好但安全设施严重不足的问题。</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（2）基础设施完善：</w:t>
      </w:r>
      <w:r>
        <w:rPr>
          <w:rFonts w:hint="eastAsia" w:ascii="仿宋" w:hAnsi="仿宋" w:eastAsia="仿宋" w:cs="仿宋"/>
          <w:sz w:val="24"/>
        </w:rPr>
        <w:t>截止2020年，临安交警大队已经完成基础联网汇聚平台搭建，完成视频、卡口、违法数据的采集和汇聚，在违法打击，安全管控上面有了初步的应用。</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（3）构建三色预警系统：</w:t>
      </w:r>
      <w:r>
        <w:rPr>
          <w:rFonts w:hint="eastAsia" w:ascii="仿宋" w:hAnsi="仿宋" w:eastAsia="仿宋" w:cs="仿宋"/>
          <w:sz w:val="24"/>
        </w:rPr>
        <w:t>构建临安交警大队道路三色预警系统，充分融合现有的交管数据，实现农村道路的隐患发现和预警。构建临安交警大队隐患治理管理系统，将隐患情报落地到行动，跟踪隐患治理的过程，强化监督手段，达到隐患治理的最终目的</w:t>
      </w:r>
    </w:p>
    <w:p>
      <w:pPr>
        <w:pStyle w:val="5"/>
        <w:numPr>
          <w:ilvl w:val="2"/>
          <w:numId w:val="0"/>
        </w:numPr>
        <w:snapToGrid w:val="0"/>
        <w:spacing w:before="120" w:after="120" w:line="360" w:lineRule="auto"/>
        <w:ind w:left="180" w:leftChars="0"/>
        <w:rPr>
          <w:rFonts w:ascii="仿宋" w:hAnsi="仿宋" w:eastAsia="仿宋"/>
          <w:sz w:val="24"/>
          <w:szCs w:val="24"/>
        </w:rPr>
      </w:pPr>
      <w:bookmarkStart w:id="27" w:name="_Toc37858474"/>
      <w:bookmarkStart w:id="28" w:name="_Toc51872473"/>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需求分析</w:t>
      </w:r>
      <w:bookmarkEnd w:id="27"/>
      <w:bookmarkEnd w:id="28"/>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.2.1</w:t>
      </w:r>
      <w:r>
        <w:rPr>
          <w:rFonts w:hint="eastAsia" w:ascii="仿宋" w:hAnsi="仿宋" w:eastAsia="仿宋" w:cs="仿宋"/>
          <w:b/>
          <w:bCs/>
          <w:sz w:val="24"/>
        </w:rPr>
        <w:t>大队交通综合管控平台升级</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视频资源汇聚需求：视频监控系统建设初期缺少统一规划和技术标准,已建系统互不关联,独立建设，没有形成整体优势，没有统一入口及鉴权，系统间不存在信息交互，导致“信息孤岛”现象的出现，限制了视频图像信息资源的充分利用，迫切需要实现数据融合、信息共享，提高整体与各子系统效能的发挥，为交管部门在交通管理、交通调度、交通决策等各方面综合能力的提升提供支撑。城市交通建设积累了海量的非结构化视频、图片数据，以及飞速增长的特征数据（卡口过车数据、人脸抓拍数据）。繁多的数据种类、PB级的数据量以及低价值的视频数据等，都面临着快速更新处理的需求。</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指挥调度实战需求：</w:t>
      </w:r>
      <w:r>
        <w:rPr>
          <w:rFonts w:hint="eastAsia" w:ascii="仿宋" w:hAnsi="仿宋" w:eastAsia="仿宋" w:cs="仿宋"/>
          <w:sz w:val="24"/>
        </w:rPr>
        <w:t>当前交通警情主要依靠122平台被动接警，警情发现不及时导致处置不及时，且易引发二次事故，道路拥堵加剧，指挥调度响应慢，效率低。亟需建立一套集成化的指挥调度模块，通过建立空地巡逻机制，提升警情主动发现能力；拓展警情处置功能，优化警情处置流程，提升警情处置效率。开发警情预案功能，提升突发紧急事件、重大交通警情快速反应、快速作战能力。强化警情合成研判机制，升级指挥调度功能，提升接警反应、指令下达、信息推送、警力到达、处置完结各环节效率，最大限度实现警情快处快撤。</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交通数据可视化需求：</w:t>
      </w:r>
      <w:r>
        <w:rPr>
          <w:rFonts w:hint="eastAsia" w:ascii="仿宋" w:hAnsi="仿宋" w:eastAsia="仿宋" w:cs="仿宋"/>
          <w:sz w:val="24"/>
        </w:rPr>
        <w:t>随着交管业务系统的不断发展，目前交管部门积累了大量的业务数据，其数据关系的复杂度以及数据密度的不断攀升，但缺乏对业务数据的深度挖掘，指挥决策还流于拍脑袋的直观决策，数据价值难以体现。建立交通数据可视化平台，通过深入理解、分解业务问题，利用数据分析方法对警情、违法、事故等海量数据进行深度加工、多维度数据挖掘，对交通风险进行全维感知、自动识别、及时预警，通过可视化的结果，实现交通管理情报制导、精确打击、精准防控，健全预警预测预防数据研判机制，为交通管理者指挥决策、专项整治、勤务安排、综合考评、舆情监管业务提供科学、精准的决策依据。</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.2.2</w:t>
      </w:r>
      <w:r>
        <w:rPr>
          <w:rFonts w:hint="eastAsia" w:ascii="仿宋" w:hAnsi="仿宋" w:eastAsia="仿宋" w:cs="仿宋"/>
          <w:b/>
          <w:bCs/>
          <w:sz w:val="24"/>
        </w:rPr>
        <w:t>大队农村道路三色预警系统</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融合卡口过车数据监控：</w:t>
      </w:r>
      <w:r>
        <w:rPr>
          <w:rFonts w:hint="eastAsia" w:ascii="仿宋" w:hAnsi="仿宋" w:eastAsia="仿宋" w:cs="仿宋"/>
          <w:sz w:val="24"/>
        </w:rPr>
        <w:t xml:space="preserve">通过整合临安区S208，S206，S205，S102 ，G330 ，G329 六条危险道路的卡口、监控等视频监控资源，覆盖主要干道和重点区域，结合高德异常拥堵预警功能，建立以指挥中心、大队指挥室和**室三级实时巡逻机制 </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依托非结构化检索技术，自动预警：</w:t>
      </w:r>
      <w:r>
        <w:rPr>
          <w:rFonts w:hint="eastAsia" w:ascii="仿宋" w:hAnsi="仿宋" w:eastAsia="仿宋" w:cs="仿宋"/>
          <w:sz w:val="24"/>
        </w:rPr>
        <w:t>依托非结构化检索技术，升级改造路面监控，做到自动巡逻、智能识别，一发现路面车辆排队等异常情况，自动向平台报警，同时预警短信提醒至相应区域负责民警，实现交通警情由被动接警向主动发现转变。同时将预警周边画面自动组合视频画面方便观看现场情况，并标注了地理信息数据、交通监控资源、交通运行状态、交管业务信息等虚拟信息。</w:t>
      </w:r>
    </w:p>
    <w:p>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接入多种数据源，打破信息壁垒，提高信息应用：</w:t>
      </w:r>
      <w:r>
        <w:rPr>
          <w:rFonts w:hint="eastAsia" w:ascii="仿宋" w:hAnsi="仿宋" w:eastAsia="仿宋" w:cs="仿宋"/>
          <w:sz w:val="24"/>
        </w:rPr>
        <w:t>系统接入城市大脑、道路监控、卡口过车、接处警、高德拥堵、天气等多种数据源，实时扫描城市道路交通状况，感知道路延时指数、交通事故占比、拥堵里程比、关注车型占比等4项指标，形成重点交通路段健康指数，实现全方位、立体化智慧运行诊断。它以量化拥堵指数和三色预警，反映道路实时通行状态，保障了城市交通的稳定运行。</w:t>
      </w:r>
    </w:p>
    <w:p>
      <w:pPr>
        <w:pStyle w:val="5"/>
        <w:numPr>
          <w:ilvl w:val="2"/>
          <w:numId w:val="0"/>
        </w:numPr>
        <w:snapToGrid w:val="0"/>
        <w:spacing w:before="120" w:after="120" w:line="360" w:lineRule="auto"/>
        <w:ind w:left="180" w:leftChars="0"/>
        <w:rPr>
          <w:rFonts w:ascii="仿宋" w:hAnsi="仿宋" w:eastAsia="仿宋"/>
          <w:sz w:val="24"/>
          <w:szCs w:val="24"/>
        </w:rPr>
      </w:pPr>
      <w:bookmarkStart w:id="29" w:name="_Toc51872474"/>
      <w:bookmarkStart w:id="30" w:name="_Toc37858475"/>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建设原则</w:t>
      </w:r>
      <w:bookmarkEnd w:id="29"/>
      <w:bookmarkEnd w:id="30"/>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临安区公安分局智慧**的建设，应立足实战和实用，坚持“统一标准、先进实用、资源共享、全警应用”的原则。</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3</w:t>
      </w:r>
      <w:r>
        <w:rPr>
          <w:rFonts w:hint="eastAsia" w:ascii="仿宋" w:hAnsi="仿宋" w:eastAsia="仿宋" w:cs="仿宋"/>
          <w:b/>
          <w:bCs/>
          <w:sz w:val="24"/>
        </w:rPr>
        <w:t>.1.</w:t>
      </w:r>
      <w:r>
        <w:rPr>
          <w:rFonts w:hint="eastAsia" w:ascii="仿宋" w:hAnsi="仿宋" w:eastAsia="仿宋" w:cs="仿宋"/>
          <w:b/>
          <w:bCs/>
          <w:sz w:val="24"/>
        </w:rPr>
        <w:tab/>
      </w:r>
      <w:r>
        <w:rPr>
          <w:rFonts w:hint="eastAsia" w:ascii="仿宋" w:hAnsi="仿宋" w:eastAsia="仿宋" w:cs="仿宋"/>
          <w:b/>
          <w:bCs/>
          <w:sz w:val="24"/>
        </w:rPr>
        <w:t>统一标准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在系统建设中，必须执行地方及国家相关技术标准，确保监控系统互联互通。各实战应用系统建设，要充分考虑与其他公安信息系统的衔接与共享，系统软件接口开放、可扩展。</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3</w:t>
      </w:r>
      <w:r>
        <w:rPr>
          <w:rFonts w:hint="eastAsia" w:ascii="仿宋" w:hAnsi="仿宋" w:eastAsia="仿宋" w:cs="仿宋"/>
          <w:b/>
          <w:bCs/>
          <w:sz w:val="24"/>
        </w:rPr>
        <w:t>.2.</w:t>
      </w:r>
      <w:r>
        <w:rPr>
          <w:rFonts w:hint="eastAsia" w:ascii="仿宋" w:hAnsi="仿宋" w:eastAsia="仿宋" w:cs="仿宋"/>
          <w:b/>
          <w:bCs/>
          <w:sz w:val="24"/>
        </w:rPr>
        <w:tab/>
      </w:r>
      <w:r>
        <w:rPr>
          <w:rFonts w:hint="eastAsia" w:ascii="仿宋" w:hAnsi="仿宋" w:eastAsia="仿宋" w:cs="仿宋"/>
          <w:b/>
          <w:bCs/>
          <w:sz w:val="24"/>
        </w:rPr>
        <w:t>先进实用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系统建设中，既要满足各警种业务需求，又要充分考虑未来发展需求，采用的系统必须用先进、成熟、主流的技术；采用的产品必须质量达标，性能稳定，能持续有效运行；采用的应用软件必须界面友好、操作简便，满足一线民警的实战需求。</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3</w:t>
      </w:r>
      <w:r>
        <w:rPr>
          <w:rFonts w:hint="eastAsia" w:ascii="仿宋" w:hAnsi="仿宋" w:eastAsia="仿宋" w:cs="仿宋"/>
          <w:b/>
          <w:bCs/>
          <w:sz w:val="24"/>
        </w:rPr>
        <w:t>.3.</w:t>
      </w:r>
      <w:r>
        <w:rPr>
          <w:rFonts w:hint="eastAsia" w:ascii="仿宋" w:hAnsi="仿宋" w:eastAsia="仿宋" w:cs="仿宋"/>
          <w:b/>
          <w:bCs/>
          <w:sz w:val="24"/>
        </w:rPr>
        <w:tab/>
      </w:r>
      <w:r>
        <w:rPr>
          <w:rFonts w:hint="eastAsia" w:ascii="仿宋" w:hAnsi="仿宋" w:eastAsia="仿宋" w:cs="仿宋"/>
          <w:b/>
          <w:bCs/>
          <w:sz w:val="24"/>
        </w:rPr>
        <w:t>资源共享</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在系统建设中，要充分论证、科学规划、合理布建，站在全局一盘棋的角度，满足大公安的应用需求，坚持各种资源高度共享，建设一个共享资源池，杜绝信息孤岛。</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1.</w:t>
      </w:r>
      <w:r>
        <w:rPr>
          <w:rFonts w:ascii="仿宋" w:hAnsi="仿宋" w:eastAsia="仿宋" w:cs="仿宋"/>
          <w:b/>
          <w:bCs/>
          <w:sz w:val="24"/>
        </w:rPr>
        <w:t>3</w:t>
      </w:r>
      <w:r>
        <w:rPr>
          <w:rFonts w:hint="eastAsia" w:ascii="仿宋" w:hAnsi="仿宋" w:eastAsia="仿宋" w:cs="仿宋"/>
          <w:b/>
          <w:bCs/>
          <w:sz w:val="24"/>
        </w:rPr>
        <w:t>.4.</w:t>
      </w:r>
      <w:r>
        <w:rPr>
          <w:rFonts w:hint="eastAsia" w:ascii="仿宋" w:hAnsi="仿宋" w:eastAsia="仿宋" w:cs="仿宋"/>
          <w:b/>
          <w:bCs/>
          <w:sz w:val="24"/>
        </w:rPr>
        <w:tab/>
      </w:r>
      <w:r>
        <w:rPr>
          <w:rFonts w:hint="eastAsia" w:ascii="仿宋" w:hAnsi="仿宋" w:eastAsia="仿宋" w:cs="仿宋"/>
          <w:b/>
          <w:bCs/>
          <w:sz w:val="24"/>
        </w:rPr>
        <w:t>全警应用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坚持科技引领服务实战，紧贴实战，进一步拓展和深化各项数据在公安业务中的应用，服务于全警。</w:t>
      </w:r>
    </w:p>
    <w:p>
      <w:pPr>
        <w:snapToGrid w:val="0"/>
        <w:spacing w:line="360" w:lineRule="auto"/>
        <w:ind w:firstLine="480" w:firstLineChars="200"/>
        <w:rPr>
          <w:rFonts w:ascii="仿宋" w:hAnsi="仿宋" w:eastAsia="仿宋" w:cs="仿宋"/>
          <w:sz w:val="24"/>
        </w:rPr>
      </w:pPr>
    </w:p>
    <w:p>
      <w:pPr>
        <w:pStyle w:val="5"/>
        <w:numPr>
          <w:ilvl w:val="2"/>
          <w:numId w:val="0"/>
        </w:numPr>
        <w:snapToGrid w:val="0"/>
        <w:spacing w:before="120" w:after="120" w:line="360" w:lineRule="auto"/>
        <w:ind w:left="180" w:leftChars="0"/>
        <w:rPr>
          <w:rFonts w:ascii="仿宋" w:hAnsi="仿宋" w:eastAsia="仿宋"/>
          <w:sz w:val="24"/>
          <w:szCs w:val="24"/>
        </w:rPr>
      </w:pPr>
      <w:bookmarkStart w:id="31" w:name="_Toc37858476"/>
      <w:bookmarkStart w:id="32" w:name="_Toc51872475"/>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设计依据</w:t>
      </w:r>
      <w:bookmarkEnd w:id="31"/>
      <w:bookmarkEnd w:id="32"/>
    </w:p>
    <w:p>
      <w:pPr>
        <w:spacing w:line="360" w:lineRule="auto"/>
        <w:ind w:firstLine="480"/>
        <w:rPr>
          <w:rFonts w:ascii="仿宋" w:hAnsi="仿宋" w:eastAsia="仿宋" w:cs="宋体"/>
          <w:sz w:val="24"/>
        </w:rPr>
      </w:pPr>
      <w:r>
        <w:rPr>
          <w:rFonts w:hint="eastAsia" w:ascii="仿宋" w:hAnsi="仿宋" w:eastAsia="仿宋" w:cs="宋体"/>
          <w:sz w:val="24"/>
        </w:rPr>
        <w:t>1）《中华人民共和国道路交通安全法》</w:t>
      </w:r>
    </w:p>
    <w:p>
      <w:pPr>
        <w:spacing w:line="360" w:lineRule="auto"/>
        <w:ind w:firstLine="480"/>
        <w:rPr>
          <w:rFonts w:ascii="仿宋" w:hAnsi="仿宋" w:eastAsia="仿宋" w:cs="宋体"/>
          <w:sz w:val="24"/>
        </w:rPr>
      </w:pPr>
      <w:r>
        <w:rPr>
          <w:rFonts w:hint="eastAsia" w:ascii="仿宋" w:hAnsi="仿宋" w:eastAsia="仿宋" w:cs="宋体"/>
          <w:sz w:val="24"/>
        </w:rPr>
        <w:t>2）《中华人民共和国道路交通安全法实施条例》</w:t>
      </w:r>
    </w:p>
    <w:p>
      <w:pPr>
        <w:spacing w:line="360" w:lineRule="auto"/>
        <w:ind w:firstLine="480"/>
        <w:rPr>
          <w:rFonts w:ascii="仿宋" w:hAnsi="仿宋" w:eastAsia="仿宋" w:cs="宋体"/>
          <w:sz w:val="24"/>
        </w:rPr>
      </w:pPr>
      <w:r>
        <w:rPr>
          <w:rFonts w:hint="eastAsia" w:ascii="仿宋" w:hAnsi="仿宋" w:eastAsia="仿宋" w:cs="宋体"/>
          <w:sz w:val="24"/>
        </w:rPr>
        <w:t>3）《城市道路交通管理评价指标体系》</w:t>
      </w:r>
    </w:p>
    <w:p>
      <w:pPr>
        <w:spacing w:line="360" w:lineRule="auto"/>
        <w:ind w:firstLine="480"/>
        <w:rPr>
          <w:rFonts w:ascii="仿宋" w:hAnsi="仿宋" w:eastAsia="仿宋" w:cs="宋体"/>
          <w:sz w:val="24"/>
        </w:rPr>
      </w:pPr>
      <w:r>
        <w:rPr>
          <w:rFonts w:hint="eastAsia" w:ascii="仿宋" w:hAnsi="仿宋" w:eastAsia="仿宋" w:cs="宋体"/>
          <w:sz w:val="24"/>
        </w:rPr>
        <w:t>4）《中国智能运输系统体系框架》</w:t>
      </w:r>
    </w:p>
    <w:p>
      <w:pPr>
        <w:spacing w:line="360" w:lineRule="auto"/>
        <w:ind w:firstLine="480"/>
        <w:rPr>
          <w:rFonts w:ascii="仿宋" w:hAnsi="仿宋" w:eastAsia="仿宋" w:cs="宋体"/>
          <w:sz w:val="24"/>
        </w:rPr>
      </w:pPr>
      <w:r>
        <w:rPr>
          <w:rFonts w:hint="eastAsia" w:ascii="仿宋" w:hAnsi="仿宋" w:eastAsia="仿宋" w:cs="宋体"/>
          <w:sz w:val="24"/>
        </w:rPr>
        <w:t>5）《全国公安机关视频图像信息整合与共享工作任务书》</w:t>
      </w:r>
    </w:p>
    <w:p>
      <w:pPr>
        <w:spacing w:line="360" w:lineRule="auto"/>
        <w:ind w:firstLine="480"/>
        <w:rPr>
          <w:rFonts w:ascii="仿宋" w:hAnsi="仿宋" w:eastAsia="仿宋" w:cs="宋体"/>
          <w:sz w:val="24"/>
        </w:rPr>
      </w:pPr>
      <w:r>
        <w:rPr>
          <w:rFonts w:hint="eastAsia" w:ascii="仿宋" w:hAnsi="仿宋" w:eastAsia="仿宋" w:cs="宋体"/>
          <w:sz w:val="24"/>
        </w:rPr>
        <w:t>6）公安视频专网边界接入平台安全规范（试行）》（公信通【2007】191号，2007年10月）</w:t>
      </w:r>
    </w:p>
    <w:p>
      <w:pPr>
        <w:spacing w:line="360" w:lineRule="auto"/>
        <w:ind w:firstLine="480"/>
        <w:rPr>
          <w:rFonts w:ascii="仿宋" w:hAnsi="仿宋" w:eastAsia="仿宋" w:cs="宋体"/>
          <w:sz w:val="24"/>
        </w:rPr>
      </w:pPr>
      <w:r>
        <w:rPr>
          <w:rFonts w:hint="eastAsia" w:ascii="仿宋" w:hAnsi="仿宋" w:eastAsia="仿宋" w:cs="宋体"/>
          <w:sz w:val="24"/>
        </w:rPr>
        <w:t>7）《公安视频专网边界接入平台安全规范（试行）——视频接入部分》（公信通[2011]5号）</w:t>
      </w:r>
    </w:p>
    <w:p>
      <w:pPr>
        <w:spacing w:line="360" w:lineRule="auto"/>
        <w:ind w:firstLine="480"/>
        <w:rPr>
          <w:rFonts w:ascii="仿宋" w:hAnsi="仿宋" w:eastAsia="仿宋" w:cs="宋体"/>
          <w:sz w:val="24"/>
        </w:rPr>
      </w:pPr>
      <w:r>
        <w:rPr>
          <w:rFonts w:hint="eastAsia" w:ascii="仿宋" w:hAnsi="仿宋" w:eastAsia="仿宋" w:cs="宋体"/>
          <w:sz w:val="24"/>
        </w:rPr>
        <w:t>8）《公安计算机信息系统安全保护规定》(公信通[2003]331号)</w:t>
      </w:r>
    </w:p>
    <w:p>
      <w:pPr>
        <w:spacing w:line="360" w:lineRule="auto"/>
        <w:ind w:firstLine="480"/>
        <w:rPr>
          <w:rFonts w:ascii="仿宋" w:hAnsi="仿宋" w:eastAsia="仿宋" w:cs="宋体"/>
          <w:sz w:val="24"/>
        </w:rPr>
      </w:pPr>
      <w:r>
        <w:rPr>
          <w:rFonts w:hint="eastAsia" w:ascii="仿宋" w:hAnsi="仿宋" w:eastAsia="仿宋" w:cs="宋体"/>
          <w:sz w:val="24"/>
        </w:rPr>
        <w:t>9）《信息安全等级保护管理办法》（公通字[2007]43号）</w:t>
      </w:r>
    </w:p>
    <w:p>
      <w:pPr>
        <w:spacing w:line="360" w:lineRule="auto"/>
        <w:ind w:firstLine="480"/>
        <w:rPr>
          <w:rFonts w:ascii="仿宋" w:hAnsi="仿宋" w:eastAsia="仿宋" w:cs="宋体"/>
          <w:sz w:val="24"/>
        </w:rPr>
      </w:pPr>
      <w:r>
        <w:rPr>
          <w:rFonts w:hint="eastAsia" w:ascii="仿宋" w:hAnsi="仿宋" w:eastAsia="仿宋" w:cs="宋体"/>
          <w:sz w:val="24"/>
        </w:rPr>
        <w:t>10）《全国公安机关图像信息联网总体技术方案》2012年6月</w:t>
      </w:r>
    </w:p>
    <w:p>
      <w:pPr>
        <w:spacing w:line="360" w:lineRule="auto"/>
        <w:ind w:firstLine="480"/>
        <w:rPr>
          <w:rFonts w:ascii="仿宋" w:hAnsi="仿宋" w:eastAsia="仿宋" w:cs="宋体"/>
          <w:sz w:val="24"/>
        </w:rPr>
      </w:pPr>
      <w:r>
        <w:rPr>
          <w:rFonts w:hint="eastAsia" w:ascii="仿宋" w:hAnsi="仿宋" w:eastAsia="仿宋" w:cs="宋体"/>
          <w:sz w:val="24"/>
        </w:rPr>
        <w:t>11）《公安视频传输网建设指南》（征求意见稿）2017年12月</w:t>
      </w:r>
    </w:p>
    <w:p>
      <w:pPr>
        <w:spacing w:line="360" w:lineRule="auto"/>
        <w:ind w:firstLine="480"/>
        <w:rPr>
          <w:rFonts w:ascii="仿宋" w:hAnsi="仿宋" w:eastAsia="仿宋" w:cs="宋体"/>
          <w:sz w:val="24"/>
        </w:rPr>
      </w:pPr>
      <w:r>
        <w:rPr>
          <w:rFonts w:hint="eastAsia" w:ascii="仿宋" w:hAnsi="仿宋" w:eastAsia="仿宋" w:cs="宋体"/>
          <w:sz w:val="24"/>
        </w:rPr>
        <w:t>12）《全国公安机关视频监控系统联网标准符合性检测工作实施方案》</w:t>
      </w:r>
    </w:p>
    <w:p>
      <w:pPr>
        <w:spacing w:line="360" w:lineRule="auto"/>
        <w:ind w:firstLine="480"/>
        <w:rPr>
          <w:rFonts w:ascii="仿宋" w:hAnsi="仿宋" w:eastAsia="仿宋" w:cs="宋体"/>
          <w:sz w:val="24"/>
        </w:rPr>
      </w:pPr>
      <w:r>
        <w:rPr>
          <w:rFonts w:hint="eastAsia" w:ascii="仿宋" w:hAnsi="仿宋" w:eastAsia="仿宋" w:cs="宋体"/>
          <w:sz w:val="24"/>
        </w:rPr>
        <w:t>13）《关于印发“关于规范查处机动车违反限速规定交通违法行为的指导意见”的通知》（公交管[2013]455号）</w:t>
      </w:r>
    </w:p>
    <w:p>
      <w:pPr>
        <w:spacing w:line="360" w:lineRule="auto"/>
        <w:ind w:firstLine="480"/>
        <w:rPr>
          <w:rFonts w:ascii="仿宋" w:hAnsi="仿宋" w:eastAsia="仿宋" w:cs="宋体"/>
          <w:sz w:val="24"/>
        </w:rPr>
      </w:pPr>
      <w:r>
        <w:rPr>
          <w:rFonts w:hint="eastAsia" w:ascii="仿宋" w:hAnsi="仿宋" w:eastAsia="仿宋" w:cs="宋体"/>
          <w:sz w:val="24"/>
        </w:rPr>
        <w:t>14）《2018年道路交通管理工作要点》</w:t>
      </w:r>
    </w:p>
    <w:p>
      <w:pPr>
        <w:spacing w:line="360" w:lineRule="auto"/>
        <w:ind w:firstLine="480"/>
        <w:rPr>
          <w:rFonts w:ascii="仿宋" w:hAnsi="仿宋" w:eastAsia="仿宋" w:cs="宋体"/>
          <w:sz w:val="24"/>
        </w:rPr>
      </w:pPr>
      <w:r>
        <w:rPr>
          <w:rFonts w:hint="eastAsia" w:ascii="仿宋" w:hAnsi="仿宋" w:eastAsia="仿宋" w:cs="宋体"/>
          <w:sz w:val="24"/>
        </w:rPr>
        <w:t>15）《2019年道路交通管理工作要点》</w:t>
      </w:r>
    </w:p>
    <w:p>
      <w:pPr>
        <w:spacing w:line="360" w:lineRule="auto"/>
        <w:ind w:firstLine="480"/>
        <w:rPr>
          <w:rFonts w:ascii="仿宋" w:hAnsi="仿宋" w:eastAsia="仿宋" w:cs="宋体"/>
          <w:sz w:val="24"/>
        </w:rPr>
      </w:pPr>
      <w:r>
        <w:rPr>
          <w:rFonts w:hint="eastAsia" w:ascii="仿宋" w:hAnsi="仿宋" w:eastAsia="仿宋" w:cs="宋体"/>
          <w:sz w:val="24"/>
        </w:rPr>
        <w:t>16）《2020年道路交通管理工作要点》</w:t>
      </w:r>
    </w:p>
    <w:p>
      <w:pPr>
        <w:spacing w:line="360" w:lineRule="auto"/>
        <w:ind w:firstLine="480"/>
        <w:rPr>
          <w:rFonts w:ascii="仿宋" w:hAnsi="仿宋" w:eastAsia="仿宋" w:cs="宋体"/>
          <w:sz w:val="24"/>
        </w:rPr>
      </w:pPr>
      <w:r>
        <w:rPr>
          <w:rFonts w:hint="eastAsia" w:ascii="仿宋" w:hAnsi="仿宋" w:eastAsia="仿宋" w:cs="宋体"/>
          <w:sz w:val="24"/>
        </w:rPr>
        <w:t>17）《道路交通安全“十三五”规划》</w:t>
      </w:r>
      <w:bookmarkEnd w:id="26"/>
      <w:bookmarkStart w:id="33" w:name="_Toc469523947"/>
    </w:p>
    <w:p>
      <w:pPr>
        <w:pStyle w:val="4"/>
        <w:numPr>
          <w:ilvl w:val="0"/>
          <w:numId w:val="0"/>
        </w:numPr>
        <w:snapToGrid w:val="0"/>
        <w:spacing w:before="120" w:after="120" w:line="360" w:lineRule="auto"/>
        <w:ind w:leftChars="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项目建设内容</w:t>
      </w:r>
    </w:p>
    <w:p>
      <w:pPr>
        <w:pStyle w:val="5"/>
        <w:numPr>
          <w:ilvl w:val="2"/>
          <w:numId w:val="0"/>
        </w:numPr>
        <w:snapToGrid w:val="0"/>
        <w:spacing w:before="120" w:after="120" w:line="360" w:lineRule="auto"/>
        <w:ind w:left="180" w:leftChars="0"/>
        <w:rPr>
          <w:rFonts w:ascii="仿宋" w:hAnsi="仿宋" w:eastAsia="仿宋"/>
          <w:sz w:val="24"/>
          <w:szCs w:val="24"/>
        </w:rPr>
      </w:pPr>
      <w:bookmarkStart w:id="34" w:name="_Toc51872496"/>
      <w:bookmarkStart w:id="35" w:name="_Toc37858490"/>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大队交通综合管控平台升级</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2</w:t>
      </w:r>
      <w:r>
        <w:rPr>
          <w:rFonts w:ascii="仿宋" w:hAnsi="仿宋" w:eastAsia="仿宋" w:cs="仿宋"/>
          <w:b/>
          <w:bCs/>
          <w:sz w:val="24"/>
        </w:rPr>
        <w:t>.1.1</w:t>
      </w:r>
      <w:r>
        <w:rPr>
          <w:rFonts w:hint="eastAsia" w:ascii="仿宋" w:hAnsi="仿宋" w:eastAsia="仿宋" w:cs="仿宋"/>
          <w:b/>
          <w:bCs/>
          <w:sz w:val="24"/>
        </w:rPr>
        <w:t>交通视频汇聚云平台升级</w:t>
      </w:r>
    </w:p>
    <w:p>
      <w:pPr>
        <w:spacing w:line="360" w:lineRule="auto"/>
        <w:ind w:firstLine="480" w:firstLineChars="200"/>
        <w:rPr>
          <w:rFonts w:ascii="仿宋" w:hAnsi="仿宋" w:eastAsia="仿宋" w:cs="宋体"/>
          <w:sz w:val="24"/>
        </w:rPr>
      </w:pPr>
      <w:r>
        <w:rPr>
          <w:rFonts w:hint="eastAsia" w:ascii="仿宋" w:hAnsi="仿宋" w:eastAsia="仿宋" w:cs="宋体"/>
          <w:sz w:val="24"/>
        </w:rPr>
        <w:t>在原来视频专网网中已建设的视频汇聚平台的基础上进行架构升级，临安交警大队软件平台升级后，形成结构合理、负载均衡、内外沟通的计算机网络系统，在此网络系统基础上，建立满足日常办公和管理工作需要的软件环境，开发各类信息库和应用系统，实现交警各信息管理系统的互联和协同、各种数据资源的高度共享和集中管理，为各部门提供充分的网络信息服务。</w:t>
      </w:r>
    </w:p>
    <w:p>
      <w:pPr>
        <w:numPr>
          <w:ilvl w:val="0"/>
          <w:numId w:val="9"/>
        </w:numPr>
        <w:spacing w:line="360" w:lineRule="auto"/>
        <w:ind w:left="0" w:firstLine="200"/>
        <w:rPr>
          <w:rFonts w:ascii="仿宋" w:hAnsi="仿宋" w:eastAsia="仿宋"/>
          <w:sz w:val="24"/>
        </w:rPr>
      </w:pPr>
      <w:r>
        <w:rPr>
          <w:rFonts w:hint="eastAsia" w:ascii="仿宋" w:hAnsi="仿宋" w:eastAsia="仿宋"/>
          <w:b/>
          <w:bCs/>
          <w:sz w:val="24"/>
        </w:rPr>
        <w:t>云架构的服务平台</w:t>
      </w:r>
    </w:p>
    <w:p>
      <w:pPr>
        <w:spacing w:line="360" w:lineRule="auto"/>
        <w:ind w:firstLine="200"/>
        <w:rPr>
          <w:rFonts w:ascii="仿宋" w:hAnsi="仿宋" w:eastAsia="仿宋"/>
          <w:sz w:val="24"/>
        </w:rPr>
      </w:pPr>
      <w:r>
        <w:rPr>
          <w:rFonts w:hint="eastAsia" w:ascii="仿宋" w:hAnsi="仿宋" w:eastAsia="仿宋"/>
          <w:sz w:val="24"/>
        </w:rPr>
        <w:t>构建接入资源池、流媒体资源池、大数据资源池、存储资源池，实现资源池化</w:t>
      </w:r>
    </w:p>
    <w:p>
      <w:pPr>
        <w:numPr>
          <w:ilvl w:val="0"/>
          <w:numId w:val="10"/>
        </w:numPr>
        <w:spacing w:line="360" w:lineRule="auto"/>
        <w:ind w:left="0" w:firstLine="200"/>
        <w:rPr>
          <w:rFonts w:ascii="仿宋" w:hAnsi="仿宋" w:eastAsia="仿宋"/>
          <w:sz w:val="24"/>
        </w:rPr>
      </w:pPr>
      <w:r>
        <w:rPr>
          <w:rFonts w:hint="eastAsia" w:ascii="仿宋" w:hAnsi="仿宋" w:eastAsia="仿宋"/>
          <w:b/>
          <w:bCs/>
          <w:sz w:val="24"/>
        </w:rPr>
        <w:t>专业化的视频服务</w:t>
      </w:r>
    </w:p>
    <w:p>
      <w:pPr>
        <w:spacing w:line="360" w:lineRule="auto"/>
        <w:ind w:firstLine="200"/>
        <w:rPr>
          <w:rFonts w:ascii="仿宋" w:hAnsi="仿宋" w:eastAsia="仿宋"/>
          <w:sz w:val="24"/>
        </w:rPr>
      </w:pPr>
      <w:r>
        <w:rPr>
          <w:rFonts w:hint="eastAsia" w:ascii="仿宋" w:hAnsi="仿宋" w:eastAsia="仿宋"/>
          <w:sz w:val="24"/>
        </w:rPr>
        <w:t>实现多厂家、多协议、多类型感知设备的统一接入；实现对海量视频图像的高效存储</w:t>
      </w:r>
    </w:p>
    <w:p>
      <w:pPr>
        <w:numPr>
          <w:ilvl w:val="0"/>
          <w:numId w:val="11"/>
        </w:numPr>
        <w:spacing w:line="360" w:lineRule="auto"/>
        <w:ind w:left="0" w:firstLine="200"/>
        <w:rPr>
          <w:rFonts w:ascii="仿宋" w:hAnsi="仿宋" w:eastAsia="仿宋"/>
          <w:sz w:val="24"/>
        </w:rPr>
      </w:pPr>
      <w:r>
        <w:rPr>
          <w:rFonts w:hint="eastAsia" w:ascii="仿宋" w:hAnsi="仿宋" w:eastAsia="仿宋"/>
          <w:b/>
          <w:bCs/>
          <w:sz w:val="24"/>
        </w:rPr>
        <w:t>资源统一管理</w:t>
      </w:r>
    </w:p>
    <w:p>
      <w:pPr>
        <w:spacing w:line="360" w:lineRule="auto"/>
        <w:ind w:firstLine="200"/>
        <w:rPr>
          <w:rFonts w:ascii="仿宋" w:hAnsi="仿宋" w:eastAsia="仿宋"/>
          <w:sz w:val="24"/>
        </w:rPr>
      </w:pPr>
      <w:r>
        <w:rPr>
          <w:rFonts w:hint="eastAsia" w:ascii="仿宋" w:hAnsi="仿宋" w:eastAsia="仿宋"/>
          <w:sz w:val="24"/>
        </w:rPr>
        <w:t>实现前端、存储、网络、安全等多种类型的设备资源、服务、数据进行统一管理</w:t>
      </w:r>
    </w:p>
    <w:p>
      <w:pPr>
        <w:numPr>
          <w:ilvl w:val="0"/>
          <w:numId w:val="12"/>
        </w:numPr>
        <w:spacing w:line="360" w:lineRule="auto"/>
        <w:ind w:left="0" w:firstLine="200"/>
        <w:rPr>
          <w:rFonts w:ascii="仿宋" w:hAnsi="仿宋" w:eastAsia="仿宋"/>
          <w:sz w:val="24"/>
        </w:rPr>
      </w:pPr>
      <w:r>
        <w:rPr>
          <w:rFonts w:hint="eastAsia" w:ascii="仿宋" w:hAnsi="仿宋" w:eastAsia="仿宋"/>
          <w:b/>
          <w:bCs/>
          <w:sz w:val="24"/>
        </w:rPr>
        <w:t>开放性平台</w:t>
      </w:r>
    </w:p>
    <w:p>
      <w:pPr>
        <w:spacing w:line="360" w:lineRule="auto"/>
        <w:ind w:firstLine="200"/>
        <w:rPr>
          <w:rFonts w:ascii="仿宋" w:hAnsi="仿宋" w:eastAsia="仿宋"/>
          <w:sz w:val="24"/>
        </w:rPr>
      </w:pPr>
      <w:r>
        <w:rPr>
          <w:rFonts w:hint="eastAsia" w:ascii="仿宋" w:hAnsi="仿宋" w:eastAsia="仿宋"/>
          <w:sz w:val="24"/>
        </w:rPr>
        <w:t>提供了开放标准协议实现设备接入开放、平台联网开放、二次应用开放</w:t>
      </w: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2</w:t>
      </w:r>
      <w:r>
        <w:rPr>
          <w:rFonts w:ascii="仿宋" w:hAnsi="仿宋" w:eastAsia="仿宋" w:cs="仿宋"/>
          <w:b/>
          <w:bCs/>
          <w:sz w:val="24"/>
        </w:rPr>
        <w:t>.1.2</w:t>
      </w:r>
      <w:r>
        <w:rPr>
          <w:rFonts w:hint="eastAsia" w:ascii="仿宋" w:hAnsi="仿宋" w:eastAsia="仿宋" w:cs="仿宋"/>
          <w:b/>
          <w:bCs/>
          <w:sz w:val="24"/>
        </w:rPr>
        <w:t>交通情指勤督实战平台建设</w:t>
      </w:r>
    </w:p>
    <w:p>
      <w:pPr>
        <w:pStyle w:val="24"/>
        <w:spacing w:after="0" w:line="360" w:lineRule="auto"/>
        <w:ind w:firstLine="480" w:firstLineChars="200"/>
        <w:rPr>
          <w:rFonts w:ascii="仿宋" w:hAnsi="仿宋" w:eastAsia="仿宋"/>
          <w:sz w:val="24"/>
        </w:rPr>
      </w:pPr>
      <w:r>
        <w:rPr>
          <w:rFonts w:hint="eastAsia" w:ascii="仿宋" w:hAnsi="仿宋" w:eastAsia="仿宋"/>
          <w:sz w:val="24"/>
        </w:rPr>
        <w:t>依托交管“**资源在线、**对象在线、**工作在线”的理念，打造可视化、综合化和智能化的交通综合管控体系，通过整合和升级现有系统，提升综合指挥能力，实现道路事件监测和警情处理的协同指挥。</w:t>
      </w:r>
    </w:p>
    <w:p>
      <w:pPr>
        <w:pStyle w:val="24"/>
        <w:numPr>
          <w:ilvl w:val="0"/>
          <w:numId w:val="13"/>
        </w:numPr>
        <w:spacing w:after="0" w:line="360" w:lineRule="auto"/>
        <w:ind w:left="0" w:firstLine="482" w:firstLineChars="200"/>
        <w:rPr>
          <w:rFonts w:ascii="仿宋" w:hAnsi="仿宋" w:eastAsia="仿宋"/>
          <w:sz w:val="24"/>
        </w:rPr>
      </w:pPr>
      <w:r>
        <w:rPr>
          <w:rFonts w:hint="eastAsia" w:ascii="仿宋" w:hAnsi="仿宋" w:eastAsia="仿宋"/>
          <w:b/>
          <w:bCs/>
          <w:sz w:val="24"/>
        </w:rPr>
        <w:t>资源在线</w:t>
      </w:r>
    </w:p>
    <w:p>
      <w:pPr>
        <w:pStyle w:val="24"/>
        <w:spacing w:after="0" w:line="360" w:lineRule="auto"/>
        <w:ind w:firstLine="480" w:firstLineChars="200"/>
        <w:rPr>
          <w:rFonts w:ascii="仿宋" w:hAnsi="仿宋" w:eastAsia="仿宋"/>
          <w:sz w:val="24"/>
        </w:rPr>
      </w:pPr>
      <w:r>
        <w:rPr>
          <w:rFonts w:hint="eastAsia" w:ascii="仿宋" w:hAnsi="仿宋" w:eastAsia="仿宋"/>
          <w:sz w:val="24"/>
        </w:rPr>
        <w:t>资源一张图可视化展示，实现资源的查看、调度，包含设备资源、社会资源、警力资源、实时路况等，并可对设备资源进行快速的检索化</w:t>
      </w:r>
    </w:p>
    <w:p>
      <w:pPr>
        <w:pStyle w:val="24"/>
        <w:numPr>
          <w:ilvl w:val="0"/>
          <w:numId w:val="14"/>
        </w:numPr>
        <w:spacing w:after="0" w:line="360" w:lineRule="auto"/>
        <w:ind w:left="0" w:firstLine="480" w:firstLineChars="200"/>
        <w:rPr>
          <w:rFonts w:ascii="仿宋" w:hAnsi="仿宋" w:eastAsia="仿宋"/>
          <w:sz w:val="24"/>
        </w:rPr>
      </w:pPr>
      <w:r>
        <w:rPr>
          <w:rFonts w:hint="eastAsia" w:ascii="仿宋" w:hAnsi="仿宋" w:eastAsia="仿宋"/>
          <w:sz w:val="24"/>
        </w:rPr>
        <w:t>视频监控可视化</w:t>
      </w:r>
    </w:p>
    <w:p>
      <w:pPr>
        <w:pStyle w:val="24"/>
        <w:spacing w:after="0" w:line="360" w:lineRule="auto"/>
        <w:ind w:firstLine="480" w:firstLineChars="200"/>
        <w:rPr>
          <w:rFonts w:ascii="仿宋" w:hAnsi="仿宋" w:eastAsia="仿宋"/>
          <w:sz w:val="24"/>
        </w:rPr>
      </w:pPr>
      <w:r>
        <w:rPr>
          <w:rFonts w:hint="eastAsia" w:ascii="仿宋" w:hAnsi="仿宋" w:eastAsia="仿宋"/>
          <w:sz w:val="24"/>
        </w:rPr>
        <w:t>通过接入视频、电警、卡口、AR等设备，并在地图上进行可视化展示，支持地图的缩放完成聚合展示，点开某个点位，可查看该点位过车或视频监控信息，实现可视化监控管理。</w:t>
      </w:r>
    </w:p>
    <w:p>
      <w:pPr>
        <w:pStyle w:val="24"/>
        <w:numPr>
          <w:ilvl w:val="0"/>
          <w:numId w:val="15"/>
        </w:numPr>
        <w:spacing w:after="0" w:line="360" w:lineRule="auto"/>
        <w:ind w:left="0" w:firstLine="480" w:firstLineChars="200"/>
        <w:rPr>
          <w:rFonts w:ascii="仿宋" w:hAnsi="仿宋" w:eastAsia="仿宋"/>
          <w:sz w:val="24"/>
        </w:rPr>
      </w:pPr>
      <w:r>
        <w:rPr>
          <w:rFonts w:hint="eastAsia" w:ascii="仿宋" w:hAnsi="仿宋" w:eastAsia="仿宋"/>
          <w:sz w:val="24"/>
        </w:rPr>
        <w:t>社会资源可视化</w:t>
      </w:r>
    </w:p>
    <w:p>
      <w:pPr>
        <w:pStyle w:val="24"/>
        <w:spacing w:after="0" w:line="360" w:lineRule="auto"/>
        <w:ind w:firstLine="480" w:firstLineChars="200"/>
        <w:rPr>
          <w:rFonts w:ascii="仿宋" w:hAnsi="仿宋" w:eastAsia="仿宋"/>
          <w:sz w:val="24"/>
        </w:rPr>
      </w:pPr>
      <w:r>
        <w:rPr>
          <w:rFonts w:hint="eastAsia" w:ascii="仿宋" w:hAnsi="仿宋" w:eastAsia="仿宋"/>
          <w:sz w:val="24"/>
        </w:rPr>
        <w:t>通过接入互联网地图数据资源，包括学校、商场、工地、停车场、岗亭、医疗资源等点位，并在地图上进行可视化展示，支持地图的缩放完成聚合展示，点开某个点位，可查看点位周边的视频监控信息和详情，实现可视化监控管理。</w:t>
      </w:r>
    </w:p>
    <w:p>
      <w:pPr>
        <w:pStyle w:val="24"/>
        <w:rPr>
          <w:rFonts w:ascii="仿宋" w:hAnsi="仿宋" w:eastAsia="仿宋"/>
          <w:sz w:val="24"/>
        </w:rPr>
      </w:pPr>
    </w:p>
    <w:p>
      <w:pPr>
        <w:numPr>
          <w:ilvl w:val="0"/>
          <w:numId w:val="16"/>
        </w:numPr>
        <w:spacing w:line="360" w:lineRule="auto"/>
        <w:ind w:left="0" w:firstLine="482" w:firstLineChars="200"/>
        <w:rPr>
          <w:rFonts w:ascii="仿宋" w:hAnsi="仿宋" w:eastAsia="仿宋"/>
          <w:sz w:val="24"/>
        </w:rPr>
      </w:pPr>
      <w:r>
        <w:rPr>
          <w:rFonts w:hint="eastAsia" w:ascii="仿宋" w:hAnsi="仿宋" w:eastAsia="仿宋"/>
          <w:b/>
          <w:bCs/>
          <w:sz w:val="24"/>
        </w:rPr>
        <w:t>资源在线</w:t>
      </w:r>
    </w:p>
    <w:p>
      <w:pPr>
        <w:spacing w:line="360" w:lineRule="auto"/>
        <w:ind w:firstLine="480" w:firstLineChars="200"/>
        <w:rPr>
          <w:rFonts w:ascii="仿宋" w:hAnsi="仿宋" w:eastAsia="仿宋"/>
          <w:sz w:val="24"/>
        </w:rPr>
      </w:pPr>
      <w:r>
        <w:rPr>
          <w:rFonts w:hint="eastAsia" w:ascii="仿宋" w:hAnsi="仿宋" w:eastAsia="仿宋"/>
          <w:sz w:val="24"/>
        </w:rPr>
        <w:t>资源一张图可视化展示，实现资源的查看、调度，包含设备资源、社会资源、警力资源、实时路况等，并可对设备资源进行快速的检索化</w:t>
      </w:r>
    </w:p>
    <w:p>
      <w:pPr>
        <w:numPr>
          <w:ilvl w:val="0"/>
          <w:numId w:val="17"/>
        </w:numPr>
        <w:spacing w:line="360" w:lineRule="auto"/>
        <w:ind w:left="0" w:firstLine="480" w:firstLineChars="200"/>
        <w:rPr>
          <w:rFonts w:ascii="仿宋" w:hAnsi="仿宋" w:eastAsia="仿宋"/>
          <w:sz w:val="24"/>
        </w:rPr>
      </w:pPr>
      <w:r>
        <w:rPr>
          <w:rFonts w:hint="eastAsia" w:ascii="仿宋" w:hAnsi="仿宋" w:eastAsia="仿宋"/>
          <w:sz w:val="24"/>
        </w:rPr>
        <w:t>警力资源可视化</w:t>
      </w:r>
    </w:p>
    <w:p>
      <w:pPr>
        <w:spacing w:line="360" w:lineRule="auto"/>
        <w:ind w:firstLine="480" w:firstLineChars="200"/>
        <w:rPr>
          <w:rFonts w:ascii="仿宋" w:hAnsi="仿宋" w:eastAsia="仿宋"/>
          <w:sz w:val="24"/>
        </w:rPr>
      </w:pPr>
      <w:r>
        <w:rPr>
          <w:rFonts w:hint="eastAsia" w:ascii="仿宋" w:hAnsi="仿宋" w:eastAsia="仿宋"/>
          <w:sz w:val="24"/>
        </w:rPr>
        <w:t>提供多种警力资源的接入和展示，包含APP，PDT，无人机，铁骑等，也能够对接第三方的GPS来关联警员警车，并可以进行轨迹查询以及关联设备的视频预览。</w:t>
      </w:r>
    </w:p>
    <w:p>
      <w:pPr>
        <w:rPr>
          <w:rFonts w:ascii="仿宋" w:hAnsi="仿宋" w:eastAsia="仿宋"/>
          <w:sz w:val="24"/>
        </w:rPr>
      </w:pPr>
    </w:p>
    <w:p>
      <w:pPr>
        <w:pStyle w:val="24"/>
        <w:numPr>
          <w:ilvl w:val="0"/>
          <w:numId w:val="18"/>
        </w:numPr>
        <w:spacing w:after="0" w:line="360" w:lineRule="auto"/>
        <w:ind w:left="0" w:firstLine="482" w:firstLineChars="200"/>
        <w:rPr>
          <w:rFonts w:ascii="仿宋" w:hAnsi="仿宋" w:eastAsia="仿宋"/>
          <w:sz w:val="24"/>
        </w:rPr>
      </w:pPr>
      <w:r>
        <w:rPr>
          <w:rFonts w:hint="eastAsia" w:ascii="仿宋" w:hAnsi="仿宋" w:eastAsia="仿宋"/>
          <w:b/>
          <w:bCs/>
          <w:sz w:val="24"/>
        </w:rPr>
        <w:t>警情汇聚</w:t>
      </w:r>
    </w:p>
    <w:p>
      <w:pPr>
        <w:pStyle w:val="24"/>
        <w:spacing w:after="0" w:line="360" w:lineRule="auto"/>
        <w:ind w:firstLine="480" w:firstLineChars="200"/>
        <w:rPr>
          <w:rFonts w:ascii="仿宋" w:hAnsi="仿宋" w:eastAsia="仿宋"/>
          <w:sz w:val="24"/>
        </w:rPr>
      </w:pPr>
      <w:r>
        <w:rPr>
          <w:rFonts w:hint="eastAsia" w:ascii="仿宋" w:hAnsi="仿宋" w:eastAsia="仿宋"/>
          <w:sz w:val="24"/>
        </w:rPr>
        <w:t>实现多源警情进行汇聚接入，针对不同来源的警情按照标准格式接入，并对外提供统一的接入接口。同时对接警单信息，处警单信息，反馈单信息分别进行接入，关联，匹配，在平台上统一展示</w:t>
      </w:r>
    </w:p>
    <w:p>
      <w:pPr>
        <w:pStyle w:val="24"/>
        <w:rPr>
          <w:rFonts w:ascii="仿宋" w:hAnsi="仿宋" w:eastAsia="仿宋"/>
          <w:sz w:val="24"/>
        </w:rPr>
      </w:pPr>
    </w:p>
    <w:p>
      <w:pPr>
        <w:numPr>
          <w:ilvl w:val="0"/>
          <w:numId w:val="19"/>
        </w:numPr>
        <w:spacing w:line="360" w:lineRule="auto"/>
        <w:ind w:left="0" w:firstLine="482" w:firstLineChars="200"/>
        <w:rPr>
          <w:rFonts w:ascii="仿宋" w:hAnsi="仿宋" w:eastAsia="仿宋"/>
          <w:sz w:val="24"/>
        </w:rPr>
      </w:pPr>
      <w:r>
        <w:rPr>
          <w:rFonts w:hint="eastAsia" w:ascii="仿宋" w:hAnsi="仿宋" w:eastAsia="仿宋"/>
          <w:b/>
          <w:bCs/>
          <w:sz w:val="24"/>
        </w:rPr>
        <w:t>警情处置</w:t>
      </w:r>
    </w:p>
    <w:p>
      <w:pPr>
        <w:spacing w:line="360" w:lineRule="auto"/>
        <w:ind w:firstLine="480" w:firstLineChars="200"/>
        <w:rPr>
          <w:rFonts w:ascii="仿宋" w:hAnsi="仿宋" w:eastAsia="仿宋"/>
          <w:sz w:val="24"/>
        </w:rPr>
      </w:pPr>
      <w:r>
        <w:rPr>
          <w:rFonts w:hint="eastAsia" w:ascii="仿宋" w:hAnsi="仿宋" w:eastAsia="仿宋"/>
          <w:sz w:val="24"/>
        </w:rPr>
        <w:t>实现警情处置的业务流程化，面向不同岗位，实现多平台协同应用，利用汇聚的各类警情数据，实现警情派发、签收、处置的全流程闭环。</w:t>
      </w:r>
    </w:p>
    <w:p>
      <w:pPr>
        <w:rPr>
          <w:rFonts w:ascii="仿宋" w:hAnsi="仿宋" w:eastAsia="仿宋"/>
          <w:sz w:val="24"/>
        </w:rPr>
      </w:pPr>
    </w:p>
    <w:p>
      <w:pPr>
        <w:pStyle w:val="24"/>
        <w:numPr>
          <w:ilvl w:val="0"/>
          <w:numId w:val="20"/>
        </w:numPr>
        <w:spacing w:after="0" w:line="360" w:lineRule="auto"/>
        <w:ind w:left="0" w:firstLine="482" w:firstLineChars="200"/>
        <w:rPr>
          <w:rFonts w:ascii="仿宋" w:hAnsi="仿宋" w:eastAsia="仿宋"/>
          <w:sz w:val="24"/>
        </w:rPr>
      </w:pPr>
      <w:r>
        <w:rPr>
          <w:rFonts w:hint="eastAsia" w:ascii="仿宋" w:hAnsi="仿宋" w:eastAsia="仿宋"/>
          <w:b/>
          <w:bCs/>
          <w:sz w:val="24"/>
        </w:rPr>
        <w:t>警情研判</w:t>
      </w:r>
    </w:p>
    <w:p>
      <w:pPr>
        <w:pStyle w:val="24"/>
        <w:spacing w:after="0" w:line="360" w:lineRule="auto"/>
        <w:ind w:firstLine="480" w:firstLineChars="200"/>
        <w:rPr>
          <w:rFonts w:ascii="仿宋" w:hAnsi="仿宋" w:eastAsia="仿宋"/>
          <w:sz w:val="24"/>
        </w:rPr>
      </w:pPr>
      <w:r>
        <w:rPr>
          <w:rFonts w:hint="eastAsia" w:ascii="仿宋" w:hAnsi="仿宋" w:eastAsia="仿宋"/>
          <w:sz w:val="24"/>
        </w:rPr>
        <w:t>按照不同的条件统计警情（同比/环比）、支持警情按照辖区统计警情数量、支持超时警情分类统计数量、支持警情按照警情类型统计数量。</w:t>
      </w:r>
    </w:p>
    <w:p>
      <w:pPr>
        <w:pStyle w:val="24"/>
        <w:rPr>
          <w:rFonts w:ascii="仿宋" w:hAnsi="仿宋" w:eastAsia="仿宋"/>
          <w:sz w:val="24"/>
        </w:rPr>
      </w:pPr>
    </w:p>
    <w:p>
      <w:pPr>
        <w:snapToGrid w:val="0"/>
        <w:spacing w:line="360" w:lineRule="auto"/>
        <w:ind w:firstLine="482" w:firstLineChars="200"/>
        <w:outlineLvl w:val="3"/>
        <w:rPr>
          <w:rFonts w:ascii="仿宋" w:hAnsi="仿宋" w:eastAsia="仿宋" w:cs="仿宋"/>
          <w:b/>
          <w:bCs/>
          <w:sz w:val="24"/>
        </w:rPr>
      </w:pPr>
      <w:r>
        <w:rPr>
          <w:rFonts w:hint="eastAsia" w:ascii="仿宋" w:hAnsi="仿宋" w:eastAsia="仿宋" w:cs="仿宋"/>
          <w:b/>
          <w:bCs/>
          <w:sz w:val="24"/>
        </w:rPr>
        <w:t>2</w:t>
      </w:r>
      <w:r>
        <w:rPr>
          <w:rFonts w:ascii="仿宋" w:hAnsi="仿宋" w:eastAsia="仿宋" w:cs="仿宋"/>
          <w:b/>
          <w:bCs/>
          <w:sz w:val="24"/>
        </w:rPr>
        <w:t>.1.3</w:t>
      </w:r>
      <w:r>
        <w:rPr>
          <w:rFonts w:hint="eastAsia" w:ascii="仿宋" w:hAnsi="仿宋" w:eastAsia="仿宋" w:cs="仿宋"/>
          <w:b/>
          <w:bCs/>
          <w:sz w:val="24"/>
        </w:rPr>
        <w:t>交通数据可视化平台建设</w:t>
      </w:r>
    </w:p>
    <w:p>
      <w:pPr>
        <w:pStyle w:val="24"/>
        <w:spacing w:after="0" w:line="360" w:lineRule="auto"/>
        <w:ind w:firstLine="480" w:firstLineChars="200"/>
        <w:rPr>
          <w:rFonts w:ascii="仿宋" w:hAnsi="仿宋" w:eastAsia="仿宋"/>
          <w:sz w:val="24"/>
        </w:rPr>
      </w:pPr>
      <w:r>
        <w:rPr>
          <w:rFonts w:hint="eastAsia" w:ascii="仿宋" w:hAnsi="仿宋" w:eastAsia="仿宋"/>
          <w:sz w:val="24"/>
        </w:rPr>
        <w:t>针对临安城市交通管理、指挥调度和分析决策设计的数据综合分析展示平台，帮助临安交警交通管理决策者站在业务角度上，更加快速、全面的做出业务决策，从而实现大量数据落地业务场景，实现数据价值，是交通管理大数据与价值实现的最后一公里。</w:t>
      </w:r>
    </w:p>
    <w:p>
      <w:pPr>
        <w:pStyle w:val="24"/>
        <w:numPr>
          <w:ilvl w:val="0"/>
          <w:numId w:val="21"/>
        </w:numPr>
        <w:spacing w:after="0" w:line="360" w:lineRule="auto"/>
        <w:ind w:left="0" w:firstLine="482" w:firstLineChars="200"/>
        <w:rPr>
          <w:rFonts w:ascii="仿宋" w:hAnsi="仿宋" w:eastAsia="仿宋"/>
          <w:sz w:val="24"/>
        </w:rPr>
      </w:pPr>
      <w:r>
        <w:rPr>
          <w:rFonts w:hint="eastAsia" w:ascii="仿宋" w:hAnsi="仿宋" w:eastAsia="仿宋"/>
          <w:b/>
          <w:bCs/>
          <w:sz w:val="24"/>
        </w:rPr>
        <w:t>交通信息总览</w:t>
      </w:r>
    </w:p>
    <w:p>
      <w:pPr>
        <w:pStyle w:val="24"/>
        <w:numPr>
          <w:ilvl w:val="0"/>
          <w:numId w:val="22"/>
        </w:numPr>
        <w:spacing w:after="0" w:line="360" w:lineRule="auto"/>
        <w:ind w:left="0" w:firstLine="480" w:firstLineChars="200"/>
        <w:rPr>
          <w:rFonts w:ascii="仿宋" w:hAnsi="仿宋" w:eastAsia="仿宋"/>
          <w:sz w:val="24"/>
        </w:rPr>
      </w:pPr>
      <w:r>
        <w:rPr>
          <w:rFonts w:hint="eastAsia" w:ascii="仿宋" w:hAnsi="仿宋" w:eastAsia="仿宋"/>
          <w:sz w:val="24"/>
        </w:rPr>
        <w:t>支持对辖区整体管理情况进行可视化展示；</w:t>
      </w:r>
    </w:p>
    <w:p>
      <w:pPr>
        <w:pStyle w:val="24"/>
        <w:numPr>
          <w:ilvl w:val="0"/>
          <w:numId w:val="22"/>
        </w:numPr>
        <w:spacing w:after="0" w:line="360" w:lineRule="auto"/>
        <w:ind w:left="0" w:firstLine="480" w:firstLineChars="200"/>
        <w:rPr>
          <w:rFonts w:ascii="仿宋" w:hAnsi="仿宋" w:eastAsia="仿宋"/>
          <w:sz w:val="24"/>
        </w:rPr>
      </w:pPr>
      <w:r>
        <w:rPr>
          <w:rFonts w:hint="eastAsia" w:ascii="仿宋" w:hAnsi="仿宋" w:eastAsia="仿宋"/>
          <w:sz w:val="24"/>
        </w:rPr>
        <w:t>支持对辖区主要出入城流量进行实时查看以及对警情、隐患、违法、勤务进行概览</w:t>
      </w:r>
    </w:p>
    <w:p>
      <w:pPr>
        <w:rPr>
          <w:rFonts w:ascii="仿宋" w:hAnsi="仿宋" w:eastAsia="仿宋"/>
          <w:sz w:val="24"/>
        </w:rPr>
      </w:pPr>
    </w:p>
    <w:p>
      <w:pPr>
        <w:pStyle w:val="24"/>
        <w:numPr>
          <w:ilvl w:val="0"/>
          <w:numId w:val="23"/>
        </w:numPr>
        <w:spacing w:after="0" w:line="360" w:lineRule="auto"/>
        <w:ind w:left="0" w:firstLine="482" w:firstLineChars="200"/>
        <w:rPr>
          <w:rFonts w:ascii="仿宋" w:hAnsi="仿宋" w:eastAsia="仿宋"/>
          <w:sz w:val="24"/>
        </w:rPr>
      </w:pPr>
      <w:r>
        <w:rPr>
          <w:rFonts w:hint="eastAsia" w:ascii="仿宋" w:hAnsi="仿宋" w:eastAsia="仿宋"/>
          <w:b/>
          <w:bCs/>
          <w:sz w:val="24"/>
        </w:rPr>
        <w:t>交通流量态势</w:t>
      </w:r>
    </w:p>
    <w:p>
      <w:pPr>
        <w:pStyle w:val="24"/>
        <w:spacing w:after="0" w:line="360" w:lineRule="auto"/>
        <w:ind w:firstLine="480" w:firstLineChars="200"/>
        <w:rPr>
          <w:rFonts w:ascii="仿宋" w:hAnsi="仿宋" w:eastAsia="仿宋"/>
          <w:sz w:val="24"/>
        </w:rPr>
      </w:pPr>
      <w:r>
        <w:rPr>
          <w:rFonts w:hint="eastAsia" w:ascii="仿宋" w:hAnsi="仿宋" w:eastAsia="仿宋"/>
          <w:sz w:val="24"/>
        </w:rPr>
        <w:t>实现对主要出入城流量进行实时查看和可视化展示。</w:t>
      </w:r>
    </w:p>
    <w:p>
      <w:pPr>
        <w:pStyle w:val="24"/>
        <w:rPr>
          <w:rFonts w:ascii="仿宋" w:hAnsi="仿宋" w:eastAsia="仿宋"/>
          <w:sz w:val="24"/>
        </w:rPr>
      </w:pPr>
    </w:p>
    <w:p>
      <w:pPr>
        <w:numPr>
          <w:ilvl w:val="0"/>
          <w:numId w:val="24"/>
        </w:numPr>
        <w:spacing w:line="360" w:lineRule="auto"/>
        <w:ind w:left="0" w:firstLine="482" w:firstLineChars="200"/>
        <w:rPr>
          <w:rFonts w:ascii="仿宋" w:hAnsi="仿宋" w:eastAsia="仿宋"/>
          <w:sz w:val="24"/>
        </w:rPr>
      </w:pPr>
      <w:r>
        <w:rPr>
          <w:rFonts w:hint="eastAsia" w:ascii="仿宋" w:hAnsi="仿宋" w:eastAsia="仿宋"/>
          <w:b/>
          <w:bCs/>
          <w:sz w:val="24"/>
        </w:rPr>
        <w:t>交通警情态势</w:t>
      </w:r>
    </w:p>
    <w:p>
      <w:pPr>
        <w:spacing w:line="360" w:lineRule="auto"/>
        <w:ind w:firstLine="480" w:firstLineChars="200"/>
        <w:rPr>
          <w:rFonts w:ascii="仿宋" w:hAnsi="仿宋" w:eastAsia="仿宋"/>
          <w:sz w:val="24"/>
        </w:rPr>
      </w:pPr>
      <w:r>
        <w:rPr>
          <w:rFonts w:hint="eastAsia" w:ascii="仿宋" w:hAnsi="仿宋" w:eastAsia="仿宋"/>
          <w:sz w:val="24"/>
        </w:rPr>
        <w:t>实现辖区警情的可视化展示，形成警情热力图。</w:t>
      </w:r>
    </w:p>
    <w:p>
      <w:pPr>
        <w:rPr>
          <w:rFonts w:ascii="仿宋" w:hAnsi="仿宋" w:eastAsia="仿宋"/>
          <w:sz w:val="24"/>
        </w:rPr>
      </w:pPr>
    </w:p>
    <w:p>
      <w:pPr>
        <w:pStyle w:val="24"/>
        <w:numPr>
          <w:ilvl w:val="0"/>
          <w:numId w:val="25"/>
        </w:numPr>
        <w:spacing w:after="0" w:line="360" w:lineRule="auto"/>
        <w:ind w:left="0" w:firstLine="482" w:firstLineChars="200"/>
        <w:rPr>
          <w:rFonts w:ascii="仿宋" w:hAnsi="仿宋" w:eastAsia="仿宋"/>
          <w:sz w:val="24"/>
        </w:rPr>
      </w:pPr>
      <w:r>
        <w:rPr>
          <w:rFonts w:hint="eastAsia" w:ascii="仿宋" w:hAnsi="仿宋" w:eastAsia="仿宋"/>
          <w:b/>
          <w:bCs/>
          <w:sz w:val="24"/>
        </w:rPr>
        <w:t>交通隐患态势</w:t>
      </w:r>
    </w:p>
    <w:p>
      <w:pPr>
        <w:pStyle w:val="24"/>
        <w:spacing w:after="0" w:line="360" w:lineRule="auto"/>
        <w:ind w:firstLine="480" w:firstLineChars="200"/>
        <w:rPr>
          <w:rFonts w:ascii="仿宋" w:hAnsi="仿宋" w:eastAsia="仿宋"/>
          <w:sz w:val="24"/>
        </w:rPr>
      </w:pPr>
      <w:r>
        <w:rPr>
          <w:rFonts w:hint="eastAsia" w:ascii="仿宋" w:hAnsi="仿宋" w:eastAsia="仿宋"/>
          <w:sz w:val="24"/>
        </w:rPr>
        <w:t>实现对重点车辆和重点驾驶员、重点企业的可视化展示，并对违法车辆和违法驾驶员进行实时预警展示和统计排行。</w:t>
      </w:r>
    </w:p>
    <w:p>
      <w:pPr>
        <w:pStyle w:val="24"/>
        <w:rPr>
          <w:rFonts w:ascii="仿宋" w:hAnsi="仿宋" w:eastAsia="仿宋"/>
          <w:sz w:val="24"/>
        </w:rPr>
      </w:pPr>
    </w:p>
    <w:p>
      <w:pPr>
        <w:numPr>
          <w:ilvl w:val="0"/>
          <w:numId w:val="26"/>
        </w:numPr>
        <w:spacing w:line="360" w:lineRule="auto"/>
        <w:ind w:left="0" w:firstLine="482" w:firstLineChars="200"/>
        <w:rPr>
          <w:rFonts w:ascii="仿宋" w:hAnsi="仿宋" w:eastAsia="仿宋"/>
          <w:sz w:val="24"/>
        </w:rPr>
      </w:pPr>
      <w:r>
        <w:rPr>
          <w:rFonts w:hint="eastAsia" w:ascii="仿宋" w:hAnsi="仿宋" w:eastAsia="仿宋"/>
          <w:b/>
          <w:bCs/>
          <w:sz w:val="24"/>
        </w:rPr>
        <w:t>交通违法态势</w:t>
      </w:r>
    </w:p>
    <w:p>
      <w:pPr>
        <w:spacing w:line="360" w:lineRule="auto"/>
        <w:ind w:firstLine="480" w:firstLineChars="200"/>
        <w:rPr>
          <w:rFonts w:ascii="仿宋" w:hAnsi="仿宋" w:eastAsia="仿宋"/>
          <w:sz w:val="24"/>
        </w:rPr>
      </w:pPr>
      <w:r>
        <w:rPr>
          <w:rFonts w:hint="eastAsia" w:ascii="仿宋" w:hAnsi="仿宋" w:eastAsia="仿宋"/>
          <w:sz w:val="24"/>
        </w:rPr>
        <w:t>实现近期非现场违法趋势以及时间分布趋势以及违法高发点的可视化展示，并能进行同比环比分析。</w:t>
      </w:r>
    </w:p>
    <w:p>
      <w:pPr>
        <w:rPr>
          <w:rFonts w:ascii="仿宋" w:hAnsi="仿宋" w:eastAsia="仿宋"/>
          <w:sz w:val="24"/>
        </w:rPr>
      </w:pPr>
    </w:p>
    <w:p>
      <w:pPr>
        <w:pStyle w:val="24"/>
        <w:numPr>
          <w:ilvl w:val="0"/>
          <w:numId w:val="27"/>
        </w:numPr>
        <w:spacing w:after="0" w:line="360" w:lineRule="auto"/>
        <w:ind w:left="0" w:firstLine="482" w:firstLineChars="200"/>
        <w:rPr>
          <w:rFonts w:ascii="仿宋" w:hAnsi="仿宋" w:eastAsia="仿宋"/>
          <w:sz w:val="24"/>
        </w:rPr>
      </w:pPr>
      <w:r>
        <w:rPr>
          <w:rFonts w:hint="eastAsia" w:ascii="仿宋" w:hAnsi="仿宋" w:eastAsia="仿宋"/>
          <w:b/>
          <w:bCs/>
          <w:sz w:val="24"/>
        </w:rPr>
        <w:t>交通勤务态势</w:t>
      </w:r>
    </w:p>
    <w:p>
      <w:pPr>
        <w:pStyle w:val="24"/>
        <w:spacing w:after="0" w:line="360" w:lineRule="auto"/>
        <w:ind w:firstLine="480" w:firstLineChars="200"/>
        <w:rPr>
          <w:rFonts w:ascii="仿宋" w:hAnsi="仿宋" w:eastAsia="仿宋"/>
          <w:sz w:val="24"/>
        </w:rPr>
      </w:pPr>
      <w:r>
        <w:rPr>
          <w:rFonts w:hint="eastAsia" w:ascii="仿宋" w:hAnsi="仿宋" w:eastAsia="仿宋"/>
          <w:sz w:val="24"/>
        </w:rPr>
        <w:t>实现对本月稽查布控、隐患排查、警情处理等**工作进行分类统计，并对民警和辅警的工作量排名统计展示。</w:t>
      </w:r>
    </w:p>
    <w:p>
      <w:pPr>
        <w:pStyle w:val="24"/>
        <w:rPr>
          <w:rFonts w:ascii="仿宋" w:hAnsi="仿宋" w:eastAsia="仿宋"/>
          <w:sz w:val="24"/>
        </w:rPr>
      </w:pPr>
    </w:p>
    <w:p>
      <w:pPr>
        <w:pStyle w:val="5"/>
        <w:numPr>
          <w:ilvl w:val="2"/>
          <w:numId w:val="0"/>
        </w:numPr>
        <w:snapToGrid w:val="0"/>
        <w:spacing w:before="120" w:after="120" w:line="360" w:lineRule="auto"/>
        <w:ind w:left="180" w:leftChars="0"/>
        <w:rPr>
          <w:rFonts w:ascii="仿宋" w:hAnsi="仿宋" w:eastAsia="仿宋"/>
          <w:sz w:val="24"/>
          <w:szCs w:val="24"/>
        </w:rPr>
      </w:pPr>
      <w:r>
        <w:rPr>
          <w:rFonts w:ascii="仿宋" w:hAnsi="仿宋" w:eastAsia="仿宋"/>
          <w:sz w:val="24"/>
          <w:szCs w:val="24"/>
        </w:rPr>
        <w:t>2.2</w:t>
      </w:r>
      <w:bookmarkEnd w:id="34"/>
      <w:r>
        <w:rPr>
          <w:rFonts w:hint="eastAsia" w:ascii="仿宋" w:hAnsi="仿宋" w:eastAsia="仿宋"/>
          <w:sz w:val="24"/>
          <w:szCs w:val="24"/>
        </w:rPr>
        <w:t>大队农村道路三色预警系统</w:t>
      </w:r>
    </w:p>
    <w:p>
      <w:pPr>
        <w:snapToGrid w:val="0"/>
        <w:spacing w:line="360" w:lineRule="auto"/>
        <w:ind w:firstLine="482" w:firstLineChars="200"/>
        <w:outlineLvl w:val="3"/>
        <w:rPr>
          <w:rFonts w:ascii="仿宋" w:hAnsi="仿宋" w:eastAsia="仿宋" w:cs="仿宋"/>
          <w:b/>
          <w:bCs/>
          <w:sz w:val="24"/>
        </w:rPr>
      </w:pPr>
      <w:bookmarkStart w:id="36" w:name="_Toc76228387"/>
      <w:bookmarkStart w:id="37" w:name="_Toc83590783"/>
      <w:bookmarkStart w:id="38" w:name="_Toc75632154"/>
      <w:r>
        <w:rPr>
          <w:rFonts w:hint="eastAsia" w:ascii="仿宋" w:hAnsi="仿宋" w:eastAsia="仿宋" w:cs="仿宋"/>
          <w:b/>
          <w:bCs/>
          <w:sz w:val="24"/>
        </w:rPr>
        <w:t>2</w:t>
      </w:r>
      <w:r>
        <w:rPr>
          <w:rFonts w:ascii="仿宋" w:hAnsi="仿宋" w:eastAsia="仿宋" w:cs="仿宋"/>
          <w:b/>
          <w:bCs/>
          <w:sz w:val="24"/>
        </w:rPr>
        <w:t>.2.1</w:t>
      </w:r>
      <w:r>
        <w:rPr>
          <w:rFonts w:hint="eastAsia" w:ascii="仿宋" w:hAnsi="仿宋" w:eastAsia="仿宋" w:cs="仿宋"/>
          <w:b/>
          <w:bCs/>
          <w:sz w:val="24"/>
        </w:rPr>
        <w:t>路网管理模块</w:t>
      </w:r>
      <w:bookmarkEnd w:id="36"/>
      <w:bookmarkEnd w:id="37"/>
      <w:bookmarkEnd w:id="38"/>
    </w:p>
    <w:p>
      <w:pPr>
        <w:pStyle w:val="933"/>
        <w:ind w:right="-1" w:firstLineChars="0"/>
        <w:rPr>
          <w:rFonts w:ascii="仿宋" w:hAnsi="仿宋" w:eastAsia="仿宋"/>
          <w:color w:val="000000"/>
          <w:szCs w:val="24"/>
        </w:rPr>
      </w:pPr>
      <w:bookmarkStart w:id="39" w:name="_Toc75632155"/>
      <w:bookmarkStart w:id="40" w:name="_Toc76228388"/>
      <w:r>
        <w:rPr>
          <w:rFonts w:hint="eastAsia" w:ascii="仿宋" w:hAnsi="仿宋" w:eastAsia="仿宋"/>
          <w:color w:val="000000"/>
          <w:szCs w:val="24"/>
        </w:rPr>
        <w:t>（1）路网导入</w:t>
      </w:r>
      <w:bookmarkEnd w:id="39"/>
      <w:bookmarkEnd w:id="40"/>
    </w:p>
    <w:p>
      <w:pPr>
        <w:pStyle w:val="933"/>
        <w:ind w:right="-1" w:firstLineChars="0"/>
        <w:rPr>
          <w:rFonts w:ascii="仿宋" w:hAnsi="仿宋" w:eastAsia="仿宋"/>
          <w:color w:val="000000"/>
          <w:szCs w:val="24"/>
        </w:rPr>
      </w:pPr>
      <w:r>
        <w:rPr>
          <w:rFonts w:hint="eastAsia" w:ascii="仿宋" w:hAnsi="仿宋" w:eastAsia="仿宋"/>
          <w:color w:val="000000"/>
          <w:szCs w:val="24"/>
        </w:rPr>
        <w:t>通过使用自研的小工具可自动批量获取并导出区域内的路口和路段信息及路口渠化图片。支持在路口配置平台导入路口路段数据及渠化图片，批量生成路口，辅助用户后续进行路口渠化配置。导入成功后，界面打点显示导入后的路口。</w:t>
      </w:r>
    </w:p>
    <w:p>
      <w:pPr>
        <w:pStyle w:val="933"/>
        <w:ind w:right="-1" w:firstLineChars="0"/>
        <w:rPr>
          <w:rFonts w:ascii="仿宋" w:hAnsi="仿宋" w:eastAsia="仿宋"/>
          <w:color w:val="000000"/>
          <w:szCs w:val="24"/>
        </w:rPr>
      </w:pPr>
      <w:bookmarkStart w:id="41" w:name="_Toc75632156"/>
      <w:bookmarkStart w:id="42" w:name="_Toc76228389"/>
      <w:r>
        <w:rPr>
          <w:rFonts w:hint="eastAsia" w:ascii="仿宋" w:hAnsi="仿宋" w:eastAsia="仿宋"/>
          <w:color w:val="000000"/>
          <w:szCs w:val="24"/>
        </w:rPr>
        <w:t>（2）路口展示</w:t>
      </w:r>
      <w:bookmarkEnd w:id="41"/>
      <w:bookmarkEnd w:id="42"/>
    </w:p>
    <w:p>
      <w:pPr>
        <w:pStyle w:val="933"/>
        <w:ind w:right="-1" w:firstLineChars="0"/>
        <w:rPr>
          <w:rFonts w:ascii="仿宋" w:hAnsi="仿宋" w:eastAsia="仿宋"/>
          <w:color w:val="000000"/>
          <w:szCs w:val="24"/>
        </w:rPr>
      </w:pPr>
      <w:r>
        <w:rPr>
          <w:rFonts w:hint="eastAsia" w:ascii="仿宋" w:hAnsi="仿宋" w:eastAsia="仿宋"/>
          <w:color w:val="000000"/>
          <w:szCs w:val="24"/>
        </w:rPr>
        <w:t>展示渲染所有路口的位置信息，用不同样式区分已配置路口和未配置路口，支持根据名称搜索路口、可以通过路口名称进行模糊搜索，道路名称的前后顺序不影响搜索的结果。搜索出来的路口名称，地图自动定位到该路口。</w:t>
      </w:r>
    </w:p>
    <w:p>
      <w:pPr>
        <w:pStyle w:val="933"/>
        <w:ind w:right="-1" w:firstLineChars="0"/>
        <w:rPr>
          <w:rFonts w:ascii="仿宋" w:hAnsi="仿宋" w:eastAsia="仿宋"/>
          <w:color w:val="000000"/>
          <w:szCs w:val="24"/>
        </w:rPr>
      </w:pPr>
      <w:bookmarkStart w:id="43" w:name="_Toc75632157"/>
      <w:bookmarkStart w:id="44" w:name="_Toc76228390"/>
      <w:r>
        <w:rPr>
          <w:rFonts w:hint="eastAsia" w:ascii="仿宋" w:hAnsi="仿宋" w:eastAsia="仿宋"/>
          <w:color w:val="000000"/>
          <w:szCs w:val="24"/>
        </w:rPr>
        <w:t>（3）路口配置</w:t>
      </w:r>
      <w:bookmarkEnd w:id="43"/>
      <w:bookmarkEnd w:id="44"/>
    </w:p>
    <w:p>
      <w:pPr>
        <w:pStyle w:val="933"/>
        <w:ind w:right="-1" w:firstLineChars="0"/>
        <w:rPr>
          <w:rFonts w:ascii="仿宋" w:hAnsi="仿宋" w:eastAsia="仿宋"/>
          <w:color w:val="000000"/>
          <w:szCs w:val="24"/>
        </w:rPr>
      </w:pPr>
      <w:r>
        <w:rPr>
          <w:rFonts w:hint="eastAsia" w:ascii="仿宋" w:hAnsi="仿宋" w:eastAsia="仿宋"/>
          <w:color w:val="000000"/>
          <w:szCs w:val="24"/>
        </w:rPr>
        <w:t>路口配置支持手动添加路口。通过在地图对应位置点击后，设置路口名称完成添加。支持移动路口位置，通过拖动路口图标完成位置移动。支持删除路口。</w:t>
      </w:r>
    </w:p>
    <w:p>
      <w:pPr>
        <w:pStyle w:val="933"/>
        <w:ind w:right="-1" w:firstLineChars="0"/>
        <w:rPr>
          <w:rFonts w:ascii="仿宋" w:hAnsi="仿宋" w:eastAsia="仿宋"/>
          <w:color w:val="000000"/>
          <w:szCs w:val="24"/>
        </w:rPr>
      </w:pPr>
      <w:r>
        <w:rPr>
          <w:rFonts w:hint="eastAsia" w:ascii="仿宋" w:hAnsi="仿宋" w:eastAsia="仿宋"/>
          <w:color w:val="000000"/>
          <w:szCs w:val="24"/>
        </w:rPr>
        <w:t>选中路口，进入路口配置页面后，可对路口名称进行修改并配置路口的各个方向。在编辑状态下可拖拽旋转路口进口道方向，使其与地图贴合；可添加或删除路口方向。支持对路口道路方向的复位，恢复路口的道路方向信息。</w:t>
      </w:r>
    </w:p>
    <w:p>
      <w:pPr>
        <w:pStyle w:val="933"/>
        <w:ind w:right="-1" w:firstLineChars="0"/>
        <w:rPr>
          <w:rFonts w:ascii="仿宋" w:hAnsi="仿宋" w:eastAsia="仿宋"/>
          <w:color w:val="000000"/>
          <w:szCs w:val="24"/>
        </w:rPr>
      </w:pPr>
      <w:bookmarkStart w:id="45" w:name="_Toc75632158"/>
      <w:bookmarkStart w:id="46" w:name="_Toc76228391"/>
      <w:r>
        <w:rPr>
          <w:rFonts w:hint="eastAsia" w:ascii="仿宋" w:hAnsi="仿宋" w:eastAsia="仿宋"/>
          <w:color w:val="000000"/>
          <w:szCs w:val="24"/>
        </w:rPr>
        <w:t>（4）路段展示</w:t>
      </w:r>
      <w:bookmarkEnd w:id="45"/>
      <w:bookmarkEnd w:id="46"/>
    </w:p>
    <w:p>
      <w:pPr>
        <w:pStyle w:val="933"/>
        <w:ind w:right="-1" w:firstLineChars="0"/>
        <w:rPr>
          <w:rFonts w:ascii="仿宋" w:hAnsi="仿宋" w:eastAsia="仿宋"/>
          <w:color w:val="000000"/>
          <w:szCs w:val="24"/>
        </w:rPr>
      </w:pPr>
      <w:r>
        <w:rPr>
          <w:rFonts w:hint="eastAsia" w:ascii="仿宋" w:hAnsi="仿宋" w:eastAsia="仿宋"/>
          <w:color w:val="000000"/>
          <w:szCs w:val="24"/>
        </w:rPr>
        <w:t>展示渲染所有路段的位置信息，支持根据名称搜索路段、可以通过路段名称进行模糊搜索，道路名称的前后顺序不影响搜索的结果。搜索出来的路段名称，地图自动定位到该路段。</w:t>
      </w:r>
    </w:p>
    <w:p>
      <w:pPr>
        <w:pStyle w:val="933"/>
        <w:ind w:right="-1" w:firstLineChars="0"/>
        <w:rPr>
          <w:rFonts w:ascii="仿宋" w:hAnsi="仿宋" w:eastAsia="仿宋"/>
          <w:color w:val="000000"/>
          <w:szCs w:val="24"/>
        </w:rPr>
      </w:pPr>
      <w:bookmarkStart w:id="47" w:name="_Toc76228392"/>
      <w:bookmarkStart w:id="48" w:name="_Toc75632159"/>
      <w:r>
        <w:rPr>
          <w:rFonts w:hint="eastAsia" w:ascii="仿宋" w:hAnsi="仿宋" w:eastAsia="仿宋"/>
          <w:color w:val="000000"/>
          <w:szCs w:val="24"/>
        </w:rPr>
        <w:t>（5）设备绑定</w:t>
      </w:r>
      <w:bookmarkEnd w:id="47"/>
      <w:bookmarkEnd w:id="48"/>
    </w:p>
    <w:p>
      <w:pPr>
        <w:pStyle w:val="933"/>
        <w:ind w:right="-1" w:firstLineChars="0"/>
        <w:rPr>
          <w:rFonts w:ascii="仿宋" w:hAnsi="仿宋" w:eastAsia="仿宋"/>
          <w:color w:val="000000"/>
          <w:szCs w:val="24"/>
        </w:rPr>
      </w:pPr>
      <w:r>
        <w:rPr>
          <w:rFonts w:hint="eastAsia" w:ascii="仿宋" w:hAnsi="仿宋" w:eastAsia="仿宋"/>
          <w:color w:val="000000"/>
          <w:szCs w:val="24"/>
        </w:rPr>
        <w:t>设备绑定主要是完成路口与设备关系之间的挂载，将不同类型的设备绑定至路口方向，并将视频车道号与路口的车道编号进行一一对应。绑定的设备类型包括：电警、卡口、视频监控（球机、全景等）。</w:t>
      </w:r>
    </w:p>
    <w:p>
      <w:pPr>
        <w:snapToGrid w:val="0"/>
        <w:spacing w:line="360" w:lineRule="auto"/>
        <w:ind w:firstLine="482" w:firstLineChars="200"/>
        <w:outlineLvl w:val="3"/>
        <w:rPr>
          <w:rFonts w:ascii="仿宋" w:hAnsi="仿宋" w:eastAsia="仿宋" w:cs="仿宋"/>
          <w:b/>
          <w:bCs/>
          <w:sz w:val="24"/>
        </w:rPr>
      </w:pPr>
      <w:bookmarkStart w:id="49" w:name="_Toc76228393"/>
      <w:bookmarkStart w:id="50" w:name="_Toc75632160"/>
      <w:bookmarkStart w:id="51" w:name="_Toc83590784"/>
      <w:r>
        <w:rPr>
          <w:rFonts w:hint="eastAsia" w:ascii="仿宋" w:hAnsi="仿宋" w:eastAsia="仿宋" w:cs="仿宋"/>
          <w:b/>
          <w:bCs/>
          <w:sz w:val="24"/>
        </w:rPr>
        <w:t>2</w:t>
      </w:r>
      <w:r>
        <w:rPr>
          <w:rFonts w:ascii="仿宋" w:hAnsi="仿宋" w:eastAsia="仿宋" w:cs="仿宋"/>
          <w:b/>
          <w:bCs/>
          <w:sz w:val="24"/>
        </w:rPr>
        <w:t>.2.2</w:t>
      </w:r>
      <w:r>
        <w:rPr>
          <w:rFonts w:hint="eastAsia" w:ascii="仿宋" w:hAnsi="仿宋" w:eastAsia="仿宋" w:cs="仿宋"/>
          <w:b/>
          <w:bCs/>
          <w:sz w:val="24"/>
        </w:rPr>
        <w:t>道路档案模块</w:t>
      </w:r>
      <w:bookmarkEnd w:id="49"/>
      <w:bookmarkEnd w:id="50"/>
      <w:bookmarkEnd w:id="51"/>
    </w:p>
    <w:p>
      <w:pPr>
        <w:pStyle w:val="933"/>
        <w:ind w:right="-1" w:firstLineChars="0"/>
        <w:rPr>
          <w:rFonts w:ascii="仿宋" w:hAnsi="仿宋" w:eastAsia="仿宋"/>
          <w:color w:val="000000"/>
          <w:szCs w:val="24"/>
        </w:rPr>
      </w:pPr>
      <w:r>
        <w:rPr>
          <w:rFonts w:hint="eastAsia" w:ascii="仿宋" w:hAnsi="仿宋" w:eastAsia="仿宋"/>
          <w:color w:val="000000"/>
          <w:szCs w:val="24"/>
        </w:rPr>
        <w:t>支持道路档案管理，支持基础道路档案信息管理，包含名称、经纬度等信息，同时支持关联道路事故数据、警情数据、违法数据、过车信息数据，支持关联信息查询。可以用于基础数据的查询，以及模型构建的数据关联。</w:t>
      </w:r>
    </w:p>
    <w:p>
      <w:pPr>
        <w:snapToGrid w:val="0"/>
        <w:spacing w:line="360" w:lineRule="auto"/>
        <w:ind w:firstLine="482" w:firstLineChars="200"/>
        <w:outlineLvl w:val="3"/>
        <w:rPr>
          <w:rFonts w:ascii="仿宋" w:hAnsi="仿宋" w:eastAsia="仿宋" w:cs="仿宋"/>
          <w:b/>
          <w:bCs/>
          <w:sz w:val="24"/>
        </w:rPr>
      </w:pPr>
      <w:bookmarkStart w:id="52" w:name="_Toc83590785"/>
      <w:r>
        <w:rPr>
          <w:rFonts w:hint="eastAsia" w:ascii="仿宋" w:hAnsi="仿宋" w:eastAsia="仿宋" w:cs="仿宋"/>
          <w:b/>
          <w:bCs/>
          <w:sz w:val="24"/>
        </w:rPr>
        <w:t>2</w:t>
      </w:r>
      <w:r>
        <w:rPr>
          <w:rFonts w:ascii="仿宋" w:hAnsi="仿宋" w:eastAsia="仿宋" w:cs="仿宋"/>
          <w:b/>
          <w:bCs/>
          <w:sz w:val="24"/>
        </w:rPr>
        <w:t>.2.3</w:t>
      </w:r>
      <w:r>
        <w:rPr>
          <w:rFonts w:hint="eastAsia" w:ascii="仿宋" w:hAnsi="仿宋" w:eastAsia="仿宋" w:cs="仿宋"/>
          <w:b/>
          <w:bCs/>
          <w:sz w:val="24"/>
        </w:rPr>
        <w:t>预警上图</w:t>
      </w:r>
      <w:bookmarkEnd w:id="52"/>
    </w:p>
    <w:p>
      <w:pPr>
        <w:pStyle w:val="933"/>
        <w:ind w:right="-1" w:firstLineChars="0"/>
        <w:rPr>
          <w:rFonts w:ascii="仿宋" w:hAnsi="仿宋" w:eastAsia="仿宋"/>
          <w:color w:val="000000"/>
          <w:szCs w:val="24"/>
        </w:rPr>
      </w:pPr>
      <w:r>
        <w:rPr>
          <w:rFonts w:hint="eastAsia" w:ascii="仿宋" w:hAnsi="仿宋" w:eastAsia="仿宋"/>
          <w:color w:val="000000"/>
          <w:szCs w:val="24"/>
        </w:rPr>
        <w:t>该模块打通了“三台合一”接处警系统警情数据库和PGIS平台的通道，实现了警情性质、发生时段、发案辖区等多维度的动态可视化展现，辅助指挥长对辖区发案态势、类型、地理位置等实时进行总体把握。</w:t>
      </w:r>
    </w:p>
    <w:p>
      <w:pPr>
        <w:pStyle w:val="933"/>
        <w:ind w:right="-1" w:firstLineChars="0"/>
        <w:rPr>
          <w:rFonts w:ascii="仿宋" w:hAnsi="仿宋" w:eastAsia="仿宋"/>
          <w:color w:val="000000"/>
          <w:szCs w:val="24"/>
        </w:rPr>
      </w:pPr>
      <w:r>
        <w:rPr>
          <w:rFonts w:hint="eastAsia" w:ascii="仿宋" w:hAnsi="仿宋" w:eastAsia="仿宋"/>
          <w:color w:val="000000"/>
          <w:szCs w:val="24"/>
        </w:rPr>
        <w:t>（1）警情定位</w:t>
      </w:r>
    </w:p>
    <w:p>
      <w:pPr>
        <w:pStyle w:val="933"/>
        <w:ind w:right="-1"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实现警情标注和上图。通过点击获取坐标按钮与地图上定位点的结合获取要确定警情位置的坐标,并最终确认该位置后，该位置即被记录为该警情的精确位置。</w:t>
      </w:r>
    </w:p>
    <w:p>
      <w:pPr>
        <w:jc w:val="center"/>
        <w:rPr>
          <w:rFonts w:ascii="仿宋" w:hAnsi="仿宋" w:eastAsia="仿宋"/>
          <w:color w:val="000000" w:themeColor="text1"/>
          <w:sz w:val="24"/>
          <w14:textFill>
            <w14:solidFill>
              <w14:schemeClr w14:val="tx1"/>
            </w14:solidFill>
          </w14:textFill>
        </w:rPr>
      </w:pPr>
    </w:p>
    <w:p>
      <w:pPr>
        <w:pStyle w:val="933"/>
        <w:ind w:right="-1" w:firstLineChars="0"/>
        <w:rPr>
          <w:rFonts w:ascii="仿宋" w:hAnsi="仿宋" w:eastAsia="仿宋"/>
          <w:szCs w:val="24"/>
        </w:rPr>
      </w:pPr>
      <w:r>
        <w:rPr>
          <w:rFonts w:hint="eastAsia" w:ascii="仿宋" w:hAnsi="仿宋" w:eastAsia="仿宋"/>
          <w:szCs w:val="24"/>
        </w:rPr>
        <w:t>（2）周边查询</w:t>
      </w:r>
    </w:p>
    <w:p>
      <w:pPr>
        <w:pStyle w:val="933"/>
        <w:ind w:right="-1"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以警情标注位置为中心，显示一定范围内的视频信息、巡防警力和处警警力的位置分布、运行状态和属性信息，为就近指派警力、监控发案现场和应急资源调度提供可视化依据。</w:t>
      </w:r>
    </w:p>
    <w:p>
      <w:pPr>
        <w:pStyle w:val="933"/>
        <w:ind w:right="-1" w:firstLine="0" w:firstLineChars="0"/>
        <w:rPr>
          <w:rFonts w:ascii="仿宋" w:hAnsi="仿宋" w:eastAsia="仿宋"/>
          <w:color w:val="FF0000"/>
          <w:szCs w:val="24"/>
        </w:rPr>
      </w:pPr>
    </w:p>
    <w:p>
      <w:pPr>
        <w:pStyle w:val="933"/>
        <w:ind w:right="-1" w:firstLineChars="0"/>
        <w:rPr>
          <w:rFonts w:ascii="仿宋" w:hAnsi="仿宋" w:eastAsia="仿宋"/>
          <w:color w:val="000000"/>
          <w:szCs w:val="24"/>
        </w:rPr>
      </w:pPr>
      <w:r>
        <w:rPr>
          <w:rFonts w:hint="eastAsia" w:ascii="仿宋" w:hAnsi="仿宋" w:eastAsia="仿宋"/>
          <w:color w:val="000000"/>
          <w:szCs w:val="24"/>
        </w:rPr>
        <w:t>（3）图层管理</w:t>
      </w:r>
    </w:p>
    <w:p>
      <w:pPr>
        <w:spacing w:line="360" w:lineRule="auto"/>
        <w:ind w:firstLine="480" w:firstLineChars="200"/>
        <w:rPr>
          <w:rFonts w:ascii="仿宋" w:hAnsi="仿宋" w:eastAsia="仿宋"/>
          <w:sz w:val="24"/>
        </w:rPr>
      </w:pPr>
      <w:r>
        <w:rPr>
          <w:rFonts w:hint="eastAsia" w:ascii="仿宋" w:hAnsi="仿宋" w:eastAsia="仿宋"/>
          <w:sz w:val="24"/>
        </w:rPr>
        <w:t>警情分析图层（交通事故）：</w:t>
      </w:r>
      <w:r>
        <w:rPr>
          <w:rFonts w:ascii="仿宋" w:hAnsi="仿宋" w:eastAsia="仿宋"/>
          <w:sz w:val="24"/>
        </w:rPr>
        <w:t>实现对110接处警平台无缝连接。将交通事故报警自动导入三色预警分析系统,主要为接处警单号、事故报警时间、报警电话、事故地点、警情内容、经纬度数据等。</w:t>
      </w:r>
      <w:r>
        <w:rPr>
          <w:rFonts w:hint="eastAsia" w:ascii="仿宋" w:hAnsi="仿宋" w:eastAsia="仿宋"/>
          <w:sz w:val="24"/>
        </w:rPr>
        <w:t>将</w:t>
      </w:r>
      <w:r>
        <w:rPr>
          <w:rFonts w:ascii="仿宋" w:hAnsi="仿宋" w:eastAsia="仿宋"/>
          <w:sz w:val="24"/>
        </w:rPr>
        <w:t>所有交通事故警情上电子地图。根据导入分析系统内的接处警单号点击后,出现图层,根据经纬度数据直接在图层上找到事故地点,</w:t>
      </w:r>
      <w:r>
        <w:rPr>
          <w:rFonts w:hint="eastAsia" w:ascii="仿宋" w:hAnsi="仿宋" w:eastAsia="仿宋"/>
          <w:sz w:val="24"/>
        </w:rPr>
        <w:t>可以对经纬度进行二次修订。</w:t>
      </w:r>
    </w:p>
    <w:p>
      <w:pPr>
        <w:spacing w:line="360" w:lineRule="auto"/>
        <w:ind w:firstLine="480" w:firstLineChars="200"/>
        <w:rPr>
          <w:rFonts w:ascii="仿宋" w:hAnsi="仿宋" w:eastAsia="仿宋"/>
          <w:sz w:val="24"/>
        </w:rPr>
      </w:pPr>
      <w:r>
        <w:rPr>
          <w:rFonts w:hint="eastAsia" w:ascii="仿宋" w:hAnsi="仿宋" w:eastAsia="仿宋"/>
          <w:sz w:val="24"/>
        </w:rPr>
        <w:t>自定义图层（伤人、财损、死亡）：按照伤人</w:t>
      </w:r>
      <w:r>
        <w:rPr>
          <w:rFonts w:ascii="仿宋" w:hAnsi="仿宋" w:eastAsia="仿宋"/>
          <w:sz w:val="24"/>
        </w:rPr>
        <w:t>,财损,死亡</w:t>
      </w:r>
      <w:r>
        <w:rPr>
          <w:rFonts w:hint="eastAsia" w:ascii="仿宋" w:hAnsi="仿宋" w:eastAsia="仿宋"/>
          <w:sz w:val="24"/>
        </w:rPr>
        <w:t>分为三种不同的</w:t>
      </w:r>
      <w:r>
        <w:rPr>
          <w:rFonts w:ascii="仿宋" w:hAnsi="仿宋" w:eastAsia="仿宋"/>
          <w:sz w:val="24"/>
        </w:rPr>
        <w:t>图层(分别有不同颜色区分)。可以直观在图层上选择相关区域(可根据乡镇街道、中队辖区、也可自己划圆圈选择)、时间、事故类型进行展示</w:t>
      </w:r>
      <w:r>
        <w:rPr>
          <w:rFonts w:hint="eastAsia" w:ascii="仿宋" w:hAnsi="仿宋" w:eastAsia="仿宋"/>
          <w:sz w:val="24"/>
        </w:rPr>
        <w:t>。</w:t>
      </w:r>
      <w:r>
        <w:rPr>
          <w:rFonts w:ascii="仿宋" w:hAnsi="仿宋" w:eastAsia="仿宋"/>
          <w:sz w:val="24"/>
        </w:rPr>
        <w:t xml:space="preserve"> </w:t>
      </w:r>
    </w:p>
    <w:p>
      <w:pPr>
        <w:pStyle w:val="531"/>
        <w:spacing w:line="360" w:lineRule="auto"/>
        <w:ind w:firstLine="0" w:firstLineChars="0"/>
        <w:jc w:val="center"/>
        <w:rPr>
          <w:rFonts w:ascii="仿宋" w:hAnsi="仿宋" w:eastAsia="仿宋"/>
          <w:color w:val="FF0000"/>
          <w:sz w:val="24"/>
        </w:rPr>
      </w:pPr>
    </w:p>
    <w:p>
      <w:pPr>
        <w:snapToGrid w:val="0"/>
        <w:spacing w:line="360" w:lineRule="auto"/>
        <w:ind w:firstLine="482" w:firstLineChars="200"/>
        <w:outlineLvl w:val="3"/>
        <w:rPr>
          <w:rFonts w:ascii="仿宋" w:hAnsi="仿宋" w:eastAsia="仿宋" w:cs="仿宋"/>
          <w:b/>
          <w:bCs/>
          <w:sz w:val="24"/>
        </w:rPr>
      </w:pPr>
      <w:bookmarkStart w:id="53" w:name="_Toc83590786"/>
      <w:r>
        <w:rPr>
          <w:rFonts w:hint="eastAsia" w:ascii="仿宋" w:hAnsi="仿宋" w:eastAsia="仿宋" w:cs="仿宋"/>
          <w:b/>
          <w:bCs/>
          <w:sz w:val="24"/>
        </w:rPr>
        <w:t>2</w:t>
      </w:r>
      <w:r>
        <w:rPr>
          <w:rFonts w:ascii="仿宋" w:hAnsi="仿宋" w:eastAsia="仿宋" w:cs="仿宋"/>
          <w:b/>
          <w:bCs/>
          <w:sz w:val="24"/>
        </w:rPr>
        <w:t>.2.4</w:t>
      </w:r>
      <w:r>
        <w:rPr>
          <w:rFonts w:hint="eastAsia" w:ascii="仿宋" w:hAnsi="仿宋" w:eastAsia="仿宋" w:cs="仿宋"/>
          <w:b/>
          <w:bCs/>
          <w:sz w:val="24"/>
        </w:rPr>
        <w:t>事故标注</w:t>
      </w:r>
      <w:bookmarkEnd w:id="53"/>
    </w:p>
    <w:p>
      <w:pPr>
        <w:pStyle w:val="933"/>
        <w:ind w:right="-1" w:firstLineChars="0"/>
        <w:rPr>
          <w:rFonts w:ascii="仿宋" w:hAnsi="仿宋" w:eastAsia="仿宋"/>
          <w:color w:val="000000"/>
          <w:szCs w:val="24"/>
        </w:rPr>
      </w:pPr>
      <w:r>
        <w:rPr>
          <w:rFonts w:hint="eastAsia" w:ascii="仿宋" w:hAnsi="仿宋" w:eastAsia="仿宋"/>
          <w:color w:val="000000"/>
          <w:szCs w:val="24"/>
        </w:rPr>
        <w:t>（1）事故标注</w:t>
      </w:r>
    </w:p>
    <w:p>
      <w:pPr>
        <w:spacing w:line="360" w:lineRule="auto"/>
        <w:ind w:firstLine="480" w:firstLineChars="200"/>
        <w:rPr>
          <w:rFonts w:ascii="仿宋" w:hAnsi="仿宋" w:eastAsia="仿宋"/>
          <w:sz w:val="24"/>
        </w:rPr>
      </w:pPr>
      <w:r>
        <w:rPr>
          <w:rFonts w:hint="eastAsia" w:ascii="仿宋" w:hAnsi="仿宋" w:eastAsia="仿宋"/>
          <w:sz w:val="24"/>
        </w:rPr>
        <w:t>对接杭州市局平台，实现事故标注数据自动获取，与系统检测的拥堵数据进行匹配，对数据标注功能实现补充。</w:t>
      </w:r>
    </w:p>
    <w:p>
      <w:pPr>
        <w:pStyle w:val="933"/>
        <w:ind w:right="-1" w:firstLineChars="0"/>
        <w:rPr>
          <w:rFonts w:ascii="仿宋" w:hAnsi="仿宋" w:eastAsia="仿宋"/>
          <w:color w:val="000000"/>
          <w:szCs w:val="24"/>
        </w:rPr>
      </w:pPr>
      <w:bookmarkStart w:id="54" w:name="_Toc76228401"/>
      <w:bookmarkStart w:id="55" w:name="_Toc75632168"/>
      <w:r>
        <w:rPr>
          <w:rFonts w:hint="eastAsia" w:ascii="仿宋" w:hAnsi="仿宋" w:eastAsia="仿宋"/>
          <w:color w:val="000000"/>
          <w:szCs w:val="24"/>
        </w:rPr>
        <w:t>（2）总体态势呈现</w:t>
      </w:r>
      <w:bookmarkEnd w:id="54"/>
      <w:bookmarkEnd w:id="55"/>
    </w:p>
    <w:p>
      <w:pPr>
        <w:spacing w:line="360" w:lineRule="auto"/>
        <w:ind w:firstLine="480" w:firstLineChars="200"/>
        <w:rPr>
          <w:rFonts w:ascii="仿宋" w:hAnsi="仿宋" w:eastAsia="仿宋"/>
          <w:sz w:val="24"/>
        </w:rPr>
      </w:pPr>
      <w:r>
        <w:rPr>
          <w:rFonts w:hint="eastAsia" w:ascii="仿宋" w:hAnsi="仿宋" w:eastAsia="仿宋"/>
          <w:sz w:val="24"/>
        </w:rPr>
        <w:t>根据数据综合研判模块数据结果，</w:t>
      </w:r>
      <w:r>
        <w:rPr>
          <w:rFonts w:ascii="仿宋" w:hAnsi="仿宋" w:eastAsia="仿宋"/>
          <w:sz w:val="24"/>
        </w:rPr>
        <w:t>按照三色（红黄绿）进行三色地图渲染呈现</w:t>
      </w:r>
      <w:r>
        <w:rPr>
          <w:rFonts w:hint="eastAsia" w:ascii="仿宋" w:hAnsi="仿宋" w:eastAsia="仿宋"/>
          <w:sz w:val="24"/>
        </w:rPr>
        <w:t>，一张图道路综合态势呈现，重点隐患道路呈现。</w:t>
      </w:r>
    </w:p>
    <w:p>
      <w:pPr>
        <w:pStyle w:val="933"/>
        <w:ind w:right="-1" w:firstLineChars="0"/>
        <w:rPr>
          <w:rFonts w:ascii="仿宋" w:hAnsi="仿宋" w:eastAsia="仿宋"/>
          <w:color w:val="000000"/>
          <w:szCs w:val="24"/>
        </w:rPr>
      </w:pPr>
      <w:bookmarkStart w:id="56" w:name="_Toc75632169"/>
      <w:bookmarkStart w:id="57" w:name="_Toc76228402"/>
      <w:r>
        <w:rPr>
          <w:rFonts w:hint="eastAsia" w:ascii="仿宋" w:hAnsi="仿宋" w:eastAsia="仿宋"/>
          <w:color w:val="000000"/>
          <w:szCs w:val="24"/>
        </w:rPr>
        <w:t>（3）单道路时段态势</w:t>
      </w:r>
      <w:bookmarkEnd w:id="56"/>
      <w:bookmarkEnd w:id="57"/>
    </w:p>
    <w:p>
      <w:pPr>
        <w:spacing w:line="360" w:lineRule="auto"/>
        <w:ind w:firstLine="480" w:firstLineChars="200"/>
        <w:rPr>
          <w:rFonts w:ascii="仿宋" w:hAnsi="仿宋" w:eastAsia="仿宋"/>
          <w:sz w:val="24"/>
        </w:rPr>
      </w:pPr>
      <w:r>
        <w:rPr>
          <w:rFonts w:hint="eastAsia" w:ascii="仿宋" w:hAnsi="仿宋" w:eastAsia="仿宋"/>
          <w:sz w:val="24"/>
        </w:rPr>
        <w:t>按照单道路研判数据，对每条</w:t>
      </w:r>
      <w:r>
        <w:rPr>
          <w:rFonts w:ascii="仿宋" w:hAnsi="仿宋" w:eastAsia="仿宋"/>
          <w:sz w:val="24"/>
        </w:rPr>
        <w:t>路按照24小时刻度进行三色渲染</w:t>
      </w:r>
      <w:r>
        <w:rPr>
          <w:rFonts w:hint="eastAsia" w:ascii="仿宋" w:hAnsi="仿宋" w:eastAsia="仿宋"/>
          <w:sz w:val="24"/>
        </w:rPr>
        <w:t>，用于掌握单道路态势趋势。</w:t>
      </w:r>
    </w:p>
    <w:p>
      <w:pPr>
        <w:snapToGrid w:val="0"/>
        <w:spacing w:line="360" w:lineRule="auto"/>
        <w:ind w:firstLine="482" w:firstLineChars="200"/>
        <w:outlineLvl w:val="3"/>
        <w:rPr>
          <w:rFonts w:ascii="仿宋" w:hAnsi="仿宋" w:eastAsia="仿宋" w:cs="仿宋"/>
          <w:b/>
          <w:bCs/>
          <w:sz w:val="24"/>
        </w:rPr>
      </w:pPr>
      <w:bookmarkStart w:id="58" w:name="_Toc75632170"/>
      <w:bookmarkStart w:id="59" w:name="_Toc76228403"/>
      <w:bookmarkStart w:id="60" w:name="_Toc83590787"/>
      <w:r>
        <w:rPr>
          <w:rFonts w:hint="eastAsia" w:ascii="仿宋" w:hAnsi="仿宋" w:eastAsia="仿宋" w:cs="仿宋"/>
          <w:b/>
          <w:bCs/>
          <w:sz w:val="24"/>
        </w:rPr>
        <w:t>2</w:t>
      </w:r>
      <w:r>
        <w:rPr>
          <w:rFonts w:ascii="仿宋" w:hAnsi="仿宋" w:eastAsia="仿宋" w:cs="仿宋"/>
          <w:b/>
          <w:bCs/>
          <w:sz w:val="24"/>
        </w:rPr>
        <w:t>.2.5</w:t>
      </w:r>
      <w:r>
        <w:rPr>
          <w:rFonts w:hint="eastAsia" w:ascii="仿宋" w:hAnsi="仿宋" w:eastAsia="仿宋" w:cs="仿宋"/>
          <w:b/>
          <w:bCs/>
          <w:sz w:val="24"/>
        </w:rPr>
        <w:t>任务派单管理</w:t>
      </w:r>
      <w:bookmarkEnd w:id="58"/>
      <w:bookmarkEnd w:id="59"/>
      <w:bookmarkEnd w:id="60"/>
    </w:p>
    <w:p>
      <w:pPr>
        <w:spacing w:line="360" w:lineRule="auto"/>
        <w:ind w:firstLine="480" w:firstLineChars="200"/>
        <w:rPr>
          <w:rFonts w:ascii="仿宋" w:hAnsi="仿宋" w:eastAsia="仿宋"/>
          <w:sz w:val="24"/>
        </w:rPr>
      </w:pPr>
      <w:r>
        <w:rPr>
          <w:rFonts w:hint="eastAsia" w:ascii="仿宋" w:hAnsi="仿宋" w:eastAsia="仿宋"/>
          <w:sz w:val="24"/>
        </w:rPr>
        <w:t>该模块主要是面向交警内部的非即时性事务的线上任务流转，</w:t>
      </w:r>
      <w:r>
        <w:rPr>
          <w:rFonts w:ascii="仿宋" w:hAnsi="仿宋" w:eastAsia="仿宋"/>
          <w:sz w:val="24"/>
        </w:rPr>
        <w:t>以表单式管理模式实现民警工作的标准化管理</w:t>
      </w:r>
      <w:r>
        <w:rPr>
          <w:rFonts w:hint="eastAsia" w:ascii="仿宋" w:hAnsi="仿宋" w:eastAsia="仿宋"/>
          <w:sz w:val="24"/>
        </w:rPr>
        <w:t>，提高工作效率，可支持多</w:t>
      </w:r>
      <w:r>
        <w:rPr>
          <w:rFonts w:ascii="仿宋" w:hAnsi="仿宋" w:eastAsia="仿宋"/>
          <w:sz w:val="24"/>
        </w:rPr>
        <w:t>级</w:t>
      </w:r>
      <w:r>
        <w:rPr>
          <w:rFonts w:hint="eastAsia" w:ascii="仿宋" w:hAnsi="仿宋" w:eastAsia="仿宋"/>
          <w:sz w:val="24"/>
        </w:rPr>
        <w:t>派单流转、审核和处置。</w:t>
      </w:r>
    </w:p>
    <w:p>
      <w:pPr>
        <w:spacing w:line="360" w:lineRule="auto"/>
        <w:ind w:firstLine="480" w:firstLineChars="200"/>
        <w:rPr>
          <w:rFonts w:ascii="仿宋" w:hAnsi="仿宋" w:eastAsia="仿宋"/>
          <w:sz w:val="24"/>
        </w:rPr>
      </w:pPr>
      <w:bookmarkStart w:id="61" w:name="_Toc75632172"/>
      <w:bookmarkStart w:id="62" w:name="_Toc76228405"/>
      <w:r>
        <w:rPr>
          <w:rFonts w:hint="eastAsia" w:ascii="仿宋" w:hAnsi="仿宋" w:eastAsia="仿宋"/>
          <w:sz w:val="24"/>
        </w:rPr>
        <w:t>（1）派单配置</w:t>
      </w:r>
      <w:bookmarkEnd w:id="61"/>
      <w:bookmarkEnd w:id="62"/>
    </w:p>
    <w:p>
      <w:pPr>
        <w:spacing w:line="360" w:lineRule="auto"/>
        <w:ind w:firstLine="480" w:firstLineChars="200"/>
        <w:rPr>
          <w:rFonts w:ascii="仿宋" w:hAnsi="仿宋" w:eastAsia="仿宋"/>
          <w:sz w:val="24"/>
        </w:rPr>
      </w:pPr>
      <w:r>
        <w:rPr>
          <w:rFonts w:hint="eastAsia" w:ascii="仿宋" w:hAnsi="仿宋" w:eastAsia="仿宋"/>
          <w:sz w:val="24"/>
        </w:rPr>
        <w:t>支持配置流程派单的部门审批岗人员和部门处理岗人员，每个岗位人员最多3个。部门审批岗为处理发起人所在部门发起的派单，部门处理岗为处理其他部门发来的派单。</w:t>
      </w:r>
    </w:p>
    <w:p>
      <w:pPr>
        <w:spacing w:line="360" w:lineRule="auto"/>
        <w:ind w:firstLine="480" w:firstLineChars="200"/>
        <w:rPr>
          <w:rFonts w:ascii="仿宋" w:hAnsi="仿宋" w:eastAsia="仿宋"/>
          <w:sz w:val="24"/>
        </w:rPr>
      </w:pPr>
      <w:bookmarkStart w:id="63" w:name="_Toc76228406"/>
      <w:bookmarkStart w:id="64" w:name="_Toc75632173"/>
      <w:r>
        <w:rPr>
          <w:rFonts w:hint="eastAsia" w:ascii="仿宋" w:hAnsi="仿宋" w:eastAsia="仿宋"/>
          <w:sz w:val="24"/>
        </w:rPr>
        <w:t>（2）任务管理</w:t>
      </w:r>
      <w:bookmarkEnd w:id="63"/>
      <w:bookmarkEnd w:id="64"/>
    </w:p>
    <w:p>
      <w:pPr>
        <w:spacing w:line="360" w:lineRule="auto"/>
        <w:ind w:firstLine="480" w:firstLineChars="200"/>
        <w:rPr>
          <w:rFonts w:ascii="仿宋" w:hAnsi="仿宋" w:eastAsia="仿宋"/>
          <w:sz w:val="24"/>
        </w:rPr>
      </w:pPr>
      <w:r>
        <w:rPr>
          <w:rFonts w:hint="eastAsia" w:ascii="仿宋" w:hAnsi="仿宋" w:eastAsia="仿宋"/>
          <w:sz w:val="24"/>
        </w:rPr>
        <w:t>1、单位任务</w:t>
      </w:r>
    </w:p>
    <w:p>
      <w:pPr>
        <w:spacing w:line="360" w:lineRule="auto"/>
        <w:ind w:firstLine="480" w:firstLineChars="200"/>
        <w:rPr>
          <w:rFonts w:ascii="仿宋" w:hAnsi="仿宋" w:eastAsia="仿宋"/>
          <w:sz w:val="24"/>
        </w:rPr>
      </w:pPr>
      <w:r>
        <w:rPr>
          <w:rFonts w:hint="eastAsia" w:ascii="仿宋" w:hAnsi="仿宋" w:eastAsia="仿宋"/>
          <w:sz w:val="24"/>
        </w:rPr>
        <w:t>接收系统平台发布给单位任务，单位值守人员需要对任务进行二次下发现场人员进行处理反馈，当人员反常完成并被判定合格后，人员处理任务的积分同时记录给完成人员，以及完成人员所属单位。系统在设定的时间点对个人和单位进行统计积分，以及是否及时反馈处理等情况。</w:t>
      </w:r>
    </w:p>
    <w:p>
      <w:pPr>
        <w:spacing w:line="360" w:lineRule="auto"/>
        <w:ind w:firstLine="480" w:firstLineChars="200"/>
        <w:rPr>
          <w:rFonts w:ascii="仿宋" w:hAnsi="仿宋" w:eastAsia="仿宋"/>
          <w:sz w:val="24"/>
        </w:rPr>
      </w:pPr>
      <w:r>
        <w:rPr>
          <w:rFonts w:hint="eastAsia" w:ascii="仿宋" w:hAnsi="仿宋" w:eastAsia="仿宋"/>
          <w:sz w:val="24"/>
        </w:rPr>
        <w:t>2、个人任务</w:t>
      </w:r>
    </w:p>
    <w:p>
      <w:pPr>
        <w:spacing w:line="360" w:lineRule="auto"/>
        <w:ind w:firstLine="480" w:firstLineChars="200"/>
        <w:rPr>
          <w:rFonts w:ascii="仿宋" w:hAnsi="仿宋" w:eastAsia="仿宋"/>
          <w:sz w:val="24"/>
        </w:rPr>
      </w:pPr>
      <w:r>
        <w:rPr>
          <w:rFonts w:hint="eastAsia" w:ascii="仿宋" w:hAnsi="仿宋" w:eastAsia="仿宋"/>
          <w:sz w:val="24"/>
        </w:rPr>
        <w:t>通过对各业务模块中数据的提取、整合，生成当天（当月）任务清单。对一些规定动作，比如每日值班表维护等，也是个人任务。对指挥中心下达的指令清单，要一线民警（辅警）接收任务信息。每条任务信息均可点击查询具体的工作内容、时间要求及扣分标准。每完成一条任务，信息将从“未完成”状态转为“已完成”状态。</w:t>
      </w:r>
    </w:p>
    <w:p>
      <w:pPr>
        <w:pStyle w:val="934"/>
        <w:ind w:firstLine="482"/>
        <w:rPr>
          <w:rFonts w:ascii="仿宋" w:hAnsi="仿宋" w:eastAsia="仿宋"/>
          <w:b/>
          <w:bCs/>
        </w:rPr>
      </w:pPr>
      <w:bookmarkStart w:id="65" w:name="_Toc76228407"/>
      <w:r>
        <w:rPr>
          <w:rFonts w:hint="eastAsia" w:ascii="仿宋" w:hAnsi="仿宋" w:eastAsia="仿宋"/>
          <w:b/>
          <w:bCs/>
        </w:rPr>
        <w:t>派单发起</w:t>
      </w:r>
      <w:bookmarkEnd w:id="65"/>
    </w:p>
    <w:p>
      <w:pPr>
        <w:spacing w:line="360" w:lineRule="auto"/>
        <w:ind w:firstLine="480" w:firstLineChars="200"/>
        <w:rPr>
          <w:rFonts w:ascii="仿宋" w:hAnsi="仿宋" w:eastAsia="仿宋"/>
          <w:sz w:val="24"/>
        </w:rPr>
      </w:pPr>
      <w:r>
        <w:rPr>
          <w:rFonts w:hint="eastAsia" w:ascii="仿宋" w:hAnsi="仿宋" w:eastAsia="仿宋"/>
          <w:sz w:val="24"/>
        </w:rPr>
        <w:t>用户点击新增发起派单，派单内容主要包括任务类型、任务标题、紧急程度、任务要求、任务详细内容（明确治理路段）、任务开始时间、任务结束时间</w:t>
      </w:r>
      <w:r>
        <w:rPr>
          <w:rFonts w:ascii="仿宋" w:hAnsi="仿宋" w:eastAsia="仿宋"/>
          <w:sz w:val="24"/>
        </w:rPr>
        <w:t>、</w:t>
      </w:r>
      <w:r>
        <w:rPr>
          <w:rFonts w:hint="eastAsia" w:ascii="仿宋" w:hAnsi="仿宋" w:eastAsia="仿宋"/>
          <w:sz w:val="24"/>
        </w:rPr>
        <w:t>责任单位。需要经过本部门的审核岗位人员（可设置三个人，任一审批）审批，通过后将流转到责任部门的处理岗位人员进行处理，可以直接反馈，也可以向下流转（最多末级节点）</w:t>
      </w:r>
    </w:p>
    <w:p>
      <w:pPr>
        <w:pStyle w:val="934"/>
        <w:ind w:firstLine="482"/>
        <w:rPr>
          <w:rFonts w:ascii="仿宋" w:hAnsi="仿宋" w:eastAsia="仿宋"/>
          <w:b/>
          <w:bCs/>
        </w:rPr>
      </w:pPr>
      <w:bookmarkStart w:id="66" w:name="_Toc76228408"/>
      <w:r>
        <w:rPr>
          <w:rFonts w:hint="eastAsia" w:ascii="仿宋" w:hAnsi="仿宋" w:eastAsia="仿宋"/>
          <w:b/>
          <w:bCs/>
        </w:rPr>
        <w:t>派单状态</w:t>
      </w:r>
      <w:bookmarkEnd w:id="66"/>
    </w:p>
    <w:p>
      <w:pPr>
        <w:spacing w:line="360" w:lineRule="auto"/>
        <w:ind w:firstLine="480" w:firstLineChars="200"/>
        <w:rPr>
          <w:rFonts w:ascii="仿宋" w:hAnsi="仿宋" w:eastAsia="仿宋"/>
          <w:sz w:val="24"/>
        </w:rPr>
      </w:pPr>
      <w:r>
        <w:rPr>
          <w:rFonts w:hint="eastAsia" w:ascii="仿宋" w:hAnsi="仿宋" w:eastAsia="仿宋"/>
          <w:sz w:val="24"/>
        </w:rPr>
        <w:t>根据派单列表，能对我发起、我待办、我已办的任务进行查询，可查看任务流转状态，包括未派发、派发、接受、任务进行中、反馈、结束、召回。</w:t>
      </w:r>
    </w:p>
    <w:p>
      <w:pPr>
        <w:pStyle w:val="934"/>
        <w:ind w:firstLine="482"/>
        <w:rPr>
          <w:rFonts w:ascii="仿宋" w:hAnsi="仿宋" w:eastAsia="仿宋"/>
          <w:b/>
          <w:bCs/>
        </w:rPr>
      </w:pPr>
      <w:bookmarkStart w:id="67" w:name="_Toc76228409"/>
      <w:r>
        <w:rPr>
          <w:rFonts w:hint="eastAsia" w:ascii="仿宋" w:hAnsi="仿宋" w:eastAsia="仿宋"/>
          <w:b/>
          <w:bCs/>
        </w:rPr>
        <w:t>派单统计</w:t>
      </w:r>
      <w:bookmarkEnd w:id="67"/>
    </w:p>
    <w:p>
      <w:pPr>
        <w:spacing w:line="360" w:lineRule="auto"/>
        <w:ind w:firstLine="480" w:firstLineChars="200"/>
        <w:rPr>
          <w:rFonts w:ascii="仿宋" w:hAnsi="仿宋" w:eastAsia="仿宋"/>
          <w:sz w:val="24"/>
        </w:rPr>
      </w:pPr>
      <w:r>
        <w:rPr>
          <w:rFonts w:hint="eastAsia" w:ascii="仿宋" w:hAnsi="仿宋" w:eastAsia="仿宋"/>
          <w:sz w:val="24"/>
        </w:rPr>
        <w:t>系统支持查询发起单位的单据统计信息，主要的查询条件有发起单位、派单类型、开始时间、结束时间。</w:t>
      </w:r>
    </w:p>
    <w:p>
      <w:pPr>
        <w:snapToGrid w:val="0"/>
        <w:spacing w:line="360" w:lineRule="auto"/>
        <w:ind w:firstLine="482" w:firstLineChars="200"/>
        <w:outlineLvl w:val="3"/>
        <w:rPr>
          <w:rFonts w:ascii="仿宋" w:hAnsi="仿宋" w:eastAsia="仿宋" w:cs="仿宋"/>
          <w:b/>
          <w:bCs/>
          <w:sz w:val="24"/>
        </w:rPr>
      </w:pPr>
      <w:bookmarkStart w:id="68" w:name="_Toc83590788"/>
      <w:r>
        <w:rPr>
          <w:rFonts w:hint="eastAsia" w:ascii="仿宋" w:hAnsi="仿宋" w:eastAsia="仿宋" w:cs="仿宋"/>
          <w:b/>
          <w:bCs/>
          <w:sz w:val="24"/>
        </w:rPr>
        <w:t>2</w:t>
      </w:r>
      <w:r>
        <w:rPr>
          <w:rFonts w:ascii="仿宋" w:hAnsi="仿宋" w:eastAsia="仿宋" w:cs="仿宋"/>
          <w:b/>
          <w:bCs/>
          <w:sz w:val="24"/>
        </w:rPr>
        <w:t>.2.6</w:t>
      </w:r>
      <w:r>
        <w:rPr>
          <w:rFonts w:hint="eastAsia" w:ascii="仿宋" w:hAnsi="仿宋" w:eastAsia="仿宋" w:cs="仿宋"/>
          <w:b/>
          <w:bCs/>
          <w:sz w:val="24"/>
        </w:rPr>
        <w:t>数据分析</w:t>
      </w:r>
      <w:bookmarkEnd w:id="68"/>
    </w:p>
    <w:p>
      <w:pPr>
        <w:spacing w:line="360" w:lineRule="auto"/>
        <w:ind w:firstLine="480" w:firstLineChars="200"/>
        <w:rPr>
          <w:rFonts w:ascii="仿宋" w:hAnsi="仿宋" w:eastAsia="仿宋"/>
          <w:sz w:val="24"/>
        </w:rPr>
      </w:pPr>
      <w:r>
        <w:rPr>
          <w:rFonts w:hint="eastAsia" w:ascii="仿宋" w:hAnsi="仿宋" w:eastAsia="仿宋"/>
          <w:sz w:val="24"/>
        </w:rPr>
        <w:t>（1）事故分析</w:t>
      </w:r>
    </w:p>
    <w:p>
      <w:pPr>
        <w:spacing w:line="360" w:lineRule="auto"/>
        <w:ind w:firstLine="480" w:firstLineChars="200"/>
        <w:rPr>
          <w:rFonts w:ascii="仿宋" w:hAnsi="仿宋" w:eastAsia="仿宋"/>
          <w:sz w:val="24"/>
        </w:rPr>
      </w:pPr>
      <w:r>
        <w:rPr>
          <w:rFonts w:hint="eastAsia" w:ascii="仿宋" w:hAnsi="仿宋" w:eastAsia="仿宋"/>
          <w:sz w:val="24"/>
        </w:rPr>
        <w:t>选定时间段范围后,可以将各乡镇街道在时间、事故后果、道路等级道路名称、道路类型、车辆类型、是否逃逸、是否单方、处理方式、事故中违法行为、处理民警全部分析数据 (相关要求可以自行选择)。反之亦然。系统可以根据需要形成柱状图、饼状图等。</w:t>
      </w:r>
    </w:p>
    <w:p>
      <w:pPr>
        <w:spacing w:line="360" w:lineRule="auto"/>
        <w:ind w:firstLine="480" w:firstLineChars="200"/>
        <w:rPr>
          <w:rFonts w:ascii="仿宋" w:hAnsi="仿宋" w:eastAsia="仿宋"/>
          <w:sz w:val="24"/>
        </w:rPr>
      </w:pPr>
      <w:bookmarkStart w:id="69" w:name="_Toc75632162"/>
      <w:bookmarkStart w:id="70" w:name="_Toc76228395"/>
      <w:r>
        <w:rPr>
          <w:rFonts w:hint="eastAsia" w:ascii="仿宋" w:hAnsi="仿宋" w:eastAsia="仿宋"/>
          <w:sz w:val="24"/>
        </w:rPr>
        <w:t>（2）拥堵指标研判</w:t>
      </w:r>
      <w:bookmarkEnd w:id="69"/>
      <w:bookmarkEnd w:id="70"/>
    </w:p>
    <w:p>
      <w:pPr>
        <w:spacing w:line="360" w:lineRule="auto"/>
        <w:ind w:firstLine="480" w:firstLineChars="200"/>
        <w:rPr>
          <w:rFonts w:ascii="仿宋" w:hAnsi="仿宋" w:eastAsia="仿宋"/>
          <w:sz w:val="24"/>
        </w:rPr>
      </w:pPr>
      <w:r>
        <w:rPr>
          <w:rFonts w:hint="eastAsia" w:ascii="仿宋" w:hAnsi="仿宋" w:eastAsia="仿宋"/>
          <w:sz w:val="24"/>
        </w:rPr>
        <w:t>根据互联网路况数据和前端视频设备采集的数据，实时计算路段交通流运行指标。根据路段流量、路段行程车速、路段平均旅行时间、路段拥堵等级等指标设计道路拥堵风险积分。</w:t>
      </w:r>
    </w:p>
    <w:p>
      <w:pPr>
        <w:spacing w:line="360" w:lineRule="auto"/>
        <w:ind w:firstLine="480" w:firstLineChars="200"/>
        <w:rPr>
          <w:rFonts w:ascii="仿宋" w:hAnsi="仿宋" w:eastAsia="仿宋"/>
          <w:sz w:val="24"/>
        </w:rPr>
      </w:pPr>
      <w:r>
        <w:rPr>
          <w:rFonts w:hint="eastAsia" w:ascii="仿宋" w:hAnsi="仿宋" w:eastAsia="仿宋"/>
          <w:sz w:val="24"/>
        </w:rPr>
        <w:t>通过路段车速、旅行时间判断当前的拥堵状态，根据路段上下游的流入、流出的车流情况，判断路段当前的拥堵演变趋势：持续、</w:t>
      </w:r>
      <w:r>
        <w:rPr>
          <w:rFonts w:ascii="仿宋" w:hAnsi="仿宋" w:eastAsia="仿宋"/>
          <w:sz w:val="24"/>
        </w:rPr>
        <w:tab/>
      </w:r>
      <w:r>
        <w:rPr>
          <w:rFonts w:hint="eastAsia" w:ascii="仿宋" w:hAnsi="仿宋" w:eastAsia="仿宋"/>
          <w:sz w:val="24"/>
        </w:rPr>
        <w:t>消散、加剧。当路段当前车速较低，处于拥堵状态，且路段上游的流量持续增大时，路段当前拥堵风险指数较高，存在拥堵加剧的风险。当路段处于拥堵状态，但路段上游流量持续减小，低于下游流量时，路段拥堵风险下降，处于拥堵消散阶段。</w:t>
      </w:r>
    </w:p>
    <w:p>
      <w:pPr>
        <w:spacing w:line="360" w:lineRule="auto"/>
        <w:ind w:firstLine="480" w:firstLineChars="200"/>
        <w:rPr>
          <w:rFonts w:ascii="仿宋" w:hAnsi="仿宋" w:eastAsia="仿宋"/>
          <w:sz w:val="24"/>
        </w:rPr>
      </w:pPr>
      <w:r>
        <w:rPr>
          <w:rFonts w:hint="eastAsia" w:ascii="仿宋" w:hAnsi="仿宋" w:eastAsia="仿宋"/>
          <w:sz w:val="24"/>
        </w:rPr>
        <w:t>根据拥堵风险积分，将路段的拥堵风险分为三个等级，分别为：拥堵持续或加剧、拥堵消散、无拥堵风险。帮助交警快速定位高拥堵风险区域，便于进行快速处置和疏导，防止拥堵进一步加剧。</w:t>
      </w:r>
    </w:p>
    <w:p>
      <w:pPr>
        <w:spacing w:line="360" w:lineRule="auto"/>
        <w:ind w:firstLine="480" w:firstLineChars="200"/>
        <w:rPr>
          <w:rFonts w:ascii="仿宋" w:hAnsi="仿宋" w:eastAsia="仿宋"/>
          <w:sz w:val="24"/>
        </w:rPr>
      </w:pPr>
      <w:bookmarkStart w:id="71" w:name="_Toc75632163"/>
      <w:bookmarkStart w:id="72" w:name="_Toc76228396"/>
      <w:r>
        <w:rPr>
          <w:rFonts w:hint="eastAsia" w:ascii="仿宋" w:hAnsi="仿宋" w:eastAsia="仿宋"/>
          <w:sz w:val="24"/>
        </w:rPr>
        <w:t>（3）事故指标研判</w:t>
      </w:r>
      <w:bookmarkEnd w:id="71"/>
      <w:bookmarkEnd w:id="72"/>
    </w:p>
    <w:p>
      <w:pPr>
        <w:spacing w:line="360" w:lineRule="auto"/>
        <w:ind w:firstLine="480" w:firstLineChars="200"/>
        <w:rPr>
          <w:rFonts w:ascii="仿宋" w:hAnsi="仿宋" w:eastAsia="仿宋"/>
          <w:sz w:val="24"/>
        </w:rPr>
      </w:pPr>
      <w:r>
        <w:rPr>
          <w:rFonts w:ascii="仿宋" w:hAnsi="仿宋" w:eastAsia="仿宋"/>
          <w:sz w:val="24"/>
        </w:rPr>
        <w:t>事故</w:t>
      </w:r>
      <w:r>
        <w:rPr>
          <w:rFonts w:hint="eastAsia" w:ascii="仿宋" w:hAnsi="仿宋" w:eastAsia="仿宋"/>
          <w:sz w:val="24"/>
        </w:rPr>
        <w:t>是评价道路隐患信息的重要的指标，定时获取</w:t>
      </w:r>
      <w:r>
        <w:rPr>
          <w:rFonts w:ascii="仿宋" w:hAnsi="仿宋" w:eastAsia="仿宋"/>
          <w:sz w:val="24"/>
        </w:rPr>
        <w:t>全</w:t>
      </w:r>
      <w:r>
        <w:rPr>
          <w:rFonts w:hint="eastAsia" w:ascii="仿宋" w:hAnsi="仿宋" w:eastAsia="仿宋"/>
          <w:sz w:val="24"/>
        </w:rPr>
        <w:t>区</w:t>
      </w:r>
      <w:r>
        <w:rPr>
          <w:rFonts w:ascii="仿宋" w:hAnsi="仿宋" w:eastAsia="仿宋"/>
          <w:sz w:val="24"/>
        </w:rPr>
        <w:t>所有交通事故数据</w:t>
      </w:r>
      <w:r>
        <w:rPr>
          <w:rFonts w:hint="eastAsia" w:ascii="仿宋" w:hAnsi="仿宋" w:eastAsia="仿宋"/>
          <w:sz w:val="24"/>
        </w:rPr>
        <w:t>以及警情打标数据</w:t>
      </w:r>
      <w:r>
        <w:rPr>
          <w:rFonts w:ascii="仿宋" w:hAnsi="仿宋" w:eastAsia="仿宋"/>
          <w:sz w:val="24"/>
        </w:rPr>
        <w:t>，</w:t>
      </w:r>
      <w:r>
        <w:rPr>
          <w:rFonts w:hint="eastAsia" w:ascii="仿宋" w:hAnsi="仿宋" w:eastAsia="仿宋"/>
          <w:sz w:val="24"/>
        </w:rPr>
        <w:t>根据所属的道路数据以及警情打标时的关联道路信息，统计每条路的事故和警情警情，按照亡人（1</w:t>
      </w:r>
      <w:r>
        <w:rPr>
          <w:rFonts w:ascii="仿宋" w:hAnsi="仿宋" w:eastAsia="仿宋"/>
          <w:sz w:val="24"/>
        </w:rPr>
        <w:t>0</w:t>
      </w:r>
      <w:r>
        <w:rPr>
          <w:rFonts w:hint="eastAsia" w:ascii="仿宋" w:hAnsi="仿宋" w:eastAsia="仿宋"/>
          <w:sz w:val="24"/>
        </w:rPr>
        <w:t>分）、一般（5分）、简易事故（3分）类型进行分类统计设置不同的权重，按照事故高发时段、重点车辆事故数、亡人事故数、一般事故数、简易事故数等信息统计，按照小时时段维度和总量维度进行统计分析。</w:t>
      </w:r>
    </w:p>
    <w:p>
      <w:pPr>
        <w:spacing w:line="360" w:lineRule="auto"/>
        <w:ind w:firstLine="480" w:firstLineChars="200"/>
        <w:rPr>
          <w:rFonts w:ascii="仿宋" w:hAnsi="仿宋" w:eastAsia="仿宋"/>
          <w:sz w:val="24"/>
        </w:rPr>
      </w:pPr>
      <w:bookmarkStart w:id="73" w:name="_Toc76228397"/>
      <w:bookmarkStart w:id="74" w:name="_Toc75632164"/>
      <w:r>
        <w:rPr>
          <w:rFonts w:hint="eastAsia" w:ascii="仿宋" w:hAnsi="仿宋" w:eastAsia="仿宋"/>
          <w:sz w:val="24"/>
        </w:rPr>
        <w:t>（4）违法指标研判</w:t>
      </w:r>
      <w:bookmarkEnd w:id="73"/>
      <w:bookmarkEnd w:id="74"/>
    </w:p>
    <w:p>
      <w:pPr>
        <w:spacing w:line="360" w:lineRule="auto"/>
        <w:ind w:firstLine="480" w:firstLineChars="200"/>
        <w:rPr>
          <w:rFonts w:ascii="仿宋" w:hAnsi="仿宋" w:eastAsia="仿宋"/>
          <w:sz w:val="24"/>
        </w:rPr>
      </w:pPr>
      <w:r>
        <w:rPr>
          <w:rFonts w:hint="eastAsia" w:ascii="仿宋" w:hAnsi="仿宋" w:eastAsia="仿宋"/>
          <w:sz w:val="24"/>
        </w:rPr>
        <w:t>定时获取</w:t>
      </w:r>
      <w:r>
        <w:rPr>
          <w:rFonts w:ascii="仿宋" w:hAnsi="仿宋" w:eastAsia="仿宋"/>
          <w:sz w:val="24"/>
        </w:rPr>
        <w:t>全区所有的违法数据，根据违法位置，关联到路段，实现道路违法行为的统计，统计按照违法行为严重程度进行分析。根据违法高发时段、违法数量、高危违法数、高危违法占比、千车违法占比等维度进行统计。分为重点违法（5分）、特殊违法（10分）、一般违法（3分）。不同违法按照不同的积分，同样也通过时间段，和总量维度进行统计。</w:t>
      </w:r>
    </w:p>
    <w:p>
      <w:pPr>
        <w:spacing w:line="360" w:lineRule="auto"/>
        <w:ind w:firstLine="480" w:firstLineChars="200"/>
        <w:rPr>
          <w:rFonts w:ascii="仿宋" w:hAnsi="仿宋" w:eastAsia="仿宋"/>
          <w:sz w:val="24"/>
        </w:rPr>
      </w:pPr>
      <w:bookmarkStart w:id="75" w:name="_Toc76228398"/>
      <w:bookmarkStart w:id="76" w:name="_Toc75632165"/>
      <w:r>
        <w:rPr>
          <w:rFonts w:hint="eastAsia" w:ascii="仿宋" w:hAnsi="仿宋" w:eastAsia="仿宋"/>
          <w:sz w:val="24"/>
        </w:rPr>
        <w:t>（5）过车类型指标研判</w:t>
      </w:r>
      <w:bookmarkEnd w:id="75"/>
      <w:bookmarkEnd w:id="76"/>
    </w:p>
    <w:p>
      <w:pPr>
        <w:spacing w:line="360" w:lineRule="auto"/>
        <w:ind w:firstLine="480" w:firstLineChars="200"/>
        <w:rPr>
          <w:rFonts w:ascii="仿宋" w:hAnsi="仿宋" w:eastAsia="仿宋"/>
          <w:sz w:val="24"/>
        </w:rPr>
      </w:pPr>
      <w:r>
        <w:rPr>
          <w:rFonts w:hint="eastAsia" w:ascii="仿宋" w:hAnsi="仿宋" w:eastAsia="仿宋"/>
          <w:sz w:val="24"/>
        </w:rPr>
        <w:t>定时</w:t>
      </w:r>
      <w:r>
        <w:rPr>
          <w:rFonts w:ascii="仿宋" w:hAnsi="仿宋" w:eastAsia="仿宋"/>
          <w:sz w:val="24"/>
        </w:rPr>
        <w:t>获取过车记录、GPS数据、二次分析记录，分析道路日常过车量，车辆类型的分类，统计过车组成情况，根据千车危化品车辆占比、千车工程车占比、千车大货车占比、过车总量等维度进行统计，按照重点车辆的占比维度进行积分，分为10分、5分、3分</w:t>
      </w:r>
    </w:p>
    <w:p>
      <w:pPr>
        <w:spacing w:line="360" w:lineRule="auto"/>
        <w:ind w:firstLine="480" w:firstLineChars="200"/>
        <w:rPr>
          <w:rFonts w:ascii="仿宋" w:hAnsi="仿宋" w:eastAsia="仿宋"/>
          <w:sz w:val="24"/>
        </w:rPr>
      </w:pPr>
      <w:bookmarkStart w:id="77" w:name="_Toc75632166"/>
      <w:bookmarkStart w:id="78" w:name="_Toc76228399"/>
      <w:r>
        <w:rPr>
          <w:rFonts w:hint="eastAsia" w:ascii="仿宋" w:hAnsi="仿宋" w:eastAsia="仿宋"/>
          <w:sz w:val="24"/>
        </w:rPr>
        <w:t>（6）数据综合研判</w:t>
      </w:r>
      <w:bookmarkEnd w:id="77"/>
      <w:bookmarkEnd w:id="78"/>
    </w:p>
    <w:p>
      <w:pPr>
        <w:spacing w:line="360" w:lineRule="auto"/>
        <w:ind w:firstLine="480" w:firstLineChars="200"/>
        <w:rPr>
          <w:rFonts w:ascii="仿宋" w:hAnsi="仿宋" w:eastAsia="仿宋"/>
          <w:sz w:val="24"/>
        </w:rPr>
      </w:pPr>
      <w:r>
        <w:rPr>
          <w:rFonts w:hint="eastAsia" w:ascii="仿宋" w:hAnsi="仿宋" w:eastAsia="仿宋"/>
          <w:sz w:val="24"/>
        </w:rPr>
        <w:t>根据事故态势、拥堵态势、过车态势、违法态势设置不同权重，对每一个路段进行积分。</w:t>
      </w:r>
      <w:r>
        <w:rPr>
          <w:rFonts w:ascii="仿宋" w:hAnsi="仿宋" w:eastAsia="仿宋"/>
          <w:sz w:val="24"/>
        </w:rPr>
        <w:t>发生重大事故情况后，按照预设的重大事故规则，可以获取相同道路周边范围内的数据情况，动态获取重大事故道路态势情况，用作实时数据研判。</w:t>
      </w:r>
    </w:p>
    <w:p>
      <w:pPr>
        <w:snapToGrid w:val="0"/>
        <w:spacing w:line="360" w:lineRule="auto"/>
        <w:ind w:firstLine="482" w:firstLineChars="200"/>
        <w:outlineLvl w:val="3"/>
        <w:rPr>
          <w:rFonts w:ascii="仿宋" w:hAnsi="仿宋" w:eastAsia="仿宋" w:cs="仿宋"/>
          <w:b/>
          <w:bCs/>
          <w:sz w:val="24"/>
        </w:rPr>
      </w:pPr>
      <w:bookmarkStart w:id="79" w:name="_Toc83590789"/>
      <w:r>
        <w:rPr>
          <w:rFonts w:hint="eastAsia" w:ascii="仿宋" w:hAnsi="仿宋" w:eastAsia="仿宋" w:cs="仿宋"/>
          <w:b/>
          <w:bCs/>
          <w:sz w:val="24"/>
        </w:rPr>
        <w:t>2</w:t>
      </w:r>
      <w:r>
        <w:rPr>
          <w:rFonts w:ascii="仿宋" w:hAnsi="仿宋" w:eastAsia="仿宋" w:cs="仿宋"/>
          <w:b/>
          <w:bCs/>
          <w:sz w:val="24"/>
        </w:rPr>
        <w:t>.2.7</w:t>
      </w:r>
      <w:r>
        <w:rPr>
          <w:rFonts w:hint="eastAsia" w:ascii="仿宋" w:hAnsi="仿宋" w:eastAsia="仿宋" w:cs="仿宋"/>
          <w:b/>
          <w:bCs/>
          <w:sz w:val="24"/>
        </w:rPr>
        <w:t>预测预警</w:t>
      </w:r>
      <w:bookmarkEnd w:id="79"/>
    </w:p>
    <w:p>
      <w:pPr>
        <w:spacing w:line="360" w:lineRule="auto"/>
        <w:ind w:firstLine="480" w:firstLineChars="200"/>
        <w:rPr>
          <w:rFonts w:ascii="仿宋" w:hAnsi="仿宋" w:eastAsia="仿宋"/>
          <w:sz w:val="24"/>
        </w:rPr>
      </w:pPr>
      <w:r>
        <w:rPr>
          <w:rFonts w:hint="eastAsia" w:ascii="仿宋" w:hAnsi="仿宋" w:eastAsia="仿宋"/>
          <w:sz w:val="24"/>
        </w:rPr>
        <w:t>为各类焦点警情建立预警机制，系统能够自动监控各类焦点警情的发展状态，并与正常状态和预警临界值实时比较，及时对各种异常变化和对治安形势的影响进行预警，辅助领导及时发现薄弱环节、应对形势变化、调整工作重点。</w:t>
      </w:r>
    </w:p>
    <w:p>
      <w:pPr>
        <w:spacing w:line="360" w:lineRule="auto"/>
        <w:ind w:firstLine="480" w:firstLineChars="200"/>
        <w:rPr>
          <w:rFonts w:ascii="仿宋" w:hAnsi="仿宋" w:eastAsia="仿宋"/>
          <w:sz w:val="24"/>
        </w:rPr>
      </w:pPr>
      <w:r>
        <w:rPr>
          <w:rFonts w:hint="eastAsia" w:ascii="仿宋" w:hAnsi="仿宋" w:eastAsia="仿宋"/>
          <w:sz w:val="24"/>
        </w:rPr>
        <w:t>（1）事故高发预测</w:t>
      </w:r>
    </w:p>
    <w:p>
      <w:pPr>
        <w:spacing w:line="360" w:lineRule="auto"/>
        <w:ind w:firstLine="480" w:firstLineChars="200"/>
        <w:rPr>
          <w:rFonts w:ascii="仿宋" w:hAnsi="仿宋" w:eastAsia="仿宋"/>
          <w:sz w:val="24"/>
        </w:rPr>
      </w:pPr>
      <w:r>
        <w:rPr>
          <w:rFonts w:ascii="仿宋" w:hAnsi="仿宋" w:eastAsia="仿宋"/>
          <w:sz w:val="24"/>
        </w:rPr>
        <w:t>系统可以实现事故多发点的预警或者警告。1、在定的时间范围内(比如一个月),同事路口或同事路段(50M范围内)若事故数量高于某限定阀值(比如3起),即可启动预设警告通知,系统即自动预警告警,告知某事故地点事故高发。</w:t>
      </w:r>
    </w:p>
    <w:p>
      <w:pPr>
        <w:spacing w:line="360" w:lineRule="auto"/>
        <w:ind w:firstLine="480" w:firstLineChars="200"/>
        <w:rPr>
          <w:rFonts w:ascii="仿宋" w:hAnsi="仿宋" w:eastAsia="仿宋"/>
          <w:sz w:val="24"/>
        </w:rPr>
      </w:pPr>
      <w:r>
        <w:rPr>
          <w:rFonts w:hint="eastAsia" w:ascii="仿宋" w:hAnsi="仿宋" w:eastAsia="仿宋"/>
          <w:sz w:val="24"/>
        </w:rPr>
        <w:t>（2）事故智能预警</w:t>
      </w:r>
    </w:p>
    <w:p>
      <w:pPr>
        <w:spacing w:line="360" w:lineRule="auto"/>
        <w:ind w:firstLine="480" w:firstLineChars="200"/>
        <w:rPr>
          <w:rFonts w:ascii="仿宋" w:hAnsi="仿宋" w:eastAsia="仿宋"/>
          <w:sz w:val="24"/>
        </w:rPr>
      </w:pPr>
      <w:r>
        <w:rPr>
          <w:rFonts w:ascii="仿宋" w:hAnsi="仿宋" w:eastAsia="仿宋"/>
          <w:sz w:val="24"/>
        </w:rPr>
        <w:t>针对一段时间的事故情况,系统可根据事故发生的规律进行自我分析,提出事故预防相关措施,如重点地区、道路、时段、违法行为、车型等。</w:t>
      </w:r>
    </w:p>
    <w:p>
      <w:pPr>
        <w:rPr>
          <w:rFonts w:ascii="仿宋" w:hAnsi="仿宋" w:eastAsia="仿宋"/>
          <w:sz w:val="24"/>
        </w:rPr>
      </w:pPr>
    </w:p>
    <w:p>
      <w:pPr>
        <w:snapToGrid w:val="0"/>
        <w:spacing w:line="360" w:lineRule="auto"/>
        <w:rPr>
          <w:rFonts w:ascii="仿宋" w:hAnsi="仿宋" w:eastAsia="仿宋"/>
          <w:sz w:val="24"/>
        </w:rPr>
      </w:pPr>
    </w:p>
    <w:bookmarkEnd w:id="33"/>
    <w:bookmarkEnd w:id="35"/>
    <w:p>
      <w:pPr>
        <w:pStyle w:val="4"/>
        <w:numPr>
          <w:ilvl w:val="0"/>
          <w:numId w:val="0"/>
        </w:numPr>
        <w:snapToGrid w:val="0"/>
        <w:spacing w:before="120" w:after="120" w:line="360" w:lineRule="auto"/>
        <w:ind w:leftChars="0"/>
        <w:rPr>
          <w:rFonts w:ascii="仿宋" w:hAnsi="仿宋" w:eastAsia="仿宋"/>
          <w:sz w:val="24"/>
          <w:szCs w:val="24"/>
        </w:rPr>
      </w:pPr>
      <w:r>
        <w:rPr>
          <w:rFonts w:hint="eastAsia" w:ascii="仿宋" w:hAnsi="仿宋" w:eastAsia="仿宋"/>
          <w:sz w:val="24"/>
          <w:szCs w:val="24"/>
        </w:rPr>
        <w:t>3.其他要求</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（一）进度及交货地点要求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要求成交供应商在合同签订后的60天内完成货物的安装调试及平台上线。</w:t>
      </w:r>
    </w:p>
    <w:p>
      <w:pPr>
        <w:snapToGrid w:val="0"/>
        <w:spacing w:line="360" w:lineRule="auto"/>
        <w:rPr>
          <w:rFonts w:ascii="仿宋" w:hAnsi="仿宋" w:eastAsia="仿宋" w:cs="仿宋"/>
          <w:b/>
          <w:bCs/>
          <w:color w:val="000000"/>
          <w:sz w:val="24"/>
        </w:rPr>
      </w:pPr>
      <w:r>
        <w:rPr>
          <w:rFonts w:hint="eastAsia" w:ascii="仿宋" w:hAnsi="仿宋" w:eastAsia="仿宋" w:cs="仿宋"/>
          <w:b/>
          <w:bCs/>
          <w:color w:val="000000"/>
          <w:sz w:val="24"/>
        </w:rPr>
        <w:t>（二）质保及运维要求</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成交供应商须提供的所有软硬件设备包括设备配件三年免费维保。如发生故障，成交供应商要及时调查故障原因并负责修复，或者更换整个或部分有缺陷的系统部件（免费上门服务）。服务期内所有因更换或修理设备或部件而导致设备停止运行的时间应从其服务期内扣除。</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2、成交供应商应提供7x24小时故障申告热线电话服务，并确定专人联系该项目运维。对故障，在1小时内响应、4小时以内到现场、8小时以内解决问题并保证正常使用。</w:t>
      </w:r>
    </w:p>
    <w:p>
      <w:pPr>
        <w:snapToGrid w:val="0"/>
        <w:spacing w:line="360" w:lineRule="auto"/>
        <w:rPr>
          <w:rFonts w:ascii="仿宋" w:hAnsi="仿宋" w:eastAsia="仿宋" w:cs="仿宋"/>
          <w:b/>
          <w:bCs/>
          <w:sz w:val="24"/>
        </w:rPr>
      </w:pPr>
      <w:r>
        <w:rPr>
          <w:rFonts w:hint="eastAsia" w:ascii="仿宋" w:hAnsi="仿宋" w:eastAsia="仿宋" w:cs="仿宋"/>
          <w:b/>
          <w:bCs/>
          <w:color w:val="000000"/>
          <w:sz w:val="24"/>
        </w:rPr>
        <w:t>（三）</w:t>
      </w:r>
      <w:r>
        <w:rPr>
          <w:rFonts w:hint="eastAsia" w:ascii="仿宋" w:hAnsi="仿宋" w:eastAsia="仿宋" w:cs="仿宋"/>
          <w:b/>
          <w:bCs/>
          <w:sz w:val="24"/>
        </w:rPr>
        <w:t>培训要求</w:t>
      </w:r>
    </w:p>
    <w:p>
      <w:pPr>
        <w:snapToGrid w:val="0"/>
        <w:spacing w:line="360" w:lineRule="auto"/>
        <w:ind w:firstLine="480" w:firstLineChars="200"/>
        <w:rPr>
          <w:rFonts w:ascii="仿宋" w:hAnsi="仿宋" w:eastAsia="仿宋" w:cs="仿宋"/>
          <w:b/>
          <w:bCs/>
          <w:color w:val="000000"/>
          <w:sz w:val="24"/>
        </w:rPr>
      </w:pPr>
      <w:r>
        <w:rPr>
          <w:rFonts w:hint="eastAsia" w:ascii="仿宋" w:hAnsi="仿宋" w:eastAsia="仿宋" w:cs="仿宋"/>
          <w:sz w:val="24"/>
        </w:rPr>
        <w:t>投标单位负责对采购单位所有使用人员组织操作培训工作，直至各人员能熟练操作。投标单位全面负责培训资料、场地等费用。</w:t>
      </w:r>
    </w:p>
    <w:p>
      <w:pPr>
        <w:snapToGrid w:val="0"/>
        <w:spacing w:line="360" w:lineRule="auto"/>
        <w:rPr>
          <w:rFonts w:ascii="仿宋" w:hAnsi="仿宋" w:eastAsia="仿宋" w:cs="仿宋"/>
          <w:b/>
          <w:bCs/>
          <w:sz w:val="24"/>
        </w:rPr>
      </w:pPr>
      <w:r>
        <w:rPr>
          <w:rFonts w:hint="eastAsia" w:ascii="仿宋" w:hAnsi="仿宋" w:eastAsia="仿宋" w:cs="仿宋"/>
          <w:b/>
          <w:bCs/>
          <w:sz w:val="24"/>
        </w:rPr>
        <w:t>（四）项目验收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将本次招标采购的所有设备及软件进行集成并实现正常运行，同时达到招标方要求的性能和产品技术规格中的性能，并由招标单位组织专家验收。</w:t>
      </w:r>
    </w:p>
    <w:p>
      <w:pPr>
        <w:snapToGrid w:val="0"/>
        <w:spacing w:line="360" w:lineRule="auto"/>
        <w:rPr>
          <w:rFonts w:ascii="仿宋" w:hAnsi="仿宋" w:eastAsia="仿宋" w:cs="仿宋"/>
          <w:b/>
          <w:bCs/>
          <w:sz w:val="24"/>
        </w:rPr>
      </w:pPr>
      <w:r>
        <w:rPr>
          <w:rFonts w:hint="eastAsia" w:ascii="仿宋" w:hAnsi="仿宋" w:eastAsia="仿宋" w:cs="仿宋"/>
          <w:b/>
          <w:bCs/>
          <w:sz w:val="24"/>
        </w:rPr>
        <w:t>（五）履约保证金和质量保证金</w:t>
      </w:r>
    </w:p>
    <w:p>
      <w:pPr>
        <w:pStyle w:val="60"/>
        <w:spacing w:after="0" w:line="360" w:lineRule="auto"/>
        <w:ind w:firstLine="480" w:firstLineChars="200"/>
        <w:rPr>
          <w:rFonts w:ascii="仿宋" w:hAnsi="仿宋" w:eastAsia="仿宋" w:cs="仿宋"/>
          <w:sz w:val="24"/>
          <w:szCs w:val="24"/>
        </w:rPr>
      </w:pPr>
      <w:r>
        <w:rPr>
          <w:rFonts w:hint="eastAsia" w:ascii="仿宋" w:hAnsi="仿宋" w:eastAsia="仿宋" w:cs="仿宋"/>
          <w:sz w:val="24"/>
          <w:szCs w:val="24"/>
        </w:rPr>
        <w:t>在合同签订后供应商向采购人缴纳中标总额5%的履约保证金，验收合格后履约保证金自动转为质量保证金，在无质量问题的情况下，质量保证金将在质保期满后无息退还。</w:t>
      </w:r>
    </w:p>
    <w:p>
      <w:pPr>
        <w:snapToGrid w:val="0"/>
        <w:spacing w:line="360" w:lineRule="auto"/>
        <w:rPr>
          <w:rFonts w:ascii="仿宋" w:hAnsi="仿宋" w:eastAsia="仿宋" w:cs="仿宋"/>
          <w:sz w:val="24"/>
        </w:rPr>
      </w:pPr>
      <w:r>
        <w:rPr>
          <w:rFonts w:hint="eastAsia" w:ascii="仿宋" w:hAnsi="仿宋" w:eastAsia="仿宋" w:cs="仿宋"/>
          <w:b/>
          <w:bCs/>
          <w:sz w:val="24"/>
        </w:rPr>
        <w:t>（六）付款方式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合同签订后7天内支付合同总价的30%预付款，系统上线后支付合同总价的30%，最终验收完成后支付合同总价的40%。</w:t>
      </w:r>
    </w:p>
    <w:p>
      <w:pPr>
        <w:snapToGrid w:val="0"/>
        <w:spacing w:line="360" w:lineRule="auto"/>
        <w:rPr>
          <w:rFonts w:ascii="仿宋" w:hAnsi="仿宋" w:eastAsia="仿宋" w:cs="仿宋"/>
          <w:b/>
          <w:bCs/>
          <w:color w:val="000000"/>
          <w:sz w:val="24"/>
        </w:rPr>
      </w:pPr>
      <w:r>
        <w:rPr>
          <w:rFonts w:hint="eastAsia" w:ascii="仿宋" w:hAnsi="仿宋" w:eastAsia="仿宋" w:cs="仿宋"/>
          <w:b/>
          <w:bCs/>
          <w:sz w:val="24"/>
        </w:rPr>
        <w:t>（七）</w:t>
      </w:r>
      <w:r>
        <w:rPr>
          <w:rFonts w:hint="eastAsia" w:ascii="仿宋" w:hAnsi="仿宋" w:eastAsia="仿宋" w:cs="仿宋"/>
          <w:b/>
          <w:bCs/>
          <w:color w:val="000000"/>
          <w:sz w:val="24"/>
        </w:rPr>
        <w:t>其他</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招标文件中遗漏了必须具备的设备、配件或服务，请投标人在投标文件中指出，并提出解决方案供采购人、采购机构参考；投标人有义务保证采购人系统的完整性，如项目实施过程中因缺少设备、配件或服务导致采购人系统无法正常运行，投标人须承诺免费提供。</w:t>
      </w:r>
    </w:p>
    <w:p>
      <w:pPr>
        <w:pStyle w:val="4"/>
        <w:numPr>
          <w:ilvl w:val="0"/>
          <w:numId w:val="0"/>
        </w:numPr>
        <w:snapToGrid w:val="0"/>
        <w:spacing w:before="120" w:after="120" w:line="360" w:lineRule="auto"/>
        <w:ind w:leftChars="0"/>
        <w:rPr>
          <w:rFonts w:ascii="仿宋" w:hAnsi="仿宋" w:eastAsia="仿宋"/>
          <w:sz w:val="24"/>
          <w:szCs w:val="24"/>
        </w:rPr>
      </w:pPr>
      <w:r>
        <w:rPr>
          <w:rFonts w:hint="eastAsia" w:ascii="仿宋" w:hAnsi="仿宋" w:eastAsia="仿宋"/>
          <w:sz w:val="24"/>
          <w:szCs w:val="24"/>
        </w:rPr>
        <w:t>4.采购清单</w:t>
      </w:r>
    </w:p>
    <w:p>
      <w:pPr>
        <w:pStyle w:val="5"/>
        <w:numPr>
          <w:ilvl w:val="2"/>
          <w:numId w:val="0"/>
        </w:numPr>
        <w:snapToGrid w:val="0"/>
        <w:spacing w:before="120" w:after="120" w:line="360" w:lineRule="auto"/>
        <w:ind w:left="180" w:leftChars="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大队交通综合管控平台升级建设清单</w:t>
      </w:r>
    </w:p>
    <w:tbl>
      <w:tblPr>
        <w:tblStyle w:val="62"/>
        <w:tblW w:w="9340" w:type="dxa"/>
        <w:jc w:val="center"/>
        <w:tblLayout w:type="autofit"/>
        <w:tblCellMar>
          <w:top w:w="0" w:type="dxa"/>
          <w:left w:w="108" w:type="dxa"/>
          <w:bottom w:w="0" w:type="dxa"/>
          <w:right w:w="108" w:type="dxa"/>
        </w:tblCellMar>
      </w:tblPr>
      <w:tblGrid>
        <w:gridCol w:w="720"/>
        <w:gridCol w:w="1543"/>
        <w:gridCol w:w="5529"/>
        <w:gridCol w:w="708"/>
        <w:gridCol w:w="840"/>
      </w:tblGrid>
      <w:tr>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43"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产品名称</w:t>
            </w:r>
          </w:p>
        </w:tc>
        <w:tc>
          <w:tcPr>
            <w:tcW w:w="5529"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技 术 参 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84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一</w:t>
            </w:r>
          </w:p>
        </w:tc>
        <w:tc>
          <w:tcPr>
            <w:tcW w:w="86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b/>
                <w:bCs/>
                <w:color w:val="000000"/>
                <w:kern w:val="0"/>
                <w:sz w:val="24"/>
              </w:rPr>
            </w:pPr>
            <w:r>
              <w:rPr>
                <w:rFonts w:hint="eastAsia" w:ascii="仿宋" w:hAnsi="仿宋" w:eastAsia="仿宋" w:cs="宋体"/>
                <w:b/>
                <w:bCs/>
                <w:color w:val="000000"/>
                <w:kern w:val="0"/>
                <w:sz w:val="24"/>
              </w:rPr>
              <w:t>交通视频汇聚云平台</w:t>
            </w:r>
          </w:p>
        </w:tc>
      </w:tr>
      <w:tr>
        <w:tblPrEx>
          <w:tblCellMar>
            <w:top w:w="0" w:type="dxa"/>
            <w:left w:w="108" w:type="dxa"/>
            <w:bottom w:w="0" w:type="dxa"/>
            <w:right w:w="108" w:type="dxa"/>
          </w:tblCellMar>
        </w:tblPrEx>
        <w:trPr>
          <w:trHeight w:val="199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元数据服务器</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主流的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1995"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支持全面的数据保护和容灾能力；支持存储池，机架，节点和硬盘四级容错配置；支持故障域隔离，支持逻辑域和物理域隔离，最大支持20个节点同时故障，数据不丢失；资源池支持管理多个存储池，支持不同用户绑定在不同资源池上; 支持一键批量配置存储池，支持一键导出存储池配置；（提供公安部检测报告证明）</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425"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支持智能多域，支持视频和图片的就近域存储，支持从分域获取图片和视频到主域进行分析，支持结构化数据从分域汇聚到主域，支持域间灾备，设备级接管和回迁</w:t>
            </w:r>
            <w:r>
              <w:rPr>
                <w:rFonts w:hint="eastAsia" w:ascii="仿宋" w:hAnsi="仿宋" w:eastAsia="仿宋" w:cs="宋体"/>
                <w:color w:val="000000"/>
                <w:kern w:val="0"/>
                <w:sz w:val="24"/>
                <w:lang w:eastAsia="zh-CN"/>
              </w:rPr>
              <w:t>。</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14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硬件配置：1U机架式|</w:t>
            </w:r>
            <w:r>
              <w:rPr>
                <w:rFonts w:ascii="仿宋" w:hAnsi="仿宋" w:eastAsia="仿宋" w:cs="宋体"/>
                <w:color w:val="000000"/>
                <w:kern w:val="0"/>
                <w:sz w:val="24"/>
              </w:rPr>
              <w:t>2.10GHz CPU</w:t>
            </w:r>
            <w:r>
              <w:rPr>
                <w:rFonts w:hint="eastAsia" w:ascii="仿宋" w:hAnsi="仿宋" w:eastAsia="仿宋" w:cs="宋体"/>
                <w:color w:val="000000"/>
                <w:kern w:val="0"/>
                <w:sz w:val="24"/>
              </w:rPr>
              <w:t>*2|64G DDR4 内存|2TB SATA硬盘*2|960G 2.5吋 SSD*2|RAID卡 *1|8千兆网口（RJ45接口）*1|550W白金电源*2。</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71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云数据库一体机</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2U4节点高密服务器|处理器E5-2640*2*4节点|128GBDDR4*4节点|1TBSATA7200RPM2.5寸硬盘*4节点|2TB2.5寸Sata盘*4节点|480GBSSD2.5英寸硬盘*3*4节点|4千兆网口（RJ45接口）*4节点|1600W1+1钛金冗余电源。</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1710"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rPr>
              <w:t>数据接入源支持Mysql，Oracle，Postgresql，RabbitMQ，KA**A,SQLSERVER,MYSQLBINLOG；内部数据源支持hadoop，ka**a，elasticsearch；单采集任务支持重新采集，继续采集，指定偏移量开始采集；（提供公安部检测报告证明）</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710"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支持在hadoop，GreenPlum，Elasticsearch，Ka**a集群创建物</w:t>
            </w:r>
            <w:r>
              <w:rPr>
                <w:rFonts w:hint="eastAsia" w:ascii="仿宋" w:hAnsi="仿宋" w:eastAsia="仿宋" w:cs="宋体"/>
                <w:color w:val="000000"/>
                <w:kern w:val="0"/>
                <w:sz w:val="24"/>
                <w:highlight w:val="none"/>
              </w:rPr>
              <w:t>理模型；支持存储量展示，支持压缩格式存储，支持数据血缘查看，支持分区设置，支持数据预览，支持查看操作记录；（提供公安部检测报告证明）</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266" w:hRule="atLeast"/>
          <w:jc w:val="center"/>
        </w:trPr>
        <w:tc>
          <w:tcPr>
            <w:tcW w:w="72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支持数据源连接状态监控；支持采集任务根据入库量、异常量、积压量监控；支持源端表字段更新周期监控；</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针对实时流数据提供安全，可靠，可弹性扩展的数据传输平台，以消息流方式接入其他结构化数据；</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支持对接入的数据进行流量统计，包括正常入库数据和异常入库数据等；</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14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数据查询服务是为上层服务提供统一REST接口，支持车辆、人像、Mac、RFID、交通业务的抓拍记录模糊查询、精确查询、关联查询；</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42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单机50亿数据，日增量3000万，1天内无车牌过滤做全量数据的频繁轨迹出现，平均响应时间3秒内，7天内指定车牌过滤平均响应时间5秒内，适应车辆等时空数据业务;更大数据采用集群扩容；</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42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单机50亿数据，日增量3000万，1天内无车牌过滤做全量数据的频繁轨迹出现，平均响应时间3秒内，7天内指定车牌过滤平均响应时间5秒内，适应车辆等时空数据业务;更大数据采用集群扩容；</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单机50亿数据总量，日增量3000万，1天内无车牌过滤条件3000万与3000万进行全量碰撞，平均响应时间小于5秒。</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w:t>
            </w:r>
          </w:p>
        </w:tc>
        <w:tc>
          <w:tcPr>
            <w:tcW w:w="86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b/>
                <w:bCs/>
                <w:color w:val="000000"/>
                <w:kern w:val="0"/>
                <w:sz w:val="24"/>
              </w:rPr>
            </w:pPr>
            <w:r>
              <w:rPr>
                <w:rFonts w:hint="eastAsia" w:ascii="仿宋" w:hAnsi="仿宋" w:eastAsia="仿宋" w:cs="宋体"/>
                <w:b/>
                <w:bCs/>
                <w:color w:val="000000"/>
                <w:kern w:val="0"/>
                <w:sz w:val="24"/>
              </w:rPr>
              <w:t>交通情指勤督实战平台</w:t>
            </w:r>
          </w:p>
        </w:tc>
      </w:tr>
      <w:tr>
        <w:tblPrEx>
          <w:tblCellMar>
            <w:top w:w="0" w:type="dxa"/>
            <w:left w:w="108" w:type="dxa"/>
            <w:bottom w:w="0" w:type="dxa"/>
            <w:right w:w="108" w:type="dxa"/>
          </w:tblCellMar>
        </w:tblPrEx>
        <w:trPr>
          <w:trHeight w:val="153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交通情指勤督实战平台基础软件</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基于B/S架构，以一张图指挥调度业务为核心，综合视频监控、交通地图、诱导屏等多种资源在线管理业务，该平台基于电子地图业务，具有多系统联动、集成整合、协同管理与指挥等功能，是面向交警指挥中心行业的专业化、定制化的平台产品。</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套</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114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实现综合视频监控、交通事件检测、车辆检索、违法检索、稽查布控、区间测速等使用业务，同时为交警行业平台提供基础能力底座和数据汇聚底座。</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警情APP软件模块</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APP模块，主要包括接处警，消息通知等功能，支持android5.0以上手机或**终端。</w:t>
            </w:r>
          </w:p>
        </w:tc>
      </w:tr>
      <w:tr>
        <w:tblPrEx>
          <w:tblCellMar>
            <w:top w:w="0" w:type="dxa"/>
            <w:left w:w="108" w:type="dxa"/>
            <w:bottom w:w="0" w:type="dxa"/>
            <w:right w:w="108" w:type="dxa"/>
          </w:tblCellMar>
        </w:tblPrEx>
        <w:trPr>
          <w:trHeight w:val="76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资源在线软件模块</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在离线资源一张图可视化展示，实现资源的查看、调度，包含设备资源，社会资源，实时路况等，并可对设备资源进行快速的检索</w:t>
            </w:r>
          </w:p>
        </w:tc>
      </w:tr>
      <w:tr>
        <w:tblPrEx>
          <w:tblCellMar>
            <w:top w:w="0" w:type="dxa"/>
            <w:left w:w="108" w:type="dxa"/>
            <w:bottom w:w="0" w:type="dxa"/>
            <w:right w:w="108" w:type="dxa"/>
          </w:tblCellMar>
        </w:tblPrEx>
        <w:trPr>
          <w:trHeight w:val="91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警力在线软件模块</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系统提供多种警力资源的接入和展示，包含APP，PDT，无人机，铁骑等，也能够对接第三方的GPS来关联警员警车，并可以进行轨迹查询以及关联设备的视频预览</w:t>
            </w:r>
          </w:p>
        </w:tc>
      </w:tr>
      <w:tr>
        <w:tblPrEx>
          <w:tblCellMar>
            <w:top w:w="0" w:type="dxa"/>
            <w:left w:w="108" w:type="dxa"/>
            <w:bottom w:w="0" w:type="dxa"/>
            <w:right w:w="108" w:type="dxa"/>
          </w:tblCellMar>
        </w:tblPrEx>
        <w:trPr>
          <w:trHeight w:val="11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警情汇聚软件模块</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系统能够对多源警情进行汇聚接入。对不同来源的警情按照标准格式接入，并对外提供统一的接入接口。并对接警单信息，处警单信息，反馈单信息分别进行接入，关联，匹配，在平台上统一展示。</w:t>
            </w:r>
          </w:p>
        </w:tc>
      </w:tr>
      <w:tr>
        <w:tblPrEx>
          <w:tblCellMar>
            <w:top w:w="0" w:type="dxa"/>
            <w:left w:w="108" w:type="dxa"/>
            <w:bottom w:w="0" w:type="dxa"/>
            <w:right w:w="108" w:type="dxa"/>
          </w:tblCellMar>
        </w:tblPrEx>
        <w:trPr>
          <w:trHeight w:val="699"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警情研判软件模块</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系统提供警情数据的初步研判分析功能。包括警情的总量，警情的类型分布，警情的区域分布，警情的来源分布。警情可在地图上散点展示以及热力图展示，并能够一键推送至APP。</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交警指挥调度定制开发</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个性化定制，包括与支队万马平台数据对接、与城市大脑**数据对接等。</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w:t>
            </w:r>
          </w:p>
        </w:tc>
        <w:tc>
          <w:tcPr>
            <w:tcW w:w="86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b/>
                <w:bCs/>
                <w:color w:val="000000"/>
                <w:kern w:val="0"/>
                <w:sz w:val="24"/>
              </w:rPr>
            </w:pPr>
            <w:r>
              <w:rPr>
                <w:rFonts w:hint="eastAsia" w:ascii="仿宋" w:hAnsi="仿宋" w:eastAsia="仿宋" w:cs="宋体"/>
                <w:b/>
                <w:bCs/>
                <w:color w:val="000000"/>
                <w:kern w:val="0"/>
                <w:sz w:val="24"/>
              </w:rPr>
              <w:t>交通数据可视化平台</w:t>
            </w: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交通信息总览</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1、对辖区整体管理情况进行可视化展示；</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2、对辖区主要出入城流量进行实时查看；</w:t>
            </w: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3、对辖区信息化建设情况进行可视化展示；</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4、对警情、隐患、违法、勤务进行概览。</w:t>
            </w: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交通流量态势</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1、对辖区内过车流量进行可视化展示；</w:t>
            </w: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2、对辖区内主要出入城流量进行实时查看；</w:t>
            </w: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3、对辖区内大货车出入城和关键卡点流量进行实时查看；</w:t>
            </w: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4、对辖区内过车早晚高峰流量进行实时查看。</w:t>
            </w:r>
          </w:p>
        </w:tc>
      </w:tr>
      <w:tr>
        <w:tblPrEx>
          <w:tblCellMar>
            <w:top w:w="0" w:type="dxa"/>
            <w:left w:w="108" w:type="dxa"/>
            <w:bottom w:w="0" w:type="dxa"/>
            <w:right w:w="108" w:type="dxa"/>
          </w:tblCellMar>
        </w:tblPrEx>
        <w:trPr>
          <w:trHeight w:val="105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交通警情态势</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1、对辖区警情进行进行可视化展示，主要包含今日警情数、上月警情数，月环比，日平均警情数，警情按类型细化，警情处置情况统计，历史警情数趋势，24小时警情分布情况；</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2、同时展示辖区内警情热力图。</w:t>
            </w:r>
          </w:p>
        </w:tc>
      </w:tr>
      <w:tr>
        <w:tblPrEx>
          <w:tblCellMar>
            <w:top w:w="0" w:type="dxa"/>
            <w:left w:w="108" w:type="dxa"/>
            <w:bottom w:w="0" w:type="dxa"/>
            <w:right w:w="108" w:type="dxa"/>
          </w:tblCellMar>
        </w:tblPrEx>
        <w:trPr>
          <w:trHeight w:val="114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交通隐患态势</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1、对辖区内重点违法车辆、重点驾驶员、重点企业进行分析研判后的数据进行可视化展示，同时展示当前活跃的重点车辆和重点驾驶员；</w:t>
            </w: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2、对上路的违法车辆和违法驾驶员进行实时预警展示；展示历史报警数趋势以及24报警时间分布；地图展示报警数排行。</w:t>
            </w:r>
          </w:p>
        </w:tc>
      </w:tr>
      <w:tr>
        <w:tblPrEx>
          <w:tblCellMar>
            <w:top w:w="0" w:type="dxa"/>
            <w:left w:w="108" w:type="dxa"/>
            <w:bottom w:w="0" w:type="dxa"/>
            <w:right w:w="108" w:type="dxa"/>
          </w:tblCellMar>
        </w:tblPrEx>
        <w:trPr>
          <w:trHeight w:val="57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交通违法态势</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1、细节展示今日非现场抓拍情况，分类情况，对上月情况进行同比环比分析；</w:t>
            </w: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2、展示近期非现场违法趋势以及时间分布趋势；同时展示违法高发点。</w:t>
            </w:r>
          </w:p>
        </w:tc>
      </w:tr>
      <w:tr>
        <w:tblPrEx>
          <w:tblCellMar>
            <w:top w:w="0" w:type="dxa"/>
            <w:left w:w="108" w:type="dxa"/>
            <w:bottom w:w="0" w:type="dxa"/>
            <w:right w:w="108" w:type="dxa"/>
          </w:tblCellMar>
        </w:tblPrEx>
        <w:trPr>
          <w:trHeight w:val="142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交通勤务态势</w:t>
            </w: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1、展示今日执勤民警，巡逻车辆，警力在线情况，民警到岗情况；对本月稽查布控、隐患排查、警情处理等**工作进行分类统计；通过工作量对民警以及辅警进行排名；对辖区内整体工作量进行统计；</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77"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2、对单独民警及辅警的工作量进行刻画。</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四</w:t>
            </w:r>
          </w:p>
        </w:tc>
        <w:tc>
          <w:tcPr>
            <w:tcW w:w="8620" w:type="dxa"/>
            <w:gridSpan w:val="4"/>
            <w:tcBorders>
              <w:top w:val="single" w:color="auto" w:sz="4" w:space="0"/>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b/>
                <w:bCs/>
                <w:color w:val="000000"/>
                <w:kern w:val="0"/>
                <w:sz w:val="24"/>
              </w:rPr>
            </w:pPr>
            <w:r>
              <w:rPr>
                <w:rFonts w:hint="eastAsia" w:ascii="仿宋" w:hAnsi="仿宋" w:eastAsia="仿宋" w:cs="宋体"/>
                <w:b/>
                <w:bCs/>
                <w:color w:val="000000"/>
                <w:kern w:val="0"/>
                <w:sz w:val="24"/>
              </w:rPr>
              <w:t>软件平台配套硬件及网关</w:t>
            </w:r>
          </w:p>
        </w:tc>
      </w:tr>
      <w:tr>
        <w:tblPrEx>
          <w:tblCellMar>
            <w:top w:w="0" w:type="dxa"/>
            <w:left w:w="108" w:type="dxa"/>
            <w:bottom w:w="0" w:type="dxa"/>
            <w:right w:w="108" w:type="dxa"/>
          </w:tblCellMar>
        </w:tblPrEx>
        <w:trPr>
          <w:trHeight w:val="114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交通情指勤督实战平台硬件服务器</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Intel 2U服务器-Xeon 4108 1.8G 9.6UPI 11M 8C 85W*2/16GB*4/-2T 3.5吋 7200转 6Gb SATA硬盘*2/LSI3008 SAS卡*1/8千兆网口/冗余电源/240G SSD*2</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交通数据可视化高分硬件服务器</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Intel Xeon W-2104*1-16G*1-1TB SAS*1--2网口</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252"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交通数据可视化高分4K采集板卡</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2路HDMI接口；输入符合VESA标准的4K*2K以下的分辨率，如：4096*2160@24fps、3840*2160@30Hz、2560*1600@30Hz、2048*1536@30Hz、1920*1080@60Hz、1680*1050@60Hz、1440*900@60Hz、1366*768@60Hz、1280*1024@60Hz、1280*960@60Hz、1280*800@60Hz、1280*720@60Hz、1152*864@60Hz、1024*768@60Hz、800*600@60Hz</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张</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视频平台对接网关-上级</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标准1U机身，软硬件一体化设计；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支持加密狗授权机制；</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支持Web方式访问、配置、管理网关设备；</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支持多平台多层次级联，跨域互联互通与资源共享；</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支持联网标准协议GB/T 28181和DB33，具备符合上述协议的快速接入能力；</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符合GB/T 28181-2011/GB/T 28181-2016、公安机关视频监控系统联网标准符合性检测要求；</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支持平台联网管理基本功能，资源共享与同步、实时预览、云台控制、录像检索/回放/下载、设备控制、报警处理等。</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视频平台对接网关-下级</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标准1U机身，软硬件一体化设计；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支持加密狗授权机制；</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支持Web方式访问、配置、管理网关设备；</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支持多平台多层次级联，跨域互联互通与资源共享；</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7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支持联网标准协议GB/T 28181和DB33，具备符合上述协议的快速接入能力；</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符合GB/T 28181-2011/GB/T 28181-2016、公安机关视频监控系统联网标准符合性检测要求；</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85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543"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支持平台联网管理基本功能，资源共享与同步、实时预览、云台控制、录像检索/回放/下载、设备控制、报警处理等。</w:t>
            </w:r>
          </w:p>
        </w:tc>
        <w:tc>
          <w:tcPr>
            <w:tcW w:w="70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4503"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数据对接网关1</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独立WEB客户端访问配置参数 平台的卡口数据/图片对接 支持各大厂商的标准/私有协议定制对接 支持多平台、多厂商数据对接，最多4个 支持各厂商数据标准转换。配置存储可支持图片存储，支持本地硬盘、ipsan、云存储等存储方式 最大性能支持每日的数据推送1000W条，最大图片性能支持每日推送500W张。支持对接公安信息库、六合一、稽查布控等系统 支持网闸的图片代理访问、边界的图片数据摆渡基于64位的主流Linux版本 （Centos 7.x 和 Centos 6.9 ,Debian 9.4 ） 出厂默认Windows 10；配置1条16GB DDR4/带ECC UDIMM 速率2400MHZ,每个处理器支持2个内存通道 ,总共支持4个DIMM插槽.配置DDR4/带ECC UDIMM 速率2400MHZ 整机最大可以支持64GB</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r>
      <w:tr>
        <w:tblPrEx>
          <w:tblCellMar>
            <w:top w:w="0" w:type="dxa"/>
            <w:left w:w="108" w:type="dxa"/>
            <w:bottom w:w="0" w:type="dxa"/>
            <w:right w:w="108" w:type="dxa"/>
          </w:tblCellMar>
        </w:tblPrEx>
        <w:trPr>
          <w:trHeight w:val="4503"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2</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交换机</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highlight w:val="none"/>
              </w:rPr>
            </w:pPr>
            <w:r>
              <w:rPr>
                <w:rFonts w:hint="eastAsia" w:ascii="仿宋" w:hAnsi="仿宋" w:eastAsia="仿宋" w:cs="宋体"/>
                <w:color w:val="000000"/>
                <w:kern w:val="0"/>
                <w:sz w:val="24"/>
                <w:lang w:val="en-US" w:eastAsia="zh-CN"/>
              </w:rPr>
              <w:t>1、</w:t>
            </w:r>
            <w:r>
              <w:rPr>
                <w:rFonts w:hint="eastAsia" w:ascii="仿宋" w:hAnsi="仿宋" w:eastAsia="仿宋" w:cs="宋体"/>
                <w:color w:val="000000"/>
                <w:kern w:val="0"/>
                <w:sz w:val="24"/>
              </w:rPr>
              <w:t>交换容量590Gbps，整机转发性能210Mpps；24个千兆电口，4个千兆光口；支持单端口MAC地址用户数4k；支持静态路由、RIP、OSPF；支持0℃-70℃宽温工作，无风扇设计；支持识别终端接入IP、MAC、端口等信息，并</w:t>
            </w:r>
            <w:r>
              <w:rPr>
                <w:rFonts w:hint="eastAsia" w:ascii="仿宋" w:hAnsi="仿宋" w:eastAsia="仿宋" w:cs="宋体"/>
                <w:color w:val="000000"/>
                <w:kern w:val="0"/>
                <w:sz w:val="24"/>
                <w:highlight w:val="none"/>
              </w:rPr>
              <w:t>关联用户身份。</w:t>
            </w:r>
          </w:p>
          <w:p>
            <w:pPr>
              <w:widowControl/>
              <w:adjustRightInd/>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en-US" w:eastAsia="zh-CN"/>
              </w:rPr>
              <w:t>2、</w:t>
            </w:r>
            <w:r>
              <w:rPr>
                <w:rFonts w:hint="eastAsia" w:ascii="仿宋" w:hAnsi="仿宋" w:eastAsia="仿宋" w:cs="宋体"/>
                <w:color w:val="000000"/>
                <w:kern w:val="0"/>
                <w:sz w:val="24"/>
                <w:highlight w:val="none"/>
              </w:rPr>
              <w:t>支持对病毒的网络层传播行为进行溯源及阻断，防止内网病毒扩散，提供第三方权威机构出具的测试报告证明。</w:t>
            </w:r>
          </w:p>
          <w:p>
            <w:pPr>
              <w:widowControl/>
              <w:adjustRightInd/>
              <w:rPr>
                <w:rFonts w:ascii="仿宋" w:hAnsi="仿宋" w:eastAsia="仿宋" w:cs="宋体"/>
                <w:color w:val="000000"/>
                <w:kern w:val="0"/>
                <w:sz w:val="24"/>
                <w:highlight w:val="none"/>
              </w:rPr>
            </w:pPr>
            <w:r>
              <w:rPr>
                <w:rFonts w:hint="eastAsia" w:ascii="仿宋" w:hAnsi="仿宋" w:eastAsia="仿宋" w:cs="宋体"/>
                <w:color w:val="000000"/>
                <w:kern w:val="0"/>
                <w:sz w:val="24"/>
                <w:highlight w:val="none"/>
                <w:lang w:val="en-US" w:eastAsia="zh-CN"/>
              </w:rPr>
              <w:t>3、</w:t>
            </w:r>
            <w:r>
              <w:rPr>
                <w:rFonts w:hint="eastAsia" w:ascii="仿宋" w:hAnsi="仿宋" w:eastAsia="仿宋" w:cs="宋体"/>
                <w:color w:val="000000"/>
                <w:kern w:val="0"/>
                <w:sz w:val="24"/>
                <w:highlight w:val="none"/>
              </w:rPr>
              <w:t>支持防IP扫描、防UDP端口扫描、防TCP端口扫描等异常行为，提供第三方权威机构出具的测试报告证明。</w:t>
            </w:r>
          </w:p>
          <w:p>
            <w:pPr>
              <w:widowControl/>
              <w:adjustRightInd/>
              <w:rPr>
                <w:rFonts w:hint="eastAsia" w:ascii="仿宋" w:hAnsi="仿宋" w:eastAsia="仿宋" w:cs="宋体"/>
                <w:color w:val="000000"/>
                <w:kern w:val="0"/>
                <w:sz w:val="24"/>
                <w:lang w:eastAsia="zh-CN"/>
              </w:rPr>
            </w:pPr>
            <w:r>
              <w:rPr>
                <w:rFonts w:hint="eastAsia" w:ascii="仿宋" w:hAnsi="仿宋" w:eastAsia="仿宋" w:cs="宋体"/>
                <w:color w:val="000000"/>
                <w:kern w:val="0"/>
                <w:sz w:val="24"/>
                <w:highlight w:val="none"/>
                <w:lang w:val="en-US" w:eastAsia="zh-CN"/>
              </w:rPr>
              <w:t>4、</w:t>
            </w:r>
            <w:r>
              <w:rPr>
                <w:rFonts w:hint="eastAsia" w:ascii="仿宋" w:hAnsi="仿宋" w:eastAsia="仿宋" w:cs="宋体"/>
                <w:color w:val="000000"/>
                <w:kern w:val="0"/>
                <w:sz w:val="24"/>
                <w:highlight w:val="none"/>
              </w:rPr>
              <w:t>支持识别IPC等哑终端设备类型，并支持开启终端安全功能，只允许特定类型的设备接入网络</w:t>
            </w:r>
            <w:r>
              <w:rPr>
                <w:rFonts w:hint="eastAsia" w:ascii="仿宋" w:hAnsi="仿宋" w:eastAsia="仿宋" w:cs="宋体"/>
                <w:color w:val="000000"/>
                <w:kern w:val="0"/>
                <w:sz w:val="24"/>
                <w:highlight w:val="none"/>
                <w:lang w:eastAsia="zh-CN"/>
              </w:rPr>
              <w:t>。</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4383"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3</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数据对接网关2</w:t>
            </w:r>
          </w:p>
        </w:tc>
        <w:tc>
          <w:tcPr>
            <w:tcW w:w="5529" w:type="dxa"/>
            <w:tcBorders>
              <w:top w:val="nil"/>
              <w:left w:val="nil"/>
              <w:bottom w:val="single" w:color="auto" w:sz="4" w:space="0"/>
              <w:right w:val="single" w:color="auto" w:sz="4" w:space="0"/>
            </w:tcBorders>
            <w:shd w:val="clear" w:color="auto" w:fill="auto"/>
            <w:vAlign w:val="center"/>
          </w:tcPr>
          <w:p>
            <w:pPr>
              <w:widowControl/>
              <w:numPr>
                <w:ilvl w:val="0"/>
                <w:numId w:val="28"/>
              </w:numPr>
              <w:adjustRightInd/>
              <w:rPr>
                <w:rFonts w:hint="eastAsia" w:ascii="仿宋" w:hAnsi="仿宋" w:eastAsia="仿宋" w:cs="宋体"/>
                <w:color w:val="000000"/>
                <w:kern w:val="0"/>
                <w:sz w:val="24"/>
              </w:rPr>
            </w:pPr>
            <w:r>
              <w:rPr>
                <w:rFonts w:hint="eastAsia" w:ascii="仿宋" w:hAnsi="仿宋" w:eastAsia="仿宋" w:cs="宋体"/>
                <w:color w:val="000000"/>
                <w:kern w:val="0"/>
                <w:sz w:val="24"/>
              </w:rPr>
              <w:t>独立WEB客户端访问配置参数 平台的卡口数据/图片对接 支持各大厂商的标准/私有协议定制对接 支持多平台、多厂商数据对接，最多4个 支持各厂商数据标准转换。</w:t>
            </w:r>
          </w:p>
          <w:p>
            <w:pPr>
              <w:widowControl/>
              <w:numPr>
                <w:ilvl w:val="0"/>
                <w:numId w:val="28"/>
              </w:numPr>
              <w:adjustRightInd/>
              <w:rPr>
                <w:rFonts w:ascii="仿宋" w:hAnsi="仿宋" w:eastAsia="仿宋" w:cs="宋体"/>
                <w:color w:val="000000"/>
                <w:kern w:val="0"/>
                <w:sz w:val="24"/>
              </w:rPr>
            </w:pPr>
            <w:r>
              <w:rPr>
                <w:rFonts w:hint="eastAsia" w:ascii="仿宋" w:hAnsi="仿宋" w:eastAsia="仿宋" w:cs="宋体"/>
                <w:color w:val="000000"/>
                <w:kern w:val="0"/>
                <w:sz w:val="24"/>
              </w:rPr>
              <w:t>配置存储可支持图片存储，支持本地硬盘、ipsan、云存储等存储方式 最大性能支持每日的数据推送1000W条，最大图片性能支持每日推送500W张。</w:t>
            </w:r>
          </w:p>
          <w:p>
            <w:pPr>
              <w:widowControl/>
              <w:numPr>
                <w:ilvl w:val="0"/>
                <w:numId w:val="28"/>
              </w:numPr>
              <w:adjustRightInd/>
              <w:rPr>
                <w:rFonts w:ascii="仿宋" w:hAnsi="仿宋" w:eastAsia="仿宋" w:cs="宋体"/>
                <w:color w:val="000000"/>
                <w:kern w:val="0"/>
                <w:sz w:val="24"/>
              </w:rPr>
            </w:pPr>
            <w:r>
              <w:rPr>
                <w:rFonts w:hint="eastAsia" w:ascii="仿宋" w:hAnsi="仿宋" w:eastAsia="仿宋" w:cs="宋体"/>
                <w:color w:val="000000"/>
                <w:kern w:val="0"/>
                <w:sz w:val="24"/>
              </w:rPr>
              <w:t xml:space="preserve">支持对接公安信息库、六合一、稽查布控等系统 支持网闸的图片代理访问、边界的图片数据摆渡基于64位的主流Linux版本 （Centos 7.x 和 Centos 6.9 ,Debian 9.4 ） </w:t>
            </w:r>
          </w:p>
          <w:p>
            <w:pPr>
              <w:widowControl/>
              <w:numPr>
                <w:ilvl w:val="0"/>
                <w:numId w:val="28"/>
              </w:numPr>
              <w:adjustRightInd/>
              <w:rPr>
                <w:rFonts w:ascii="仿宋" w:hAnsi="仿宋" w:eastAsia="仿宋" w:cs="宋体"/>
                <w:color w:val="000000"/>
                <w:kern w:val="0"/>
                <w:sz w:val="24"/>
              </w:rPr>
            </w:pPr>
            <w:r>
              <w:rPr>
                <w:rFonts w:hint="eastAsia" w:ascii="仿宋" w:hAnsi="仿宋" w:eastAsia="仿宋" w:cs="宋体"/>
                <w:color w:val="000000"/>
                <w:kern w:val="0"/>
                <w:sz w:val="24"/>
              </w:rPr>
              <w:t>出厂默认Windows 10；配置1条16GB DDR4/带ECC UDIMM 速率2400MHZ,每个处理器支持2个内存通道 ,总共支持4个DIMM插槽.配置DDR4/带ECC UDIMM 速率2400MHZ 整机最大可以支持64GB</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570" w:hRule="atLeast"/>
          <w:jc w:val="center"/>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r>
              <w:rPr>
                <w:rFonts w:ascii="仿宋" w:hAnsi="仿宋" w:eastAsia="仿宋" w:cs="宋体"/>
                <w:color w:val="000000"/>
                <w:kern w:val="0"/>
                <w:sz w:val="24"/>
              </w:rPr>
              <w:t>4</w:t>
            </w:r>
          </w:p>
        </w:tc>
        <w:tc>
          <w:tcPr>
            <w:tcW w:w="1543"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等保二级测评服务</w:t>
            </w:r>
          </w:p>
        </w:tc>
        <w:tc>
          <w:tcPr>
            <w:tcW w:w="5529" w:type="dxa"/>
            <w:tcBorders>
              <w:top w:val="nil"/>
              <w:left w:val="nil"/>
              <w:bottom w:val="single" w:color="auto" w:sz="4" w:space="0"/>
              <w:right w:val="single" w:color="auto" w:sz="4" w:space="0"/>
            </w:tcBorders>
            <w:shd w:val="clear" w:color="auto" w:fill="auto"/>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提供一次等保二级测评服务</w:t>
            </w:r>
          </w:p>
        </w:tc>
        <w:tc>
          <w:tcPr>
            <w:tcW w:w="708"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次</w:t>
            </w:r>
          </w:p>
        </w:tc>
        <w:tc>
          <w:tcPr>
            <w:tcW w:w="840" w:type="dxa"/>
            <w:tcBorders>
              <w:top w:val="nil"/>
              <w:left w:val="nil"/>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bl>
    <w:p/>
    <w:p>
      <w:pPr>
        <w:pStyle w:val="5"/>
        <w:snapToGrid w:val="0"/>
        <w:spacing w:before="120" w:after="120" w:line="360" w:lineRule="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大队农村道路三色预警系统建设清单</w:t>
      </w:r>
    </w:p>
    <w:tbl>
      <w:tblPr>
        <w:tblStyle w:val="62"/>
        <w:tblW w:w="9351" w:type="dxa"/>
        <w:jc w:val="center"/>
        <w:tblLayout w:type="autofit"/>
        <w:tblCellMar>
          <w:top w:w="0" w:type="dxa"/>
          <w:left w:w="108" w:type="dxa"/>
          <w:bottom w:w="0" w:type="dxa"/>
          <w:right w:w="108" w:type="dxa"/>
        </w:tblCellMar>
      </w:tblPr>
      <w:tblGrid>
        <w:gridCol w:w="787"/>
        <w:gridCol w:w="1618"/>
        <w:gridCol w:w="5528"/>
        <w:gridCol w:w="709"/>
        <w:gridCol w:w="709"/>
      </w:tblGrid>
      <w:tr>
        <w:tblPrEx>
          <w:tblCellMar>
            <w:top w:w="0" w:type="dxa"/>
            <w:left w:w="108" w:type="dxa"/>
            <w:bottom w:w="0" w:type="dxa"/>
            <w:right w:w="108" w:type="dxa"/>
          </w:tblCellMar>
        </w:tblPrEx>
        <w:trPr>
          <w:trHeight w:val="28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618"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b/>
                <w:bCs/>
                <w:color w:val="000000"/>
                <w:kern w:val="0"/>
                <w:sz w:val="24"/>
              </w:rPr>
            </w:pPr>
            <w:r>
              <w:rPr>
                <w:rFonts w:hint="eastAsia" w:ascii="仿宋" w:hAnsi="仿宋" w:eastAsia="仿宋" w:cs="宋体"/>
                <w:b/>
                <w:bCs/>
                <w:color w:val="000000"/>
                <w:kern w:val="0"/>
                <w:sz w:val="24"/>
              </w:rPr>
              <w:t>产品类型</w:t>
            </w:r>
          </w:p>
        </w:tc>
        <w:tc>
          <w:tcPr>
            <w:tcW w:w="5528"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参数简介</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b/>
                <w:bCs/>
                <w:color w:val="000000"/>
                <w:kern w:val="0"/>
                <w:sz w:val="24"/>
              </w:rPr>
            </w:pPr>
            <w:r>
              <w:rPr>
                <w:rFonts w:hint="eastAsia" w:ascii="仿宋" w:hAnsi="仿宋" w:eastAsia="仿宋" w:cs="宋体"/>
                <w:b/>
                <w:bCs/>
                <w:color w:val="000000"/>
                <w:kern w:val="0"/>
                <w:sz w:val="24"/>
              </w:rPr>
              <w:t>数量</w:t>
            </w:r>
          </w:p>
        </w:tc>
      </w:tr>
      <w:tr>
        <w:tblPrEx>
          <w:tblCellMar>
            <w:top w:w="0" w:type="dxa"/>
            <w:left w:w="108" w:type="dxa"/>
            <w:bottom w:w="0" w:type="dxa"/>
            <w:right w:w="108" w:type="dxa"/>
          </w:tblCellMar>
        </w:tblPrEx>
        <w:trPr>
          <w:trHeight w:val="285" w:hRule="atLeast"/>
          <w:jc w:val="center"/>
        </w:trPr>
        <w:tc>
          <w:tcPr>
            <w:tcW w:w="935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1、硬件部分</w:t>
            </w:r>
          </w:p>
        </w:tc>
      </w:tr>
      <w:tr>
        <w:tblPrEx>
          <w:tblCellMar>
            <w:top w:w="0" w:type="dxa"/>
            <w:left w:w="108" w:type="dxa"/>
            <w:bottom w:w="0" w:type="dxa"/>
            <w:right w:w="108" w:type="dxa"/>
          </w:tblCellMar>
        </w:tblPrEx>
        <w:trPr>
          <w:trHeight w:val="285" w:hRule="atLeast"/>
          <w:jc w:val="center"/>
        </w:trPr>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61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管理节点服务器</w:t>
            </w: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2U标准机架式服务器：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处理器：2.1GHZ 9.6GT/S 16C 100W*2；</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内存：32GB*8 DDR4，2666MT/s；</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硬盘：1TB Sata 盘*2，960G SSD*4</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网络：2×GE电口+2×10GE光口（含光模块）；</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RAID：提供raid0，1，10，2GB SAS 12Gb RAID卡，RAID卡电池套件*1</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61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数据节点服务器</w:t>
            </w: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2U标准机架式服务器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处理器： 2.1GHZ 9.6GT/S 16C 100W*2；</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内存：32GB*8 DDR4，2666MT/s；</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硬盘：1TB Sata 盘*2，4TB Sata盘*12</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网络：2×GE电口+2×10GE光口（含光模块）；</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RAID：提供raid0，1，10，2GB SAS 12Gb RAID卡，RAID卡电池套件*1</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61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数据智能检索服务器</w:t>
            </w: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2U标准机架式服务器：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处理器：2.1GHZ 9.6GT/S 16C 100W*2；</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内存：32GB*8 DDR4，2666MT/s；</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硬盘：1TB Sata 盘*2，960G SSD*7，4TB Sata盘</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网络：2×GE电口+2×10GE光口（含光模块）；</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 xml:space="preserve">RAID：提供raid0，1，10，2GB SAS 12Gb RAID卡，RAID卡电池套件*1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20" w:hRule="atLeast"/>
          <w:jc w:val="center"/>
        </w:trPr>
        <w:tc>
          <w:tcPr>
            <w:tcW w:w="78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6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云数据库一体机</w:t>
            </w: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2U4节点高密服务器| E5-2640*2*4节点|128GBDDR4*4节点|1TBSATA7200RPM2.5寸硬盘*4节点|2TB2.5寸Sata盘*4节点|480GBSSD2.5英寸硬盘*3*4节点|4千兆网口（RJ45接口）*4节点|1600W1+1钛金冗余电源。</w:t>
            </w:r>
          </w:p>
        </w:tc>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1020" w:hRule="atLeast"/>
          <w:jc w:val="center"/>
        </w:trPr>
        <w:tc>
          <w:tcPr>
            <w:tcW w:w="787"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数据接入源支持Mysql，Oracle，Postgresql，RabbitMQ，KA**A,SQLSERVER,MYSQLBINLOG；内部数据源支持hadoop，ka**a，elasticsearch；单采集任务支持重新采集，继续采集，指定偏移量开始采集；</w:t>
            </w:r>
          </w:p>
        </w:tc>
        <w:tc>
          <w:tcPr>
            <w:tcW w:w="709"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020" w:hRule="atLeast"/>
          <w:jc w:val="center"/>
        </w:trPr>
        <w:tc>
          <w:tcPr>
            <w:tcW w:w="787"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支持在hadoop，GreenPlum，Elasticsearch，Ka**a集群创建物理模型；支持存储量展示，支持压缩格式存储，支持数据血缘查看，支持分区设置，支持数据预览，支持查看操作记录；</w:t>
            </w:r>
          </w:p>
        </w:tc>
        <w:tc>
          <w:tcPr>
            <w:tcW w:w="709"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1020" w:hRule="atLeast"/>
          <w:jc w:val="center"/>
        </w:trPr>
        <w:tc>
          <w:tcPr>
            <w:tcW w:w="787"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支持数据源连接状态监控；支持采集任务根据入库量、异常量、积压量监控；支持源端表字段更新周期监控；</w:t>
            </w:r>
          </w:p>
        </w:tc>
        <w:tc>
          <w:tcPr>
            <w:tcW w:w="709"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针对实时流数据提供安全，可靠，可弹性扩展的数据传输平台，以消息流方式接入其他结构化数据；</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支持对接入的数据进行流量统计，包括正常入库数据和异常入库数据等；</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765"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数据查询服务是为上层服务提供统一REST接口，支持车辆、人像、Mac、RFID、交通业务的抓拍记录模糊查询、精确查询、关联查询；</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2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单机50亿数据，日增量3000万，1天内无车牌过滤做全量数据的频繁轨迹出现，平均响应时间3秒内，7天内指定车牌过滤平均响应时间5秒内，适应车辆等时空数据业务;更大数据采用集群扩容；</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102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rPr>
                <w:rFonts w:ascii="仿宋" w:hAnsi="仿宋" w:eastAsia="仿宋" w:cs="宋体"/>
                <w:color w:val="000000"/>
                <w:kern w:val="0"/>
                <w:sz w:val="24"/>
              </w:rPr>
            </w:pPr>
            <w:r>
              <w:rPr>
                <w:rFonts w:hint="eastAsia" w:ascii="仿宋" w:hAnsi="仿宋" w:eastAsia="仿宋" w:cs="宋体"/>
                <w:color w:val="000000"/>
                <w:kern w:val="0"/>
                <w:sz w:val="24"/>
              </w:rPr>
              <w:t>单机50亿数据，日增量3000万，1天内无车牌过滤做全量数据的频繁轨迹出现，平均响应时间3秒内，7天内指定车牌过滤平均响应时间5秒内，适应车辆等时空数据业务;更大数据采用集群扩容；</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单机50亿数据总量，日增量3000万，1天内无车牌过滤条件3000万与3000万进行全量碰撞，平均响应时间小于5秒。</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应用服务器</w:t>
            </w: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H320-G30 7151*1/16GB*4/2TB 3.5吋 7200转 6Gb SATA*2/SSD 240G*2/8千兆网口。</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数据对接服务器</w:t>
            </w: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H320-G30 7151*1/16GB*2/2TB 3.5吋 7200转 6Gb SATA*2/4千兆网口。</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台</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等保二级测评服务</w:t>
            </w:r>
          </w:p>
        </w:tc>
        <w:tc>
          <w:tcPr>
            <w:tcW w:w="552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提供一次等保二级测评服务</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次</w:t>
            </w:r>
          </w:p>
        </w:tc>
        <w:tc>
          <w:tcPr>
            <w:tcW w:w="709"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jc w:val="center"/>
        </w:trPr>
        <w:tc>
          <w:tcPr>
            <w:tcW w:w="93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2、软件部分</w:t>
            </w:r>
          </w:p>
        </w:tc>
      </w:tr>
      <w:tr>
        <w:tblPrEx>
          <w:tblCellMar>
            <w:top w:w="0" w:type="dxa"/>
            <w:left w:w="108" w:type="dxa"/>
            <w:bottom w:w="0" w:type="dxa"/>
            <w:right w:w="108" w:type="dxa"/>
          </w:tblCellMar>
        </w:tblPrEx>
        <w:trPr>
          <w:trHeight w:val="10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路网导入</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通过使用自研的小工具可自动批量获取并导出区域内的路口和路段信息及路口渠化图片。支持在路口配置平台导入路口路段数据及渠化图片，批量生成路口，辅助用户后续进行路口渠化配置。导入成功后，界面打点显示导入后的路口。</w:t>
            </w:r>
          </w:p>
        </w:tc>
      </w:tr>
      <w:tr>
        <w:tblPrEx>
          <w:tblCellMar>
            <w:top w:w="0" w:type="dxa"/>
            <w:left w:w="108" w:type="dxa"/>
            <w:bottom w:w="0" w:type="dxa"/>
            <w:right w:w="108" w:type="dxa"/>
          </w:tblCellMar>
        </w:tblPrEx>
        <w:trPr>
          <w:trHeight w:val="27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618" w:type="dxa"/>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路口展示</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展示渲染所有路口的位置信息，用不同样式区分已配置路口和未配置路口，支持根据名称搜索路口、可以通过路口名称进行模糊搜索</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路口配置</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路口配置支持手动添加路口。通过在地图对应位置点击后，设置路口名称完成添加。支持移动路口位置，通过拖动路口图标完成位置移动。支持删除路口。</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路段展示</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展示渲染所有路段的位置信息，支持根据名称搜索路段、可以通过路段名称进行模糊搜索，道路名称的前后顺序不影响搜索的结果</w:t>
            </w:r>
          </w:p>
        </w:tc>
      </w:tr>
      <w:tr>
        <w:tblPrEx>
          <w:tblCellMar>
            <w:top w:w="0" w:type="dxa"/>
            <w:left w:w="108" w:type="dxa"/>
            <w:bottom w:w="0" w:type="dxa"/>
            <w:right w:w="108" w:type="dxa"/>
          </w:tblCellMar>
        </w:tblPrEx>
        <w:trPr>
          <w:trHeight w:val="10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设备绑定</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设备绑定主要是完成路口与设备关系之间的挂载，将不同类型的设备绑定至路口方向，并将视频车道号与路口的车道编号进行一一对应。绑定的设备类型包括：电警、卡口、视频监控（球机、全景等）</w:t>
            </w:r>
          </w:p>
        </w:tc>
      </w:tr>
      <w:tr>
        <w:tblPrEx>
          <w:tblCellMar>
            <w:top w:w="0" w:type="dxa"/>
            <w:left w:w="108" w:type="dxa"/>
            <w:bottom w:w="0" w:type="dxa"/>
            <w:right w:w="108" w:type="dxa"/>
          </w:tblCellMar>
        </w:tblPrEx>
        <w:trPr>
          <w:trHeight w:val="10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道路档案</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道路档案管理，支持基础道路档案信息管理，包含名称、经纬度等信息，同时支持关联道路事故数据、警情数据、违法数据、过车信息数据，支持关联信息查询。可以用于基础数据的查询，以及模型构建的数据关联。</w:t>
            </w:r>
          </w:p>
        </w:tc>
      </w:tr>
      <w:tr>
        <w:tblPrEx>
          <w:tblCellMar>
            <w:top w:w="0" w:type="dxa"/>
            <w:left w:w="108" w:type="dxa"/>
            <w:bottom w:w="0" w:type="dxa"/>
            <w:right w:w="108" w:type="dxa"/>
          </w:tblCellMar>
        </w:tblPrEx>
        <w:trPr>
          <w:trHeight w:val="127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事故分析</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选定时间段范围后,可以将各乡镇街道在时间、事故后果、道路等级道路名称、道路类型、车辆类型、是否逃逸、是否单方、处理方式、事故中违法行为、处理民警全部分析数据 (相关要求可以自行选择)。反之亦然。系统可以根据需要形成柱状图、饼状图等。</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拥堵指标研判</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根据拥堵风险积分，将路段的拥堵风险分为三个等级，分别为：拥堵持续或加剧、拥堵消散、无拥堵风险。帮助交警快速定位高拥堵风险区域</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事故指标研判</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事故是评价道路隐患信息的重要的指标，定时获取全区所有交通事故数据以及警情打标数据，根据所属的道路数据以及警情打标时的关联道路信息，统计每条路的事故和警情警情</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违法指标研判</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定时获取全区所有的违法数据，根据违法位置，关联到路段，实现道路违法行为的统计，统计按照违法行为严重程度进行分析。</w:t>
            </w:r>
          </w:p>
        </w:tc>
      </w:tr>
      <w:tr>
        <w:tblPrEx>
          <w:tblCellMar>
            <w:top w:w="0" w:type="dxa"/>
            <w:left w:w="108" w:type="dxa"/>
            <w:bottom w:w="0" w:type="dxa"/>
            <w:right w:w="108" w:type="dxa"/>
          </w:tblCellMar>
        </w:tblPrEx>
        <w:trPr>
          <w:trHeight w:val="10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过车类型指标研判</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定时获取过车记录、GPS数据、二次分析记录，分析道路日常过车量，车辆类型的分类，统计过车组成情况，根据千车危化品车辆占比、千车工程车占比、千车大货车占比、过车总量等维度进行统计，按照重点车辆的占比维度进行积分</w:t>
            </w:r>
          </w:p>
        </w:tc>
      </w:tr>
      <w:tr>
        <w:tblPrEx>
          <w:tblCellMar>
            <w:top w:w="0" w:type="dxa"/>
            <w:left w:w="108" w:type="dxa"/>
            <w:bottom w:w="0" w:type="dxa"/>
            <w:right w:w="108" w:type="dxa"/>
          </w:tblCellMar>
        </w:tblPrEx>
        <w:trPr>
          <w:trHeight w:val="102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数据综合研判</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根据事故态势、拥堵态势、过车态势、违法态势设置不同权重，对每一个路段进行积分。发生重大事故情况后，按照预设的重大事故规则，可以获取相同道路周边范围内的数据情况，动态获取重大事故道路态势情况，用作实时数据研判。</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警情定位</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实现警情标注和上图。通过点击获取坐标按钮与地图上定位点的结合获取要确定警情位置的坐标,并最终确认该位置后，该位置即被记录为该警情的精确位置。</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周边查询</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以警情标注位置为中心，显示一定范围内的视频信息、巡防警力和处警警力的位置分布、运行状态和属性信息，为就近指派警力、监控发案现场和应急资源调度提供可视化依据。</w:t>
            </w:r>
          </w:p>
        </w:tc>
      </w:tr>
      <w:tr>
        <w:tblPrEx>
          <w:tblCellMar>
            <w:top w:w="0" w:type="dxa"/>
            <w:left w:w="108" w:type="dxa"/>
            <w:bottom w:w="0" w:type="dxa"/>
            <w:right w:w="108" w:type="dxa"/>
          </w:tblCellMar>
        </w:tblPrEx>
        <w:trPr>
          <w:trHeight w:val="153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图层管理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实现对110接处警平台无缝连接。将交通事故报警自动导入三色预警分析系统,主要为接处警单号、事故报警时间、报警电话、事故地点、警情内容、经纬度数据等。将所有交通事故警情上电子地图。根据导入分析系统内的接处警单号点击后,出现图层,根据经纬度数据直接在图层上找到事故地点,可以对经纬度进行二次修订。</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事故标注</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对接杭州市局平台，实现事故标注数据自动获取，与系统检测的拥堵数据进行匹配，对数据标注功能实现补充。</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总体态势呈现</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根据数据综合研判模块数据结果，按照三色（红黄绿）进行三色地图渲染呈现，一张图道路综合态势呈现，重点隐患道路呈现。</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单道路时段态势</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按照单道路研判数据，对每条路按照24小时刻度进行三色渲染，用于掌握单道路态势趋势。</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派单配置</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支持配置流程派单的部门审批岗人员和部门处理岗人员，每个岗位人员最多3个。部门审批岗为处理发起人所在部门发起的派单，部门处理岗为处理其他部门发来的派单。</w:t>
            </w:r>
          </w:p>
        </w:tc>
      </w:tr>
      <w:tr>
        <w:tblPrEx>
          <w:tblCellMar>
            <w:top w:w="0" w:type="dxa"/>
            <w:left w:w="108" w:type="dxa"/>
            <w:bottom w:w="0" w:type="dxa"/>
            <w:right w:w="108" w:type="dxa"/>
          </w:tblCellMar>
        </w:tblPrEx>
        <w:trPr>
          <w:trHeight w:val="699"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任务管理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接收系统平台发布给单位任务，单位值守人员需要对任务进行二次下发现场人员进行处理反馈，当人员反常完成并被判定合格后，人员处理任务的积分同时记录给完成人员，以及完成人员所属单位。系统在设定的时间点对个人和单位进行统计积分，以及是否及时反馈处理等情况。</w:t>
            </w:r>
          </w:p>
        </w:tc>
      </w:tr>
      <w:tr>
        <w:tblPrEx>
          <w:tblCellMar>
            <w:top w:w="0" w:type="dxa"/>
            <w:left w:w="108" w:type="dxa"/>
            <w:bottom w:w="0" w:type="dxa"/>
            <w:right w:w="108" w:type="dxa"/>
          </w:tblCellMar>
        </w:tblPrEx>
        <w:trPr>
          <w:trHeight w:val="153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618" w:type="dxa"/>
            <w:tcBorders>
              <w:top w:val="nil"/>
              <w:left w:val="nil"/>
              <w:bottom w:val="single" w:color="auto" w:sz="4" w:space="0"/>
              <w:right w:val="single" w:color="auto" w:sz="4" w:space="0"/>
            </w:tcBorders>
            <w:shd w:val="clear" w:color="auto" w:fill="auto"/>
            <w:noWrap/>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派单发起</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户点击新增发起派单，派单内容主要包括任务类型、任务标题、紧急程度、任务要求、任务详细内容（明确治理路段）、任务开始时间、任务结束时间、责任单位。需要经过本部门的审核岗位人员（可设置三个人，任一审批）审批，通过后将流转到责任部门的处理岗位人员进行处理，可以直接反馈，也可以向下流转（最多末级节点）</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派单状态</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根据派单列表，能对我发起、我待办、我已办的任务进行查询，可查看任务流转状态，包括未派发、派发、接受、任务进行中、反馈、结束、召回。</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派单统计</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系统支持查询发起单位的单据统计信息，主要的查询条件有发起单位、派单类型、开始时间、结束时间。</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采集首页</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显示采集任务总数和运行状态统计，数据源状态，采集量趋势图，脏数据近一个月排行，异常报警信息</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数据源管理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用于管理不同类型的数据源信息，包括关系型数据，非关系型数据库，消息队列等，支持数据源的新增，编辑，删除，发布</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采集管理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用于将外部数据采集到本地，支持全量和增量接入，可查看累计接入数据量，接入趋势查看以及接入日志等信息。支持采集任务的新增，编辑，删除，启动，停止，暂停，</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采集运维管理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对数据源状态监控，采集任务监控，源端表监控的配置，编辑，删除，启动，停止操作，支持报警，日志信息查询</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数据组织首页</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对元数据信息，数据字典信息，逻辑模型信息进行统计</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数据字典管理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用于数据字典的标准化定义，包括数据字典目录管理，数据字典管理，发布管理，数据字典导入，导入记录查询功能</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数据资产首页</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支持数据标签统计，可配置</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61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数据资源目录</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将平台中的数据资源通过编目方式形成数据资产，支持数据资源的注册，编辑，启用，停用，注销等生命周期操作，</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支持选取数据项，关联数据元，查询配置条件，字段分配配置数据资产的详细配置设置</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数据资源来源管理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用于数据资源来源类型的新增，编辑，删除，导入，导出</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数据资源标签管理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用于数据资源标签的新增，编辑，删除，导入，导出</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任务同步管理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数据资产发布时，将数据同步到服务端，支持同步任务的启用，停止，信息查看，日志查看</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服务器管理</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提供服务器的新增，管理，删除编辑功能</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告警通知</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提供告警通知的管理，新增等功能</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服务器状态</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提供集成页面，显示服务器状态（网络连通性，各项性能等功能）</w:t>
            </w:r>
          </w:p>
        </w:tc>
      </w:tr>
      <w:tr>
        <w:tblPrEx>
          <w:tblCellMar>
            <w:top w:w="0" w:type="dxa"/>
            <w:left w:w="108" w:type="dxa"/>
            <w:bottom w:w="0" w:type="dxa"/>
            <w:right w:w="108" w:type="dxa"/>
          </w:tblCellMar>
        </w:tblPrEx>
        <w:trPr>
          <w:trHeight w:val="76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数据运维首页</w:t>
            </w:r>
          </w:p>
        </w:tc>
        <w:tc>
          <w:tcPr>
            <w:tcW w:w="6946" w:type="dxa"/>
            <w:gridSpan w:val="3"/>
            <w:tcBorders>
              <w:top w:val="nil"/>
              <w:left w:val="nil"/>
              <w:bottom w:val="single" w:color="auto" w:sz="4" w:space="0"/>
              <w:right w:val="single" w:color="auto" w:sz="4" w:space="0"/>
            </w:tcBorders>
            <w:shd w:val="clear" w:color="000000" w:fill="FFFFFF"/>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展示任务概览，节点类型统计，任务运行情况展示，任务触发总数趋势，业务流执行时长排行，近7天业务流出错排行，近24小时业务执行失败情况，业务流快照异常耗时排行等展示</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161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数据开发运维</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离线开发运维支持业务流程开始调度，停止调度，手动执行，支持日志清理，支持快照查看，执行</w:t>
            </w:r>
          </w:p>
        </w:tc>
      </w:tr>
      <w:tr>
        <w:tblPrEx>
          <w:tblCellMar>
            <w:top w:w="0" w:type="dxa"/>
            <w:left w:w="108" w:type="dxa"/>
            <w:bottom w:w="0" w:type="dxa"/>
            <w:right w:w="108" w:type="dxa"/>
          </w:tblCellMar>
        </w:tblPrEx>
        <w:trPr>
          <w:trHeight w:val="51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1618" w:type="dxa"/>
            <w:vMerge w:val="continue"/>
            <w:tcBorders>
              <w:top w:val="nil"/>
              <w:left w:val="single" w:color="auto" w:sz="4" w:space="0"/>
              <w:bottom w:val="single" w:color="auto" w:sz="4" w:space="0"/>
              <w:right w:val="single" w:color="auto" w:sz="4" w:space="0"/>
            </w:tcBorders>
            <w:vAlign w:val="center"/>
          </w:tcPr>
          <w:p>
            <w:pPr>
              <w:widowControl/>
              <w:adjustRightInd/>
              <w:jc w:val="left"/>
              <w:rPr>
                <w:rFonts w:ascii="仿宋" w:hAnsi="仿宋" w:eastAsia="仿宋" w:cs="宋体"/>
                <w:color w:val="000000"/>
                <w:kern w:val="0"/>
                <w:sz w:val="24"/>
              </w:rPr>
            </w:pP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实时开发运维支持调度任务的状态监控，以及原生组件的运维界面</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任务管理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支持周期表达式的执行详情，规则，日志查看</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安全审计</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支持操作日志记录，查询导出等功能</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用户管理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支持服务资源新增，编辑，启用，停用，撤销</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组织机构维护</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支持服务授权新增，编辑，验证，删除，详情查看</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角色管理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支持角色管理</w:t>
            </w:r>
          </w:p>
        </w:tc>
      </w:tr>
      <w:tr>
        <w:tblPrEx>
          <w:tblCellMar>
            <w:top w:w="0" w:type="dxa"/>
            <w:left w:w="108" w:type="dxa"/>
            <w:bottom w:w="0" w:type="dxa"/>
            <w:right w:w="108" w:type="dxa"/>
          </w:tblCellMar>
        </w:tblPrEx>
        <w:trPr>
          <w:trHeight w:val="285"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pPr>
              <w:widowControl/>
              <w:adjustRightInd/>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1618" w:type="dxa"/>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权限管理</w:t>
            </w:r>
          </w:p>
        </w:tc>
        <w:tc>
          <w:tcPr>
            <w:tcW w:w="6946" w:type="dxa"/>
            <w:gridSpan w:val="3"/>
            <w:tcBorders>
              <w:top w:val="nil"/>
              <w:left w:val="nil"/>
              <w:bottom w:val="single" w:color="auto" w:sz="4" w:space="0"/>
              <w:right w:val="single" w:color="auto" w:sz="4" w:space="0"/>
            </w:tcBorders>
            <w:shd w:val="clear" w:color="auto" w:fill="auto"/>
            <w:vAlign w:val="center"/>
          </w:tcPr>
          <w:p>
            <w:pPr>
              <w:widowControl/>
              <w:adjustRightInd/>
              <w:jc w:val="left"/>
              <w:rPr>
                <w:rFonts w:ascii="仿宋" w:hAnsi="仿宋" w:eastAsia="仿宋" w:cs="宋体"/>
                <w:color w:val="000000"/>
                <w:kern w:val="0"/>
                <w:sz w:val="24"/>
              </w:rPr>
            </w:pPr>
            <w:r>
              <w:rPr>
                <w:rFonts w:hint="eastAsia" w:ascii="仿宋" w:hAnsi="仿宋" w:eastAsia="仿宋" w:cs="宋体"/>
                <w:color w:val="000000"/>
                <w:kern w:val="0"/>
                <w:sz w:val="24"/>
              </w:rPr>
              <w:t>支持权限管理</w:t>
            </w:r>
          </w:p>
        </w:tc>
      </w:tr>
    </w:tbl>
    <w:p>
      <w:pPr>
        <w:autoSpaceDE w:val="0"/>
        <w:autoSpaceDN w:val="0"/>
        <w:adjustRightInd w:val="0"/>
        <w:spacing w:line="360" w:lineRule="auto"/>
        <w:rPr>
          <w:rFonts w:hint="eastAsia" w:ascii="仿宋_GB2312" w:hAnsi="仿宋" w:eastAsia="仿宋_GB2312" w:cs="Arial"/>
          <w:kern w:val="0"/>
          <w:sz w:val="24"/>
        </w:rPr>
      </w:pPr>
    </w:p>
    <w:p>
      <w:pPr>
        <w:widowControl/>
        <w:jc w:val="center"/>
        <w:rPr>
          <w:rFonts w:ascii="仿宋_GB2312" w:hAnsi="仿宋" w:eastAsia="仿宋_GB2312" w:cs="仿宋_GB2312"/>
          <w:b/>
          <w:sz w:val="36"/>
          <w:szCs w:val="36"/>
        </w:rPr>
      </w:pPr>
      <w:r>
        <w:rPr>
          <w:rFonts w:ascii="仿宋_GB2312" w:hAnsi="仿宋" w:eastAsia="仿宋_GB2312" w:cs="仿宋_GB2312"/>
          <w:b/>
          <w:sz w:val="36"/>
          <w:szCs w:val="36"/>
        </w:rPr>
        <w:br w:type="page"/>
      </w:r>
      <w:r>
        <w:rPr>
          <w:rFonts w:hint="eastAsia" w:ascii="仿宋_GB2312" w:hAnsi="仿宋" w:eastAsia="仿宋_GB2312" w:cs="仿宋_GB2312"/>
          <w:b/>
          <w:sz w:val="36"/>
          <w:szCs w:val="36"/>
        </w:rPr>
        <w:t xml:space="preserve">第四部分   </w:t>
      </w:r>
      <w:bookmarkStart w:id="80" w:name="_Toc184310326"/>
      <w:bookmarkEnd w:id="80"/>
      <w:bookmarkStart w:id="81" w:name="_Toc184314423"/>
      <w:bookmarkEnd w:id="81"/>
      <w:bookmarkStart w:id="82" w:name="_Toc184310300"/>
      <w:bookmarkEnd w:id="82"/>
      <w:bookmarkStart w:id="83" w:name="_Toc184308059"/>
      <w:bookmarkEnd w:id="83"/>
      <w:bookmarkStart w:id="84" w:name="_Toc184310339"/>
      <w:bookmarkEnd w:id="84"/>
      <w:bookmarkStart w:id="85" w:name="_Toc184313289"/>
      <w:bookmarkEnd w:id="85"/>
      <w:bookmarkStart w:id="86" w:name="_Toc184308041"/>
      <w:bookmarkEnd w:id="86"/>
      <w:bookmarkStart w:id="87" w:name="_Toc184308101"/>
      <w:bookmarkEnd w:id="87"/>
      <w:bookmarkStart w:id="88" w:name="_Toc184312111"/>
      <w:bookmarkEnd w:id="88"/>
      <w:bookmarkStart w:id="89" w:name="_Toc184308040"/>
      <w:bookmarkEnd w:id="89"/>
      <w:bookmarkStart w:id="90" w:name="_Toc184313248"/>
      <w:bookmarkEnd w:id="90"/>
      <w:bookmarkStart w:id="91" w:name="_Toc184313241"/>
      <w:bookmarkEnd w:id="91"/>
      <w:bookmarkStart w:id="92" w:name="_Toc184308098"/>
      <w:bookmarkEnd w:id="92"/>
      <w:bookmarkStart w:id="93" w:name="_Toc184314447"/>
      <w:bookmarkEnd w:id="93"/>
      <w:bookmarkStart w:id="94" w:name="_Toc184312072"/>
      <w:bookmarkEnd w:id="94"/>
      <w:bookmarkStart w:id="95" w:name="_Toc184313298"/>
      <w:bookmarkEnd w:id="95"/>
      <w:bookmarkStart w:id="96" w:name="_Toc184308075"/>
      <w:bookmarkEnd w:id="96"/>
      <w:bookmarkStart w:id="97" w:name="_Toc184310278"/>
      <w:bookmarkEnd w:id="97"/>
      <w:bookmarkStart w:id="98" w:name="_Toc184308095"/>
      <w:bookmarkEnd w:id="98"/>
      <w:bookmarkStart w:id="99" w:name="_Toc184312131"/>
      <w:bookmarkEnd w:id="99"/>
      <w:bookmarkStart w:id="100" w:name="_Toc184314442"/>
      <w:bookmarkEnd w:id="100"/>
      <w:bookmarkStart w:id="101" w:name="_Toc184310301"/>
      <w:bookmarkEnd w:id="101"/>
      <w:bookmarkStart w:id="102" w:name="_Toc184314449"/>
      <w:bookmarkEnd w:id="102"/>
      <w:bookmarkStart w:id="103" w:name="_Toc184314414"/>
      <w:bookmarkEnd w:id="103"/>
      <w:bookmarkStart w:id="104" w:name="_Toc184313254"/>
      <w:bookmarkEnd w:id="104"/>
      <w:bookmarkStart w:id="105" w:name="_Toc184314418"/>
      <w:bookmarkEnd w:id="105"/>
      <w:bookmarkStart w:id="106" w:name="_Toc184310312"/>
      <w:bookmarkEnd w:id="106"/>
      <w:bookmarkStart w:id="107" w:name="_Toc184308042"/>
      <w:bookmarkEnd w:id="107"/>
      <w:bookmarkStart w:id="108" w:name="_Toc184310329"/>
      <w:bookmarkEnd w:id="108"/>
      <w:bookmarkStart w:id="109" w:name="_Toc184308089"/>
      <w:bookmarkEnd w:id="109"/>
      <w:bookmarkStart w:id="110" w:name="_Toc184312076"/>
      <w:bookmarkEnd w:id="110"/>
      <w:bookmarkStart w:id="111" w:name="_Toc184313264"/>
      <w:bookmarkEnd w:id="111"/>
      <w:bookmarkStart w:id="112" w:name="_Toc184313284"/>
      <w:bookmarkEnd w:id="112"/>
      <w:bookmarkStart w:id="113" w:name="_Toc184308079"/>
      <w:bookmarkEnd w:id="113"/>
      <w:bookmarkStart w:id="114" w:name="_Toc184313266"/>
      <w:bookmarkEnd w:id="114"/>
      <w:bookmarkStart w:id="115" w:name="_Toc184314458"/>
      <w:bookmarkEnd w:id="115"/>
      <w:bookmarkStart w:id="116" w:name="_Toc184313279"/>
      <w:bookmarkEnd w:id="116"/>
      <w:bookmarkStart w:id="117" w:name="_Toc184314460"/>
      <w:bookmarkEnd w:id="117"/>
      <w:bookmarkStart w:id="118" w:name="_Toc184310275"/>
      <w:bookmarkEnd w:id="118"/>
      <w:bookmarkStart w:id="119" w:name="_Toc184312088"/>
      <w:bookmarkEnd w:id="119"/>
      <w:bookmarkStart w:id="120" w:name="_Toc184313292"/>
      <w:bookmarkEnd w:id="120"/>
      <w:bookmarkStart w:id="121" w:name="_Toc184312124"/>
      <w:bookmarkEnd w:id="121"/>
      <w:bookmarkStart w:id="122" w:name="_Toc184308073"/>
      <w:bookmarkEnd w:id="122"/>
      <w:bookmarkStart w:id="123" w:name="_Toc184310319"/>
      <w:bookmarkEnd w:id="123"/>
      <w:bookmarkStart w:id="124" w:name="_Toc184308082"/>
      <w:bookmarkEnd w:id="124"/>
      <w:bookmarkStart w:id="125" w:name="_Toc184313246"/>
      <w:bookmarkEnd w:id="125"/>
      <w:bookmarkStart w:id="126" w:name="_Toc184308057"/>
      <w:bookmarkEnd w:id="126"/>
      <w:bookmarkStart w:id="127" w:name="_Toc184310330"/>
      <w:bookmarkEnd w:id="127"/>
      <w:bookmarkStart w:id="128" w:name="_Toc184310318"/>
      <w:bookmarkEnd w:id="128"/>
      <w:bookmarkStart w:id="129" w:name="_Toc184313268"/>
      <w:bookmarkEnd w:id="129"/>
      <w:bookmarkStart w:id="130" w:name="_Toc184314433"/>
      <w:bookmarkEnd w:id="130"/>
      <w:bookmarkStart w:id="131" w:name="_Toc184312121"/>
      <w:bookmarkEnd w:id="131"/>
      <w:bookmarkStart w:id="132" w:name="_Toc184314445"/>
      <w:bookmarkEnd w:id="132"/>
      <w:bookmarkStart w:id="133" w:name="_Toc184308103"/>
      <w:bookmarkEnd w:id="133"/>
      <w:bookmarkStart w:id="134" w:name="_Toc184310299"/>
      <w:bookmarkEnd w:id="134"/>
      <w:bookmarkStart w:id="135" w:name="_Toc184314439"/>
      <w:bookmarkEnd w:id="135"/>
      <w:bookmarkStart w:id="136" w:name="_Toc184312112"/>
      <w:bookmarkEnd w:id="136"/>
      <w:bookmarkStart w:id="137" w:name="_Toc184313299"/>
      <w:bookmarkEnd w:id="137"/>
      <w:bookmarkStart w:id="138" w:name="_Toc184313263"/>
      <w:bookmarkEnd w:id="138"/>
      <w:bookmarkStart w:id="139" w:name="_Toc184313291"/>
      <w:bookmarkEnd w:id="139"/>
      <w:bookmarkStart w:id="140" w:name="_Toc184312126"/>
      <w:bookmarkEnd w:id="140"/>
      <w:bookmarkStart w:id="141" w:name="_Toc184313269"/>
      <w:bookmarkEnd w:id="141"/>
      <w:bookmarkStart w:id="142" w:name="_Toc184314461"/>
      <w:bookmarkEnd w:id="142"/>
      <w:bookmarkStart w:id="143" w:name="_Toc184313239"/>
      <w:bookmarkEnd w:id="143"/>
      <w:bookmarkStart w:id="144" w:name="_Toc184313257"/>
      <w:bookmarkEnd w:id="144"/>
      <w:bookmarkStart w:id="145" w:name="_Toc184313261"/>
      <w:bookmarkEnd w:id="145"/>
      <w:bookmarkStart w:id="146" w:name="_Toc184310289"/>
      <w:bookmarkEnd w:id="146"/>
      <w:bookmarkStart w:id="147" w:name="_Toc184312107"/>
      <w:bookmarkEnd w:id="147"/>
      <w:bookmarkStart w:id="148" w:name="_Toc184314452"/>
      <w:bookmarkEnd w:id="148"/>
      <w:bookmarkStart w:id="149" w:name="_Toc184308044"/>
      <w:bookmarkEnd w:id="149"/>
      <w:bookmarkStart w:id="150" w:name="_Toc184313297"/>
      <w:bookmarkEnd w:id="150"/>
      <w:bookmarkStart w:id="151" w:name="_Toc184313262"/>
      <w:bookmarkEnd w:id="151"/>
      <w:bookmarkStart w:id="152" w:name="_Toc184314438"/>
      <w:bookmarkEnd w:id="152"/>
      <w:bookmarkStart w:id="153" w:name="_Toc184313272"/>
      <w:bookmarkEnd w:id="153"/>
      <w:bookmarkStart w:id="154" w:name="_Toc184314431"/>
      <w:bookmarkEnd w:id="154"/>
      <w:bookmarkStart w:id="155" w:name="_Toc184310279"/>
      <w:bookmarkEnd w:id="155"/>
      <w:bookmarkStart w:id="156" w:name="_Toc184313300"/>
      <w:bookmarkEnd w:id="156"/>
      <w:bookmarkStart w:id="157" w:name="_Toc184310307"/>
      <w:bookmarkEnd w:id="157"/>
      <w:bookmarkStart w:id="158" w:name="_Toc184310332"/>
      <w:bookmarkEnd w:id="158"/>
      <w:bookmarkStart w:id="159" w:name="_Toc184308067"/>
      <w:bookmarkEnd w:id="159"/>
      <w:bookmarkStart w:id="160" w:name="_Toc184314432"/>
      <w:bookmarkEnd w:id="160"/>
      <w:bookmarkStart w:id="161" w:name="_Toc184308096"/>
      <w:bookmarkEnd w:id="161"/>
      <w:bookmarkStart w:id="162" w:name="_Toc184314443"/>
      <w:bookmarkEnd w:id="162"/>
      <w:bookmarkStart w:id="163" w:name="_Toc184313249"/>
      <w:bookmarkEnd w:id="163"/>
      <w:bookmarkStart w:id="164" w:name="_Toc184310280"/>
      <w:bookmarkEnd w:id="164"/>
      <w:bookmarkStart w:id="165" w:name="_Toc184312068"/>
      <w:bookmarkEnd w:id="165"/>
      <w:bookmarkStart w:id="166" w:name="_Toc184313253"/>
      <w:bookmarkEnd w:id="166"/>
      <w:bookmarkStart w:id="167" w:name="_Toc184312099"/>
      <w:bookmarkEnd w:id="167"/>
      <w:bookmarkStart w:id="168" w:name="_Toc184313259"/>
      <w:bookmarkEnd w:id="168"/>
      <w:bookmarkStart w:id="169" w:name="_Toc184308052"/>
      <w:bookmarkEnd w:id="169"/>
      <w:bookmarkStart w:id="170" w:name="_Toc184312120"/>
      <w:bookmarkEnd w:id="170"/>
      <w:bookmarkStart w:id="171" w:name="_Toc184314444"/>
      <w:bookmarkEnd w:id="171"/>
      <w:bookmarkStart w:id="172" w:name="_Toc184313307"/>
      <w:bookmarkEnd w:id="172"/>
      <w:bookmarkStart w:id="173" w:name="_Toc184308054"/>
      <w:bookmarkEnd w:id="173"/>
      <w:bookmarkStart w:id="174" w:name="_Toc184312093"/>
      <w:bookmarkEnd w:id="174"/>
      <w:bookmarkStart w:id="175" w:name="_Toc184312077"/>
      <w:bookmarkEnd w:id="175"/>
      <w:bookmarkStart w:id="176" w:name="_Toc184312078"/>
      <w:bookmarkEnd w:id="176"/>
      <w:bookmarkStart w:id="177" w:name="_Toc184308081"/>
      <w:bookmarkEnd w:id="177"/>
      <w:bookmarkStart w:id="178" w:name="_Toc184308066"/>
      <w:bookmarkEnd w:id="178"/>
      <w:bookmarkStart w:id="179" w:name="_Toc184312087"/>
      <w:bookmarkEnd w:id="179"/>
      <w:bookmarkStart w:id="180" w:name="_Toc184308049"/>
      <w:bookmarkEnd w:id="180"/>
      <w:bookmarkStart w:id="181" w:name="_Toc184308108"/>
      <w:bookmarkEnd w:id="181"/>
      <w:bookmarkStart w:id="182" w:name="_Toc184308099"/>
      <w:bookmarkEnd w:id="182"/>
      <w:bookmarkStart w:id="183" w:name="_Toc184312096"/>
      <w:bookmarkEnd w:id="183"/>
      <w:bookmarkStart w:id="184" w:name="_Toc184310342"/>
      <w:bookmarkEnd w:id="184"/>
      <w:bookmarkStart w:id="185" w:name="_Toc184314459"/>
      <w:bookmarkEnd w:id="185"/>
      <w:bookmarkStart w:id="186" w:name="_Toc184310328"/>
      <w:bookmarkEnd w:id="186"/>
      <w:bookmarkStart w:id="187" w:name="_Toc184314425"/>
      <w:bookmarkEnd w:id="187"/>
      <w:bookmarkStart w:id="188" w:name="_Toc184310283"/>
      <w:bookmarkEnd w:id="188"/>
      <w:bookmarkStart w:id="189" w:name="_Toc184308088"/>
      <w:bookmarkEnd w:id="189"/>
      <w:bookmarkStart w:id="190" w:name="_Toc184314466"/>
      <w:bookmarkEnd w:id="190"/>
      <w:bookmarkStart w:id="191" w:name="_Toc184312115"/>
      <w:bookmarkEnd w:id="191"/>
      <w:bookmarkStart w:id="192" w:name="_Toc184308107"/>
      <w:bookmarkEnd w:id="192"/>
      <w:bookmarkStart w:id="193" w:name="_Toc184313242"/>
      <w:bookmarkEnd w:id="193"/>
      <w:bookmarkStart w:id="194" w:name="_Toc184313301"/>
      <w:bookmarkEnd w:id="194"/>
      <w:bookmarkStart w:id="195" w:name="_Toc184313306"/>
      <w:bookmarkEnd w:id="195"/>
      <w:bookmarkStart w:id="196" w:name="_Toc184314481"/>
      <w:bookmarkEnd w:id="196"/>
      <w:bookmarkStart w:id="197" w:name="_Toc184314441"/>
      <w:bookmarkEnd w:id="197"/>
      <w:bookmarkStart w:id="198" w:name="_Toc184314434"/>
      <w:bookmarkEnd w:id="198"/>
      <w:bookmarkStart w:id="199" w:name="_Toc184313258"/>
      <w:bookmarkEnd w:id="199"/>
      <w:bookmarkStart w:id="200" w:name="_Toc184310291"/>
      <w:bookmarkEnd w:id="200"/>
      <w:bookmarkStart w:id="201" w:name="_Toc184313285"/>
      <w:bookmarkEnd w:id="201"/>
      <w:bookmarkStart w:id="202" w:name="_Toc184310343"/>
      <w:bookmarkEnd w:id="202"/>
      <w:bookmarkStart w:id="203" w:name="_Toc184308060"/>
      <w:bookmarkEnd w:id="203"/>
      <w:bookmarkStart w:id="204" w:name="_Toc184313240"/>
      <w:bookmarkEnd w:id="204"/>
      <w:bookmarkStart w:id="205" w:name="_Toc184312134"/>
      <w:bookmarkEnd w:id="205"/>
      <w:bookmarkStart w:id="206" w:name="_Toc184314415"/>
      <w:bookmarkEnd w:id="206"/>
      <w:bookmarkStart w:id="207" w:name="_Toc184308038"/>
      <w:bookmarkEnd w:id="207"/>
      <w:bookmarkStart w:id="208" w:name="_Toc184314482"/>
      <w:bookmarkEnd w:id="208"/>
      <w:bookmarkStart w:id="209" w:name="_Toc184310281"/>
      <w:bookmarkEnd w:id="209"/>
      <w:bookmarkStart w:id="210" w:name="_Toc184308090"/>
      <w:bookmarkEnd w:id="210"/>
      <w:bookmarkStart w:id="211" w:name="_Toc184308091"/>
      <w:bookmarkEnd w:id="211"/>
      <w:bookmarkStart w:id="212" w:name="_Toc184308100"/>
      <w:bookmarkEnd w:id="212"/>
      <w:bookmarkStart w:id="213" w:name="_Toc184314469"/>
      <w:bookmarkEnd w:id="213"/>
      <w:bookmarkStart w:id="214" w:name="_Toc184314472"/>
      <w:bookmarkEnd w:id="214"/>
      <w:bookmarkStart w:id="215" w:name="_Toc184310315"/>
      <w:bookmarkEnd w:id="215"/>
      <w:bookmarkStart w:id="216" w:name="_Toc184313286"/>
      <w:bookmarkEnd w:id="216"/>
      <w:bookmarkStart w:id="217" w:name="_Toc184310274"/>
      <w:bookmarkEnd w:id="217"/>
      <w:bookmarkStart w:id="218" w:name="_Toc184308102"/>
      <w:bookmarkEnd w:id="218"/>
      <w:bookmarkStart w:id="219" w:name="_Toc184314421"/>
      <w:bookmarkEnd w:id="219"/>
      <w:bookmarkStart w:id="220" w:name="_Toc184308106"/>
      <w:bookmarkEnd w:id="220"/>
      <w:bookmarkStart w:id="221" w:name="_Toc184310337"/>
      <w:bookmarkEnd w:id="221"/>
      <w:bookmarkStart w:id="222" w:name="_Toc184314446"/>
      <w:bookmarkEnd w:id="222"/>
      <w:bookmarkStart w:id="223" w:name="_Toc184314467"/>
      <w:bookmarkEnd w:id="223"/>
      <w:bookmarkStart w:id="224" w:name="_Toc184314413"/>
      <w:bookmarkEnd w:id="224"/>
      <w:bookmarkStart w:id="225" w:name="_Toc184308071"/>
      <w:bookmarkEnd w:id="225"/>
      <w:bookmarkStart w:id="226" w:name="_Toc184314422"/>
      <w:bookmarkEnd w:id="226"/>
      <w:bookmarkStart w:id="227" w:name="_Toc184308048"/>
      <w:bookmarkEnd w:id="227"/>
      <w:bookmarkStart w:id="228" w:name="_Toc184312118"/>
      <w:bookmarkEnd w:id="228"/>
      <w:bookmarkStart w:id="229" w:name="_Toc184308064"/>
      <w:bookmarkEnd w:id="229"/>
      <w:bookmarkStart w:id="230" w:name="_Toc184312086"/>
      <w:bookmarkEnd w:id="230"/>
      <w:bookmarkStart w:id="231" w:name="_Toc184310295"/>
      <w:bookmarkEnd w:id="231"/>
      <w:bookmarkStart w:id="232" w:name="_Toc184310297"/>
      <w:bookmarkEnd w:id="232"/>
      <w:bookmarkStart w:id="233" w:name="_Toc184310282"/>
      <w:bookmarkEnd w:id="233"/>
      <w:bookmarkStart w:id="234" w:name="_Toc184314477"/>
      <w:bookmarkEnd w:id="234"/>
      <w:bookmarkStart w:id="235" w:name="_Toc184312092"/>
      <w:bookmarkEnd w:id="235"/>
      <w:bookmarkStart w:id="236" w:name="_Toc184313293"/>
      <w:bookmarkEnd w:id="236"/>
      <w:bookmarkStart w:id="237" w:name="_Toc184310341"/>
      <w:bookmarkEnd w:id="237"/>
      <w:bookmarkStart w:id="238" w:name="_Toc184312069"/>
      <w:bookmarkEnd w:id="238"/>
      <w:bookmarkStart w:id="239" w:name="_Toc184313304"/>
      <w:bookmarkEnd w:id="239"/>
      <w:bookmarkStart w:id="240" w:name="_Toc184313265"/>
      <w:bookmarkEnd w:id="240"/>
      <w:bookmarkStart w:id="241" w:name="_Toc184314420"/>
      <w:bookmarkEnd w:id="241"/>
      <w:bookmarkStart w:id="242" w:name="_Toc184313251"/>
      <w:bookmarkEnd w:id="242"/>
      <w:bookmarkStart w:id="243" w:name="_Toc184312138"/>
      <w:bookmarkEnd w:id="243"/>
      <w:bookmarkStart w:id="244" w:name="_Toc184314435"/>
      <w:bookmarkEnd w:id="244"/>
      <w:bookmarkStart w:id="245" w:name="_Toc184313255"/>
      <w:bookmarkEnd w:id="245"/>
      <w:bookmarkStart w:id="246" w:name="_Toc184312116"/>
      <w:bookmarkEnd w:id="246"/>
      <w:bookmarkStart w:id="247" w:name="_Toc184310308"/>
      <w:bookmarkEnd w:id="247"/>
      <w:bookmarkStart w:id="248" w:name="_Toc184308043"/>
      <w:bookmarkEnd w:id="248"/>
      <w:bookmarkStart w:id="249" w:name="_Toc184310336"/>
      <w:bookmarkEnd w:id="249"/>
      <w:bookmarkStart w:id="250" w:name="_Toc184314454"/>
      <w:bookmarkEnd w:id="250"/>
      <w:bookmarkStart w:id="251" w:name="_Toc184314412"/>
      <w:bookmarkEnd w:id="251"/>
      <w:bookmarkStart w:id="252" w:name="_Toc184308105"/>
      <w:bookmarkEnd w:id="252"/>
      <w:bookmarkStart w:id="253" w:name="_Toc184312129"/>
      <w:bookmarkEnd w:id="253"/>
      <w:bookmarkStart w:id="254" w:name="_Toc184313283"/>
      <w:bookmarkEnd w:id="254"/>
      <w:bookmarkStart w:id="255" w:name="_Toc184310317"/>
      <w:bookmarkEnd w:id="255"/>
      <w:bookmarkStart w:id="256" w:name="_Toc184312095"/>
      <w:bookmarkEnd w:id="256"/>
      <w:bookmarkStart w:id="257" w:name="_Toc184308037"/>
      <w:bookmarkEnd w:id="257"/>
      <w:bookmarkStart w:id="258" w:name="_Toc184310340"/>
      <w:bookmarkEnd w:id="258"/>
      <w:bookmarkStart w:id="259" w:name="_Toc184312089"/>
      <w:bookmarkEnd w:id="259"/>
      <w:bookmarkStart w:id="260" w:name="_Toc184310331"/>
      <w:bookmarkEnd w:id="260"/>
      <w:bookmarkStart w:id="261" w:name="_Toc184310309"/>
      <w:bookmarkEnd w:id="261"/>
      <w:bookmarkStart w:id="262" w:name="_Toc184314457"/>
      <w:bookmarkEnd w:id="262"/>
      <w:bookmarkStart w:id="263" w:name="_Toc184308076"/>
      <w:bookmarkEnd w:id="263"/>
      <w:bookmarkStart w:id="264" w:name="_Toc184308062"/>
      <w:bookmarkEnd w:id="264"/>
      <w:bookmarkStart w:id="265" w:name="_Toc184313250"/>
      <w:bookmarkEnd w:id="265"/>
      <w:bookmarkStart w:id="266" w:name="_Toc184310298"/>
      <w:bookmarkEnd w:id="266"/>
      <w:bookmarkStart w:id="267" w:name="_Toc184312100"/>
      <w:bookmarkEnd w:id="267"/>
      <w:bookmarkStart w:id="268" w:name="_Toc184312070"/>
      <w:bookmarkEnd w:id="268"/>
      <w:bookmarkStart w:id="269" w:name="_Toc184314456"/>
      <w:bookmarkEnd w:id="269"/>
      <w:bookmarkStart w:id="270" w:name="_Toc184314473"/>
      <w:bookmarkEnd w:id="270"/>
      <w:bookmarkStart w:id="271" w:name="_Toc184310287"/>
      <w:bookmarkEnd w:id="271"/>
      <w:bookmarkStart w:id="272" w:name="_Toc184310277"/>
      <w:bookmarkEnd w:id="272"/>
      <w:bookmarkStart w:id="273" w:name="_Toc184314437"/>
      <w:bookmarkEnd w:id="273"/>
      <w:bookmarkStart w:id="274" w:name="_Toc184313260"/>
      <w:bookmarkEnd w:id="274"/>
      <w:bookmarkStart w:id="275" w:name="_Toc184312084"/>
      <w:bookmarkEnd w:id="275"/>
      <w:bookmarkStart w:id="276" w:name="_Toc184312098"/>
      <w:bookmarkEnd w:id="276"/>
      <w:bookmarkStart w:id="277" w:name="_Toc184314453"/>
      <w:bookmarkEnd w:id="277"/>
      <w:bookmarkStart w:id="278" w:name="_Toc184308074"/>
      <w:bookmarkEnd w:id="278"/>
      <w:bookmarkStart w:id="279" w:name="_Toc184313295"/>
      <w:bookmarkEnd w:id="279"/>
      <w:bookmarkStart w:id="280" w:name="_Toc184312122"/>
      <w:bookmarkEnd w:id="280"/>
      <w:bookmarkStart w:id="281" w:name="_Toc184312110"/>
      <w:bookmarkEnd w:id="281"/>
      <w:bookmarkStart w:id="282" w:name="_Toc184314470"/>
      <w:bookmarkEnd w:id="282"/>
      <w:bookmarkStart w:id="283" w:name="_Toc184312130"/>
      <w:bookmarkEnd w:id="283"/>
      <w:bookmarkStart w:id="284" w:name="_Toc184313278"/>
      <w:bookmarkEnd w:id="284"/>
      <w:bookmarkStart w:id="285" w:name="_Toc184314419"/>
      <w:bookmarkEnd w:id="285"/>
      <w:bookmarkStart w:id="286" w:name="_Toc184312113"/>
      <w:bookmarkEnd w:id="286"/>
      <w:bookmarkStart w:id="287" w:name="_Toc184308046"/>
      <w:bookmarkEnd w:id="287"/>
      <w:bookmarkStart w:id="288" w:name="_Toc184314451"/>
      <w:bookmarkEnd w:id="288"/>
      <w:bookmarkStart w:id="289" w:name="_Toc184313244"/>
      <w:bookmarkEnd w:id="289"/>
      <w:bookmarkStart w:id="290" w:name="_Toc184314436"/>
      <w:bookmarkEnd w:id="290"/>
      <w:bookmarkStart w:id="291" w:name="_Toc184313282"/>
      <w:bookmarkEnd w:id="291"/>
      <w:bookmarkStart w:id="292" w:name="_Toc184310313"/>
      <w:bookmarkEnd w:id="292"/>
      <w:bookmarkStart w:id="293" w:name="_Toc184310285"/>
      <w:bookmarkEnd w:id="293"/>
      <w:bookmarkStart w:id="294" w:name="_Toc184308063"/>
      <w:bookmarkEnd w:id="294"/>
      <w:bookmarkStart w:id="295" w:name="_Toc184313267"/>
      <w:bookmarkEnd w:id="295"/>
      <w:bookmarkStart w:id="296" w:name="_Toc184314462"/>
      <w:bookmarkEnd w:id="296"/>
      <w:bookmarkStart w:id="297" w:name="_Toc184314465"/>
      <w:bookmarkEnd w:id="297"/>
      <w:bookmarkStart w:id="298" w:name="_Toc184308036"/>
      <w:bookmarkEnd w:id="298"/>
      <w:bookmarkStart w:id="299" w:name="_Toc184312073"/>
      <w:bookmarkEnd w:id="299"/>
      <w:bookmarkStart w:id="300" w:name="_Toc184308051"/>
      <w:bookmarkEnd w:id="300"/>
      <w:bookmarkStart w:id="301" w:name="_Toc184314479"/>
      <w:bookmarkEnd w:id="301"/>
      <w:bookmarkStart w:id="302" w:name="_Toc184312082"/>
      <w:bookmarkEnd w:id="302"/>
      <w:bookmarkStart w:id="303" w:name="_Toc184312074"/>
      <w:bookmarkEnd w:id="303"/>
      <w:bookmarkStart w:id="304" w:name="_Toc184310272"/>
      <w:bookmarkEnd w:id="304"/>
      <w:bookmarkStart w:id="305" w:name="_Toc184310294"/>
      <w:bookmarkEnd w:id="305"/>
      <w:bookmarkStart w:id="306" w:name="_Toc184308039"/>
      <w:bookmarkEnd w:id="306"/>
      <w:bookmarkStart w:id="307" w:name="_Toc184312067"/>
      <w:bookmarkEnd w:id="307"/>
      <w:bookmarkStart w:id="308" w:name="_Toc184308047"/>
      <w:bookmarkEnd w:id="308"/>
      <w:bookmarkStart w:id="309" w:name="_Toc184312133"/>
      <w:bookmarkEnd w:id="309"/>
      <w:bookmarkStart w:id="310" w:name="_Toc184312106"/>
      <w:bookmarkEnd w:id="310"/>
      <w:bookmarkStart w:id="311" w:name="_Toc184313296"/>
      <w:bookmarkEnd w:id="311"/>
      <w:bookmarkStart w:id="312" w:name="_Toc184310335"/>
      <w:bookmarkEnd w:id="312"/>
      <w:bookmarkStart w:id="313" w:name="_Toc184312135"/>
      <w:bookmarkEnd w:id="313"/>
      <w:bookmarkStart w:id="314" w:name="_Toc184313302"/>
      <w:bookmarkEnd w:id="314"/>
      <w:bookmarkStart w:id="315" w:name="_Toc184310324"/>
      <w:bookmarkEnd w:id="315"/>
      <w:bookmarkStart w:id="316" w:name="_Toc184310292"/>
      <w:bookmarkEnd w:id="316"/>
      <w:bookmarkStart w:id="317" w:name="_Toc184313305"/>
      <w:bookmarkEnd w:id="317"/>
      <w:bookmarkStart w:id="318" w:name="_Toc184310344"/>
      <w:bookmarkEnd w:id="318"/>
      <w:bookmarkStart w:id="319" w:name="_Toc184308080"/>
      <w:bookmarkEnd w:id="319"/>
      <w:bookmarkStart w:id="320" w:name="_Toc184314468"/>
      <w:bookmarkEnd w:id="320"/>
      <w:bookmarkStart w:id="321" w:name="_Toc184313270"/>
      <w:bookmarkEnd w:id="321"/>
      <w:bookmarkStart w:id="322" w:name="_Toc184314416"/>
      <w:bookmarkEnd w:id="322"/>
      <w:bookmarkStart w:id="323" w:name="_Toc184314440"/>
      <w:bookmarkEnd w:id="323"/>
      <w:bookmarkStart w:id="324" w:name="_Toc184313256"/>
      <w:bookmarkEnd w:id="324"/>
      <w:bookmarkStart w:id="325" w:name="_Toc184312119"/>
      <w:bookmarkEnd w:id="325"/>
      <w:bookmarkStart w:id="326" w:name="_Toc184313281"/>
      <w:bookmarkEnd w:id="326"/>
      <w:bookmarkStart w:id="327" w:name="_Toc184314476"/>
      <w:bookmarkEnd w:id="327"/>
      <w:bookmarkStart w:id="328" w:name="_Toc184310306"/>
      <w:bookmarkEnd w:id="328"/>
      <w:bookmarkStart w:id="329" w:name="_Toc184310314"/>
      <w:bookmarkEnd w:id="329"/>
      <w:bookmarkStart w:id="330" w:name="_Toc184308104"/>
      <w:bookmarkEnd w:id="330"/>
      <w:bookmarkStart w:id="331" w:name="_Toc184310288"/>
      <w:bookmarkEnd w:id="331"/>
      <w:bookmarkStart w:id="332" w:name="_Toc184313245"/>
      <w:bookmarkEnd w:id="332"/>
      <w:bookmarkStart w:id="333" w:name="_Toc184312139"/>
      <w:bookmarkEnd w:id="333"/>
      <w:bookmarkStart w:id="334" w:name="_Toc184312101"/>
      <w:bookmarkEnd w:id="334"/>
      <w:bookmarkStart w:id="335" w:name="_Toc184310320"/>
      <w:bookmarkEnd w:id="335"/>
      <w:bookmarkStart w:id="336" w:name="_Toc184310338"/>
      <w:bookmarkEnd w:id="336"/>
      <w:bookmarkStart w:id="337" w:name="_Toc184314427"/>
      <w:bookmarkEnd w:id="337"/>
      <w:bookmarkStart w:id="338" w:name="_Toc184313243"/>
      <w:bookmarkEnd w:id="338"/>
      <w:bookmarkStart w:id="339" w:name="_Toc184313275"/>
      <w:bookmarkEnd w:id="339"/>
      <w:bookmarkStart w:id="340" w:name="_Toc184313247"/>
      <w:bookmarkEnd w:id="340"/>
      <w:bookmarkStart w:id="341" w:name="_Toc184312108"/>
      <w:bookmarkEnd w:id="341"/>
      <w:bookmarkStart w:id="342" w:name="_Toc184314463"/>
      <w:bookmarkEnd w:id="342"/>
      <w:bookmarkStart w:id="343" w:name="_Toc184308061"/>
      <w:bookmarkEnd w:id="343"/>
      <w:bookmarkStart w:id="344" w:name="_Toc184314471"/>
      <w:bookmarkEnd w:id="344"/>
      <w:bookmarkStart w:id="345" w:name="_Toc184310290"/>
      <w:bookmarkEnd w:id="345"/>
      <w:bookmarkStart w:id="346" w:name="_Toc184314450"/>
      <w:bookmarkEnd w:id="346"/>
      <w:bookmarkStart w:id="347" w:name="_Toc184313308"/>
      <w:bookmarkEnd w:id="347"/>
      <w:bookmarkStart w:id="348" w:name="_Toc184314424"/>
      <w:bookmarkEnd w:id="348"/>
      <w:bookmarkStart w:id="349" w:name="_Toc184310276"/>
      <w:bookmarkEnd w:id="349"/>
      <w:bookmarkStart w:id="350" w:name="_Toc184310311"/>
      <w:bookmarkEnd w:id="350"/>
      <w:bookmarkStart w:id="351" w:name="_Toc184308083"/>
      <w:bookmarkEnd w:id="351"/>
      <w:bookmarkStart w:id="352" w:name="_Toc184314410"/>
      <w:bookmarkEnd w:id="352"/>
      <w:bookmarkStart w:id="353" w:name="_Toc184313294"/>
      <w:bookmarkEnd w:id="353"/>
      <w:bookmarkStart w:id="354" w:name="_Toc184313303"/>
      <w:bookmarkEnd w:id="354"/>
      <w:bookmarkStart w:id="355" w:name="_Toc184308065"/>
      <w:bookmarkEnd w:id="355"/>
      <w:bookmarkStart w:id="356" w:name="_Toc184310302"/>
      <w:bookmarkEnd w:id="356"/>
      <w:bookmarkStart w:id="357" w:name="_Toc184312125"/>
      <w:bookmarkEnd w:id="357"/>
      <w:bookmarkStart w:id="358" w:name="_Toc184308053"/>
      <w:bookmarkEnd w:id="358"/>
      <w:bookmarkStart w:id="359" w:name="_Toc184313280"/>
      <w:bookmarkEnd w:id="359"/>
      <w:bookmarkStart w:id="360" w:name="_Toc184312081"/>
      <w:bookmarkEnd w:id="360"/>
      <w:bookmarkStart w:id="361" w:name="_Toc184310284"/>
      <w:bookmarkEnd w:id="361"/>
      <w:bookmarkStart w:id="362" w:name="_Toc184312103"/>
      <w:bookmarkEnd w:id="362"/>
      <w:bookmarkStart w:id="363" w:name="_Toc184310304"/>
      <w:bookmarkEnd w:id="363"/>
      <w:bookmarkStart w:id="364" w:name="_Toc184312079"/>
      <w:bookmarkEnd w:id="364"/>
      <w:bookmarkStart w:id="365" w:name="_Toc184312102"/>
      <w:bookmarkEnd w:id="365"/>
      <w:bookmarkStart w:id="366" w:name="_Toc184312136"/>
      <w:bookmarkEnd w:id="366"/>
      <w:bookmarkStart w:id="367" w:name="_Toc184310334"/>
      <w:bookmarkEnd w:id="367"/>
      <w:bookmarkStart w:id="368" w:name="_Toc184308058"/>
      <w:bookmarkEnd w:id="368"/>
      <w:bookmarkStart w:id="369" w:name="_Toc184312091"/>
      <w:bookmarkEnd w:id="369"/>
      <w:bookmarkStart w:id="370" w:name="_Toc184314430"/>
      <w:bookmarkEnd w:id="370"/>
      <w:bookmarkStart w:id="371" w:name="_Toc184310316"/>
      <w:bookmarkEnd w:id="371"/>
      <w:bookmarkStart w:id="372" w:name="_Toc184308085"/>
      <w:bookmarkEnd w:id="372"/>
      <w:bookmarkStart w:id="373" w:name="_Toc184313288"/>
      <w:bookmarkEnd w:id="373"/>
      <w:bookmarkStart w:id="374" w:name="_Toc184308070"/>
      <w:bookmarkEnd w:id="374"/>
      <w:bookmarkStart w:id="375" w:name="_Toc184308094"/>
      <w:bookmarkEnd w:id="375"/>
      <w:bookmarkStart w:id="376" w:name="_Toc184308050"/>
      <w:bookmarkEnd w:id="376"/>
      <w:bookmarkStart w:id="377" w:name="_Toc184312080"/>
      <w:bookmarkEnd w:id="377"/>
      <w:bookmarkStart w:id="378" w:name="_Toc184308072"/>
      <w:bookmarkEnd w:id="378"/>
      <w:bookmarkStart w:id="379" w:name="_Toc184314448"/>
      <w:bookmarkEnd w:id="379"/>
      <w:bookmarkStart w:id="380" w:name="_Toc184313274"/>
      <w:bookmarkEnd w:id="380"/>
      <w:bookmarkStart w:id="381" w:name="_Toc184312117"/>
      <w:bookmarkEnd w:id="381"/>
      <w:bookmarkStart w:id="382" w:name="_Toc184313309"/>
      <w:bookmarkEnd w:id="382"/>
      <w:bookmarkStart w:id="383" w:name="_Toc184308092"/>
      <w:bookmarkEnd w:id="383"/>
      <w:bookmarkStart w:id="384" w:name="_Toc184310273"/>
      <w:bookmarkEnd w:id="384"/>
      <w:bookmarkStart w:id="385" w:name="_Toc184314455"/>
      <w:bookmarkEnd w:id="385"/>
      <w:bookmarkStart w:id="386" w:name="_Toc184310327"/>
      <w:bookmarkEnd w:id="386"/>
      <w:bookmarkStart w:id="387" w:name="_Toc184310286"/>
      <w:bookmarkEnd w:id="387"/>
      <w:bookmarkStart w:id="388" w:name="_Toc184313277"/>
      <w:bookmarkEnd w:id="388"/>
      <w:bookmarkStart w:id="389" w:name="_Toc184314417"/>
      <w:bookmarkEnd w:id="389"/>
      <w:bookmarkStart w:id="390" w:name="_Toc184308093"/>
      <w:bookmarkEnd w:id="390"/>
      <w:bookmarkStart w:id="391" w:name="_Toc184310333"/>
      <w:bookmarkEnd w:id="391"/>
      <w:bookmarkStart w:id="392" w:name="_Toc184310325"/>
      <w:bookmarkEnd w:id="392"/>
      <w:bookmarkStart w:id="393" w:name="_Toc184312085"/>
      <w:bookmarkEnd w:id="393"/>
      <w:bookmarkStart w:id="394" w:name="_Toc184308055"/>
      <w:bookmarkEnd w:id="394"/>
      <w:bookmarkStart w:id="395" w:name="_Toc184312104"/>
      <w:bookmarkEnd w:id="395"/>
      <w:bookmarkStart w:id="396" w:name="_Toc184314474"/>
      <w:bookmarkEnd w:id="396"/>
      <w:bookmarkStart w:id="397" w:name="_Toc184308087"/>
      <w:bookmarkEnd w:id="397"/>
      <w:bookmarkStart w:id="398" w:name="_Toc184308056"/>
      <w:bookmarkEnd w:id="398"/>
      <w:bookmarkStart w:id="399" w:name="_Toc184314411"/>
      <w:bookmarkEnd w:id="399"/>
      <w:bookmarkStart w:id="400" w:name="_Toc184314429"/>
      <w:bookmarkEnd w:id="400"/>
      <w:bookmarkStart w:id="401" w:name="_Toc184313276"/>
      <w:bookmarkEnd w:id="401"/>
      <w:bookmarkStart w:id="402" w:name="_Toc184310293"/>
      <w:bookmarkEnd w:id="402"/>
      <w:bookmarkStart w:id="403" w:name="_Toc184312132"/>
      <w:bookmarkEnd w:id="403"/>
      <w:bookmarkStart w:id="404" w:name="_Toc184310323"/>
      <w:bookmarkEnd w:id="404"/>
      <w:bookmarkStart w:id="405" w:name="_Toc184312123"/>
      <w:bookmarkEnd w:id="405"/>
      <w:bookmarkStart w:id="406" w:name="_Toc184310296"/>
      <w:bookmarkEnd w:id="406"/>
      <w:bookmarkStart w:id="407" w:name="_Toc184314478"/>
      <w:bookmarkEnd w:id="407"/>
      <w:bookmarkStart w:id="408" w:name="_Toc184313238"/>
      <w:bookmarkEnd w:id="408"/>
      <w:bookmarkStart w:id="409" w:name="_Toc184313287"/>
      <w:bookmarkEnd w:id="409"/>
      <w:bookmarkStart w:id="410" w:name="_Toc184310303"/>
      <w:bookmarkEnd w:id="410"/>
      <w:bookmarkStart w:id="411" w:name="_Toc184308086"/>
      <w:bookmarkEnd w:id="411"/>
      <w:bookmarkStart w:id="412" w:name="_Toc184310322"/>
      <w:bookmarkEnd w:id="412"/>
      <w:bookmarkStart w:id="413" w:name="_Toc184312105"/>
      <w:bookmarkEnd w:id="413"/>
      <w:bookmarkStart w:id="414" w:name="_Toc184314464"/>
      <w:bookmarkEnd w:id="414"/>
      <w:bookmarkStart w:id="415" w:name="_Toc184312094"/>
      <w:bookmarkEnd w:id="415"/>
      <w:bookmarkStart w:id="416" w:name="_Toc184313273"/>
      <w:bookmarkEnd w:id="416"/>
      <w:bookmarkStart w:id="417" w:name="_Toc184312128"/>
      <w:bookmarkEnd w:id="417"/>
      <w:bookmarkStart w:id="418" w:name="_Toc184312075"/>
      <w:bookmarkEnd w:id="418"/>
      <w:bookmarkStart w:id="419" w:name="_Toc184310305"/>
      <w:bookmarkEnd w:id="419"/>
      <w:bookmarkStart w:id="420" w:name="_Toc184308068"/>
      <w:bookmarkEnd w:id="420"/>
      <w:bookmarkStart w:id="421" w:name="_Toc184312071"/>
      <w:bookmarkEnd w:id="421"/>
      <w:bookmarkStart w:id="422" w:name="_Toc184310321"/>
      <w:bookmarkEnd w:id="422"/>
      <w:bookmarkStart w:id="423" w:name="_Toc184314475"/>
      <w:bookmarkEnd w:id="423"/>
      <w:bookmarkStart w:id="424" w:name="_Toc184313290"/>
      <w:bookmarkEnd w:id="424"/>
      <w:bookmarkStart w:id="425" w:name="_Toc184308097"/>
      <w:bookmarkEnd w:id="425"/>
      <w:bookmarkStart w:id="426" w:name="_Toc184308078"/>
      <w:bookmarkEnd w:id="426"/>
      <w:bookmarkStart w:id="427" w:name="_Toc184314426"/>
      <w:bookmarkEnd w:id="427"/>
      <w:bookmarkStart w:id="428" w:name="_Toc184314480"/>
      <w:bookmarkEnd w:id="428"/>
      <w:bookmarkStart w:id="429" w:name="_Toc184312114"/>
      <w:bookmarkEnd w:id="429"/>
      <w:bookmarkStart w:id="430" w:name="_Toc184313252"/>
      <w:bookmarkEnd w:id="430"/>
      <w:bookmarkStart w:id="431" w:name="_Toc184313310"/>
      <w:bookmarkEnd w:id="431"/>
      <w:bookmarkStart w:id="432" w:name="_Toc184312083"/>
      <w:bookmarkEnd w:id="432"/>
      <w:bookmarkStart w:id="433" w:name="_Toc184312137"/>
      <w:bookmarkEnd w:id="433"/>
      <w:bookmarkStart w:id="434" w:name="_Toc184312097"/>
      <w:bookmarkEnd w:id="434"/>
      <w:bookmarkStart w:id="435" w:name="_Toc184312090"/>
      <w:bookmarkEnd w:id="435"/>
      <w:bookmarkStart w:id="436" w:name="_Toc184308084"/>
      <w:bookmarkEnd w:id="436"/>
      <w:bookmarkStart w:id="437" w:name="_Toc184308077"/>
      <w:bookmarkEnd w:id="437"/>
      <w:bookmarkStart w:id="438" w:name="_Toc184312127"/>
      <w:bookmarkEnd w:id="438"/>
      <w:bookmarkStart w:id="439" w:name="_Toc184314428"/>
      <w:bookmarkEnd w:id="439"/>
      <w:bookmarkStart w:id="440" w:name="_Toc184310310"/>
      <w:bookmarkEnd w:id="440"/>
      <w:bookmarkStart w:id="441" w:name="_Toc184308069"/>
      <w:bookmarkEnd w:id="441"/>
      <w:bookmarkStart w:id="442" w:name="_Toc184308045"/>
      <w:bookmarkEnd w:id="442"/>
      <w:bookmarkStart w:id="443" w:name="_Toc184313271"/>
      <w:bookmarkEnd w:id="443"/>
      <w:bookmarkStart w:id="444" w:name="_Toc184312109"/>
      <w:bookmarkEnd w:id="444"/>
      <w:r>
        <w:rPr>
          <w:rFonts w:hint="eastAsia" w:ascii="仿宋_GB2312" w:hAnsi="仿宋" w:eastAsia="仿宋_GB2312" w:cs="仿宋_GB2312"/>
          <w:b/>
          <w:sz w:val="36"/>
          <w:szCs w:val="36"/>
        </w:rPr>
        <w:t>评标方法及评分标准</w:t>
      </w:r>
    </w:p>
    <w:p>
      <w:pPr>
        <w:adjustRightInd w:val="0"/>
        <w:snapToGrid w:val="0"/>
        <w:spacing w:line="360" w:lineRule="auto"/>
        <w:ind w:firstLine="3052" w:firstLineChars="950"/>
        <w:rPr>
          <w:rFonts w:ascii="仿宋_GB2312" w:hAnsi="仿宋" w:eastAsia="仿宋_GB2312" w:cs="Times New Roman"/>
          <w:b/>
          <w:sz w:val="28"/>
          <w:szCs w:val="28"/>
        </w:rPr>
      </w:pPr>
      <w:r>
        <w:rPr>
          <w:rFonts w:hint="eastAsia" w:ascii="仿宋_GB2312" w:hAnsi="仿宋" w:eastAsia="仿宋_GB2312" w:cs="仿宋_GB2312"/>
          <w:b/>
          <w:sz w:val="32"/>
          <w:szCs w:val="24"/>
        </w:rPr>
        <w:t>一、评标方法</w:t>
      </w:r>
    </w:p>
    <w:p>
      <w:pPr>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1.综合评分法。</w:t>
      </w:r>
      <w:r>
        <w:rPr>
          <w:rFonts w:hint="eastAsia" w:ascii="仿宋_GB2312" w:hAnsi="仿宋" w:eastAsia="仿宋_GB2312" w:cs="Arial"/>
          <w:kern w:val="0"/>
          <w:sz w:val="24"/>
          <w:szCs w:val="24"/>
        </w:rPr>
        <w:t>综合评分法，是指投标文件满足招标文件全部实质性要求，且按照评审因素的量化指标评审得分最高的投标人为中标候选人的评标方法。</w:t>
      </w:r>
    </w:p>
    <w:p>
      <w:pPr>
        <w:spacing w:line="360" w:lineRule="auto"/>
        <w:rPr>
          <w:rFonts w:ascii="仿宋_GB2312" w:hAnsi="仿宋" w:eastAsia="仿宋_GB2312" w:cs="Arial"/>
          <w:kern w:val="0"/>
          <w:sz w:val="24"/>
          <w:szCs w:val="24"/>
        </w:rPr>
      </w:pPr>
    </w:p>
    <w:p>
      <w:pPr>
        <w:adjustRightInd w:val="0"/>
        <w:snapToGrid w:val="0"/>
        <w:spacing w:line="360" w:lineRule="auto"/>
        <w:ind w:left="120" w:leftChars="57" w:firstLine="422" w:firstLineChars="150"/>
        <w:jc w:val="center"/>
        <w:rPr>
          <w:rFonts w:ascii="仿宋_GB2312" w:hAnsi="仿宋" w:eastAsia="仿宋_GB2312" w:cs="仿宋_GB2312"/>
          <w:b/>
          <w:sz w:val="32"/>
          <w:szCs w:val="24"/>
        </w:rPr>
      </w:pPr>
      <w:r>
        <w:rPr>
          <w:rFonts w:hint="eastAsia" w:ascii="仿宋_GB2312" w:hAnsi="仿宋" w:eastAsia="仿宋_GB2312" w:cs="Times New Roman"/>
          <w:b/>
          <w:sz w:val="28"/>
          <w:szCs w:val="28"/>
        </w:rPr>
        <w:t xml:space="preserve">   </w:t>
      </w:r>
      <w:r>
        <w:rPr>
          <w:rFonts w:hint="eastAsia" w:ascii="仿宋_GB2312" w:hAnsi="仿宋" w:eastAsia="仿宋_GB2312" w:cs="仿宋_GB2312"/>
          <w:b/>
          <w:sz w:val="32"/>
          <w:szCs w:val="24"/>
        </w:rPr>
        <w:t>二、评标委员会的组成</w:t>
      </w:r>
    </w:p>
    <w:p>
      <w:pPr>
        <w:adjustRightInd w:val="0"/>
        <w:snapToGri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2.评标委员会的组成。</w:t>
      </w:r>
      <w:r>
        <w:rPr>
          <w:rFonts w:hint="eastAsia" w:ascii="仿宋_GB2312" w:hAnsi="仿宋" w:eastAsia="仿宋_GB2312" w:cs="Arial"/>
          <w:kern w:val="0"/>
          <w:sz w:val="24"/>
          <w:szCs w:val="24"/>
        </w:rPr>
        <w:t>评标委员会由采购人代表和评审专家组成，成员人数为5人以上单数，其中评审专家不少于成员总数的三分之二。</w:t>
      </w:r>
    </w:p>
    <w:p>
      <w:pPr>
        <w:adjustRightInd w:val="0"/>
        <w:spacing w:line="360" w:lineRule="auto"/>
        <w:rPr>
          <w:rFonts w:ascii="仿宋_GB2312" w:hAnsi="仿宋" w:eastAsia="仿宋_GB2312" w:cs="Arial"/>
          <w:kern w:val="0"/>
          <w:sz w:val="24"/>
        </w:rPr>
      </w:pPr>
      <w:r>
        <w:rPr>
          <w:rFonts w:hint="eastAsia" w:ascii="仿宋_GB2312" w:hAnsi="仿宋" w:eastAsia="仿宋_GB2312" w:cs="Arial"/>
          <w:b/>
          <w:kern w:val="0"/>
          <w:sz w:val="24"/>
        </w:rPr>
        <w:t>3.评</w:t>
      </w:r>
      <w:r>
        <w:rPr>
          <w:rFonts w:hint="eastAsia" w:ascii="仿宋_GB2312" w:hAnsi="仿宋" w:eastAsia="仿宋_GB2312" w:cs="Arial"/>
          <w:b/>
          <w:kern w:val="0"/>
          <w:sz w:val="24"/>
          <w:szCs w:val="24"/>
        </w:rPr>
        <w:t>标委员会的组成人员的回避。</w:t>
      </w:r>
      <w:r>
        <w:rPr>
          <w:rFonts w:hint="eastAsia" w:ascii="仿宋_GB2312" w:hAnsi="仿宋" w:eastAsia="仿宋_GB2312" w:cs="Arial"/>
          <w:kern w:val="0"/>
          <w:sz w:val="24"/>
        </w:rPr>
        <w:t>在政府采购活动中，评标委员会的组成人员与供应商有下列利害关系之一的，应当回避：</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3.1参加采购活动前3年内与供应商存在劳动关系；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3.2参加采购活动前3年内担任供应商的董事、监事；</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3.3参加采购活动前3年内是供应商的控股股东或者实际控制人；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3.4与供应商的法定代表人或者负责人有夫妻、直系血亲、三代以内旁系血亲或者近姻亲关系；</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3.5与供应商有其他可能影响政府采购活动公平、公正进行的关系。</w:t>
      </w: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p>
    <w:p>
      <w:pPr>
        <w:adjustRightInd w:val="0"/>
        <w:snapToGrid w:val="0"/>
        <w:spacing w:line="360" w:lineRule="auto"/>
        <w:ind w:left="120" w:leftChars="57" w:firstLine="482" w:firstLineChars="150"/>
        <w:jc w:val="center"/>
        <w:rPr>
          <w:rFonts w:ascii="仿宋_GB2312" w:hAnsi="仿宋" w:eastAsia="仿宋_GB2312" w:cs="Times New Roman"/>
          <w:b/>
          <w:sz w:val="32"/>
          <w:szCs w:val="32"/>
        </w:rPr>
      </w:pPr>
      <w:r>
        <w:rPr>
          <w:rFonts w:hint="eastAsia" w:ascii="仿宋_GB2312" w:hAnsi="仿宋" w:eastAsia="仿宋_GB2312" w:cs="Times New Roman"/>
          <w:b/>
          <w:sz w:val="32"/>
          <w:szCs w:val="32"/>
        </w:rPr>
        <w:t>　</w:t>
      </w:r>
      <w:r>
        <w:rPr>
          <w:rFonts w:hint="eastAsia" w:ascii="仿宋_GB2312" w:hAnsi="仿宋" w:eastAsia="仿宋_GB2312" w:cs="仿宋_GB2312"/>
          <w:b/>
          <w:sz w:val="32"/>
          <w:szCs w:val="24"/>
        </w:rPr>
        <w:t>　三、评标委员会的职责</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4.评标委员会负责具体评标事务，并独立履行下列职责：</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4.1审查、评价投标文件是否符合招标文件的商务、技术等实质性要求；</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4.2要求投标人对投标文件有关事项作出澄清或者说明；</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4.3对投标文件进行比较和评价；</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4.4确定中标候选人名单，以及根据采购人委托直接确定中标人；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4.5向采购人、采购机构或者有关部门报告评标中发现的违法行为；</w:t>
      </w:r>
    </w:p>
    <w:p>
      <w:pPr>
        <w:adjustRightInd w:val="0"/>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4.6法律、法规、规章、招标文件等规定的其它事项。</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5.评标委员会及其成员不得有下列行为：</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5.1确定参与评标至评标结束前私自接触投标人；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5.2接受投标人提出的与投标文件不一致的澄清或者说明，《政府采购货物和服务招标投标管理办法》（财政部令第87号）第五十一条规定的情形除外；</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5.3违反评标纪律发表倾向性意见或者征询采购人的倾向性意见；</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5.4对需要专业判断的主观评审因素协商评分；</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5.5在评标过程中擅离职守，影响评标程序正常进行的；</w:t>
      </w:r>
    </w:p>
    <w:p>
      <w:pPr>
        <w:adjustRightInd w:val="0"/>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5.6记录、复制或者带走任何评标资料；</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5.7其他不遵守评标纪律的行为。</w:t>
      </w:r>
    </w:p>
    <w:p>
      <w:pPr>
        <w:adjustRightInd w:val="0"/>
        <w:spacing w:line="360" w:lineRule="auto"/>
        <w:rPr>
          <w:rFonts w:ascii="仿宋_GB2312" w:hAnsi="仿宋" w:eastAsia="仿宋_GB2312" w:cs="Arial"/>
          <w:kern w:val="0"/>
          <w:sz w:val="24"/>
        </w:rPr>
      </w:pPr>
      <w:r>
        <w:rPr>
          <w:rFonts w:hint="eastAsia" w:ascii="仿宋_GB2312" w:hAnsi="仿宋" w:eastAsia="仿宋_GB2312" w:cs="Arial"/>
          <w:kern w:val="0"/>
          <w:sz w:val="24"/>
        </w:rPr>
        <w:t>　　评标委员会成员有5.1-5.</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行为之一的，其评审意见无效，并不得获取评审劳务报酬和报销异地评审差旅费。</w:t>
      </w:r>
    </w:p>
    <w:p>
      <w:pPr>
        <w:adjustRightInd w:val="0"/>
        <w:spacing w:line="360" w:lineRule="auto"/>
        <w:rPr>
          <w:rFonts w:ascii="仿宋_GB2312" w:hAnsi="仿宋" w:eastAsia="仿宋_GB2312" w:cs="Arial"/>
          <w:kern w:val="0"/>
          <w:sz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四、评审程序</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 xml:space="preserve">6.符合性审查。 </w:t>
      </w:r>
      <w:r>
        <w:rPr>
          <w:rFonts w:hint="eastAsia" w:ascii="仿宋_GB2312" w:hAnsi="仿宋" w:eastAsia="仿宋_GB2312" w:cs="Arial"/>
          <w:kern w:val="0"/>
          <w:sz w:val="24"/>
          <w:szCs w:val="24"/>
        </w:rPr>
        <w:t>评标委员会应当对符合资格的投标人的投标文件进行符合性审查，以确定其是否满足招标文件的实质性要求。符合投标无效情形的，投标无效。</w:t>
      </w:r>
    </w:p>
    <w:p>
      <w:pPr>
        <w:adjustRightInd w:val="0"/>
        <w:spacing w:line="360" w:lineRule="auto"/>
        <w:rPr>
          <w:rFonts w:hint="eastAsia" w:ascii="仿宋_GB2312" w:hAnsi="仿宋" w:eastAsia="仿宋_GB2312" w:cs="Arial"/>
          <w:b/>
          <w:kern w:val="0"/>
          <w:sz w:val="24"/>
          <w:szCs w:val="24"/>
        </w:rPr>
      </w:pPr>
      <w:r>
        <w:rPr>
          <w:rFonts w:hint="eastAsia" w:ascii="仿宋_GB2312" w:hAnsi="仿宋" w:eastAsia="仿宋_GB2312" w:cs="Arial"/>
          <w:b/>
          <w:kern w:val="0"/>
          <w:sz w:val="24"/>
          <w:szCs w:val="24"/>
        </w:rPr>
        <w:t>7.投标人澄清、说明或者补正。</w:t>
      </w:r>
    </w:p>
    <w:p>
      <w:pPr>
        <w:adjustRightInd w:val="0"/>
        <w:spacing w:line="360" w:lineRule="auto"/>
        <w:rPr>
          <w:rFonts w:hint="eastAsia" w:ascii="仿宋_GB2312" w:hAnsi="仿宋" w:eastAsia="仿宋_GB2312" w:cs="Arial"/>
          <w:kern w:val="0"/>
          <w:sz w:val="24"/>
          <w:szCs w:val="24"/>
        </w:rPr>
      </w:pPr>
      <w:r>
        <w:rPr>
          <w:rFonts w:hint="eastAsia" w:ascii="仿宋_GB2312" w:hAnsi="仿宋" w:eastAsia="仿宋_GB2312" w:cs="Arial"/>
          <w:b/>
          <w:kern w:val="0"/>
          <w:sz w:val="24"/>
          <w:szCs w:val="24"/>
          <w:lang w:val="en-US" w:eastAsia="zh-CN"/>
        </w:rPr>
        <w:t>7.1</w:t>
      </w:r>
      <w:r>
        <w:rPr>
          <w:rFonts w:hint="eastAsia" w:ascii="仿宋_GB2312" w:hAnsi="仿宋" w:eastAsia="仿宋_GB2312" w:cs="Arial"/>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bCs/>
          <w:kern w:val="0"/>
          <w:sz w:val="24"/>
          <w:szCs w:val="24"/>
          <w:lang w:val="en-US" w:eastAsia="zh-CN"/>
        </w:rPr>
        <w:t>7.2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8. 比较与评价。</w:t>
      </w:r>
      <w:r>
        <w:rPr>
          <w:rFonts w:hint="eastAsia" w:ascii="仿宋_GB2312" w:hAnsi="仿宋" w:eastAsia="仿宋_GB2312" w:cs="Arial"/>
          <w:kern w:val="0"/>
          <w:sz w:val="24"/>
          <w:szCs w:val="24"/>
        </w:rPr>
        <w:t>评标委员会应当按照评标标准，对符合性审查合格的投标文件进行商务和技术评估，综合比较与评价。</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9. 汇总（商务技术得分情况）。</w:t>
      </w:r>
      <w:r>
        <w:rPr>
          <w:rFonts w:hint="eastAsia" w:ascii="仿宋_GB2312" w:hAnsi="仿宋" w:eastAsia="仿宋_GB2312" w:cs="Arial"/>
          <w:kern w:val="0"/>
          <w:sz w:val="24"/>
          <w:szCs w:val="24"/>
        </w:rPr>
        <w:t>评标委员会各成员应当独立对每个投标人的商务和技术文件进行评价，并汇总商务技术得分情况。</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10. 报价审核。</w:t>
      </w:r>
      <w:r>
        <w:rPr>
          <w:rFonts w:hint="eastAsia" w:ascii="仿宋_GB2312" w:hAnsi="仿宋" w:eastAsia="仿宋_GB2312" w:cs="Arial"/>
          <w:kern w:val="0"/>
          <w:sz w:val="24"/>
          <w:szCs w:val="24"/>
        </w:rPr>
        <w:t>对经商务和技术评审符合采购需求的投标人的报价的合理性、准确性等进行审查核实。</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10.1评标委员会认为投标人的报价明显低于其他通过符合性审查投标人的报价，有可能影响产品质量或者不能诚信履约的，应当要求其在合理的时间内提供书面说明，必要时提交相关证明材料。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10.2根据财政部发布的《政府采购促进中小企业发展管理办法》规定，</w:t>
      </w:r>
      <w:r>
        <w:rPr>
          <w:rFonts w:ascii="仿宋_GB2312" w:hAnsi="仿宋" w:eastAsia="仿宋_GB2312" w:cs="Arial"/>
          <w:kern w:val="0"/>
          <w:sz w:val="24"/>
          <w:szCs w:val="24"/>
        </w:rPr>
        <w:t>对于经主管预算单位统筹后未预留份额专门面向中小企业采购的采购项目，以及预留份额项目中的非预留部分采购包，</w:t>
      </w:r>
      <w:r>
        <w:rPr>
          <w:rFonts w:hint="eastAsia" w:ascii="仿宋_GB2312" w:hAnsi="仿宋" w:eastAsia="仿宋_GB2312" w:cs="Arial"/>
          <w:kern w:val="0"/>
          <w:sz w:val="24"/>
          <w:szCs w:val="24"/>
        </w:rPr>
        <w:t>对小微企业报价给予一定的扣除，用扣除后的价格参与评审。</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10.3投标价格的修正原则。投标文件报价出现前后不一致的，按照下列规定修正：</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10.3.1投标文件中开标一览表(报价表)内容与投标文件中相应内容不一致的，以开标一览表(报价表)为准;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10.3.2大写金额和小写金额不一致的，以大写金额为准;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10.3.3单价金额小数点或者百分比有明显错位的，以开标一览表的总价为准，并修改单价;</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10.3.4总价金额与按单价汇总金额不一致的，以单价金额计算结果为准。</w:t>
      </w:r>
    </w:p>
    <w:p>
      <w:pPr>
        <w:adjustRightInd w:val="0"/>
        <w:spacing w:line="360" w:lineRule="auto"/>
        <w:ind w:firstLine="480" w:firstLineChars="200"/>
        <w:rPr>
          <w:rFonts w:ascii="仿宋_GB2312" w:hAnsi="仿宋" w:eastAsia="仿宋_GB2312" w:cs="Arial"/>
          <w:kern w:val="0"/>
          <w:sz w:val="24"/>
          <w:szCs w:val="24"/>
        </w:rPr>
      </w:pPr>
      <w:r>
        <w:rPr>
          <w:rFonts w:hint="eastAsia" w:ascii="仿宋_GB2312" w:hAnsi="仿宋" w:eastAsia="仿宋_GB2312" w:cs="Arial"/>
          <w:kern w:val="0"/>
          <w:sz w:val="24"/>
          <w:szCs w:val="24"/>
        </w:rPr>
        <w:t>10.3.5同时出现两种以上不一致的，按照前款规定的顺序修正。修正后的报价按照财政部第87号令 《政府采购货物和服务招标投标管理办法》第五十一条第二款的规定经投标人确认后产生约束力。</w:t>
      </w:r>
    </w:p>
    <w:p>
      <w:pPr>
        <w:adjustRightInd w:val="0"/>
        <w:spacing w:line="360" w:lineRule="auto"/>
        <w:ind w:firstLine="480" w:firstLineChars="200"/>
        <w:rPr>
          <w:rFonts w:ascii="仿宋_GB2312" w:hAnsi="仿宋" w:eastAsia="仿宋_GB2312" w:cs="仿宋_GB2312"/>
          <w:b/>
          <w:bCs/>
          <w:sz w:val="24"/>
          <w:szCs w:val="24"/>
        </w:rPr>
      </w:pPr>
      <w:r>
        <w:rPr>
          <w:rFonts w:hint="eastAsia" w:ascii="仿宋_GB2312" w:hAnsi="仿宋" w:eastAsia="仿宋_GB2312" w:cs="仿宋_GB2312"/>
          <w:bCs/>
          <w:sz w:val="24"/>
          <w:szCs w:val="24"/>
        </w:rPr>
        <w:t>▲</w:t>
      </w:r>
      <w:r>
        <w:rPr>
          <w:rFonts w:hint="eastAsia" w:ascii="仿宋_GB2312" w:hAnsi="仿宋" w:eastAsia="仿宋_GB2312" w:cs="仿宋_GB2312"/>
          <w:b/>
          <w:bCs/>
          <w:sz w:val="24"/>
          <w:szCs w:val="24"/>
        </w:rPr>
        <w:t>投标人对根据修正原则修正后的报价不确认的，投标无效。</w:t>
      </w:r>
    </w:p>
    <w:p>
      <w:pPr>
        <w:adjustRightInd w:val="0"/>
        <w:spacing w:line="360" w:lineRule="auto"/>
        <w:rPr>
          <w:rFonts w:ascii="仿宋_GB2312" w:hAnsi="仿宋" w:eastAsia="仿宋_GB2312" w:cs="Arial"/>
          <w:kern w:val="0"/>
          <w:sz w:val="24"/>
          <w:szCs w:val="24"/>
        </w:rPr>
      </w:pPr>
      <w:r>
        <w:rPr>
          <w:rFonts w:hint="eastAsia" w:ascii="仿宋_GB2312" w:hAnsi="仿宋" w:eastAsia="仿宋_GB2312" w:cs="Arial"/>
          <w:b/>
          <w:kern w:val="0"/>
          <w:sz w:val="24"/>
          <w:szCs w:val="24"/>
        </w:rPr>
        <w:t>11.汇总得分。</w:t>
      </w:r>
      <w:r>
        <w:rPr>
          <w:rFonts w:hint="eastAsia" w:ascii="仿宋_GB2312" w:hAnsi="仿宋" w:eastAsia="仿宋_GB2312" w:cs="Arial"/>
          <w:kern w:val="0"/>
          <w:sz w:val="24"/>
          <w:szCs w:val="24"/>
        </w:rPr>
        <w:t>评标委员会各成员应当独立对每个投标人的投标文件进行评价，并汇总每个投标人的得分。</w:t>
      </w:r>
    </w:p>
    <w:p>
      <w:pPr>
        <w:adjustRightInd w:val="0"/>
        <w:spacing w:line="360" w:lineRule="auto"/>
        <w:rPr>
          <w:rFonts w:ascii="仿宋_GB2312" w:hAnsi="仿宋" w:eastAsia="仿宋_GB2312" w:cs="Arial"/>
          <w:b/>
          <w:kern w:val="0"/>
          <w:sz w:val="24"/>
          <w:szCs w:val="24"/>
        </w:rPr>
      </w:pPr>
      <w:r>
        <w:rPr>
          <w:rFonts w:hint="eastAsia" w:ascii="仿宋_GB2312" w:hAnsi="仿宋" w:eastAsia="仿宋_GB2312" w:cs="Arial"/>
          <w:b/>
          <w:kern w:val="0"/>
          <w:sz w:val="24"/>
          <w:szCs w:val="24"/>
        </w:rPr>
        <w:t>12.顺序排列与中标候选推荐。</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12.1评标结果按评审后得分由高到低顺序排列。得分相同的，按投标报价由低到高顺序排列。得分且投标报价相同的并列。得分最高的投标人为排名第一的中标候选人。</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after="120" w:line="360" w:lineRule="auto"/>
        <w:rPr>
          <w:rFonts w:ascii="仿宋_GB2312" w:hAnsi="仿宋" w:eastAsia="仿宋_GB2312" w:cs="仿宋_GB2312"/>
          <w:b/>
          <w:sz w:val="24"/>
          <w:szCs w:val="21"/>
        </w:rPr>
      </w:pPr>
      <w:r>
        <w:rPr>
          <w:rFonts w:hint="eastAsia" w:ascii="仿宋_GB2312" w:hAnsi="仿宋" w:eastAsia="仿宋_GB2312" w:cs="仿宋_GB2312"/>
          <w:b/>
          <w:sz w:val="24"/>
          <w:szCs w:val="21"/>
        </w:rPr>
        <w:t>13.投标无效。有下列情况之一的，投标无效：</w:t>
      </w:r>
    </w:p>
    <w:p>
      <w:pPr>
        <w:adjustRightInd w:val="0"/>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13.1单位负责人为同一人或者存在直接控股、管理关系的不同供应商参加同一合同项下的政府采购活动的（均无效）；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1"/>
        </w:rPr>
        <w:t>13.2为采购项目提供整体设计、规范编制或者项目管理、监理、检测等服务的供应商再参加该采购项</w:t>
      </w:r>
      <w:r>
        <w:rPr>
          <w:rFonts w:hint="eastAsia" w:ascii="仿宋_GB2312" w:hAnsi="仿宋" w:eastAsia="仿宋_GB2312" w:cs="仿宋_GB2312"/>
          <w:sz w:val="24"/>
          <w:szCs w:val="24"/>
        </w:rPr>
        <w:t xml:space="preserve">目的其他采购活动的； </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13.3</w:t>
      </w:r>
      <w:r>
        <w:rPr>
          <w:rFonts w:hint="eastAsia" w:ascii="仿宋_GB2312" w:hAnsi="仿宋" w:eastAsia="仿宋_GB2312" w:cs="仿宋_GB2312"/>
          <w:sz w:val="24"/>
          <w:szCs w:val="24"/>
        </w:rPr>
        <w:t>投标人不具备招标文件中规定的资格要求的（投标人未提供有效的资格证明文件的，视为投标人不具备招标文件中规定的资格要求）；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13.4</w:t>
      </w:r>
      <w:r>
        <w:rPr>
          <w:rFonts w:hint="eastAsia" w:ascii="仿宋_GB2312" w:hAnsi="仿宋" w:eastAsia="仿宋_GB2312" w:cs="仿宋_GB2312"/>
          <w:sz w:val="24"/>
          <w:szCs w:val="24"/>
        </w:rPr>
        <w:t>如以联合体形式参加政府采购活动的，联合体协议不符合招标文件规定的联合体协议要求的；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13.5</w:t>
      </w:r>
      <w:r>
        <w:rPr>
          <w:rFonts w:hint="eastAsia" w:ascii="仿宋_GB2312" w:hAnsi="仿宋" w:eastAsia="仿宋_GB2312" w:cs="仿宋_GB2312"/>
          <w:sz w:val="24"/>
          <w:szCs w:val="24"/>
        </w:rPr>
        <w:t>投标文件未按规定的格式编制的；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13.6</w:t>
      </w:r>
      <w:r>
        <w:rPr>
          <w:rFonts w:hint="eastAsia" w:ascii="仿宋_GB2312" w:hAnsi="仿宋" w:eastAsia="仿宋_GB2312" w:cs="仿宋_GB2312"/>
          <w:sz w:val="24"/>
          <w:szCs w:val="24"/>
        </w:rPr>
        <w:t>投标文件未按招标文件的澄清、修改的内容编制，又不符合实质性要求的；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13.7</w:t>
      </w:r>
      <w:r>
        <w:rPr>
          <w:rFonts w:hint="eastAsia" w:ascii="仿宋_GB2312" w:hAnsi="仿宋" w:eastAsia="仿宋_GB2312" w:cs="仿宋_GB2312"/>
          <w:sz w:val="24"/>
          <w:szCs w:val="24"/>
        </w:rPr>
        <w:t>投标文件组成漏项，内容不全或内容字迹模糊辨认不清的；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13.8</w:t>
      </w:r>
      <w:r>
        <w:rPr>
          <w:rFonts w:hint="eastAsia" w:ascii="仿宋_GB2312" w:hAnsi="仿宋" w:eastAsia="仿宋_GB2312" w:cs="仿宋_GB2312"/>
          <w:sz w:val="24"/>
          <w:szCs w:val="24"/>
        </w:rPr>
        <w:t>投标文件中法人授权书所载内容与本项目内容有异的；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13.9</w:t>
      </w:r>
      <w:r>
        <w:rPr>
          <w:rFonts w:hint="eastAsia" w:ascii="仿宋_GB2312" w:hAnsi="仿宋" w:eastAsia="仿宋_GB2312" w:cs="仿宋_GB2312"/>
          <w:sz w:val="24"/>
          <w:szCs w:val="24"/>
        </w:rPr>
        <w:t>投标文件未按照招标文件要求签署、盖章的；</w:t>
      </w:r>
    </w:p>
    <w:p>
      <w:pPr>
        <w:adjustRightInd w:val="0"/>
        <w:spacing w:line="360" w:lineRule="auto"/>
        <w:ind w:firstLine="480" w:firstLineChars="200"/>
        <w:rPr>
          <w:rFonts w:ascii="仿宋_GB2312" w:hAnsi="仿宋" w:eastAsia="仿宋_GB2312" w:cs="Times New Roman"/>
          <w:b/>
          <w:sz w:val="24"/>
          <w:szCs w:val="24"/>
        </w:rPr>
      </w:pPr>
      <w:r>
        <w:rPr>
          <w:rFonts w:hint="eastAsia" w:ascii="仿宋_GB2312" w:hAnsi="仿宋" w:eastAsia="仿宋_GB2312" w:cs="Times New Roman"/>
          <w:sz w:val="24"/>
          <w:szCs w:val="24"/>
        </w:rPr>
        <w:t>13.10</w:t>
      </w:r>
      <w:r>
        <w:rPr>
          <w:rFonts w:hint="eastAsia" w:ascii="仿宋_GB2312" w:hAnsi="仿宋" w:eastAsia="仿宋_GB2312" w:cs="仿宋_GB2312"/>
          <w:sz w:val="24"/>
          <w:szCs w:val="24"/>
        </w:rPr>
        <w:t>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13.11</w:t>
      </w:r>
      <w:r>
        <w:rPr>
          <w:rFonts w:hint="eastAsia" w:ascii="仿宋_GB2312" w:hAnsi="仿宋" w:eastAsia="仿宋_GB2312" w:cs="仿宋_GB2312"/>
          <w:sz w:val="24"/>
          <w:szCs w:val="24"/>
        </w:rPr>
        <w:t>投标文件含有采购人不能接受的附加条件的；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13.12</w:t>
      </w:r>
      <w:r>
        <w:rPr>
          <w:rFonts w:hint="eastAsia" w:ascii="仿宋_GB2312" w:hAnsi="仿宋" w:eastAsia="仿宋_GB2312" w:cs="仿宋_GB2312"/>
          <w:sz w:val="24"/>
          <w:szCs w:val="24"/>
        </w:rPr>
        <w:t>投标文件中承诺的投标有效期少于招标文件中载明的投标有效期的；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13.13</w:t>
      </w:r>
      <w:r>
        <w:rPr>
          <w:rFonts w:hint="eastAsia" w:ascii="仿宋_GB2312" w:hAnsi="仿宋" w:eastAsia="仿宋_GB2312" w:cs="仿宋_GB2312"/>
          <w:sz w:val="24"/>
          <w:szCs w:val="24"/>
        </w:rPr>
        <w:t>投标人所投内容不符合采购需求中实质性要求的；</w:t>
      </w:r>
    </w:p>
    <w:p>
      <w:pPr>
        <w:adjustRightInd w:val="0"/>
        <w:snapToGrid w:val="0"/>
        <w:spacing w:line="360" w:lineRule="auto"/>
        <w:jc w:val="left"/>
        <w:rPr>
          <w:rFonts w:ascii="仿宋_GB2312" w:hAnsi="仿宋" w:eastAsia="仿宋_GB2312" w:cs="仿宋_GB2312"/>
          <w:sz w:val="24"/>
          <w:szCs w:val="24"/>
        </w:rPr>
      </w:pP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13.14</w:t>
      </w:r>
      <w:r>
        <w:rPr>
          <w:rFonts w:hint="eastAsia" w:ascii="仿宋_GB2312" w:hAnsi="仿宋" w:eastAsia="仿宋_GB2312" w:cs="仿宋_GB2312"/>
          <w:sz w:val="24"/>
          <w:szCs w:val="24"/>
        </w:rPr>
        <w:t>投标文件出现不是唯一的、有选择性投标报价的;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13.15</w:t>
      </w:r>
      <w:r>
        <w:rPr>
          <w:rFonts w:hint="eastAsia" w:ascii="仿宋_GB2312" w:hAnsi="仿宋" w:eastAsia="仿宋_GB2312" w:cs="仿宋_GB2312"/>
          <w:sz w:val="24"/>
          <w:szCs w:val="24"/>
        </w:rPr>
        <w:t>投标报价高于本项目采购预算或者最高限价的;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13.16</w:t>
      </w:r>
      <w:r>
        <w:rPr>
          <w:rFonts w:hint="eastAsia" w:ascii="仿宋_GB2312" w:hAnsi="仿宋" w:eastAsia="仿宋_GB2312" w:cs="仿宋_GB2312"/>
          <w:sz w:val="24"/>
          <w:szCs w:val="24"/>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13.17</w:t>
      </w:r>
      <w:r>
        <w:rPr>
          <w:rFonts w:hint="eastAsia" w:ascii="仿宋_GB2312" w:hAnsi="仿宋" w:eastAsia="仿宋_GB2312" w:cs="仿宋_GB2312"/>
          <w:sz w:val="24"/>
          <w:szCs w:val="24"/>
        </w:rPr>
        <w:t>《投标（开标）一览表》填写不完整或字迹不能辨认或有漏项的；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13.18</w:t>
      </w:r>
      <w:r>
        <w:rPr>
          <w:rFonts w:hint="eastAsia" w:ascii="仿宋_GB2312" w:hAnsi="仿宋" w:eastAsia="仿宋_GB2312" w:cs="仿宋_GB2312"/>
          <w:sz w:val="24"/>
          <w:szCs w:val="24"/>
        </w:rPr>
        <w:t>投标人对根据修正原则修正后的报价不确认的；</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13.19</w:t>
      </w:r>
      <w:r>
        <w:rPr>
          <w:rFonts w:hint="eastAsia" w:ascii="仿宋_GB2312" w:hAnsi="仿宋" w:eastAsia="仿宋_GB2312" w:cs="仿宋_GB2312"/>
          <w:sz w:val="24"/>
          <w:szCs w:val="24"/>
        </w:rPr>
        <w:t>投标人提供虚假材料投标的（包括但不限于以下情节）；</w:t>
      </w:r>
    </w:p>
    <w:p>
      <w:pPr>
        <w:adjustRightInd w:val="0"/>
        <w:spacing w:line="360" w:lineRule="auto"/>
        <w:ind w:firstLine="720" w:firstLineChars="300"/>
        <w:rPr>
          <w:rFonts w:ascii="仿宋_GB2312" w:hAnsi="仿宋" w:eastAsia="仿宋_GB2312" w:cs="仿宋_GB2312"/>
          <w:sz w:val="24"/>
          <w:szCs w:val="24"/>
        </w:rPr>
      </w:pPr>
      <w:r>
        <w:rPr>
          <w:rFonts w:hint="eastAsia" w:ascii="仿宋_GB2312" w:hAnsi="仿宋" w:eastAsia="仿宋_GB2312" w:cs="Times New Roman"/>
          <w:sz w:val="24"/>
          <w:szCs w:val="24"/>
        </w:rPr>
        <w:t>13.19.1</w:t>
      </w:r>
      <w:r>
        <w:rPr>
          <w:rFonts w:hint="eastAsia" w:ascii="仿宋_GB2312" w:hAnsi="仿宋" w:eastAsia="仿宋_GB2312" w:cs="仿宋_GB2312"/>
          <w:sz w:val="24"/>
          <w:szCs w:val="24"/>
        </w:rPr>
        <w:t>使用伪造、变造的许可证件；</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13.19.2</w:t>
      </w:r>
      <w:r>
        <w:rPr>
          <w:rFonts w:hint="eastAsia" w:ascii="仿宋_GB2312" w:hAnsi="仿宋" w:eastAsia="仿宋_GB2312" w:cs="仿宋_GB2312"/>
          <w:sz w:val="24"/>
          <w:szCs w:val="24"/>
        </w:rPr>
        <w:t>提供虚假的财务状况或者业绩；</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13.19.3</w:t>
      </w:r>
      <w:r>
        <w:rPr>
          <w:rFonts w:hint="eastAsia" w:ascii="仿宋_GB2312" w:hAnsi="仿宋" w:eastAsia="仿宋_GB2312" w:cs="仿宋_GB2312"/>
          <w:sz w:val="24"/>
          <w:szCs w:val="24"/>
        </w:rPr>
        <w:t>提供虚假的项目负责人或者主要技术人员简历、劳动关系证明；</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13.19.4</w:t>
      </w:r>
      <w:r>
        <w:rPr>
          <w:rFonts w:hint="eastAsia" w:ascii="仿宋_GB2312" w:hAnsi="仿宋" w:eastAsia="仿宋_GB2312" w:cs="仿宋_GB2312"/>
          <w:sz w:val="24"/>
          <w:szCs w:val="24"/>
        </w:rPr>
        <w:t>提供虚假的信用状况；</w:t>
      </w:r>
      <w:r>
        <w:rPr>
          <w:rFonts w:hint="eastAsia" w:ascii="仿宋_GB2312" w:hAnsi="仿宋" w:eastAsia="仿宋_GB2312" w:cs="仿宋_GB2312"/>
          <w:sz w:val="24"/>
          <w:szCs w:val="24"/>
        </w:rPr>
        <w:br w:type="textWrapping"/>
      </w:r>
      <w:r>
        <w:rPr>
          <w:rFonts w:hint="eastAsia" w:ascii="宋体" w:hAnsi="宋体" w:eastAsia="宋体" w:cs="宋体"/>
          <w:sz w:val="24"/>
          <w:szCs w:val="24"/>
        </w:rPr>
        <w:t> </w:t>
      </w:r>
      <w:r>
        <w:rPr>
          <w:rFonts w:hint="eastAsia" w:ascii="仿宋_GB2312" w:hAnsi="仿宋" w:eastAsia="仿宋_GB2312" w:cs="仿宋_GB2312"/>
          <w:sz w:val="24"/>
          <w:szCs w:val="24"/>
        </w:rPr>
        <w:t xml:space="preserve">   </w:t>
      </w:r>
      <w:r>
        <w:rPr>
          <w:rFonts w:hint="eastAsia" w:ascii="仿宋_GB2312" w:hAnsi="仿宋" w:eastAsia="仿宋_GB2312" w:cs="Times New Roman"/>
          <w:sz w:val="24"/>
          <w:szCs w:val="24"/>
        </w:rPr>
        <w:t xml:space="preserve"> 13.19.5</w:t>
      </w:r>
      <w:r>
        <w:rPr>
          <w:rFonts w:hint="eastAsia" w:ascii="仿宋_GB2312" w:hAnsi="仿宋" w:eastAsia="仿宋_GB2312" w:cs="仿宋_GB2312"/>
          <w:sz w:val="24"/>
          <w:szCs w:val="24"/>
        </w:rPr>
        <w:t>其他弄虚作假的行为。</w:t>
      </w:r>
      <w:r>
        <w:rPr>
          <w:rFonts w:hint="eastAsia" w:ascii="仿宋_GB2312" w:hAnsi="仿宋" w:eastAsia="仿宋_GB2312" w:cs="仿宋_GB2312"/>
          <w:sz w:val="24"/>
          <w:szCs w:val="24"/>
        </w:rPr>
        <w:br w:type="textWrapping"/>
      </w:r>
      <w:r>
        <w:rPr>
          <w:rFonts w:hint="eastAsia" w:ascii="仿宋_GB2312" w:hAnsi="仿宋" w:eastAsia="仿宋_GB2312" w:cs="Times New Roman"/>
          <w:sz w:val="24"/>
          <w:szCs w:val="24"/>
        </w:rPr>
        <w:t xml:space="preserve">    13.20</w:t>
      </w:r>
      <w:r>
        <w:rPr>
          <w:rFonts w:hint="eastAsia" w:ascii="仿宋_GB2312" w:hAnsi="仿宋" w:eastAsia="仿宋_GB2312" w:cs="仿宋_GB2312"/>
          <w:sz w:val="24"/>
          <w:szCs w:val="24"/>
        </w:rPr>
        <w:t>投标人有恶意串通、妨碍其他投标人的竞争行为、损害采购人或者其他投标人的合法权益情形的；有下列情形之一的，属于或视为恶意串通，其投标无效：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w:t>
      </w:r>
      <w:r>
        <w:rPr>
          <w:rFonts w:hint="eastAsia" w:ascii="仿宋_GB2312" w:hAnsi="仿宋" w:eastAsia="仿宋_GB2312" w:cs="仿宋_GB2312"/>
          <w:sz w:val="24"/>
          <w:szCs w:val="24"/>
        </w:rPr>
        <w:t>供应商直接或者间接从采购人或者采购机构处获得其他供应商的相关情况并修改其投标文件或者响应文件；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13.20.2</w:t>
      </w:r>
      <w:r>
        <w:rPr>
          <w:rFonts w:hint="eastAsia" w:ascii="仿宋_GB2312" w:hAnsi="仿宋" w:eastAsia="仿宋_GB2312" w:cs="仿宋_GB2312"/>
          <w:sz w:val="24"/>
          <w:szCs w:val="24"/>
        </w:rPr>
        <w:t>供应商按照采购人或者采购机构的授意撤换、修改投标文件或者响应文件；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13.20.3</w:t>
      </w:r>
      <w:r>
        <w:rPr>
          <w:rFonts w:hint="eastAsia" w:ascii="仿宋_GB2312" w:hAnsi="仿宋" w:eastAsia="仿宋_GB2312" w:cs="仿宋_GB2312"/>
          <w:sz w:val="24"/>
          <w:szCs w:val="24"/>
        </w:rPr>
        <w:t>供应商之间协商报价、技术方案等投标文件或者响应文件的实质性内容；</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13.20.4</w:t>
      </w:r>
      <w:r>
        <w:rPr>
          <w:rFonts w:hint="eastAsia" w:ascii="仿宋_GB2312" w:hAnsi="仿宋" w:eastAsia="仿宋_GB2312" w:cs="仿宋_GB2312"/>
          <w:sz w:val="24"/>
          <w:szCs w:val="24"/>
        </w:rPr>
        <w:t>属于同一集团、协会、商会等组织成员的供应商按照该组织要求协同参加政府采购活动；</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13.20.5</w:t>
      </w:r>
      <w:r>
        <w:rPr>
          <w:rFonts w:hint="eastAsia" w:ascii="仿宋_GB2312" w:hAnsi="仿宋" w:eastAsia="仿宋_GB2312" w:cs="仿宋_GB2312"/>
          <w:sz w:val="24"/>
          <w:szCs w:val="24"/>
        </w:rPr>
        <w:t>供应商之间事先约定由某一特定供应商中标、成交；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13.20.6</w:t>
      </w:r>
      <w:r>
        <w:rPr>
          <w:rFonts w:hint="eastAsia" w:ascii="仿宋_GB2312" w:hAnsi="仿宋" w:eastAsia="仿宋_GB2312" w:cs="仿宋_GB2312"/>
          <w:sz w:val="24"/>
          <w:szCs w:val="24"/>
        </w:rPr>
        <w:t>供应商之间商定部分供应商放弃参加政府采购活动或者放弃中标、成交；</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13.20.7</w:t>
      </w:r>
      <w:r>
        <w:rPr>
          <w:rFonts w:hint="eastAsia" w:ascii="仿宋_GB2312" w:hAnsi="仿宋" w:eastAsia="仿宋_GB2312" w:cs="仿宋_GB2312"/>
          <w:sz w:val="24"/>
          <w:szCs w:val="24"/>
        </w:rPr>
        <w:t>供应商与采购人或者采购机构之间、供应商相互之间，为谋求特定供应商中标、成交或者排斥其他供应商的其他串通行为。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13.20.8</w:t>
      </w:r>
      <w:r>
        <w:rPr>
          <w:rFonts w:hint="eastAsia" w:ascii="仿宋_GB2312" w:hAnsi="仿宋" w:eastAsia="仿宋_GB2312" w:cs="仿宋_GB2312"/>
          <w:sz w:val="24"/>
          <w:szCs w:val="24"/>
        </w:rPr>
        <w:t>不同投标人的投标文件由同一单位或者个人编制；</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13.20.9</w:t>
      </w:r>
      <w:r>
        <w:rPr>
          <w:rFonts w:hint="eastAsia" w:ascii="仿宋_GB2312" w:hAnsi="仿宋" w:eastAsia="仿宋_GB2312" w:cs="仿宋_GB2312"/>
          <w:sz w:val="24"/>
          <w:szCs w:val="24"/>
        </w:rPr>
        <w:t>不同投标人委托同一单位或者个人办理投标事宜；</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13.20.10</w:t>
      </w:r>
      <w:r>
        <w:rPr>
          <w:rFonts w:hint="eastAsia" w:ascii="仿宋_GB2312" w:hAnsi="仿宋" w:eastAsia="仿宋_GB2312" w:cs="仿宋_GB2312"/>
          <w:sz w:val="24"/>
          <w:szCs w:val="24"/>
        </w:rPr>
        <w:t>不同投标人的投标文件载明的项目管理成员或者联系人员为同一人；</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13.20.11</w:t>
      </w:r>
      <w:r>
        <w:rPr>
          <w:rFonts w:hint="eastAsia" w:ascii="仿宋_GB2312" w:hAnsi="仿宋" w:eastAsia="仿宋_GB2312" w:cs="仿宋_GB2312"/>
          <w:sz w:val="24"/>
          <w:szCs w:val="24"/>
        </w:rPr>
        <w:t>不同投标人的投标文件异常一致或者投标报价呈规律性差异；</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13.20.12</w:t>
      </w:r>
      <w:r>
        <w:rPr>
          <w:rFonts w:hint="eastAsia" w:ascii="仿宋_GB2312" w:hAnsi="仿宋" w:eastAsia="仿宋_GB2312" w:cs="仿宋_GB2312"/>
          <w:sz w:val="24"/>
          <w:szCs w:val="24"/>
        </w:rPr>
        <w:t>不同投标人的投标文件相互混装；</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13.21</w:t>
      </w:r>
      <w:r>
        <w:rPr>
          <w:rFonts w:hint="eastAsia" w:ascii="仿宋_GB2312" w:hAnsi="仿宋" w:eastAsia="仿宋_GB2312" w:cs="仿宋_GB2312"/>
          <w:sz w:val="24"/>
          <w:szCs w:val="24"/>
        </w:rPr>
        <w:t>投标人仅提交备份投标文件，没有在电子交易平台传输递交投标文件的，投标无效；</w:t>
      </w:r>
    </w:p>
    <w:p>
      <w:pPr>
        <w:adjustRightIn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Times New Roman"/>
          <w:sz w:val="24"/>
          <w:szCs w:val="24"/>
        </w:rPr>
        <w:t>13.22</w:t>
      </w:r>
      <w:r>
        <w:rPr>
          <w:rFonts w:hint="eastAsia" w:ascii="仿宋_GB2312" w:hAnsi="仿宋" w:eastAsia="仿宋_GB2312" w:cs="仿宋_GB2312"/>
          <w:sz w:val="24"/>
          <w:szCs w:val="24"/>
        </w:rPr>
        <w:t>法律、法规、规章（适用本市的）及省级以上规范性文件（适用本市的）规定的其他无效情形。</w:t>
      </w:r>
    </w:p>
    <w:p>
      <w:pPr>
        <w:adjustRightInd w:val="0"/>
        <w:spacing w:line="360" w:lineRule="auto"/>
        <w:ind w:firstLine="240" w:firstLineChars="100"/>
        <w:rPr>
          <w:rFonts w:ascii="仿宋_GB2312" w:hAnsi="仿宋" w:eastAsia="仿宋_GB2312" w:cs="仿宋_GB2312"/>
          <w:sz w:val="24"/>
          <w:szCs w:val="21"/>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 xml:space="preserve">五、评标报告。 </w:t>
      </w:r>
    </w:p>
    <w:p>
      <w:pPr>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14. 评标报告与推荐中标候选人。</w:t>
      </w:r>
      <w:r>
        <w:rPr>
          <w:rFonts w:hint="eastAsia" w:ascii="仿宋_GB2312" w:hAnsi="仿宋" w:eastAsia="仿宋_GB2312" w:cs="仿宋_GB2312"/>
          <w:sz w:val="24"/>
          <w:szCs w:val="24"/>
        </w:rPr>
        <w:t>评标委员会根据原始评标记录和评标结果编写评标报告，并通过电子交易平台向采购人、采购机构提交。</w:t>
      </w:r>
    </w:p>
    <w:p>
      <w:pPr>
        <w:widowControl/>
        <w:spacing w:before="100" w:beforeAutospacing="1" w:after="100" w:afterAutospacing="1" w:line="360" w:lineRule="auto"/>
        <w:jc w:val="left"/>
        <w:rPr>
          <w:rFonts w:ascii="仿宋_GB2312" w:hAnsi="仿宋" w:eastAsia="仿宋_GB2312" w:cs="仿宋_GB2312"/>
          <w:sz w:val="24"/>
          <w:szCs w:val="24"/>
        </w:rPr>
      </w:pPr>
      <w:r>
        <w:rPr>
          <w:rFonts w:hint="eastAsia" w:ascii="仿宋_GB2312" w:hAnsi="仿宋" w:eastAsia="仿宋_GB2312" w:cs="仿宋_GB2312"/>
          <w:b/>
          <w:sz w:val="24"/>
          <w:szCs w:val="24"/>
        </w:rPr>
        <w:t>15. 评标争议事项处理。</w:t>
      </w:r>
      <w:r>
        <w:rPr>
          <w:rFonts w:hint="eastAsia" w:ascii="仿宋_GB2312" w:hAnsi="仿宋" w:eastAsia="仿宋_GB2312" w:cs="仿宋_GB2312"/>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before="100" w:beforeAutospacing="1" w:after="100" w:afterAutospacing="1" w:line="360" w:lineRule="auto"/>
        <w:jc w:val="left"/>
        <w:rPr>
          <w:rFonts w:ascii="仿宋_GB2312" w:hAnsi="ˎ̥" w:eastAsia="仿宋_GB2312" w:cs="宋体"/>
          <w:kern w:val="0"/>
          <w:sz w:val="24"/>
          <w:szCs w:val="24"/>
        </w:rPr>
      </w:pPr>
      <w:r>
        <w:rPr>
          <w:rFonts w:hint="eastAsia" w:ascii="仿宋_GB2312" w:hAnsi="仿宋" w:eastAsia="仿宋_GB2312" w:cs="仿宋_GB2312"/>
          <w:sz w:val="24"/>
          <w:szCs w:val="24"/>
        </w:rPr>
        <w:t xml:space="preserve">                    </w:t>
      </w:r>
    </w:p>
    <w:p>
      <w:pPr>
        <w:widowControl/>
        <w:spacing w:before="100" w:beforeAutospacing="1" w:after="100" w:afterAutospacing="1" w:line="360" w:lineRule="auto"/>
        <w:jc w:val="center"/>
        <w:rPr>
          <w:rFonts w:ascii="仿宋_GB2312" w:hAnsi="仿宋" w:eastAsia="仿宋_GB2312" w:cs="仿宋_GB2312"/>
          <w:b/>
          <w:sz w:val="32"/>
          <w:szCs w:val="24"/>
        </w:rPr>
      </w:pPr>
      <w:r>
        <w:rPr>
          <w:rFonts w:hint="eastAsia" w:ascii="仿宋_GB2312" w:hAnsi="仿宋" w:eastAsia="仿宋_GB2312" w:cs="仿宋_GB2312"/>
          <w:b/>
          <w:sz w:val="32"/>
          <w:szCs w:val="24"/>
        </w:rPr>
        <w:t>六、 废标</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16.废标。</w:t>
      </w:r>
      <w:r>
        <w:rPr>
          <w:rFonts w:hint="eastAsia" w:ascii="仿宋_GB2312" w:hAnsi="仿宋" w:eastAsia="仿宋_GB2312" w:cs="仿宋_GB2312"/>
          <w:sz w:val="24"/>
          <w:szCs w:val="24"/>
        </w:rPr>
        <w:t>根据《中华人民共和国政府采购法》第三十六条之规定，在采购中，出现下列情形之一的，应予废标：</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16.1符合专业条件的供应商或者对招标文件作实质响应的供应商不足3家的；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16.2出现影响采购公正的违法、违规行为的；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16.3投标人的报价均超过了采购预算，采购人不能支付的；</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16.4因重大变故，采购任务取消的。</w:t>
      </w:r>
    </w:p>
    <w:p>
      <w:pPr>
        <w:adjustRightInd w:val="0"/>
        <w:snapToGrid w:val="0"/>
        <w:spacing w:after="120" w:line="360" w:lineRule="auto"/>
        <w:ind w:left="420" w:leftChars="200"/>
        <w:rPr>
          <w:rFonts w:ascii="仿宋_GB2312" w:hAnsi="仿宋" w:eastAsia="仿宋_GB2312" w:cs="仿宋_GB2312"/>
          <w:sz w:val="24"/>
          <w:szCs w:val="24"/>
        </w:rPr>
      </w:pPr>
      <w:r>
        <w:rPr>
          <w:rFonts w:hint="eastAsia" w:ascii="仿宋_GB2312" w:hAnsi="仿宋" w:eastAsia="仿宋_GB2312" w:cs="仿宋_GB2312"/>
          <w:sz w:val="24"/>
          <w:szCs w:val="24"/>
        </w:rPr>
        <w:t>废标后，采购机构应当将废标理由通知所有投标人。</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七、 重新组织采购</w:t>
      </w:r>
    </w:p>
    <w:p>
      <w:pPr>
        <w:adjustRightInd w:val="0"/>
        <w:snapToGrid w:val="0"/>
        <w:spacing w:after="120"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17.修改招标文件，重新组织采购活动。</w:t>
      </w:r>
      <w:r>
        <w:rPr>
          <w:rFonts w:hint="eastAsia" w:ascii="仿宋_GB2312" w:hAnsi="仿宋" w:eastAsia="仿宋_GB2312" w:cs="仿宋_GB2312"/>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after="120" w:line="360" w:lineRule="auto"/>
        <w:rPr>
          <w:rFonts w:ascii="仿宋_GB2312" w:hAnsi="仿宋" w:eastAsia="仿宋_GB2312" w:cs="仿宋_GB2312"/>
          <w:sz w:val="24"/>
          <w:szCs w:val="24"/>
        </w:rPr>
      </w:pPr>
      <w:r>
        <w:rPr>
          <w:rFonts w:hint="eastAsia" w:ascii="仿宋_GB2312" w:hAnsi="Helvetica" w:eastAsia="仿宋_GB2312" w:cs="Helvetica"/>
          <w:b/>
          <w:kern w:val="0"/>
          <w:sz w:val="24"/>
          <w:szCs w:val="24"/>
        </w:rPr>
        <w:t>18.重新开展采购。</w:t>
      </w:r>
      <w:r>
        <w:rPr>
          <w:rFonts w:hint="eastAsia" w:ascii="仿宋_GB2312" w:hAnsi="仿宋" w:eastAsia="仿宋_GB2312" w:cs="仿宋_GB2312"/>
          <w:sz w:val="24"/>
          <w:szCs w:val="24"/>
        </w:rPr>
        <w:t>有政府采购法第七十一条、第七十二条规定的违法行为之一，影响或者可能影响中标、成交结果的，依照下列规定处理：</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18.1未确定中标或者中标人的，终止本次政府采购活动，重新开展政府采购活动。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18.3政府采购合同已签订但尚未履行的，撤销合同，从合格的中标或者成交候选人中另行确定中标或者中标人；没有合格的中标或者成交候选人的，重新开展政府采购活动。</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18.4政府采购合同已经履行，给采购人、供应商造成损失的，由责任人承担赔偿责任。</w:t>
      </w:r>
    </w:p>
    <w:p>
      <w:pPr>
        <w:adjustRightInd w:val="0"/>
        <w:snapToGrid w:val="0"/>
        <w:spacing w:after="120"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18.5政府采购当事人有其他违反政府采购法或者本条例规定的行为，经改正后仍然影响或者可能影响中标、成交结果或者依法被认定为中标、成交无效的，依照18.1-18.4规定处理。</w:t>
      </w: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after="120" w:line="360" w:lineRule="auto"/>
        <w:ind w:left="420" w:leftChars="200"/>
        <w:rPr>
          <w:rFonts w:ascii="仿宋_GB2312" w:hAnsi="仿宋" w:eastAsia="仿宋_GB2312" w:cs="仿宋_GB231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八、评审过程的保密与录像</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19.保密。</w:t>
      </w:r>
      <w:r>
        <w:rPr>
          <w:rFonts w:hint="eastAsia" w:ascii="仿宋_GB2312" w:hAnsi="仿宋" w:eastAsia="仿宋_GB2312" w:cs="仿宋_GB2312"/>
          <w:sz w:val="24"/>
          <w:szCs w:val="24"/>
        </w:rPr>
        <w:t>评审活动在严格保密的情况下进行。评审过程中凡是与采购响应文件评审和比较、中标中标人推荐等评审有关的情况，以及涉及国家秘密和商业秘密等信息，评审委员会成员、采购人和采购机构工作人员、相关监督人员等与评审有关的人员应当予以保密。</w:t>
      </w:r>
    </w:p>
    <w:p>
      <w:pPr>
        <w:widowControl/>
        <w:adjustRightInd w:val="0"/>
        <w:spacing w:line="360" w:lineRule="auto"/>
        <w:rPr>
          <w:rFonts w:ascii="仿宋_GB2312" w:hAnsi="仿宋" w:eastAsia="仿宋_GB2312" w:cs="仿宋_GB2312"/>
          <w:sz w:val="24"/>
          <w:szCs w:val="24"/>
        </w:rPr>
      </w:pPr>
      <w:r>
        <w:rPr>
          <w:rFonts w:hint="eastAsia" w:ascii="仿宋_GB2312" w:hAnsi="仿宋" w:eastAsia="仿宋_GB2312" w:cs="仿宋_GB2312"/>
          <w:b/>
          <w:sz w:val="24"/>
          <w:szCs w:val="24"/>
        </w:rPr>
        <w:t>20.录音录像。</w:t>
      </w:r>
      <w:r>
        <w:rPr>
          <w:rFonts w:hint="eastAsia" w:ascii="仿宋_GB2312" w:hAnsi="仿宋" w:eastAsia="仿宋_GB2312" w:cs="仿宋_GB2312"/>
          <w:sz w:val="24"/>
          <w:szCs w:val="24"/>
        </w:rPr>
        <w:t>采购机构对评审工作现场进行全过程录音录像，录音录像资料作为采购项目文件随其他文件一并存档。</w:t>
      </w: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p>
    <w:p>
      <w:pPr>
        <w:adjustRightInd w:val="0"/>
        <w:snapToGrid w:val="0"/>
        <w:spacing w:line="360" w:lineRule="auto"/>
        <w:ind w:left="120" w:leftChars="57" w:firstLine="482" w:firstLineChars="150"/>
        <w:jc w:val="center"/>
        <w:rPr>
          <w:rFonts w:ascii="仿宋_GB2312" w:hAnsi="仿宋" w:eastAsia="仿宋_GB2312" w:cs="仿宋_GB2312"/>
          <w:b/>
          <w:sz w:val="32"/>
          <w:szCs w:val="24"/>
        </w:rPr>
      </w:pPr>
      <w:r>
        <w:rPr>
          <w:rFonts w:hint="eastAsia" w:ascii="仿宋_GB2312" w:hAnsi="仿宋" w:eastAsia="仿宋_GB2312" w:cs="仿宋_GB2312"/>
          <w:b/>
          <w:sz w:val="32"/>
          <w:szCs w:val="24"/>
        </w:rPr>
        <w:t>九、具体评标标准</w:t>
      </w:r>
    </w:p>
    <w:p>
      <w:pPr>
        <w:autoSpaceDE w:val="0"/>
        <w:autoSpaceDN w:val="0"/>
        <w:adjustRightInd w:val="0"/>
        <w:spacing w:line="460" w:lineRule="exact"/>
        <w:ind w:firstLine="482" w:firstLineChars="200"/>
        <w:rPr>
          <w:rFonts w:ascii="仿宋_GB2312" w:hAnsi="宋体" w:eastAsia="仿宋_GB2312" w:cs="Times New Roman"/>
          <w:sz w:val="24"/>
          <w:szCs w:val="24"/>
        </w:rPr>
      </w:pPr>
      <w:r>
        <w:rPr>
          <w:rFonts w:hint="eastAsia" w:ascii="仿宋_GB2312" w:hAnsi="宋体" w:eastAsia="仿宋_GB2312" w:cs="Times New Roman"/>
          <w:b/>
          <w:sz w:val="24"/>
          <w:szCs w:val="24"/>
        </w:rPr>
        <w:t>一、本项目采用综合评分法</w:t>
      </w:r>
      <w:r>
        <w:rPr>
          <w:rFonts w:hint="eastAsia" w:ascii="仿宋_GB2312" w:hAnsi="宋体" w:eastAsia="仿宋_GB2312" w:cs="Times New Roman"/>
          <w:sz w:val="24"/>
          <w:szCs w:val="24"/>
        </w:rPr>
        <w:t>，评标委员会将对各投标人的投标报价、</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投标人提供的资质和业绩情况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_GB2312" w:hAnsi="仿宋" w:eastAsia="仿宋_GB2312" w:cs="仿宋_GB2312"/>
          <w:sz w:val="24"/>
          <w:szCs w:val="21"/>
        </w:rPr>
        <w:t>得分且投标报价相同的并列</w:t>
      </w:r>
      <w:r>
        <w:rPr>
          <w:rFonts w:hint="eastAsia" w:ascii="仿宋_GB2312" w:hAnsi="宋体" w:eastAsia="仿宋_GB2312" w:cs="Times New Roman"/>
          <w:sz w:val="24"/>
          <w:szCs w:val="24"/>
        </w:rPr>
        <w:t xml:space="preserve">，并形成评标意见。 </w:t>
      </w:r>
    </w:p>
    <w:p>
      <w:pPr>
        <w:adjustRightInd w:val="0"/>
        <w:spacing w:line="460" w:lineRule="exact"/>
        <w:ind w:left="105" w:leftChars="50" w:firstLine="427" w:firstLineChars="178"/>
        <w:rPr>
          <w:rFonts w:ascii="仿宋_GB2312" w:hAnsi="宋体" w:eastAsia="仿宋_GB2312" w:cs="Times New Roman"/>
          <w:b/>
          <w:sz w:val="24"/>
          <w:szCs w:val="24"/>
        </w:rPr>
      </w:pPr>
      <w:r>
        <w:rPr>
          <w:rFonts w:hint="eastAsia" w:ascii="仿宋_GB2312" w:hAnsi="宋体" w:eastAsia="仿宋_GB2312" w:cs="Times New Roman"/>
          <w:sz w:val="24"/>
          <w:szCs w:val="24"/>
        </w:rPr>
        <w:t>各投标人的综合得分为：投标价格得分+</w:t>
      </w:r>
      <w:r>
        <w:rPr>
          <w:rFonts w:hint="eastAsia" w:ascii="仿宋_GB2312" w:hAnsi="宋体" w:eastAsia="仿宋_GB2312" w:cs="Times New Roman"/>
          <w:bCs/>
          <w:sz w:val="24"/>
          <w:szCs w:val="24"/>
        </w:rPr>
        <w:t>技术和服务方案</w:t>
      </w:r>
      <w:r>
        <w:rPr>
          <w:rFonts w:hint="eastAsia" w:ascii="仿宋_GB2312" w:hAnsi="宋体" w:eastAsia="仿宋_GB2312" w:cs="Times New Roman"/>
          <w:sz w:val="24"/>
          <w:szCs w:val="24"/>
        </w:rPr>
        <w:t>得分+投标人的资质和业绩情况得分之和，</w:t>
      </w:r>
      <w:r>
        <w:rPr>
          <w:rFonts w:hint="eastAsia" w:ascii="仿宋_GB2312" w:hAnsi="宋体" w:eastAsia="仿宋_GB2312" w:cs="Times New Roman"/>
          <w:b/>
          <w:sz w:val="24"/>
          <w:szCs w:val="24"/>
        </w:rPr>
        <w:t>总和为</w:t>
      </w:r>
      <w:r>
        <w:rPr>
          <w:rFonts w:hint="eastAsia" w:ascii="仿宋_GB2312" w:hAnsi="宋体" w:eastAsia="仿宋_GB2312" w:cs="Times New Roman"/>
          <w:b/>
          <w:sz w:val="24"/>
          <w:szCs w:val="24"/>
          <w:u w:val="single"/>
        </w:rPr>
        <w:t>100</w:t>
      </w:r>
      <w:r>
        <w:rPr>
          <w:rFonts w:hint="eastAsia" w:ascii="仿宋_GB2312" w:hAnsi="宋体" w:eastAsia="仿宋_GB2312" w:cs="Times New Roman"/>
          <w:b/>
          <w:sz w:val="24"/>
          <w:szCs w:val="24"/>
        </w:rPr>
        <w:t>分</w:t>
      </w:r>
      <w:r>
        <w:rPr>
          <w:rFonts w:hint="eastAsia" w:ascii="仿宋_GB2312" w:hAnsi="宋体" w:eastAsia="仿宋_GB2312" w:cs="Times New Roman"/>
          <w:sz w:val="24"/>
          <w:szCs w:val="24"/>
        </w:rPr>
        <w:t>，其中：</w:t>
      </w:r>
      <w:r>
        <w:rPr>
          <w:rFonts w:hint="eastAsia" w:ascii="仿宋_GB2312" w:hAnsi="仿宋" w:eastAsia="仿宋_GB2312" w:cs="Times New Roman"/>
          <w:b/>
          <w:sz w:val="24"/>
          <w:szCs w:val="24"/>
        </w:rPr>
        <w:t>投标价格得分</w:t>
      </w:r>
      <w:r>
        <w:rPr>
          <w:rFonts w:hint="eastAsia" w:ascii="仿宋_GB2312" w:hAnsi="仿宋" w:eastAsia="仿宋_GB2312" w:cs="Times New Roman"/>
          <w:b/>
          <w:sz w:val="24"/>
          <w:szCs w:val="24"/>
          <w:u w:val="single"/>
          <w:lang w:val="en-US" w:eastAsia="zh-CN"/>
        </w:rPr>
        <w:t>30</w:t>
      </w:r>
      <w:r>
        <w:rPr>
          <w:rFonts w:hint="eastAsia" w:ascii="仿宋_GB2312" w:hAnsi="仿宋" w:eastAsia="仿宋_GB2312" w:cs="Times New Roman"/>
          <w:b/>
          <w:sz w:val="24"/>
          <w:szCs w:val="24"/>
        </w:rPr>
        <w:t>分，</w:t>
      </w:r>
      <w:r>
        <w:rPr>
          <w:rFonts w:hint="eastAsia" w:ascii="仿宋_GB2312" w:hAnsi="仿宋" w:eastAsia="仿宋_GB2312" w:cs="Times New Roman"/>
          <w:b/>
          <w:bCs/>
          <w:sz w:val="24"/>
          <w:szCs w:val="24"/>
        </w:rPr>
        <w:t>技术和服务方案得分</w:t>
      </w:r>
      <w:r>
        <w:rPr>
          <w:rFonts w:hint="eastAsia" w:ascii="仿宋_GB2312" w:hAnsi="仿宋" w:eastAsia="仿宋_GB2312" w:cs="Times New Roman"/>
          <w:b/>
          <w:sz w:val="24"/>
          <w:szCs w:val="24"/>
          <w:u w:val="single"/>
          <w:lang w:val="en-US" w:eastAsia="zh-CN"/>
        </w:rPr>
        <w:t>68</w:t>
      </w:r>
      <w:r>
        <w:rPr>
          <w:rFonts w:hint="eastAsia" w:ascii="仿宋_GB2312" w:hAnsi="仿宋" w:eastAsia="仿宋_GB2312" w:cs="Times New Roman"/>
          <w:b/>
          <w:sz w:val="24"/>
          <w:szCs w:val="24"/>
        </w:rPr>
        <w:t>分，投标人的资质和业绩情况得分</w:t>
      </w:r>
      <w:r>
        <w:rPr>
          <w:rFonts w:hint="eastAsia" w:ascii="仿宋_GB2312" w:hAnsi="仿宋" w:eastAsia="仿宋_GB2312" w:cs="Times New Roman"/>
          <w:b/>
          <w:sz w:val="24"/>
          <w:szCs w:val="24"/>
          <w:u w:val="single"/>
          <w:lang w:val="en-US" w:eastAsia="zh-CN"/>
        </w:rPr>
        <w:t>2</w:t>
      </w:r>
      <w:r>
        <w:rPr>
          <w:rFonts w:hint="eastAsia" w:ascii="仿宋_GB2312" w:hAnsi="仿宋" w:eastAsia="仿宋_GB2312" w:cs="Times New Roman"/>
          <w:b/>
          <w:sz w:val="24"/>
          <w:szCs w:val="24"/>
        </w:rPr>
        <w:t>分</w:t>
      </w:r>
      <w:r>
        <w:rPr>
          <w:rFonts w:hint="eastAsia" w:ascii="仿宋_GB2312" w:hAnsi="宋体" w:eastAsia="仿宋_GB2312" w:cs="Times New Roman"/>
          <w:b/>
          <w:sz w:val="24"/>
          <w:szCs w:val="24"/>
        </w:rPr>
        <w:t>。</w:t>
      </w:r>
    </w:p>
    <w:p>
      <w:pPr>
        <w:tabs>
          <w:tab w:val="left" w:pos="0"/>
        </w:tabs>
        <w:adjustRightInd w:val="0"/>
        <w:spacing w:line="460" w:lineRule="exact"/>
        <w:ind w:firstLine="542" w:firstLineChars="225"/>
        <w:rPr>
          <w:rFonts w:ascii="仿宋_GB2312" w:hAnsi="宋体" w:eastAsia="仿宋_GB2312" w:cs="Times New Roman"/>
          <w:sz w:val="24"/>
          <w:szCs w:val="24"/>
        </w:rPr>
      </w:pPr>
      <w:r>
        <w:rPr>
          <w:rFonts w:hint="eastAsia" w:ascii="仿宋_GB2312" w:hAnsi="宋体" w:eastAsia="仿宋_GB2312" w:cs="Times New Roman"/>
          <w:b/>
          <w:sz w:val="24"/>
          <w:szCs w:val="24"/>
        </w:rPr>
        <w:t>各投标人的技术和服务方案、投标人的资质和业绩情况得分为：评标委员会各成员评分的算术平均值。各投标人的投标价格得分按投标价格评分</w:t>
      </w:r>
      <w:r>
        <w:rPr>
          <w:rFonts w:hint="eastAsia" w:ascii="仿宋_GB2312" w:hAnsi="宋体" w:eastAsia="仿宋_GB2312" w:cs="宋体"/>
          <w:b/>
          <w:kern w:val="0"/>
          <w:sz w:val="24"/>
          <w:szCs w:val="24"/>
        </w:rPr>
        <w:t>公式由采购机构计算，</w:t>
      </w:r>
      <w:r>
        <w:rPr>
          <w:rFonts w:hint="eastAsia" w:ascii="仿宋_GB2312" w:hAnsi="宋体" w:eastAsia="仿宋_GB2312" w:cs="Times New Roman"/>
          <w:b/>
          <w:sz w:val="24"/>
          <w:szCs w:val="24"/>
        </w:rPr>
        <w:t>评标委员会审核。</w:t>
      </w:r>
      <w:r>
        <w:rPr>
          <w:rFonts w:hint="eastAsia" w:ascii="仿宋_GB2312" w:hAnsi="宋体" w:eastAsia="仿宋_GB2312" w:cs="Times New Roman"/>
          <w:sz w:val="24"/>
          <w:szCs w:val="24"/>
        </w:rPr>
        <w:t>根据上述评标原则，分值安排如下：</w:t>
      </w:r>
    </w:p>
    <w:p>
      <w:pPr>
        <w:adjustRightInd w:val="0"/>
        <w:spacing w:line="460" w:lineRule="exact"/>
        <w:ind w:firstLine="482" w:firstLineChars="200"/>
        <w:rPr>
          <w:rFonts w:ascii="仿宋_GB2312" w:hAnsi="宋体" w:eastAsia="仿宋_GB2312" w:cs="Times New Roman"/>
          <w:b/>
          <w:color w:val="auto"/>
          <w:sz w:val="24"/>
          <w:szCs w:val="24"/>
          <w:highlight w:val="none"/>
          <w:shd w:val="clear" w:color="auto" w:fill="auto"/>
        </w:rPr>
      </w:pPr>
      <w:r>
        <w:rPr>
          <w:rFonts w:hint="eastAsia" w:ascii="仿宋_GB2312" w:hAnsi="宋体" w:eastAsia="仿宋_GB2312" w:cs="Times New Roman"/>
          <w:b/>
          <w:sz w:val="24"/>
          <w:szCs w:val="24"/>
        </w:rPr>
        <w:t>A、</w:t>
      </w:r>
      <w:r>
        <w:rPr>
          <w:rFonts w:hint="eastAsia" w:ascii="仿宋_GB2312" w:hAnsi="宋体" w:eastAsia="仿宋_GB2312" w:cs="Times New Roman"/>
          <w:b/>
          <w:color w:val="auto"/>
          <w:sz w:val="24"/>
          <w:szCs w:val="24"/>
          <w:highlight w:val="none"/>
          <w:shd w:val="clear" w:color="auto" w:fill="auto"/>
        </w:rPr>
        <w:t>投标价格（A=</w:t>
      </w:r>
      <w:r>
        <w:rPr>
          <w:rFonts w:hint="eastAsia" w:ascii="仿宋_GB2312" w:hAnsi="宋体" w:eastAsia="仿宋_GB2312" w:cs="Times New Roman"/>
          <w:b/>
          <w:color w:val="auto"/>
          <w:sz w:val="24"/>
          <w:szCs w:val="24"/>
          <w:highlight w:val="none"/>
          <w:u w:val="single"/>
          <w:shd w:val="clear" w:color="auto" w:fill="auto"/>
        </w:rPr>
        <w:t xml:space="preserve"> </w:t>
      </w:r>
      <w:r>
        <w:rPr>
          <w:rFonts w:hint="eastAsia" w:ascii="仿宋_GB2312" w:hAnsi="宋体" w:eastAsia="仿宋_GB2312" w:cs="Times New Roman"/>
          <w:b/>
          <w:color w:val="auto"/>
          <w:sz w:val="24"/>
          <w:szCs w:val="24"/>
          <w:highlight w:val="none"/>
          <w:u w:val="single"/>
          <w:shd w:val="clear" w:color="auto" w:fill="auto"/>
          <w:lang w:val="en-US" w:eastAsia="zh-CN"/>
        </w:rPr>
        <w:t>30</w:t>
      </w:r>
      <w:r>
        <w:rPr>
          <w:rFonts w:hint="eastAsia" w:ascii="仿宋_GB2312" w:hAnsi="宋体" w:eastAsia="仿宋_GB2312" w:cs="Times New Roman"/>
          <w:b/>
          <w:color w:val="auto"/>
          <w:sz w:val="24"/>
          <w:szCs w:val="24"/>
          <w:highlight w:val="none"/>
          <w:shd w:val="clear" w:color="auto" w:fill="auto"/>
        </w:rPr>
        <w:t>分）：</w:t>
      </w:r>
    </w:p>
    <w:p>
      <w:pPr>
        <w:adjustRightInd w:val="0"/>
        <w:spacing w:line="360" w:lineRule="auto"/>
        <w:ind w:firstLine="482" w:firstLineChars="200"/>
        <w:rPr>
          <w:rFonts w:ascii="仿宋_GB2312" w:hAnsi="仿宋" w:eastAsia="仿宋_GB2312" w:cs="仿宋_GB2312"/>
          <w:color w:val="auto"/>
          <w:sz w:val="24"/>
          <w:szCs w:val="24"/>
          <w:highlight w:val="none"/>
          <w:shd w:val="clear" w:color="auto" w:fill="auto"/>
        </w:rPr>
      </w:pPr>
      <w:r>
        <w:rPr>
          <w:rFonts w:hint="eastAsia" w:ascii="仿宋_GB2312" w:hAnsi="宋体" w:eastAsia="仿宋_GB2312" w:cs="仿宋_GB2312"/>
          <w:b/>
          <w:bCs/>
          <w:color w:val="auto"/>
          <w:sz w:val="24"/>
          <w:szCs w:val="24"/>
          <w:highlight w:val="none"/>
          <w:shd w:val="clear" w:color="auto" w:fill="auto"/>
          <w:lang w:val="zh-CN"/>
        </w:rPr>
        <w:t>报价的合理性：</w:t>
      </w:r>
      <w:r>
        <w:rPr>
          <w:rFonts w:hint="eastAsia" w:ascii="仿宋_GB2312" w:hAnsi="宋体" w:eastAsia="仿宋_GB2312" w:cs="Times New Roman"/>
          <w:color w:val="auto"/>
          <w:sz w:val="24"/>
          <w:szCs w:val="24"/>
          <w:highlight w:val="none"/>
          <w:shd w:val="clear" w:color="auto" w:fill="auto"/>
        </w:rPr>
        <w:t>评标委员会认为投标人的</w:t>
      </w:r>
      <w:r>
        <w:rPr>
          <w:rFonts w:hint="eastAsia" w:ascii="仿宋_GB2312" w:hAnsi="仿宋" w:eastAsia="仿宋_GB2312" w:cs="仿宋_GB2312"/>
          <w:color w:val="auto"/>
          <w:sz w:val="24"/>
          <w:szCs w:val="24"/>
          <w:highlight w:val="none"/>
          <w:shd w:val="clear" w:color="auto" w:fill="auto"/>
        </w:rPr>
        <w:t>报价明显低于其他通过符合性审查投标人的报价，有可能影响产品质量或者不能诚信履约的，应当要求提供其在合理的时间内书面提供书面说明，必要时提交相关证明材料；投标人不能证明其报价合理性的，评标委员会应当将其作为无效投标处理;</w:t>
      </w:r>
    </w:p>
    <w:p>
      <w:pPr>
        <w:adjustRightInd w:val="0"/>
        <w:spacing w:line="460" w:lineRule="exact"/>
        <w:ind w:firstLine="480" w:firstLineChars="200"/>
        <w:rPr>
          <w:rFonts w:ascii="仿宋_GB2312" w:hAnsi="宋体" w:eastAsia="仿宋_GB2312" w:cs="Times New Roman"/>
          <w:sz w:val="24"/>
          <w:szCs w:val="24"/>
        </w:rPr>
      </w:pPr>
      <w:r>
        <w:rPr>
          <w:rFonts w:hint="eastAsia" w:ascii="仿宋_GB2312" w:hAnsi="宋体" w:eastAsia="仿宋_GB2312" w:cs="仿宋_GB2312"/>
          <w:color w:val="auto"/>
          <w:sz w:val="24"/>
          <w:szCs w:val="24"/>
          <w:highlight w:val="none"/>
          <w:shd w:val="clear" w:color="auto" w:fill="auto"/>
          <w:lang w:val="zh-CN"/>
        </w:rPr>
        <w:t>报价分计算方法：根据各投标人的有效投标报价，以满足招标文件要求且有效投标价格的最低的投标报价为评标基准价，其价格分为</w:t>
      </w:r>
      <w:r>
        <w:rPr>
          <w:rFonts w:hint="eastAsia" w:ascii="仿宋_GB2312" w:hAnsi="宋体" w:eastAsia="仿宋_GB2312" w:cs="仿宋_GB2312"/>
          <w:color w:val="auto"/>
          <w:sz w:val="24"/>
          <w:szCs w:val="24"/>
          <w:highlight w:val="none"/>
          <w:u w:val="single"/>
          <w:shd w:val="clear" w:color="auto" w:fill="auto"/>
          <w:lang w:val="zh-CN"/>
        </w:rPr>
        <w:t xml:space="preserve"> </w:t>
      </w:r>
      <w:r>
        <w:rPr>
          <w:rFonts w:hint="eastAsia" w:ascii="仿宋_GB2312" w:hAnsi="宋体" w:eastAsia="仿宋_GB2312" w:cs="仿宋_GB2312"/>
          <w:color w:val="auto"/>
          <w:sz w:val="24"/>
          <w:szCs w:val="24"/>
          <w:highlight w:val="none"/>
          <w:u w:val="single"/>
          <w:shd w:val="clear" w:color="auto" w:fill="auto"/>
          <w:lang w:val="en-US" w:eastAsia="zh-CN"/>
        </w:rPr>
        <w:t>30</w:t>
      </w:r>
      <w:r>
        <w:rPr>
          <w:rFonts w:hint="eastAsia" w:ascii="仿宋_GB2312" w:hAnsi="宋体" w:eastAsia="仿宋_GB2312" w:cs="仿宋_GB2312"/>
          <w:color w:val="auto"/>
          <w:sz w:val="24"/>
          <w:szCs w:val="24"/>
          <w:highlight w:val="none"/>
          <w:shd w:val="clear" w:color="auto" w:fill="auto"/>
          <w:lang w:val="zh-CN"/>
        </w:rPr>
        <w:t>分。其他投标人的价格分统一按照下列公式计算：投标报价得分＝(评标基准价/有效投标报价</w:t>
      </w:r>
      <w:r>
        <w:rPr>
          <w:rFonts w:hint="eastAsia" w:ascii="仿宋_GB2312" w:hAnsi="宋体" w:eastAsia="仿宋_GB2312" w:cs="仿宋_GB2312"/>
          <w:sz w:val="24"/>
          <w:szCs w:val="24"/>
          <w:lang w:val="zh-CN"/>
        </w:rPr>
        <w:t>)</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价格权值</w:t>
      </w:r>
      <w:r>
        <w:rPr>
          <w:rFonts w:hint="eastAsia" w:ascii="仿宋_GB2312" w:hAnsi="宋体" w:eastAsia="仿宋_GB2312" w:cs="Times New Roman"/>
          <w:sz w:val="24"/>
          <w:szCs w:val="24"/>
        </w:rPr>
        <w:t>×</w:t>
      </w:r>
      <w:r>
        <w:rPr>
          <w:rFonts w:hint="eastAsia" w:ascii="仿宋_GB2312" w:hAnsi="宋体" w:eastAsia="仿宋_GB2312" w:cs="仿宋_GB2312"/>
          <w:sz w:val="24"/>
          <w:szCs w:val="24"/>
          <w:lang w:val="zh-CN"/>
        </w:rPr>
        <w:t>100。</w:t>
      </w:r>
    </w:p>
    <w:p>
      <w:pPr>
        <w:snapToGrid w:val="0"/>
        <w:spacing w:line="460" w:lineRule="exact"/>
        <w:ind w:firstLine="482" w:firstLineChars="200"/>
        <w:rPr>
          <w:rFonts w:ascii="仿宋" w:hAnsi="仿宋" w:eastAsia="仿宋" w:cs="仿宋"/>
          <w:sz w:val="24"/>
          <w:highlight w:val="none"/>
        </w:rPr>
      </w:pPr>
      <w:r>
        <w:rPr>
          <w:rFonts w:hint="eastAsia" w:ascii="仿宋" w:hAnsi="仿宋" w:eastAsia="仿宋" w:cs="仿宋"/>
          <w:b/>
          <w:bCs/>
          <w:sz w:val="24"/>
          <w:highlight w:val="none"/>
        </w:rPr>
        <w:t>B、技术和服务方案（B=</w:t>
      </w:r>
      <w:r>
        <w:rPr>
          <w:rFonts w:hint="eastAsia" w:ascii="仿宋" w:hAnsi="仿宋" w:eastAsia="仿宋" w:cs="仿宋"/>
          <w:b/>
          <w:bCs/>
          <w:sz w:val="24"/>
          <w:highlight w:val="none"/>
          <w:lang w:val="en-US" w:eastAsia="zh-CN"/>
        </w:rPr>
        <w:t>68</w:t>
      </w:r>
      <w:r>
        <w:rPr>
          <w:rFonts w:hint="eastAsia" w:ascii="仿宋" w:hAnsi="仿宋" w:eastAsia="仿宋" w:cs="仿宋"/>
          <w:b/>
          <w:bCs/>
          <w:sz w:val="24"/>
          <w:highlight w:val="none"/>
        </w:rPr>
        <w:t>分）：</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bidi w:val="0"/>
        <w:adjustRightInd/>
        <w:spacing w:line="480" w:lineRule="atLeast"/>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bCs/>
          <w:sz w:val="24"/>
          <w:szCs w:val="24"/>
          <w:highlight w:val="none"/>
        </w:rPr>
        <w:t>（1）技术方案要求（</w:t>
      </w:r>
      <w:r>
        <w:rPr>
          <w:rFonts w:hint="eastAsia" w:ascii="仿宋_GB2312" w:hAnsi="仿宋_GB2312" w:eastAsia="仿宋_GB2312" w:cs="仿宋_GB2312"/>
          <w:b/>
          <w:bCs/>
          <w:sz w:val="24"/>
          <w:szCs w:val="24"/>
          <w:highlight w:val="none"/>
          <w:lang w:val="en-US" w:eastAsia="zh-CN"/>
        </w:rPr>
        <w:t>47</w:t>
      </w:r>
      <w:r>
        <w:rPr>
          <w:rFonts w:hint="eastAsia" w:ascii="仿宋_GB2312" w:hAnsi="仿宋_GB2312" w:eastAsia="仿宋_GB2312" w:cs="仿宋_GB2312"/>
          <w:b/>
          <w:bCs/>
          <w:sz w:val="24"/>
          <w:szCs w:val="24"/>
          <w:highlight w:val="none"/>
        </w:rPr>
        <w:t>分）：</w:t>
      </w:r>
    </w:p>
    <w:p>
      <w:pPr>
        <w:spacing w:line="460" w:lineRule="exact"/>
        <w:ind w:firstLine="480" w:firstLineChars="200"/>
        <w:rPr>
          <w:rFonts w:hint="eastAsia" w:ascii="仿宋_GB2312" w:hAnsi="宋体" w:eastAsia="仿宋_GB2312"/>
          <w:bCs/>
          <w:sz w:val="24"/>
          <w:highlight w:val="none"/>
          <w:lang w:val="zh-TW" w:eastAsia="zh-CN"/>
        </w:rPr>
      </w:pPr>
      <w:r>
        <w:rPr>
          <w:rFonts w:hint="eastAsia" w:ascii="仿宋_GB2312" w:hAnsi="仿宋_GB2312" w:eastAsia="仿宋_GB2312" w:cs="仿宋_GB2312"/>
          <w:kern w:val="2"/>
          <w:sz w:val="24"/>
          <w:szCs w:val="24"/>
          <w:highlight w:val="none"/>
          <w:lang w:val="en-US" w:eastAsia="zh-CN" w:bidi="ar-SA"/>
        </w:rPr>
        <w:t>●</w:t>
      </w:r>
      <w:r>
        <w:rPr>
          <w:rFonts w:hint="eastAsia" w:ascii="仿宋_GB2312" w:hAnsi="宋体" w:eastAsia="仿宋_GB2312"/>
          <w:bCs/>
          <w:sz w:val="24"/>
          <w:highlight w:val="none"/>
          <w:lang w:val="zh-TW" w:eastAsia="zh-CN"/>
        </w:rPr>
        <w:t>根据投标人对本项目的理解程度，充分考虑用户实际使用场景，提出整体技术解决方案。方案科学、先进、可行的得</w:t>
      </w:r>
      <w:r>
        <w:rPr>
          <w:rFonts w:hint="eastAsia" w:ascii="仿宋_GB2312" w:hAnsi="宋体" w:eastAsia="仿宋_GB2312"/>
          <w:bCs/>
          <w:sz w:val="24"/>
          <w:highlight w:val="none"/>
          <w:lang w:val="en-US" w:eastAsia="zh-CN"/>
        </w:rPr>
        <w:t>3</w:t>
      </w:r>
      <w:r>
        <w:rPr>
          <w:rFonts w:hint="eastAsia" w:ascii="仿宋_GB2312" w:hAnsi="宋体" w:eastAsia="仿宋_GB2312"/>
          <w:bCs/>
          <w:sz w:val="24"/>
          <w:highlight w:val="none"/>
          <w:lang w:val="zh-TW" w:eastAsia="zh-CN"/>
        </w:rPr>
        <w:t>分，方案基本可行的得1分，与实际情况不符的不得分（</w:t>
      </w:r>
      <w:r>
        <w:rPr>
          <w:rFonts w:hint="eastAsia" w:ascii="仿宋_GB2312" w:hAnsi="宋体" w:eastAsia="仿宋_GB2312"/>
          <w:bCs/>
          <w:sz w:val="24"/>
          <w:highlight w:val="none"/>
          <w:lang w:val="en-US" w:eastAsia="zh-CN"/>
        </w:rPr>
        <w:t>3分</w:t>
      </w:r>
      <w:r>
        <w:rPr>
          <w:rFonts w:hint="eastAsia" w:ascii="仿宋_GB2312" w:hAnsi="宋体" w:eastAsia="仿宋_GB2312"/>
          <w:bCs/>
          <w:sz w:val="24"/>
          <w:highlight w:val="none"/>
          <w:lang w:val="zh-TW" w:eastAsia="zh-CN"/>
        </w:rPr>
        <w:t>）；</w:t>
      </w:r>
    </w:p>
    <w:p>
      <w:pPr>
        <w:spacing w:line="460" w:lineRule="exact"/>
        <w:ind w:firstLine="480" w:firstLineChars="200"/>
        <w:rPr>
          <w:rFonts w:hint="eastAsia" w:ascii="仿宋_GB2312" w:hAnsi="宋体" w:eastAsia="仿宋_GB2312"/>
          <w:bCs/>
          <w:sz w:val="24"/>
          <w:highlight w:val="none"/>
          <w:lang w:val="zh-TW" w:eastAsia="zh-CN"/>
        </w:rPr>
      </w:pPr>
      <w:r>
        <w:rPr>
          <w:rFonts w:hint="eastAsia" w:ascii="仿宋_GB2312" w:hAnsi="宋体" w:eastAsia="仿宋_GB2312"/>
          <w:bCs/>
          <w:sz w:val="24"/>
          <w:highlight w:val="none"/>
          <w:lang w:val="en-US" w:eastAsia="zh-CN"/>
        </w:rPr>
        <w:t>●</w:t>
      </w:r>
      <w:r>
        <w:rPr>
          <w:rFonts w:hint="eastAsia" w:ascii="仿宋_GB2312" w:hAnsi="宋体" w:eastAsia="仿宋_GB2312"/>
          <w:bCs/>
          <w:sz w:val="24"/>
          <w:highlight w:val="none"/>
          <w:lang w:val="zh-TW" w:eastAsia="zh-CN"/>
        </w:rPr>
        <w:t>投标人阐述本项目大队交通综合管控平台升级方案的建设内容，包含：①交通视频汇聚云平台升级、②交通情指勤督实战平台建设、③交通数据可视化平台建设，功能模块内容详尽且较好满足采购人需求的，每一项得</w:t>
      </w:r>
      <w:r>
        <w:rPr>
          <w:rFonts w:hint="eastAsia" w:ascii="仿宋_GB2312" w:hAnsi="宋体" w:eastAsia="仿宋_GB2312"/>
          <w:bCs/>
          <w:sz w:val="24"/>
          <w:highlight w:val="none"/>
          <w:lang w:val="en-US" w:eastAsia="zh-CN"/>
        </w:rPr>
        <w:t>3</w:t>
      </w:r>
      <w:r>
        <w:rPr>
          <w:rFonts w:hint="eastAsia" w:ascii="仿宋_GB2312" w:hAnsi="宋体" w:eastAsia="仿宋_GB2312"/>
          <w:bCs/>
          <w:sz w:val="24"/>
          <w:highlight w:val="none"/>
          <w:lang w:val="zh-TW" w:eastAsia="zh-CN"/>
        </w:rPr>
        <w:t>分，内容缺少或部分满足采购人需求的，每一项得</w:t>
      </w:r>
      <w:r>
        <w:rPr>
          <w:rFonts w:hint="eastAsia" w:ascii="仿宋_GB2312" w:hAnsi="宋体" w:eastAsia="仿宋_GB2312"/>
          <w:bCs/>
          <w:sz w:val="24"/>
          <w:highlight w:val="none"/>
          <w:lang w:val="en-US" w:eastAsia="zh-CN"/>
        </w:rPr>
        <w:t>1</w:t>
      </w:r>
      <w:r>
        <w:rPr>
          <w:rFonts w:hint="eastAsia" w:ascii="仿宋_GB2312" w:hAnsi="宋体" w:eastAsia="仿宋_GB2312"/>
          <w:bCs/>
          <w:sz w:val="24"/>
          <w:highlight w:val="none"/>
          <w:lang w:val="zh-TW" w:eastAsia="zh-CN"/>
        </w:rPr>
        <w:t>分，无内容或不满足采购人需求的不得分，最高得</w:t>
      </w:r>
      <w:r>
        <w:rPr>
          <w:rFonts w:hint="eastAsia" w:ascii="仿宋_GB2312" w:hAnsi="宋体" w:eastAsia="仿宋_GB2312"/>
          <w:bCs/>
          <w:sz w:val="24"/>
          <w:highlight w:val="none"/>
          <w:lang w:val="en-US" w:eastAsia="zh-CN"/>
        </w:rPr>
        <w:t>9</w:t>
      </w:r>
      <w:r>
        <w:rPr>
          <w:rFonts w:hint="eastAsia" w:ascii="仿宋_GB2312" w:hAnsi="宋体" w:eastAsia="仿宋_GB2312"/>
          <w:bCs/>
          <w:sz w:val="24"/>
          <w:highlight w:val="none"/>
          <w:lang w:val="zh-TW" w:eastAsia="zh-CN"/>
        </w:rPr>
        <w:t>分（</w:t>
      </w:r>
      <w:r>
        <w:rPr>
          <w:rFonts w:hint="eastAsia" w:ascii="仿宋_GB2312" w:hAnsi="宋体" w:eastAsia="仿宋_GB2312"/>
          <w:bCs/>
          <w:sz w:val="24"/>
          <w:highlight w:val="none"/>
          <w:lang w:val="en-US" w:eastAsia="zh-CN"/>
        </w:rPr>
        <w:t>9分</w:t>
      </w:r>
      <w:r>
        <w:rPr>
          <w:rFonts w:hint="eastAsia" w:ascii="仿宋_GB2312" w:hAnsi="宋体" w:eastAsia="仿宋_GB2312"/>
          <w:bCs/>
          <w:sz w:val="24"/>
          <w:highlight w:val="none"/>
          <w:lang w:val="zh-TW" w:eastAsia="zh-CN"/>
        </w:rPr>
        <w:t>）；</w:t>
      </w:r>
    </w:p>
    <w:p>
      <w:pPr>
        <w:spacing w:line="460" w:lineRule="exact"/>
        <w:ind w:firstLine="480" w:firstLineChars="200"/>
        <w:rPr>
          <w:rFonts w:hint="eastAsia" w:ascii="仿宋_GB2312" w:hAnsi="宋体" w:eastAsia="仿宋_GB2312"/>
          <w:bCs/>
          <w:sz w:val="24"/>
          <w:highlight w:val="none"/>
          <w:lang w:val="zh-TW" w:eastAsia="zh-CN"/>
        </w:rPr>
      </w:pPr>
      <w:r>
        <w:rPr>
          <w:rFonts w:hint="eastAsia" w:ascii="仿宋_GB2312" w:hAnsi="宋体" w:eastAsia="仿宋_GB2312"/>
          <w:bCs/>
          <w:sz w:val="24"/>
          <w:highlight w:val="none"/>
          <w:lang w:val="en-US" w:eastAsia="zh-CN"/>
        </w:rPr>
        <w:t>●</w:t>
      </w:r>
      <w:r>
        <w:rPr>
          <w:rFonts w:hint="eastAsia" w:ascii="仿宋_GB2312" w:hAnsi="宋体" w:eastAsia="仿宋_GB2312"/>
          <w:bCs/>
          <w:sz w:val="24"/>
          <w:highlight w:val="none"/>
          <w:lang w:val="zh-TW" w:eastAsia="zh-CN"/>
        </w:rPr>
        <w:t>投标人阐述本项目大队农村道路三色预警系统方案的建设内容，包含：①路网管理模块、②道路档案模块、③预警上图、④事故标注、⑤任务派单管理、⑥数据分析、⑦预测预警，功能模块内容详尽且较好满足采购人需求的，每一项得</w:t>
      </w:r>
      <w:r>
        <w:rPr>
          <w:rFonts w:hint="eastAsia" w:ascii="仿宋_GB2312" w:hAnsi="宋体" w:eastAsia="仿宋_GB2312"/>
          <w:bCs/>
          <w:sz w:val="24"/>
          <w:highlight w:val="none"/>
          <w:lang w:val="en-US" w:eastAsia="zh-CN"/>
        </w:rPr>
        <w:t>2</w:t>
      </w:r>
      <w:r>
        <w:rPr>
          <w:rFonts w:hint="eastAsia" w:ascii="仿宋_GB2312" w:hAnsi="宋体" w:eastAsia="仿宋_GB2312"/>
          <w:bCs/>
          <w:sz w:val="24"/>
          <w:highlight w:val="none"/>
          <w:lang w:val="zh-TW" w:eastAsia="zh-CN"/>
        </w:rPr>
        <w:t>分，内容缺少或部分满足采购人需求的，每一项得</w:t>
      </w:r>
      <w:r>
        <w:rPr>
          <w:rFonts w:hint="eastAsia" w:ascii="仿宋_GB2312" w:hAnsi="宋体" w:eastAsia="仿宋_GB2312"/>
          <w:bCs/>
          <w:sz w:val="24"/>
          <w:highlight w:val="none"/>
          <w:lang w:val="en-US" w:eastAsia="zh-CN"/>
        </w:rPr>
        <w:t>1</w:t>
      </w:r>
      <w:r>
        <w:rPr>
          <w:rFonts w:hint="eastAsia" w:ascii="仿宋_GB2312" w:hAnsi="宋体" w:eastAsia="仿宋_GB2312"/>
          <w:bCs/>
          <w:sz w:val="24"/>
          <w:highlight w:val="none"/>
          <w:lang w:val="zh-TW" w:eastAsia="zh-CN"/>
        </w:rPr>
        <w:t>分，无内容或不满足采购人需求的不得分，最高得</w:t>
      </w:r>
      <w:r>
        <w:rPr>
          <w:rFonts w:hint="eastAsia" w:ascii="仿宋_GB2312" w:hAnsi="宋体" w:eastAsia="仿宋_GB2312"/>
          <w:bCs/>
          <w:sz w:val="24"/>
          <w:highlight w:val="none"/>
          <w:lang w:val="en-US" w:eastAsia="zh-CN"/>
        </w:rPr>
        <w:t>14</w:t>
      </w:r>
      <w:r>
        <w:rPr>
          <w:rFonts w:hint="eastAsia" w:ascii="仿宋_GB2312" w:hAnsi="宋体" w:eastAsia="仿宋_GB2312"/>
          <w:bCs/>
          <w:sz w:val="24"/>
          <w:highlight w:val="none"/>
          <w:lang w:val="zh-TW" w:eastAsia="zh-CN"/>
        </w:rPr>
        <w:t>分（</w:t>
      </w:r>
      <w:r>
        <w:rPr>
          <w:rFonts w:hint="eastAsia" w:ascii="仿宋_GB2312" w:hAnsi="宋体" w:eastAsia="仿宋_GB2312"/>
          <w:bCs/>
          <w:sz w:val="24"/>
          <w:highlight w:val="none"/>
          <w:lang w:val="en-US" w:eastAsia="zh-CN"/>
        </w:rPr>
        <w:t>14分</w:t>
      </w:r>
      <w:r>
        <w:rPr>
          <w:rFonts w:hint="eastAsia" w:ascii="仿宋_GB2312" w:hAnsi="宋体" w:eastAsia="仿宋_GB2312"/>
          <w:bCs/>
          <w:sz w:val="24"/>
          <w:highlight w:val="none"/>
          <w:lang w:val="zh-TW" w:eastAsia="zh-CN"/>
        </w:rPr>
        <w:t>）；</w:t>
      </w:r>
    </w:p>
    <w:p>
      <w:pPr>
        <w:spacing w:line="460" w:lineRule="exact"/>
        <w:ind w:firstLine="480" w:firstLineChars="200"/>
        <w:rPr>
          <w:rFonts w:hint="eastAsia" w:ascii="仿宋_GB2312" w:hAnsi="宋体" w:eastAsia="仿宋_GB2312"/>
          <w:bCs/>
          <w:sz w:val="24"/>
          <w:highlight w:val="none"/>
          <w:lang w:val="zh-TW" w:eastAsia="zh-CN"/>
        </w:rPr>
      </w:pPr>
      <w:r>
        <w:rPr>
          <w:rFonts w:hint="eastAsia" w:ascii="仿宋_GB2312" w:hAnsi="宋体" w:eastAsia="仿宋_GB2312"/>
          <w:bCs/>
          <w:sz w:val="24"/>
          <w:highlight w:val="none"/>
          <w:lang w:val="en-US" w:eastAsia="zh-CN"/>
        </w:rPr>
        <w:t>●</w:t>
      </w:r>
      <w:r>
        <w:rPr>
          <w:rFonts w:hint="eastAsia" w:ascii="仿宋_GB2312" w:hAnsi="宋体" w:eastAsia="仿宋_GB2312"/>
          <w:bCs/>
          <w:sz w:val="24"/>
          <w:highlight w:val="none"/>
          <w:lang w:val="zh-TW" w:eastAsia="zh-CN"/>
        </w:rPr>
        <w:t>投标产品的技术指标的吻合程度和偏差情况（包括所投标产品的规格型号、详细配置、主要技术参数、随机软件、证明材料等），满足招标文件技术指标的得基准分</w:t>
      </w:r>
      <w:r>
        <w:rPr>
          <w:rFonts w:hint="eastAsia" w:ascii="仿宋_GB2312" w:hAnsi="宋体" w:eastAsia="仿宋_GB2312"/>
          <w:bCs/>
          <w:sz w:val="24"/>
          <w:highlight w:val="none"/>
          <w:lang w:val="en-US" w:eastAsia="zh-CN"/>
        </w:rPr>
        <w:t>10</w:t>
      </w:r>
      <w:r>
        <w:rPr>
          <w:rFonts w:hint="eastAsia" w:ascii="仿宋_GB2312" w:hAnsi="宋体" w:eastAsia="仿宋_GB2312"/>
          <w:bCs/>
          <w:sz w:val="24"/>
          <w:highlight w:val="none"/>
          <w:lang w:val="zh-TW" w:eastAsia="zh-CN"/>
        </w:rPr>
        <w:t>分，带“▲”为实际业务需要，不得出现负偏离，否则做无效标处理，对其他参数或功能要求负偏离或未响应的每项扣1分（无实质性意义的负偏离不扣分），若负偏离</w:t>
      </w:r>
      <w:r>
        <w:rPr>
          <w:rFonts w:hint="eastAsia" w:ascii="仿宋_GB2312" w:hAnsi="宋体" w:eastAsia="仿宋_GB2312"/>
          <w:bCs/>
          <w:sz w:val="24"/>
          <w:highlight w:val="none"/>
          <w:lang w:val="en-US" w:eastAsia="zh-CN"/>
        </w:rPr>
        <w:t>10分及</w:t>
      </w:r>
      <w:r>
        <w:rPr>
          <w:rFonts w:hint="eastAsia" w:ascii="仿宋_GB2312" w:hAnsi="宋体" w:eastAsia="仿宋_GB2312"/>
          <w:bCs/>
          <w:sz w:val="24"/>
          <w:highlight w:val="none"/>
          <w:lang w:val="zh-TW" w:eastAsia="zh-CN"/>
        </w:rPr>
        <w:t>以上的做无效标处理（</w:t>
      </w:r>
      <w:r>
        <w:rPr>
          <w:rFonts w:hint="eastAsia" w:ascii="仿宋_GB2312" w:hAnsi="宋体" w:eastAsia="仿宋_GB2312"/>
          <w:bCs/>
          <w:sz w:val="24"/>
          <w:highlight w:val="none"/>
          <w:lang w:val="en-US" w:eastAsia="zh-CN"/>
        </w:rPr>
        <w:t>10分</w:t>
      </w:r>
      <w:r>
        <w:rPr>
          <w:rFonts w:hint="eastAsia" w:ascii="仿宋_GB2312" w:hAnsi="宋体" w:eastAsia="仿宋_GB2312"/>
          <w:bCs/>
          <w:sz w:val="24"/>
          <w:highlight w:val="none"/>
          <w:lang w:val="zh-TW" w:eastAsia="zh-CN"/>
        </w:rPr>
        <w:t>）。</w:t>
      </w:r>
    </w:p>
    <w:p>
      <w:pPr>
        <w:spacing w:line="460" w:lineRule="exact"/>
        <w:ind w:firstLine="480" w:firstLineChars="200"/>
        <w:rPr>
          <w:rFonts w:hint="eastAsia" w:ascii="仿宋_GB2312" w:hAnsi="宋体" w:eastAsia="仿宋_GB2312"/>
          <w:bCs/>
          <w:sz w:val="24"/>
          <w:highlight w:val="none"/>
          <w:lang w:val="zh-CN" w:eastAsia="zh-CN"/>
        </w:rPr>
      </w:pPr>
      <w:r>
        <w:rPr>
          <w:rFonts w:hint="eastAsia" w:ascii="仿宋_GB2312" w:hAnsi="宋体" w:eastAsia="仿宋_GB2312"/>
          <w:bCs/>
          <w:sz w:val="24"/>
          <w:highlight w:val="none"/>
          <w:lang w:val="zh-CN" w:eastAsia="zh-CN"/>
        </w:rPr>
        <w:t>注：要求提供测试报告复印件、证书复印件等证明材料而未提供视作一项负偏离。</w:t>
      </w:r>
    </w:p>
    <w:p>
      <w:pPr>
        <w:spacing w:line="460" w:lineRule="exact"/>
        <w:ind w:firstLine="480" w:firstLineChars="200"/>
        <w:rPr>
          <w:rFonts w:hint="eastAsia" w:ascii="仿宋_GB2312" w:hAnsi="宋体" w:eastAsia="仿宋_GB2312"/>
          <w:bCs/>
          <w:sz w:val="24"/>
          <w:highlight w:val="none"/>
          <w:lang w:val="zh-CN" w:eastAsia="zh-CN"/>
        </w:rPr>
      </w:pPr>
      <w:r>
        <w:rPr>
          <w:rFonts w:hint="eastAsia" w:ascii="仿宋_GB2312" w:hAnsi="宋体" w:eastAsia="仿宋_GB2312"/>
          <w:bCs/>
          <w:sz w:val="24"/>
          <w:highlight w:val="none"/>
          <w:lang w:val="en-US" w:eastAsia="zh-CN"/>
        </w:rPr>
        <w:t>●</w:t>
      </w:r>
      <w:r>
        <w:rPr>
          <w:rFonts w:hint="eastAsia" w:ascii="仿宋_GB2312" w:hAnsi="宋体" w:eastAsia="仿宋_GB2312"/>
          <w:bCs/>
          <w:sz w:val="24"/>
          <w:highlight w:val="none"/>
          <w:lang w:val="zh-CN" w:eastAsia="zh-CN"/>
        </w:rPr>
        <w:t>投标产品是否取得节能产品、环境标志产品认证证书，此项由投标人提供相关证明材料，每证加1分，最高为2分（</w:t>
      </w:r>
      <w:r>
        <w:rPr>
          <w:rFonts w:hint="eastAsia" w:ascii="仿宋_GB2312" w:hAnsi="宋体" w:eastAsia="仿宋_GB2312"/>
          <w:bCs/>
          <w:sz w:val="24"/>
          <w:highlight w:val="none"/>
          <w:lang w:val="en-US" w:eastAsia="zh-CN"/>
        </w:rPr>
        <w:t>2分</w:t>
      </w:r>
      <w:r>
        <w:rPr>
          <w:rFonts w:hint="eastAsia" w:ascii="仿宋_GB2312" w:hAnsi="宋体" w:eastAsia="仿宋_GB2312"/>
          <w:bCs/>
          <w:sz w:val="24"/>
          <w:highlight w:val="none"/>
          <w:lang w:val="zh-CN" w:eastAsia="zh-CN"/>
        </w:rPr>
        <w:t>）。</w:t>
      </w:r>
    </w:p>
    <w:p>
      <w:pPr>
        <w:spacing w:line="460" w:lineRule="exact"/>
        <w:ind w:firstLine="480" w:firstLineChars="200"/>
        <w:rPr>
          <w:rFonts w:hint="eastAsia" w:ascii="仿宋_GB2312" w:hAnsi="宋体" w:eastAsia="仿宋_GB2312"/>
          <w:bCs/>
          <w:sz w:val="24"/>
          <w:highlight w:val="none"/>
          <w:lang w:val="en-US" w:eastAsia="zh-CN"/>
        </w:rPr>
      </w:pPr>
      <w:r>
        <w:rPr>
          <w:rFonts w:hint="eastAsia" w:ascii="仿宋_GB2312" w:hAnsi="宋体" w:eastAsia="仿宋_GB2312"/>
          <w:bCs/>
          <w:sz w:val="24"/>
          <w:highlight w:val="none"/>
          <w:lang w:val="en-US" w:eastAsia="zh-CN"/>
        </w:rPr>
        <w:t>●投标人提供本项目与各相关系统之间的衔接及整合，含①道路三色预警系统须与临安交警大队现有卡口汇聚平台无缝对接，保证前端视频资源数据共享共用；②云数据库须无缝接入临安交警大队原有云数据库系统，保证原有云数据库系统平滑扩容；③交通视频汇聚云平台须与临安交警大队现有卡口汇聚平台无缝对接，保证现有卡口汇聚平台平滑升级，以上提供对接方案或对接证明，有对接证明或方案合理可行，可实现系统兼容的每项得2分，方案基本可行的每项得1分，方案不合理或没提供的不得分（6分）。</w:t>
      </w:r>
    </w:p>
    <w:p>
      <w:pPr>
        <w:spacing w:line="460" w:lineRule="exact"/>
        <w:ind w:firstLine="480" w:firstLineChars="200"/>
        <w:rPr>
          <w:rFonts w:hint="eastAsia" w:ascii="仿宋_GB2312" w:hAnsi="宋体" w:eastAsia="仿宋_GB2312"/>
          <w:bCs/>
          <w:sz w:val="24"/>
          <w:highlight w:val="none"/>
          <w:lang w:val="zh-CN" w:eastAsia="zh-CN"/>
        </w:rPr>
      </w:pPr>
      <w:r>
        <w:rPr>
          <w:rFonts w:hint="eastAsia" w:ascii="仿宋_GB2312" w:hAnsi="宋体" w:eastAsia="仿宋_GB2312"/>
          <w:bCs/>
          <w:sz w:val="24"/>
          <w:highlight w:val="none"/>
          <w:lang w:val="en-US" w:eastAsia="zh-CN"/>
        </w:rPr>
        <w:t>●</w:t>
      </w:r>
      <w:r>
        <w:rPr>
          <w:rFonts w:hint="eastAsia" w:ascii="仿宋_GB2312" w:hAnsi="宋体" w:eastAsia="仿宋_GB2312"/>
          <w:bCs/>
          <w:sz w:val="24"/>
          <w:highlight w:val="none"/>
          <w:lang w:val="zh-CN" w:eastAsia="zh-CN"/>
        </w:rPr>
        <w:t>为保证视频专网的网络安全，阐述抑制病毒传播、抑制网络异常行为、环路快速自愈、终端私接防护等方面的技术手段，提供一种有效技术手段得</w:t>
      </w:r>
      <w:r>
        <w:rPr>
          <w:rFonts w:hint="eastAsia" w:ascii="仿宋_GB2312" w:hAnsi="宋体" w:eastAsia="仿宋_GB2312"/>
          <w:bCs/>
          <w:sz w:val="24"/>
          <w:highlight w:val="none"/>
          <w:lang w:val="en-US" w:eastAsia="zh-CN"/>
        </w:rPr>
        <w:t>1分，最高得3分（3分）</w:t>
      </w:r>
      <w:r>
        <w:rPr>
          <w:rFonts w:hint="eastAsia" w:ascii="仿宋_GB2312" w:hAnsi="宋体" w:eastAsia="仿宋_GB2312"/>
          <w:bCs/>
          <w:sz w:val="24"/>
          <w:highlight w:val="none"/>
          <w:lang w:val="zh-CN" w:eastAsia="zh-CN"/>
        </w:rPr>
        <w:t>。</w:t>
      </w:r>
    </w:p>
    <w:p>
      <w:pPr>
        <w:keepNext w:val="0"/>
        <w:keepLines w:val="0"/>
        <w:pageBreakBefore w:val="0"/>
        <w:widowControl w:val="0"/>
        <w:kinsoku/>
        <w:wordWrap/>
        <w:overflowPunct/>
        <w:topLinePunct w:val="0"/>
        <w:bidi w:val="0"/>
        <w:adjustRightInd/>
        <w:snapToGrid w:val="0"/>
        <w:spacing w:line="480" w:lineRule="atLeast"/>
        <w:textAlignment w:val="auto"/>
        <w:rPr>
          <w:rFonts w:ascii="仿宋_GB2312" w:hAnsi="宋体" w:eastAsia="仿宋_GB2312"/>
          <w:b/>
          <w:sz w:val="24"/>
          <w:szCs w:val="24"/>
          <w:highlight w:val="none"/>
        </w:rPr>
      </w:pPr>
      <w:r>
        <w:rPr>
          <w:rFonts w:hint="eastAsia" w:ascii="仿宋_GB2312" w:hAnsi="宋体" w:eastAsia="仿宋_GB2312"/>
          <w:b/>
          <w:sz w:val="24"/>
          <w:szCs w:val="24"/>
          <w:highlight w:val="none"/>
        </w:rPr>
        <w:t>（</w:t>
      </w:r>
      <w:r>
        <w:rPr>
          <w:rFonts w:ascii="仿宋_GB2312" w:hAnsi="宋体" w:eastAsia="仿宋_GB2312"/>
          <w:b/>
          <w:sz w:val="24"/>
          <w:szCs w:val="24"/>
          <w:highlight w:val="none"/>
        </w:rPr>
        <w:t>2</w:t>
      </w:r>
      <w:r>
        <w:rPr>
          <w:rFonts w:hint="eastAsia" w:ascii="仿宋_GB2312" w:hAnsi="宋体" w:eastAsia="仿宋_GB2312"/>
          <w:b/>
          <w:sz w:val="24"/>
          <w:szCs w:val="24"/>
          <w:highlight w:val="none"/>
        </w:rPr>
        <w:t>）组织实施方案（</w:t>
      </w:r>
      <w:r>
        <w:rPr>
          <w:rFonts w:hint="eastAsia" w:ascii="仿宋_GB2312" w:hAnsi="宋体" w:eastAsia="仿宋_GB2312"/>
          <w:b/>
          <w:sz w:val="24"/>
          <w:szCs w:val="24"/>
          <w:highlight w:val="none"/>
          <w:lang w:val="en-US" w:eastAsia="zh-CN"/>
        </w:rPr>
        <w:t>7</w:t>
      </w:r>
      <w:r>
        <w:rPr>
          <w:rFonts w:hint="eastAsia" w:ascii="仿宋_GB2312" w:hAnsi="宋体" w:eastAsia="仿宋_GB2312"/>
          <w:b/>
          <w:sz w:val="24"/>
          <w:szCs w:val="24"/>
          <w:highlight w:val="none"/>
        </w:rPr>
        <w:t>分）</w:t>
      </w:r>
    </w:p>
    <w:p>
      <w:pPr>
        <w:spacing w:line="460" w:lineRule="exact"/>
        <w:ind w:firstLine="480" w:firstLineChars="200"/>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 实施方案情况：根据</w:t>
      </w:r>
      <w:r>
        <w:rPr>
          <w:rFonts w:hint="eastAsia" w:ascii="仿宋_GB2312" w:hAnsi="宋体" w:eastAsia="仿宋_GB2312" w:cs="仿宋_GB2312"/>
          <w:sz w:val="24"/>
          <w:highlight w:val="none"/>
          <w:lang w:val="zh-CN"/>
        </w:rPr>
        <w:t>投标人提供的实施方案进行打分。实施方案中项目开发安排科学合理，所供货品组织有序，时间安排满足采购人要求（实质性条款不作为评审因素）的</w:t>
      </w:r>
      <w:r>
        <w:rPr>
          <w:rFonts w:hint="eastAsia" w:ascii="仿宋_GB2312" w:hAnsi="宋体" w:eastAsia="仿宋_GB2312" w:cs="仿宋_GB2312"/>
          <w:sz w:val="24"/>
          <w:highlight w:val="none"/>
          <w:lang w:val="zh-CN" w:eastAsia="zh-CN"/>
        </w:rPr>
        <w:t>得</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eastAsia="zh-CN"/>
        </w:rPr>
        <w:t>分，基本满足采购人要求的得</w:t>
      </w:r>
      <w:r>
        <w:rPr>
          <w:rFonts w:hint="eastAsia" w:ascii="仿宋_GB2312" w:hAnsi="宋体" w:eastAsia="仿宋_GB2312" w:cs="仿宋_GB2312"/>
          <w:sz w:val="24"/>
          <w:highlight w:val="none"/>
          <w:lang w:val="en-US" w:eastAsia="zh-CN"/>
        </w:rPr>
        <w:t>1分，</w:t>
      </w:r>
      <w:r>
        <w:rPr>
          <w:rFonts w:hint="eastAsia" w:ascii="仿宋_GB2312" w:hAnsi="宋体" w:eastAsia="仿宋_GB2312" w:cs="仿宋_GB2312"/>
          <w:sz w:val="24"/>
          <w:highlight w:val="none"/>
          <w:lang w:val="zh-CN" w:eastAsia="zh-CN"/>
        </w:rPr>
        <w:t>不满足不得分（</w:t>
      </w:r>
      <w:r>
        <w:rPr>
          <w:rFonts w:hint="eastAsia" w:ascii="仿宋_GB2312" w:hAnsi="宋体" w:eastAsia="仿宋_GB2312" w:cs="仿宋_GB2312"/>
          <w:sz w:val="24"/>
          <w:highlight w:val="none"/>
          <w:lang w:val="en-US" w:eastAsia="zh-CN"/>
        </w:rPr>
        <w:t>3</w:t>
      </w:r>
      <w:r>
        <w:rPr>
          <w:rFonts w:hint="eastAsia" w:ascii="仿宋_GB2312" w:hAnsi="宋体" w:eastAsia="仿宋_GB2312" w:cs="仿宋_GB2312"/>
          <w:sz w:val="24"/>
          <w:highlight w:val="none"/>
          <w:lang w:val="zh-CN" w:eastAsia="zh-CN"/>
        </w:rPr>
        <w:t>分）；</w:t>
      </w:r>
    </w:p>
    <w:p>
      <w:pPr>
        <w:spacing w:line="460" w:lineRule="exact"/>
        <w:ind w:firstLine="480" w:firstLineChars="200"/>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●投标人是否提出合理可行的功能测试及验收方案。满足得2分，部分满足得1分，不满足不得分（2分）；</w:t>
      </w:r>
    </w:p>
    <w:p>
      <w:pPr>
        <w:spacing w:line="460" w:lineRule="exact"/>
        <w:ind w:firstLine="480" w:firstLineChars="200"/>
        <w:rPr>
          <w:rFonts w:hint="eastAsia" w:ascii="仿宋_GB2312" w:hAnsi="仿宋_GB2312" w:eastAsia="仿宋_GB2312" w:cs="仿宋_GB2312"/>
          <w:b/>
          <w:bCs/>
          <w:sz w:val="24"/>
          <w:highlight w:val="none"/>
        </w:rPr>
      </w:pPr>
      <w:r>
        <w:rPr>
          <w:rFonts w:hint="eastAsia" w:ascii="仿宋_GB2312" w:hAnsi="宋体" w:eastAsia="仿宋_GB2312" w:cs="仿宋_GB2312"/>
          <w:sz w:val="24"/>
          <w:highlight w:val="none"/>
          <w:lang w:val="zh-CN" w:eastAsia="zh-CN"/>
        </w:rPr>
        <w:t>●培训计划包括培训内容、培训时间地点、培训对象，培训师资力量等；根据培训方案内容进行评分，每一项科学合理，利于实际操作的得0.5分，共2分（2分）。</w:t>
      </w:r>
    </w:p>
    <w:p>
      <w:pPr>
        <w:keepNext w:val="0"/>
        <w:keepLines w:val="0"/>
        <w:pageBreakBefore w:val="0"/>
        <w:widowControl w:val="0"/>
        <w:tabs>
          <w:tab w:val="left" w:pos="0"/>
        </w:tabs>
        <w:kinsoku/>
        <w:wordWrap/>
        <w:overflowPunct/>
        <w:topLinePunct w:val="0"/>
        <w:bidi w:val="0"/>
        <w:spacing w:line="480" w:lineRule="atLeast"/>
        <w:textAlignment w:val="auto"/>
        <w:rPr>
          <w:rFonts w:hint="eastAsia" w:ascii="仿宋_GB2312" w:hAnsi="仿宋_GB2312" w:eastAsia="仿宋_GB2312" w:cs="仿宋_GB2312"/>
          <w:sz w:val="24"/>
          <w:szCs w:val="24"/>
          <w:highlight w:val="none"/>
          <w:lang w:val="zh-CN" w:eastAsia="zh-CN"/>
        </w:rPr>
      </w:pPr>
      <w:r>
        <w:rPr>
          <w:rFonts w:hint="eastAsia" w:ascii="仿宋_GB2312" w:hAnsi="宋体" w:eastAsia="仿宋_GB2312" w:cs="仿宋_GB2312"/>
          <w:b/>
          <w:bCs/>
          <w:sz w:val="24"/>
          <w:highlight w:val="none"/>
          <w:lang w:val="zh-CN" w:eastAsia="zh-CN"/>
        </w:rPr>
        <w:t>（</w:t>
      </w:r>
      <w:r>
        <w:rPr>
          <w:rFonts w:hint="eastAsia" w:ascii="仿宋_GB2312" w:hAnsi="宋体" w:eastAsia="仿宋_GB2312" w:cs="仿宋_GB2312"/>
          <w:b/>
          <w:bCs/>
          <w:sz w:val="24"/>
          <w:highlight w:val="none"/>
          <w:lang w:val="en-US" w:eastAsia="zh-CN"/>
        </w:rPr>
        <w:t>4</w:t>
      </w:r>
      <w:r>
        <w:rPr>
          <w:rFonts w:hint="eastAsia" w:ascii="仿宋_GB2312" w:hAnsi="宋体" w:eastAsia="仿宋_GB2312" w:cs="仿宋_GB2312"/>
          <w:b/>
          <w:bCs/>
          <w:sz w:val="24"/>
          <w:highlight w:val="none"/>
          <w:lang w:val="zh-CN" w:eastAsia="zh-CN"/>
        </w:rPr>
        <w:t>）</w:t>
      </w:r>
      <w:r>
        <w:rPr>
          <w:rFonts w:hint="eastAsia" w:ascii="仿宋_GB2312" w:hAnsi="宋体" w:eastAsia="仿宋_GB2312" w:cs="仿宋_GB2312"/>
          <w:b/>
          <w:bCs/>
          <w:sz w:val="24"/>
          <w:highlight w:val="none"/>
          <w:lang w:val="zh-CN"/>
        </w:rPr>
        <w:t>系统演示（</w:t>
      </w:r>
      <w:r>
        <w:rPr>
          <w:rFonts w:hint="eastAsia" w:ascii="仿宋_GB2312" w:hAnsi="宋体" w:eastAsia="仿宋_GB2312" w:cs="仿宋_GB2312"/>
          <w:b/>
          <w:bCs/>
          <w:sz w:val="24"/>
          <w:highlight w:val="none"/>
          <w:lang w:val="en-US" w:eastAsia="zh-CN"/>
        </w:rPr>
        <w:t>12</w:t>
      </w:r>
      <w:r>
        <w:rPr>
          <w:rFonts w:hint="eastAsia" w:ascii="仿宋_GB2312" w:hAnsi="宋体" w:eastAsia="仿宋_GB2312" w:cs="仿宋_GB2312"/>
          <w:b/>
          <w:bCs/>
          <w:sz w:val="24"/>
          <w:highlight w:val="none"/>
          <w:lang w:val="zh-CN"/>
        </w:rPr>
        <w:t>分）：</w:t>
      </w:r>
      <w:r>
        <w:rPr>
          <w:rFonts w:hint="eastAsia" w:ascii="仿宋_GB2312" w:hAnsi="仿宋_GB2312" w:eastAsia="仿宋_GB2312" w:cs="仿宋_GB2312"/>
          <w:sz w:val="24"/>
          <w:szCs w:val="24"/>
          <w:highlight w:val="none"/>
          <w:lang w:val="zh-CN" w:eastAsia="zh-CN"/>
        </w:rPr>
        <w:t>系统演示：由投标人自行准备相关演示环境，软件模型成功展现本次项目要求的功能，演示视频须制作成光盘或U盘，在投标截止前2021年</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lang w:val="zh-CN" w:eastAsia="zh-CN"/>
        </w:rPr>
        <w:t xml:space="preserve">月  </w:t>
      </w:r>
      <w:r>
        <w:rPr>
          <w:rFonts w:hint="eastAsia" w:ascii="仿宋_GB2312" w:hAnsi="仿宋_GB2312" w:eastAsia="仿宋_GB2312" w:cs="仿宋_GB2312"/>
          <w:sz w:val="24"/>
          <w:szCs w:val="24"/>
          <w:highlight w:val="none"/>
          <w:lang w:val="en-US" w:eastAsia="zh-CN"/>
        </w:rPr>
        <w:t>29</w:t>
      </w:r>
      <w:r>
        <w:rPr>
          <w:rFonts w:hint="eastAsia" w:ascii="仿宋_GB2312" w:hAnsi="仿宋_GB2312" w:eastAsia="仿宋_GB2312" w:cs="仿宋_GB2312"/>
          <w:sz w:val="24"/>
          <w:szCs w:val="24"/>
          <w:highlight w:val="none"/>
          <w:lang w:val="zh-CN" w:eastAsia="zh-CN"/>
        </w:rPr>
        <w:t>日13:30提交至杭州市临安区行政服务中心B座四楼B448办公室，逾期拒收。演示内容如下（演示均以真实系统或者DEMO形式演示，PPT、Word演示或未提供演示不得分）：</w:t>
      </w:r>
    </w:p>
    <w:p>
      <w:pPr>
        <w:keepNext w:val="0"/>
        <w:keepLines w:val="0"/>
        <w:pageBreakBefore w:val="0"/>
        <w:widowControl w:val="0"/>
        <w:tabs>
          <w:tab w:val="left" w:pos="0"/>
        </w:tabs>
        <w:kinsoku/>
        <w:wordWrap/>
        <w:overflowPunct/>
        <w:topLinePunct w:val="0"/>
        <w:bidi w:val="0"/>
        <w:spacing w:line="480" w:lineRule="atLeast"/>
        <w:ind w:firstLine="540" w:firstLineChars="225"/>
        <w:textAlignment w:val="auto"/>
        <w:rPr>
          <w:rFonts w:hint="eastAsia" w:ascii="仿宋_GB2312" w:hAnsi="仿宋_GB2312" w:eastAsia="仿宋_GB2312" w:cs="仿宋_GB2312"/>
          <w:sz w:val="24"/>
          <w:szCs w:val="24"/>
          <w:highlight w:val="none"/>
          <w:lang w:val="zh-CN" w:eastAsia="zh-CN"/>
        </w:rPr>
      </w:pPr>
      <w:r>
        <w:rPr>
          <w:rFonts w:hint="eastAsia" w:ascii="仿宋_GB2312" w:hAnsi="仿宋_GB2312" w:eastAsia="仿宋_GB2312" w:cs="仿宋_GB2312"/>
          <w:sz w:val="24"/>
          <w:szCs w:val="24"/>
          <w:highlight w:val="none"/>
          <w:lang w:val="zh-CN" w:eastAsia="zh-CN"/>
        </w:rPr>
        <w:t>注：演示视频需密封送达，评标阶段拆封演示，因响应方自身原因导致无法演示或者演示效果不理想的，责任自负。</w:t>
      </w:r>
    </w:p>
    <w:p>
      <w:pPr>
        <w:autoSpaceDE w:val="0"/>
        <w:autoSpaceDN w:val="0"/>
        <w:spacing w:line="460" w:lineRule="exact"/>
        <w:ind w:firstLine="482"/>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●交通数据可视化平台：</w:t>
      </w:r>
    </w:p>
    <w:p>
      <w:pPr>
        <w:autoSpaceDE w:val="0"/>
        <w:autoSpaceDN w:val="0"/>
        <w:spacing w:line="460" w:lineRule="exact"/>
        <w:ind w:firstLine="482"/>
        <w:rPr>
          <w:rFonts w:hint="eastAsia" w:ascii="仿宋_GB2312" w:hAnsi="宋体" w:eastAsia="仿宋_GB2312" w:cs="仿宋_GB2312"/>
          <w:sz w:val="24"/>
          <w:highlight w:val="none"/>
          <w:lang w:val="zh-CN" w:eastAsia="zh-CN"/>
        </w:rPr>
      </w:pPr>
      <w:r>
        <w:rPr>
          <w:rFonts w:hint="eastAsia" w:ascii="仿宋_GB2312" w:hAnsi="宋体" w:eastAsia="仿宋_GB2312" w:cs="仿宋_GB2312"/>
          <w:sz w:val="24"/>
          <w:highlight w:val="none"/>
          <w:lang w:val="zh-CN" w:eastAsia="zh-CN"/>
        </w:rPr>
        <w:t>①演示交通信息总览：</w:t>
      </w:r>
      <w:r>
        <w:rPr>
          <w:rFonts w:hint="eastAsia" w:ascii="仿宋_GB2312" w:hAnsi="宋体" w:eastAsia="仿宋_GB2312" w:cs="仿宋_GB2312"/>
          <w:sz w:val="24"/>
          <w:highlight w:val="none"/>
          <w:lang w:val="en-US" w:eastAsia="zh-CN"/>
        </w:rPr>
        <w:t>1）</w:t>
      </w:r>
      <w:r>
        <w:rPr>
          <w:rFonts w:hint="eastAsia" w:ascii="仿宋_GB2312" w:hAnsi="宋体" w:eastAsia="仿宋_GB2312" w:cs="仿宋_GB2312"/>
          <w:sz w:val="24"/>
          <w:highlight w:val="none"/>
          <w:lang w:val="zh-CN" w:eastAsia="zh-CN"/>
        </w:rPr>
        <w:t>支持对辖区整体管理情况进行可视化展示；</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eastAsia="zh-CN"/>
        </w:rPr>
        <w:t>支持对辖区主要出入城流量进行实时查看以及对警情、隐患、违法、勤务进行概览，每演示成功一项得1分，最高</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eastAsia="zh-CN"/>
        </w:rPr>
        <w:t>分（</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eastAsia="zh-CN"/>
        </w:rPr>
        <w:t>）；</w:t>
      </w:r>
    </w:p>
    <w:p>
      <w:pPr>
        <w:autoSpaceDE w:val="0"/>
        <w:autoSpaceDN w:val="0"/>
        <w:spacing w:line="460" w:lineRule="exact"/>
        <w:ind w:firstLine="482"/>
        <w:rPr>
          <w:rFonts w:hint="eastAsia" w:ascii="仿宋_GB2312" w:hAnsi="宋体" w:eastAsia="仿宋_GB2312" w:cs="仿宋_GB2312"/>
          <w:sz w:val="24"/>
          <w:highlight w:val="none"/>
          <w:lang w:val="en-US" w:eastAsia="zh-CN"/>
        </w:rPr>
      </w:pPr>
      <w:r>
        <w:rPr>
          <w:rFonts w:hint="eastAsia" w:ascii="仿宋_GB2312" w:hAnsi="宋体" w:eastAsia="仿宋_GB2312" w:cs="仿宋_GB2312"/>
          <w:sz w:val="24"/>
          <w:highlight w:val="none"/>
          <w:lang w:val="en-US" w:eastAsia="zh-CN"/>
        </w:rPr>
        <w:t>②演示交通流量态势：实现对主要出入城流量进行实时查看和可视化展示，演示成功得2分，否则不得分（2分）；</w:t>
      </w:r>
    </w:p>
    <w:p>
      <w:pPr>
        <w:autoSpaceDE w:val="0"/>
        <w:autoSpaceDN w:val="0"/>
        <w:spacing w:line="460" w:lineRule="exact"/>
        <w:ind w:firstLine="482"/>
        <w:rPr>
          <w:rFonts w:hint="eastAsia" w:ascii="仿宋_GB2312" w:hAnsi="宋体" w:eastAsia="仿宋_GB2312" w:cs="仿宋_GB2312"/>
          <w:sz w:val="24"/>
          <w:highlight w:val="none"/>
          <w:lang w:val="en-US" w:eastAsia="zh-CN"/>
        </w:rPr>
      </w:pPr>
      <w:r>
        <w:rPr>
          <w:rFonts w:hint="eastAsia" w:ascii="仿宋_GB2312" w:hAnsi="宋体" w:eastAsia="仿宋_GB2312" w:cs="仿宋_GB2312"/>
          <w:sz w:val="24"/>
          <w:highlight w:val="none"/>
          <w:lang w:val="zh-CN" w:eastAsia="zh-CN"/>
        </w:rPr>
        <w:t>③演示交通警情态势：实现辖区警情的可视化展示，形成警情热力图，</w:t>
      </w:r>
      <w:r>
        <w:rPr>
          <w:rFonts w:hint="eastAsia" w:ascii="仿宋_GB2312" w:hAnsi="宋体" w:eastAsia="仿宋_GB2312" w:cs="仿宋_GB2312"/>
          <w:sz w:val="24"/>
          <w:highlight w:val="none"/>
          <w:lang w:val="en-US" w:eastAsia="zh-CN"/>
        </w:rPr>
        <w:t>演示成功得2分，否则不得分（2分）；</w:t>
      </w:r>
    </w:p>
    <w:p>
      <w:pPr>
        <w:autoSpaceDE w:val="0"/>
        <w:autoSpaceDN w:val="0"/>
        <w:spacing w:line="460" w:lineRule="exact"/>
        <w:ind w:firstLine="482"/>
        <w:rPr>
          <w:rFonts w:hint="eastAsia" w:ascii="仿宋_GB2312" w:hAnsi="宋体" w:eastAsia="仿宋_GB2312" w:cs="仿宋_GB2312"/>
          <w:sz w:val="24"/>
          <w:highlight w:val="none"/>
          <w:lang w:val="zh-CN" w:eastAsia="zh-CN"/>
        </w:rPr>
      </w:pPr>
      <w:r>
        <w:rPr>
          <w:rFonts w:hint="default" w:ascii="仿宋_GB2312" w:hAnsi="宋体" w:eastAsia="仿宋_GB2312" w:cs="仿宋_GB2312"/>
          <w:sz w:val="24"/>
          <w:highlight w:val="none"/>
          <w:lang w:val="en-US" w:eastAsia="zh-CN"/>
        </w:rPr>
        <w:t>④</w:t>
      </w:r>
      <w:r>
        <w:rPr>
          <w:rFonts w:hint="eastAsia" w:ascii="仿宋_GB2312" w:hAnsi="宋体" w:eastAsia="仿宋_GB2312" w:cs="仿宋_GB2312"/>
          <w:sz w:val="24"/>
          <w:highlight w:val="none"/>
          <w:lang w:val="en-US" w:eastAsia="zh-CN"/>
        </w:rPr>
        <w:t>演示</w:t>
      </w:r>
      <w:r>
        <w:rPr>
          <w:rFonts w:hint="default" w:ascii="仿宋_GB2312" w:hAnsi="宋体" w:eastAsia="仿宋_GB2312" w:cs="仿宋_GB2312"/>
          <w:sz w:val="24"/>
          <w:highlight w:val="none"/>
          <w:lang w:val="en-US" w:eastAsia="zh-CN"/>
        </w:rPr>
        <w:t>交通隐患态势</w:t>
      </w:r>
      <w:r>
        <w:rPr>
          <w:rFonts w:hint="eastAsia" w:ascii="仿宋_GB2312" w:hAnsi="宋体" w:eastAsia="仿宋_GB2312" w:cs="仿宋_GB2312"/>
          <w:sz w:val="24"/>
          <w:highlight w:val="none"/>
          <w:lang w:val="en-US" w:eastAsia="zh-CN"/>
        </w:rPr>
        <w:t>：1）实现对重点车辆和重点驾驶员、重点企业的可视化展示；2）并对违法车辆和违法驾驶员进行实时预警展示和统计排行</w:t>
      </w:r>
      <w:r>
        <w:rPr>
          <w:rFonts w:hint="eastAsia" w:ascii="仿宋_GB2312" w:hAnsi="宋体" w:eastAsia="仿宋_GB2312" w:cs="仿宋_GB2312"/>
          <w:sz w:val="24"/>
          <w:highlight w:val="none"/>
          <w:lang w:val="zh-CN" w:eastAsia="zh-CN"/>
        </w:rPr>
        <w:t>，每演示成功一项得1分，最高</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eastAsia="zh-CN"/>
        </w:rPr>
        <w:t>分（</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eastAsia="zh-CN"/>
        </w:rPr>
        <w:t>）；</w:t>
      </w:r>
    </w:p>
    <w:p>
      <w:pPr>
        <w:autoSpaceDE w:val="0"/>
        <w:autoSpaceDN w:val="0"/>
        <w:spacing w:line="460" w:lineRule="exact"/>
        <w:ind w:firstLine="482"/>
        <w:rPr>
          <w:rFonts w:hint="eastAsia" w:ascii="仿宋_GB2312" w:hAnsi="宋体" w:eastAsia="仿宋_GB2312" w:cs="仿宋_GB2312"/>
          <w:sz w:val="24"/>
          <w:highlight w:val="none"/>
          <w:lang w:val="zh-CN" w:eastAsia="zh-CN"/>
        </w:rPr>
      </w:pPr>
      <w:r>
        <w:rPr>
          <w:rFonts w:hint="default" w:ascii="仿宋_GB2312" w:hAnsi="宋体" w:eastAsia="仿宋_GB2312" w:cs="仿宋_GB2312"/>
          <w:sz w:val="24"/>
          <w:highlight w:val="none"/>
          <w:lang w:val="en-US" w:eastAsia="zh-CN"/>
        </w:rPr>
        <w:t>⑤</w:t>
      </w:r>
      <w:r>
        <w:rPr>
          <w:rFonts w:hint="eastAsia" w:ascii="仿宋_GB2312" w:hAnsi="宋体" w:eastAsia="仿宋_GB2312" w:cs="仿宋_GB2312"/>
          <w:sz w:val="24"/>
          <w:highlight w:val="none"/>
          <w:lang w:val="en-US" w:eastAsia="zh-CN"/>
        </w:rPr>
        <w:t>演示</w:t>
      </w:r>
      <w:r>
        <w:rPr>
          <w:rFonts w:hint="default" w:ascii="仿宋_GB2312" w:hAnsi="宋体" w:eastAsia="仿宋_GB2312" w:cs="仿宋_GB2312"/>
          <w:sz w:val="24"/>
          <w:highlight w:val="none"/>
          <w:lang w:val="en-US" w:eastAsia="zh-CN"/>
        </w:rPr>
        <w:t>交通违法态势</w:t>
      </w:r>
      <w:r>
        <w:rPr>
          <w:rFonts w:hint="eastAsia" w:ascii="仿宋_GB2312" w:hAnsi="宋体" w:eastAsia="仿宋_GB2312" w:cs="仿宋_GB2312"/>
          <w:sz w:val="24"/>
          <w:highlight w:val="none"/>
          <w:lang w:val="en-US" w:eastAsia="zh-CN"/>
        </w:rPr>
        <w:t>：1）实现近期非现场违法趋势以及违法高发点的可视化展示；2）并能进行同比环比分析</w:t>
      </w:r>
      <w:r>
        <w:rPr>
          <w:rFonts w:hint="eastAsia" w:ascii="仿宋_GB2312" w:hAnsi="宋体" w:eastAsia="仿宋_GB2312" w:cs="仿宋_GB2312"/>
          <w:sz w:val="24"/>
          <w:highlight w:val="none"/>
          <w:lang w:val="zh-CN" w:eastAsia="zh-CN"/>
        </w:rPr>
        <w:t>，每演示成功一项得1分，最高</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eastAsia="zh-CN"/>
        </w:rPr>
        <w:t>分（</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eastAsia="zh-CN"/>
        </w:rPr>
        <w:t>）；</w:t>
      </w:r>
    </w:p>
    <w:p>
      <w:pPr>
        <w:autoSpaceDE w:val="0"/>
        <w:autoSpaceDN w:val="0"/>
        <w:spacing w:line="460" w:lineRule="exact"/>
        <w:ind w:firstLine="482"/>
        <w:rPr>
          <w:rFonts w:hint="default" w:ascii="仿宋_GB2312" w:hAnsi="宋体" w:eastAsia="仿宋_GB2312" w:cs="仿宋_GB2312"/>
          <w:sz w:val="24"/>
          <w:highlight w:val="none"/>
          <w:lang w:val="en-US" w:eastAsia="zh-CN"/>
        </w:rPr>
      </w:pPr>
      <w:r>
        <w:rPr>
          <w:rFonts w:hint="default" w:ascii="仿宋_GB2312" w:hAnsi="宋体" w:eastAsia="仿宋_GB2312" w:cs="仿宋_GB2312"/>
          <w:sz w:val="24"/>
          <w:highlight w:val="none"/>
          <w:lang w:val="en-US" w:eastAsia="zh-CN"/>
        </w:rPr>
        <w:t>⑥</w:t>
      </w:r>
      <w:r>
        <w:rPr>
          <w:rFonts w:hint="eastAsia" w:ascii="仿宋_GB2312" w:hAnsi="宋体" w:eastAsia="仿宋_GB2312" w:cs="仿宋_GB2312"/>
          <w:sz w:val="24"/>
          <w:highlight w:val="none"/>
          <w:lang w:val="en-US" w:eastAsia="zh-CN"/>
        </w:rPr>
        <w:t>演示</w:t>
      </w:r>
      <w:r>
        <w:rPr>
          <w:rFonts w:hint="default" w:ascii="仿宋_GB2312" w:hAnsi="宋体" w:eastAsia="仿宋_GB2312" w:cs="仿宋_GB2312"/>
          <w:sz w:val="24"/>
          <w:highlight w:val="none"/>
          <w:lang w:val="en-US" w:eastAsia="zh-CN"/>
        </w:rPr>
        <w:t>交通勤务态势</w:t>
      </w:r>
      <w:r>
        <w:rPr>
          <w:rFonts w:hint="eastAsia" w:ascii="仿宋_GB2312" w:hAnsi="宋体" w:eastAsia="仿宋_GB2312" w:cs="仿宋_GB2312"/>
          <w:sz w:val="24"/>
          <w:highlight w:val="none"/>
          <w:lang w:val="en-US" w:eastAsia="zh-CN"/>
        </w:rPr>
        <w:t>：1）实现对本月稽查布控、隐患排查、警情处理等**工作进行分类统计；2）并对民警和辅警的工作量排名统计展示，</w:t>
      </w:r>
      <w:r>
        <w:rPr>
          <w:rFonts w:hint="eastAsia" w:ascii="仿宋_GB2312" w:hAnsi="宋体" w:eastAsia="仿宋_GB2312" w:cs="仿宋_GB2312"/>
          <w:sz w:val="24"/>
          <w:highlight w:val="none"/>
          <w:lang w:val="zh-CN" w:eastAsia="zh-CN"/>
        </w:rPr>
        <w:t>每演示成功一项得1分，最高</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eastAsia="zh-CN"/>
        </w:rPr>
        <w:t>分（</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eastAsia="zh-CN"/>
        </w:rPr>
        <w:t>）。</w:t>
      </w:r>
    </w:p>
    <w:p>
      <w:pPr>
        <w:autoSpaceDE w:val="0"/>
        <w:autoSpaceDN w:val="0"/>
        <w:spacing w:line="460" w:lineRule="exact"/>
        <w:rPr>
          <w:rFonts w:hint="eastAsia" w:ascii="仿宋_GB2312" w:hAnsi="宋体" w:eastAsia="仿宋_GB2312" w:cs="仿宋_GB2312"/>
          <w:sz w:val="24"/>
          <w:highlight w:val="none"/>
          <w:lang w:val="zh-CN"/>
        </w:rPr>
      </w:pPr>
      <w:r>
        <w:rPr>
          <w:rFonts w:hint="eastAsia" w:ascii="仿宋_GB2312" w:hAnsi="宋体" w:eastAsia="仿宋_GB2312"/>
          <w:b/>
          <w:bCs/>
          <w:sz w:val="24"/>
          <w:highlight w:val="none"/>
        </w:rPr>
        <w:t>（</w:t>
      </w:r>
      <w:r>
        <w:rPr>
          <w:rFonts w:hint="eastAsia" w:ascii="仿宋_GB2312" w:hAnsi="宋体" w:eastAsia="仿宋_GB2312"/>
          <w:b/>
          <w:bCs/>
          <w:sz w:val="24"/>
          <w:highlight w:val="none"/>
          <w:lang w:val="en-US" w:eastAsia="zh-CN"/>
        </w:rPr>
        <w:t>5</w:t>
      </w:r>
      <w:r>
        <w:rPr>
          <w:rFonts w:hint="eastAsia" w:ascii="仿宋_GB2312" w:hAnsi="宋体" w:eastAsia="仿宋_GB2312"/>
          <w:b/>
          <w:bCs/>
          <w:sz w:val="24"/>
          <w:highlight w:val="none"/>
        </w:rPr>
        <w:t>）</w:t>
      </w:r>
      <w:r>
        <w:rPr>
          <w:rFonts w:hint="eastAsia" w:ascii="仿宋_GB2312" w:hAnsi="宋体" w:eastAsia="仿宋_GB2312" w:cs="仿宋_GB2312"/>
          <w:b/>
          <w:sz w:val="24"/>
          <w:highlight w:val="none"/>
          <w:lang w:val="zh-CN"/>
        </w:rPr>
        <w:t>售后服务方案（</w:t>
      </w:r>
      <w:r>
        <w:rPr>
          <w:rFonts w:hint="eastAsia" w:ascii="仿宋_GB2312" w:hAnsi="宋体" w:eastAsia="仿宋_GB2312" w:cs="仿宋_GB2312"/>
          <w:b/>
          <w:sz w:val="24"/>
          <w:highlight w:val="none"/>
          <w:lang w:val="en-US" w:eastAsia="zh-CN"/>
        </w:rPr>
        <w:t>2</w:t>
      </w:r>
      <w:r>
        <w:rPr>
          <w:rFonts w:hint="eastAsia" w:ascii="仿宋_GB2312" w:hAnsi="宋体" w:eastAsia="仿宋_GB2312" w:cs="仿宋_GB2312"/>
          <w:b/>
          <w:sz w:val="24"/>
          <w:highlight w:val="none"/>
          <w:lang w:val="zh-CN"/>
        </w:rPr>
        <w:t>分）：</w:t>
      </w:r>
    </w:p>
    <w:p>
      <w:pPr>
        <w:keepNext w:val="0"/>
        <w:keepLines w:val="0"/>
        <w:pageBreakBefore w:val="0"/>
        <w:widowControl w:val="0"/>
        <w:kinsoku/>
        <w:wordWrap/>
        <w:overflowPunct/>
        <w:topLinePunct w:val="0"/>
        <w:autoSpaceDE w:val="0"/>
        <w:autoSpaceDN w:val="0"/>
        <w:bidi w:val="0"/>
        <w:spacing w:line="360" w:lineRule="auto"/>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●质保期内，投标人承诺提供7x24小时故障申告热线电话服务，并确定专人联系该项目运维。对故障，在1小时内响应、4小时以内到现场、8小时以内解决问题并保证正常使用。</w:t>
      </w:r>
      <w:r>
        <w:rPr>
          <w:rFonts w:hint="eastAsia" w:ascii="仿宋_GB2312" w:hAnsi="宋体" w:eastAsia="仿宋_GB2312" w:cs="仿宋_GB2312"/>
          <w:sz w:val="24"/>
          <w:highlight w:val="none"/>
          <w:lang w:val="en-US" w:eastAsia="zh-CN"/>
        </w:rPr>
        <w:t>提供相应内容承诺的得2分，否则不得分</w:t>
      </w:r>
      <w:r>
        <w:rPr>
          <w:rFonts w:hint="eastAsia" w:ascii="仿宋_GB2312" w:hAnsi="宋体" w:eastAsia="仿宋_GB2312" w:cs="仿宋_GB2312"/>
          <w:sz w:val="24"/>
          <w:highlight w:val="none"/>
          <w:lang w:val="zh-CN"/>
        </w:rPr>
        <w:t>（</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rPr>
        <w:t>）。</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C、</w:t>
      </w:r>
      <w:r>
        <w:rPr>
          <w:rFonts w:hint="eastAsia" w:ascii="仿宋_GB2312" w:hAnsi="仿宋_GB2312" w:eastAsia="仿宋_GB2312" w:cs="仿宋_GB2312"/>
          <w:b/>
          <w:bCs/>
          <w:sz w:val="24"/>
          <w:highlight w:val="none"/>
          <w:lang w:val="en-US" w:eastAsia="zh-CN"/>
        </w:rPr>
        <w:t>投标人</w:t>
      </w:r>
      <w:r>
        <w:rPr>
          <w:rFonts w:hint="eastAsia" w:ascii="仿宋_GB2312" w:hAnsi="仿宋_GB2312" w:eastAsia="仿宋_GB2312" w:cs="仿宋_GB2312"/>
          <w:b/>
          <w:bCs/>
          <w:sz w:val="24"/>
          <w:highlight w:val="none"/>
        </w:rPr>
        <w:t>的资信情况（</w:t>
      </w:r>
      <w:r>
        <w:rPr>
          <w:rFonts w:hint="eastAsia" w:ascii="仿宋_GB2312" w:hAnsi="仿宋_GB2312" w:eastAsia="仿宋_GB2312" w:cs="仿宋_GB2312"/>
          <w:b/>
          <w:sz w:val="24"/>
          <w:highlight w:val="none"/>
          <w:u w:val="single"/>
          <w:lang w:val="en-US" w:eastAsia="zh-CN"/>
        </w:rPr>
        <w:t>2</w:t>
      </w:r>
      <w:r>
        <w:rPr>
          <w:rFonts w:hint="eastAsia" w:ascii="仿宋_GB2312" w:hAnsi="仿宋_GB2312" w:eastAsia="仿宋_GB2312" w:cs="仿宋_GB2312"/>
          <w:b/>
          <w:bCs/>
          <w:sz w:val="24"/>
          <w:highlight w:val="none"/>
        </w:rPr>
        <w:t>分）：</w:t>
      </w:r>
    </w:p>
    <w:p>
      <w:pPr>
        <w:keepNext w:val="0"/>
        <w:keepLines w:val="0"/>
        <w:pageBreakBefore w:val="0"/>
        <w:widowControl w:val="0"/>
        <w:kinsoku/>
        <w:wordWrap/>
        <w:overflowPunct/>
        <w:topLinePunct w:val="0"/>
        <w:autoSpaceDE w:val="0"/>
        <w:autoSpaceDN w:val="0"/>
        <w:bidi w:val="0"/>
        <w:spacing w:line="360" w:lineRule="auto"/>
        <w:ind w:firstLine="482"/>
        <w:textAlignment w:val="auto"/>
        <w:rPr>
          <w:rFonts w:hint="eastAsia" w:ascii="仿宋_GB2312" w:hAnsi="宋体" w:eastAsia="仿宋_GB2312" w:cs="仿宋_GB2312"/>
          <w:sz w:val="24"/>
          <w:highlight w:val="none"/>
          <w:lang w:val="zh-CN"/>
        </w:rPr>
      </w:pPr>
      <w:r>
        <w:rPr>
          <w:rFonts w:hint="eastAsia" w:ascii="仿宋_GB2312" w:hAnsi="宋体" w:eastAsia="仿宋_GB2312" w:cs="仿宋_GB2312"/>
          <w:sz w:val="24"/>
          <w:highlight w:val="none"/>
          <w:lang w:val="zh-CN" w:eastAsia="zh-CN"/>
        </w:rPr>
        <w:t>●</w:t>
      </w:r>
      <w:bookmarkStart w:id="622" w:name="_GoBack"/>
      <w:r>
        <w:rPr>
          <w:rFonts w:hint="eastAsia" w:ascii="仿宋_GB2312" w:hAnsi="宋体" w:eastAsia="仿宋_GB2312" w:cs="仿宋_GB2312"/>
          <w:sz w:val="24"/>
          <w:highlight w:val="none"/>
          <w:lang w:val="zh-CN"/>
        </w:rPr>
        <w:t>投标人成功案例及业绩：201</w:t>
      </w:r>
      <w:r>
        <w:rPr>
          <w:rFonts w:hint="eastAsia" w:ascii="仿宋_GB2312" w:hAnsi="宋体" w:eastAsia="仿宋_GB2312" w:cs="仿宋_GB2312"/>
          <w:sz w:val="24"/>
          <w:highlight w:val="none"/>
          <w:lang w:val="en-US" w:eastAsia="zh-CN"/>
        </w:rPr>
        <w:t>9</w:t>
      </w:r>
      <w:r>
        <w:rPr>
          <w:rFonts w:hint="eastAsia" w:ascii="仿宋_GB2312" w:hAnsi="宋体" w:eastAsia="仿宋_GB2312" w:cs="仿宋_GB2312"/>
          <w:sz w:val="24"/>
          <w:highlight w:val="none"/>
          <w:lang w:val="zh-CN"/>
        </w:rPr>
        <w:t>年1月1日起至开标时间止（以合同签订时间为准），投标人承担类似软件开发项目成功案例情况，每个案例得</w:t>
      </w:r>
      <w:r>
        <w:rPr>
          <w:rFonts w:hint="eastAsia" w:ascii="仿宋_GB2312" w:hAnsi="宋体" w:eastAsia="仿宋_GB2312" w:cs="仿宋_GB2312"/>
          <w:sz w:val="24"/>
          <w:highlight w:val="none"/>
          <w:lang w:val="en-US" w:eastAsia="zh-CN"/>
        </w:rPr>
        <w:t>1</w:t>
      </w:r>
      <w:r>
        <w:rPr>
          <w:rFonts w:hint="eastAsia" w:ascii="仿宋_GB2312" w:hAnsi="宋体" w:eastAsia="仿宋_GB2312" w:cs="仿宋_GB2312"/>
          <w:sz w:val="24"/>
          <w:highlight w:val="none"/>
          <w:lang w:val="zh-CN"/>
        </w:rPr>
        <w:t>分，最高得</w:t>
      </w:r>
      <w:r>
        <w:rPr>
          <w:rFonts w:hint="eastAsia" w:ascii="仿宋_GB2312" w:hAnsi="宋体" w:eastAsia="仿宋_GB2312" w:cs="仿宋_GB2312"/>
          <w:sz w:val="24"/>
          <w:highlight w:val="none"/>
          <w:lang w:val="en-US" w:eastAsia="zh-CN"/>
        </w:rPr>
        <w:t>2</w:t>
      </w:r>
      <w:r>
        <w:rPr>
          <w:rFonts w:hint="eastAsia" w:ascii="仿宋_GB2312" w:hAnsi="宋体" w:eastAsia="仿宋_GB2312" w:cs="仿宋_GB2312"/>
          <w:sz w:val="24"/>
          <w:highlight w:val="none"/>
          <w:lang w:val="zh-CN"/>
        </w:rPr>
        <w:t>分（须提供合同扫描件）（</w:t>
      </w:r>
      <w:r>
        <w:rPr>
          <w:rFonts w:hint="eastAsia" w:ascii="仿宋_GB2312" w:hAnsi="宋体" w:eastAsia="仿宋_GB2312" w:cs="仿宋_GB2312"/>
          <w:sz w:val="24"/>
          <w:highlight w:val="none"/>
          <w:lang w:val="en-US" w:eastAsia="zh-CN"/>
        </w:rPr>
        <w:t>2分</w:t>
      </w:r>
      <w:r>
        <w:rPr>
          <w:rFonts w:hint="eastAsia" w:ascii="仿宋_GB2312" w:hAnsi="宋体" w:eastAsia="仿宋_GB2312" w:cs="仿宋_GB2312"/>
          <w:sz w:val="24"/>
          <w:highlight w:val="none"/>
          <w:lang w:val="zh-CN"/>
        </w:rPr>
        <w:t>）。</w:t>
      </w:r>
    </w:p>
    <w:bookmarkEnd w:id="622"/>
    <w:p>
      <w:pPr>
        <w:pStyle w:val="33"/>
        <w:keepNext w:val="0"/>
        <w:keepLines w:val="0"/>
        <w:pageBreakBefore w:val="0"/>
        <w:widowControl w:val="0"/>
        <w:kinsoku/>
        <w:wordWrap/>
        <w:overflowPunct/>
        <w:topLinePunct w:val="0"/>
        <w:bidi w:val="0"/>
        <w:spacing w:line="360" w:lineRule="auto"/>
        <w:ind w:firstLine="472" w:firstLineChars="196"/>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综合得分=A+B+C</w:t>
      </w:r>
      <w:r>
        <w:rPr>
          <w:rFonts w:hint="eastAsia" w:ascii="仿宋_GB2312" w:hAnsi="仿宋" w:eastAsia="仿宋_GB2312" w:cs="仿宋_GB2312"/>
          <w:b/>
          <w:sz w:val="24"/>
          <w:szCs w:val="24"/>
          <w:highlight w:val="none"/>
        </w:rPr>
        <w:t>，精确到小数点后二位。</w:t>
      </w:r>
    </w:p>
    <w:p>
      <w:pPr>
        <w:adjustRightInd w:val="0"/>
        <w:spacing w:line="360" w:lineRule="auto"/>
        <w:ind w:firstLine="467" w:firstLineChars="194"/>
        <w:rPr>
          <w:rFonts w:ascii="仿宋_GB2312" w:hAnsi="仿宋" w:eastAsia="仿宋_GB2312" w:cs="仿宋_GB2312"/>
          <w:b/>
          <w:sz w:val="24"/>
          <w:szCs w:val="24"/>
        </w:rPr>
      </w:pPr>
    </w:p>
    <w:p>
      <w:pPr>
        <w:adjustRightInd w:val="0"/>
        <w:spacing w:line="360" w:lineRule="auto"/>
        <w:ind w:firstLine="467" w:firstLineChars="194"/>
        <w:rPr>
          <w:rFonts w:ascii="仿宋_GB2312" w:hAnsi="仿宋" w:eastAsia="仿宋_GB2312" w:cs="仿宋_GB2312"/>
          <w:b/>
          <w:sz w:val="24"/>
          <w:szCs w:val="24"/>
        </w:rPr>
      </w:pPr>
    </w:p>
    <w:p>
      <w:pPr>
        <w:pStyle w:val="2"/>
        <w:rPr>
          <w:rFonts w:ascii="仿宋_GB2312" w:hAnsi="仿宋" w:eastAsia="仿宋_GB2312" w:cs="仿宋_GB2312"/>
          <w:b/>
          <w:sz w:val="24"/>
          <w:szCs w:val="24"/>
        </w:rPr>
      </w:pPr>
    </w:p>
    <w:p>
      <w:pPr>
        <w:adjustRightInd w:val="0"/>
        <w:spacing w:line="360" w:lineRule="auto"/>
        <w:ind w:left="720" w:leftChars="343" w:firstLine="1446" w:firstLineChars="400"/>
        <w:outlineLvl w:val="0"/>
        <w:rPr>
          <w:rFonts w:hint="eastAsia" w:ascii="仿宋_GB2312" w:hAnsi="仿宋" w:eastAsia="仿宋_GB2312" w:cs="仿宋_GB2312"/>
          <w:b/>
          <w:sz w:val="36"/>
          <w:szCs w:val="36"/>
        </w:rPr>
      </w:pPr>
    </w:p>
    <w:p>
      <w:pPr>
        <w:adjustRightInd w:val="0"/>
        <w:spacing w:line="360" w:lineRule="auto"/>
        <w:ind w:left="720" w:leftChars="343" w:firstLine="1446" w:firstLineChars="4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bookmarkEnd w:id="24"/>
    <w:p>
      <w:pPr>
        <w:spacing w:line="360" w:lineRule="auto"/>
        <w:rPr>
          <w:rFonts w:ascii="仿宋_GB2312" w:hAnsi="楷体" w:eastAsia="仿宋_GB2312"/>
          <w:sz w:val="24"/>
          <w:u w:val="single"/>
        </w:rPr>
      </w:pPr>
      <w:bookmarkStart w:id="445" w:name="第五部分"/>
      <w:bookmarkStart w:id="446" w:name="_Toc86217003"/>
      <w:r>
        <w:rPr>
          <w:rFonts w:hint="eastAsia" w:ascii="仿宋_GB2312" w:hAnsi="楷体" w:eastAsia="仿宋_GB2312"/>
          <w:sz w:val="24"/>
        </w:rPr>
        <w:t>合同编号：</w:t>
      </w:r>
      <w:r>
        <w:rPr>
          <w:rFonts w:hint="eastAsia" w:ascii="仿宋_GB2312" w:hAnsi="楷体" w:eastAsia="仿宋_GB2312"/>
          <w:sz w:val="24"/>
          <w:u w:val="single"/>
        </w:rPr>
        <w:t xml:space="preserve">           </w:t>
      </w:r>
    </w:p>
    <w:p>
      <w:pPr>
        <w:spacing w:line="360" w:lineRule="auto"/>
        <w:rPr>
          <w:rFonts w:ascii="仿宋_GB2312" w:hAnsi="楷体" w:eastAsia="仿宋_GB2312"/>
          <w:sz w:val="24"/>
          <w:u w:val="single"/>
        </w:rPr>
      </w:pPr>
    </w:p>
    <w:p>
      <w:pPr>
        <w:pStyle w:val="330"/>
        <w:ind w:leftChars="0" w:firstLine="2465" w:firstLineChars="682"/>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政府采购合同书</w:t>
      </w:r>
    </w:p>
    <w:p>
      <w:pPr>
        <w:pStyle w:val="330"/>
        <w:rPr>
          <w:rFonts w:ascii="仿宋_GB2312" w:hAnsi="楷体" w:eastAsia="仿宋_GB2312"/>
          <w:szCs w:val="24"/>
        </w:rPr>
      </w:pPr>
    </w:p>
    <w:p>
      <w:pPr>
        <w:pStyle w:val="330"/>
        <w:rPr>
          <w:rFonts w:ascii="仿宋_GB2312" w:hAnsi="楷体" w:eastAsia="仿宋_GB2312"/>
          <w:szCs w:val="24"/>
        </w:rPr>
      </w:pP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项目名称：</w:t>
      </w:r>
      <w:r>
        <w:rPr>
          <w:rFonts w:hint="eastAsia" w:ascii="仿宋_GB2312" w:hAnsi="楷体" w:eastAsia="仿宋_GB2312"/>
          <w:sz w:val="24"/>
          <w:u w:val="single"/>
        </w:rPr>
        <w:t xml:space="preserve">                                   </w:t>
      </w:r>
    </w:p>
    <w:p>
      <w:pPr>
        <w:pStyle w:val="648"/>
        <w:spacing w:before="120"/>
        <w:ind w:firstLine="360"/>
        <w:rPr>
          <w:rFonts w:hAnsi="楷体"/>
          <w:szCs w:val="24"/>
        </w:rPr>
      </w:pPr>
    </w:p>
    <w:p>
      <w:pPr>
        <w:spacing w:line="360" w:lineRule="auto"/>
        <w:rPr>
          <w:rFonts w:ascii="仿宋_GB2312"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甲方：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left="960"/>
        <w:rPr>
          <w:rFonts w:ascii="仿宋_GB2312" w:hAnsi="楷体" w:eastAsia="仿宋_GB2312"/>
          <w:sz w:val="24"/>
          <w:u w:val="single"/>
        </w:rPr>
      </w:pPr>
      <w:r>
        <w:rPr>
          <w:rFonts w:hint="eastAsia" w:ascii="仿宋_GB2312" w:hAnsi="楷体" w:eastAsia="仿宋_GB2312"/>
          <w:sz w:val="24"/>
        </w:rPr>
        <w:t>乙方：</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签订地：</w:t>
      </w:r>
      <w:r>
        <w:rPr>
          <w:rFonts w:hint="eastAsia" w:ascii="仿宋_GB2312" w:hAnsi="楷体" w:eastAsia="仿宋_GB2312"/>
          <w:sz w:val="24"/>
          <w:u w:val="single"/>
        </w:rPr>
        <w:t xml:space="preserve">                                     </w:t>
      </w:r>
    </w:p>
    <w:p>
      <w:pPr>
        <w:spacing w:before="120" w:line="360" w:lineRule="auto"/>
        <w:rPr>
          <w:rFonts w:ascii="仿宋_GB2312" w:hAnsi="楷体" w:eastAsia="仿宋_GB2312"/>
          <w:sz w:val="24"/>
        </w:rPr>
      </w:pPr>
    </w:p>
    <w:p>
      <w:pPr>
        <w:spacing w:before="120" w:line="360" w:lineRule="auto"/>
        <w:ind w:firstLine="960" w:firstLineChars="40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pPr>
        <w:widowControl/>
        <w:jc w:val="lef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360" w:lineRule="auto"/>
        <w:ind w:firstLine="562" w:firstLineChars="200"/>
        <w:jc w:val="center"/>
        <w:rPr>
          <w:rFonts w:ascii="仿宋_GB2312" w:hAnsi="楷体" w:eastAsia="仿宋_GB2312"/>
          <w:b/>
          <w:sz w:val="28"/>
          <w:szCs w:val="28"/>
        </w:rPr>
      </w:pPr>
      <w:r>
        <w:rPr>
          <w:rFonts w:hint="eastAsia" w:ascii="仿宋_GB2312" w:hAnsi="楷体" w:eastAsia="仿宋_GB2312"/>
          <w:b/>
          <w:sz w:val="28"/>
          <w:szCs w:val="28"/>
        </w:rPr>
        <w:t>第一部分 合同书</w:t>
      </w:r>
    </w:p>
    <w:p>
      <w:pPr>
        <w:spacing w:line="360" w:lineRule="auto"/>
        <w:ind w:firstLine="480" w:firstLineChars="200"/>
        <w:rPr>
          <w:rFonts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楷体" w:eastAsia="仿宋_GB2312"/>
          <w:sz w:val="24"/>
          <w:u w:val="single"/>
        </w:rPr>
        <w:t xml:space="preserve">   （采购人名称）   </w:t>
      </w:r>
      <w:r>
        <w:rPr>
          <w:rFonts w:hint="eastAsia" w:ascii="仿宋_GB2312" w:hAnsi="楷体" w:eastAsia="仿宋_GB2312"/>
          <w:sz w:val="24"/>
        </w:rPr>
        <w:t>以</w:t>
      </w:r>
      <w:r>
        <w:rPr>
          <w:rFonts w:hint="eastAsia" w:ascii="仿宋_GB2312" w:hAnsi="楷体" w:eastAsia="仿宋_GB2312"/>
          <w:sz w:val="24"/>
          <w:u w:val="single"/>
        </w:rPr>
        <w:t xml:space="preserve">   （政府采购方式）  </w:t>
      </w:r>
      <w:r>
        <w:rPr>
          <w:rFonts w:hint="eastAsia" w:ascii="仿宋_GB2312" w:hAnsi="楷体" w:eastAsia="仿宋_GB2312"/>
          <w:sz w:val="24"/>
        </w:rPr>
        <w:t>对</w:t>
      </w:r>
      <w:r>
        <w:rPr>
          <w:rFonts w:hint="eastAsia" w:ascii="仿宋_GB2312" w:hAnsi="楷体" w:eastAsia="仿宋_GB2312"/>
          <w:sz w:val="24"/>
          <w:u w:val="single"/>
        </w:rPr>
        <w:t xml:space="preserve">   （同前页项目名称）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（中标供应商名称）</w:t>
      </w:r>
      <w:r>
        <w:rPr>
          <w:rFonts w:hint="eastAsia" w:ascii="仿宋_GB2312" w:hAnsi="楷体" w:eastAsia="仿宋_GB2312"/>
          <w:sz w:val="24"/>
        </w:rPr>
        <w:t>为该项目中标供应商。现于中标通知书发出之日起三十日内，按照采购文件确定的事项签订本合同。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（中标供应商名称）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outlineLvl w:val="0"/>
        <w:rPr>
          <w:rFonts w:ascii="仿宋_GB2312" w:hAnsi="楷体" w:eastAsia="仿宋_GB2312"/>
          <w:b/>
          <w:sz w:val="24"/>
        </w:rPr>
      </w:pPr>
      <w:bookmarkStart w:id="447" w:name="_Toc24059"/>
      <w:bookmarkStart w:id="448" w:name="_Toc3029"/>
      <w:bookmarkStart w:id="449" w:name="_Toc2232"/>
      <w:r>
        <w:rPr>
          <w:rFonts w:hint="eastAsia" w:ascii="仿宋_GB2312" w:hAnsi="楷体" w:eastAsia="仿宋_GB2312"/>
          <w:b/>
          <w:sz w:val="24"/>
        </w:rPr>
        <w:t>1.1 合同组成部分</w:t>
      </w:r>
      <w:bookmarkEnd w:id="447"/>
      <w:bookmarkEnd w:id="448"/>
      <w:bookmarkEnd w:id="449"/>
    </w:p>
    <w:p>
      <w:pPr>
        <w:spacing w:line="360" w:lineRule="auto"/>
        <w:ind w:firstLine="480" w:firstLineChars="200"/>
        <w:rPr>
          <w:rFonts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1.1.2 中标通知书；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1.1.3 投标文件（含澄清或者说明文件）；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1.1.4 招标文件（含澄清或者修改文件）；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outlineLvl w:val="0"/>
        <w:rPr>
          <w:rFonts w:ascii="仿宋_GB2312" w:hAnsi="楷体" w:eastAsia="仿宋_GB2312"/>
          <w:b/>
          <w:sz w:val="24"/>
        </w:rPr>
      </w:pPr>
      <w:bookmarkStart w:id="450" w:name="_Toc24300"/>
      <w:bookmarkStart w:id="451" w:name="_Toc21295"/>
      <w:bookmarkStart w:id="452" w:name="_Toc27126"/>
      <w:r>
        <w:rPr>
          <w:rFonts w:hint="eastAsia" w:ascii="仿宋_GB2312" w:hAnsi="楷体" w:eastAsia="仿宋_GB2312"/>
          <w:b/>
          <w:sz w:val="24"/>
        </w:rPr>
        <w:t>1.2 标的物</w:t>
      </w:r>
      <w:bookmarkEnd w:id="450"/>
      <w:bookmarkEnd w:id="451"/>
      <w:bookmarkEnd w:id="452"/>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1.2.1 标的物名称：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1.2.2 标的物数量：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1.2.3 标的物质量：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53" w:name="_Toc21551"/>
      <w:bookmarkStart w:id="454" w:name="_Toc23292"/>
      <w:bookmarkStart w:id="455" w:name="_Toc21631"/>
      <w:r>
        <w:rPr>
          <w:rFonts w:hint="eastAsia" w:ascii="仿宋_GB2312" w:hAnsi="楷体" w:eastAsia="仿宋_GB2312"/>
          <w:b/>
          <w:sz w:val="24"/>
        </w:rPr>
        <w:t>1.3 价款</w:t>
      </w:r>
      <w:bookmarkEnd w:id="453"/>
      <w:bookmarkEnd w:id="454"/>
      <w:bookmarkEnd w:id="455"/>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w:t>
      </w:r>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序号</w:t>
            </w:r>
          </w:p>
        </w:tc>
        <w:tc>
          <w:tcPr>
            <w:tcW w:w="340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分项名称</w:t>
            </w:r>
          </w:p>
        </w:tc>
        <w:tc>
          <w:tcPr>
            <w:tcW w:w="2552" w:type="dxa"/>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2"/>
              <w:spacing w:line="360" w:lineRule="auto"/>
              <w:ind w:firstLine="480"/>
              <w:jc w:val="center"/>
              <w:rPr>
                <w:rFonts w:ascii="仿宋_GB2312" w:hAnsi="楷体" w:eastAsia="仿宋_GB2312"/>
                <w:sz w:val="24"/>
                <w:szCs w:val="24"/>
              </w:rPr>
            </w:pPr>
          </w:p>
        </w:tc>
        <w:tc>
          <w:tcPr>
            <w:tcW w:w="3402" w:type="dxa"/>
            <w:vAlign w:val="center"/>
          </w:tcPr>
          <w:p>
            <w:pPr>
              <w:pStyle w:val="282"/>
              <w:spacing w:line="360" w:lineRule="auto"/>
              <w:ind w:firstLine="480"/>
              <w:jc w:val="center"/>
              <w:rPr>
                <w:rFonts w:ascii="仿宋_GB2312" w:hAnsi="楷体" w:eastAsia="仿宋_GB2312"/>
                <w:sz w:val="24"/>
                <w:szCs w:val="24"/>
              </w:rPr>
            </w:pPr>
          </w:p>
        </w:tc>
        <w:tc>
          <w:tcPr>
            <w:tcW w:w="2552" w:type="dxa"/>
            <w:vAlign w:val="center"/>
          </w:tcPr>
          <w:p>
            <w:pPr>
              <w:pStyle w:val="282"/>
              <w:spacing w:line="360" w:lineRule="auto"/>
              <w:ind w:firstLine="480"/>
              <w:jc w:val="center"/>
              <w:rPr>
                <w:rFonts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2"/>
              <w:spacing w:line="360" w:lineRule="auto"/>
              <w:ind w:firstLine="480"/>
              <w:jc w:val="center"/>
              <w:rPr>
                <w:rFonts w:ascii="仿宋_GB2312" w:hAnsi="楷体" w:eastAsia="仿宋_GB2312"/>
                <w:sz w:val="24"/>
                <w:szCs w:val="24"/>
              </w:rPr>
            </w:pPr>
            <w:r>
              <w:rPr>
                <w:rFonts w:hint="eastAsia" w:ascii="仿宋_GB2312" w:hAnsi="楷体" w:eastAsia="仿宋_GB2312"/>
                <w:sz w:val="24"/>
                <w:szCs w:val="24"/>
              </w:rPr>
              <w:t>总价</w:t>
            </w:r>
          </w:p>
        </w:tc>
        <w:tc>
          <w:tcPr>
            <w:tcW w:w="2552" w:type="dxa"/>
            <w:vAlign w:val="center"/>
          </w:tcPr>
          <w:p>
            <w:pPr>
              <w:pStyle w:val="282"/>
              <w:spacing w:line="360" w:lineRule="auto"/>
              <w:ind w:firstLine="480"/>
              <w:jc w:val="center"/>
              <w:rPr>
                <w:rFonts w:ascii="仿宋_GB2312" w:hAnsi="楷体" w:eastAsia="仿宋_GB2312"/>
                <w:sz w:val="24"/>
                <w:szCs w:val="24"/>
              </w:rPr>
            </w:pPr>
          </w:p>
        </w:tc>
      </w:tr>
    </w:tbl>
    <w:p>
      <w:pPr>
        <w:spacing w:line="360" w:lineRule="auto"/>
        <w:ind w:firstLine="482" w:firstLineChars="200"/>
        <w:outlineLvl w:val="0"/>
        <w:rPr>
          <w:rFonts w:ascii="仿宋_GB2312" w:hAnsi="楷体" w:eastAsia="仿宋_GB2312"/>
          <w:b/>
          <w:sz w:val="24"/>
        </w:rPr>
      </w:pPr>
      <w:bookmarkStart w:id="456" w:name="_Toc1814"/>
      <w:bookmarkStart w:id="457" w:name="_Toc22618"/>
      <w:bookmarkStart w:id="458" w:name="_Toc10340"/>
      <w:r>
        <w:rPr>
          <w:rFonts w:hint="eastAsia" w:ascii="仿宋_GB2312" w:hAnsi="楷体" w:eastAsia="仿宋_GB2312"/>
          <w:b/>
          <w:sz w:val="24"/>
        </w:rPr>
        <w:t>1.4 付款方式和发票开具方式</w:t>
      </w:r>
      <w:bookmarkEnd w:id="456"/>
      <w:bookmarkEnd w:id="457"/>
      <w:bookmarkEnd w:id="458"/>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1</w:t>
      </w:r>
      <w:r>
        <w:rPr>
          <w:rFonts w:hint="eastAsia" w:ascii="仿宋_GB2312" w:hAnsi="楷体" w:eastAsia="仿宋_GB2312"/>
          <w:color w:val="auto"/>
          <w:sz w:val="24"/>
        </w:rPr>
        <w:t>.4.1 付款方式：</w:t>
      </w:r>
      <w:r>
        <w:rPr>
          <w:rFonts w:hint="eastAsia" w:ascii="仿宋_GB2312" w:hAnsi="楷体" w:eastAsia="仿宋_GB2312"/>
          <w:color w:val="auto"/>
          <w:sz w:val="24"/>
          <w:u w:val="single"/>
        </w:rPr>
        <w:t xml:space="preserve">   （分期付款/一次性付款）                     </w:t>
      </w:r>
      <w:r>
        <w:rPr>
          <w:rFonts w:hint="eastAsia" w:ascii="仿宋_GB2312" w:hAnsi="楷体" w:eastAsia="仿宋_GB2312"/>
          <w:color w:val="auto"/>
          <w:sz w:val="24"/>
        </w:rPr>
        <w:t>；</w:t>
      </w:r>
    </w:p>
    <w:p>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1.4.3甲方拒绝或迟延支付中小企业款项，乙方可向有关部门投诉   。</w:t>
      </w:r>
    </w:p>
    <w:p>
      <w:pPr>
        <w:spacing w:line="360" w:lineRule="auto"/>
        <w:ind w:firstLine="482" w:firstLineChars="200"/>
        <w:outlineLvl w:val="0"/>
        <w:rPr>
          <w:rFonts w:ascii="仿宋_GB2312" w:hAnsi="楷体" w:eastAsia="仿宋_GB2312"/>
          <w:b/>
          <w:sz w:val="24"/>
        </w:rPr>
      </w:pPr>
      <w:bookmarkStart w:id="459" w:name="_Toc19304"/>
      <w:bookmarkStart w:id="460" w:name="_Toc32071"/>
      <w:bookmarkStart w:id="461" w:name="_Toc2846"/>
      <w:r>
        <w:rPr>
          <w:rFonts w:hint="eastAsia" w:ascii="仿宋_GB2312" w:hAnsi="楷体" w:eastAsia="仿宋_GB2312"/>
          <w:b/>
          <w:sz w:val="24"/>
        </w:rPr>
        <w:t>1.5 标的物交付期限、地点和方式</w:t>
      </w:r>
      <w:bookmarkEnd w:id="459"/>
      <w:bookmarkEnd w:id="460"/>
      <w:bookmarkEnd w:id="461"/>
    </w:p>
    <w:p>
      <w:pPr>
        <w:spacing w:line="360" w:lineRule="auto"/>
        <w:ind w:firstLine="480" w:firstLineChars="200"/>
        <w:rPr>
          <w:rFonts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462" w:name="_Toc19554"/>
      <w:bookmarkStart w:id="463" w:name="_Toc27250"/>
      <w:bookmarkStart w:id="464" w:name="_Toc21423"/>
      <w:r>
        <w:rPr>
          <w:rFonts w:hint="eastAsia" w:ascii="仿宋_GB2312" w:hAnsi="楷体" w:eastAsia="仿宋_GB2312"/>
          <w:b/>
          <w:sz w:val="24"/>
        </w:rPr>
        <w:t>1.6 违约责任</w:t>
      </w:r>
      <w:bookmarkEnd w:id="462"/>
      <w:bookmarkEnd w:id="463"/>
      <w:bookmarkEnd w:id="464"/>
    </w:p>
    <w:p>
      <w:pPr>
        <w:spacing w:line="360" w:lineRule="auto"/>
        <w:ind w:firstLine="480" w:firstLineChars="200"/>
        <w:rPr>
          <w:rFonts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1.6.2 除不可抗力外，如果甲方没有按照本合同约定的付款方式付款，那么乙方可要求甲方支付违约金，违约金按每迟延付款一日的应付而未付款的</w:t>
      </w:r>
      <w:r>
        <w:rPr>
          <w:rFonts w:hint="eastAsia" w:ascii="仿宋_GB2312" w:hAnsi="楷体" w:eastAsia="仿宋_GB2312"/>
          <w:sz w:val="24"/>
          <w:u w:val="single"/>
        </w:rPr>
        <w:t xml:space="preserve">    </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_GB2312" w:hAnsi="楷体" w:eastAsia="仿宋_GB2312"/>
          <w:b/>
          <w:sz w:val="24"/>
        </w:rPr>
      </w:pPr>
      <w:bookmarkStart w:id="465" w:name="_Toc28375"/>
      <w:bookmarkStart w:id="466" w:name="_Toc16021"/>
      <w:bookmarkStart w:id="467" w:name="_Toc15583"/>
      <w:r>
        <w:rPr>
          <w:rFonts w:hint="eastAsia" w:ascii="仿宋_GB2312" w:hAnsi="楷体" w:eastAsia="仿宋_GB2312"/>
          <w:b/>
          <w:sz w:val="24"/>
        </w:rPr>
        <w:t>1.7 合同争议的解决</w:t>
      </w:r>
      <w:bookmarkEnd w:id="465"/>
      <w:bookmarkEnd w:id="466"/>
      <w:bookmarkEnd w:id="467"/>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 xml:space="preserve">              </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（被告住所地、合同履行地、合同签订地、原告住所地、标的物所在地等与争议有实际联系的地点中选出的人民法院名称）    </w:t>
      </w:r>
      <w:r>
        <w:rPr>
          <w:rFonts w:hint="eastAsia" w:ascii="仿宋_GB2312" w:hAnsi="楷体" w:eastAsia="仿宋_GB2312"/>
          <w:sz w:val="24"/>
        </w:rPr>
        <w:t>人民法院起诉。</w:t>
      </w:r>
    </w:p>
    <w:p>
      <w:pPr>
        <w:spacing w:line="360" w:lineRule="auto"/>
        <w:ind w:firstLine="482" w:firstLineChars="200"/>
        <w:outlineLvl w:val="0"/>
        <w:rPr>
          <w:rFonts w:ascii="仿宋_GB2312" w:hAnsi="楷体" w:eastAsia="仿宋_GB2312"/>
          <w:b/>
          <w:sz w:val="24"/>
        </w:rPr>
      </w:pPr>
      <w:bookmarkStart w:id="468" w:name="_Toc7245"/>
      <w:bookmarkStart w:id="469" w:name="_Toc15322"/>
      <w:bookmarkStart w:id="470" w:name="_Toc11173"/>
      <w:r>
        <w:rPr>
          <w:rFonts w:hint="eastAsia" w:ascii="仿宋_GB2312" w:hAnsi="楷体" w:eastAsia="仿宋_GB2312"/>
          <w:b/>
          <w:sz w:val="24"/>
        </w:rPr>
        <w:t>1.8 合同生效</w:t>
      </w:r>
      <w:bookmarkEnd w:id="468"/>
      <w:bookmarkEnd w:id="469"/>
      <w:bookmarkEnd w:id="470"/>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本合同自双方当事人盖章或者签字时生效。</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b/>
          <w:sz w:val="24"/>
          <w:lang w:val="zh-CN"/>
        </w:rPr>
        <w:t>甲方</w:t>
      </w:r>
      <w:r>
        <w:rPr>
          <w:rFonts w:hint="eastAsia" w:ascii="仿宋_GB2312" w:hAnsi="楷体" w:eastAsia="仿宋_GB2312"/>
          <w:sz w:val="24"/>
          <w:lang w:val="zh-CN"/>
        </w:rPr>
        <w:t xml:space="preserve">：                             </w:t>
      </w:r>
      <w:r>
        <w:rPr>
          <w:rFonts w:hint="eastAsia" w:ascii="仿宋_GB2312" w:hAnsi="楷体" w:eastAsia="仿宋_GB2312"/>
          <w:b/>
          <w:sz w:val="24"/>
          <w:lang w:val="zh-CN"/>
        </w:rPr>
        <w:t xml:space="preserve">      乙方</w:t>
      </w:r>
      <w:r>
        <w:rPr>
          <w:rFonts w:hint="eastAsia" w:ascii="仿宋_GB2312" w:hAnsi="楷体" w:eastAsia="仿宋_GB2312"/>
          <w:sz w:val="24"/>
          <w:lang w:val="zh-CN"/>
        </w:rPr>
        <w:t>：</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autoSpaceDE w:val="0"/>
        <w:autoSpaceDN w:val="0"/>
        <w:spacing w:line="360" w:lineRule="auto"/>
        <w:rPr>
          <w:rFonts w:ascii="仿宋_GB2312" w:hAnsi="楷体" w:eastAsia="仿宋_GB2312"/>
          <w:sz w:val="24"/>
          <w:lang w:val="zh-CN"/>
        </w:rPr>
      </w:pP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住所：                                   住所：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法定代表人或                             法定代表人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联系人：                                 联系人：</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约定送达地址：                           约定送达地址：</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邮政编码：                               邮政编码：</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 xml:space="preserve">电话:                                    电话: </w:t>
      </w:r>
    </w:p>
    <w:p>
      <w:pPr>
        <w:autoSpaceDE w:val="0"/>
        <w:autoSpaceDN w:val="0"/>
        <w:spacing w:line="360" w:lineRule="auto"/>
        <w:rPr>
          <w:rFonts w:ascii="仿宋_GB2312" w:hAnsi="楷体" w:eastAsia="仿宋_GB2312"/>
          <w:sz w:val="24"/>
          <w:lang w:val="zh-CN"/>
        </w:rPr>
      </w:pPr>
      <w:r>
        <w:rPr>
          <w:rFonts w:hint="eastAsia" w:ascii="仿宋_GB2312" w:hAnsi="楷体" w:eastAsia="仿宋_GB2312"/>
          <w:sz w:val="24"/>
          <w:lang w:val="zh-CN"/>
        </w:rPr>
        <w:t>传真:                                    传真:</w:t>
      </w:r>
    </w:p>
    <w:p>
      <w:pPr>
        <w:autoSpaceDE w:val="0"/>
        <w:autoSpaceDN w:val="0"/>
        <w:spacing w:line="360" w:lineRule="auto"/>
        <w:rPr>
          <w:rFonts w:ascii="仿宋_GB2312" w:hAnsi="楷体" w:eastAsia="仿宋_GB2312"/>
          <w:sz w:val="24"/>
        </w:rPr>
      </w:pPr>
      <w:r>
        <w:rPr>
          <w:rFonts w:hint="eastAsia" w:ascii="仿宋_GB2312" w:hAnsi="楷体" w:eastAsia="仿宋_GB2312"/>
          <w:sz w:val="24"/>
          <w:lang w:val="zh-CN"/>
        </w:rPr>
        <w:t>电子邮箱：                               电子邮箱：</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开户银行：                               开户银行：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 xml:space="preserve">开户名称：                               开户名称： </w:t>
      </w:r>
    </w:p>
    <w:p>
      <w:pPr>
        <w:autoSpaceDE w:val="0"/>
        <w:autoSpaceDN w:val="0"/>
        <w:spacing w:line="360" w:lineRule="auto"/>
        <w:rPr>
          <w:rFonts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widowControl/>
        <w:jc w:val="left"/>
        <w:rPr>
          <w:rFonts w:ascii="仿宋_GB2312" w:hAnsi="楷体" w:eastAsia="仿宋_GB2312"/>
          <w:b/>
          <w:sz w:val="24"/>
        </w:rPr>
      </w:pPr>
      <w:bookmarkStart w:id="471" w:name="_Toc331685783"/>
      <w:r>
        <w:rPr>
          <w:rFonts w:hint="eastAsia" w:ascii="仿宋_GB2312" w:hAnsi="楷体" w:eastAsia="仿宋_GB2312"/>
          <w:b/>
        </w:rPr>
        <w:br w:type="page"/>
      </w:r>
    </w:p>
    <w:p>
      <w:pPr>
        <w:pStyle w:val="330"/>
        <w:ind w:firstLine="562"/>
        <w:jc w:val="center"/>
        <w:rPr>
          <w:rFonts w:ascii="仿宋_GB2312" w:hAnsi="楷体" w:eastAsia="仿宋_GB2312"/>
          <w:b/>
          <w:sz w:val="28"/>
          <w:szCs w:val="28"/>
        </w:rPr>
      </w:pPr>
      <w:r>
        <w:rPr>
          <w:rFonts w:hint="eastAsia" w:ascii="仿宋_GB2312" w:hAnsi="楷体" w:eastAsia="仿宋_GB2312"/>
          <w:b/>
          <w:sz w:val="28"/>
          <w:szCs w:val="28"/>
        </w:rPr>
        <w:t>第二部分 合同一般条款</w:t>
      </w:r>
      <w:bookmarkEnd w:id="471"/>
    </w:p>
    <w:p>
      <w:pPr>
        <w:spacing w:line="360" w:lineRule="auto"/>
        <w:ind w:firstLine="482" w:firstLineChars="200"/>
        <w:outlineLvl w:val="0"/>
        <w:rPr>
          <w:rFonts w:ascii="仿宋_GB2312" w:hAnsi="楷体" w:eastAsia="仿宋_GB2312"/>
          <w:b/>
          <w:sz w:val="24"/>
        </w:rPr>
      </w:pPr>
      <w:bookmarkStart w:id="472" w:name="_Toc279701240"/>
      <w:bookmarkStart w:id="473" w:name="_Ref467379225"/>
      <w:bookmarkStart w:id="474" w:name="_Ref467379094"/>
      <w:bookmarkStart w:id="475" w:name="_Ref467379109"/>
      <w:bookmarkStart w:id="476" w:name="_Toc487900349"/>
      <w:bookmarkStart w:id="477" w:name="_Ref467379214"/>
      <w:bookmarkStart w:id="478" w:name="_Ref467378499"/>
      <w:bookmarkStart w:id="479" w:name="_Ref467378404"/>
      <w:bookmarkStart w:id="480" w:name="_Ref467379205"/>
      <w:bookmarkStart w:id="481" w:name="_Toc259093669"/>
      <w:bookmarkStart w:id="482" w:name="_Toc16917"/>
      <w:bookmarkStart w:id="483" w:name="_Toc19614"/>
      <w:bookmarkStart w:id="484" w:name="_Ref467378463"/>
      <w:bookmarkStart w:id="485" w:name="_Toc28763"/>
      <w:bookmarkStart w:id="486" w:name="_Ref467379195"/>
      <w:bookmarkStart w:id="487" w:name="_Ref467379101"/>
      <w:r>
        <w:rPr>
          <w:rFonts w:hint="eastAsia" w:ascii="仿宋_GB2312" w:hAnsi="楷体" w:eastAsia="仿宋_GB2312"/>
          <w:b/>
          <w:sz w:val="24"/>
        </w:rPr>
        <w:t>2.1 定义</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spacing w:line="360" w:lineRule="auto"/>
        <w:ind w:firstLine="480" w:firstLineChars="200"/>
        <w:rPr>
          <w:rFonts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2.1.2 “合同价”系指根据合同约定，中标供应商在完全履行合同义务后，采购人应支付给中标供应商的价格。</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仿宋_GB2312" w:hAnsi="楷体" w:eastAsia="仿宋_GB2312"/>
          <w:sz w:val="24"/>
        </w:rPr>
      </w:pPr>
      <w:bookmarkStart w:id="488" w:name="_Ref467378840"/>
      <w:r>
        <w:rPr>
          <w:rFonts w:hint="eastAsia" w:ascii="仿宋_GB2312" w:hAnsi="楷体" w:eastAsia="仿宋_GB2312"/>
          <w:sz w:val="24"/>
        </w:rPr>
        <w:t>2.1.4 “甲方”系指与中标供应商签署合同的采购人</w:t>
      </w:r>
      <w:bookmarkEnd w:id="488"/>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ascii="仿宋_GB2312" w:hAnsi="楷体" w:eastAsia="仿宋_GB2312"/>
          <w:sz w:val="24"/>
        </w:rPr>
      </w:pPr>
      <w:bookmarkStart w:id="489" w:name="_Ref467379400"/>
      <w:r>
        <w:rPr>
          <w:rFonts w:hint="eastAsia" w:ascii="仿宋_GB2312" w:hAnsi="楷体" w:eastAsia="仿宋_GB2312"/>
          <w:sz w:val="24"/>
        </w:rPr>
        <w:t>2.1.5 “乙方”系指根据合同约定交付标的物的中标供应商</w:t>
      </w:r>
      <w:bookmarkEnd w:id="489"/>
      <w:r>
        <w:rPr>
          <w:rFonts w:hint="eastAsia" w:ascii="仿宋_GB2312" w:hAnsi="楷体" w:eastAsia="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_GB2312" w:hAnsi="楷体" w:eastAsia="仿宋_GB2312"/>
          <w:sz w:val="24"/>
        </w:rPr>
      </w:pPr>
      <w:bookmarkStart w:id="490" w:name="_Ref467379436"/>
      <w:r>
        <w:rPr>
          <w:rFonts w:hint="eastAsia" w:ascii="仿宋_GB2312" w:hAnsi="楷体" w:eastAsia="仿宋_GB2312"/>
          <w:sz w:val="24"/>
        </w:rPr>
        <w:t>2.1.6 “现场”系指合同约定标的物将要运至或者实施或者安装的地点。</w:t>
      </w:r>
      <w:bookmarkEnd w:id="490"/>
    </w:p>
    <w:p>
      <w:pPr>
        <w:spacing w:line="360" w:lineRule="auto"/>
        <w:ind w:firstLine="482" w:firstLineChars="200"/>
        <w:outlineLvl w:val="0"/>
        <w:rPr>
          <w:rFonts w:ascii="仿宋_GB2312" w:hAnsi="楷体" w:eastAsia="仿宋_GB2312"/>
          <w:b/>
          <w:sz w:val="24"/>
        </w:rPr>
      </w:pPr>
      <w:bookmarkStart w:id="491" w:name="_Toc259093670"/>
      <w:bookmarkStart w:id="492" w:name="_Toc32504"/>
      <w:bookmarkStart w:id="493" w:name="_Toc27635"/>
      <w:bookmarkStart w:id="494" w:name="_Toc487900350"/>
      <w:bookmarkStart w:id="495" w:name="_Toc13336"/>
      <w:bookmarkStart w:id="496" w:name="_Toc279701241"/>
      <w:r>
        <w:rPr>
          <w:rFonts w:hint="eastAsia" w:ascii="仿宋_GB2312" w:hAnsi="楷体" w:eastAsia="仿宋_GB2312"/>
          <w:b/>
          <w:sz w:val="24"/>
        </w:rPr>
        <w:t>2.2 技术规范</w:t>
      </w:r>
      <w:bookmarkEnd w:id="491"/>
      <w:bookmarkEnd w:id="492"/>
      <w:bookmarkEnd w:id="493"/>
      <w:bookmarkEnd w:id="494"/>
      <w:bookmarkEnd w:id="495"/>
      <w:bookmarkEnd w:id="496"/>
    </w:p>
    <w:p>
      <w:pPr>
        <w:spacing w:line="360" w:lineRule="auto"/>
        <w:ind w:firstLine="480" w:firstLineChars="200"/>
        <w:rPr>
          <w:rFonts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_GB2312" w:hAnsi="楷体" w:eastAsia="仿宋_GB2312"/>
          <w:b/>
          <w:sz w:val="24"/>
        </w:rPr>
      </w:pPr>
      <w:bookmarkStart w:id="497" w:name="_Toc31634"/>
      <w:bookmarkStart w:id="498" w:name="_Toc279701242"/>
      <w:bookmarkStart w:id="499" w:name="_Toc9829"/>
      <w:bookmarkStart w:id="500" w:name="_Toc259093671"/>
      <w:bookmarkStart w:id="501" w:name="_Toc487900351"/>
      <w:bookmarkStart w:id="502" w:name="_Toc27853"/>
      <w:r>
        <w:rPr>
          <w:rFonts w:hint="eastAsia" w:ascii="仿宋_GB2312" w:hAnsi="楷体" w:eastAsia="仿宋_GB2312"/>
          <w:b/>
          <w:sz w:val="24"/>
        </w:rPr>
        <w:t>2.3 知识产权</w:t>
      </w:r>
      <w:bookmarkEnd w:id="497"/>
      <w:bookmarkEnd w:id="498"/>
      <w:bookmarkEnd w:id="499"/>
      <w:bookmarkEnd w:id="500"/>
      <w:bookmarkEnd w:id="501"/>
      <w:bookmarkEnd w:id="502"/>
    </w:p>
    <w:p>
      <w:pPr>
        <w:spacing w:line="360" w:lineRule="auto"/>
        <w:ind w:firstLine="480" w:firstLineChars="200"/>
        <w:rPr>
          <w:rFonts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503" w:name="_Toc11932"/>
      <w:bookmarkStart w:id="504" w:name="_Toc4194"/>
      <w:bookmarkStart w:id="505" w:name="_Toc29149"/>
      <w:r>
        <w:rPr>
          <w:rFonts w:hint="eastAsia" w:ascii="仿宋_GB2312" w:hAnsi="楷体" w:eastAsia="仿宋_GB2312"/>
          <w:b/>
          <w:sz w:val="24"/>
        </w:rPr>
        <w:t>2.4 包装和装运</w:t>
      </w:r>
      <w:bookmarkEnd w:id="503"/>
      <w:bookmarkEnd w:id="504"/>
      <w:bookmarkEnd w:id="505"/>
    </w:p>
    <w:p>
      <w:pPr>
        <w:spacing w:line="360" w:lineRule="auto"/>
        <w:ind w:firstLine="480" w:firstLineChars="200"/>
        <w:rPr>
          <w:rFonts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506" w:name="_Ref467378591"/>
      <w:bookmarkStart w:id="507" w:name="_Toc279701245"/>
      <w:bookmarkStart w:id="508" w:name="_Toc259093674"/>
      <w:bookmarkStart w:id="509" w:name="_Ref467378541"/>
      <w:bookmarkStart w:id="510" w:name="_Ref467379536"/>
      <w:bookmarkStart w:id="511" w:name="_Ref467379527"/>
      <w:bookmarkStart w:id="512" w:name="_Ref467379542"/>
      <w:bookmarkStart w:id="513" w:name="_Toc487900354"/>
      <w:bookmarkStart w:id="514" w:name="_Toc30272"/>
      <w:bookmarkStart w:id="515" w:name="_Toc19074"/>
      <w:bookmarkStart w:id="516" w:name="_Toc26182"/>
      <w:r>
        <w:rPr>
          <w:rFonts w:hint="eastAsia" w:ascii="仿宋_GB2312" w:hAnsi="楷体" w:eastAsia="仿宋_GB2312"/>
          <w:b/>
          <w:sz w:val="24"/>
        </w:rPr>
        <w:t>2.</w:t>
      </w:r>
      <w:bookmarkEnd w:id="506"/>
      <w:bookmarkEnd w:id="507"/>
      <w:bookmarkEnd w:id="508"/>
      <w:bookmarkEnd w:id="509"/>
      <w:bookmarkEnd w:id="510"/>
      <w:bookmarkEnd w:id="511"/>
      <w:bookmarkEnd w:id="512"/>
      <w:bookmarkEnd w:id="513"/>
      <w:r>
        <w:rPr>
          <w:rFonts w:hint="eastAsia" w:ascii="仿宋_GB2312" w:hAnsi="楷体" w:eastAsia="仿宋_GB2312"/>
          <w:b/>
          <w:sz w:val="24"/>
        </w:rPr>
        <w:t>5 履约检查和问题反馈</w:t>
      </w:r>
      <w:bookmarkEnd w:id="514"/>
      <w:bookmarkEnd w:id="515"/>
      <w:bookmarkEnd w:id="516"/>
    </w:p>
    <w:p>
      <w:pPr>
        <w:spacing w:line="360" w:lineRule="auto"/>
        <w:ind w:firstLine="480" w:firstLineChars="200"/>
        <w:rPr>
          <w:rFonts w:ascii="仿宋_GB2312" w:hAnsi="楷体" w:eastAsia="仿宋_GB2312"/>
          <w:sz w:val="24"/>
        </w:rPr>
      </w:pPr>
      <w:bookmarkStart w:id="517" w:name="_Ref467379657"/>
      <w:r>
        <w:rPr>
          <w:rFonts w:hint="eastAsia" w:ascii="仿宋_GB2312" w:hAnsi="楷体" w:eastAsia="仿宋_GB2312"/>
          <w:sz w:val="24"/>
        </w:rPr>
        <w:t>2.5.1</w:t>
      </w:r>
      <w:bookmarkEnd w:id="517"/>
      <w:bookmarkStart w:id="518" w:name="_Toc186431854"/>
      <w:bookmarkStart w:id="519" w:name="_Toc487900357"/>
      <w:bookmarkStart w:id="520" w:name="_Ref467379793"/>
      <w:bookmarkStart w:id="521" w:name="_Toc279701247"/>
      <w:bookmarkStart w:id="522" w:name="_Ref467379807"/>
      <w:bookmarkStart w:id="523" w:name="_Toc259093676"/>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518"/>
      <w:bookmarkStart w:id="524" w:name="_Toc186431855"/>
      <w:r>
        <w:rPr>
          <w:rFonts w:hint="eastAsia" w:ascii="仿宋_GB2312" w:hAnsi="楷体" w:eastAsia="仿宋_GB2312"/>
          <w:sz w:val="24"/>
        </w:rPr>
        <w:t>。</w:t>
      </w:r>
    </w:p>
    <w:bookmarkEnd w:id="524"/>
    <w:p>
      <w:pPr>
        <w:spacing w:line="360" w:lineRule="auto"/>
        <w:ind w:firstLine="482" w:firstLineChars="200"/>
        <w:outlineLvl w:val="0"/>
        <w:rPr>
          <w:rFonts w:ascii="仿宋_GB2312" w:hAnsi="楷体" w:eastAsia="仿宋_GB2312"/>
          <w:b/>
          <w:sz w:val="24"/>
        </w:rPr>
      </w:pPr>
      <w:bookmarkStart w:id="525" w:name="_Toc7836"/>
      <w:bookmarkStart w:id="526" w:name="_Toc28451"/>
      <w:bookmarkStart w:id="527" w:name="_Toc19219"/>
      <w:r>
        <w:rPr>
          <w:rFonts w:hint="eastAsia" w:ascii="仿宋_GB2312" w:hAnsi="楷体" w:eastAsia="仿宋_GB2312"/>
          <w:b/>
          <w:sz w:val="24"/>
        </w:rPr>
        <w:t>2.6 结算方式和付款条件</w:t>
      </w:r>
      <w:bookmarkEnd w:id="519"/>
      <w:bookmarkEnd w:id="520"/>
      <w:bookmarkEnd w:id="521"/>
      <w:bookmarkEnd w:id="522"/>
      <w:bookmarkEnd w:id="523"/>
      <w:bookmarkEnd w:id="525"/>
      <w:bookmarkEnd w:id="526"/>
      <w:bookmarkEnd w:id="527"/>
    </w:p>
    <w:p>
      <w:pPr>
        <w:spacing w:line="360" w:lineRule="auto"/>
        <w:ind w:firstLine="480" w:firstLineChars="200"/>
        <w:rPr>
          <w:rFonts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528" w:name="_Ref467379923"/>
      <w:bookmarkStart w:id="529" w:name="_Ref467379852"/>
      <w:bookmarkStart w:id="530" w:name="_Toc259093677"/>
      <w:bookmarkStart w:id="531" w:name="_Toc487900358"/>
      <w:bookmarkStart w:id="532" w:name="_Toc279701248"/>
      <w:bookmarkStart w:id="533" w:name="_Ref467379863"/>
      <w:bookmarkStart w:id="534" w:name="_Toc16110"/>
      <w:bookmarkStart w:id="535" w:name="_Toc774"/>
      <w:bookmarkStart w:id="536" w:name="_Toc3225"/>
      <w:r>
        <w:rPr>
          <w:rFonts w:hint="eastAsia" w:ascii="仿宋_GB2312" w:hAnsi="楷体" w:eastAsia="仿宋_GB2312"/>
          <w:b/>
          <w:sz w:val="24"/>
        </w:rPr>
        <w:t>2.7 技术资料</w:t>
      </w:r>
      <w:bookmarkEnd w:id="528"/>
      <w:bookmarkEnd w:id="529"/>
      <w:bookmarkEnd w:id="530"/>
      <w:bookmarkEnd w:id="531"/>
      <w:bookmarkEnd w:id="532"/>
      <w:bookmarkEnd w:id="533"/>
      <w:r>
        <w:rPr>
          <w:rFonts w:hint="eastAsia" w:ascii="仿宋_GB2312" w:hAnsi="楷体" w:eastAsia="仿宋_GB2312"/>
          <w:b/>
          <w:sz w:val="24"/>
        </w:rPr>
        <w:t>和保密义务</w:t>
      </w:r>
      <w:bookmarkEnd w:id="534"/>
      <w:bookmarkEnd w:id="535"/>
      <w:bookmarkEnd w:id="536"/>
    </w:p>
    <w:p>
      <w:pPr>
        <w:spacing w:line="360" w:lineRule="auto"/>
        <w:ind w:firstLine="480" w:firstLineChars="200"/>
        <w:rPr>
          <w:rFonts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_GB2312" w:hAnsi="楷体" w:eastAsia="仿宋_GB2312"/>
          <w:b/>
          <w:sz w:val="24"/>
        </w:rPr>
      </w:pPr>
      <w:bookmarkStart w:id="537" w:name="_Toc7860"/>
      <w:r>
        <w:rPr>
          <w:rFonts w:hint="eastAsia" w:ascii="仿宋_GB2312" w:hAnsi="楷体" w:eastAsia="仿宋_GB2312"/>
          <w:b/>
          <w:sz w:val="24"/>
        </w:rPr>
        <w:t>2.8 质量保证</w:t>
      </w:r>
      <w:bookmarkEnd w:id="537"/>
    </w:p>
    <w:p>
      <w:pPr>
        <w:spacing w:line="360" w:lineRule="auto"/>
        <w:ind w:firstLine="480" w:firstLineChars="200"/>
        <w:rPr>
          <w:rFonts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_GB2312" w:hAnsi="楷体" w:eastAsia="仿宋_GB2312"/>
          <w:b/>
          <w:sz w:val="24"/>
        </w:rPr>
      </w:pPr>
      <w:bookmarkStart w:id="538" w:name="_Toc17244"/>
      <w:bookmarkStart w:id="539" w:name="_Toc487900362"/>
      <w:bookmarkStart w:id="540" w:name="_Toc259093681"/>
      <w:bookmarkStart w:id="541" w:name="_Toc279701252"/>
      <w:r>
        <w:rPr>
          <w:rFonts w:hint="eastAsia" w:ascii="仿宋_GB2312" w:hAnsi="楷体" w:eastAsia="仿宋_GB2312"/>
          <w:b/>
          <w:sz w:val="24"/>
        </w:rPr>
        <w:t>2.9 标的物的风险负担</w:t>
      </w:r>
      <w:bookmarkEnd w:id="538"/>
    </w:p>
    <w:p>
      <w:pPr>
        <w:spacing w:line="360" w:lineRule="auto"/>
        <w:ind w:firstLine="480" w:firstLineChars="200"/>
        <w:rPr>
          <w:rFonts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outlineLvl w:val="0"/>
        <w:rPr>
          <w:rFonts w:ascii="仿宋_GB2312" w:hAnsi="楷体" w:eastAsia="仿宋_GB2312"/>
          <w:b/>
          <w:sz w:val="24"/>
        </w:rPr>
      </w:pPr>
      <w:bookmarkStart w:id="542" w:name="_Toc14055"/>
      <w:r>
        <w:rPr>
          <w:rFonts w:hint="eastAsia" w:ascii="仿宋_GB2312" w:hAnsi="楷体" w:eastAsia="仿宋_GB2312"/>
          <w:b/>
          <w:sz w:val="24"/>
        </w:rPr>
        <w:t>2.10 延迟交货</w:t>
      </w:r>
      <w:bookmarkEnd w:id="539"/>
      <w:bookmarkEnd w:id="540"/>
      <w:bookmarkEnd w:id="541"/>
      <w:bookmarkEnd w:id="542"/>
      <w:r>
        <w:rPr>
          <w:rFonts w:hint="eastAsia" w:ascii="仿宋_GB2312" w:hAnsi="楷体" w:eastAsia="仿宋_GB2312"/>
          <w:b/>
          <w:sz w:val="24"/>
        </w:rPr>
        <w:t>/交付</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_GB2312" w:hAnsi="楷体" w:eastAsia="仿宋_GB2312"/>
          <w:b/>
          <w:sz w:val="24"/>
        </w:rPr>
      </w:pPr>
      <w:bookmarkStart w:id="543" w:name="_Toc7502"/>
      <w:bookmarkStart w:id="544" w:name="_Toc487900364"/>
      <w:bookmarkStart w:id="545" w:name="_Toc259093683"/>
      <w:bookmarkStart w:id="546" w:name="_Ref467378121"/>
      <w:bookmarkStart w:id="547" w:name="_Toc279701254"/>
      <w:r>
        <w:rPr>
          <w:rFonts w:hint="eastAsia" w:ascii="仿宋_GB2312" w:hAnsi="楷体" w:eastAsia="仿宋_GB2312"/>
          <w:b/>
          <w:sz w:val="24"/>
        </w:rPr>
        <w:t>2.11 合同变更</w:t>
      </w:r>
      <w:bookmarkEnd w:id="543"/>
    </w:p>
    <w:p>
      <w:pPr>
        <w:spacing w:line="360" w:lineRule="auto"/>
        <w:ind w:firstLine="480" w:firstLineChars="200"/>
        <w:rPr>
          <w:rFonts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548" w:name="_Toc487900369"/>
      <w:bookmarkStart w:id="549" w:name="_Toc279701259"/>
      <w:bookmarkStart w:id="550" w:name="_Toc259093688"/>
    </w:p>
    <w:p>
      <w:pPr>
        <w:spacing w:line="360" w:lineRule="auto"/>
        <w:ind w:firstLine="482" w:firstLineChars="200"/>
        <w:outlineLvl w:val="0"/>
        <w:rPr>
          <w:rFonts w:ascii="仿宋_GB2312" w:hAnsi="楷体" w:eastAsia="仿宋_GB2312"/>
          <w:b/>
          <w:sz w:val="24"/>
        </w:rPr>
      </w:pPr>
      <w:bookmarkStart w:id="551" w:name="_Toc22955"/>
      <w:bookmarkStart w:id="552" w:name="_Toc15237"/>
      <w:bookmarkStart w:id="553" w:name="_Toc10366"/>
      <w:r>
        <w:rPr>
          <w:rFonts w:hint="eastAsia" w:ascii="仿宋_GB2312" w:hAnsi="楷体" w:eastAsia="仿宋_GB2312"/>
          <w:b/>
          <w:sz w:val="24"/>
        </w:rPr>
        <w:t>2.12 合同转让</w:t>
      </w:r>
      <w:bookmarkEnd w:id="548"/>
      <w:bookmarkEnd w:id="549"/>
      <w:bookmarkEnd w:id="550"/>
      <w:r>
        <w:rPr>
          <w:rFonts w:hint="eastAsia" w:ascii="仿宋_GB2312" w:hAnsi="楷体" w:eastAsia="仿宋_GB2312"/>
          <w:b/>
          <w:sz w:val="24"/>
        </w:rPr>
        <w:t>和分包</w:t>
      </w:r>
      <w:bookmarkEnd w:id="551"/>
      <w:bookmarkEnd w:id="552"/>
      <w:bookmarkEnd w:id="553"/>
    </w:p>
    <w:p>
      <w:pPr>
        <w:spacing w:line="360" w:lineRule="auto"/>
        <w:ind w:firstLine="480" w:firstLineChars="200"/>
        <w:rPr>
          <w:rFonts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_GB2312" w:hAnsi="楷体" w:eastAsia="仿宋_GB2312"/>
          <w:b/>
          <w:sz w:val="24"/>
        </w:rPr>
      </w:pPr>
      <w:bookmarkStart w:id="554" w:name="_Toc16508"/>
      <w:bookmarkStart w:id="555" w:name="_Toc13566"/>
      <w:bookmarkStart w:id="556" w:name="_Toc14066"/>
      <w:r>
        <w:rPr>
          <w:rFonts w:hint="eastAsia" w:ascii="仿宋_GB2312" w:hAnsi="楷体" w:eastAsia="仿宋_GB2312"/>
          <w:b/>
          <w:sz w:val="24"/>
        </w:rPr>
        <w:t>2.13 不可抗力</w:t>
      </w:r>
      <w:bookmarkEnd w:id="554"/>
      <w:bookmarkEnd w:id="555"/>
      <w:bookmarkEnd w:id="556"/>
    </w:p>
    <w:p>
      <w:pPr>
        <w:spacing w:line="360" w:lineRule="auto"/>
        <w:ind w:firstLine="480" w:firstLineChars="200"/>
        <w:rPr>
          <w:rFonts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outlineLvl w:val="0"/>
        <w:rPr>
          <w:rFonts w:ascii="仿宋_GB2312" w:hAnsi="楷体" w:eastAsia="仿宋_GB2312"/>
          <w:b/>
          <w:sz w:val="24"/>
        </w:rPr>
      </w:pPr>
      <w:bookmarkStart w:id="557" w:name="_Toc689"/>
      <w:bookmarkStart w:id="558" w:name="_Toc6969"/>
      <w:bookmarkStart w:id="559" w:name="_Toc279701255"/>
      <w:bookmarkStart w:id="560" w:name="_Toc259093684"/>
      <w:bookmarkStart w:id="561" w:name="_Toc30676"/>
      <w:bookmarkStart w:id="562" w:name="_Toc487900365"/>
      <w:r>
        <w:rPr>
          <w:rFonts w:hint="eastAsia" w:ascii="仿宋_GB2312" w:hAnsi="楷体" w:eastAsia="仿宋_GB2312"/>
          <w:b/>
          <w:sz w:val="24"/>
        </w:rPr>
        <w:t>2.14 税费</w:t>
      </w:r>
      <w:bookmarkEnd w:id="557"/>
      <w:bookmarkEnd w:id="558"/>
      <w:bookmarkEnd w:id="559"/>
      <w:bookmarkEnd w:id="560"/>
      <w:bookmarkEnd w:id="561"/>
      <w:bookmarkEnd w:id="562"/>
    </w:p>
    <w:p>
      <w:pPr>
        <w:spacing w:line="360" w:lineRule="auto"/>
        <w:ind w:firstLine="480" w:firstLineChars="200"/>
        <w:rPr>
          <w:rFonts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outlineLvl w:val="0"/>
        <w:rPr>
          <w:rFonts w:ascii="仿宋_GB2312" w:hAnsi="楷体" w:eastAsia="仿宋_GB2312"/>
          <w:b/>
          <w:sz w:val="24"/>
        </w:rPr>
      </w:pPr>
      <w:bookmarkStart w:id="563" w:name="_Toc16959"/>
      <w:bookmarkStart w:id="564" w:name="_Toc7102"/>
      <w:bookmarkStart w:id="565" w:name="_Toc8298"/>
      <w:bookmarkStart w:id="566" w:name="_Toc487900368"/>
      <w:bookmarkStart w:id="567" w:name="_Toc279701258"/>
      <w:bookmarkStart w:id="568" w:name="_Toc259093687"/>
      <w:r>
        <w:rPr>
          <w:rFonts w:hint="eastAsia" w:ascii="仿宋_GB2312" w:hAnsi="楷体" w:eastAsia="仿宋_GB2312"/>
          <w:b/>
          <w:sz w:val="24"/>
        </w:rPr>
        <w:t>2.15 乙方破产</w:t>
      </w:r>
      <w:bookmarkEnd w:id="563"/>
      <w:bookmarkEnd w:id="564"/>
      <w:bookmarkEnd w:id="565"/>
      <w:bookmarkEnd w:id="566"/>
      <w:bookmarkEnd w:id="567"/>
      <w:bookmarkEnd w:id="568"/>
    </w:p>
    <w:p>
      <w:pPr>
        <w:spacing w:line="360" w:lineRule="auto"/>
        <w:ind w:firstLine="480" w:firstLineChars="200"/>
        <w:rPr>
          <w:rFonts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_GB2312" w:hAnsi="楷体" w:eastAsia="仿宋_GB2312"/>
          <w:b/>
          <w:sz w:val="24"/>
        </w:rPr>
      </w:pPr>
      <w:bookmarkStart w:id="569" w:name="_Toc15387"/>
      <w:bookmarkStart w:id="570" w:name="_Toc6134"/>
      <w:bookmarkStart w:id="571" w:name="_Toc29333"/>
      <w:r>
        <w:rPr>
          <w:rFonts w:hint="eastAsia" w:ascii="仿宋_GB2312" w:hAnsi="楷体" w:eastAsia="仿宋_GB2312"/>
          <w:b/>
          <w:sz w:val="24"/>
        </w:rPr>
        <w:t>2.16 合同中止、终止</w:t>
      </w:r>
      <w:bookmarkEnd w:id="569"/>
      <w:bookmarkEnd w:id="570"/>
      <w:bookmarkEnd w:id="571"/>
    </w:p>
    <w:p>
      <w:pPr>
        <w:spacing w:line="360" w:lineRule="auto"/>
        <w:ind w:firstLine="480" w:firstLineChars="200"/>
        <w:rPr>
          <w:rFonts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sz w:val="24"/>
        </w:rPr>
        <w:t>2.16.</w:t>
      </w:r>
      <w:r>
        <w:rPr>
          <w:rFonts w:hint="eastAsia" w:ascii="仿宋_GB2312" w:hAnsi="楷体" w:eastAsia="仿宋_GB2312"/>
          <w:color w:val="auto"/>
          <w:sz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2.16.3因甲方原因导致变更、中止或终止合同的，甲方应对乙方受到的损失予以赔偿或者补偿。</w:t>
      </w:r>
    </w:p>
    <w:p>
      <w:pPr>
        <w:spacing w:line="360" w:lineRule="auto"/>
        <w:ind w:firstLine="482" w:firstLineChars="200"/>
        <w:outlineLvl w:val="0"/>
        <w:rPr>
          <w:rFonts w:ascii="仿宋_GB2312" w:hAnsi="楷体" w:eastAsia="仿宋_GB2312"/>
          <w:b/>
          <w:color w:val="auto"/>
          <w:sz w:val="24"/>
        </w:rPr>
      </w:pPr>
      <w:bookmarkStart w:id="572" w:name="_Toc6596"/>
      <w:bookmarkStart w:id="573" w:name="_Toc1125"/>
      <w:bookmarkStart w:id="574" w:name="_Toc14563"/>
      <w:r>
        <w:rPr>
          <w:rFonts w:hint="eastAsia" w:ascii="仿宋_GB2312" w:hAnsi="楷体" w:eastAsia="仿宋_GB2312"/>
          <w:b/>
          <w:color w:val="auto"/>
          <w:sz w:val="24"/>
        </w:rPr>
        <w:t>2.17 检验和验收</w:t>
      </w:r>
      <w:bookmarkEnd w:id="572"/>
      <w:bookmarkEnd w:id="573"/>
      <w:bookmarkEnd w:id="574"/>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color w:val="auto"/>
          <w:sz w:val="24"/>
        </w:rPr>
        <w:t>2.17.1标的物</w:t>
      </w:r>
      <w:r>
        <w:rPr>
          <w:rFonts w:hint="eastAsia" w:ascii="仿宋_GB2312" w:hAnsi="楷体" w:eastAsia="仿宋_GB2312"/>
          <w:sz w:val="24"/>
        </w:rPr>
        <w:t>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544"/>
    <w:bookmarkEnd w:id="545"/>
    <w:bookmarkEnd w:id="546"/>
    <w:bookmarkEnd w:id="547"/>
    <w:p>
      <w:pPr>
        <w:spacing w:line="360" w:lineRule="auto"/>
        <w:ind w:firstLine="482" w:firstLineChars="200"/>
        <w:outlineLvl w:val="0"/>
        <w:rPr>
          <w:rFonts w:ascii="仿宋_GB2312" w:hAnsi="楷体" w:eastAsia="仿宋_GB2312"/>
          <w:b/>
          <w:sz w:val="24"/>
        </w:rPr>
      </w:pPr>
      <w:bookmarkStart w:id="575" w:name="_Toc259093690"/>
      <w:bookmarkStart w:id="576" w:name="_Toc279701261"/>
      <w:bookmarkStart w:id="577" w:name="_Toc487900371"/>
      <w:bookmarkStart w:id="578" w:name="_Toc25182"/>
      <w:bookmarkStart w:id="579" w:name="_Toc11284"/>
      <w:bookmarkStart w:id="580" w:name="_Toc19604"/>
      <w:r>
        <w:rPr>
          <w:rFonts w:hint="eastAsia" w:ascii="仿宋_GB2312" w:hAnsi="楷体" w:eastAsia="仿宋_GB2312"/>
          <w:b/>
          <w:sz w:val="24"/>
        </w:rPr>
        <w:t>2.18 通知</w:t>
      </w:r>
      <w:bookmarkEnd w:id="575"/>
      <w:bookmarkEnd w:id="576"/>
      <w:bookmarkEnd w:id="577"/>
      <w:r>
        <w:rPr>
          <w:rFonts w:hint="eastAsia" w:ascii="仿宋_GB2312" w:hAnsi="楷体" w:eastAsia="仿宋_GB2312"/>
          <w:b/>
          <w:sz w:val="24"/>
        </w:rPr>
        <w:t>和送达</w:t>
      </w:r>
      <w:bookmarkEnd w:id="578"/>
      <w:bookmarkEnd w:id="579"/>
      <w:bookmarkEnd w:id="580"/>
    </w:p>
    <w:p>
      <w:pPr>
        <w:spacing w:line="360" w:lineRule="auto"/>
        <w:ind w:firstLine="480" w:firstLineChars="200"/>
        <w:rPr>
          <w:rFonts w:ascii="仿宋_GB2312" w:hAnsi="楷体" w:eastAsia="仿宋_GB2312"/>
          <w:sz w:val="24"/>
        </w:rPr>
      </w:pPr>
      <w:bookmarkStart w:id="581" w:name="_Toc3135"/>
      <w:bookmarkStart w:id="582" w:name="_Toc6698"/>
      <w:bookmarkStart w:id="583" w:name="_Toc487900372"/>
      <w:bookmarkStart w:id="584" w:name="_Toc279701262"/>
      <w:bookmarkStart w:id="585" w:name="_Toc259093691"/>
      <w:r>
        <w:rPr>
          <w:rFonts w:hint="eastAsia" w:ascii="仿宋_GB2312" w:hAnsi="楷体" w:eastAsia="仿宋_GB2312"/>
          <w:sz w:val="24"/>
        </w:rPr>
        <w:t>2.18.1 任何一方因</w:t>
      </w:r>
      <w:r>
        <w:rPr>
          <w:rFonts w:hint="eastAsia" w:ascii="仿宋_GB2312" w:hAnsi="楷体" w:eastAsia="仿宋_GB2312"/>
          <w:color w:val="auto"/>
          <w:sz w:val="24"/>
        </w:rPr>
        <w:t>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w:t>
      </w:r>
      <w:r>
        <w:rPr>
          <w:rFonts w:hint="eastAsia" w:ascii="仿宋_GB2312" w:hAnsi="楷体" w:eastAsia="仿宋_GB2312"/>
          <w:sz w:val="24"/>
        </w:rPr>
        <w:t>面通知对方当事人，在对方当事人收到有关变更通知之前，变更前的约定送达方式或者地址仍视为有效。</w:t>
      </w:r>
      <w:bookmarkEnd w:id="581"/>
      <w:bookmarkEnd w:id="582"/>
    </w:p>
    <w:p>
      <w:pPr>
        <w:spacing w:line="360" w:lineRule="auto"/>
        <w:ind w:firstLine="480" w:firstLineChars="200"/>
        <w:rPr>
          <w:rFonts w:ascii="仿宋_GB2312" w:hAnsi="楷体" w:eastAsia="仿宋_GB2312"/>
          <w:sz w:val="24"/>
        </w:rPr>
      </w:pPr>
      <w:bookmarkStart w:id="586" w:name="_Toc23294"/>
      <w:bookmarkStart w:id="587"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586"/>
      <w:bookmarkEnd w:id="587"/>
    </w:p>
    <w:p>
      <w:pPr>
        <w:spacing w:line="360" w:lineRule="auto"/>
        <w:ind w:firstLine="482" w:firstLineChars="200"/>
        <w:outlineLvl w:val="0"/>
        <w:rPr>
          <w:rFonts w:ascii="仿宋_GB2312" w:hAnsi="楷体" w:eastAsia="仿宋_GB2312"/>
          <w:b/>
          <w:sz w:val="24"/>
        </w:rPr>
      </w:pPr>
      <w:bookmarkStart w:id="588" w:name="_Toc4355"/>
      <w:bookmarkStart w:id="589" w:name="_Toc30599"/>
      <w:bookmarkStart w:id="590" w:name="_Toc18540"/>
      <w:r>
        <w:rPr>
          <w:rFonts w:hint="eastAsia" w:ascii="仿宋_GB2312" w:hAnsi="楷体" w:eastAsia="仿宋_GB2312"/>
          <w:b/>
          <w:sz w:val="24"/>
        </w:rPr>
        <w:t>2.19 计量单位</w:t>
      </w:r>
      <w:bookmarkEnd w:id="583"/>
      <w:bookmarkEnd w:id="584"/>
      <w:bookmarkEnd w:id="585"/>
      <w:bookmarkEnd w:id="588"/>
      <w:bookmarkEnd w:id="589"/>
      <w:bookmarkEnd w:id="590"/>
    </w:p>
    <w:p>
      <w:pPr>
        <w:spacing w:line="360" w:lineRule="auto"/>
        <w:ind w:firstLine="480" w:firstLineChars="200"/>
        <w:rPr>
          <w:rFonts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outlineLvl w:val="0"/>
        <w:rPr>
          <w:rFonts w:ascii="仿宋_GB2312" w:hAnsi="楷体" w:eastAsia="仿宋_GB2312"/>
          <w:b/>
          <w:sz w:val="24"/>
        </w:rPr>
      </w:pPr>
      <w:bookmarkStart w:id="591" w:name="_Toc10330"/>
      <w:bookmarkStart w:id="592" w:name="_Toc12773"/>
      <w:bookmarkStart w:id="593" w:name="_Toc259093692"/>
      <w:bookmarkStart w:id="594" w:name="_Toc487900373"/>
      <w:bookmarkStart w:id="595" w:name="_Toc279701263"/>
      <w:bookmarkStart w:id="596" w:name="_Toc18567"/>
      <w:r>
        <w:rPr>
          <w:rFonts w:hint="eastAsia" w:ascii="仿宋_GB2312" w:hAnsi="楷体" w:eastAsia="仿宋_GB2312"/>
          <w:b/>
          <w:sz w:val="24"/>
        </w:rPr>
        <w:t>2.20 合同使用的文字和适用的法律</w:t>
      </w:r>
      <w:bookmarkEnd w:id="591"/>
      <w:bookmarkEnd w:id="592"/>
      <w:bookmarkEnd w:id="593"/>
      <w:bookmarkEnd w:id="594"/>
      <w:bookmarkEnd w:id="595"/>
      <w:bookmarkEnd w:id="596"/>
    </w:p>
    <w:p>
      <w:pPr>
        <w:spacing w:line="360" w:lineRule="auto"/>
        <w:ind w:firstLine="480" w:firstLineChars="200"/>
        <w:rPr>
          <w:rFonts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outlineLvl w:val="0"/>
        <w:rPr>
          <w:rFonts w:ascii="仿宋_GB2312" w:hAnsi="楷体" w:eastAsia="仿宋_GB2312"/>
          <w:b/>
          <w:color w:val="auto"/>
          <w:sz w:val="24"/>
        </w:rPr>
      </w:pPr>
      <w:bookmarkStart w:id="597" w:name="_Toc16673"/>
      <w:bookmarkStart w:id="598" w:name="_Toc279701264"/>
      <w:bookmarkStart w:id="599" w:name="_Toc3148"/>
      <w:bookmarkStart w:id="600" w:name="_Toc259093693"/>
      <w:bookmarkStart w:id="601" w:name="_Toc12004"/>
      <w:bookmarkStart w:id="602" w:name="_Toc487900374"/>
      <w:r>
        <w:rPr>
          <w:rFonts w:hint="eastAsia" w:ascii="仿宋_GB2312" w:hAnsi="楷体" w:eastAsia="仿宋_GB2312"/>
          <w:b/>
          <w:color w:val="auto"/>
          <w:sz w:val="24"/>
        </w:rPr>
        <w:t>2.21 履约保证金</w:t>
      </w:r>
      <w:bookmarkEnd w:id="597"/>
      <w:bookmarkEnd w:id="598"/>
      <w:bookmarkEnd w:id="599"/>
      <w:bookmarkEnd w:id="600"/>
      <w:bookmarkEnd w:id="601"/>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2.21.1 采购文件要求乙方提交履约保证金的，乙方</w:t>
      </w:r>
      <w:r>
        <w:rPr>
          <w:rFonts w:hint="eastAsia" w:ascii="仿宋_GB2312" w:hAnsi="仿宋" w:eastAsia="仿宋_GB2312"/>
          <w:color w:val="auto"/>
          <w:kern w:val="0"/>
          <w:sz w:val="24"/>
          <w:lang w:val="zh-CN"/>
        </w:rPr>
        <w:t>应在合同签订后3个工作日内</w:t>
      </w:r>
      <w:r>
        <w:rPr>
          <w:rFonts w:hint="eastAsia" w:ascii="仿宋_GB2312" w:hAnsi="楷体" w:eastAsia="仿宋_GB2312"/>
          <w:color w:val="auto"/>
          <w:sz w:val="24"/>
        </w:rPr>
        <w:t>，以支票、汇票、本票或者金融机构、担保机构出具的保函等非现金形式，提交合同价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%（不超过10%）的履约保证金；</w:t>
      </w:r>
    </w:p>
    <w:p>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2.21.2  履约保证金在</w:t>
      </w:r>
      <w:r>
        <w:rPr>
          <w:rFonts w:hint="eastAsia" w:ascii="仿宋_GB2312" w:hAnsi="楷体" w:eastAsia="仿宋_GB2312"/>
          <w:color w:val="auto"/>
          <w:sz w:val="24"/>
          <w:u w:val="single"/>
        </w:rPr>
        <w:t>合同有效期</w:t>
      </w:r>
      <w:r>
        <w:rPr>
          <w:rFonts w:hint="eastAsia" w:ascii="仿宋_GB2312" w:hAnsi="楷体" w:eastAsia="仿宋_GB2312"/>
          <w:color w:val="auto"/>
          <w:sz w:val="24"/>
        </w:rPr>
        <w:t>内或者标的物质量保证期内不予退还或者应完全有效，前述约定期间届满或者标的物质量保证期届满之日起</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个工作日内，甲方应将履约保证金退还乙方；</w:t>
      </w:r>
    </w:p>
    <w:p>
      <w:pPr>
        <w:spacing w:line="360" w:lineRule="auto"/>
        <w:ind w:firstLine="480" w:firstLineChars="200"/>
        <w:rPr>
          <w:rFonts w:ascii="仿宋_GB2312" w:hAnsi="楷体" w:eastAsia="仿宋_GB2312"/>
          <w:sz w:val="24"/>
        </w:rPr>
      </w:pPr>
      <w:r>
        <w:rPr>
          <w:rFonts w:hint="eastAsia" w:ascii="仿宋_GB2312" w:hAnsi="楷体" w:eastAsia="仿宋_GB2312"/>
          <w:color w:val="auto"/>
          <w:sz w:val="24"/>
        </w:rPr>
        <w:t>2.21.3 如果乙方不履行合同，履约保证金不予退还；如果乙方未能按合同约定全面履行义务，那么甲方有权从履约保证金中取得补偿或赔偿，同时不影响甲方要求乙</w:t>
      </w:r>
      <w:r>
        <w:rPr>
          <w:rFonts w:hint="eastAsia" w:ascii="仿宋_GB2312" w:hAnsi="楷体" w:eastAsia="仿宋_GB2312"/>
          <w:sz w:val="24"/>
        </w:rPr>
        <w:t>方承担合同约定的超过履约保证金的违约责任的权利。</w:t>
      </w:r>
    </w:p>
    <w:bookmarkEnd w:id="602"/>
    <w:p>
      <w:pPr>
        <w:spacing w:line="360" w:lineRule="auto"/>
        <w:ind w:firstLine="482" w:firstLineChars="200"/>
        <w:outlineLvl w:val="0"/>
        <w:rPr>
          <w:rFonts w:ascii="仿宋_GB2312" w:hAnsi="楷体" w:eastAsia="仿宋_GB2312"/>
          <w:b/>
          <w:sz w:val="24"/>
        </w:rPr>
      </w:pPr>
      <w:bookmarkStart w:id="603" w:name="_Toc19890"/>
      <w:bookmarkStart w:id="604" w:name="_Toc14001"/>
      <w:bookmarkStart w:id="605" w:name="_Toc6885"/>
      <w:r>
        <w:rPr>
          <w:rFonts w:hint="eastAsia" w:ascii="仿宋_GB2312" w:hAnsi="楷体" w:eastAsia="仿宋_GB2312"/>
          <w:b/>
          <w:sz w:val="24"/>
        </w:rPr>
        <w:t>2.22 合同份数</w:t>
      </w:r>
      <w:bookmarkEnd w:id="603"/>
      <w:bookmarkEnd w:id="604"/>
      <w:bookmarkEnd w:id="605"/>
    </w:p>
    <w:p>
      <w:pPr>
        <w:spacing w:line="360" w:lineRule="auto"/>
        <w:ind w:firstLine="480" w:firstLineChars="200"/>
        <w:rPr>
          <w:rFonts w:ascii="仿宋_GB2312" w:hAnsi="楷体" w:eastAsia="仿宋_GB2312"/>
          <w:sz w:val="24"/>
        </w:rPr>
      </w:pP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rPr>
        <w:t>份，乙方执</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30"/>
        <w:jc w:val="center"/>
        <w:rPr>
          <w:rFonts w:ascii="仿宋_GB2312" w:hAnsi="楷体" w:eastAsia="仿宋_GB2312"/>
          <w:b/>
          <w:szCs w:val="24"/>
        </w:rPr>
      </w:pPr>
      <w:r>
        <w:rPr>
          <w:rFonts w:hint="eastAsia" w:ascii="仿宋_GB2312" w:hAnsi="楷体" w:eastAsia="仿宋_GB2312"/>
          <w:szCs w:val="24"/>
        </w:rPr>
        <w:br w:type="page"/>
      </w:r>
      <w:bookmarkStart w:id="606" w:name="_Toc331685784"/>
      <w:r>
        <w:rPr>
          <w:rFonts w:hint="eastAsia" w:ascii="仿宋_GB2312" w:hAnsi="楷体" w:eastAsia="仿宋_GB2312"/>
          <w:b/>
          <w:szCs w:val="24"/>
        </w:rPr>
        <w:t xml:space="preserve">第三部分  </w:t>
      </w:r>
      <w:r>
        <w:rPr>
          <w:rFonts w:hint="eastAsia" w:ascii="仿宋_GB2312" w:hAnsi="仿宋" w:eastAsia="仿宋_GB2312"/>
          <w:b/>
          <w:color w:val="000000"/>
        </w:rPr>
        <w:t>※</w:t>
      </w:r>
      <w:r>
        <w:rPr>
          <w:rFonts w:hint="eastAsia" w:ascii="仿宋_GB2312" w:hAnsi="楷体" w:eastAsia="仿宋_GB2312"/>
          <w:b/>
          <w:szCs w:val="24"/>
        </w:rPr>
        <w:t>合同专用条款</w:t>
      </w:r>
      <w:bookmarkEnd w:id="606"/>
    </w:p>
    <w:tbl>
      <w:tblPr>
        <w:tblStyle w:val="62"/>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65"/>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4" w:type="pct"/>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4525" w:type="pct"/>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left w:val="single" w:color="auto" w:sz="4" w:space="0"/>
            </w:tcBorders>
            <w:vAlign w:val="center"/>
          </w:tcPr>
          <w:p>
            <w:pPr>
              <w:spacing w:line="360" w:lineRule="auto"/>
              <w:rPr>
                <w:rFonts w:ascii="仿宋_GB2312" w:hAnsi="楷体" w:eastAsia="仿宋_GB2312"/>
                <w:sz w:val="24"/>
              </w:rPr>
            </w:pPr>
          </w:p>
        </w:tc>
        <w:tc>
          <w:tcPr>
            <w:tcW w:w="4525" w:type="pct"/>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4" w:type="pct"/>
            <w:tcBorders>
              <w:top w:val="single" w:color="auto" w:sz="6" w:space="0"/>
              <w:left w:val="single" w:color="auto" w:sz="4" w:space="0"/>
              <w:bottom w:val="single" w:color="auto" w:sz="6" w:space="0"/>
              <w:right w:val="single" w:color="auto" w:sz="6" w:space="0"/>
            </w:tcBorders>
            <w:vAlign w:val="center"/>
          </w:tcPr>
          <w:p>
            <w:pPr>
              <w:spacing w:line="360" w:lineRule="auto"/>
              <w:rPr>
                <w:rFonts w:ascii="仿宋_GB2312" w:hAnsi="楷体" w:eastAsia="仿宋_GB2312"/>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仿宋_GB2312" w:hAnsi="楷体" w:eastAsia="仿宋_GB2312"/>
                <w:sz w:val="24"/>
              </w:rPr>
            </w:pPr>
          </w:p>
        </w:tc>
      </w:tr>
    </w:tbl>
    <w:p>
      <w:pPr>
        <w:spacing w:line="360" w:lineRule="auto"/>
        <w:rPr>
          <w:rFonts w:ascii="仿宋_GB2312" w:hAnsi="仿宋" w:eastAsia="仿宋_GB2312" w:cs="仿宋_GB2312"/>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24"/>
        </w:rPr>
      </w:pPr>
    </w:p>
    <w:p>
      <w:pPr>
        <w:widowControl/>
        <w:jc w:val="left"/>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widowControl/>
        <w:ind w:firstLine="1446" w:firstLineChars="400"/>
        <w:jc w:val="center"/>
        <w:rPr>
          <w:rFonts w:ascii="仿宋_GB2312" w:hAnsi="仿宋" w:eastAsia="仿宋_GB2312" w:cs="仿宋_GB2312"/>
          <w:b/>
          <w:sz w:val="36"/>
          <w:szCs w:val="20"/>
        </w:rPr>
      </w:pPr>
      <w:r>
        <w:rPr>
          <w:rFonts w:hint="eastAsia" w:ascii="仿宋_GB2312" w:hAnsi="仿宋" w:eastAsia="仿宋_GB2312" w:cs="仿宋_GB2312"/>
          <w:b/>
          <w:sz w:val="36"/>
          <w:szCs w:val="20"/>
        </w:rPr>
        <w:t>第六部分</w:t>
      </w:r>
      <w:bookmarkEnd w:id="445"/>
      <w:r>
        <w:rPr>
          <w:rFonts w:hint="eastAsia" w:ascii="仿宋_GB2312" w:hAnsi="仿宋" w:eastAsia="仿宋_GB2312" w:cs="仿宋_GB2312"/>
          <w:b/>
          <w:sz w:val="36"/>
          <w:szCs w:val="20"/>
        </w:rPr>
        <w:t xml:space="preserve"> </w:t>
      </w:r>
      <w:bookmarkEnd w:id="446"/>
      <w:r>
        <w:rPr>
          <w:rFonts w:hint="eastAsia" w:ascii="仿宋_GB2312" w:hAnsi="仿宋" w:eastAsia="仿宋_GB2312" w:cs="仿宋_GB2312"/>
          <w:b/>
          <w:sz w:val="36"/>
          <w:szCs w:val="20"/>
        </w:rPr>
        <w:t>应提交的有关格式范例</w:t>
      </w:r>
    </w:p>
    <w:p>
      <w:pPr>
        <w:adjustRightInd w:val="0"/>
        <w:spacing w:line="360" w:lineRule="auto"/>
        <w:ind w:firstLine="480" w:firstLineChars="200"/>
        <w:outlineLvl w:val="0"/>
        <w:rPr>
          <w:rFonts w:ascii="仿宋_GB2312" w:hAnsi="仿宋" w:eastAsia="仿宋_GB2312" w:cs="仿宋_GB2312"/>
          <w:sz w:val="24"/>
          <w:szCs w:val="24"/>
        </w:rPr>
      </w:pPr>
      <w:r>
        <w:rPr>
          <w:rFonts w:hint="eastAsia" w:ascii="仿宋_GB2312" w:hAnsi="仿宋" w:eastAsia="仿宋_GB2312" w:cs="仿宋_GB2312"/>
          <w:sz w:val="24"/>
          <w:szCs w:val="24"/>
        </w:rPr>
        <w:t>投标人按照以下格式编制投标文件。</w:t>
      </w:r>
    </w:p>
    <w:p>
      <w:pPr>
        <w:adjustRightInd w:val="0"/>
        <w:spacing w:line="360" w:lineRule="auto"/>
        <w:jc w:val="center"/>
        <w:outlineLvl w:val="0"/>
        <w:rPr>
          <w:rFonts w:ascii="仿宋_GB2312" w:hAnsi="仿宋" w:eastAsia="仿宋_GB2312" w:cs="仿宋_GB2312"/>
          <w:sz w:val="36"/>
          <w:szCs w:val="36"/>
          <w:lang w:val="zh-CN"/>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sz w:val="36"/>
          <w:szCs w:val="36"/>
          <w:lang w:val="zh-CN"/>
        </w:rPr>
        <w:t xml:space="preserve"> </w:t>
      </w:r>
      <w:r>
        <w:rPr>
          <w:rFonts w:hint="eastAsia" w:ascii="仿宋_GB2312" w:hAnsi="仿宋" w:eastAsia="仿宋_GB2312" w:cs="仿宋_GB2312"/>
          <w:b/>
          <w:kern w:val="0"/>
          <w:sz w:val="36"/>
          <w:szCs w:val="36"/>
        </w:rPr>
        <w:t>资格文件部分</w:t>
      </w: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（1）</w:t>
      </w:r>
      <w:r>
        <w:rPr>
          <w:rFonts w:hint="eastAsia" w:ascii="仿宋_GB2312" w:hAnsi="仿宋" w:eastAsia="仿宋_GB2312" w:cs="Times New Roman"/>
          <w:sz w:val="24"/>
          <w:szCs w:val="24"/>
        </w:rPr>
        <w:t>营业执照(或事业法人登记证或其他工商等登记证明材料)复印件（投标人为自然人的，须提供</w:t>
      </w:r>
      <w:r>
        <w:rPr>
          <w:rFonts w:hint="eastAsia" w:ascii="仿宋_GB2312" w:hAnsi="仿宋" w:eastAsia="仿宋_GB2312" w:cs="Helvetica"/>
          <w:kern w:val="0"/>
          <w:sz w:val="24"/>
          <w:szCs w:val="24"/>
        </w:rPr>
        <w:t>自然人的身份证明</w:t>
      </w:r>
      <w:r>
        <w:rPr>
          <w:rFonts w:hint="eastAsia" w:ascii="仿宋_GB2312" w:hAnsi="仿宋" w:eastAsia="仿宋_GB2312" w:cs="Times New Roman"/>
          <w:sz w:val="24"/>
          <w:szCs w:val="24"/>
        </w:rPr>
        <w:t>）</w:t>
      </w:r>
      <w:r>
        <w:rPr>
          <w:rFonts w:hint="eastAsia" w:ascii="仿宋_GB2312" w:hAnsi="仿宋" w:eastAsia="仿宋_GB2312" w:cs="仿宋_GB2312"/>
          <w:kern w:val="0"/>
          <w:sz w:val="24"/>
          <w:szCs w:val="24"/>
        </w:rPr>
        <w:t>…………………………………………………（页码）</w:t>
      </w:r>
    </w:p>
    <w:p>
      <w:pPr>
        <w:snapToGrid w:val="0"/>
        <w:spacing w:line="360" w:lineRule="auto"/>
        <w:rPr>
          <w:rFonts w:ascii="仿宋_GB2312" w:hAnsi="仿宋" w:eastAsia="仿宋_GB2312"/>
          <w:sz w:val="24"/>
        </w:rPr>
      </w:pPr>
      <w:r>
        <w:rPr>
          <w:rFonts w:hint="eastAsia" w:ascii="仿宋_GB2312" w:hAnsi="仿宋" w:eastAsia="仿宋_GB2312"/>
          <w:sz w:val="24"/>
        </w:rPr>
        <w:t>（2）授权书 ……………………………………………………………………………（页码）</w:t>
      </w:r>
    </w:p>
    <w:p>
      <w:pPr>
        <w:snapToGrid w:val="0"/>
        <w:spacing w:line="360" w:lineRule="auto"/>
        <w:rPr>
          <w:rFonts w:ascii="仿宋_GB2312" w:hAnsi="仿宋" w:eastAsia="仿宋_GB2312"/>
          <w:sz w:val="24"/>
        </w:rPr>
      </w:pPr>
      <w:r>
        <w:rPr>
          <w:rFonts w:hint="eastAsia" w:ascii="仿宋_GB2312" w:hAnsi="仿宋" w:eastAsia="仿宋_GB2312"/>
          <w:sz w:val="24"/>
        </w:rPr>
        <w:t>（3）法定代表人及其授权代表的身份证（复印件）………………………………（页码）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kern w:val="0"/>
          <w:sz w:val="24"/>
        </w:rPr>
        <w:t>（4）符合参与政府采购活动的资格条件并且没有税收缴纳、社会保障等方面的失信记录的承诺函…</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（5）具有履行合同所必需的设备和专业技术能力的承诺函………………………（页码）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（6）参加政府采购活动前三年内，在经营活动中没有重大违法记录的声明</w:t>
      </w:r>
      <w:r>
        <w:rPr>
          <w:rFonts w:hint="eastAsia" w:ascii="仿宋_GB2312" w:hAnsi="仿宋" w:eastAsia="仿宋_GB2312" w:cs="仿宋_GB2312"/>
          <w:kern w:val="0"/>
          <w:sz w:val="24"/>
        </w:rPr>
        <w:t xml:space="preserve"> …（页码）</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（7）具有良好商业信誉特别声明</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（8）</w:t>
      </w:r>
      <w:r>
        <w:rPr>
          <w:rFonts w:hint="eastAsia" w:ascii="仿宋_GB2312" w:hAnsi="仿宋" w:eastAsia="仿宋_GB2312" w:cs="仿宋_GB2312"/>
          <w:sz w:val="24"/>
        </w:rPr>
        <w:t>符合特定资格条件（如果项目要求）的有关证明材料（复印件）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sz w:val="24"/>
        </w:rPr>
      </w:pPr>
      <w:r>
        <w:rPr>
          <w:rFonts w:hint="eastAsia" w:ascii="仿宋" w:hAnsi="仿宋" w:eastAsia="仿宋" w:cs="仿宋_GB2312"/>
          <w:kern w:val="0"/>
          <w:sz w:val="24"/>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）以联合体形式投标的，提供联合体协议；本项目不接受联合体投标或者投标人不以联合体形式投标的，则不需要提供…………………………………………………（页码）</w:t>
      </w:r>
    </w:p>
    <w:p>
      <w:pPr>
        <w:adjustRightInd w:val="0"/>
        <w:snapToGrid w:val="0"/>
        <w:spacing w:line="360" w:lineRule="auto"/>
        <w:rPr>
          <w:rFonts w:ascii="仿宋_GB2312" w:hAnsi="仿宋" w:eastAsia="仿宋_GB2312" w:cs="仿宋_GB2312"/>
          <w:color w:val="FF0000"/>
          <w:kern w:val="0"/>
          <w:sz w:val="24"/>
          <w:szCs w:val="24"/>
        </w:rPr>
      </w:pPr>
    </w:p>
    <w:p>
      <w:pPr>
        <w:pStyle w:val="2"/>
        <w:rPr>
          <w:rFonts w:ascii="仿宋_GB2312" w:hAnsi="仿宋" w:eastAsia="仿宋_GB2312" w:cs="仿宋_GB2312"/>
          <w:color w:val="FF0000"/>
          <w:kern w:val="0"/>
          <w:sz w:val="24"/>
          <w:szCs w:val="24"/>
        </w:rPr>
      </w:pPr>
    </w:p>
    <w:p>
      <w:pPr>
        <w:pStyle w:val="2"/>
        <w:rPr>
          <w:rFonts w:ascii="仿宋_GB2312" w:hAnsi="仿宋" w:eastAsia="仿宋_GB2312" w:cs="仿宋_GB2312"/>
          <w:color w:val="FF0000"/>
          <w:kern w:val="0"/>
          <w:sz w:val="24"/>
          <w:szCs w:val="24"/>
        </w:rPr>
      </w:pPr>
    </w:p>
    <w:p>
      <w:pPr>
        <w:pStyle w:val="2"/>
        <w:rPr>
          <w:rFonts w:ascii="仿宋_GB2312" w:hAnsi="仿宋" w:eastAsia="仿宋_GB2312" w:cs="仿宋_GB2312"/>
          <w:color w:val="FF0000"/>
          <w:kern w:val="0"/>
          <w:sz w:val="24"/>
          <w:szCs w:val="24"/>
        </w:rPr>
      </w:pPr>
    </w:p>
    <w:p>
      <w:pPr>
        <w:pStyle w:val="2"/>
        <w:rPr>
          <w:rFonts w:ascii="仿宋_GB2312" w:hAnsi="仿宋" w:eastAsia="仿宋_GB2312" w:cs="仿宋_GB2312"/>
          <w:color w:val="FF0000"/>
          <w:kern w:val="0"/>
          <w:sz w:val="24"/>
          <w:szCs w:val="24"/>
        </w:rPr>
      </w:pPr>
    </w:p>
    <w:p>
      <w:pPr>
        <w:adjustRightInd w:val="0"/>
        <w:snapToGrid w:val="0"/>
        <w:spacing w:line="360" w:lineRule="auto"/>
        <w:rPr>
          <w:rFonts w:ascii="仿宋_GB2312" w:hAnsi="仿宋" w:eastAsia="仿宋_GB2312" w:cs="仿宋_GB2312"/>
          <w:color w:val="FF0000"/>
          <w:kern w:val="0"/>
          <w:sz w:val="24"/>
          <w:szCs w:val="24"/>
        </w:rPr>
      </w:pPr>
    </w:p>
    <w:p>
      <w:pPr>
        <w:adjustRightInd w:val="0"/>
        <w:snapToGrid w:val="0"/>
        <w:spacing w:line="360" w:lineRule="auto"/>
        <w:rPr>
          <w:rFonts w:ascii="仿宋_GB2312" w:hAnsi="仿宋" w:eastAsia="仿宋_GB2312" w:cs="仿宋_GB2312"/>
          <w:b/>
          <w:kern w:val="0"/>
          <w:sz w:val="32"/>
          <w:szCs w:val="32"/>
          <w:lang w:val="zh-CN"/>
        </w:rPr>
      </w:pPr>
    </w:p>
    <w:p>
      <w:pPr>
        <w:adjustRightInd w:val="0"/>
        <w:snapToGrid w:val="0"/>
        <w:spacing w:line="360" w:lineRule="auto"/>
        <w:jc w:val="left"/>
        <w:rPr>
          <w:rFonts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营业执照或事业法人登记证证明材料（复印件）</w:t>
      </w:r>
    </w:p>
    <w:p>
      <w:pPr>
        <w:adjustRightInd w:val="0"/>
        <w:spacing w:line="360" w:lineRule="auto"/>
        <w:jc w:val="center"/>
        <w:rPr>
          <w:rFonts w:ascii="仿宋_GB2312" w:hAnsi="仿宋" w:eastAsia="仿宋_GB2312" w:cs="仿宋_GB2312"/>
          <w:b/>
          <w:sz w:val="30"/>
          <w:szCs w:val="30"/>
        </w:rPr>
      </w:pPr>
    </w:p>
    <w:p>
      <w:pPr>
        <w:adjustRightInd w:val="0"/>
        <w:snapToGrid w:val="0"/>
        <w:spacing w:line="360" w:lineRule="auto"/>
        <w:ind w:firstLine="576"/>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投标人名称(电子签名)：                              </w:t>
      </w:r>
    </w:p>
    <w:p>
      <w:pPr>
        <w:adjustRightInd w:val="0"/>
        <w:spacing w:line="360" w:lineRule="auto"/>
        <w:jc w:val="center"/>
        <w:rPr>
          <w:rFonts w:ascii="仿宋_GB2312" w:hAnsi="仿宋" w:eastAsia="仿宋_GB2312" w:cs="仿宋_GB2312"/>
          <w:b/>
          <w:sz w:val="30"/>
          <w:szCs w:val="30"/>
        </w:rPr>
      </w:pPr>
      <w:r>
        <w:rPr>
          <w:rFonts w:hint="eastAsia" w:ascii="仿宋_GB2312" w:hAnsi="仿宋" w:eastAsia="仿宋_GB2312" w:cs="仿宋_GB2312"/>
          <w:kern w:val="0"/>
          <w:sz w:val="24"/>
          <w:szCs w:val="24"/>
          <w:lang w:val="zh-CN"/>
        </w:rPr>
        <w:t xml:space="preserve">                   日期：  年  月   日</w:t>
      </w:r>
    </w:p>
    <w:p>
      <w:pPr>
        <w:spacing w:line="360" w:lineRule="auto"/>
        <w:jc w:val="center"/>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pStyle w:val="78"/>
        <w:rPr>
          <w:rFonts w:ascii="仿宋_GB2312" w:hAnsi="仿宋" w:eastAsia="仿宋_GB2312" w:cs="仿宋_GB2312"/>
          <w:b/>
          <w:sz w:val="30"/>
          <w:szCs w:val="30"/>
        </w:rPr>
      </w:pPr>
    </w:p>
    <w:p>
      <w:pPr>
        <w:snapToGrid w:val="0"/>
        <w:spacing w:line="360" w:lineRule="auto"/>
        <w:ind w:firstLine="2570" w:firstLineChars="800"/>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二、法人授权书</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lang w:val="zh-CN"/>
        </w:rPr>
        <w:t>兹委派我公司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先生/女士(其在本公司的职务是：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)，代表我公司全权处理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法定代表人（签章）</w:t>
      </w:r>
      <w:r>
        <w:rPr>
          <w:rFonts w:hint="eastAsia" w:ascii="仿宋_GB2312" w:hAnsi="仿宋" w:eastAsia="仿宋_GB2312" w:cs="仿宋_GB2312"/>
          <w:kern w:val="0"/>
          <w:sz w:val="24"/>
          <w:lang w:val="zh-CN"/>
        </w:rPr>
        <w:t>：</w:t>
      </w:r>
    </w:p>
    <w:p>
      <w:pPr>
        <w:snapToGrid w:val="0"/>
        <w:spacing w:line="360" w:lineRule="auto"/>
        <w:ind w:right="240"/>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签发日期：  年  月   日</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jc w:val="center"/>
        <w:rPr>
          <w:rFonts w:hint="eastAsia"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联合体投标授权书（适用联合体投标）</w:t>
      </w:r>
    </w:p>
    <w:p>
      <w:pPr>
        <w:snapToGrid w:val="0"/>
        <w:spacing w:line="360" w:lineRule="auto"/>
        <w:ind w:firstLine="576"/>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兹委派</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公司</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先生/女士(其在该公司的职务是：</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 xml:space="preserve"> ，联系电话：</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传真：</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)；……，代表本联合体全权处理</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】政府采购投标的一切事项，若中标则全权代表本联合体签订相关合同，并负责处理合同履行等事宜。</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本授权书有效期：自   年 月  日起至  年  月  日止。</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特此告知。</w:t>
      </w:r>
    </w:p>
    <w:p>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单位：            （电子签名）         单位：          （电子签名）</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             日期：    年   月   日</w:t>
      </w:r>
    </w:p>
    <w:p>
      <w:pPr>
        <w:snapToGrid w:val="0"/>
        <w:spacing w:line="360" w:lineRule="auto"/>
        <w:ind w:firstLine="576"/>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w:t>
      </w:r>
    </w:p>
    <w:p>
      <w:pPr>
        <w:spacing w:line="360" w:lineRule="auto"/>
        <w:rPr>
          <w:rFonts w:hint="eastAsia" w:ascii="仿宋_GB2312" w:hAnsi="仿宋" w:eastAsia="仿宋_GB2312" w:cs="仿宋_GB2312"/>
          <w:sz w:val="28"/>
          <w:szCs w:val="28"/>
        </w:rPr>
      </w:pPr>
    </w:p>
    <w:p>
      <w:pPr>
        <w:spacing w:line="360" w:lineRule="auto"/>
        <w:rPr>
          <w:rFonts w:hint="eastAsia" w:ascii="仿宋_GB2312" w:hAnsi="仿宋" w:eastAsia="仿宋_GB2312" w:cs="仿宋_GB2312"/>
          <w:sz w:val="28"/>
          <w:szCs w:val="28"/>
        </w:rPr>
      </w:pP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b/>
          <w:bCs/>
          <w:sz w:val="30"/>
          <w:szCs w:val="30"/>
        </w:rPr>
        <w:br w:type="page"/>
      </w:r>
      <w:r>
        <w:rPr>
          <w:rFonts w:hint="eastAsia" w:ascii="仿宋_GB2312" w:hAnsi="仿宋" w:eastAsia="仿宋_GB2312" w:cs="仿宋_GB2312"/>
          <w:b/>
          <w:bCs/>
          <w:sz w:val="30"/>
          <w:szCs w:val="30"/>
        </w:rPr>
        <w:t>三、</w:t>
      </w:r>
      <w:r>
        <w:rPr>
          <w:rFonts w:hint="eastAsia" w:ascii="仿宋_GB2312" w:hAnsi="仿宋" w:eastAsia="仿宋_GB2312" w:cs="仿宋_GB2312"/>
          <w:b/>
          <w:sz w:val="30"/>
          <w:szCs w:val="30"/>
        </w:rPr>
        <w:t>法定代表人及其授权代表的身份证（复印件）</w:t>
      </w:r>
    </w:p>
    <w:p>
      <w:pPr>
        <w:pStyle w:val="646"/>
        <w:spacing w:line="360" w:lineRule="auto"/>
        <w:rPr>
          <w:rFonts w:ascii="仿宋_GB2312" w:hAnsi="仿宋" w:eastAsia="仿宋_GB2312"/>
          <w:bCs/>
          <w:sz w:val="24"/>
        </w:rPr>
      </w:pPr>
      <w:r>
        <w:rPr>
          <w:rFonts w:hint="eastAsia" w:ascii="仿宋_GB2312" w:hAnsi="仿宋" w:eastAsia="仿宋_GB2312"/>
          <w:bCs/>
          <w:sz w:val="24"/>
        </w:rPr>
        <w:t>法定代表人身份证件扫描件：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pStyle w:val="646"/>
        <w:spacing w:line="360" w:lineRule="auto"/>
        <w:rPr>
          <w:rFonts w:ascii="仿宋_GB2312" w:hAnsi="仿宋" w:eastAsia="仿宋_GB2312"/>
          <w:bCs/>
          <w:sz w:val="24"/>
        </w:rPr>
      </w:pPr>
      <w:r>
        <w:rPr>
          <w:rFonts w:hint="eastAsia" w:ascii="仿宋_GB2312" w:hAnsi="仿宋" w:eastAsia="仿宋_GB2312"/>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6"/>
              <w:spacing w:line="360" w:lineRule="auto"/>
              <w:rPr>
                <w:rFonts w:ascii="仿宋_GB2312" w:hAnsi="仿宋" w:eastAsia="仿宋_GB2312"/>
                <w:bCs/>
                <w:sz w:val="24"/>
              </w:rPr>
            </w:pPr>
            <w:r>
              <w:rPr>
                <w:rFonts w:hint="eastAsia" w:ascii="仿宋_GB2312" w:hAnsi="仿宋" w:eastAsia="仿宋_GB2312"/>
                <w:bCs/>
                <w:sz w:val="24"/>
              </w:rPr>
              <w:t>正面：                                 反面：</w:t>
            </w:r>
          </w:p>
          <w:p>
            <w:pPr>
              <w:pStyle w:val="646"/>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投标人名称(电子签名)：                              </w:t>
      </w:r>
    </w:p>
    <w:p>
      <w:pPr>
        <w:spacing w:line="360" w:lineRule="auto"/>
        <w:jc w:val="center"/>
        <w:rPr>
          <w:rFonts w:hint="default" w:ascii="仿宋_GB2312" w:hAnsi="仿宋" w:eastAsia="仿宋_GB2312" w:cs="仿宋_GB2312"/>
          <w:kern w:val="0"/>
          <w:sz w:val="24"/>
          <w:lang w:val="en-US" w:eastAsia="zh-CN"/>
        </w:rPr>
      </w:pPr>
      <w:r>
        <w:rPr>
          <w:rFonts w:hint="eastAsia" w:ascii="仿宋_GB2312" w:hAnsi="仿宋" w:eastAsia="仿宋_GB2312" w:cs="仿宋_GB2312"/>
          <w:kern w:val="0"/>
          <w:sz w:val="24"/>
          <w:lang w:val="zh-CN"/>
        </w:rPr>
        <w:t xml:space="preserve">                   日期：  年  月</w:t>
      </w:r>
      <w:r>
        <w:rPr>
          <w:rFonts w:hint="eastAsia" w:ascii="仿宋_GB2312" w:hAnsi="仿宋" w:eastAsia="仿宋_GB2312" w:cs="仿宋_GB2312"/>
          <w:kern w:val="0"/>
          <w:sz w:val="24"/>
          <w:lang w:val="en-US" w:eastAsia="zh-CN"/>
        </w:rPr>
        <w:t xml:space="preserve">  日</w:t>
      </w: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pStyle w:val="932"/>
        <w:numPr>
          <w:ilvl w:val="0"/>
          <w:numId w:val="0"/>
        </w:numPr>
        <w:jc w:val="both"/>
        <w:rPr>
          <w:rFonts w:hint="eastAsia" w:ascii="仿宋" w:hAnsi="仿宋" w:eastAsia="仿宋" w:cs="仿宋_GB2312"/>
          <w:b/>
          <w:sz w:val="36"/>
          <w:szCs w:val="36"/>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sz w:val="30"/>
          <w:szCs w:val="30"/>
        </w:rPr>
        <w:t>四、</w:t>
      </w:r>
      <w:r>
        <w:rPr>
          <w:rFonts w:hint="eastAsia" w:ascii="仿宋_GB2312" w:hAnsi="仿宋" w:eastAsia="仿宋_GB2312" w:cs="仿宋_GB2312"/>
          <w:b/>
          <w:kern w:val="0"/>
          <w:sz w:val="32"/>
          <w:szCs w:val="32"/>
        </w:rPr>
        <w:t>符合参与政府采购活动的资格条件并且没有税收缴纳、社会保障等方面的失信记录的承诺函</w:t>
      </w:r>
    </w:p>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adjustRightInd w:val="0"/>
        <w:spacing w:line="360" w:lineRule="auto"/>
        <w:ind w:firstLine="480" w:firstLineChars="200"/>
        <w:rPr>
          <w:rFonts w:hint="eastAsia" w:ascii="仿宋_GB2312" w:hAnsi="仿宋" w:eastAsia="仿宋_GB2312" w:cs="仿宋_GB2312"/>
          <w:kern w:val="0"/>
          <w:sz w:val="24"/>
          <w:szCs w:val="24"/>
          <w:lang w:val="en-US" w:eastAsia="zh-CN"/>
        </w:rPr>
      </w:pPr>
      <w:r>
        <w:rPr>
          <w:rFonts w:hint="eastAsia" w:ascii="仿宋_GB2312" w:hAnsi="仿宋" w:eastAsia="仿宋_GB2312" w:cs="仿宋_GB2312"/>
          <w:sz w:val="24"/>
        </w:rPr>
        <w:t>我方郑重承诺，我方符合参与</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政府采购活动的资格条件并且没有税收缴纳、社会保障等方面的失信记录。</w:t>
      </w: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en-US" w:eastAsia="zh-CN"/>
        </w:rPr>
        <w:t xml:space="preserve">                  </w:t>
      </w:r>
    </w:p>
    <w:p>
      <w:pPr>
        <w:adjustRightInd w:val="0"/>
        <w:spacing w:line="360" w:lineRule="auto"/>
        <w:ind w:firstLine="4560" w:firstLineChars="19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投标人名称(电子签名)：                              </w:t>
      </w:r>
    </w:p>
    <w:p>
      <w:pPr>
        <w:adjustRightInd w:val="0"/>
        <w:snapToGrid w:val="0"/>
        <w:spacing w:line="360" w:lineRule="auto"/>
        <w:ind w:right="480"/>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lang w:val="en-US" w:eastAsia="zh-CN"/>
        </w:rPr>
        <w:t xml:space="preserve">     </w:t>
      </w:r>
      <w:r>
        <w:rPr>
          <w:rFonts w:hint="eastAsia" w:ascii="仿宋_GB2312" w:hAnsi="仿宋" w:eastAsia="仿宋_GB2312" w:cs="仿宋_GB2312"/>
          <w:kern w:val="0"/>
          <w:sz w:val="24"/>
          <w:szCs w:val="24"/>
          <w:lang w:val="zh-CN"/>
        </w:rPr>
        <w:t xml:space="preserve"> 日期：  年  月   日</w:t>
      </w:r>
    </w:p>
    <w:p>
      <w:pPr>
        <w:snapToGrid w:val="0"/>
        <w:spacing w:line="360" w:lineRule="auto"/>
        <w:ind w:right="480"/>
        <w:jc w:val="center"/>
        <w:rPr>
          <w:rFonts w:hint="default" w:ascii="仿宋_GB2312" w:hAnsi="仿宋" w:eastAsia="仿宋_GB2312" w:cs="仿宋_GB2312"/>
          <w:kern w:val="0"/>
          <w:sz w:val="24"/>
          <w:lang w:val="en-US" w:eastAsia="zh-CN"/>
        </w:rPr>
      </w:pPr>
    </w:p>
    <w:p>
      <w:pPr>
        <w:snapToGrid w:val="0"/>
        <w:spacing w:line="360" w:lineRule="auto"/>
        <w:ind w:right="480"/>
        <w:jc w:val="center"/>
        <w:rPr>
          <w:rFonts w:ascii="仿宋_GB2312" w:hAnsi="仿宋" w:eastAsia="仿宋_GB2312" w:cs="仿宋_GB2312"/>
          <w:b/>
          <w:kern w:val="0"/>
          <w:sz w:val="32"/>
          <w:szCs w:val="32"/>
          <w:lang w:val="zh-CN"/>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五、具有履行合同所必需的设备和专业技术能力的承诺函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我方郑重承诺，我方具有履行</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sz w:val="24"/>
        </w:rPr>
        <w:t>合同所必需的设备和专业技术能力。如中标，我方将保证合同顺利履行。</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六、参加政府采购活动前三年内，在经营活动中</w:t>
      </w: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没有重大违法记录的声明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临安分</w:t>
      </w:r>
      <w:r>
        <w:rPr>
          <w:rFonts w:hint="eastAsia" w:ascii="仿宋_GB2312" w:hAnsi="仿宋" w:eastAsia="仿宋_GB2312" w:cs="仿宋_GB2312"/>
          <w:sz w:val="24"/>
        </w:rPr>
        <w:t>中心</w:t>
      </w:r>
      <w:r>
        <w:rPr>
          <w:rFonts w:hint="eastAsia"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kern w:val="0"/>
          <w:sz w:val="24"/>
          <w:lang w:val="zh-CN"/>
        </w:rPr>
        <w:t>我方</w:t>
      </w:r>
      <w:r>
        <w:rPr>
          <w:rFonts w:hint="eastAsia" w:ascii="仿宋_GB2312" w:hAnsi="仿宋" w:eastAsia="仿宋_GB2312" w:cs="仿宋_GB2312"/>
          <w:sz w:val="24"/>
        </w:rPr>
        <w:t>声明投标截止时间前三年，在</w:t>
      </w:r>
      <w:r>
        <w:rPr>
          <w:rFonts w:hint="eastAsia" w:ascii="仿宋_GB2312" w:hAnsi="仿宋" w:eastAsia="仿宋_GB2312" w:cs="仿宋_GB2312"/>
          <w:kern w:val="0"/>
          <w:sz w:val="24"/>
        </w:rPr>
        <w:t>经营活动中</w:t>
      </w:r>
      <w:r>
        <w:rPr>
          <w:rFonts w:hint="eastAsia" w:ascii="仿宋_GB2312" w:hAnsi="仿宋" w:eastAsia="仿宋_GB2312" w:cs="仿宋_GB2312"/>
          <w:sz w:val="24"/>
        </w:rPr>
        <w:t xml:space="preserve">没有重大违法记录。 </w:t>
      </w:r>
    </w:p>
    <w:p>
      <w:pPr>
        <w:spacing w:line="360" w:lineRule="auto"/>
        <w:ind w:firstLine="480" w:firstLineChars="200"/>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投标人名称(电子签名)：</w:t>
      </w:r>
    </w:p>
    <w:p>
      <w:pPr>
        <w:snapToGrid w:val="0"/>
        <w:spacing w:line="360" w:lineRule="auto"/>
        <w:rPr>
          <w:rFonts w:hint="eastAsia" w:ascii="仿宋_GB2312" w:hAnsi="仿宋" w:eastAsia="仿宋_GB2312" w:cs="仿宋_GB2312"/>
          <w:b/>
          <w:kern w:val="0"/>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firstLine="1606" w:firstLineChars="5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七、具有良好商业信誉特别声明</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XXX（采购人名称）、杭州市公共资源交易中心</w:t>
      </w:r>
      <w:r>
        <w:rPr>
          <w:rFonts w:hint="eastAsia" w:ascii="仿宋_GB2312" w:hAnsi="仿宋" w:eastAsia="仿宋_GB2312" w:cs="仿宋_GB2312"/>
          <w:sz w:val="24"/>
          <w:lang w:eastAsia="zh-CN"/>
        </w:rPr>
        <w:t>临安</w:t>
      </w:r>
      <w:r>
        <w:rPr>
          <w:rFonts w:hint="eastAsia" w:ascii="仿宋_GB2312" w:hAnsi="仿宋" w:eastAsia="仿宋_GB2312" w:cs="仿宋_GB2312"/>
          <w:sz w:val="24"/>
        </w:rPr>
        <w:t>分中心</w:t>
      </w:r>
      <w:r>
        <w:rPr>
          <w:rFonts w:hint="eastAsia" w:ascii="仿宋_GB2312" w:hAnsi="仿宋" w:eastAsia="仿宋_GB2312" w:cs="仿宋_GB2312"/>
          <w:kern w:val="0"/>
          <w:sz w:val="24"/>
          <w:lang w:val="zh-CN"/>
        </w:rPr>
        <w:t>：</w:t>
      </w:r>
    </w:p>
    <w:p>
      <w:pPr>
        <w:snapToGrid w:val="0"/>
        <w:spacing w:line="360" w:lineRule="auto"/>
        <w:ind w:firstLine="480"/>
        <w:rPr>
          <w:rFonts w:ascii="仿宋_GB2312" w:hAnsi="仿宋" w:eastAsia="仿宋_GB2312" w:cs="仿宋_GB2312"/>
          <w:kern w:val="0"/>
          <w:sz w:val="24"/>
          <w:lang w:val="zh-CN"/>
        </w:rPr>
      </w:pPr>
      <w:r>
        <w:rPr>
          <w:rFonts w:hint="eastAsia" w:ascii="仿宋_GB2312" w:hAnsi="仿宋" w:eastAsia="仿宋_GB2312" w:cs="仿宋_GB2312"/>
          <w:sz w:val="24"/>
        </w:rPr>
        <w:t>截至投标截止时间，我方具有良好的商业信誉，不存在下列情形（包括但不限于）。否则，我方将承担在资格审查时不被通过的后果。</w:t>
      </w:r>
    </w:p>
    <w:p>
      <w:pPr>
        <w:pStyle w:val="232"/>
        <w:spacing w:before="0"/>
        <w:ind w:firstLine="495" w:firstLineChars="0"/>
        <w:rPr>
          <w:rFonts w:ascii="仿宋_GB2312" w:hAnsi="仿宋" w:eastAsia="仿宋_GB2312"/>
        </w:rPr>
      </w:pPr>
      <w:r>
        <w:rPr>
          <w:rFonts w:hint="eastAsia" w:ascii="仿宋_GB2312" w:hAnsi="仿宋" w:eastAsia="仿宋_GB2312"/>
        </w:rPr>
        <w:t>1</w:t>
      </w:r>
      <w:r>
        <w:rPr>
          <w:rFonts w:hint="eastAsia" w:ascii="仿宋_GB2312" w:hAnsi="仿宋" w:eastAsia="仿宋_GB2312" w:cs="仿宋_GB2312"/>
          <w:b/>
          <w:szCs w:val="24"/>
        </w:rPr>
        <w:t>、</w:t>
      </w:r>
      <w:r>
        <w:rPr>
          <w:rFonts w:hint="eastAsia" w:ascii="仿宋_GB2312" w:hAnsi="仿宋" w:eastAsia="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sz w:val="24"/>
        </w:rPr>
      </w:pPr>
    </w:p>
    <w:p>
      <w:pPr>
        <w:snapToGrid w:val="0"/>
        <w:spacing w:line="360" w:lineRule="auto"/>
        <w:ind w:firstLine="4680" w:firstLineChars="19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center"/>
        <w:rPr>
          <w:rFonts w:ascii="仿宋_GB2312" w:hAnsi="仿宋" w:eastAsia="仿宋_GB2312" w:cs="仿宋_GB2312"/>
          <w:b/>
          <w:sz w:val="30"/>
          <w:szCs w:val="30"/>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r>
        <w:rPr>
          <w:rFonts w:hint="eastAsia" w:ascii="仿宋_GB2312" w:hAnsi="仿宋" w:eastAsia="仿宋_GB2312" w:cs="仿宋_GB2312"/>
          <w:b/>
          <w:sz w:val="32"/>
          <w:szCs w:val="32"/>
        </w:rPr>
        <w:t>八、特定资格条件要求的资质文件（复印件）</w:t>
      </w:r>
    </w:p>
    <w:p>
      <w:pPr>
        <w:widowControl/>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ind w:firstLine="2891" w:firstLineChars="900"/>
        <w:rPr>
          <w:rFonts w:hint="eastAsia" w:ascii="仿宋_GB2312" w:hAnsi="仿宋" w:eastAsia="仿宋_GB2312" w:cs="仿宋_GB2312"/>
          <w:b/>
          <w:bCs/>
          <w:sz w:val="32"/>
          <w:szCs w:val="32"/>
        </w:rPr>
      </w:pPr>
    </w:p>
    <w:p>
      <w:pPr>
        <w:snapToGrid w:val="0"/>
        <w:spacing w:line="360" w:lineRule="auto"/>
        <w:rPr>
          <w:rFonts w:hint="eastAsia" w:ascii="仿宋_GB2312" w:hAnsi="仿宋" w:eastAsia="仿宋_GB2312" w:cs="仿宋_GB2312"/>
          <w:b/>
          <w:bCs/>
          <w:sz w:val="32"/>
          <w:szCs w:val="32"/>
        </w:rPr>
      </w:pPr>
    </w:p>
    <w:p>
      <w:pPr>
        <w:snapToGrid w:val="0"/>
        <w:spacing w:before="50" w:after="50" w:line="360" w:lineRule="auto"/>
        <w:jc w:val="center"/>
        <w:rPr>
          <w:rFonts w:ascii="仿宋" w:hAnsi="仿宋" w:eastAsia="仿宋" w:cs="仿宋_GB2312"/>
          <w:b/>
          <w:sz w:val="30"/>
          <w:szCs w:val="30"/>
        </w:rPr>
      </w:pPr>
      <w:r>
        <w:rPr>
          <w:rFonts w:hint="eastAsia" w:ascii="仿宋" w:hAnsi="仿宋" w:eastAsia="仿宋" w:cs="仿宋_GB2312"/>
          <w:b/>
          <w:sz w:val="32"/>
          <w:szCs w:val="32"/>
          <w:lang w:eastAsia="zh-CN"/>
        </w:rPr>
        <w:t>九</w:t>
      </w:r>
      <w:r>
        <w:rPr>
          <w:rFonts w:hint="eastAsia" w:ascii="仿宋" w:hAnsi="仿宋" w:eastAsia="仿宋" w:cs="仿宋_GB2312"/>
          <w:b/>
          <w:sz w:val="30"/>
          <w:szCs w:val="30"/>
        </w:rPr>
        <w:t>、联合体协议</w:t>
      </w:r>
    </w:p>
    <w:p>
      <w:pPr>
        <w:widowControl/>
        <w:adjustRightInd w:val="0"/>
        <w:spacing w:line="360" w:lineRule="auto"/>
        <w:ind w:firstLine="480" w:firstLineChars="200"/>
        <w:jc w:val="left"/>
        <w:rPr>
          <w:rFonts w:ascii="仿宋_GB2312" w:hAnsi="仿宋" w:eastAsia="仿宋_GB2312" w:cs="仿宋_GB2312"/>
          <w:sz w:val="24"/>
          <w:szCs w:val="24"/>
        </w:rPr>
      </w:pPr>
      <w:r>
        <w:rPr>
          <w:rFonts w:hint="eastAsia" w:ascii="仿宋_GB2312" w:hAnsi="仿宋" w:eastAsia="仿宋_GB2312" w:cs="仿宋_GB2312"/>
          <w:sz w:val="24"/>
          <w:szCs w:val="24"/>
        </w:rPr>
        <w:t>（以联合体形式投标的，提供联合体协议；本项目不接受联合体投标或者投标人不以联合体形式投标的，则不需要提供）</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甲方：</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乙方：</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各方经协商一致，决定组成一个联合体，以一个投标人的身份就</w:t>
      </w:r>
      <w:r>
        <w:rPr>
          <w:rFonts w:hint="eastAsia" w:ascii="仿宋_GB2312" w:hAnsi="仿宋_GB2312" w:eastAsia="仿宋_GB2312" w:cs="仿宋_GB2312"/>
          <w:sz w:val="24"/>
          <w:szCs w:val="24"/>
          <w:lang w:eastAsia="zh-CN"/>
        </w:rPr>
        <w:t>项目名称：</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u w:val="single"/>
          <w:lang w:val="en-US" w:eastAsia="zh-CN"/>
        </w:rPr>
        <w:t xml:space="preserve">   </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【招标编号：</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 xml:space="preserve">共同投标。 </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一、各方一致决定，</w:t>
      </w:r>
      <w:r>
        <w:rPr>
          <w:rFonts w:hint="eastAsia" w:ascii="仿宋_GB2312" w:hAnsi="仿宋" w:eastAsia="仿宋_GB2312" w:cs="Arial"/>
          <w:sz w:val="24"/>
          <w:szCs w:val="24"/>
        </w:rPr>
        <w:t>指定</w:t>
      </w:r>
      <w:r>
        <w:rPr>
          <w:rFonts w:hint="eastAsia" w:ascii="仿宋_GB2312" w:hAnsi="仿宋" w:eastAsia="仿宋_GB2312" w:cs="Times New Roman"/>
          <w:szCs w:val="24"/>
          <w:u w:val="single"/>
        </w:rPr>
        <w:t xml:space="preserve">   </w:t>
      </w:r>
      <w:r>
        <w:rPr>
          <w:rFonts w:hint="eastAsia" w:ascii="仿宋_GB2312" w:hAnsi="仿宋" w:eastAsia="仿宋_GB2312" w:cs="Arial"/>
          <w:sz w:val="24"/>
          <w:szCs w:val="24"/>
        </w:rPr>
        <w:t>方牵头人，代表所有联合体成员负责投标和合同实施阶段的主办、协调工作</w:t>
      </w:r>
      <w:r>
        <w:rPr>
          <w:rFonts w:hint="eastAsia" w:ascii="仿宋_GB2312" w:hAnsi="仿宋" w:eastAsia="仿宋_GB2312" w:cs="仿宋_GB2312"/>
          <w:kern w:val="0"/>
          <w:sz w:val="24"/>
          <w:szCs w:val="24"/>
          <w:lang w:val="zh-CN"/>
        </w:rPr>
        <w:t>。</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二、</w:t>
      </w:r>
      <w:r>
        <w:rPr>
          <w:rFonts w:hint="eastAsia" w:ascii="仿宋_GB2312" w:hAnsi="仿宋" w:eastAsia="仿宋_GB2312" w:cs="Arial"/>
          <w:sz w:val="24"/>
          <w:szCs w:val="24"/>
        </w:rPr>
        <w:t>所有联合体成员各方签署授权书，授权书载明的</w:t>
      </w:r>
      <w:r>
        <w:rPr>
          <w:rFonts w:hint="eastAsia" w:ascii="仿宋_GB2312" w:hAnsi="仿宋" w:eastAsia="仿宋_GB2312" w:cs="仿宋_GB2312"/>
          <w:kern w:val="0"/>
          <w:sz w:val="24"/>
          <w:szCs w:val="24"/>
          <w:lang w:val="zh-CN"/>
        </w:rPr>
        <w:t>授权代表根据招标文件规定及投标内容而对采购人、采购机构所作的任何合法承诺，包括书面澄清及相应等均对联合投标各方产生约束力。</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三、本次联合投标中，分工如下：甲方承担的工作和义务为：</w:t>
      </w:r>
      <w:r>
        <w:rPr>
          <w:rFonts w:hint="eastAsia" w:ascii="仿宋_GB2312" w:hAnsi="仿宋" w:eastAsia="仿宋_GB2312" w:cs="Times New Roman"/>
          <w:szCs w:val="24"/>
          <w:u w:val="single"/>
        </w:rPr>
        <w:t xml:space="preserve">             </w:t>
      </w:r>
      <w:r>
        <w:rPr>
          <w:rFonts w:hint="eastAsia" w:ascii="仿宋_GB2312" w:hAnsi="仿宋" w:eastAsia="仿宋_GB2312" w:cs="仿宋_GB2312"/>
          <w:kern w:val="0"/>
          <w:sz w:val="24"/>
          <w:szCs w:val="24"/>
          <w:lang w:val="zh-CN"/>
        </w:rPr>
        <w:t>；乙方承担的工作和义务为：</w:t>
      </w:r>
      <w:r>
        <w:rPr>
          <w:rFonts w:hint="eastAsia" w:ascii="仿宋_GB2312" w:hAnsi="仿宋" w:eastAsia="仿宋_GB2312" w:cs="Times New Roman"/>
          <w:szCs w:val="24"/>
          <w:u w:val="single"/>
        </w:rPr>
        <w:t xml:space="preserve">            </w:t>
      </w:r>
      <w:r>
        <w:rPr>
          <w:rFonts w:hint="eastAsia" w:ascii="仿宋_GB2312" w:hAnsi="仿宋" w:eastAsia="仿宋_GB2312" w:cs="仿宋_GB2312"/>
          <w:kern w:val="0"/>
          <w:sz w:val="24"/>
          <w:szCs w:val="24"/>
          <w:lang w:val="zh-CN"/>
        </w:rPr>
        <w:t xml:space="preserve"> ；……</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四、如果中标，</w:t>
      </w:r>
      <w:r>
        <w:rPr>
          <w:rFonts w:hint="eastAsia" w:ascii="仿宋_GB2312" w:hAnsi="仿宋" w:eastAsia="仿宋_GB2312" w:cs="Times New Roman"/>
          <w:sz w:val="24"/>
          <w:szCs w:val="24"/>
        </w:rPr>
        <w:t>联合体各成员方共同与采购人签订合同，并就采购合同约定的事项对采购人承担连带责任。</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五、有关本次联合投标的其他事宜：</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1、联合体各方不再单独参加或者与其他供应商另外组成联合体参加同一合同项下的政府采购活动。</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3、本协议提交采购人、采购机构后，联合体各方不得以任何形式对上述内容进行修改或撤销。</w:t>
      </w:r>
    </w:p>
    <w:p>
      <w:pPr>
        <w:adjustRightInd w:val="0"/>
        <w:snapToGrid w:val="0"/>
        <w:spacing w:line="360" w:lineRule="auto"/>
        <w:ind w:firstLine="576"/>
        <w:rPr>
          <w:rFonts w:ascii="仿宋_GB2312" w:hAnsi="仿宋" w:eastAsia="仿宋_GB2312" w:cs="仿宋_GB2312"/>
          <w:kern w:val="0"/>
          <w:sz w:val="24"/>
          <w:szCs w:val="24"/>
          <w:lang w:val="zh-CN"/>
        </w:rPr>
      </w:pPr>
    </w:p>
    <w:p>
      <w:pPr>
        <w:adjustRightInd w:val="0"/>
        <w:snapToGrid w:val="0"/>
        <w:spacing w:line="360" w:lineRule="auto"/>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甲方单位：           （公章/ 电子签名）     乙方单位： （公章/ 电子签名）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kern w:val="0"/>
          <w:sz w:val="24"/>
          <w:szCs w:val="24"/>
          <w:lang w:val="zh-CN"/>
        </w:rPr>
        <w:t xml:space="preserve">  日期：    年   月   日                  日期：    年   月   日</w:t>
      </w:r>
    </w:p>
    <w:p>
      <w:pPr>
        <w:pStyle w:val="78"/>
        <w:rPr>
          <w:rFonts w:hint="eastAsia" w:ascii="仿宋_GB2312" w:hAnsi="仿宋" w:eastAsia="仿宋_GB2312" w:cs="仿宋_GB2312"/>
          <w:kern w:val="0"/>
          <w:sz w:val="24"/>
          <w:szCs w:val="24"/>
          <w:lang w:val="zh-CN"/>
        </w:rPr>
      </w:pPr>
    </w:p>
    <w:p>
      <w:pPr>
        <w:pStyle w:val="78"/>
        <w:rPr>
          <w:rFonts w:hint="eastAsia" w:ascii="仿宋_GB2312" w:hAnsi="仿宋" w:eastAsia="仿宋_GB2312" w:cs="仿宋_GB2312"/>
          <w:kern w:val="0"/>
          <w:sz w:val="24"/>
          <w:szCs w:val="24"/>
          <w:lang w:val="zh-CN"/>
        </w:rPr>
      </w:pPr>
    </w:p>
    <w:p>
      <w:pPr>
        <w:pStyle w:val="78"/>
        <w:rPr>
          <w:rFonts w:hint="eastAsia" w:ascii="仿宋_GB2312" w:hAnsi="仿宋" w:eastAsia="仿宋_GB2312" w:cs="仿宋_GB2312"/>
          <w:kern w:val="0"/>
          <w:sz w:val="24"/>
          <w:szCs w:val="24"/>
          <w:lang w:val="zh-CN"/>
        </w:rPr>
      </w:pPr>
    </w:p>
    <w:p>
      <w:pPr>
        <w:pStyle w:val="78"/>
        <w:rPr>
          <w:rFonts w:hint="eastAsia" w:ascii="仿宋_GB2312" w:hAnsi="仿宋" w:eastAsia="仿宋_GB2312" w:cs="仿宋_GB2312"/>
          <w:kern w:val="0"/>
          <w:sz w:val="24"/>
          <w:szCs w:val="24"/>
          <w:lang w:val="zh-CN"/>
        </w:rPr>
      </w:pPr>
    </w:p>
    <w:p>
      <w:pPr>
        <w:adjustRightInd w:val="0"/>
        <w:snapToGrid w:val="0"/>
        <w:spacing w:line="360" w:lineRule="auto"/>
        <w:ind w:firstLine="3614" w:firstLineChars="1000"/>
        <w:rPr>
          <w:rFonts w:hint="eastAsia" w:ascii="仿宋_GB2312" w:hAnsi="仿宋" w:eastAsia="仿宋_GB2312" w:cs="仿宋_GB2312"/>
          <w:b/>
          <w:kern w:val="0"/>
          <w:sz w:val="36"/>
          <w:szCs w:val="36"/>
        </w:rPr>
      </w:pPr>
    </w:p>
    <w:p>
      <w:pPr>
        <w:adjustRightInd w:val="0"/>
        <w:snapToGrid w:val="0"/>
        <w:spacing w:line="360" w:lineRule="auto"/>
        <w:ind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adjustRightInd w:val="0"/>
        <w:spacing w:line="360" w:lineRule="auto"/>
        <w:jc w:val="center"/>
        <w:outlineLvl w:val="0"/>
        <w:rPr>
          <w:rFonts w:ascii="仿宋_GB2312" w:hAnsi="仿宋" w:eastAsia="仿宋_GB2312" w:cs="仿宋_GB2312"/>
          <w:b/>
          <w:kern w:val="0"/>
          <w:sz w:val="24"/>
          <w:szCs w:val="24"/>
        </w:rPr>
      </w:pPr>
    </w:p>
    <w:p>
      <w:pPr>
        <w:adjustRightInd w:val="0"/>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（1）投标响应函……………………………………………………（页码）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（2）投标（开标）一览表…………………………………………（页码）</w:t>
      </w:r>
    </w:p>
    <w:p>
      <w:pPr>
        <w:adjustRightInd w:val="0"/>
        <w:spacing w:line="360" w:lineRule="auto"/>
        <w:outlineLvl w:val="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（3）中小企业声明函………………………………………………（页码）</w:t>
      </w: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pacing w:line="360" w:lineRule="auto"/>
        <w:ind w:left="2" w:firstLine="480" w:firstLineChars="200"/>
        <w:rPr>
          <w:rFonts w:ascii="仿宋_GB2312" w:hAnsi="仿宋" w:eastAsia="仿宋_GB2312" w:cs="仿宋_GB2312"/>
          <w:sz w:val="24"/>
          <w:szCs w:val="24"/>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kern w:val="0"/>
          <w:sz w:val="32"/>
          <w:szCs w:val="32"/>
        </w:rPr>
      </w:pPr>
    </w:p>
    <w:p>
      <w:pPr>
        <w:adjustRightInd w:val="0"/>
        <w:snapToGrid w:val="0"/>
        <w:spacing w:line="360" w:lineRule="auto"/>
        <w:jc w:val="both"/>
        <w:outlineLvl w:val="0"/>
        <w:rPr>
          <w:rFonts w:ascii="仿宋_GB2312" w:hAnsi="仿宋" w:eastAsia="仿宋_GB2312" w:cs="仿宋_GB2312"/>
          <w:b/>
          <w:kern w:val="0"/>
          <w:sz w:val="32"/>
          <w:szCs w:val="32"/>
        </w:rPr>
      </w:pPr>
    </w:p>
    <w:p>
      <w:pPr>
        <w:adjustRightInd w:val="0"/>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一、投标响应</w:t>
      </w:r>
      <w:r>
        <w:rPr>
          <w:rFonts w:hint="eastAsia" w:ascii="仿宋_GB2312" w:hAnsi="仿宋" w:eastAsia="仿宋_GB2312" w:cs="仿宋_GB2312"/>
          <w:b/>
          <w:sz w:val="32"/>
          <w:szCs w:val="32"/>
        </w:rPr>
        <w:t>函</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(投标人全称)授权</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(全权代表姓名)</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sz w:val="24"/>
          <w:szCs w:val="24"/>
        </w:rPr>
        <w:t>(职务、职称)为全权代表，参加贵方组织的XXXXXX项目【招标编号：XXX】招标的有关活动，并对此项目进行投标。为此：</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1、我方同意在投标人</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规定的开标日期起遵守本投标文件中的承诺且在投标有效期满之前均具有约束力。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2、我方承诺已经具备《中华人民共和国政府采购法》中规定的参加政府采购活动的供应商应当具备的条件：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(1)具有独立承担民事责任的能力；</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(2)遵守国家法律、行政法规，具有良好的信誉和商业道德；</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(3)具有履行合同的能力和良好的履行合同记录；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(4)良好的资金、财务状况；</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(5)产品及生产所需装备符合中国政府规定的相应技术标准和环保标准；</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(6)没有违反政府采购法规、政策的记录；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(7)没有发生重大经济纠纷和走私犯罪记录。</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3、我方中标后拟在中标后将</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工作分包，分包承担主体是</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，我方承诺分包承担主体具备相应资质条件</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，且不再次分包。（不再将工作进行分包或本项目不允许分包的，下划线处填写“/”。）</w:t>
      </w:r>
    </w:p>
    <w:p>
      <w:pPr>
        <w:adjustRightInd w:val="0"/>
        <w:snapToGrid w:val="0"/>
        <w:spacing w:line="360" w:lineRule="auto"/>
        <w:ind w:firstLine="480" w:firstLineChars="200"/>
        <w:rPr>
          <w:rFonts w:ascii="仿宋_GB2312" w:hAnsi="仿宋" w:eastAsia="仿宋_GB2312" w:cs="仿宋_GB2312"/>
          <w:snapToGrid w:val="0"/>
          <w:sz w:val="24"/>
          <w:szCs w:val="21"/>
        </w:rPr>
      </w:pPr>
      <w:r>
        <w:rPr>
          <w:rFonts w:hint="eastAsia" w:ascii="仿宋_GB2312" w:hAnsi="仿宋" w:eastAsia="仿宋_GB2312" w:cs="仿宋_GB2312"/>
          <w:snapToGrid w:val="0"/>
          <w:sz w:val="24"/>
          <w:szCs w:val="21"/>
        </w:rPr>
        <w:t>4、提供</w:t>
      </w:r>
      <w:r>
        <w:rPr>
          <w:rFonts w:hint="eastAsia" w:ascii="仿宋_GB2312" w:hAnsi="仿宋" w:eastAsia="仿宋_GB2312" w:cs="仿宋_GB2312"/>
          <w:snapToGrid w:val="0"/>
          <w:kern w:val="44"/>
          <w:sz w:val="24"/>
          <w:szCs w:val="21"/>
        </w:rPr>
        <w:t>投标人须知</w:t>
      </w:r>
      <w:r>
        <w:rPr>
          <w:rFonts w:hint="eastAsia" w:ascii="仿宋_GB2312" w:hAnsi="仿宋" w:eastAsia="仿宋_GB2312" w:cs="仿宋_GB2312"/>
          <w:snapToGrid w:val="0"/>
          <w:sz w:val="24"/>
          <w:szCs w:val="21"/>
        </w:rPr>
        <w:t>规定的全部投标文件</w:t>
      </w:r>
      <w:r>
        <w:rPr>
          <w:rFonts w:hint="eastAsia" w:ascii="仿宋_GB2312" w:hAnsi="仿宋" w:eastAsia="仿宋_GB2312" w:cs="仿宋_GB2312"/>
          <w:snapToGrid w:val="0"/>
          <w:kern w:val="44"/>
          <w:sz w:val="24"/>
          <w:szCs w:val="21"/>
        </w:rPr>
        <w:t>。</w:t>
      </w:r>
      <w:r>
        <w:rPr>
          <w:rFonts w:hint="eastAsia" w:ascii="仿宋_GB2312" w:hAnsi="仿宋" w:eastAsia="仿宋_GB2312" w:cs="仿宋_GB2312"/>
          <w:snapToGrid w:val="0"/>
          <w:sz w:val="24"/>
          <w:szCs w:val="21"/>
        </w:rPr>
        <w:t>具体内容为：</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(1)投标(开标)一览表；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(2)投标</w:t>
      </w:r>
      <w:r>
        <w:rPr>
          <w:rFonts w:hint="eastAsia" w:ascii="仿宋_GB2312" w:hAnsi="仿宋" w:eastAsia="仿宋_GB2312" w:cs="仿宋_GB2312"/>
          <w:kern w:val="0"/>
          <w:sz w:val="24"/>
          <w:szCs w:val="24"/>
          <w:lang w:val="zh-CN"/>
        </w:rPr>
        <w:t>技术文件和</w:t>
      </w:r>
      <w:r>
        <w:rPr>
          <w:rFonts w:hint="eastAsia" w:ascii="仿宋_GB2312" w:hAnsi="仿宋" w:eastAsia="仿宋_GB2312" w:cs="仿宋_GB2312"/>
          <w:sz w:val="24"/>
          <w:szCs w:val="24"/>
          <w:lang w:val="zh-CN"/>
        </w:rPr>
        <w:t>商务文件</w:t>
      </w:r>
      <w:r>
        <w:rPr>
          <w:rFonts w:hint="eastAsia" w:ascii="仿宋_GB2312" w:hAnsi="仿宋" w:eastAsia="仿宋_GB2312" w:cs="仿宋_GB2312"/>
          <w:sz w:val="24"/>
          <w:szCs w:val="24"/>
        </w:rPr>
        <w:t>；</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w:t>
      </w:r>
      <w:r>
        <w:rPr>
          <w:rFonts w:hint="eastAsia" w:ascii="仿宋_GB2312" w:hAnsi="仿宋" w:eastAsia="仿宋_GB2312" w:cs="仿宋_GB2312"/>
          <w:kern w:val="44"/>
          <w:sz w:val="24"/>
          <w:szCs w:val="24"/>
        </w:rPr>
        <w:t>投标人须知</w:t>
      </w:r>
      <w:r>
        <w:rPr>
          <w:rFonts w:hint="eastAsia" w:ascii="仿宋_GB2312" w:hAnsi="仿宋" w:eastAsia="仿宋_GB2312" w:cs="仿宋_GB2312"/>
          <w:sz w:val="24"/>
          <w:szCs w:val="24"/>
        </w:rPr>
        <w:t>要求投标人提交的全部文件；</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 xml:space="preserve"> (4)按招标文件要求提供和交付的货物和服务的投标报价详见投标(开标)一览表；</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(5)保证忠实地执行双方所签订的合同，并承担合同规定的责任和义务；</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(6)保证遵守招标文件中的其他有关规定。</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5、我方承诺投标有效期从提交投标文件的截止之日起</w:t>
      </w:r>
      <w:r>
        <w:rPr>
          <w:rFonts w:hint="eastAsia" w:ascii="仿宋_GB2312" w:hAnsi="仿宋" w:eastAsia="仿宋_GB2312" w:cs="仿宋_GB2312"/>
          <w:sz w:val="24"/>
          <w:szCs w:val="24"/>
          <w:u w:val="single"/>
        </w:rPr>
        <w:t xml:space="preserve">     </w:t>
      </w:r>
      <w:r>
        <w:rPr>
          <w:rFonts w:hint="eastAsia" w:ascii="仿宋_GB2312" w:hAnsi="仿宋" w:eastAsia="仿宋_GB2312" w:cs="仿宋_GB2312"/>
          <w:sz w:val="24"/>
          <w:szCs w:val="24"/>
        </w:rPr>
        <w:t>天，不少于招标文件中载明的投标有效期（从提交投标文件的截止之日起90天）。</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6、我方完全理解贵方不一定要接受最低价的投标。</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7、我方愿意向贵方提供任何与该项投标有关的数据、情况和技术资料。若贵方需要，我方愿意提供我方作出的一切承诺的证明材料。</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8、我方已详细审核全部招标文件，包括招标文件修改书(如果有)、参考资料及有关附件，确认无误。</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a)提供虚假材料谋取中标、成交的；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b)采取不正当手段诋毁、排挤其他供应商的；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c)与采购人、其它供应商或者采购机构恶意串通的；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d)向采购人、采购机构行贿或者提供其他不正当利益的；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e)在招标采购过程中与采购人进行协商谈判的；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f)拒绝有关部门监督检查或提供虚假情况的。</w:t>
      </w:r>
    </w:p>
    <w:p>
      <w:pPr>
        <w:adjustRightInd w:val="0"/>
        <w:snapToGrid w:val="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供应商有前款第a)至e)项情形之一的，中标、成交无效。</w:t>
      </w:r>
    </w:p>
    <w:p>
      <w:pPr>
        <w:adjustRightInd w:val="0"/>
        <w:spacing w:line="360" w:lineRule="auto"/>
        <w:ind w:firstLine="3600" w:firstLineChars="1500"/>
        <w:rPr>
          <w:rFonts w:ascii="仿宋_GB2312" w:hAnsi="仿宋" w:eastAsia="仿宋_GB2312" w:cs="仿宋_GB2312"/>
          <w:sz w:val="24"/>
          <w:szCs w:val="24"/>
        </w:rPr>
      </w:pPr>
      <w:r>
        <w:rPr>
          <w:rFonts w:hint="eastAsia" w:ascii="仿宋_GB2312" w:hAnsi="仿宋" w:eastAsia="仿宋_GB2312" w:cs="仿宋_GB2312"/>
          <w:sz w:val="24"/>
          <w:szCs w:val="24"/>
        </w:rPr>
        <w:t xml:space="preserve">投标人名称（电子签名）：                          </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 xml:space="preserve">     日期：  年   月   日</w:t>
      </w:r>
    </w:p>
    <w:p>
      <w:pPr>
        <w:adjustRightInd w:val="0"/>
        <w:snapToGrid w:val="0"/>
        <w:spacing w:line="360" w:lineRule="auto"/>
        <w:ind w:left="420" w:leftChars="200" w:firstLine="4200" w:firstLineChars="1750"/>
        <w:rPr>
          <w:rFonts w:ascii="仿宋_GB2312" w:hAnsi="仿宋" w:eastAsia="仿宋_GB2312" w:cs="仿宋_GB2312"/>
          <w:kern w:val="0"/>
          <w:sz w:val="24"/>
          <w:szCs w:val="24"/>
          <w:u w:val="single"/>
          <w:lang w:val="zh-CN"/>
        </w:rPr>
      </w:pP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联系人：</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 xml:space="preserve">联系电话： </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联系地址：</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ind w:left="420" w:leftChars="2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邮政编码：</w:t>
      </w:r>
      <w:r>
        <w:rPr>
          <w:rFonts w:hint="eastAsia" w:ascii="仿宋_GB2312" w:hAnsi="仿宋" w:eastAsia="仿宋_GB2312" w:cs="仿宋_GB2312"/>
          <w:kern w:val="0"/>
          <w:sz w:val="24"/>
          <w:szCs w:val="24"/>
          <w:u w:val="single"/>
          <w:lang w:val="zh-CN"/>
        </w:rPr>
        <w:t xml:space="preserve">                     </w:t>
      </w:r>
      <w:r>
        <w:rPr>
          <w:rFonts w:hint="eastAsia" w:ascii="仿宋_GB2312" w:hAnsi="仿宋" w:eastAsia="仿宋_GB2312" w:cs="仿宋_GB2312"/>
          <w:kern w:val="0"/>
          <w:sz w:val="24"/>
          <w:szCs w:val="24"/>
          <w:lang w:val="zh-CN"/>
        </w:rPr>
        <w:t>传真号码：</w:t>
      </w:r>
      <w:r>
        <w:rPr>
          <w:rFonts w:hint="eastAsia" w:ascii="仿宋_GB2312" w:hAnsi="仿宋" w:eastAsia="仿宋_GB2312" w:cs="仿宋_GB2312"/>
          <w:kern w:val="0"/>
          <w:sz w:val="24"/>
          <w:szCs w:val="24"/>
          <w:u w:val="single"/>
          <w:lang w:val="zh-CN"/>
        </w:rPr>
        <w:t xml:space="preserve">                     </w:t>
      </w:r>
    </w:p>
    <w:p>
      <w:pPr>
        <w:adjustRightInd w:val="0"/>
        <w:snapToGrid w:val="0"/>
        <w:spacing w:line="360" w:lineRule="auto"/>
        <w:rPr>
          <w:rFonts w:ascii="仿宋_GB2312" w:hAnsi="仿宋" w:eastAsia="仿宋_GB2312" w:cs="仿宋_GB2312"/>
          <w:sz w:val="24"/>
          <w:szCs w:val="24"/>
        </w:rPr>
      </w:pPr>
      <w:r>
        <w:rPr>
          <w:rFonts w:hint="eastAsia" w:ascii="仿宋_GB2312" w:hAnsi="仿宋" w:eastAsia="仿宋_GB2312" w:cs="仿宋_GB2312"/>
          <w:b/>
          <w:kern w:val="0"/>
          <w:sz w:val="24"/>
          <w:szCs w:val="24"/>
          <w:lang w:val="zh-CN"/>
        </w:rPr>
        <w:t>注：未按照本投标响应函要求填报的将被视为非实质性响应投标，从而可能导致该投标被拒绝。</w:t>
      </w:r>
    </w:p>
    <w:p>
      <w:pPr>
        <w:adjustRightInd w:val="0"/>
        <w:snapToGrid w:val="0"/>
        <w:spacing w:before="120" w:after="120" w:line="360" w:lineRule="auto"/>
        <w:ind w:firstLine="643"/>
        <w:jc w:val="center"/>
        <w:rPr>
          <w:rFonts w:ascii="仿宋_GB2312" w:hAnsi="仿宋" w:eastAsia="仿宋_GB2312" w:cs="仿宋_GB2312"/>
          <w:b/>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仿宋_GB2312"/>
          <w:b/>
          <w:sz w:val="32"/>
          <w:szCs w:val="32"/>
        </w:rPr>
      </w:pPr>
      <w:r>
        <w:rPr>
          <w:rFonts w:hint="eastAsia" w:ascii="仿宋_GB2312" w:hAnsi="仿宋" w:eastAsia="仿宋_GB2312" w:cs="仿宋_GB2312"/>
          <w:b/>
          <w:sz w:val="32"/>
          <w:szCs w:val="32"/>
        </w:rPr>
        <w:t>二、投标(开标)一览表</w:t>
      </w:r>
    </w:p>
    <w:p>
      <w:pPr>
        <w:adjustRightInd w:val="0"/>
        <w:snapToGrid w:val="0"/>
        <w:spacing w:line="360" w:lineRule="auto"/>
        <w:rPr>
          <w:rFonts w:ascii="仿宋_GB2312" w:hAnsi="仿宋" w:eastAsia="仿宋_GB2312" w:cs="仿宋_GB2312"/>
          <w:kern w:val="0"/>
          <w:sz w:val="24"/>
          <w:szCs w:val="24"/>
        </w:rPr>
      </w:pPr>
      <w:bookmarkStart w:id="607"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sz w:val="24"/>
          <w:szCs w:val="24"/>
        </w:rPr>
        <w:t>XXXXXX项目</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rPr>
        <w:t>XXX】的实施</w:t>
      </w:r>
      <w:r>
        <w:rPr>
          <w:rFonts w:hint="eastAsia" w:ascii="仿宋_GB2312" w:hAnsi="仿宋" w:eastAsia="仿宋_GB2312" w:cs="仿宋_GB2312"/>
          <w:kern w:val="0"/>
          <w:sz w:val="24"/>
          <w:szCs w:val="24"/>
          <w:lang w:val="zh-CN"/>
        </w:rPr>
        <w:t>。</w:t>
      </w:r>
    </w:p>
    <w:p>
      <w:pPr>
        <w:adjustRightInd w:val="0"/>
        <w:spacing w:line="360" w:lineRule="auto"/>
        <w:jc w:val="center"/>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投标(开标)一览表(单位均为人民币元)</w:t>
      </w:r>
    </w:p>
    <w:tbl>
      <w:tblPr>
        <w:tblStyle w:val="62"/>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52"/>
        <w:gridCol w:w="1683"/>
        <w:gridCol w:w="1281"/>
        <w:gridCol w:w="1092"/>
        <w:gridCol w:w="1330"/>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37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序号</w:t>
            </w:r>
          </w:p>
        </w:tc>
        <w:tc>
          <w:tcPr>
            <w:tcW w:w="987"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b/>
                <w:sz w:val="24"/>
              </w:rPr>
              <w:t>名称</w:t>
            </w:r>
          </w:p>
        </w:tc>
        <w:tc>
          <w:tcPr>
            <w:tcW w:w="897"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cs="Times New Roman"/>
                <w:b/>
                <w:sz w:val="24"/>
                <w:szCs w:val="24"/>
              </w:rPr>
              <w:t>具体服务</w:t>
            </w:r>
            <w:r>
              <w:rPr>
                <w:rFonts w:hint="eastAsia" w:ascii="仿宋_GB2312" w:hAnsi="仿宋" w:eastAsia="仿宋_GB2312" w:cs="Times New Roman"/>
                <w:b/>
                <w:sz w:val="24"/>
                <w:szCs w:val="24"/>
                <w:lang w:eastAsia="zh-CN"/>
              </w:rPr>
              <w:t>（或规格型号）</w:t>
            </w:r>
          </w:p>
        </w:tc>
        <w:tc>
          <w:tcPr>
            <w:tcW w:w="682" w:type="pct"/>
            <w:vAlign w:val="center"/>
          </w:tcPr>
          <w:p>
            <w:pPr>
              <w:adjustRightInd w:val="0"/>
              <w:spacing w:line="360" w:lineRule="auto"/>
              <w:jc w:val="center"/>
              <w:rPr>
                <w:rFonts w:hint="eastAsia" w:ascii="仿宋_GB2312" w:hAnsi="仿宋" w:eastAsia="仿宋_GB2312" w:cs="仿宋_GB2312"/>
                <w:b/>
                <w:sz w:val="24"/>
                <w:szCs w:val="24"/>
                <w:lang w:eastAsia="zh-CN"/>
              </w:rPr>
            </w:pPr>
            <w:r>
              <w:rPr>
                <w:rFonts w:hint="eastAsia" w:ascii="仿宋_GB2312" w:hAnsi="仿宋" w:eastAsia="仿宋_GB2312" w:cs="仿宋_GB2312"/>
                <w:b/>
                <w:sz w:val="24"/>
                <w:szCs w:val="24"/>
                <w:lang w:eastAsia="zh-CN"/>
              </w:rPr>
              <w:t>工作量（数量）</w:t>
            </w:r>
          </w:p>
        </w:tc>
        <w:tc>
          <w:tcPr>
            <w:tcW w:w="582"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单价</w:t>
            </w:r>
          </w:p>
        </w:tc>
        <w:tc>
          <w:tcPr>
            <w:tcW w:w="709" w:type="pct"/>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Times New Roman"/>
                <w:b/>
                <w:sz w:val="24"/>
                <w:szCs w:val="24"/>
              </w:rPr>
              <w:t>总价</w:t>
            </w:r>
          </w:p>
        </w:tc>
        <w:tc>
          <w:tcPr>
            <w:tcW w:w="769" w:type="pct"/>
            <w:vAlign w:val="center"/>
          </w:tcPr>
          <w:p>
            <w:pPr>
              <w:adjustRightInd w:val="0"/>
              <w:spacing w:line="360" w:lineRule="auto"/>
              <w:rPr>
                <w:rFonts w:ascii="仿宋_GB2312" w:hAnsi="仿宋" w:eastAsia="仿宋_GB2312" w:cs="Times New Roman"/>
                <w:b/>
                <w:sz w:val="24"/>
                <w:szCs w:val="24"/>
              </w:rPr>
            </w:pPr>
            <w:r>
              <w:rPr>
                <w:rFonts w:hint="eastAsia" w:ascii="仿宋_GB2312" w:hAnsi="仿宋" w:eastAsia="仿宋_GB2312" w:cs="Times New Roman"/>
                <w:b/>
                <w:sz w:val="24"/>
                <w:szCs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restart"/>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3</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4</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5</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6</w:t>
            </w:r>
          </w:p>
        </w:tc>
        <w:tc>
          <w:tcPr>
            <w:tcW w:w="987" w:type="pct"/>
            <w:vAlign w:val="center"/>
          </w:tcPr>
          <w:p>
            <w:pPr>
              <w:adjustRightInd w:val="0"/>
              <w:snapToGrid w:val="0"/>
              <w:spacing w:line="360" w:lineRule="auto"/>
              <w:jc w:val="center"/>
              <w:rPr>
                <w:rFonts w:ascii="仿宋_GB2312" w:hAnsi="仿宋" w:eastAsia="仿宋_GB2312" w:cs="仿宋_GB2312"/>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7</w:t>
            </w:r>
          </w:p>
        </w:tc>
        <w:tc>
          <w:tcPr>
            <w:tcW w:w="987" w:type="pct"/>
            <w:vAlign w:val="center"/>
          </w:tcPr>
          <w:p>
            <w:pPr>
              <w:adjustRightInd w:val="0"/>
              <w:snapToGrid w:val="0"/>
              <w:spacing w:line="360" w:lineRule="auto"/>
              <w:jc w:val="center"/>
              <w:rPr>
                <w:rFonts w:ascii="仿宋_GB2312" w:hAnsi="宋体" w:eastAsia="仿宋_GB2312" w:cs="Times New Roman"/>
                <w:b/>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987" w:type="pct"/>
            <w:vAlign w:val="center"/>
          </w:tcPr>
          <w:p>
            <w:pPr>
              <w:adjustRightInd w:val="0"/>
              <w:snapToGrid w:val="0"/>
              <w:spacing w:line="360" w:lineRule="auto"/>
              <w:jc w:val="center"/>
              <w:rPr>
                <w:rFonts w:ascii="仿宋_GB2312" w:hAnsi="Times New Roman" w:eastAsia="仿宋_GB2312" w:cs="Times New Roman"/>
                <w:sz w:val="24"/>
                <w:szCs w:val="24"/>
              </w:rPr>
            </w:pP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2" w:type="pct"/>
            <w:vAlign w:val="center"/>
          </w:tcPr>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987" w:type="pct"/>
            <w:vAlign w:val="center"/>
          </w:tcPr>
          <w:p>
            <w:pPr>
              <w:adjustRightInd w:val="0"/>
              <w:snapToGrid w:val="0"/>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p>
        </w:tc>
        <w:tc>
          <w:tcPr>
            <w:tcW w:w="897" w:type="pct"/>
            <w:vAlign w:val="center"/>
          </w:tcPr>
          <w:p>
            <w:pPr>
              <w:adjustRightInd w:val="0"/>
              <w:snapToGrid w:val="0"/>
              <w:spacing w:line="360" w:lineRule="auto"/>
              <w:jc w:val="center"/>
              <w:rPr>
                <w:rFonts w:ascii="仿宋_GB2312" w:hAnsi="仿宋" w:eastAsia="仿宋_GB2312" w:cs="仿宋_GB2312"/>
                <w:sz w:val="24"/>
                <w:szCs w:val="24"/>
              </w:rPr>
            </w:pPr>
          </w:p>
        </w:tc>
        <w:tc>
          <w:tcPr>
            <w:tcW w:w="682" w:type="pct"/>
            <w:vAlign w:val="center"/>
          </w:tcPr>
          <w:p>
            <w:pPr>
              <w:adjustRightInd w:val="0"/>
              <w:snapToGrid w:val="0"/>
              <w:spacing w:line="360" w:lineRule="auto"/>
              <w:jc w:val="center"/>
              <w:rPr>
                <w:rFonts w:ascii="仿宋_GB2312" w:hAnsi="仿宋" w:eastAsia="仿宋_GB2312" w:cs="仿宋_GB2312"/>
                <w:sz w:val="24"/>
                <w:szCs w:val="24"/>
              </w:rPr>
            </w:pPr>
          </w:p>
        </w:tc>
        <w:tc>
          <w:tcPr>
            <w:tcW w:w="582" w:type="pct"/>
            <w:vAlign w:val="center"/>
          </w:tcPr>
          <w:p>
            <w:pPr>
              <w:adjustRightInd w:val="0"/>
              <w:spacing w:line="360" w:lineRule="auto"/>
              <w:jc w:val="center"/>
              <w:rPr>
                <w:rFonts w:ascii="仿宋_GB2312" w:hAnsi="仿宋" w:eastAsia="仿宋_GB2312" w:cs="仿宋_GB2312"/>
                <w:sz w:val="24"/>
                <w:szCs w:val="24"/>
              </w:rPr>
            </w:pPr>
          </w:p>
        </w:tc>
        <w:tc>
          <w:tcPr>
            <w:tcW w:w="709" w:type="pct"/>
            <w:vAlign w:val="center"/>
          </w:tcPr>
          <w:p>
            <w:pPr>
              <w:adjustRightInd w:val="0"/>
              <w:spacing w:line="360" w:lineRule="auto"/>
              <w:jc w:val="center"/>
              <w:rPr>
                <w:rFonts w:ascii="仿宋_GB2312" w:hAnsi="仿宋" w:eastAsia="仿宋_GB2312" w:cs="仿宋_GB2312"/>
                <w:sz w:val="24"/>
                <w:szCs w:val="24"/>
              </w:rPr>
            </w:pPr>
          </w:p>
        </w:tc>
        <w:tc>
          <w:tcPr>
            <w:tcW w:w="769" w:type="pct"/>
            <w:vMerge w:val="continue"/>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投标报价（小写）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939" w:type="pct"/>
            <w:gridSpan w:val="4"/>
            <w:vAlign w:val="center"/>
          </w:tcPr>
          <w:p>
            <w:pPr>
              <w:adjustRightInd w:val="0"/>
              <w:spacing w:line="360" w:lineRule="auto"/>
              <w:jc w:val="center"/>
              <w:rPr>
                <w:rFonts w:ascii="仿宋_GB2312" w:hAnsi="仿宋" w:eastAsia="仿宋_GB2312" w:cs="仿宋_GB2312"/>
                <w:b/>
                <w:sz w:val="24"/>
                <w:szCs w:val="24"/>
              </w:rPr>
            </w:pPr>
            <w:r>
              <w:rPr>
                <w:rFonts w:hint="eastAsia" w:ascii="仿宋_GB2312" w:hAnsi="仿宋" w:eastAsia="仿宋_GB2312" w:cs="仿宋_GB2312"/>
                <w:b/>
                <w:sz w:val="24"/>
                <w:szCs w:val="24"/>
              </w:rPr>
              <w:t>投标报价（大写）</w:t>
            </w:r>
          </w:p>
        </w:tc>
        <w:tc>
          <w:tcPr>
            <w:tcW w:w="2060" w:type="pct"/>
            <w:gridSpan w:val="3"/>
            <w:vAlign w:val="center"/>
          </w:tcPr>
          <w:p>
            <w:pPr>
              <w:adjustRightInd w:val="0"/>
              <w:spacing w:line="360" w:lineRule="auto"/>
              <w:jc w:val="center"/>
              <w:rPr>
                <w:rFonts w:ascii="仿宋_GB2312" w:hAnsi="仿宋" w:eastAsia="仿宋_GB2312" w:cs="仿宋_GB2312"/>
                <w:sz w:val="24"/>
                <w:szCs w:val="24"/>
              </w:rPr>
            </w:pPr>
          </w:p>
        </w:tc>
      </w:tr>
    </w:tbl>
    <w:p>
      <w:pPr>
        <w:adjustRightInd w:val="0"/>
        <w:snapToGrid w:val="0"/>
        <w:spacing w:line="360" w:lineRule="auto"/>
        <w:ind w:left="480"/>
        <w:rPr>
          <w:rFonts w:ascii="仿宋_GB2312" w:hAnsi="仿宋" w:eastAsia="仿宋_GB2312" w:cs="仿宋_GB2312"/>
          <w:b/>
          <w:kern w:val="0"/>
          <w:sz w:val="24"/>
          <w:szCs w:val="24"/>
          <w:lang w:val="zh-CN"/>
        </w:rPr>
      </w:pPr>
      <w:r>
        <w:rPr>
          <w:rFonts w:hint="eastAsia" w:ascii="仿宋_GB2312" w:hAnsi="仿宋" w:eastAsia="仿宋_GB2312" w:cs="仿宋_GB2312"/>
          <w:b/>
          <w:kern w:val="0"/>
          <w:sz w:val="24"/>
          <w:szCs w:val="24"/>
          <w:lang w:val="zh-CN"/>
        </w:rPr>
        <w:t>注：</w:t>
      </w:r>
    </w:p>
    <w:p>
      <w:pPr>
        <w:adjustRightInd w:val="0"/>
        <w:spacing w:line="360" w:lineRule="auto"/>
        <w:ind w:left="-2" w:leftChars="-1" w:firstLine="480" w:firstLineChars="20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1、投标人需按本表格式填写，不得自行更改。</w:t>
      </w:r>
    </w:p>
    <w:p>
      <w:pPr>
        <w:adjustRightInd w:val="0"/>
        <w:snapToGrid w:val="0"/>
        <w:spacing w:line="360" w:lineRule="auto"/>
        <w:ind w:left="48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2、有关本项目实施所涉及的一切费用（详见前附表）均计入报价。</w:t>
      </w:r>
      <w:r>
        <w:rPr>
          <w:rFonts w:hint="eastAsia" w:ascii="仿宋_GB2312" w:hAnsi="仿宋" w:eastAsia="仿宋_GB2312" w:cs="Arial"/>
          <w:b/>
          <w:snapToGrid w:val="0"/>
          <w:color w:val="auto"/>
          <w:sz w:val="24"/>
          <w:szCs w:val="21"/>
        </w:rPr>
        <w:t>▲</w:t>
      </w:r>
      <w:r>
        <w:rPr>
          <w:rFonts w:hint="eastAsia" w:ascii="仿宋_GB2312" w:hAnsi="仿宋" w:eastAsia="仿宋_GB2312" w:cs="仿宋_GB2312"/>
          <w:b/>
          <w:kern w:val="0"/>
          <w:sz w:val="24"/>
          <w:szCs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szCs w:val="24"/>
          <w:lang w:val="zh-CN"/>
        </w:rPr>
        <w:t>，</w:t>
      </w:r>
      <w:r>
        <w:rPr>
          <w:rFonts w:hint="eastAsia" w:ascii="仿宋_GB2312" w:hAnsi="仿宋" w:eastAsia="仿宋_GB2312" w:cs="仿宋_GB2312"/>
          <w:b/>
          <w:kern w:val="0"/>
          <w:sz w:val="24"/>
          <w:szCs w:val="24"/>
          <w:lang w:val="zh-CN"/>
        </w:rPr>
        <w:t>各项明细费用请按实填写（不得出现“0元”“免费赠送”等形式的无偿报价）。</w:t>
      </w:r>
    </w:p>
    <w:p>
      <w:pPr>
        <w:adjustRightInd w:val="0"/>
        <w:snapToGrid w:val="0"/>
        <w:spacing w:line="360" w:lineRule="auto"/>
        <w:ind w:firstLine="480" w:firstLineChars="200"/>
        <w:jc w:val="left"/>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en-US" w:eastAsia="zh-CN"/>
        </w:rPr>
        <w:t>3</w:t>
      </w:r>
      <w:r>
        <w:rPr>
          <w:rFonts w:hint="eastAsia" w:ascii="仿宋_GB2312" w:hAnsi="仿宋" w:eastAsia="仿宋_GB2312" w:cs="仿宋_GB2312"/>
          <w:kern w:val="0"/>
          <w:sz w:val="24"/>
          <w:szCs w:val="24"/>
          <w:lang w:val="zh-CN"/>
        </w:rPr>
        <w:t>、特别提示：采购机构将对项目名称和项目编号，中标供应商名称、地址和中标金额，主要中标标的的名称、具体服务、数量、单价、服务要求等予以公示。</w:t>
      </w:r>
    </w:p>
    <w:p>
      <w:pPr>
        <w:pStyle w:val="78"/>
        <w:ind w:firstLine="480" w:firstLineChars="200"/>
        <w:rPr>
          <w:lang w:val="zh-CN"/>
        </w:rPr>
      </w:pPr>
      <w:r>
        <w:rPr>
          <w:rFonts w:hint="eastAsia" w:hAnsi="仿宋" w:cs="仿宋_GB2312"/>
          <w:kern w:val="0"/>
          <w:sz w:val="24"/>
          <w:lang w:val="en-US" w:eastAsia="zh-CN"/>
        </w:rPr>
        <w:t>4</w:t>
      </w:r>
      <w:r>
        <w:rPr>
          <w:rFonts w:hint="eastAsia" w:ascii="仿宋_GB2312" w:hAnsi="仿宋" w:eastAsia="仿宋_GB2312" w:cs="仿宋_GB2312"/>
          <w:kern w:val="0"/>
          <w:sz w:val="24"/>
          <w:lang w:val="zh-CN"/>
        </w:rPr>
        <w:t>、以上表格要求细分项目及报价，在“规格型号（或具体服务）”一栏中，货物类项目填写规格型号，服务类项目填写具体服务。</w:t>
      </w:r>
    </w:p>
    <w:p>
      <w:pPr>
        <w:adjustRightInd w:val="0"/>
        <w:spacing w:line="360" w:lineRule="auto"/>
        <w:ind w:firstLine="480" w:firstLineChars="200"/>
        <w:rPr>
          <w:rFonts w:ascii="仿宋_GB2312" w:hAnsi="仿宋" w:eastAsia="仿宋_GB2312" w:cs="仿宋_GB2312"/>
          <w:kern w:val="0"/>
          <w:sz w:val="24"/>
          <w:szCs w:val="24"/>
          <w:u w:val="single"/>
          <w:lang w:val="zh-CN"/>
        </w:rPr>
      </w:pPr>
      <w:r>
        <w:rPr>
          <w:rFonts w:hint="eastAsia" w:ascii="仿宋_GB2312" w:hAnsi="仿宋" w:eastAsia="仿宋_GB2312" w:cs="仿宋_GB2312"/>
          <w:kern w:val="0"/>
          <w:sz w:val="24"/>
          <w:lang w:val="en-US" w:eastAsia="zh-CN"/>
        </w:rPr>
        <w:t>5</w:t>
      </w:r>
      <w:r>
        <w:rPr>
          <w:rFonts w:ascii="仿宋_GB2312" w:hAnsi="仿宋" w:eastAsia="仿宋_GB2312" w:cs="仿宋_GB2312"/>
          <w:kern w:val="0"/>
          <w:sz w:val="24"/>
          <w:lang w:val="zh-CN"/>
        </w:rPr>
        <w:t>、</w:t>
      </w:r>
      <w:r>
        <w:rPr>
          <w:rFonts w:hint="eastAsia" w:ascii="仿宋_GB2312" w:hAnsi="仿宋" w:eastAsia="仿宋_GB2312" w:cs="仿宋_GB2312"/>
          <w:kern w:val="0"/>
          <w:sz w:val="24"/>
          <w:szCs w:val="24"/>
          <w:lang w:val="zh-CN"/>
        </w:rPr>
        <w:t>符合招标文件中列明的可享受中小企业扶持政策的投标人，请填写中小企业声明函。注：投标人</w:t>
      </w:r>
      <w:r>
        <w:rPr>
          <w:rFonts w:ascii="仿宋_GB2312" w:hAnsi="仿宋" w:eastAsia="仿宋_GB2312" w:cs="仿宋_GB2312"/>
          <w:kern w:val="0"/>
          <w:sz w:val="24"/>
          <w:szCs w:val="24"/>
          <w:lang w:val="zh-CN"/>
        </w:rPr>
        <w:t>提供</w:t>
      </w:r>
      <w:r>
        <w:rPr>
          <w:rFonts w:hint="eastAsia" w:ascii="仿宋_GB2312" w:hAnsi="仿宋" w:eastAsia="仿宋_GB2312" w:cs="仿宋_GB2312"/>
          <w:kern w:val="0"/>
          <w:sz w:val="24"/>
          <w:szCs w:val="24"/>
          <w:lang w:val="zh-CN"/>
        </w:rPr>
        <w:t>的中小企业</w:t>
      </w:r>
      <w:r>
        <w:rPr>
          <w:rFonts w:ascii="仿宋_GB2312" w:hAnsi="仿宋" w:eastAsia="仿宋_GB2312" w:cs="仿宋_GB2312"/>
          <w:kern w:val="0"/>
          <w:sz w:val="24"/>
          <w:szCs w:val="24"/>
          <w:lang w:val="zh-CN"/>
        </w:rPr>
        <w:t>声明函内容不实的，属于提供虚假材料谋取中标、成交，依照《中华人民共和国政府采购法》等国家有关规定追究相应责任。</w:t>
      </w:r>
    </w:p>
    <w:p>
      <w:pPr>
        <w:adjustRightInd w:val="0"/>
        <w:snapToGrid w:val="0"/>
        <w:spacing w:line="360" w:lineRule="auto"/>
        <w:ind w:firstLine="482" w:firstLineChars="200"/>
        <w:jc w:val="right"/>
        <w:rPr>
          <w:rFonts w:ascii="仿宋_GB2312" w:hAnsi="仿宋" w:eastAsia="仿宋_GB2312" w:cs="Times New Roman"/>
          <w:b/>
          <w:kern w:val="0"/>
          <w:sz w:val="24"/>
          <w:szCs w:val="24"/>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both"/>
        <w:rPr>
          <w:rFonts w:hint="eastAsia" w:ascii="仿宋_GB2312" w:hAnsi="仿宋" w:eastAsia="仿宋_GB2312" w:cs="仿宋_GB2312"/>
          <w:sz w:val="24"/>
          <w:szCs w:val="24"/>
          <w:lang w:eastAsia="zh-CN"/>
        </w:rPr>
      </w:pPr>
    </w:p>
    <w:p>
      <w:pPr>
        <w:adjustRightInd w:val="0"/>
        <w:spacing w:line="360" w:lineRule="auto"/>
        <w:ind w:right="960"/>
        <w:jc w:val="right"/>
        <w:rPr>
          <w:rFonts w:ascii="仿宋_GB2312" w:hAnsi="仿宋" w:eastAsia="仿宋_GB2312" w:cs="仿宋_GB2312"/>
          <w:sz w:val="24"/>
          <w:szCs w:val="24"/>
        </w:rPr>
      </w:pPr>
      <w:r>
        <w:rPr>
          <w:rFonts w:hint="eastAsia" w:ascii="仿宋_GB2312" w:hAnsi="仿宋" w:eastAsia="仿宋_GB2312" w:cs="仿宋_GB2312"/>
          <w:sz w:val="24"/>
          <w:szCs w:val="24"/>
          <w:lang w:eastAsia="zh-CN"/>
        </w:rPr>
        <w:t>投标</w:t>
      </w:r>
      <w:r>
        <w:rPr>
          <w:rFonts w:hint="eastAsia" w:ascii="仿宋_GB2312" w:hAnsi="仿宋" w:eastAsia="仿宋_GB2312" w:cs="仿宋_GB2312"/>
          <w:sz w:val="24"/>
          <w:szCs w:val="24"/>
        </w:rPr>
        <w:t>人名称（电子签名）：</w:t>
      </w:r>
    </w:p>
    <w:p>
      <w:pPr>
        <w:adjustRightInd w:val="0"/>
        <w:spacing w:line="360" w:lineRule="auto"/>
        <w:ind w:right="480"/>
        <w:jc w:val="center"/>
        <w:rPr>
          <w:rFonts w:ascii="仿宋_GB2312" w:hAnsi="仿宋" w:eastAsia="仿宋_GB2312" w:cs="仿宋_GB2312"/>
          <w:sz w:val="24"/>
          <w:szCs w:val="24"/>
        </w:rPr>
      </w:pPr>
      <w:r>
        <w:rPr>
          <w:rFonts w:hint="eastAsia" w:ascii="仿宋_GB2312" w:hAnsi="仿宋" w:eastAsia="仿宋_GB2312" w:cs="仿宋_GB2312"/>
          <w:sz w:val="24"/>
          <w:szCs w:val="24"/>
          <w:lang w:val="en-US" w:eastAsia="zh-CN"/>
        </w:rPr>
        <w:t xml:space="preserve">                                   </w:t>
      </w:r>
      <w:r>
        <w:rPr>
          <w:rFonts w:hint="eastAsia" w:ascii="仿宋_GB2312" w:hAnsi="仿宋" w:eastAsia="仿宋_GB2312" w:cs="仿宋_GB2312"/>
          <w:sz w:val="24"/>
          <w:szCs w:val="24"/>
        </w:rPr>
        <w:t>日期：  年   月   日</w:t>
      </w:r>
    </w:p>
    <w:bookmarkEnd w:id="607"/>
    <w:p>
      <w:pPr>
        <w:adjustRightInd w:val="0"/>
        <w:spacing w:line="360" w:lineRule="auto"/>
        <w:jc w:val="right"/>
        <w:outlineLvl w:val="0"/>
        <w:rPr>
          <w:rFonts w:ascii="仿宋_GB2312" w:hAnsi="仿宋" w:eastAsia="仿宋_GB2312" w:cs="仿宋_GB2312"/>
          <w:sz w:val="36"/>
          <w:szCs w:val="36"/>
          <w:lang w:val="zh-CN"/>
        </w:rPr>
        <w:sectPr>
          <w:pgSz w:w="11906" w:h="16838"/>
          <w:pgMar w:top="1276" w:right="1418" w:bottom="1247" w:left="1418" w:header="851" w:footer="992" w:gutter="0"/>
          <w:cols w:space="720" w:num="1"/>
          <w:titlePg/>
          <w:docGrid w:linePitch="312" w:charSpace="0"/>
        </w:sectPr>
      </w:pPr>
    </w:p>
    <w:p>
      <w:pPr>
        <w:adjustRightInd w:val="0"/>
        <w:snapToGrid w:val="0"/>
        <w:spacing w:before="120" w:after="120" w:line="360" w:lineRule="auto"/>
        <w:ind w:firstLine="643"/>
        <w:jc w:val="center"/>
        <w:rPr>
          <w:rFonts w:ascii="仿宋_GB2312" w:hAnsi="仿宋" w:eastAsia="仿宋_GB2312" w:cs="Times New Roman"/>
          <w:szCs w:val="24"/>
        </w:rPr>
      </w:pPr>
      <w:r>
        <w:rPr>
          <w:rFonts w:hint="eastAsia" w:ascii="仿宋_GB2312" w:hAnsi="仿宋" w:eastAsia="仿宋_GB2312" w:cs="仿宋_GB2312"/>
          <w:b/>
          <w:sz w:val="32"/>
          <w:szCs w:val="32"/>
        </w:rPr>
        <w:t>三、中小企业声明函</w:t>
      </w:r>
    </w:p>
    <w:p>
      <w:pPr>
        <w:adjustRightInd w:val="0"/>
        <w:spacing w:line="360" w:lineRule="auto"/>
        <w:ind w:firstLine="360" w:firstLineChars="150"/>
        <w:jc w:val="left"/>
        <w:rPr>
          <w:rFonts w:ascii="仿宋_GB2312" w:hAnsi="宋体" w:eastAsia="仿宋_GB2312" w:cs="Times New Roman"/>
          <w:sz w:val="24"/>
          <w:szCs w:val="24"/>
        </w:rPr>
      </w:pPr>
      <w:r>
        <w:rPr>
          <w:rFonts w:hint="eastAsia" w:ascii="仿宋_GB2312" w:hAnsi="宋体" w:eastAsia="仿宋_GB2312" w:cs="Times New Roman"/>
          <w:sz w:val="24"/>
          <w:szCs w:val="24"/>
        </w:rPr>
        <w:t>本公司（联合体）郑重声明，根据《政府采购促进中小企业发展管理办法》（财库﹝</w:t>
      </w:r>
      <w:r>
        <w:rPr>
          <w:rFonts w:ascii="仿宋_GB2312" w:hAnsi="宋体" w:eastAsia="仿宋_GB2312" w:cs="Times New Roman"/>
          <w:sz w:val="24"/>
          <w:szCs w:val="24"/>
        </w:rPr>
        <w:t xml:space="preserve">2020﹞46 </w:t>
      </w:r>
      <w:r>
        <w:rPr>
          <w:rFonts w:hint="eastAsia" w:ascii="仿宋_GB2312" w:hAnsi="宋体" w:eastAsia="仿宋_GB2312" w:cs="Times New Roman"/>
          <w:sz w:val="24"/>
          <w:szCs w:val="24"/>
        </w:rPr>
        <w:t>号）的规定，本公司（联合体）参加</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（单位名称）</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的</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（项目名称）</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adjustRightInd w:val="0"/>
        <w:spacing w:line="360" w:lineRule="auto"/>
        <w:ind w:firstLine="480" w:firstLineChars="200"/>
        <w:jc w:val="left"/>
        <w:rPr>
          <w:rFonts w:ascii="仿宋_GB2312" w:hAnsi="宋体" w:eastAsia="仿宋_GB2312" w:cs="Times New Roman"/>
          <w:sz w:val="24"/>
          <w:szCs w:val="24"/>
        </w:rPr>
      </w:pPr>
      <w:r>
        <w:rPr>
          <w:rFonts w:ascii="仿宋_GB2312" w:hAnsi="宋体" w:eastAsia="仿宋_GB2312" w:cs="Times New Roman"/>
          <w:sz w:val="24"/>
          <w:szCs w:val="24"/>
        </w:rPr>
        <w:t>1.</w:t>
      </w:r>
      <w:r>
        <w:rPr>
          <w:rFonts w:hint="eastAsia" w:ascii="仿宋_GB2312" w:hAnsi="宋体" w:eastAsia="仿宋_GB2312" w:cs="Times New Roman"/>
          <w:sz w:val="24"/>
          <w:szCs w:val="24"/>
          <w:u w:val="single"/>
        </w:rPr>
        <w:t>（标的名称）</w:t>
      </w:r>
      <w:r>
        <w:rPr>
          <w:rFonts w:ascii="仿宋_GB2312" w:hAnsi="宋体" w:eastAsia="仿宋_GB2312" w:cs="Times New Roman"/>
          <w:sz w:val="24"/>
          <w:szCs w:val="24"/>
        </w:rPr>
        <w:t xml:space="preserve"> ，属于 </w:t>
      </w:r>
      <w:r>
        <w:rPr>
          <w:rFonts w:hint="eastAsia" w:ascii="仿宋_GB2312" w:hAnsi="宋体" w:eastAsia="仿宋_GB2312" w:cs="Times New Roman"/>
          <w:sz w:val="24"/>
          <w:szCs w:val="24"/>
          <w:u w:val="single"/>
        </w:rPr>
        <w:t>（采购文件中明确的所属行业）</w:t>
      </w:r>
      <w:r>
        <w:rPr>
          <w:rFonts w:ascii="仿宋_GB2312" w:hAnsi="宋体" w:eastAsia="仿宋_GB2312" w:cs="Times New Roman"/>
          <w:sz w:val="24"/>
          <w:szCs w:val="24"/>
        </w:rPr>
        <w:t xml:space="preserve"> ；承建（承接）企业为 </w:t>
      </w:r>
      <w:r>
        <w:rPr>
          <w:rFonts w:hint="eastAsia" w:ascii="仿宋_GB2312" w:hAnsi="宋体" w:eastAsia="仿宋_GB2312" w:cs="Times New Roman"/>
          <w:sz w:val="24"/>
          <w:szCs w:val="24"/>
          <w:u w:val="single"/>
        </w:rPr>
        <w:t>（企业名称）</w:t>
      </w:r>
      <w:r>
        <w:rPr>
          <w:rFonts w:ascii="仿宋_GB2312" w:hAnsi="宋体" w:eastAsia="仿宋_GB2312" w:cs="Times New Roman"/>
          <w:sz w:val="24"/>
          <w:szCs w:val="24"/>
        </w:rPr>
        <w:t xml:space="preserve"> ，从业人员</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人，营业收入为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万元，资产总额为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万元属于</w:t>
      </w:r>
      <w:r>
        <w:rPr>
          <w:rFonts w:ascii="仿宋_GB2312" w:hAnsi="宋体" w:eastAsia="仿宋_GB2312" w:cs="Times New Roman"/>
          <w:sz w:val="24"/>
          <w:szCs w:val="24"/>
          <w:u w:val="single"/>
        </w:rPr>
        <w:t xml:space="preserve"> （中型企业、小型企业、微型企业） </w:t>
      </w:r>
      <w:r>
        <w:rPr>
          <w:rFonts w:hint="eastAsia" w:ascii="仿宋_GB2312" w:hAnsi="宋体" w:eastAsia="仿宋_GB2312" w:cs="Times New Roman"/>
          <w:sz w:val="24"/>
          <w:szCs w:val="24"/>
        </w:rPr>
        <w:t>；</w:t>
      </w:r>
    </w:p>
    <w:p>
      <w:pPr>
        <w:adjustRightInd w:val="0"/>
        <w:spacing w:line="360" w:lineRule="auto"/>
        <w:ind w:firstLine="480" w:firstLineChars="200"/>
        <w:jc w:val="left"/>
        <w:rPr>
          <w:rFonts w:ascii="仿宋_GB2312" w:hAnsi="宋体" w:eastAsia="仿宋_GB2312" w:cs="Times New Roman"/>
          <w:sz w:val="24"/>
          <w:szCs w:val="24"/>
        </w:rPr>
      </w:pPr>
      <w:r>
        <w:rPr>
          <w:rFonts w:ascii="仿宋_GB2312" w:hAnsi="宋体" w:eastAsia="仿宋_GB2312" w:cs="Times New Roman"/>
          <w:sz w:val="24"/>
          <w:szCs w:val="24"/>
        </w:rPr>
        <w:t>2.</w:t>
      </w:r>
      <w:r>
        <w:rPr>
          <w:rFonts w:hint="eastAsia" w:ascii="仿宋_GB2312" w:hAnsi="宋体" w:eastAsia="仿宋_GB2312" w:cs="Times New Roman"/>
          <w:sz w:val="24"/>
          <w:szCs w:val="24"/>
          <w:u w:val="single"/>
        </w:rPr>
        <w:t>（标的名称）</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，属于</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（采购文件中明确的所属行业）</w:t>
      </w:r>
      <w:r>
        <w:rPr>
          <w:rFonts w:ascii="仿宋_GB2312" w:hAnsi="宋体" w:eastAsia="仿宋_GB2312" w:cs="Times New Roman"/>
          <w:sz w:val="24"/>
          <w:szCs w:val="24"/>
        </w:rPr>
        <w:t xml:space="preserve"> ；承建（承接）企业为 </w:t>
      </w:r>
      <w:r>
        <w:rPr>
          <w:rFonts w:hint="eastAsia" w:ascii="仿宋_GB2312" w:hAnsi="宋体" w:eastAsia="仿宋_GB2312" w:cs="Times New Roman"/>
          <w:sz w:val="24"/>
          <w:szCs w:val="24"/>
          <w:u w:val="single"/>
        </w:rPr>
        <w:t>（企业名称）</w:t>
      </w:r>
      <w:r>
        <w:rPr>
          <w:rFonts w:ascii="仿宋_GB2312" w:hAnsi="宋体" w:eastAsia="仿宋_GB2312" w:cs="Times New Roman"/>
          <w:sz w:val="24"/>
          <w:szCs w:val="24"/>
        </w:rPr>
        <w:t xml:space="preserve"> ，从业人员</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人，营业收入为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万元，资产总额为</w:t>
      </w:r>
      <w:r>
        <w:rPr>
          <w:rFonts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万元，属于</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（中型企业、小型企业、微型企业）</w:t>
      </w:r>
      <w:r>
        <w:rPr>
          <w:rFonts w:ascii="仿宋_GB2312" w:hAnsi="宋体" w:eastAsia="仿宋_GB2312" w:cs="Times New Roman"/>
          <w:sz w:val="24"/>
          <w:szCs w:val="24"/>
        </w:rPr>
        <w:t xml:space="preserve"> ；</w:t>
      </w:r>
    </w:p>
    <w:p>
      <w:pPr>
        <w:adjustRightIn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w:t>
      </w:r>
    </w:p>
    <w:p>
      <w:pPr>
        <w:adjustRightIn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以上企业，不属于大企业的分支机构，不存在控股股东为大企业的情形，也不存在与大企业的负责人为同一人的情形。</w:t>
      </w:r>
    </w:p>
    <w:p>
      <w:pPr>
        <w:adjustRightIn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本企业对上述声明内容的真实性负责。如有虚假，将依法承担相应责任。</w:t>
      </w:r>
    </w:p>
    <w:p>
      <w:pPr>
        <w:adjustRightInd w:val="0"/>
        <w:spacing w:line="360" w:lineRule="auto"/>
        <w:ind w:right="1040"/>
        <w:jc w:val="right"/>
        <w:rPr>
          <w:rFonts w:ascii="仿宋_GB2312" w:hAnsi="宋体" w:eastAsia="仿宋_GB2312" w:cs="Times New Roman"/>
          <w:sz w:val="24"/>
          <w:szCs w:val="24"/>
        </w:rPr>
      </w:pPr>
      <w:r>
        <w:rPr>
          <w:rFonts w:hint="eastAsia" w:ascii="仿宋_GB2312" w:hAnsi="仿宋" w:eastAsia="仿宋_GB2312" w:cs="仿宋_GB2312"/>
          <w:sz w:val="24"/>
          <w:szCs w:val="24"/>
        </w:rPr>
        <w:t>投标人</w:t>
      </w:r>
      <w:r>
        <w:rPr>
          <w:rFonts w:hint="eastAsia" w:ascii="仿宋_GB2312" w:hAnsi="宋体" w:eastAsia="仿宋_GB2312" w:cs="Times New Roman"/>
          <w:sz w:val="24"/>
          <w:szCs w:val="24"/>
        </w:rPr>
        <w:t>名称（盖章</w:t>
      </w:r>
      <w:r>
        <w:rPr>
          <w:rFonts w:ascii="仿宋_GB2312" w:hAnsi="宋体" w:eastAsia="仿宋_GB2312" w:cs="Times New Roman"/>
          <w:sz w:val="24"/>
          <w:szCs w:val="24"/>
        </w:rPr>
        <w:t>/</w:t>
      </w:r>
      <w:r>
        <w:rPr>
          <w:rFonts w:hint="eastAsia" w:ascii="仿宋_GB2312" w:hAnsi="仿宋" w:eastAsia="仿宋_GB2312" w:cs="仿宋_GB2312"/>
          <w:sz w:val="24"/>
          <w:szCs w:val="24"/>
        </w:rPr>
        <w:t>电子签名</w:t>
      </w:r>
      <w:r>
        <w:rPr>
          <w:rFonts w:hint="eastAsia" w:ascii="仿宋_GB2312" w:hAnsi="宋体" w:eastAsia="仿宋_GB2312" w:cs="Times New Roman"/>
          <w:sz w:val="24"/>
          <w:szCs w:val="24"/>
        </w:rPr>
        <w:t>）：</w:t>
      </w:r>
    </w:p>
    <w:p>
      <w:pPr>
        <w:adjustRightInd w:val="0"/>
        <w:spacing w:line="360" w:lineRule="auto"/>
        <w:ind w:right="1120" w:firstLine="4680" w:firstLineChars="1950"/>
        <w:rPr>
          <w:rFonts w:ascii="仿宋_GB2312" w:hAnsi="宋体" w:eastAsia="仿宋_GB2312" w:cs="Times New Roman"/>
          <w:sz w:val="24"/>
          <w:szCs w:val="24"/>
        </w:rPr>
      </w:pPr>
      <w:r>
        <w:rPr>
          <w:rFonts w:hint="eastAsia" w:ascii="仿宋_GB2312" w:hAnsi="宋体" w:eastAsia="仿宋_GB2312" w:cs="Times New Roman"/>
          <w:sz w:val="24"/>
          <w:szCs w:val="24"/>
        </w:rPr>
        <w:t>日</w:t>
      </w:r>
      <w:r>
        <w:rPr>
          <w:rFonts w:ascii="仿宋_GB2312" w:hAnsi="宋体" w:eastAsia="仿宋_GB2312" w:cs="Times New Roman"/>
          <w:sz w:val="24"/>
          <w:szCs w:val="24"/>
        </w:rPr>
        <w:t xml:space="preserve"> </w:t>
      </w:r>
      <w:r>
        <w:rPr>
          <w:rFonts w:hint="eastAsia" w:ascii="仿宋_GB2312" w:hAnsi="宋体" w:eastAsia="仿宋_GB2312" w:cs="Times New Roman"/>
          <w:sz w:val="24"/>
          <w:szCs w:val="24"/>
        </w:rPr>
        <w:t>期：</w:t>
      </w:r>
    </w:p>
    <w:p>
      <w:pPr>
        <w:adjustRightInd w:val="0"/>
        <w:spacing w:line="360" w:lineRule="auto"/>
        <w:ind w:firstLine="310" w:firstLineChars="147"/>
        <w:jc w:val="left"/>
        <w:rPr>
          <w:rFonts w:ascii="仿宋_GB2312" w:hAnsi="仿宋" w:eastAsia="仿宋_GB2312" w:cs="仿宋_GB2312"/>
          <w:sz w:val="24"/>
          <w:szCs w:val="24"/>
        </w:rPr>
      </w:pPr>
      <w:r>
        <w:rPr>
          <w:rFonts w:hint="eastAsia" w:ascii="仿宋_GB2312" w:hAnsi="宋体" w:eastAsia="仿宋_GB2312" w:cs="Times New Roman"/>
          <w:b/>
          <w:szCs w:val="21"/>
        </w:rPr>
        <w:t>从业人员、营业收入、资产总额填报上一年度数据，无上一年度数据的新成立企业可不填报。</w:t>
      </w:r>
    </w:p>
    <w:p>
      <w:pPr>
        <w:adjustRightInd w:val="0"/>
        <w:spacing w:line="360" w:lineRule="auto"/>
        <w:ind w:right="420"/>
        <w:rPr>
          <w:rFonts w:hint="eastAsia" w:ascii="仿宋_GB2312" w:hAnsi="仿宋" w:eastAsia="仿宋_GB2312" w:cs="仿宋_GB2312"/>
          <w:sz w:val="22"/>
          <w:szCs w:val="22"/>
        </w:rPr>
      </w:pPr>
      <w:r>
        <w:rPr>
          <w:rFonts w:hint="eastAsia" w:ascii="仿宋_GB2312" w:hAnsi="仿宋" w:eastAsia="仿宋_GB2312" w:cs="仿宋_GB2312"/>
          <w:sz w:val="24"/>
          <w:szCs w:val="24"/>
        </w:rPr>
        <w:t xml:space="preserve">  </w:t>
      </w:r>
      <w:r>
        <w:rPr>
          <w:rFonts w:hint="eastAsia" w:ascii="仿宋_GB2312" w:hAnsi="仿宋" w:eastAsia="仿宋_GB2312" w:cs="仿宋_GB2312"/>
          <w:sz w:val="22"/>
          <w:szCs w:val="22"/>
        </w:rPr>
        <w:t xml:space="preserve"> 注：</w:t>
      </w:r>
      <w:r>
        <w:rPr>
          <w:rFonts w:hint="eastAsia" w:ascii="仿宋_GB2312" w:hAnsi="仿宋" w:eastAsia="仿宋_GB2312" w:cs="Times New Roman"/>
          <w:b/>
          <w:sz w:val="22"/>
          <w:szCs w:val="22"/>
        </w:rPr>
        <w:t>投标人提供的中小企业声明函与实际情况不符的，投标价格不可享受价格扣除。</w:t>
      </w:r>
      <w:r>
        <w:rPr>
          <w:rFonts w:hint="eastAsia" w:ascii="仿宋_GB2312" w:hAnsi="仿宋" w:eastAsia="仿宋_GB2312" w:cs="仿宋_GB2312"/>
          <w:sz w:val="22"/>
          <w:szCs w:val="2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pacing w:line="360" w:lineRule="auto"/>
        <w:ind w:right="420" w:firstLine="440" w:firstLineChars="200"/>
        <w:rPr>
          <w:rFonts w:hint="eastAsia" w:ascii="仿宋_GB2312" w:hAnsi="仿宋" w:eastAsia="仿宋_GB2312" w:cs="仿宋_GB2312"/>
          <w:sz w:val="22"/>
          <w:szCs w:val="22"/>
        </w:rPr>
      </w:pPr>
      <w:r>
        <w:rPr>
          <w:rFonts w:hint="eastAsia" w:ascii="仿宋_GB2312" w:hAnsi="仿宋" w:eastAsia="仿宋_GB2312" w:cs="仿宋_GB2312"/>
          <w:sz w:val="22"/>
          <w:szCs w:val="22"/>
        </w:rPr>
        <w:t>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如投标人对相关制造商信息了解不充分，或者不能确定相关信息真实、准确的，不建议出具《中小企业声明函》。</w:t>
      </w:r>
    </w:p>
    <w:p>
      <w:pPr>
        <w:pStyle w:val="625"/>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）资信文件复印件（如果要求提供）…………………………</w:t>
      </w:r>
      <w:r>
        <w:rPr>
          <w:rFonts w:hint="eastAsia" w:ascii="仿宋_GB2312" w:hAnsi="仿宋_GB2312" w:eastAsia="仿宋_GB2312" w:cs="仿宋_GB2312"/>
          <w:lang w:val="zh-CN"/>
        </w:rPr>
        <w:t>…</w:t>
      </w:r>
      <w:r>
        <w:rPr>
          <w:rFonts w:hint="eastAsia" w:ascii="仿宋_GB2312" w:hAnsi="仿宋_GB2312" w:eastAsia="仿宋_GB2312" w:cs="仿宋_GB2312"/>
        </w:rPr>
        <w:t>…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zh-CN"/>
        </w:rPr>
        <w:t>主要业绩证明… ……………………………………………………</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bookmarkStart w:id="608" w:name="OLE_LINK7"/>
      <w:bookmarkStart w:id="609" w:name="OLE_LINK6"/>
      <w:bookmarkStart w:id="610" w:name="OLE_LINK5"/>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）其他商务文件或说明</w:t>
      </w:r>
      <w:r>
        <w:rPr>
          <w:rFonts w:hint="eastAsia" w:ascii="仿宋_GB2312" w:hAnsi="仿宋_GB2312" w:eastAsia="仿宋_GB2312" w:cs="仿宋_GB2312"/>
          <w:lang w:val="zh-CN"/>
        </w:rPr>
        <w:t xml:space="preserve">……………………………………………… </w:t>
      </w:r>
      <w:r>
        <w:rPr>
          <w:rFonts w:hint="eastAsia" w:ascii="仿宋_GB2312" w:hAnsi="仿宋_GB2312" w:eastAsia="仿宋_GB2312" w:cs="仿宋_GB2312"/>
        </w:rPr>
        <w:t>（页码）</w:t>
      </w:r>
      <w:bookmarkEnd w:id="608"/>
      <w:bookmarkEnd w:id="609"/>
    </w:p>
    <w:bookmarkEnd w:id="610"/>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4</w:t>
      </w:r>
      <w:r>
        <w:rPr>
          <w:rFonts w:hint="eastAsia" w:ascii="仿宋_GB2312" w:hAnsi="仿宋_GB2312" w:eastAsia="仿宋_GB2312" w:cs="仿宋_GB2312"/>
        </w:rPr>
        <w:t>）技术（服务）方案……………………………………………………（页码）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5</w:t>
      </w:r>
      <w:r>
        <w:rPr>
          <w:rFonts w:hint="eastAsia" w:ascii="仿宋_GB2312" w:hAnsi="仿宋_GB2312" w:eastAsia="仿宋_GB2312" w:cs="仿宋_GB2312"/>
        </w:rPr>
        <w:t>）技术（服务）偏离说明表……………………………………………（页码）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6</w:t>
      </w:r>
      <w:r>
        <w:rPr>
          <w:rFonts w:hint="eastAsia" w:ascii="仿宋_GB2312" w:hAnsi="仿宋_GB2312" w:eastAsia="仿宋_GB2312" w:cs="仿宋_GB2312"/>
        </w:rPr>
        <w:t>）组织实施方案…………………………………………………………（页码）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w:t>
      </w:r>
      <w:r>
        <w:rPr>
          <w:rFonts w:hint="eastAsia" w:ascii="仿宋_GB2312" w:hAnsi="仿宋_GB2312" w:eastAsia="仿宋_GB2312" w:cs="仿宋_GB2312"/>
        </w:rPr>
        <w:t>）人员投入计划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8</w:t>
      </w:r>
      <w:r>
        <w:rPr>
          <w:rFonts w:hint="eastAsia" w:ascii="仿宋_GB2312" w:hAnsi="仿宋_GB2312" w:eastAsia="仿宋_GB2312" w:cs="仿宋_GB2312"/>
        </w:rPr>
        <w:t>）材料、设备、工具等投入计划  ……………………………………（页码）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9</w:t>
      </w:r>
      <w:r>
        <w:rPr>
          <w:rFonts w:hint="eastAsia" w:ascii="仿宋_GB2312" w:hAnsi="仿宋_GB2312" w:eastAsia="仿宋_GB2312" w:cs="仿宋_GB2312"/>
        </w:rPr>
        <w:t xml:space="preserve">）各项服务承诺 </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r>
        <w:rPr>
          <w:rFonts w:hint="eastAsia" w:ascii="仿宋_GB2312" w:hAnsi="仿宋_GB2312" w:eastAsia="仿宋_GB2312" w:cs="仿宋_GB2312"/>
          <w:lang w:val="zh-CN"/>
        </w:rPr>
        <w:t>认为需要的其他技术文件或说明…………………………………</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r>
        <w:rPr>
          <w:rFonts w:hint="eastAsia" w:ascii="仿宋_GB2312" w:hAnsi="仿宋_GB2312" w:eastAsia="仿宋_GB2312" w:cs="仿宋_GB2312"/>
          <w:lang w:val="zh-CN"/>
        </w:rPr>
        <w:t>关于对招标文件中商务、合同有关条款的拒绝声明…</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tabs>
          <w:tab w:val="left" w:pos="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lang w:val="en-US" w:eastAsia="zh-CN"/>
        </w:rPr>
        <w:t>12</w:t>
      </w:r>
      <w:r>
        <w:rPr>
          <w:rFonts w:hint="eastAsia" w:ascii="仿宋_GB2312" w:hAnsi="仿宋" w:eastAsia="仿宋_GB2312" w:cs="仿宋_GB2312"/>
          <w:kern w:val="0"/>
          <w:sz w:val="24"/>
          <w:lang w:val="zh-CN"/>
        </w:rPr>
        <w:t>）廉政承诺书</w:t>
      </w:r>
      <w:r>
        <w:rPr>
          <w:rFonts w:hint="eastAsia" w:ascii="仿宋_GB2312" w:hAnsi="仿宋_GB2312" w:eastAsia="仿宋_GB2312" w:cs="仿宋_GB2312"/>
        </w:rPr>
        <w:t xml:space="preserve"> </w:t>
      </w:r>
      <w:r>
        <w:rPr>
          <w:rFonts w:hint="eastAsia" w:ascii="仿宋_GB2312" w:hAnsi="仿宋_GB2312" w:eastAsia="仿宋_GB2312" w:cs="仿宋_GB2312"/>
          <w:lang w:val="zh-CN"/>
        </w:rPr>
        <w:t>………………</w:t>
      </w:r>
      <w:r>
        <w:rPr>
          <w:rFonts w:hint="eastAsia" w:ascii="仿宋_GB2312" w:hAnsi="仿宋_GB2312" w:eastAsia="仿宋_GB2312" w:cs="仿宋_GB2312"/>
        </w:rPr>
        <w:t>……</w:t>
      </w:r>
      <w:r>
        <w:rPr>
          <w:rFonts w:hint="eastAsia" w:ascii="仿宋_GB2312" w:hAnsi="仿宋_GB2312" w:eastAsia="仿宋_GB2312" w:cs="仿宋_GB2312"/>
          <w:lang w:val="zh-CN"/>
        </w:rPr>
        <w:t>……………………………………………</w:t>
      </w:r>
      <w:r>
        <w:rPr>
          <w:rFonts w:hint="eastAsia" w:ascii="仿宋_GB2312" w:hAnsi="仿宋_GB2312" w:eastAsia="仿宋_GB2312" w:cs="仿宋_GB2312"/>
        </w:rPr>
        <w:t>（页码）</w:t>
      </w:r>
    </w:p>
    <w:p>
      <w:pPr>
        <w:pStyle w:val="436"/>
        <w:spacing w:line="360" w:lineRule="auto"/>
        <w:rPr>
          <w:rFonts w:hint="eastAsia" w:ascii="仿宋_GB2312" w:hAnsi="仿宋_GB2312" w:eastAsia="仿宋_GB2312" w:cs="仿宋_GB2312"/>
          <w:lang w:val="zh-CN"/>
        </w:rPr>
      </w:pPr>
    </w:p>
    <w:p>
      <w:pPr>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注：以上目录是基本格式要求，各投标人可根据自身情况进一步细化。</w:t>
      </w: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pStyle w:val="78"/>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lang w:eastAsia="zh-CN"/>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、资信文件复印件（如果要求提供）</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hint="eastAsia" w:ascii="仿宋" w:hAnsi="仿宋" w:eastAsia="仿宋" w:cs="仿宋"/>
          <w:b/>
          <w:bCs/>
          <w:sz w:val="32"/>
          <w:szCs w:val="32"/>
        </w:rPr>
      </w:pP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jc w:val="center"/>
        <w:rPr>
          <w:rFonts w:hint="eastAsia" w:ascii="仿宋" w:hAnsi="仿宋" w:eastAsia="仿宋" w:cs="仿宋"/>
          <w:b/>
          <w:bCs/>
          <w:sz w:val="32"/>
          <w:szCs w:val="32"/>
        </w:rPr>
      </w:pPr>
      <w:r>
        <w:rPr>
          <w:rFonts w:hint="eastAsia" w:ascii="仿宋" w:hAnsi="仿宋" w:eastAsia="仿宋" w:cs="仿宋"/>
          <w:kern w:val="0"/>
          <w:sz w:val="24"/>
          <w:lang w:val="zh-CN"/>
        </w:rPr>
        <w:t xml:space="preserve">                   日期：  年  月</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4560" w:firstLineChars="1900"/>
        <w:rPr>
          <w:rFonts w:hint="eastAsia" w:ascii="仿宋" w:hAnsi="仿宋" w:eastAsia="仿宋" w:cs="仿宋"/>
          <w:kern w:val="0"/>
          <w:sz w:val="24"/>
        </w:rPr>
      </w:pPr>
    </w:p>
    <w:p>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sz w:val="24"/>
        </w:rPr>
        <w:t>电子签名</w:t>
      </w:r>
      <w:r>
        <w:rPr>
          <w:rFonts w:hint="eastAsia" w:ascii="仿宋" w:hAnsi="仿宋" w:eastAsia="仿宋" w:cs="仿宋"/>
          <w:kern w:val="0"/>
          <w:sz w:val="24"/>
        </w:rPr>
        <w:t xml:space="preserve">）：                       </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日期：  年  月   日</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bookmarkStart w:id="611" w:name="OLE_LINK16"/>
      <w:bookmarkStart w:id="612" w:name="OLE_LINK17"/>
      <w:r>
        <w:rPr>
          <w:rFonts w:hint="eastAsia" w:ascii="仿宋" w:hAnsi="仿宋" w:eastAsia="仿宋" w:cs="仿宋"/>
          <w:b/>
          <w:bCs/>
          <w:sz w:val="32"/>
          <w:szCs w:val="32"/>
        </w:rPr>
        <w:t>其他商务文件或说明</w:t>
      </w:r>
    </w:p>
    <w:p>
      <w:pPr>
        <w:spacing w:line="360" w:lineRule="auto"/>
        <w:jc w:val="center"/>
        <w:rPr>
          <w:rFonts w:hint="eastAsia" w:ascii="仿宋" w:hAnsi="仿宋" w:eastAsia="仿宋" w:cs="仿宋"/>
          <w:sz w:val="24"/>
        </w:rPr>
      </w:pPr>
      <w:r>
        <w:rPr>
          <w:rFonts w:hint="eastAsia" w:ascii="仿宋" w:hAnsi="仿宋" w:eastAsia="仿宋" w:cs="仿宋"/>
          <w:sz w:val="24"/>
        </w:rPr>
        <w:t>（</w:t>
      </w:r>
      <w:bookmarkStart w:id="613" w:name="OLE_LINK11"/>
      <w:bookmarkStart w:id="614" w:name="OLE_LINK10"/>
      <w:r>
        <w:rPr>
          <w:rFonts w:hint="eastAsia" w:ascii="仿宋" w:hAnsi="仿宋" w:eastAsia="仿宋" w:cs="仿宋"/>
          <w:sz w:val="24"/>
        </w:rPr>
        <w:t>其他商务文件或说明由投标人根据采购需求自行编制</w:t>
      </w:r>
      <w:bookmarkEnd w:id="613"/>
      <w:bookmarkEnd w:id="614"/>
      <w:r>
        <w:rPr>
          <w:rFonts w:hint="eastAsia" w:ascii="仿宋" w:hAnsi="仿宋" w:eastAsia="仿宋" w:cs="仿宋"/>
          <w:sz w:val="24"/>
        </w:rPr>
        <w:t>）</w:t>
      </w:r>
    </w:p>
    <w:bookmarkEnd w:id="611"/>
    <w:bookmarkEnd w:id="612"/>
    <w:p>
      <w:pPr>
        <w:spacing w:line="360" w:lineRule="auto"/>
        <w:jc w:val="center"/>
        <w:rPr>
          <w:rFonts w:hint="eastAsia" w:ascii="仿宋" w:hAnsi="仿宋" w:eastAsia="仿宋" w:cs="仿宋"/>
          <w:sz w:val="24"/>
        </w:rPr>
      </w:pPr>
    </w:p>
    <w:p>
      <w:pPr>
        <w:autoSpaceDE w:val="0"/>
        <w:autoSpaceDN w:val="0"/>
        <w:spacing w:line="360" w:lineRule="auto"/>
        <w:ind w:firstLine="4800" w:firstLineChars="2000"/>
        <w:rPr>
          <w:rFonts w:hint="eastAsia"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hint="eastAsia" w:ascii="仿宋" w:hAnsi="仿宋" w:eastAsia="仿宋" w:cs="仿宋"/>
          <w:kern w:val="0"/>
          <w:sz w:val="24"/>
          <w:lang w:val="zh-CN"/>
        </w:rPr>
      </w:pPr>
    </w:p>
    <w:p>
      <w:pPr>
        <w:autoSpaceDE w:val="0"/>
        <w:autoSpaceDN w:val="0"/>
        <w:spacing w:line="360" w:lineRule="auto"/>
        <w:rPr>
          <w:rFonts w:hint="eastAsia" w:ascii="仿宋" w:hAnsi="仿宋" w:eastAsia="仿宋" w:cs="仿宋"/>
          <w:kern w:val="0"/>
          <w:sz w:val="24"/>
          <w:lang w:val="zh-CN"/>
        </w:rPr>
      </w:pPr>
    </w:p>
    <w:p>
      <w:pPr>
        <w:spacing w:line="360" w:lineRule="auto"/>
        <w:jc w:val="center"/>
        <w:rPr>
          <w:rFonts w:hint="eastAsia" w:ascii="仿宋" w:hAnsi="仿宋" w:eastAsia="仿宋" w:cs="仿宋"/>
          <w:b/>
          <w:bCs/>
          <w:sz w:val="32"/>
          <w:szCs w:val="32"/>
        </w:rPr>
      </w:pPr>
      <w:r>
        <w:rPr>
          <w:rFonts w:hint="eastAsia" w:ascii="仿宋" w:hAnsi="仿宋" w:eastAsia="仿宋" w:cs="仿宋"/>
          <w:b/>
          <w:sz w:val="32"/>
          <w:szCs w:val="32"/>
          <w:lang w:eastAsia="zh-CN"/>
        </w:rPr>
        <w:t>四</w:t>
      </w:r>
      <w:r>
        <w:rPr>
          <w:rFonts w:hint="eastAsia" w:ascii="仿宋" w:hAnsi="仿宋" w:eastAsia="仿宋" w:cs="仿宋"/>
          <w:b/>
          <w:bCs/>
          <w:sz w:val="32"/>
          <w:szCs w:val="32"/>
        </w:rPr>
        <w:t>、技术和服务方案</w:t>
      </w:r>
    </w:p>
    <w:p>
      <w:pPr>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pStyle w:val="78"/>
        <w:rPr>
          <w:rFonts w:hint="eastAsia" w:ascii="仿宋" w:hAnsi="仿宋" w:eastAsia="仿宋" w:cs="仿宋"/>
          <w:sz w:val="24"/>
        </w:rPr>
      </w:pPr>
    </w:p>
    <w:p>
      <w:pPr>
        <w:autoSpaceDE w:val="0"/>
        <w:autoSpaceDN w:val="0"/>
        <w:spacing w:line="360" w:lineRule="auto"/>
        <w:ind w:firstLine="4800" w:firstLineChars="2000"/>
        <w:rPr>
          <w:rFonts w:hint="eastAsia"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autoSpaceDE w:val="0"/>
        <w:autoSpaceDN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78"/>
        <w:rPr>
          <w:rFonts w:hint="eastAsia" w:ascii="仿宋" w:hAnsi="仿宋" w:eastAsia="仿宋" w:cs="仿宋"/>
          <w:sz w:val="24"/>
        </w:rPr>
      </w:pP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
          <w:b/>
          <w:bCs/>
          <w:kern w:val="0"/>
          <w:sz w:val="24"/>
          <w:lang w:val="zh-CN"/>
        </w:rPr>
      </w:pPr>
      <w:r>
        <w:rPr>
          <w:rFonts w:hint="eastAsia" w:ascii="仿宋" w:hAnsi="仿宋" w:eastAsia="仿宋" w:cs="仿宋"/>
          <w:b/>
          <w:bCs/>
          <w:kern w:val="0"/>
          <w:sz w:val="24"/>
          <w:lang w:val="zh-CN"/>
        </w:rPr>
        <w:tab/>
      </w:r>
      <w:r>
        <w:rPr>
          <w:rFonts w:hint="eastAsia" w:ascii="仿宋" w:hAnsi="仿宋" w:eastAsia="仿宋" w:cs="仿宋"/>
          <w:b/>
          <w:bCs/>
          <w:kern w:val="0"/>
          <w:sz w:val="24"/>
          <w:lang w:val="zh-CN"/>
        </w:rPr>
        <w:tab/>
      </w:r>
      <w:r>
        <w:rPr>
          <w:rFonts w:hint="eastAsia" w:ascii="仿宋" w:hAnsi="仿宋" w:eastAsia="仿宋" w:cs="仿宋"/>
          <w:b/>
          <w:bCs/>
          <w:kern w:val="0"/>
          <w:sz w:val="24"/>
          <w:lang w:val="zh-CN"/>
        </w:rPr>
        <w:t xml:space="preserve">                        </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、技术和服务偏离说明表</w:t>
      </w:r>
    </w:p>
    <w:p>
      <w:pPr>
        <w:spacing w:line="360" w:lineRule="auto"/>
        <w:jc w:val="center"/>
        <w:rPr>
          <w:rFonts w:hint="eastAsia" w:ascii="仿宋" w:hAnsi="仿宋" w:eastAsia="仿宋" w:cs="仿宋"/>
          <w:b/>
          <w:bCs/>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sz w:val="24"/>
              </w:rPr>
            </w:pPr>
          </w:p>
        </w:tc>
      </w:tr>
    </w:tbl>
    <w:p>
      <w:pPr>
        <w:autoSpaceDE w:val="0"/>
        <w:autoSpaceDN w:val="0"/>
        <w:spacing w:line="360" w:lineRule="auto"/>
        <w:ind w:firstLine="5040" w:firstLineChars="2100"/>
        <w:rPr>
          <w:rFonts w:hint="eastAsia" w:ascii="仿宋" w:hAnsi="仿宋" w:eastAsia="仿宋" w:cs="仿宋"/>
          <w:kern w:val="0"/>
          <w:sz w:val="24"/>
          <w:lang w:val="zh-CN"/>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tabs>
          <w:tab w:val="left" w:pos="2790"/>
          <w:tab w:val="left" w:pos="4230"/>
        </w:tabs>
        <w:autoSpaceDE w:val="0"/>
        <w:autoSpaceDN w:val="0"/>
        <w:spacing w:line="360" w:lineRule="auto"/>
        <w:ind w:right="1400"/>
        <w:jc w:val="center"/>
        <w:outlineLvl w:val="1"/>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六、组织实施方案</w:t>
      </w:r>
    </w:p>
    <w:p>
      <w:pPr>
        <w:autoSpaceDE w:val="0"/>
        <w:autoSpaceDN w:val="0"/>
        <w:spacing w:line="360" w:lineRule="auto"/>
        <w:jc w:val="center"/>
        <w:rPr>
          <w:rFonts w:hint="eastAsia"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
          <w:b/>
          <w:bCs/>
          <w:kern w:val="0"/>
          <w:sz w:val="24"/>
          <w:lang w:val="zh-CN"/>
        </w:rPr>
      </w:pPr>
    </w:p>
    <w:p>
      <w:pPr>
        <w:autoSpaceDE w:val="0"/>
        <w:autoSpaceDN w:val="0"/>
        <w:spacing w:line="360" w:lineRule="auto"/>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400" w:firstLineChars="2250"/>
        <w:rPr>
          <w:rFonts w:hint="eastAsia" w:ascii="仿宋" w:hAnsi="仿宋" w:eastAsia="仿宋" w:cs="仿宋"/>
          <w:kern w:val="0"/>
          <w:sz w:val="24"/>
        </w:rPr>
      </w:pPr>
    </w:p>
    <w:p>
      <w:pPr>
        <w:autoSpaceDE w:val="0"/>
        <w:autoSpaceDN w:val="0"/>
        <w:spacing w:line="360" w:lineRule="auto"/>
        <w:ind w:firstLine="5040" w:firstLineChars="2100"/>
        <w:rPr>
          <w:rFonts w:hint="eastAsia" w:ascii="仿宋" w:hAnsi="仿宋" w:eastAsia="仿宋" w:cs="仿宋"/>
          <w:kern w:val="0"/>
          <w:sz w:val="24"/>
        </w:rPr>
      </w:pPr>
      <w:r>
        <w:rPr>
          <w:rFonts w:hint="eastAsia" w:ascii="仿宋" w:hAnsi="仿宋" w:eastAsia="仿宋" w:cs="仿宋"/>
          <w:kern w:val="0"/>
          <w:sz w:val="24"/>
        </w:rPr>
        <w:t>投标人名称（电子签名）：</w:t>
      </w:r>
    </w:p>
    <w:p>
      <w:pPr>
        <w:autoSpaceDE w:val="0"/>
        <w:autoSpaceDN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hint="eastAsia" w:ascii="仿宋" w:hAnsi="仿宋" w:eastAsia="仿宋" w:cs="仿宋"/>
          <w:b/>
          <w:bCs/>
          <w:sz w:val="32"/>
          <w:szCs w:val="32"/>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adjustRightInd w:val="0"/>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_GB2312" w:hAnsi="仿宋" w:eastAsia="仿宋_GB2312" w:cs="仿宋_GB2312"/>
          <w:b/>
          <w:bCs/>
          <w:sz w:val="32"/>
          <w:szCs w:val="32"/>
        </w:rPr>
        <w:t>人员投入计划</w:t>
      </w:r>
    </w:p>
    <w:p>
      <w:pPr>
        <w:autoSpaceDE w:val="0"/>
        <w:autoSpaceDN w:val="0"/>
        <w:adjustRightInd w:val="0"/>
        <w:spacing w:line="360" w:lineRule="auto"/>
        <w:jc w:val="center"/>
        <w:rPr>
          <w:rFonts w:ascii="仿宋_GB2312" w:hAnsi="仿宋" w:eastAsia="仿宋_GB2312" w:cs="仿宋_GB2312"/>
          <w:kern w:val="0"/>
          <w:sz w:val="24"/>
          <w:szCs w:val="24"/>
        </w:rPr>
      </w:pPr>
      <w:r>
        <w:rPr>
          <w:rFonts w:hint="eastAsia" w:ascii="仿宋_GB2312" w:hAnsi="仿宋" w:eastAsia="仿宋_GB2312" w:cs="仿宋_GB2312"/>
          <w:sz w:val="24"/>
          <w:szCs w:val="24"/>
        </w:rPr>
        <w:t>（由投标人根据采购需求及招标文件要求编制）</w:t>
      </w:r>
    </w:p>
    <w:p>
      <w:pPr>
        <w:autoSpaceDE w:val="0"/>
        <w:autoSpaceDN w:val="0"/>
        <w:adjustRightInd w:val="0"/>
        <w:spacing w:line="360" w:lineRule="auto"/>
        <w:ind w:firstLine="4440" w:firstLineChars="1850"/>
        <w:rPr>
          <w:rFonts w:ascii="仿宋_GB2312" w:hAnsi="仿宋" w:eastAsia="仿宋_GB2312" w:cs="仿宋_GB2312"/>
          <w:kern w:val="0"/>
          <w:sz w:val="24"/>
          <w:szCs w:val="24"/>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投标人名称（电子签名）：</w:t>
      </w:r>
    </w:p>
    <w:p>
      <w:pPr>
        <w:autoSpaceDE w:val="0"/>
        <w:autoSpaceDN w:val="0"/>
        <w:adjustRightInd w:val="0"/>
        <w:spacing w:line="360" w:lineRule="auto"/>
        <w:rPr>
          <w:rFonts w:ascii="仿宋_GB2312" w:hAnsi="仿宋" w:eastAsia="仿宋_GB2312" w:cs="仿宋_GB2312"/>
          <w:b/>
          <w:bCs/>
          <w:sz w:val="24"/>
          <w:szCs w:val="24"/>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lang w:eastAsia="zh-CN"/>
        </w:rPr>
      </w:pPr>
    </w:p>
    <w:p>
      <w:pPr>
        <w:adjustRightInd w:val="0"/>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w:t>
      </w:r>
      <w:r>
        <w:rPr>
          <w:rFonts w:hint="eastAsia" w:ascii="仿宋_GB2312" w:hAnsi="仿宋" w:eastAsia="仿宋_GB2312" w:cs="仿宋_GB2312"/>
          <w:b/>
          <w:bCs/>
          <w:sz w:val="32"/>
          <w:szCs w:val="32"/>
        </w:rPr>
        <w:t>材料、设备、工具等投入计划</w:t>
      </w:r>
    </w:p>
    <w:p>
      <w:pPr>
        <w:adjustRightInd w:val="0"/>
        <w:spacing w:line="360" w:lineRule="auto"/>
        <w:jc w:val="center"/>
        <w:rPr>
          <w:rFonts w:ascii="仿宋_GB2312" w:hAnsi="仿宋" w:eastAsia="仿宋_GB2312" w:cs="仿宋_GB2312"/>
          <w:b/>
          <w:bCs/>
          <w:sz w:val="24"/>
          <w:szCs w:val="24"/>
        </w:rPr>
      </w:pPr>
      <w:r>
        <w:rPr>
          <w:rFonts w:hint="eastAsia" w:ascii="仿宋_GB2312" w:hAnsi="仿宋" w:eastAsia="仿宋_GB2312" w:cs="仿宋_GB2312"/>
          <w:sz w:val="24"/>
          <w:szCs w:val="24"/>
        </w:rPr>
        <w:t>（由投标人根据采购需求及招标文件要求编制）</w:t>
      </w:r>
    </w:p>
    <w:p>
      <w:pPr>
        <w:autoSpaceDE w:val="0"/>
        <w:autoSpaceDN w:val="0"/>
        <w:adjustRightInd w:val="0"/>
        <w:spacing w:line="360" w:lineRule="auto"/>
        <w:ind w:firstLine="4440" w:firstLineChars="185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投标人名称（电子签名）：</w:t>
      </w:r>
    </w:p>
    <w:p>
      <w:pPr>
        <w:autoSpaceDE w:val="0"/>
        <w:autoSpaceDN w:val="0"/>
        <w:adjustRightInd w:val="0"/>
        <w:spacing w:line="360" w:lineRule="auto"/>
        <w:rPr>
          <w:rFonts w:ascii="仿宋_GB2312" w:hAnsi="仿宋" w:eastAsia="仿宋_GB2312" w:cs="仿宋_GB2312"/>
          <w:kern w:val="0"/>
          <w:sz w:val="24"/>
          <w:szCs w:val="24"/>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autoSpaceDE w:val="0"/>
        <w:autoSpaceDN w:val="0"/>
        <w:spacing w:line="360" w:lineRule="auto"/>
        <w:rPr>
          <w:rFonts w:hint="eastAsia" w:ascii="仿宋" w:hAnsi="仿宋" w:eastAsia="仿宋" w:cs="仿宋"/>
          <w:b/>
          <w:sz w:val="36"/>
          <w:szCs w:val="36"/>
        </w:rPr>
      </w:pPr>
    </w:p>
    <w:p>
      <w:pPr>
        <w:spacing w:line="360" w:lineRule="auto"/>
        <w:jc w:val="both"/>
        <w:rPr>
          <w:rFonts w:hint="eastAsia" w:ascii="仿宋" w:hAnsi="仿宋" w:eastAsia="仿宋" w:cs="仿宋"/>
          <w:b/>
          <w:bCs/>
          <w:sz w:val="32"/>
          <w:szCs w:val="32"/>
          <w:lang w:eastAsia="zh-CN"/>
        </w:rPr>
      </w:pPr>
    </w:p>
    <w:p>
      <w:pPr>
        <w:spacing w:line="360" w:lineRule="auto"/>
        <w:jc w:val="center"/>
        <w:rPr>
          <w:rFonts w:hint="eastAsia" w:ascii="仿宋" w:hAnsi="仿宋" w:eastAsia="仿宋" w:cs="仿宋"/>
          <w:b/>
          <w:bCs/>
          <w:sz w:val="32"/>
          <w:szCs w:val="32"/>
          <w:lang w:eastAsia="zh-CN"/>
        </w:rPr>
      </w:pPr>
    </w:p>
    <w:p>
      <w:pPr>
        <w:adjustRightInd w:val="0"/>
        <w:spacing w:line="360" w:lineRule="auto"/>
        <w:jc w:val="center"/>
        <w:rPr>
          <w:rFonts w:ascii="仿宋_GB2312" w:hAnsi="仿宋" w:eastAsia="仿宋_GB2312" w:cs="仿宋_GB2312"/>
          <w:b/>
          <w:kern w:val="0"/>
          <w:sz w:val="32"/>
          <w:szCs w:val="32"/>
          <w:lang w:val="zh-CN"/>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w:t>
      </w:r>
      <w:r>
        <w:rPr>
          <w:rFonts w:hint="eastAsia" w:ascii="仿宋_GB2312" w:hAnsi="仿宋" w:eastAsia="仿宋_GB2312" w:cs="仿宋_GB2312"/>
          <w:b/>
          <w:kern w:val="0"/>
          <w:sz w:val="32"/>
          <w:szCs w:val="32"/>
          <w:lang w:val="zh-CN"/>
        </w:rPr>
        <w:t>各项服务承诺</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（由投标人根据采购需求及招标文件要求编制）</w:t>
      </w:r>
    </w:p>
    <w:p>
      <w:pPr>
        <w:adjustRightInd w:val="0"/>
        <w:spacing w:line="360" w:lineRule="auto"/>
        <w:jc w:val="center"/>
        <w:rPr>
          <w:rFonts w:ascii="仿宋_GB2312" w:hAnsi="仿宋" w:eastAsia="仿宋_GB2312" w:cs="仿宋_GB2312"/>
          <w:sz w:val="18"/>
          <w:szCs w:val="18"/>
        </w:rPr>
      </w:pPr>
    </w:p>
    <w:p>
      <w:pPr>
        <w:autoSpaceDE w:val="0"/>
        <w:autoSpaceDN w:val="0"/>
        <w:adjustRightInd w:val="0"/>
        <w:spacing w:line="360" w:lineRule="auto"/>
        <w:ind w:firstLine="4440" w:firstLineChars="1850"/>
        <w:rPr>
          <w:rFonts w:ascii="仿宋_GB2312" w:hAnsi="仿宋" w:eastAsia="仿宋_GB2312" w:cs="仿宋_GB2312"/>
          <w:kern w:val="0"/>
          <w:sz w:val="24"/>
          <w:szCs w:val="24"/>
        </w:rPr>
      </w:pPr>
      <w:r>
        <w:rPr>
          <w:rFonts w:hint="eastAsia" w:ascii="仿宋_GB2312" w:hAnsi="仿宋" w:eastAsia="仿宋_GB2312" w:cs="仿宋_GB2312"/>
          <w:kern w:val="0"/>
          <w:sz w:val="24"/>
          <w:szCs w:val="24"/>
        </w:rPr>
        <w:t>投标人名称（电子签名）：</w:t>
      </w:r>
    </w:p>
    <w:p>
      <w:pPr>
        <w:autoSpaceDE w:val="0"/>
        <w:autoSpaceDN w:val="0"/>
        <w:adjustRightInd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autoSpaceDE w:val="0"/>
        <w:autoSpaceDN w:val="0"/>
        <w:spacing w:line="360" w:lineRule="auto"/>
        <w:rPr>
          <w:rFonts w:hint="eastAsia" w:ascii="仿宋" w:hAnsi="仿宋" w:eastAsia="仿宋" w:cs="仿宋"/>
          <w:b/>
          <w:bCs/>
          <w:sz w:val="18"/>
          <w:szCs w:val="18"/>
        </w:rPr>
      </w:pPr>
    </w:p>
    <w:p>
      <w:pPr>
        <w:spacing w:line="360" w:lineRule="auto"/>
        <w:jc w:val="both"/>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adjustRightInd w:val="0"/>
        <w:spacing w:line="360" w:lineRule="auto"/>
        <w:jc w:val="center"/>
        <w:rPr>
          <w:rFonts w:ascii="仿宋_GB2312" w:hAnsi="仿宋" w:eastAsia="仿宋_GB2312" w:cs="仿宋_GB2312"/>
          <w:b/>
          <w:bCs/>
          <w:sz w:val="32"/>
          <w:szCs w:val="32"/>
        </w:rPr>
      </w:pPr>
      <w:r>
        <w:rPr>
          <w:rFonts w:hint="eastAsia" w:ascii="仿宋" w:hAnsi="仿宋" w:eastAsia="仿宋" w:cs="仿宋"/>
          <w:b/>
          <w:bCs/>
          <w:sz w:val="32"/>
          <w:szCs w:val="32"/>
        </w:rPr>
        <w:t>十、</w:t>
      </w:r>
      <w:r>
        <w:rPr>
          <w:rFonts w:hint="eastAsia" w:ascii="仿宋_GB2312" w:hAnsi="仿宋" w:eastAsia="仿宋_GB2312" w:cs="仿宋_GB2312"/>
          <w:b/>
          <w:bCs/>
          <w:sz w:val="32"/>
          <w:szCs w:val="32"/>
        </w:rPr>
        <w:t>认为需要的其他技术文件或说明</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（由投标人根据采购需求自行编制）</w:t>
      </w:r>
    </w:p>
    <w:p>
      <w:pPr>
        <w:adjustRightInd w:val="0"/>
        <w:spacing w:line="360" w:lineRule="auto"/>
        <w:jc w:val="center"/>
        <w:rPr>
          <w:rFonts w:ascii="仿宋_GB2312" w:hAnsi="仿宋" w:eastAsia="仿宋_GB2312" w:cs="仿宋_GB2312"/>
          <w:sz w:val="24"/>
          <w:szCs w:val="24"/>
        </w:rPr>
      </w:pPr>
    </w:p>
    <w:p>
      <w:pPr>
        <w:autoSpaceDE w:val="0"/>
        <w:autoSpaceDN w:val="0"/>
        <w:adjustRightInd w:val="0"/>
        <w:spacing w:line="360" w:lineRule="auto"/>
        <w:ind w:firstLine="4800" w:firstLineChars="2000"/>
        <w:rPr>
          <w:rFonts w:ascii="仿宋_GB2312" w:hAnsi="仿宋" w:eastAsia="仿宋_GB2312" w:cs="仿宋_GB2312"/>
          <w:sz w:val="24"/>
          <w:szCs w:val="24"/>
        </w:rPr>
      </w:pPr>
      <w:r>
        <w:rPr>
          <w:rFonts w:hint="eastAsia" w:ascii="仿宋_GB2312" w:hAnsi="仿宋" w:eastAsia="仿宋_GB2312" w:cs="仿宋_GB2312"/>
          <w:kern w:val="0"/>
          <w:sz w:val="24"/>
          <w:szCs w:val="24"/>
        </w:rPr>
        <w:t xml:space="preserve">投标人名称（电子签名）：                       </w:t>
      </w:r>
    </w:p>
    <w:p>
      <w:pPr>
        <w:autoSpaceDE w:val="0"/>
        <w:autoSpaceDN w:val="0"/>
        <w:adjustRightInd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szCs w:val="24"/>
        </w:rPr>
        <w:t xml:space="preserve">                                        </w:t>
      </w:r>
      <w:r>
        <w:rPr>
          <w:rFonts w:hint="eastAsia" w:ascii="仿宋_GB2312" w:hAnsi="仿宋" w:eastAsia="仿宋_GB2312" w:cs="仿宋_GB2312"/>
          <w:kern w:val="0"/>
          <w:sz w:val="24"/>
          <w:szCs w:val="24"/>
          <w:lang w:val="zh-CN"/>
        </w:rPr>
        <w:t>日期：  年  月   日</w:t>
      </w:r>
    </w:p>
    <w:p>
      <w:pPr>
        <w:adjustRightInd w:val="0"/>
        <w:spacing w:line="360" w:lineRule="auto"/>
        <w:jc w:val="center"/>
        <w:rPr>
          <w:rFonts w:ascii="仿宋_GB2312" w:hAnsi="仿宋" w:eastAsia="仿宋_GB2312" w:cs="仿宋_GB2312"/>
          <w:b/>
          <w:bCs/>
          <w:sz w:val="30"/>
          <w:szCs w:val="30"/>
        </w:rPr>
      </w:pPr>
    </w:p>
    <w:p>
      <w:pPr>
        <w:adjustRightInd w:val="0"/>
        <w:spacing w:line="360" w:lineRule="auto"/>
        <w:jc w:val="center"/>
        <w:rPr>
          <w:rFonts w:ascii="仿宋_GB2312" w:hAnsi="仿宋" w:eastAsia="仿宋_GB2312" w:cs="仿宋_GB2312"/>
          <w:b/>
          <w:bCs/>
          <w:sz w:val="30"/>
          <w:szCs w:val="30"/>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adjustRightInd w:val="0"/>
        <w:spacing w:line="360" w:lineRule="auto"/>
        <w:jc w:val="center"/>
        <w:rPr>
          <w:rFonts w:ascii="仿宋_GB2312" w:hAnsi="仿宋" w:eastAsia="仿宋_GB2312" w:cs="仿宋_GB2312"/>
          <w:b/>
          <w:kern w:val="0"/>
          <w:sz w:val="30"/>
          <w:szCs w:val="30"/>
          <w:lang w:val="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_GB2312" w:hAnsi="仿宋" w:eastAsia="仿宋_GB2312" w:cs="仿宋_GB2312"/>
          <w:b/>
          <w:bCs/>
          <w:sz w:val="30"/>
          <w:szCs w:val="30"/>
        </w:rPr>
        <w:t>关于</w:t>
      </w:r>
      <w:r>
        <w:rPr>
          <w:rFonts w:hint="eastAsia" w:ascii="仿宋_GB2312" w:hAnsi="仿宋" w:eastAsia="仿宋_GB2312" w:cs="仿宋_GB2312"/>
          <w:b/>
          <w:kern w:val="0"/>
          <w:sz w:val="30"/>
          <w:szCs w:val="30"/>
          <w:lang w:val="zh-CN"/>
        </w:rPr>
        <w:t>对招标文件中有关商务、合同条款的拒绝声明</w:t>
      </w:r>
    </w:p>
    <w:p>
      <w:pPr>
        <w:adjustRightIn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（由投标人根据采购需求自行编制）</w:t>
      </w:r>
    </w:p>
    <w:p>
      <w:pPr>
        <w:adjustRightInd w:val="0"/>
        <w:spacing w:line="360" w:lineRule="auto"/>
        <w:rPr>
          <w:rFonts w:ascii="仿宋_GB2312" w:hAnsi="仿宋" w:eastAsia="仿宋_GB2312" w:cs="仿宋_GB2312"/>
          <w:sz w:val="24"/>
          <w:szCs w:val="24"/>
        </w:rPr>
      </w:pPr>
    </w:p>
    <w:p>
      <w:pPr>
        <w:autoSpaceDE w:val="0"/>
        <w:autoSpaceDN w:val="0"/>
        <w:adjustRightInd w:val="0"/>
        <w:spacing w:line="360" w:lineRule="auto"/>
        <w:ind w:firstLine="5040" w:firstLineChars="2100"/>
        <w:rPr>
          <w:rFonts w:ascii="仿宋_GB2312" w:hAnsi="仿宋" w:eastAsia="仿宋_GB2312" w:cs="仿宋_GB2312"/>
          <w:kern w:val="0"/>
          <w:sz w:val="24"/>
          <w:szCs w:val="24"/>
        </w:rPr>
      </w:pPr>
      <w:r>
        <w:rPr>
          <w:rFonts w:hint="eastAsia" w:ascii="仿宋_GB2312" w:hAnsi="仿宋" w:eastAsia="仿宋_GB2312" w:cs="仿宋_GB2312"/>
          <w:kern w:val="0"/>
          <w:sz w:val="24"/>
          <w:szCs w:val="24"/>
          <w:lang w:val="zh-CN"/>
        </w:rPr>
        <w:t xml:space="preserve">投标人名称（电子签名）：      </w:t>
      </w:r>
    </w:p>
    <w:p>
      <w:pPr>
        <w:autoSpaceDE w:val="0"/>
        <w:autoSpaceDN w:val="0"/>
        <w:adjustRightInd w:val="0"/>
        <w:spacing w:line="360" w:lineRule="auto"/>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pStyle w:val="78"/>
        <w:rPr>
          <w:rFonts w:hint="eastAsia" w:ascii="仿宋_GB2312" w:hAnsi="仿宋" w:eastAsia="仿宋_GB2312" w:cs="仿宋_GB2312"/>
          <w:kern w:val="0"/>
          <w:sz w:val="24"/>
          <w:szCs w:val="24"/>
          <w:lang w:val="zh-CN"/>
        </w:rPr>
      </w:pPr>
    </w:p>
    <w:p>
      <w:pPr>
        <w:pStyle w:val="78"/>
        <w:rPr>
          <w:rFonts w:hint="eastAsia" w:ascii="仿宋_GB2312" w:hAnsi="仿宋" w:eastAsia="仿宋_GB2312" w:cs="仿宋_GB2312"/>
          <w:kern w:val="0"/>
          <w:sz w:val="24"/>
          <w:szCs w:val="24"/>
          <w:lang w:val="zh-CN"/>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_GB2312" w:hAnsi="仿宋" w:eastAsia="仿宋_GB2312" w:cs="仿宋_GB2312"/>
          <w:b/>
          <w:bCs/>
          <w:sz w:val="30"/>
          <w:szCs w:val="30"/>
        </w:rPr>
        <w:t>廉政承诺书</w:t>
      </w:r>
    </w:p>
    <w:p>
      <w:pPr>
        <w:autoSpaceDE w:val="0"/>
        <w:autoSpaceDN w:val="0"/>
        <w:spacing w:line="360" w:lineRule="auto"/>
        <w:jc w:val="left"/>
        <w:rPr>
          <w:rFonts w:ascii="仿宋_GB2312" w:hAnsi="仿宋_GB2312" w:eastAsia="仿宋_GB2312" w:cs="仿宋_GB2312"/>
          <w:kern w:val="0"/>
          <w:sz w:val="24"/>
          <w:szCs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rFonts w:ascii="Times New Roman" w:hAnsi="Times New Roman" w:eastAsia="宋体" w:cs="Times New Roman"/>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78"/>
        <w:rPr>
          <w:rFonts w:hint="eastAsia"/>
        </w:rPr>
      </w:pPr>
    </w:p>
    <w:p>
      <w:pPr>
        <w:pStyle w:val="3"/>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bookmarkStart w:id="615" w:name="_Toc465665161"/>
      <w:r>
        <w:rPr>
          <w:rFonts w:hint="eastAsia" w:ascii="仿宋" w:hAnsi="仿宋" w:eastAsia="仿宋" w:cs="仿宋"/>
        </w:rPr>
        <w:t>附件</w:t>
      </w:r>
      <w:bookmarkEnd w:id="615"/>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616" w:name="OLE_LINK14"/>
      <w:bookmarkStart w:id="617" w:name="OLE_LINK13"/>
      <w:r>
        <w:rPr>
          <w:rFonts w:hint="eastAsia" w:ascii="仿宋" w:hAnsi="仿宋" w:eastAsia="仿宋" w:cs="仿宋"/>
          <w:b/>
          <w:spacing w:val="6"/>
          <w:sz w:val="32"/>
          <w:szCs w:val="32"/>
        </w:rPr>
        <w:t>残疾人福利性单位声明函</w:t>
      </w:r>
    </w:p>
    <w:bookmarkEnd w:id="616"/>
    <w:bookmarkEnd w:id="61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24"/>
        <w:jc w:val="both"/>
        <w:rPr>
          <w:rFonts w:hint="eastAsia" w:ascii="仿宋" w:hAnsi="仿宋" w:eastAsia="仿宋" w:cs="仿宋"/>
          <w:b/>
          <w:bCs/>
          <w:sz w:val="32"/>
          <w:szCs w:val="32"/>
          <w:lang w:val="en-US" w:eastAsia="zh-CN"/>
        </w:rPr>
      </w:pPr>
    </w:p>
    <w:p>
      <w:pPr>
        <w:pStyle w:val="24"/>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附件2（开标记录开启后，请将此附件填写完整发送至邮箱：649656585@qq.com）：</w:t>
      </w:r>
    </w:p>
    <w:p>
      <w:pPr>
        <w:pStyle w:val="24"/>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杭州市公共资源交易中心临安分中心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pStyle w:val="24"/>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 ____________（授权代表姓名），经由______________________________（单位） ____________ （法定代表人姓名）合法授权参加</w:t>
      </w:r>
      <w:r>
        <w:rPr>
          <w:rFonts w:hint="eastAsia" w:ascii="仿宋" w:hAnsi="仿宋" w:eastAsia="仿宋" w:cs="仿宋"/>
          <w:sz w:val="24"/>
          <w:szCs w:val="24"/>
          <w:lang w:eastAsia="zh-CN"/>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w:t>
      </w:r>
      <w:r>
        <w:rPr>
          <w:rFonts w:hint="eastAsia" w:ascii="仿宋" w:hAnsi="仿宋" w:eastAsia="仿宋" w:cs="仿宋"/>
          <w:sz w:val="24"/>
          <w:szCs w:val="24"/>
          <w:lang w:eastAsia="zh-CN"/>
        </w:rPr>
        <w:t>。</w:t>
      </w:r>
      <w:r>
        <w:rPr>
          <w:rFonts w:hint="eastAsia" w:ascii="仿宋" w:hAnsi="仿宋" w:eastAsia="仿宋" w:cs="仿宋"/>
          <w:sz w:val="24"/>
          <w:szCs w:val="24"/>
        </w:rPr>
        <w:t xml:space="preserve">经与本单位法人代表（负责人）联系确认，现就有关公平竞争事项郑重声明如下: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本单位与采购人之间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不存在利害关系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存在下列利害关系:</w:t>
      </w:r>
    </w:p>
    <w:p>
      <w:pPr>
        <w:pStyle w:val="24"/>
        <w:keepNext w:val="0"/>
        <w:keepLines w:val="0"/>
        <w:pageBreakBefore w:val="0"/>
        <w:widowControl w:val="0"/>
        <w:numPr>
          <w:ilvl w:val="0"/>
          <w:numId w:val="29"/>
        </w:numPr>
        <w:kinsoku/>
        <w:wordWrap/>
        <w:overflowPunct/>
        <w:topLinePunct w:val="0"/>
        <w:autoSpaceDE w:val="0"/>
        <w:autoSpaceDN w:val="0"/>
        <w:bidi w:val="0"/>
        <w:adjustRightInd w:val="0"/>
        <w:snapToGrid/>
        <w:spacing w:line="360" w:lineRule="exact"/>
        <w:ind w:left="12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投资关系 B．行政隶属关系 C．业务指导关系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120" w:leftChars="0"/>
        <w:textAlignment w:val="auto"/>
        <w:rPr>
          <w:rFonts w:hint="eastAsia" w:ascii="仿宋" w:hAnsi="仿宋" w:eastAsia="仿宋" w:cs="仿宋"/>
          <w:sz w:val="24"/>
          <w:szCs w:val="24"/>
        </w:rPr>
      </w:pPr>
      <w:r>
        <w:rPr>
          <w:rFonts w:hint="eastAsia" w:ascii="仿宋" w:hAnsi="仿宋" w:eastAsia="仿宋" w:cs="仿宋"/>
          <w:sz w:val="24"/>
          <w:szCs w:val="24"/>
        </w:rPr>
        <w:t>D．其他可能影响采购公正的利害关系（如有，请如实说明）。</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二、现己清楚知道参加本项目采购活动的其他所有供应商名称，本单位</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与其他所有供应商之间均不存在利害关系</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 xml:space="preserve">与______________（供应商名称）之间存在下列利害关系: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A．法定代表人或负责人或实际控制人是同一人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B．法定代表人或负责人或实际控制人是夫妻关系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C．法定代表人或负责人或实际控制人是直系血亲关系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D．法定代表人或负责人或实际控制人存在三代以内旁系血亲关系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E．法定代表人或负责人或实际控制人存在近姻亲关系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F．法定代表人或负责人或实际控制人存在股份控制或实际控制关系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G．存在共同直接或间接投资设立子公司、联营企业和合营企业情况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H．存在分级代理或代销关系、同一生产制造商关系、管理关系、重要业务（占主营业务收入 50 ％以上）或重要财务 往来关系（如融资）等其他实质性控制关系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I．其他利害关系情况 ________________________________________。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三、现己清楚知道并严格遵守政府采购法律法规。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四、我发现 ____________________供应商之间存在或可能存在上述第二条第 ____________项利害关系。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kern w:val="0"/>
          <w:sz w:val="24"/>
          <w:lang w:val="zh-CN"/>
        </w:rPr>
        <w:t>名称（签章）：</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sz w:val="24"/>
          <w:szCs w:val="24"/>
        </w:rPr>
      </w:pPr>
      <w:r>
        <w:rPr>
          <w:rFonts w:hint="eastAsia" w:ascii="仿宋" w:hAnsi="仿宋" w:eastAsia="仿宋" w:cs="仿宋"/>
          <w:sz w:val="24"/>
          <w:szCs w:val="24"/>
        </w:rPr>
        <w:t>供应商代表</w:t>
      </w:r>
      <w:r>
        <w:rPr>
          <w:rFonts w:hint="eastAsia" w:ascii="仿宋" w:hAnsi="仿宋" w:eastAsia="仿宋" w:cs="仿宋"/>
          <w:sz w:val="24"/>
          <w:szCs w:val="24"/>
          <w:lang w:val="en-US" w:eastAsia="zh-CN"/>
        </w:rPr>
        <w:t>(</w:t>
      </w:r>
      <w:r>
        <w:rPr>
          <w:rFonts w:hint="eastAsia" w:ascii="仿宋" w:hAnsi="仿宋" w:eastAsia="仿宋" w:cs="仿宋"/>
          <w:sz w:val="24"/>
          <w:szCs w:val="24"/>
        </w:rPr>
        <w:t>签名</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760" w:firstLineChars="2400"/>
        <w:textAlignment w:val="auto"/>
        <w:rPr>
          <w:rFonts w:hint="eastAsia" w:ascii="仿宋" w:hAnsi="仿宋" w:eastAsia="仿宋" w:cs="仿宋"/>
          <w:b/>
          <w:spacing w:val="6"/>
          <w:sz w:val="32"/>
          <w:szCs w:val="32"/>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pStyle w:val="78"/>
        <w:rPr>
          <w:rFonts w:hint="eastAsia"/>
        </w:rPr>
      </w:pPr>
    </w:p>
    <w:p>
      <w:pPr>
        <w:spacing w:beforeLines="50" w:beforeAutospacing="0" w:afterLines="50" w:afterAutospacing="0" w:line="240" w:lineRule="auto"/>
        <w:jc w:val="both"/>
        <w:rPr>
          <w:rFonts w:hint="eastAsia" w:ascii="仿宋" w:hAnsi="仿宋" w:eastAsia="仿宋" w:cs="仿宋"/>
          <w:b/>
          <w:bCs/>
          <w:snapToGrid w:val="0"/>
          <w:kern w:val="2"/>
          <w:sz w:val="32"/>
          <w:szCs w:val="32"/>
          <w:lang w:val="en-US" w:eastAsia="zh-CN" w:bidi="ar-SA"/>
        </w:rPr>
      </w:pPr>
      <w:r>
        <w:rPr>
          <w:rFonts w:hint="eastAsia" w:ascii="仿宋" w:hAnsi="仿宋" w:eastAsia="仿宋" w:cs="仿宋"/>
          <w:b/>
          <w:bCs/>
          <w:snapToGrid w:val="0"/>
          <w:kern w:val="2"/>
          <w:sz w:val="32"/>
          <w:szCs w:val="32"/>
          <w:lang w:val="en-US" w:eastAsia="zh-CN" w:bidi="ar-SA"/>
        </w:rPr>
        <w:t>附件3：成本测算表</w:t>
      </w:r>
    </w:p>
    <w:p>
      <w:pPr>
        <w:spacing w:beforeLines="50" w:beforeAutospacing="0" w:afterLines="50" w:afterAutospacing="0" w:line="24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val="en-US" w:eastAsia="zh-CN"/>
        </w:rPr>
        <w:t>1.</w:t>
      </w:r>
      <w:r>
        <w:rPr>
          <w:rFonts w:hint="eastAsia" w:ascii="仿宋_GB2312" w:hAnsi="仿宋_GB2312" w:eastAsia="仿宋_GB2312" w:cs="仿宋_GB2312"/>
          <w:b/>
          <w:sz w:val="36"/>
          <w:szCs w:val="36"/>
        </w:rPr>
        <w:t>服务内容成本测算表</w:t>
      </w:r>
    </w:p>
    <w:p>
      <w:pPr>
        <w:pStyle w:val="33"/>
        <w:spacing w:beforeLines="100" w:beforeAutospacing="0" w:afterLines="50" w:afterAutospacing="0"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金额单位：元</w:t>
      </w:r>
    </w:p>
    <w:tbl>
      <w:tblPr>
        <w:tblStyle w:val="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
        <w:gridCol w:w="2842"/>
        <w:gridCol w:w="5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一、直接成本</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1、工人工资</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2、工资附加</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二、管理费用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1工资、福利费用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2、保险费用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3、办公费用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4、其他应交税费</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三、财务费用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四、管理费用</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六、税金</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53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成本合计</w:t>
            </w:r>
          </w:p>
        </w:tc>
        <w:tc>
          <w:tcPr>
            <w:tcW w:w="2969" w:type="pct"/>
          </w:tcPr>
          <w:p>
            <w:pPr>
              <w:pStyle w:val="33"/>
              <w:spacing w:line="240" w:lineRule="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500" w:type="pct"/>
            <w:vAlign w:val="center"/>
          </w:tcPr>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30" w:type="pct"/>
            <w:vAlign w:val="center"/>
          </w:tcPr>
          <w:p>
            <w:pPr>
              <w:pStyle w:val="25"/>
              <w:spacing w:before="0" w:beforeAutospacing="0" w:after="0" w:afterAutospacing="0" w:line="240" w:lineRule="auto"/>
              <w:ind w:firstLine="0"/>
              <w:rPr>
                <w:rFonts w:hint="eastAsia" w:ascii="仿宋_GB2312" w:hAnsi="仿宋_GB2312" w:eastAsia="仿宋_GB2312" w:cs="仿宋_GB2312"/>
                <w:b/>
                <w:szCs w:val="24"/>
              </w:rPr>
            </w:pPr>
            <w:r>
              <w:rPr>
                <w:rFonts w:hint="eastAsia" w:ascii="仿宋_GB2312" w:hAnsi="仿宋_GB2312" w:eastAsia="仿宋_GB2312" w:cs="仿宋_GB2312"/>
                <w:b/>
                <w:szCs w:val="24"/>
              </w:rPr>
              <w:t>备注说明：</w:t>
            </w:r>
          </w:p>
        </w:tc>
        <w:tc>
          <w:tcPr>
            <w:tcW w:w="2969" w:type="pct"/>
          </w:tcPr>
          <w:p>
            <w:pPr>
              <w:pStyle w:val="33"/>
              <w:spacing w:line="240" w:lineRule="auto"/>
              <w:rPr>
                <w:rFonts w:hint="eastAsia" w:ascii="仿宋_GB2312" w:hAnsi="仿宋_GB2312" w:eastAsia="仿宋_GB2312" w:cs="仿宋_GB2312"/>
                <w:sz w:val="24"/>
                <w:szCs w:val="24"/>
              </w:rPr>
            </w:pPr>
          </w:p>
        </w:tc>
      </w:tr>
    </w:tbl>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说明：1.供应商可结合企业实际对表内项目进行适当调整，但要求能真实、准确地反映企业成本</w:t>
      </w:r>
    </w:p>
    <w:p>
      <w:pPr>
        <w:pStyle w:val="33"/>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 一个服务内容的成本用一张成本表罗列，投标供应商根据项目服务内容范围自行增加。 </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投标供应商名称（盖章）：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法定代表人或授权代表（签字）：                </w:t>
      </w:r>
    </w:p>
    <w:p>
      <w:pPr>
        <w:adjustRightInd w:val="0"/>
        <w:spacing w:before="0" w:beforeAutospacing="0" w:after="0" w:afterAutospacing="0" w:line="240" w:lineRule="auto"/>
        <w:ind w:right="480"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投标日期:</w:t>
      </w: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36"/>
          <w:szCs w:val="36"/>
          <w:lang w:val="en-US" w:eastAsia="zh-CN"/>
        </w:rPr>
      </w:pPr>
    </w:p>
    <w:p>
      <w:pPr>
        <w:spacing w:beforeLines="50" w:beforeAutospacing="0" w:afterLines="50" w:afterAutospacing="0" w:line="24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36"/>
          <w:szCs w:val="36"/>
          <w:lang w:val="en-US" w:eastAsia="zh-CN"/>
        </w:rPr>
        <w:t>2.</w:t>
      </w:r>
      <w:r>
        <w:rPr>
          <w:rFonts w:hint="eastAsia" w:ascii="仿宋_GB2312" w:hAnsi="仿宋_GB2312" w:eastAsia="仿宋_GB2312" w:cs="仿宋_GB2312"/>
          <w:b/>
          <w:sz w:val="36"/>
          <w:szCs w:val="36"/>
        </w:rPr>
        <w:t>项目成本汇总表</w:t>
      </w:r>
    </w:p>
    <w:p>
      <w:pPr>
        <w:spacing w:beforeLines="50" w:beforeAutospacing="0" w:afterLines="50" w:afterAutospacing="0" w:line="240" w:lineRule="auto"/>
        <w:rPr>
          <w:rFonts w:hint="eastAsia" w:ascii="仿宋_GB2312" w:hAnsi="仿宋_GB2312" w:eastAsia="仿宋_GB2312" w:cs="仿宋_GB2312"/>
          <w:sz w:val="24"/>
        </w:rPr>
      </w:pPr>
      <w:r>
        <w:rPr>
          <w:rFonts w:hint="eastAsia" w:ascii="仿宋_GB2312" w:hAnsi="仿宋_GB2312" w:eastAsia="仿宋_GB2312" w:cs="仿宋_GB2312"/>
          <w:sz w:val="24"/>
        </w:rPr>
        <w:t>项目名称                                             品目编号/品目名称</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1628"/>
        <w:gridCol w:w="1628"/>
        <w:gridCol w:w="964"/>
        <w:gridCol w:w="2627"/>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877"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服务内容</w:t>
            </w:r>
          </w:p>
        </w:tc>
        <w:tc>
          <w:tcPr>
            <w:tcW w:w="877"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质量标准</w:t>
            </w:r>
          </w:p>
        </w:tc>
        <w:tc>
          <w:tcPr>
            <w:tcW w:w="519" w:type="pct"/>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415" w:type="pct"/>
            <w:tcBorders>
              <w:right w:val="single" w:color="auto" w:sz="4" w:space="0"/>
            </w:tcBorders>
            <w:vAlign w:val="center"/>
          </w:tcPr>
          <w:p>
            <w:pPr>
              <w:spacing w:beforeLines="50" w:beforeAutospacing="0" w:afterLines="50" w:afterAutospacing="0" w:line="24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成本总计（元）</w:t>
            </w:r>
          </w:p>
        </w:tc>
        <w:tc>
          <w:tcPr>
            <w:tcW w:w="790" w:type="pct"/>
            <w:tcBorders>
              <w:left w:val="single" w:color="auto" w:sz="4" w:space="0"/>
            </w:tcBorders>
            <w:vAlign w:val="center"/>
          </w:tcPr>
          <w:p>
            <w:pPr>
              <w:pStyle w:val="25"/>
              <w:spacing w:before="0" w:beforeAutospacing="0" w:after="0" w:afterAutospacing="0" w:line="240" w:lineRule="auto"/>
              <w:ind w:left="0" w:leftChars="0" w:firstLine="0" w:firstLineChars="0"/>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备注说明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877"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p>
        </w:tc>
        <w:tc>
          <w:tcPr>
            <w:tcW w:w="1415" w:type="pct"/>
            <w:tcBorders>
              <w:righ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c>
          <w:tcPr>
            <w:tcW w:w="790" w:type="pct"/>
            <w:tcBorders>
              <w:left w:val="single" w:color="auto" w:sz="4" w:space="0"/>
            </w:tcBorders>
          </w:tcPr>
          <w:p>
            <w:pPr>
              <w:spacing w:beforeLines="50" w:beforeAutospacing="0" w:afterLines="50" w:afterAutospacing="0" w:line="240" w:lineRule="auto"/>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9" w:type="pct"/>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4480" w:type="pct"/>
            <w:gridSpan w:val="5"/>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其他项目成本：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6"/>
          </w:tcPr>
          <w:p>
            <w:pPr>
              <w:spacing w:beforeLines="50" w:beforeAutospacing="0" w:afterLines="50" w:afterAutospacing="0" w:line="240"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项目成本总计（人民币/元）   大写：                        小写：</w:t>
            </w:r>
          </w:p>
        </w:tc>
      </w:tr>
    </w:tbl>
    <w:p>
      <w:pPr>
        <w:spacing w:beforeLines="50" w:beforeAutospacing="0" w:afterLines="50" w:afterAutospacing="0" w:line="240" w:lineRule="auto"/>
        <w:ind w:firstLine="480" w:firstLineChars="200"/>
        <w:rPr>
          <w:rFonts w:hint="eastAsia" w:ascii="仿宋_GB2312" w:hAnsi="仿宋_GB2312" w:eastAsia="仿宋_GB2312" w:cs="仿宋_GB2312"/>
          <w:sz w:val="24"/>
        </w:rPr>
      </w:pP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投标供应商名称（盖章）：</w:t>
      </w:r>
    </w:p>
    <w:p>
      <w:pPr>
        <w:adjustRightInd w:val="0"/>
        <w:spacing w:before="0" w:beforeAutospacing="0" w:after="0" w:afterAutospacing="0" w:line="240" w:lineRule="auto"/>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法定代表人或授权代表（签字）：                </w:t>
      </w:r>
    </w:p>
    <w:p>
      <w:pPr>
        <w:adjustRightInd w:val="0"/>
        <w:spacing w:before="0" w:beforeAutospacing="0" w:after="0" w:afterAutospacing="0" w:line="240" w:lineRule="auto"/>
        <w:ind w:right="48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投标日期：</w:t>
      </w:r>
    </w:p>
    <w:p>
      <w:pPr>
        <w:widowControl/>
        <w:spacing w:beforeLines="100" w:beforeAutospacing="0" w:afterLines="50" w:afterAutospacing="0" w:line="240" w:lineRule="auto"/>
        <w:jc w:val="left"/>
        <w:rPr>
          <w:rFonts w:hint="eastAsia" w:ascii="仿宋_GB2312" w:hAnsi="仿宋_GB2312" w:eastAsia="仿宋_GB2312" w:cs="仿宋_GB2312"/>
          <w:sz w:val="24"/>
        </w:rPr>
      </w:pPr>
    </w:p>
    <w:p>
      <w:pPr>
        <w:widowControl/>
        <w:spacing w:beforeLines="100" w:beforeAutospacing="0" w:afterLines="50" w:afterAutospacing="0" w:line="240" w:lineRule="auto"/>
        <w:jc w:val="left"/>
        <w:rPr>
          <w:rFonts w:asciiTheme="minorEastAsia" w:hAnsiTheme="minorEastAsia" w:eastAsiaTheme="minorEastAsia" w:cstheme="minorEastAsia"/>
          <w:sz w:val="24"/>
        </w:rPr>
      </w:pPr>
    </w:p>
    <w:p>
      <w:pPr>
        <w:spacing w:line="240" w:lineRule="auto"/>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pStyle w:val="78"/>
        <w:rPr>
          <w:rFonts w:asciiTheme="minorEastAsia" w:hAnsiTheme="minorEastAsia" w:eastAsiaTheme="minorEastAsia" w:cstheme="minorEastAsia"/>
          <w:b/>
          <w:sz w:val="24"/>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5</w:t>
      </w:r>
      <w:r>
        <w:rPr>
          <w:rFonts w:hint="eastAsia" w:ascii="仿宋" w:hAnsi="仿宋" w:eastAsia="仿宋" w:cs="仿宋"/>
          <w:b/>
          <w:spacing w:val="6"/>
          <w:sz w:val="32"/>
          <w:szCs w:val="32"/>
        </w:rPr>
        <w:t>：投诉书范本及制作说明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r>
        <w:rPr>
          <w:rFonts w:hint="eastAsia" w:ascii="仿宋" w:hAnsi="仿宋" w:eastAsia="仿宋" w:cs="仿宋"/>
          <w:sz w:val="24"/>
          <w:lang w:eastAsia="zh-CN"/>
        </w:rPr>
        <w:t>。</w:t>
      </w:r>
    </w:p>
    <w:p>
      <w:pPr>
        <w:jc w:val="left"/>
        <w:rPr>
          <w:rFonts w:hint="eastAsia" w:ascii="仿宋" w:hAnsi="仿宋" w:eastAsia="仿宋" w:cs="仿宋"/>
          <w:b/>
          <w:spacing w:val="6"/>
          <w:sz w:val="32"/>
          <w:szCs w:val="32"/>
        </w:rPr>
      </w:pPr>
    </w:p>
    <w:p>
      <w:pPr>
        <w:jc w:val="left"/>
        <w:rPr>
          <w:rFonts w:hint="eastAsia" w:ascii="仿宋" w:hAnsi="仿宋" w:eastAsia="仿宋" w:cs="仿宋"/>
          <w:b/>
          <w:spacing w:val="6"/>
          <w:sz w:val="32"/>
          <w:szCs w:val="32"/>
        </w:rPr>
      </w:pPr>
    </w:p>
    <w:p>
      <w:pPr>
        <w:jc w:val="left"/>
        <w:rPr>
          <w:rFonts w:hint="eastAsia" w:ascii="仿宋" w:hAnsi="仿宋" w:eastAsia="仿宋" w:cs="仿宋"/>
          <w:sz w:val="28"/>
          <w:szCs w:val="28"/>
          <w:lang w:eastAsia="zh-CN"/>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sz w:val="28"/>
          <w:szCs w:val="28"/>
          <w:lang w:eastAsia="zh-CN"/>
        </w:rPr>
        <w:t>：</w:t>
      </w: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57"/>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932"/>
        <w:numPr>
          <w:ilvl w:val="0"/>
          <w:numId w:val="0"/>
        </w:numPr>
        <w:jc w:val="both"/>
        <w:rPr>
          <w:rFonts w:hint="eastAsia" w:ascii="仿宋" w:hAnsi="仿宋" w:eastAsia="仿宋" w:cs="仿宋"/>
          <w:b/>
          <w:sz w:val="36"/>
          <w:szCs w:val="36"/>
        </w:rPr>
      </w:pPr>
    </w:p>
    <w:p>
      <w:pPr>
        <w:pStyle w:val="24"/>
        <w:rPr>
          <w:rFonts w:hint="eastAsia" w:ascii="仿宋" w:hAnsi="仿宋" w:eastAsia="仿宋" w:cs="仿宋"/>
          <w:b/>
          <w:bCs/>
          <w:sz w:val="24"/>
        </w:rPr>
      </w:pPr>
    </w:p>
    <w:p/>
    <w:sectPr>
      <w:headerReference r:id="rId15" w:type="first"/>
      <w:footerReference r:id="rId18" w:type="first"/>
      <w:headerReference r:id="rId14" w:type="default"/>
      <w:footerReference r:id="rId16" w:type="default"/>
      <w:footerReference r:id="rId17" w:type="even"/>
      <w:pgSz w:w="11906" w:h="16838"/>
      <w:pgMar w:top="1440" w:right="1417" w:bottom="1440"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1"/>
      </w:rPr>
    </w:pPr>
    <w:r>
      <w:fldChar w:fldCharType="begin"/>
    </w:r>
    <w:r>
      <w:rPr>
        <w:rStyle w:val="71"/>
      </w:rPr>
      <w:instrText xml:space="preserve">PAGE  </w:instrText>
    </w:r>
    <w:r>
      <w:fldChar w:fldCharType="end"/>
    </w:r>
  </w:p>
  <w:p>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618" w:name="_Toc36110187"/>
    <w:bookmarkStart w:id="619" w:name="_Toc131845147"/>
    <w:bookmarkStart w:id="620" w:name="_Toc91899912"/>
    <w:bookmarkStart w:id="621" w:name="_Toc164085800"/>
    <w:r>
      <w:rPr>
        <w:rFonts w:hint="eastAsia" w:ascii="仿宋_GB2312" w:eastAsia="仿宋_GB2312"/>
        <w:kern w:val="0"/>
        <w:szCs w:val="21"/>
      </w:rPr>
      <w:t xml:space="preserve"> 页</w:t>
    </w:r>
    <w:bookmarkEnd w:id="618"/>
    <w:bookmarkEnd w:id="619"/>
    <w:bookmarkEnd w:id="620"/>
    <w:bookmarkEnd w:id="62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杭州市临安区政府采购公开招标文件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lang w:val="en-US" w:eastAsia="zh-CN"/>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杭州市</w:t>
    </w:r>
    <w:r>
      <w:rPr>
        <w:rFonts w:hint="eastAsia"/>
        <w:lang w:eastAsia="zh-CN"/>
      </w:rPr>
      <w:t>临安区</w:t>
    </w:r>
    <w:r>
      <w:rPr>
        <w:rFonts w:hint="eastAsia"/>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w:t>
    </w:r>
    <w:r>
      <w:rPr>
        <w:rFonts w:hint="eastAsia"/>
        <w:lang w:eastAsia="zh-CN"/>
      </w:rPr>
      <w:t>临安区</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AEDE6"/>
    <w:multiLevelType w:val="singleLevel"/>
    <w:tmpl w:val="E57AEDE6"/>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0"/>
      <w:lvlText w:val=""/>
      <w:lvlJc w:val="left"/>
      <w:pPr>
        <w:tabs>
          <w:tab w:val="left" w:pos="2940"/>
        </w:tabs>
        <w:ind w:left="2940" w:hanging="420"/>
      </w:pPr>
      <w:rPr>
        <w:rFonts w:hint="default" w:ascii="Wingdings" w:hAnsi="Wingdings"/>
      </w:rPr>
    </w:lvl>
    <w:lvl w:ilvl="6" w:tentative="0">
      <w:start w:val="1"/>
      <w:numFmt w:val="bullet"/>
      <w:pStyle w:val="489"/>
      <w:lvlText w:val=""/>
      <w:lvlJc w:val="left"/>
      <w:pPr>
        <w:tabs>
          <w:tab w:val="left" w:pos="3360"/>
        </w:tabs>
        <w:ind w:left="3360" w:hanging="420"/>
      </w:pPr>
      <w:rPr>
        <w:rFonts w:hint="default" w:ascii="Wingdings" w:hAnsi="Wingdings"/>
      </w:rPr>
    </w:lvl>
    <w:lvl w:ilvl="7" w:tentative="0">
      <w:start w:val="1"/>
      <w:numFmt w:val="bullet"/>
      <w:pStyle w:val="567"/>
      <w:lvlText w:val=""/>
      <w:lvlJc w:val="left"/>
      <w:pPr>
        <w:tabs>
          <w:tab w:val="left" w:pos="3780"/>
        </w:tabs>
        <w:ind w:left="3780" w:hanging="420"/>
      </w:pPr>
      <w:rPr>
        <w:rFonts w:hint="default" w:ascii="Wingdings" w:hAnsi="Wingdings"/>
      </w:rPr>
    </w:lvl>
    <w:lvl w:ilvl="8" w:tentative="0">
      <w:start w:val="1"/>
      <w:numFmt w:val="bullet"/>
      <w:pStyle w:val="56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1F3D51"/>
    <w:multiLevelType w:val="multilevel"/>
    <w:tmpl w:val="011F3D51"/>
    <w:lvl w:ilvl="0" w:tentative="0">
      <w:start w:val="1"/>
      <w:numFmt w:val="decimal"/>
      <w:pStyle w:val="855"/>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6"/>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83E60D3"/>
    <w:multiLevelType w:val="multilevel"/>
    <w:tmpl w:val="083E60D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8EB4DDB"/>
    <w:multiLevelType w:val="multilevel"/>
    <w:tmpl w:val="08EB4DD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09B4701D"/>
    <w:multiLevelType w:val="multilevel"/>
    <w:tmpl w:val="09B4701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9">
    <w:nsid w:val="0D5658FB"/>
    <w:multiLevelType w:val="multilevel"/>
    <w:tmpl w:val="0D5658F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1BFF4669"/>
    <w:multiLevelType w:val="multilevel"/>
    <w:tmpl w:val="1BFF466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37A3F72"/>
    <w:multiLevelType w:val="multilevel"/>
    <w:tmpl w:val="237A3F7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770069E"/>
    <w:multiLevelType w:val="multilevel"/>
    <w:tmpl w:val="3770069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C624949"/>
    <w:multiLevelType w:val="multilevel"/>
    <w:tmpl w:val="3C62494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40843A6E"/>
    <w:multiLevelType w:val="multilevel"/>
    <w:tmpl w:val="40843A6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22B2638"/>
    <w:multiLevelType w:val="multilevel"/>
    <w:tmpl w:val="422B263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4A817F21"/>
    <w:multiLevelType w:val="multilevel"/>
    <w:tmpl w:val="4A817F2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2BE1B8E"/>
    <w:multiLevelType w:val="multilevel"/>
    <w:tmpl w:val="52BE1B8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4D5429A"/>
    <w:multiLevelType w:val="multilevel"/>
    <w:tmpl w:val="54D5429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64F5D74"/>
    <w:multiLevelType w:val="multilevel"/>
    <w:tmpl w:val="564F5D7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5776188D"/>
    <w:multiLevelType w:val="multilevel"/>
    <w:tmpl w:val="5776188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78B3BD2"/>
    <w:multiLevelType w:val="multilevel"/>
    <w:tmpl w:val="578B3BD2"/>
    <w:lvl w:ilvl="0" w:tentative="0">
      <w:start w:val="1"/>
      <w:numFmt w:val="decimal"/>
      <w:pStyle w:val="500"/>
      <w:lvlText w:val="%1"/>
      <w:lvlJc w:val="left"/>
      <w:pPr>
        <w:tabs>
          <w:tab w:val="left" w:pos="480"/>
        </w:tabs>
        <w:ind w:left="480" w:hanging="480"/>
      </w:pPr>
      <w:rPr>
        <w:rFonts w:hint="eastAsia"/>
        <w:sz w:val="44"/>
        <w:szCs w:val="44"/>
      </w:rPr>
    </w:lvl>
    <w:lvl w:ilvl="1" w:tentative="0">
      <w:start w:val="1"/>
      <w:numFmt w:val="decimal"/>
      <w:pStyle w:val="47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63B61520"/>
    <w:multiLevelType w:val="multilevel"/>
    <w:tmpl w:val="63B6152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1232E86"/>
    <w:multiLevelType w:val="multilevel"/>
    <w:tmpl w:val="71232E8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3596DCC"/>
    <w:multiLevelType w:val="multilevel"/>
    <w:tmpl w:val="73596DCC"/>
    <w:lvl w:ilvl="0" w:tentative="0">
      <w:start w:val="1"/>
      <w:numFmt w:val="bullet"/>
      <w:pStyle w:val="50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75D253CA"/>
    <w:multiLevelType w:val="multilevel"/>
    <w:tmpl w:val="75D253C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BDF6BDB"/>
    <w:multiLevelType w:val="multilevel"/>
    <w:tmpl w:val="7BDF6BD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7E265E1C"/>
    <w:multiLevelType w:val="multilevel"/>
    <w:tmpl w:val="7E265E1C"/>
    <w:lvl w:ilvl="0" w:tentative="0">
      <w:start w:val="1"/>
      <w:numFmt w:val="decimal"/>
      <w:pStyle w:val="23"/>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3"/>
  </w:num>
  <w:num w:numId="3">
    <w:abstractNumId w:val="1"/>
  </w:num>
  <w:num w:numId="4">
    <w:abstractNumId w:val="28"/>
  </w:num>
  <w:num w:numId="5">
    <w:abstractNumId w:val="2"/>
  </w:num>
  <w:num w:numId="6">
    <w:abstractNumId w:val="22"/>
  </w:num>
  <w:num w:numId="7">
    <w:abstractNumId w:val="25"/>
  </w:num>
  <w:num w:numId="8">
    <w:abstractNumId w:val="4"/>
  </w:num>
  <w:num w:numId="9">
    <w:abstractNumId w:val="11"/>
  </w:num>
  <w:num w:numId="10">
    <w:abstractNumId w:val="6"/>
  </w:num>
  <w:num w:numId="11">
    <w:abstractNumId w:val="20"/>
  </w:num>
  <w:num w:numId="12">
    <w:abstractNumId w:val="9"/>
  </w:num>
  <w:num w:numId="13">
    <w:abstractNumId w:val="18"/>
  </w:num>
  <w:num w:numId="14">
    <w:abstractNumId w:val="16"/>
  </w:num>
  <w:num w:numId="15">
    <w:abstractNumId w:val="5"/>
  </w:num>
  <w:num w:numId="16">
    <w:abstractNumId w:val="14"/>
  </w:num>
  <w:num w:numId="17">
    <w:abstractNumId w:val="23"/>
  </w:num>
  <w:num w:numId="18">
    <w:abstractNumId w:val="17"/>
  </w:num>
  <w:num w:numId="19">
    <w:abstractNumId w:val="24"/>
  </w:num>
  <w:num w:numId="20">
    <w:abstractNumId w:val="15"/>
  </w:num>
  <w:num w:numId="21">
    <w:abstractNumId w:val="12"/>
  </w:num>
  <w:num w:numId="22">
    <w:abstractNumId w:val="21"/>
  </w:num>
  <w:num w:numId="23">
    <w:abstractNumId w:val="27"/>
  </w:num>
  <w:num w:numId="24">
    <w:abstractNumId w:val="26"/>
  </w:num>
  <w:num w:numId="25">
    <w:abstractNumId w:val="7"/>
  </w:num>
  <w:num w:numId="26">
    <w:abstractNumId w:val="13"/>
  </w:num>
  <w:num w:numId="27">
    <w:abstractNumId w:val="19"/>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EF"/>
    <w:rsid w:val="00020634"/>
    <w:rsid w:val="00020EC1"/>
    <w:rsid w:val="0003731D"/>
    <w:rsid w:val="00045876"/>
    <w:rsid w:val="00072C7E"/>
    <w:rsid w:val="000B0316"/>
    <w:rsid w:val="000B53B1"/>
    <w:rsid w:val="000E1692"/>
    <w:rsid w:val="000E3A61"/>
    <w:rsid w:val="00102220"/>
    <w:rsid w:val="0010623D"/>
    <w:rsid w:val="0011663C"/>
    <w:rsid w:val="001229B1"/>
    <w:rsid w:val="00143FA2"/>
    <w:rsid w:val="00161E21"/>
    <w:rsid w:val="00162C0E"/>
    <w:rsid w:val="00167F6C"/>
    <w:rsid w:val="001A43CF"/>
    <w:rsid w:val="001A44FB"/>
    <w:rsid w:val="001E0E40"/>
    <w:rsid w:val="00207095"/>
    <w:rsid w:val="00207314"/>
    <w:rsid w:val="002B2032"/>
    <w:rsid w:val="002B3FCC"/>
    <w:rsid w:val="002E250C"/>
    <w:rsid w:val="002F0A08"/>
    <w:rsid w:val="002F6EC9"/>
    <w:rsid w:val="00310C13"/>
    <w:rsid w:val="0032472B"/>
    <w:rsid w:val="00325AA3"/>
    <w:rsid w:val="003279D7"/>
    <w:rsid w:val="003372DA"/>
    <w:rsid w:val="00346EED"/>
    <w:rsid w:val="00352258"/>
    <w:rsid w:val="003922BC"/>
    <w:rsid w:val="003A03CE"/>
    <w:rsid w:val="003A0F73"/>
    <w:rsid w:val="003C1335"/>
    <w:rsid w:val="003E311E"/>
    <w:rsid w:val="003F2ACF"/>
    <w:rsid w:val="003F2B8F"/>
    <w:rsid w:val="003F557D"/>
    <w:rsid w:val="00414F37"/>
    <w:rsid w:val="0042469D"/>
    <w:rsid w:val="00490852"/>
    <w:rsid w:val="00490AEE"/>
    <w:rsid w:val="004C0766"/>
    <w:rsid w:val="004D0481"/>
    <w:rsid w:val="004F5101"/>
    <w:rsid w:val="0052255A"/>
    <w:rsid w:val="00522E01"/>
    <w:rsid w:val="0056477B"/>
    <w:rsid w:val="00565456"/>
    <w:rsid w:val="00573E3A"/>
    <w:rsid w:val="005B3C47"/>
    <w:rsid w:val="005B5F29"/>
    <w:rsid w:val="005E6794"/>
    <w:rsid w:val="005E6CE4"/>
    <w:rsid w:val="00622F41"/>
    <w:rsid w:val="00624E24"/>
    <w:rsid w:val="0063681B"/>
    <w:rsid w:val="00647E1D"/>
    <w:rsid w:val="0065762E"/>
    <w:rsid w:val="00670298"/>
    <w:rsid w:val="00685852"/>
    <w:rsid w:val="006B67CC"/>
    <w:rsid w:val="006C08B9"/>
    <w:rsid w:val="006C39B4"/>
    <w:rsid w:val="006F26D1"/>
    <w:rsid w:val="00702BCA"/>
    <w:rsid w:val="00744240"/>
    <w:rsid w:val="0076144F"/>
    <w:rsid w:val="0079321A"/>
    <w:rsid w:val="007B0629"/>
    <w:rsid w:val="007F0EC2"/>
    <w:rsid w:val="00857A81"/>
    <w:rsid w:val="00881948"/>
    <w:rsid w:val="00890318"/>
    <w:rsid w:val="008A6A36"/>
    <w:rsid w:val="008B065D"/>
    <w:rsid w:val="008B5B2E"/>
    <w:rsid w:val="008C076D"/>
    <w:rsid w:val="008C2C27"/>
    <w:rsid w:val="008D62AA"/>
    <w:rsid w:val="008E3831"/>
    <w:rsid w:val="008F5F00"/>
    <w:rsid w:val="008F7746"/>
    <w:rsid w:val="00903598"/>
    <w:rsid w:val="009159E1"/>
    <w:rsid w:val="00944988"/>
    <w:rsid w:val="00950759"/>
    <w:rsid w:val="0098477C"/>
    <w:rsid w:val="00985A01"/>
    <w:rsid w:val="009A75CA"/>
    <w:rsid w:val="00A0686D"/>
    <w:rsid w:val="00A30BFF"/>
    <w:rsid w:val="00A42626"/>
    <w:rsid w:val="00A526B5"/>
    <w:rsid w:val="00A733EC"/>
    <w:rsid w:val="00A80C6D"/>
    <w:rsid w:val="00A9660E"/>
    <w:rsid w:val="00A977E7"/>
    <w:rsid w:val="00AA16B3"/>
    <w:rsid w:val="00AB5897"/>
    <w:rsid w:val="00AB5D3F"/>
    <w:rsid w:val="00AE1891"/>
    <w:rsid w:val="00B32D57"/>
    <w:rsid w:val="00B4085B"/>
    <w:rsid w:val="00B90203"/>
    <w:rsid w:val="00B91770"/>
    <w:rsid w:val="00BD6EBF"/>
    <w:rsid w:val="00BE05FA"/>
    <w:rsid w:val="00BF5A06"/>
    <w:rsid w:val="00C02021"/>
    <w:rsid w:val="00C24A83"/>
    <w:rsid w:val="00C32BD3"/>
    <w:rsid w:val="00C45F5B"/>
    <w:rsid w:val="00C65388"/>
    <w:rsid w:val="00C838EB"/>
    <w:rsid w:val="00C97395"/>
    <w:rsid w:val="00CA75A7"/>
    <w:rsid w:val="00CD7167"/>
    <w:rsid w:val="00D0563A"/>
    <w:rsid w:val="00D40716"/>
    <w:rsid w:val="00D66B84"/>
    <w:rsid w:val="00E100FC"/>
    <w:rsid w:val="00E16B3F"/>
    <w:rsid w:val="00E35242"/>
    <w:rsid w:val="00E65483"/>
    <w:rsid w:val="00E76867"/>
    <w:rsid w:val="00E92229"/>
    <w:rsid w:val="00EB1EEF"/>
    <w:rsid w:val="00EC0CDF"/>
    <w:rsid w:val="00EC32EE"/>
    <w:rsid w:val="00ED0284"/>
    <w:rsid w:val="00ED4D92"/>
    <w:rsid w:val="00EF24DA"/>
    <w:rsid w:val="00F04523"/>
    <w:rsid w:val="00F113F3"/>
    <w:rsid w:val="00F30F6F"/>
    <w:rsid w:val="00F705EA"/>
    <w:rsid w:val="00F8759F"/>
    <w:rsid w:val="00FA0965"/>
    <w:rsid w:val="00FA3D06"/>
    <w:rsid w:val="00FB6C18"/>
    <w:rsid w:val="01A75754"/>
    <w:rsid w:val="03E4546F"/>
    <w:rsid w:val="061D6415"/>
    <w:rsid w:val="08CF081A"/>
    <w:rsid w:val="0A796241"/>
    <w:rsid w:val="0B386BEB"/>
    <w:rsid w:val="0CC15827"/>
    <w:rsid w:val="0D0053A3"/>
    <w:rsid w:val="102F1BCC"/>
    <w:rsid w:val="142A4E26"/>
    <w:rsid w:val="14525AFA"/>
    <w:rsid w:val="15196FCE"/>
    <w:rsid w:val="162A57F3"/>
    <w:rsid w:val="18470515"/>
    <w:rsid w:val="1DD42D71"/>
    <w:rsid w:val="20F5288B"/>
    <w:rsid w:val="226E2A1D"/>
    <w:rsid w:val="24326138"/>
    <w:rsid w:val="24DA7D36"/>
    <w:rsid w:val="28702058"/>
    <w:rsid w:val="29337492"/>
    <w:rsid w:val="2B2E72E7"/>
    <w:rsid w:val="2B9C55E1"/>
    <w:rsid w:val="2E360AAE"/>
    <w:rsid w:val="2EF1047E"/>
    <w:rsid w:val="34F801C2"/>
    <w:rsid w:val="351D7670"/>
    <w:rsid w:val="366A436C"/>
    <w:rsid w:val="38AA4650"/>
    <w:rsid w:val="39103069"/>
    <w:rsid w:val="39591C4C"/>
    <w:rsid w:val="39733CD1"/>
    <w:rsid w:val="3B125890"/>
    <w:rsid w:val="3C3E672F"/>
    <w:rsid w:val="3CC31E0E"/>
    <w:rsid w:val="3D022ADB"/>
    <w:rsid w:val="3D280AAC"/>
    <w:rsid w:val="401660CE"/>
    <w:rsid w:val="40D0601A"/>
    <w:rsid w:val="42E3493D"/>
    <w:rsid w:val="44EC7A84"/>
    <w:rsid w:val="45134C6A"/>
    <w:rsid w:val="45821A21"/>
    <w:rsid w:val="47987ECD"/>
    <w:rsid w:val="47BB18F5"/>
    <w:rsid w:val="490F3BDA"/>
    <w:rsid w:val="4E870AB4"/>
    <w:rsid w:val="52307328"/>
    <w:rsid w:val="53FC15E1"/>
    <w:rsid w:val="55134D06"/>
    <w:rsid w:val="55F2292A"/>
    <w:rsid w:val="5B15071F"/>
    <w:rsid w:val="5B5E41E5"/>
    <w:rsid w:val="5B69662C"/>
    <w:rsid w:val="5C074F1A"/>
    <w:rsid w:val="5C594A23"/>
    <w:rsid w:val="5E5174B2"/>
    <w:rsid w:val="5F267059"/>
    <w:rsid w:val="60671434"/>
    <w:rsid w:val="61C3677E"/>
    <w:rsid w:val="61E80A83"/>
    <w:rsid w:val="633B46F9"/>
    <w:rsid w:val="63A8413D"/>
    <w:rsid w:val="64C8180B"/>
    <w:rsid w:val="65C565B3"/>
    <w:rsid w:val="65EA7EB6"/>
    <w:rsid w:val="67754647"/>
    <w:rsid w:val="68545800"/>
    <w:rsid w:val="6A531ED1"/>
    <w:rsid w:val="6C345328"/>
    <w:rsid w:val="6E0E1386"/>
    <w:rsid w:val="6F064489"/>
    <w:rsid w:val="715F196E"/>
    <w:rsid w:val="722F7C72"/>
    <w:rsid w:val="73B00FE4"/>
    <w:rsid w:val="742D6587"/>
    <w:rsid w:val="74762743"/>
    <w:rsid w:val="74D359B3"/>
    <w:rsid w:val="751B5B3E"/>
    <w:rsid w:val="75AE1161"/>
    <w:rsid w:val="78A22E7F"/>
    <w:rsid w:val="7A9162E1"/>
    <w:rsid w:val="7C236DE8"/>
    <w:rsid w:val="7DD01402"/>
    <w:rsid w:val="7E00497E"/>
    <w:rsid w:val="7E3B2F63"/>
    <w:rsid w:val="7E554397"/>
    <w:rsid w:val="7F12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1"/>
    <w:qFormat/>
    <w:uiPriority w:val="0"/>
    <w:pPr>
      <w:keepNext/>
      <w:keepLines/>
      <w:numPr>
        <w:ilvl w:val="0"/>
        <w:numId w:val="1"/>
      </w:numPr>
      <w:adjustRightInd w:val="0"/>
      <w:spacing w:before="340" w:after="330" w:line="578" w:lineRule="auto"/>
      <w:outlineLvl w:val="0"/>
    </w:pPr>
    <w:rPr>
      <w:rFonts w:ascii="Times New Roman" w:hAnsi="Times New Roman" w:eastAsia="宋体" w:cs="Times New Roman"/>
      <w:b/>
      <w:bCs/>
      <w:kern w:val="44"/>
      <w:sz w:val="44"/>
      <w:szCs w:val="44"/>
      <w:lang w:val="zh-CN"/>
    </w:rPr>
  </w:style>
  <w:style w:type="paragraph" w:styleId="4">
    <w:name w:val="heading 2"/>
    <w:basedOn w:val="1"/>
    <w:next w:val="1"/>
    <w:link w:val="82"/>
    <w:qFormat/>
    <w:uiPriority w:val="0"/>
    <w:pPr>
      <w:keepNext/>
      <w:keepLines/>
      <w:numPr>
        <w:ilvl w:val="0"/>
        <w:numId w:val="2"/>
      </w:numPr>
      <w:spacing w:line="360" w:lineRule="auto"/>
      <w:jc w:val="left"/>
      <w:outlineLvl w:val="1"/>
    </w:pPr>
    <w:rPr>
      <w:rFonts w:ascii="仿宋_GB2312" w:hAnsi="仿宋" w:eastAsia="仿宋_GB2312" w:cs="Times New Roman"/>
      <w:b/>
      <w:bCs/>
      <w:sz w:val="32"/>
      <w:szCs w:val="32"/>
      <w:lang w:val="zh-CN"/>
    </w:rPr>
  </w:style>
  <w:style w:type="paragraph" w:styleId="5">
    <w:name w:val="heading 3"/>
    <w:basedOn w:val="1"/>
    <w:next w:val="1"/>
    <w:link w:val="83"/>
    <w:qFormat/>
    <w:uiPriority w:val="0"/>
    <w:pPr>
      <w:keepNext/>
      <w:keepLines/>
      <w:numPr>
        <w:ilvl w:val="2"/>
        <w:numId w:val="1"/>
      </w:numPr>
      <w:adjustRightInd w:val="0"/>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84"/>
    <w:qFormat/>
    <w:uiPriority w:val="0"/>
    <w:pPr>
      <w:keepNext/>
      <w:keepLines/>
      <w:numPr>
        <w:ilvl w:val="3"/>
        <w:numId w:val="1"/>
      </w:numPr>
      <w:adjustRightInd w:val="0"/>
      <w:spacing w:before="280" w:after="290" w:line="376" w:lineRule="auto"/>
      <w:outlineLvl w:val="3"/>
    </w:pPr>
    <w:rPr>
      <w:rFonts w:ascii="Arial" w:hAnsi="Arial" w:eastAsia="黑体" w:cs="Times New Roman"/>
      <w:b/>
      <w:bCs/>
      <w:sz w:val="28"/>
      <w:szCs w:val="28"/>
      <w:lang w:val="zh-CN"/>
    </w:rPr>
  </w:style>
  <w:style w:type="paragraph" w:styleId="7">
    <w:name w:val="heading 5"/>
    <w:basedOn w:val="1"/>
    <w:next w:val="1"/>
    <w:link w:val="85"/>
    <w:qFormat/>
    <w:uiPriority w:val="0"/>
    <w:pPr>
      <w:keepNext/>
      <w:keepLines/>
      <w:numPr>
        <w:ilvl w:val="4"/>
        <w:numId w:val="1"/>
      </w:numPr>
      <w:adjustRightInd w:val="0"/>
      <w:spacing w:before="280" w:after="290" w:line="376" w:lineRule="auto"/>
      <w:outlineLvl w:val="4"/>
    </w:pPr>
    <w:rPr>
      <w:rFonts w:ascii="Times New Roman" w:hAnsi="Times New Roman" w:eastAsia="宋体" w:cs="Times New Roman"/>
      <w:b/>
      <w:bCs/>
      <w:sz w:val="28"/>
      <w:szCs w:val="28"/>
      <w:lang w:val="zh-CN"/>
    </w:rPr>
  </w:style>
  <w:style w:type="paragraph" w:styleId="8">
    <w:name w:val="heading 6"/>
    <w:basedOn w:val="1"/>
    <w:next w:val="1"/>
    <w:link w:val="86"/>
    <w:qFormat/>
    <w:uiPriority w:val="0"/>
    <w:pPr>
      <w:keepNext/>
      <w:keepLines/>
      <w:numPr>
        <w:ilvl w:val="5"/>
        <w:numId w:val="1"/>
      </w:numPr>
      <w:adjustRightInd w:val="0"/>
      <w:spacing w:before="240" w:after="64" w:line="320" w:lineRule="auto"/>
      <w:outlineLvl w:val="5"/>
    </w:pPr>
    <w:rPr>
      <w:rFonts w:ascii="Arial" w:hAnsi="Arial" w:eastAsia="黑体" w:cs="Times New Roman"/>
      <w:b/>
      <w:bCs/>
      <w:sz w:val="24"/>
      <w:szCs w:val="24"/>
      <w:lang w:val="zh-CN"/>
    </w:rPr>
  </w:style>
  <w:style w:type="paragraph" w:styleId="9">
    <w:name w:val="heading 7"/>
    <w:basedOn w:val="1"/>
    <w:next w:val="1"/>
    <w:link w:val="87"/>
    <w:qFormat/>
    <w:uiPriority w:val="0"/>
    <w:pPr>
      <w:keepNext/>
      <w:keepLines/>
      <w:numPr>
        <w:ilvl w:val="6"/>
        <w:numId w:val="1"/>
      </w:numPr>
      <w:adjustRightInd w:val="0"/>
      <w:spacing w:before="240" w:after="64" w:line="320" w:lineRule="auto"/>
      <w:outlineLvl w:val="6"/>
    </w:pPr>
    <w:rPr>
      <w:rFonts w:ascii="Times New Roman" w:hAnsi="Times New Roman" w:eastAsia="宋体" w:cs="Times New Roman"/>
      <w:b/>
      <w:bCs/>
      <w:sz w:val="24"/>
      <w:szCs w:val="24"/>
      <w:lang w:val="zh-CN"/>
    </w:rPr>
  </w:style>
  <w:style w:type="paragraph" w:styleId="10">
    <w:name w:val="heading 8"/>
    <w:basedOn w:val="1"/>
    <w:next w:val="1"/>
    <w:link w:val="88"/>
    <w:qFormat/>
    <w:uiPriority w:val="0"/>
    <w:pPr>
      <w:keepNext/>
      <w:keepLines/>
      <w:numPr>
        <w:ilvl w:val="7"/>
        <w:numId w:val="1"/>
      </w:numPr>
      <w:adjustRightInd w:val="0"/>
      <w:spacing w:before="240" w:after="64" w:line="320" w:lineRule="auto"/>
      <w:outlineLvl w:val="7"/>
    </w:pPr>
    <w:rPr>
      <w:rFonts w:ascii="Arial" w:hAnsi="Arial" w:eastAsia="黑体" w:cs="Times New Roman"/>
      <w:sz w:val="24"/>
      <w:szCs w:val="24"/>
      <w:lang w:val="zh-CN"/>
    </w:rPr>
  </w:style>
  <w:style w:type="paragraph" w:styleId="11">
    <w:name w:val="heading 9"/>
    <w:basedOn w:val="1"/>
    <w:next w:val="1"/>
    <w:link w:val="89"/>
    <w:qFormat/>
    <w:uiPriority w:val="0"/>
    <w:pPr>
      <w:keepNext/>
      <w:keepLines/>
      <w:numPr>
        <w:ilvl w:val="8"/>
        <w:numId w:val="1"/>
      </w:numPr>
      <w:adjustRightInd w:val="0"/>
      <w:spacing w:before="240" w:after="64" w:line="320" w:lineRule="auto"/>
      <w:outlineLvl w:val="8"/>
    </w:pPr>
    <w:rPr>
      <w:rFonts w:ascii="Arial" w:hAnsi="Arial" w:eastAsia="黑体" w:cs="Times New Roman"/>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279"/>
    <w:qFormat/>
    <w:uiPriority w:val="0"/>
    <w:pPr>
      <w:adjustRightInd w:val="0"/>
      <w:spacing w:after="120" w:line="480" w:lineRule="auto"/>
    </w:pPr>
    <w:rPr>
      <w:rFonts w:ascii="Times New Roman" w:hAnsi="Times New Roman" w:eastAsia="宋体" w:cs="Times New Roman"/>
      <w:szCs w:val="24"/>
      <w:lang w:val="zh-CN"/>
    </w:rPr>
  </w:style>
  <w:style w:type="paragraph" w:styleId="12">
    <w:name w:val="toc 7"/>
    <w:basedOn w:val="1"/>
    <w:next w:val="1"/>
    <w:qFormat/>
    <w:uiPriority w:val="0"/>
    <w:pPr>
      <w:adjustRightInd w:val="0"/>
      <w:ind w:left="2520" w:leftChars="1200"/>
    </w:pPr>
    <w:rPr>
      <w:rFonts w:ascii="Times New Roman" w:hAnsi="Times New Roman" w:eastAsia="宋体" w:cs="Times New Roman"/>
      <w:szCs w:val="24"/>
    </w:rPr>
  </w:style>
  <w:style w:type="paragraph" w:styleId="13">
    <w:name w:val="List Number 2"/>
    <w:basedOn w:val="1"/>
    <w:qFormat/>
    <w:uiPriority w:val="0"/>
    <w:pPr>
      <w:widowControl/>
      <w:tabs>
        <w:tab w:val="left" w:pos="1697"/>
      </w:tabs>
      <w:spacing w:after="156" w:afterLines="50"/>
      <w:ind w:left="1697" w:hanging="420"/>
      <w:jc w:val="left"/>
    </w:pPr>
    <w:rPr>
      <w:rFonts w:ascii="Times New Roman" w:hAnsi="Times New Roman" w:eastAsia="宋体" w:cs="Times New Roman"/>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spacing w:after="156"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254"/>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7">
    <w:name w:val="caption"/>
    <w:basedOn w:val="1"/>
    <w:next w:val="1"/>
    <w:link w:val="785"/>
    <w:qFormat/>
    <w:uiPriority w:val="0"/>
    <w:pPr>
      <w:adjustRightInd w:val="0"/>
    </w:pPr>
    <w:rPr>
      <w:rFonts w:ascii="Times New Roman" w:hAnsi="Times New Roman" w:eastAsia="宋体" w:cs="Times New Roman"/>
      <w:b/>
      <w:sz w:val="28"/>
      <w:szCs w:val="20"/>
      <w:lang w:val="zh-CN"/>
    </w:rPr>
  </w:style>
  <w:style w:type="paragraph" w:styleId="18">
    <w:name w:val="index 5"/>
    <w:basedOn w:val="1"/>
    <w:next w:val="1"/>
    <w:qFormat/>
    <w:uiPriority w:val="0"/>
    <w:pPr>
      <w:ind w:left="800" w:leftChars="800" w:firstLine="200" w:firstLineChars="200"/>
    </w:pPr>
    <w:rPr>
      <w:rFonts w:ascii="Times New Roman" w:hAnsi="Times New Roman" w:eastAsia="宋体" w:cs="Times New Roman"/>
      <w:szCs w:val="24"/>
    </w:rPr>
  </w:style>
  <w:style w:type="paragraph" w:styleId="19">
    <w:name w:val="Document Map"/>
    <w:basedOn w:val="1"/>
    <w:link w:val="294"/>
    <w:qFormat/>
    <w:uiPriority w:val="0"/>
    <w:pPr>
      <w:shd w:val="clear" w:color="auto" w:fill="000080"/>
      <w:adjustRightInd w:val="0"/>
    </w:pPr>
    <w:rPr>
      <w:rFonts w:ascii="Times New Roman" w:hAnsi="Times New Roman" w:eastAsia="宋体" w:cs="Times New Roman"/>
      <w:szCs w:val="24"/>
      <w:lang w:val="zh-CN"/>
    </w:rPr>
  </w:style>
  <w:style w:type="paragraph" w:styleId="20">
    <w:name w:val="annotation text"/>
    <w:basedOn w:val="1"/>
    <w:link w:val="289"/>
    <w:unhideWhenUsed/>
    <w:qFormat/>
    <w:uiPriority w:val="99"/>
    <w:pPr>
      <w:adjustRightInd w:val="0"/>
      <w:jc w:val="left"/>
    </w:pPr>
    <w:rPr>
      <w:rFonts w:ascii="Times New Roman" w:hAnsi="Times New Roman" w:eastAsia="宋体" w:cs="Times New Roman"/>
      <w:szCs w:val="24"/>
    </w:rPr>
  </w:style>
  <w:style w:type="paragraph" w:styleId="21">
    <w:name w:val="Salutation"/>
    <w:basedOn w:val="1"/>
    <w:next w:val="1"/>
    <w:link w:val="92"/>
    <w:qFormat/>
    <w:uiPriority w:val="0"/>
    <w:pPr>
      <w:adjustRightInd w:val="0"/>
    </w:pPr>
    <w:rPr>
      <w:rFonts w:ascii="仿宋_GB2312" w:eastAsia="仿宋_GB2312"/>
      <w:sz w:val="28"/>
    </w:rPr>
  </w:style>
  <w:style w:type="paragraph" w:styleId="22">
    <w:name w:val="Body Text 3"/>
    <w:basedOn w:val="1"/>
    <w:link w:val="93"/>
    <w:qFormat/>
    <w:uiPriority w:val="0"/>
    <w:pPr>
      <w:adjustRightInd w:val="0"/>
      <w:jc w:val="center"/>
    </w:pPr>
  </w:style>
  <w:style w:type="paragraph" w:styleId="23">
    <w:name w:val="List Bullet 3"/>
    <w:basedOn w:val="1"/>
    <w:unhideWhenUsed/>
    <w:qFormat/>
    <w:uiPriority w:val="0"/>
    <w:pPr>
      <w:numPr>
        <w:ilvl w:val="0"/>
        <w:numId w:val="4"/>
      </w:numPr>
      <w:adjustRightInd w:val="0"/>
      <w:snapToGrid w:val="0"/>
      <w:spacing w:line="360" w:lineRule="auto"/>
      <w:ind w:right="238"/>
      <w:contextualSpacing/>
    </w:pPr>
    <w:rPr>
      <w:rFonts w:ascii="Times New Roman" w:hAnsi="Times New Roman" w:eastAsia="宋体" w:cs="Times New Roman"/>
      <w:sz w:val="24"/>
      <w:szCs w:val="24"/>
    </w:rPr>
  </w:style>
  <w:style w:type="paragraph" w:styleId="24">
    <w:name w:val="Body Text"/>
    <w:basedOn w:val="1"/>
    <w:next w:val="1"/>
    <w:link w:val="153"/>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25">
    <w:name w:val="Body Text Indent"/>
    <w:basedOn w:val="1"/>
    <w:link w:val="287"/>
    <w:unhideWhenUsed/>
    <w:qFormat/>
    <w:uiPriority w:val="0"/>
    <w:pPr>
      <w:adjustRightInd w:val="0"/>
      <w:spacing w:after="120"/>
      <w:ind w:left="420" w:leftChars="200"/>
    </w:pPr>
    <w:rPr>
      <w:rFonts w:ascii="Times New Roman" w:hAnsi="Times New Roman" w:eastAsia="宋体" w:cs="Times New Roman"/>
      <w:szCs w:val="24"/>
    </w:rPr>
  </w:style>
  <w:style w:type="paragraph" w:styleId="26">
    <w:name w:val="List Number 3"/>
    <w:basedOn w:val="1"/>
    <w:qFormat/>
    <w:uiPriority w:val="0"/>
    <w:pPr>
      <w:widowControl/>
      <w:tabs>
        <w:tab w:val="left" w:pos="360"/>
        <w:tab w:val="left" w:pos="482"/>
      </w:tabs>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qFormat/>
    <w:uiPriority w:val="0"/>
    <w:pPr>
      <w:spacing w:line="360" w:lineRule="auto"/>
      <w:ind w:left="100" w:leftChars="200" w:hanging="200" w:hangingChars="200"/>
    </w:pPr>
    <w:rPr>
      <w:rFonts w:ascii="Times New Roman" w:hAnsi="Times New Roman" w:eastAsia="微软雅黑" w:cs="Times New Roman"/>
      <w:szCs w:val="24"/>
    </w:rPr>
  </w:style>
  <w:style w:type="paragraph" w:styleId="28">
    <w:name w:val="Block Text"/>
    <w:basedOn w:val="1"/>
    <w:qFormat/>
    <w:uiPriority w:val="0"/>
    <w:pPr>
      <w:adjustRightInd w:val="0"/>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qFormat/>
    <w:uiPriority w:val="0"/>
    <w:pPr>
      <w:autoSpaceDE w:val="0"/>
      <w:autoSpaceDN w:val="0"/>
      <w:adjustRightInd w:val="0"/>
      <w:ind w:left="420"/>
      <w:jc w:val="left"/>
    </w:pPr>
    <w:rPr>
      <w:rFonts w:ascii="宋体" w:hAnsi="宋体" w:eastAsia="宋体" w:cs="Times New Roman"/>
      <w:color w:val="000000"/>
      <w:kern w:val="0"/>
      <w:sz w:val="24"/>
      <w:szCs w:val="20"/>
    </w:rPr>
  </w:style>
  <w:style w:type="paragraph" w:styleId="30">
    <w:name w:val="HTML Address"/>
    <w:basedOn w:val="1"/>
    <w:link w:val="96"/>
    <w:qFormat/>
    <w:uiPriority w:val="0"/>
    <w:pPr>
      <w:widowControl/>
      <w:ind w:firstLine="200" w:firstLineChars="200"/>
      <w:jc w:val="left"/>
    </w:pPr>
    <w:rPr>
      <w:rFonts w:ascii="宋体" w:hAnsi="宋体"/>
      <w:i/>
      <w:iCs/>
      <w:sz w:val="24"/>
      <w:szCs w:val="24"/>
    </w:rPr>
  </w:style>
  <w:style w:type="paragraph" w:styleId="31">
    <w:name w:val="toc 5"/>
    <w:basedOn w:val="1"/>
    <w:next w:val="1"/>
    <w:qFormat/>
    <w:uiPriority w:val="0"/>
    <w:pPr>
      <w:adjustRightInd w:val="0"/>
      <w:ind w:left="1680" w:leftChars="800"/>
    </w:pPr>
    <w:rPr>
      <w:rFonts w:ascii="Times New Roman" w:hAnsi="Times New Roman" w:eastAsia="宋体" w:cs="Times New Roman"/>
      <w:szCs w:val="24"/>
    </w:rPr>
  </w:style>
  <w:style w:type="paragraph" w:styleId="32">
    <w:name w:val="toc 3"/>
    <w:basedOn w:val="1"/>
    <w:next w:val="1"/>
    <w:qFormat/>
    <w:uiPriority w:val="0"/>
    <w:pPr>
      <w:tabs>
        <w:tab w:val="right" w:leader="dot" w:pos="8268"/>
      </w:tabs>
      <w:adjustRightInd w:val="0"/>
      <w:spacing w:line="460" w:lineRule="exact"/>
      <w:ind w:left="840" w:leftChars="400" w:firstLine="482"/>
    </w:pPr>
    <w:rPr>
      <w:rFonts w:ascii="宋体" w:hAnsi="宋体" w:eastAsia="宋体" w:cs="Times New Roman"/>
      <w:szCs w:val="24"/>
    </w:rPr>
  </w:style>
  <w:style w:type="paragraph" w:styleId="33">
    <w:name w:val="Plain Text"/>
    <w:basedOn w:val="1"/>
    <w:link w:val="97"/>
    <w:qFormat/>
    <w:uiPriority w:val="0"/>
    <w:pPr>
      <w:adjustRightInd w:val="0"/>
    </w:pPr>
    <w:rPr>
      <w:rFonts w:ascii="宋体" w:hAnsi="Courier New" w:eastAsia="宋体" w:cs="Arial"/>
      <w:snapToGrid w:val="0"/>
      <w:szCs w:val="21"/>
    </w:rPr>
  </w:style>
  <w:style w:type="paragraph" w:styleId="34">
    <w:name w:val="List Number 4"/>
    <w:basedOn w:val="1"/>
    <w:qFormat/>
    <w:uiPriority w:val="0"/>
    <w:pPr>
      <w:numPr>
        <w:ilvl w:val="0"/>
        <w:numId w:val="5"/>
      </w:numPr>
      <w:autoSpaceDE w:val="0"/>
      <w:autoSpaceDN w:val="0"/>
      <w:adjustRightInd w:val="0"/>
      <w:spacing w:line="360" w:lineRule="atLeast"/>
    </w:pPr>
    <w:rPr>
      <w:rFonts w:ascii="Times New Roman" w:hAnsi="Times New Roman" w:eastAsia="宋体" w:cs="Times New Roman"/>
      <w:kern w:val="0"/>
      <w:sz w:val="24"/>
      <w:szCs w:val="24"/>
    </w:rPr>
  </w:style>
  <w:style w:type="paragraph" w:styleId="35">
    <w:name w:val="toc 8"/>
    <w:basedOn w:val="1"/>
    <w:next w:val="1"/>
    <w:qFormat/>
    <w:uiPriority w:val="0"/>
    <w:pPr>
      <w:adjustRightInd w:val="0"/>
      <w:ind w:left="2940" w:leftChars="1400"/>
    </w:pPr>
    <w:rPr>
      <w:rFonts w:ascii="Times New Roman" w:hAnsi="Times New Roman" w:eastAsia="宋体" w:cs="Times New Roman"/>
      <w:szCs w:val="24"/>
    </w:rPr>
  </w:style>
  <w:style w:type="paragraph" w:styleId="36">
    <w:name w:val="Date"/>
    <w:basedOn w:val="1"/>
    <w:next w:val="1"/>
    <w:link w:val="98"/>
    <w:qFormat/>
    <w:uiPriority w:val="0"/>
    <w:pPr>
      <w:adjustRightInd w:val="0"/>
      <w:ind w:left="100" w:leftChars="2500"/>
    </w:pPr>
    <w:rPr>
      <w:rFonts w:ascii="宋体"/>
      <w:sz w:val="24"/>
      <w:szCs w:val="21"/>
      <w:lang w:val="zh-CN"/>
    </w:rPr>
  </w:style>
  <w:style w:type="paragraph" w:styleId="37">
    <w:name w:val="Body Text Indent 2"/>
    <w:basedOn w:val="1"/>
    <w:link w:val="99"/>
    <w:qFormat/>
    <w:uiPriority w:val="0"/>
    <w:pPr>
      <w:adjustRightInd w:val="0"/>
      <w:spacing w:line="360" w:lineRule="auto"/>
      <w:ind w:firstLine="601"/>
      <w:textAlignment w:val="baseline"/>
    </w:pPr>
    <w:rPr>
      <w:rFonts w:ascii="宋体"/>
      <w:sz w:val="28"/>
    </w:rPr>
  </w:style>
  <w:style w:type="paragraph" w:styleId="38">
    <w:name w:val="Balloon Text"/>
    <w:basedOn w:val="1"/>
    <w:link w:val="100"/>
    <w:qFormat/>
    <w:uiPriority w:val="0"/>
    <w:pPr>
      <w:adjustRightInd w:val="0"/>
    </w:pPr>
    <w:rPr>
      <w:sz w:val="18"/>
      <w:szCs w:val="18"/>
    </w:rPr>
  </w:style>
  <w:style w:type="paragraph" w:styleId="39">
    <w:name w:val="footer"/>
    <w:basedOn w:val="1"/>
    <w:link w:val="80"/>
    <w:unhideWhenUsed/>
    <w:qFormat/>
    <w:uiPriority w:val="0"/>
    <w:pPr>
      <w:tabs>
        <w:tab w:val="center" w:pos="4153"/>
        <w:tab w:val="right" w:pos="8306"/>
      </w:tabs>
      <w:snapToGrid w:val="0"/>
      <w:jc w:val="left"/>
    </w:pPr>
    <w:rPr>
      <w:sz w:val="18"/>
      <w:szCs w:val="18"/>
    </w:rPr>
  </w:style>
  <w:style w:type="paragraph" w:styleId="40">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1"/>
    <w:qFormat/>
    <w:uiPriority w:val="0"/>
    <w:pPr>
      <w:adjustRightInd w:val="0"/>
      <w:spacing w:after="600" w:line="312" w:lineRule="atLeast"/>
      <w:jc w:val="center"/>
      <w:textAlignment w:val="baseline"/>
    </w:pPr>
    <w:rPr>
      <w:rFonts w:eastAsia="仿宋_GB2312"/>
      <w:sz w:val="24"/>
    </w:rPr>
  </w:style>
  <w:style w:type="paragraph" w:styleId="42">
    <w:name w:val="toc 1"/>
    <w:basedOn w:val="1"/>
    <w:next w:val="1"/>
    <w:qFormat/>
    <w:uiPriority w:val="0"/>
    <w:pPr>
      <w:adjustRightInd w:val="0"/>
    </w:pPr>
    <w:rPr>
      <w:rFonts w:ascii="Times New Roman" w:hAnsi="Times New Roman" w:eastAsia="宋体" w:cs="Times New Roman"/>
      <w:szCs w:val="24"/>
    </w:rPr>
  </w:style>
  <w:style w:type="paragraph" w:styleId="43">
    <w:name w:val="toc 4"/>
    <w:basedOn w:val="1"/>
    <w:next w:val="1"/>
    <w:qFormat/>
    <w:uiPriority w:val="0"/>
    <w:pPr>
      <w:adjustRightInd w:val="0"/>
      <w:ind w:left="1260" w:leftChars="600"/>
    </w:pPr>
    <w:rPr>
      <w:rFonts w:ascii="Times New Roman" w:hAnsi="Times New Roman" w:eastAsia="宋体" w:cs="Times New Roman"/>
      <w:szCs w:val="24"/>
    </w:rPr>
  </w:style>
  <w:style w:type="paragraph" w:styleId="44">
    <w:name w:val="index heading"/>
    <w:basedOn w:val="1"/>
    <w:next w:val="45"/>
    <w:qFormat/>
    <w:uiPriority w:val="0"/>
    <w:pPr>
      <w:ind w:firstLine="200" w:firstLineChars="200"/>
    </w:pPr>
    <w:rPr>
      <w:rFonts w:ascii="Times New Roman" w:hAnsi="Times New Roman" w:eastAsia="宋体" w:cs="Times New Roman"/>
      <w:szCs w:val="24"/>
    </w:rPr>
  </w:style>
  <w:style w:type="paragraph" w:styleId="45">
    <w:name w:val="index 1"/>
    <w:basedOn w:val="1"/>
    <w:next w:val="1"/>
    <w:unhideWhenUsed/>
    <w:qFormat/>
    <w:uiPriority w:val="0"/>
  </w:style>
  <w:style w:type="paragraph" w:styleId="46">
    <w:name w:val="Subtitle"/>
    <w:link w:val="10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rFonts w:ascii="Times New Roman" w:hAnsi="Times New Roman" w:eastAsia="宋体" w:cs="Times New Roman"/>
      <w:sz w:val="24"/>
      <w:szCs w:val="20"/>
    </w:rPr>
  </w:style>
  <w:style w:type="paragraph" w:styleId="48">
    <w:name w:val="List"/>
    <w:basedOn w:val="1"/>
    <w:qFormat/>
    <w:uiPriority w:val="0"/>
    <w:pPr>
      <w:adjustRightInd w:val="0"/>
      <w:ind w:left="200" w:hanging="200" w:hangingChars="200"/>
    </w:pPr>
    <w:rPr>
      <w:rFonts w:ascii="Times New Roman" w:hAnsi="Times New Roman" w:eastAsia="宋体" w:cs="Times New Roman"/>
      <w:szCs w:val="24"/>
    </w:rPr>
  </w:style>
  <w:style w:type="paragraph" w:styleId="49">
    <w:name w:val="footnote text"/>
    <w:basedOn w:val="16"/>
    <w:link w:val="1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51">
    <w:name w:val="List 5"/>
    <w:basedOn w:val="1"/>
    <w:qFormat/>
    <w:uiPriority w:val="0"/>
    <w:pPr>
      <w:ind w:left="100" w:leftChars="800" w:hanging="200" w:hangingChars="200"/>
    </w:pPr>
    <w:rPr>
      <w:rFonts w:ascii="Times New Roman" w:hAnsi="Times New Roman" w:eastAsia="宋体" w:cs="Times New Roman"/>
      <w:szCs w:val="24"/>
    </w:rPr>
  </w:style>
  <w:style w:type="paragraph" w:styleId="52">
    <w:name w:val="Body Text Indent 3"/>
    <w:basedOn w:val="1"/>
    <w:link w:val="104"/>
    <w:qFormat/>
    <w:uiPriority w:val="0"/>
    <w:pPr>
      <w:adjustRightInd w:val="0"/>
      <w:spacing w:line="360" w:lineRule="auto"/>
      <w:ind w:firstLine="420"/>
    </w:pPr>
    <w:rPr>
      <w:sz w:val="24"/>
    </w:rPr>
  </w:style>
  <w:style w:type="paragraph" w:styleId="53">
    <w:name w:val="toc 2"/>
    <w:basedOn w:val="1"/>
    <w:next w:val="1"/>
    <w:qFormat/>
    <w:uiPriority w:val="0"/>
    <w:pPr>
      <w:adjustRightInd w:val="0"/>
      <w:ind w:left="420" w:leftChars="200"/>
    </w:pPr>
    <w:rPr>
      <w:rFonts w:ascii="Times New Roman" w:hAnsi="Times New Roman" w:eastAsia="宋体" w:cs="Times New Roman"/>
      <w:szCs w:val="24"/>
    </w:rPr>
  </w:style>
  <w:style w:type="paragraph" w:styleId="54">
    <w:name w:val="toc 9"/>
    <w:basedOn w:val="1"/>
    <w:next w:val="1"/>
    <w:qFormat/>
    <w:uiPriority w:val="0"/>
    <w:pPr>
      <w:adjustRightInd w:val="0"/>
      <w:ind w:left="3360" w:leftChars="1600"/>
    </w:pPr>
    <w:rPr>
      <w:rFonts w:ascii="Times New Roman" w:hAnsi="Times New Roman" w:eastAsia="宋体" w:cs="Times New Roman"/>
      <w:szCs w:val="24"/>
    </w:rPr>
  </w:style>
  <w:style w:type="paragraph" w:styleId="55">
    <w:name w:val="List 4"/>
    <w:basedOn w:val="1"/>
    <w:semiHidden/>
    <w:unhideWhenUsed/>
    <w:qFormat/>
    <w:uiPriority w:val="0"/>
    <w:pPr>
      <w:ind w:left="100" w:leftChars="600" w:hanging="200" w:hangingChars="200"/>
    </w:pPr>
    <w:rPr>
      <w:rFonts w:ascii="Times New Roman" w:hAnsi="Times New Roman" w:eastAsia="宋体" w:cs="Times New Roman"/>
      <w:sz w:val="28"/>
      <w:szCs w:val="24"/>
    </w:r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pPr>
    <w:rPr>
      <w:rFonts w:ascii="黑体" w:hAnsi="Courier New" w:eastAsia="黑体"/>
    </w:rPr>
  </w:style>
  <w:style w:type="paragraph" w:styleId="57">
    <w:name w:val="Normal (Web)"/>
    <w:basedOn w:val="1"/>
    <w:qFormat/>
    <w:uiPriority w:val="0"/>
    <w:pPr>
      <w:widowControl/>
      <w:adjustRightInd w:val="0"/>
      <w:spacing w:before="100" w:beforeAutospacing="1" w:after="100" w:afterAutospacing="1"/>
      <w:jc w:val="left"/>
    </w:pPr>
    <w:rPr>
      <w:rFonts w:ascii="宋体" w:hAnsi="宋体" w:eastAsia="宋体" w:cs="Times New Roman"/>
      <w:kern w:val="0"/>
      <w:sz w:val="24"/>
      <w:szCs w:val="24"/>
    </w:rPr>
  </w:style>
  <w:style w:type="paragraph" w:styleId="58">
    <w:name w:val="Title"/>
    <w:basedOn w:val="1"/>
    <w:link w:val="295"/>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paragraph" w:styleId="59">
    <w:name w:val="annotation subject"/>
    <w:basedOn w:val="20"/>
    <w:next w:val="20"/>
    <w:link w:val="290"/>
    <w:qFormat/>
    <w:uiPriority w:val="0"/>
    <w:rPr>
      <w:b/>
      <w:bCs/>
      <w:lang w:val="zh-CN"/>
    </w:rPr>
  </w:style>
  <w:style w:type="paragraph" w:styleId="60">
    <w:name w:val="Body Text First Indent"/>
    <w:basedOn w:val="24"/>
    <w:next w:val="1"/>
    <w:link w:val="109"/>
    <w:qFormat/>
    <w:uiPriority w:val="0"/>
    <w:pPr>
      <w:ind w:firstLine="420"/>
    </w:pPr>
    <w:rPr>
      <w:rFonts w:hAnsiTheme="minorHAnsi" w:eastAsiaTheme="minorEastAsia" w:cstheme="minorBidi"/>
      <w:snapToGrid/>
      <w:szCs w:val="22"/>
    </w:rPr>
  </w:style>
  <w:style w:type="paragraph" w:styleId="61">
    <w:name w:val="Body Text First Indent 2"/>
    <w:basedOn w:val="25"/>
    <w:link w:val="110"/>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Default"/>
    <w:link w:val="833"/>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79">
    <w:name w:val="页眉 Char"/>
    <w:basedOn w:val="69"/>
    <w:link w:val="40"/>
    <w:qFormat/>
    <w:uiPriority w:val="0"/>
    <w:rPr>
      <w:sz w:val="18"/>
      <w:szCs w:val="18"/>
    </w:rPr>
  </w:style>
  <w:style w:type="character" w:customStyle="1" w:styleId="80">
    <w:name w:val="页脚 Char"/>
    <w:basedOn w:val="69"/>
    <w:link w:val="39"/>
    <w:qFormat/>
    <w:uiPriority w:val="0"/>
    <w:rPr>
      <w:sz w:val="18"/>
      <w:szCs w:val="18"/>
    </w:rPr>
  </w:style>
  <w:style w:type="character" w:customStyle="1" w:styleId="81">
    <w:name w:val="标题 1 Char"/>
    <w:basedOn w:val="69"/>
    <w:link w:val="3"/>
    <w:qFormat/>
    <w:uiPriority w:val="0"/>
    <w:rPr>
      <w:rFonts w:ascii="Times New Roman" w:hAnsi="Times New Roman" w:eastAsia="宋体" w:cs="Times New Roman"/>
      <w:b/>
      <w:bCs/>
      <w:kern w:val="44"/>
      <w:sz w:val="44"/>
      <w:szCs w:val="44"/>
      <w:lang w:val="zh-CN"/>
    </w:rPr>
  </w:style>
  <w:style w:type="character" w:customStyle="1" w:styleId="82">
    <w:name w:val="标题 2 Char"/>
    <w:basedOn w:val="69"/>
    <w:link w:val="4"/>
    <w:qFormat/>
    <w:uiPriority w:val="0"/>
    <w:rPr>
      <w:rFonts w:ascii="仿宋_GB2312" w:hAnsi="仿宋" w:eastAsia="仿宋_GB2312" w:cs="Times New Roman"/>
      <w:b/>
      <w:bCs/>
      <w:sz w:val="32"/>
      <w:szCs w:val="32"/>
      <w:lang w:val="zh-CN"/>
    </w:rPr>
  </w:style>
  <w:style w:type="character" w:customStyle="1" w:styleId="83">
    <w:name w:val="标题 3 Char"/>
    <w:basedOn w:val="69"/>
    <w:link w:val="5"/>
    <w:qFormat/>
    <w:uiPriority w:val="0"/>
    <w:rPr>
      <w:rFonts w:ascii="Times New Roman" w:hAnsi="Times New Roman" w:eastAsia="宋体" w:cs="Times New Roman"/>
      <w:b/>
      <w:bCs/>
      <w:sz w:val="32"/>
      <w:szCs w:val="32"/>
    </w:rPr>
  </w:style>
  <w:style w:type="character" w:customStyle="1" w:styleId="84">
    <w:name w:val="标题 4 Char"/>
    <w:basedOn w:val="69"/>
    <w:link w:val="6"/>
    <w:qFormat/>
    <w:uiPriority w:val="0"/>
    <w:rPr>
      <w:rFonts w:ascii="Arial" w:hAnsi="Arial" w:eastAsia="黑体" w:cs="Times New Roman"/>
      <w:b/>
      <w:bCs/>
      <w:sz w:val="28"/>
      <w:szCs w:val="28"/>
      <w:lang w:val="zh-CN"/>
    </w:rPr>
  </w:style>
  <w:style w:type="character" w:customStyle="1" w:styleId="85">
    <w:name w:val="标题 5 Char"/>
    <w:basedOn w:val="69"/>
    <w:link w:val="7"/>
    <w:qFormat/>
    <w:uiPriority w:val="0"/>
    <w:rPr>
      <w:rFonts w:ascii="Times New Roman" w:hAnsi="Times New Roman" w:eastAsia="宋体" w:cs="Times New Roman"/>
      <w:b/>
      <w:bCs/>
      <w:sz w:val="28"/>
      <w:szCs w:val="28"/>
      <w:lang w:val="zh-CN"/>
    </w:rPr>
  </w:style>
  <w:style w:type="character" w:customStyle="1" w:styleId="86">
    <w:name w:val="标题 6 Char"/>
    <w:basedOn w:val="69"/>
    <w:link w:val="8"/>
    <w:qFormat/>
    <w:uiPriority w:val="0"/>
    <w:rPr>
      <w:rFonts w:ascii="Arial" w:hAnsi="Arial" w:eastAsia="黑体" w:cs="Times New Roman"/>
      <w:b/>
      <w:bCs/>
      <w:sz w:val="24"/>
      <w:szCs w:val="24"/>
      <w:lang w:val="zh-CN"/>
    </w:rPr>
  </w:style>
  <w:style w:type="character" w:customStyle="1" w:styleId="87">
    <w:name w:val="标题 7 Char"/>
    <w:basedOn w:val="69"/>
    <w:link w:val="9"/>
    <w:qFormat/>
    <w:uiPriority w:val="0"/>
    <w:rPr>
      <w:rFonts w:ascii="Times New Roman" w:hAnsi="Times New Roman" w:eastAsia="宋体" w:cs="Times New Roman"/>
      <w:b/>
      <w:bCs/>
      <w:sz w:val="24"/>
      <w:szCs w:val="24"/>
      <w:lang w:val="zh-CN"/>
    </w:rPr>
  </w:style>
  <w:style w:type="character" w:customStyle="1" w:styleId="88">
    <w:name w:val="标题 8 Char"/>
    <w:basedOn w:val="69"/>
    <w:link w:val="10"/>
    <w:qFormat/>
    <w:uiPriority w:val="0"/>
    <w:rPr>
      <w:rFonts w:ascii="Arial" w:hAnsi="Arial" w:eastAsia="黑体" w:cs="Times New Roman"/>
      <w:sz w:val="24"/>
      <w:szCs w:val="24"/>
      <w:lang w:val="zh-CN"/>
    </w:rPr>
  </w:style>
  <w:style w:type="character" w:customStyle="1" w:styleId="89">
    <w:name w:val="标题 9 Char"/>
    <w:basedOn w:val="69"/>
    <w:link w:val="11"/>
    <w:qFormat/>
    <w:uiPriority w:val="0"/>
    <w:rPr>
      <w:rFonts w:ascii="Arial" w:hAnsi="Arial" w:eastAsia="黑体" w:cs="Times New Roman"/>
      <w:szCs w:val="21"/>
      <w:lang w:val="zh-CN"/>
    </w:rPr>
  </w:style>
  <w:style w:type="character" w:customStyle="1" w:styleId="90">
    <w:name w:val="文档结构图 Char"/>
    <w:basedOn w:val="69"/>
    <w:qFormat/>
    <w:uiPriority w:val="0"/>
    <w:rPr>
      <w:rFonts w:ascii="宋体" w:eastAsia="宋体"/>
      <w:sz w:val="18"/>
      <w:szCs w:val="18"/>
    </w:rPr>
  </w:style>
  <w:style w:type="character" w:customStyle="1" w:styleId="91">
    <w:name w:val="批注文字 Char"/>
    <w:basedOn w:val="69"/>
    <w:qFormat/>
    <w:uiPriority w:val="99"/>
  </w:style>
  <w:style w:type="character" w:customStyle="1" w:styleId="92">
    <w:name w:val="称呼 Char"/>
    <w:basedOn w:val="69"/>
    <w:link w:val="21"/>
    <w:qFormat/>
    <w:uiPriority w:val="0"/>
    <w:rPr>
      <w:rFonts w:ascii="仿宋_GB2312" w:eastAsia="仿宋_GB2312"/>
      <w:sz w:val="28"/>
    </w:rPr>
  </w:style>
  <w:style w:type="character" w:customStyle="1" w:styleId="93">
    <w:name w:val="正文文本 3 Char"/>
    <w:basedOn w:val="69"/>
    <w:link w:val="22"/>
    <w:qFormat/>
    <w:uiPriority w:val="0"/>
  </w:style>
  <w:style w:type="character" w:customStyle="1" w:styleId="94">
    <w:name w:val="正文文本 Char"/>
    <w:basedOn w:val="69"/>
    <w:qFormat/>
    <w:uiPriority w:val="0"/>
  </w:style>
  <w:style w:type="character" w:customStyle="1" w:styleId="95">
    <w:name w:val="正文文本缩进 Char"/>
    <w:basedOn w:val="69"/>
    <w:qFormat/>
    <w:uiPriority w:val="0"/>
  </w:style>
  <w:style w:type="character" w:customStyle="1" w:styleId="96">
    <w:name w:val="HTML 地址 Char"/>
    <w:basedOn w:val="69"/>
    <w:link w:val="30"/>
    <w:qFormat/>
    <w:uiPriority w:val="0"/>
    <w:rPr>
      <w:rFonts w:ascii="宋体" w:hAnsi="宋体"/>
      <w:i/>
      <w:iCs/>
      <w:sz w:val="24"/>
      <w:szCs w:val="24"/>
    </w:rPr>
  </w:style>
  <w:style w:type="character" w:customStyle="1" w:styleId="97">
    <w:name w:val="纯文本 Char"/>
    <w:basedOn w:val="69"/>
    <w:link w:val="33"/>
    <w:qFormat/>
    <w:uiPriority w:val="0"/>
    <w:rPr>
      <w:rFonts w:ascii="宋体" w:hAnsi="Courier New" w:eastAsia="宋体" w:cs="Arial"/>
      <w:snapToGrid w:val="0"/>
      <w:szCs w:val="21"/>
    </w:rPr>
  </w:style>
  <w:style w:type="character" w:customStyle="1" w:styleId="98">
    <w:name w:val="日期 Char"/>
    <w:basedOn w:val="69"/>
    <w:link w:val="36"/>
    <w:qFormat/>
    <w:uiPriority w:val="0"/>
    <w:rPr>
      <w:rFonts w:ascii="宋体"/>
      <w:sz w:val="24"/>
      <w:szCs w:val="21"/>
      <w:lang w:val="zh-CN"/>
    </w:rPr>
  </w:style>
  <w:style w:type="character" w:customStyle="1" w:styleId="99">
    <w:name w:val="正文文本缩进 2 Char"/>
    <w:basedOn w:val="69"/>
    <w:link w:val="37"/>
    <w:qFormat/>
    <w:uiPriority w:val="0"/>
    <w:rPr>
      <w:rFonts w:ascii="宋体"/>
      <w:sz w:val="28"/>
    </w:rPr>
  </w:style>
  <w:style w:type="character" w:customStyle="1" w:styleId="100">
    <w:name w:val="批注框文本 Char"/>
    <w:basedOn w:val="69"/>
    <w:link w:val="38"/>
    <w:qFormat/>
    <w:uiPriority w:val="0"/>
    <w:rPr>
      <w:sz w:val="18"/>
      <w:szCs w:val="18"/>
    </w:rPr>
  </w:style>
  <w:style w:type="character" w:customStyle="1" w:styleId="101">
    <w:name w:val="签名 Char"/>
    <w:basedOn w:val="69"/>
    <w:link w:val="41"/>
    <w:qFormat/>
    <w:uiPriority w:val="0"/>
    <w:rPr>
      <w:rFonts w:eastAsia="仿宋_GB2312"/>
      <w:sz w:val="24"/>
    </w:rPr>
  </w:style>
  <w:style w:type="character" w:customStyle="1" w:styleId="102">
    <w:name w:val="副标题 Char"/>
    <w:basedOn w:val="69"/>
    <w:link w:val="46"/>
    <w:qFormat/>
    <w:uiPriority w:val="0"/>
    <w:rPr>
      <w:rFonts w:ascii="Arial" w:hAnsi="Arial" w:eastAsia="隶书"/>
      <w:b/>
      <w:bCs/>
      <w:kern w:val="28"/>
      <w:sz w:val="44"/>
      <w:szCs w:val="32"/>
    </w:rPr>
  </w:style>
  <w:style w:type="character" w:customStyle="1" w:styleId="103">
    <w:name w:val="脚注文本 Char"/>
    <w:basedOn w:val="69"/>
    <w:link w:val="49"/>
    <w:qFormat/>
    <w:uiPriority w:val="0"/>
    <w:rPr>
      <w:color w:val="0000FF"/>
    </w:rPr>
  </w:style>
  <w:style w:type="character" w:customStyle="1" w:styleId="104">
    <w:name w:val="正文文本缩进 3 Char"/>
    <w:basedOn w:val="69"/>
    <w:link w:val="52"/>
    <w:qFormat/>
    <w:uiPriority w:val="0"/>
    <w:rPr>
      <w:sz w:val="24"/>
    </w:rPr>
  </w:style>
  <w:style w:type="character" w:customStyle="1" w:styleId="105">
    <w:name w:val="正文文本 2 Char"/>
    <w:basedOn w:val="69"/>
    <w:qFormat/>
    <w:uiPriority w:val="0"/>
  </w:style>
  <w:style w:type="character" w:customStyle="1" w:styleId="106">
    <w:name w:val="HTML 预设格式 Char"/>
    <w:basedOn w:val="69"/>
    <w:link w:val="56"/>
    <w:qFormat/>
    <w:uiPriority w:val="0"/>
    <w:rPr>
      <w:rFonts w:ascii="黑体" w:hAnsi="Courier New" w:eastAsia="黑体"/>
    </w:rPr>
  </w:style>
  <w:style w:type="character" w:customStyle="1" w:styleId="107">
    <w:name w:val="标题 Char"/>
    <w:basedOn w:val="69"/>
    <w:qFormat/>
    <w:uiPriority w:val="0"/>
    <w:rPr>
      <w:rFonts w:eastAsia="宋体" w:asciiTheme="majorHAnsi" w:hAnsiTheme="majorHAnsi" w:cstheme="majorBidi"/>
      <w:b/>
      <w:bCs/>
      <w:sz w:val="32"/>
      <w:szCs w:val="32"/>
    </w:rPr>
  </w:style>
  <w:style w:type="character" w:customStyle="1" w:styleId="108">
    <w:name w:val="批注主题 Char"/>
    <w:basedOn w:val="91"/>
    <w:qFormat/>
    <w:uiPriority w:val="0"/>
    <w:rPr>
      <w:b/>
      <w:bCs/>
    </w:rPr>
  </w:style>
  <w:style w:type="character" w:customStyle="1" w:styleId="109">
    <w:name w:val="正文首行缩进 Char"/>
    <w:basedOn w:val="94"/>
    <w:link w:val="60"/>
    <w:qFormat/>
    <w:uiPriority w:val="0"/>
    <w:rPr>
      <w:rFonts w:ascii="宋体"/>
      <w:sz w:val="24"/>
      <w:lang w:val="zh-CN"/>
    </w:rPr>
  </w:style>
  <w:style w:type="character" w:customStyle="1" w:styleId="110">
    <w:name w:val="正文首行缩进 2 Char"/>
    <w:basedOn w:val="95"/>
    <w:link w:val="61"/>
    <w:qFormat/>
    <w:uiPriority w:val="0"/>
    <w:rPr>
      <w:rFonts w:ascii="宋体" w:hAnsi="宋体"/>
      <w:szCs w:val="24"/>
    </w:rPr>
  </w:style>
  <w:style w:type="character" w:customStyle="1" w:styleId="111">
    <w:name w:val="solutionfonts"/>
    <w:qFormat/>
    <w:uiPriority w:val="0"/>
  </w:style>
  <w:style w:type="character" w:customStyle="1" w:styleId="112">
    <w:name w:val="Font Style82"/>
    <w:qFormat/>
    <w:uiPriority w:val="99"/>
    <w:rPr>
      <w:rFonts w:ascii="宋体" w:eastAsia="宋体" w:cs="宋体"/>
      <w:color w:val="000000"/>
      <w:sz w:val="14"/>
      <w:szCs w:val="14"/>
    </w:rPr>
  </w:style>
  <w:style w:type="character" w:customStyle="1" w:styleId="113">
    <w:name w:val="此正文 Char"/>
    <w:link w:val="114"/>
    <w:qFormat/>
    <w:uiPriority w:val="0"/>
    <w:rPr>
      <w:sz w:val="24"/>
      <w:szCs w:val="24"/>
    </w:rPr>
  </w:style>
  <w:style w:type="paragraph" w:customStyle="1" w:styleId="114">
    <w:name w:val="此正文"/>
    <w:basedOn w:val="1"/>
    <w:link w:val="113"/>
    <w:qFormat/>
    <w:uiPriority w:val="0"/>
    <w:pPr>
      <w:spacing w:line="360" w:lineRule="auto"/>
      <w:ind w:firstLine="200" w:firstLineChars="200"/>
    </w:pPr>
    <w:rPr>
      <w:sz w:val="24"/>
      <w:szCs w:val="24"/>
    </w:rPr>
  </w:style>
  <w:style w:type="character" w:customStyle="1" w:styleId="115">
    <w:name w:val="Char Char10"/>
    <w:semiHidden/>
    <w:qFormat/>
    <w:uiPriority w:val="0"/>
    <w:rPr>
      <w:rFonts w:ascii="宋体" w:hAnsi="宋体"/>
      <w:kern w:val="2"/>
      <w:sz w:val="21"/>
      <w:szCs w:val="24"/>
      <w:lang w:val="en-US" w:eastAsia="zh-CN"/>
    </w:rPr>
  </w:style>
  <w:style w:type="character" w:customStyle="1" w:styleId="116">
    <w:name w:val="h Char Char"/>
    <w:qFormat/>
    <w:uiPriority w:val="0"/>
    <w:rPr>
      <w:rFonts w:eastAsia="宋体"/>
      <w:kern w:val="2"/>
      <w:sz w:val="18"/>
      <w:lang w:val="en-US" w:eastAsia="zh-CN" w:bidi="ar-SA"/>
    </w:rPr>
  </w:style>
  <w:style w:type="character" w:customStyle="1" w:styleId="117">
    <w:name w:val="Bold"/>
    <w:qFormat/>
    <w:uiPriority w:val="0"/>
    <w:rPr>
      <w:rFonts w:ascii="Arial" w:hAnsi="Arial" w:eastAsia="黑体" w:cs="Times New Roman"/>
      <w:b/>
      <w:kern w:val="2"/>
      <w:sz w:val="32"/>
      <w:szCs w:val="32"/>
      <w:lang w:val="en-US" w:eastAsia="zh-CN" w:bidi="ar-SA"/>
    </w:rPr>
  </w:style>
  <w:style w:type="character" w:customStyle="1" w:styleId="118">
    <w:name w:val="Ò³Ã¼ Char Char"/>
    <w:qFormat/>
    <w:uiPriority w:val="0"/>
    <w:rPr>
      <w:rFonts w:eastAsia="宋体"/>
      <w:kern w:val="2"/>
      <w:sz w:val="18"/>
      <w:lang w:val="en-US" w:eastAsia="zh-CN" w:bidi="ar-SA"/>
    </w:rPr>
  </w:style>
  <w:style w:type="character" w:customStyle="1" w:styleId="119">
    <w:name w:val="标准正文格式 Char"/>
    <w:qFormat/>
    <w:uiPriority w:val="0"/>
    <w:rPr>
      <w:rFonts w:ascii="宋体" w:eastAsia="仿宋_GB2312" w:cs="宋体"/>
      <w:color w:val="000000"/>
      <w:sz w:val="24"/>
      <w:lang w:val="en-US" w:eastAsia="zh-CN" w:bidi="ar-SA"/>
    </w:rPr>
  </w:style>
  <w:style w:type="character" w:customStyle="1" w:styleId="120">
    <w:name w:val="Char Char8"/>
    <w:qFormat/>
    <w:uiPriority w:val="0"/>
    <w:rPr>
      <w:rFonts w:eastAsia="宋体"/>
      <w:b/>
      <w:sz w:val="24"/>
      <w:lang w:val="en-GB" w:eastAsia="zh-CN"/>
    </w:rPr>
  </w:style>
  <w:style w:type="character" w:customStyle="1" w:styleId="121">
    <w:name w:val="No Spacing Char"/>
    <w:link w:val="122"/>
    <w:qFormat/>
    <w:uiPriority w:val="1"/>
    <w:rPr>
      <w:rFonts w:ascii="Calibri" w:hAnsi="Calibri"/>
      <w:sz w:val="22"/>
    </w:rPr>
  </w:style>
  <w:style w:type="paragraph" w:customStyle="1" w:styleId="122">
    <w:name w:val="无间隔1"/>
    <w:link w:val="121"/>
    <w:qFormat/>
    <w:uiPriority w:val="1"/>
    <w:rPr>
      <w:rFonts w:ascii="Calibri" w:hAnsi="Calibri" w:eastAsiaTheme="minorEastAsia" w:cstheme="minorBidi"/>
      <w:kern w:val="2"/>
      <w:sz w:val="22"/>
      <w:szCs w:val="22"/>
      <w:lang w:val="en-US" w:eastAsia="zh-CN" w:bidi="ar-SA"/>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highlight1"/>
    <w:qFormat/>
    <w:uiPriority w:val="0"/>
    <w:rPr>
      <w:rFonts w:ascii="仿宋_GB2312" w:eastAsia="微软雅黑"/>
      <w:b/>
      <w:kern w:val="2"/>
      <w:sz w:val="23"/>
      <w:szCs w:val="23"/>
      <w:lang w:val="en-US" w:eastAsia="zh-CN" w:bidi="ar-SA"/>
    </w:rPr>
  </w:style>
  <w:style w:type="character" w:customStyle="1" w:styleId="125">
    <w:name w:val="ca-131"/>
    <w:qFormat/>
    <w:uiPriority w:val="0"/>
    <w:rPr>
      <w:rFonts w:hint="eastAsia" w:ascii="仿宋_GB2312" w:eastAsia="仿宋_GB2312"/>
      <w:b/>
      <w:bCs/>
      <w:color w:val="000000"/>
      <w:spacing w:val="-20"/>
      <w:sz w:val="24"/>
      <w:szCs w:val="24"/>
    </w:rPr>
  </w:style>
  <w:style w:type="character" w:customStyle="1" w:styleId="126">
    <w:name w:val="h3 Char"/>
    <w:qFormat/>
    <w:uiPriority w:val="0"/>
    <w:rPr>
      <w:rFonts w:eastAsia="宋体"/>
      <w:b/>
      <w:kern w:val="2"/>
      <w:sz w:val="32"/>
      <w:lang w:val="en-US" w:eastAsia="zh-CN" w:bidi="ar-SA"/>
    </w:rPr>
  </w:style>
  <w:style w:type="character" w:customStyle="1" w:styleId="127">
    <w:name w:val="Char Char12"/>
    <w:qFormat/>
    <w:uiPriority w:val="0"/>
    <w:rPr>
      <w:rFonts w:ascii="仿宋_GB2312" w:eastAsia="仿宋_GB2312"/>
      <w:b/>
      <w:bCs/>
      <w:kern w:val="2"/>
      <w:sz w:val="24"/>
      <w:szCs w:val="24"/>
      <w:lang w:val="zh-CN" w:eastAsia="zh-CN" w:bidi="ar-SA"/>
    </w:rPr>
  </w:style>
  <w:style w:type="character" w:customStyle="1" w:styleId="128">
    <w:name w:val="Comment Text Char"/>
    <w:qFormat/>
    <w:locked/>
    <w:uiPriority w:val="0"/>
    <w:rPr>
      <w:rFonts w:ascii="宋体" w:hAnsi="宋体" w:eastAsia="宋体"/>
      <w:kern w:val="2"/>
      <w:sz w:val="24"/>
      <w:lang w:val="en-US" w:eastAsia="zh-CN" w:bidi="ar-SA"/>
    </w:rPr>
  </w:style>
  <w:style w:type="character" w:customStyle="1" w:styleId="129">
    <w:name w:val="仿宋正文 Char"/>
    <w:link w:val="130"/>
    <w:qFormat/>
    <w:uiPriority w:val="0"/>
    <w:rPr>
      <w:rFonts w:ascii="仿宋_GB2312" w:eastAsia="仿宋_GB2312"/>
      <w:sz w:val="24"/>
    </w:rPr>
  </w:style>
  <w:style w:type="paragraph" w:customStyle="1" w:styleId="130">
    <w:name w:val="仿宋正文"/>
    <w:basedOn w:val="1"/>
    <w:link w:val="129"/>
    <w:qFormat/>
    <w:uiPriority w:val="0"/>
    <w:pPr>
      <w:spacing w:line="360" w:lineRule="auto"/>
      <w:ind w:firstLine="480" w:firstLineChars="200"/>
    </w:pPr>
    <w:rPr>
      <w:rFonts w:ascii="仿宋_GB2312" w:eastAsia="仿宋_GB2312"/>
      <w:sz w:val="24"/>
    </w:rPr>
  </w:style>
  <w:style w:type="character" w:customStyle="1" w:styleId="131">
    <w:name w:val="style91"/>
    <w:qFormat/>
    <w:uiPriority w:val="0"/>
    <w:rPr>
      <w:color w:val="333333"/>
    </w:rPr>
  </w:style>
  <w:style w:type="character" w:customStyle="1" w:styleId="132">
    <w:name w:val="Char Char4"/>
    <w:qFormat/>
    <w:uiPriority w:val="0"/>
    <w:rPr>
      <w:rFonts w:eastAsia="宋体"/>
      <w:b/>
      <w:sz w:val="24"/>
      <w:lang w:val="en-GB" w:eastAsia="zh-CN" w:bidi="ar-SA"/>
    </w:rPr>
  </w:style>
  <w:style w:type="character" w:customStyle="1" w:styleId="133">
    <w:name w:val="Char Char2"/>
    <w:qFormat/>
    <w:uiPriority w:val="0"/>
    <w:rPr>
      <w:rFonts w:eastAsia="宋体"/>
      <w:b/>
      <w:bCs/>
      <w:kern w:val="2"/>
      <w:sz w:val="21"/>
      <w:szCs w:val="24"/>
      <w:lang w:val="en-US" w:eastAsia="zh-CN" w:bidi="ar-SA"/>
    </w:rPr>
  </w:style>
  <w:style w:type="character" w:customStyle="1" w:styleId="134">
    <w:name w:val="正文 项目2 Char"/>
    <w:basedOn w:val="135"/>
    <w:qFormat/>
    <w:uiPriority w:val="0"/>
    <w:rPr>
      <w:rFonts w:ascii="仿宋_GB2312" w:hAnsi="仿宋_GB2312" w:eastAsia="仿宋_GB2312"/>
      <w:kern w:val="2"/>
      <w:sz w:val="24"/>
      <w:lang w:bidi="ar-SA"/>
    </w:rPr>
  </w:style>
  <w:style w:type="character" w:customStyle="1" w:styleId="135">
    <w:name w:val="正文 项目 Char"/>
    <w:qFormat/>
    <w:uiPriority w:val="0"/>
    <w:rPr>
      <w:rFonts w:ascii="仿宋_GB2312" w:hAnsi="仿宋_GB2312" w:eastAsia="仿宋_GB2312"/>
      <w:kern w:val="2"/>
      <w:sz w:val="24"/>
      <w:lang w:bidi="ar-SA"/>
    </w:rPr>
  </w:style>
  <w:style w:type="character" w:customStyle="1" w:styleId="136">
    <w:name w:val="页眉 Char1"/>
    <w:qFormat/>
    <w:uiPriority w:val="0"/>
    <w:rPr>
      <w:rFonts w:eastAsia="宋体"/>
      <w:kern w:val="2"/>
      <w:sz w:val="18"/>
      <w:szCs w:val="18"/>
      <w:lang w:val="en-US" w:eastAsia="zh-CN" w:bidi="ar-SA"/>
    </w:rPr>
  </w:style>
  <w:style w:type="character" w:customStyle="1" w:styleId="137">
    <w:name w:val="正文文本缩进 Char1"/>
    <w:qFormat/>
    <w:uiPriority w:val="0"/>
    <w:rPr>
      <w:rFonts w:ascii="宋体" w:hAnsi="宋体"/>
      <w:kern w:val="2"/>
      <w:sz w:val="24"/>
      <w:szCs w:val="24"/>
    </w:rPr>
  </w:style>
  <w:style w:type="character" w:customStyle="1" w:styleId="138">
    <w:name w:val="big1"/>
    <w:qFormat/>
    <w:uiPriority w:val="0"/>
    <w:rPr>
      <w:rFonts w:hint="eastAsia" w:ascii="宋体" w:hAnsi="宋体" w:eastAsia="宋体"/>
      <w:color w:val="333333"/>
      <w:sz w:val="22"/>
      <w:szCs w:val="22"/>
    </w:rPr>
  </w:style>
  <w:style w:type="character" w:customStyle="1" w:styleId="139">
    <w:name w:val="h Char Char1"/>
    <w:qFormat/>
    <w:uiPriority w:val="0"/>
    <w:rPr>
      <w:rFonts w:eastAsia="宋体"/>
      <w:kern w:val="2"/>
      <w:sz w:val="18"/>
      <w:szCs w:val="18"/>
      <w:lang w:val="en-US" w:eastAsia="zh-CN" w:bidi="ar-SA"/>
    </w:rPr>
  </w:style>
  <w:style w:type="character" w:customStyle="1" w:styleId="140">
    <w:name w:val="样式8 Char"/>
    <w:qFormat/>
    <w:uiPriority w:val="0"/>
    <w:rPr>
      <w:rFonts w:ascii="仿宋_GB2312" w:hAnsi="宋体" w:eastAsia="仿宋_GB2312"/>
      <w:b/>
      <w:bCs/>
      <w:kern w:val="2"/>
      <w:sz w:val="24"/>
      <w:szCs w:val="24"/>
    </w:rPr>
  </w:style>
  <w:style w:type="character" w:customStyle="1" w:styleId="141">
    <w:name w:val="页脚 Char1"/>
    <w:qFormat/>
    <w:uiPriority w:val="0"/>
    <w:rPr>
      <w:rFonts w:eastAsia="宋体"/>
      <w:kern w:val="2"/>
      <w:sz w:val="18"/>
      <w:szCs w:val="18"/>
      <w:lang w:val="en-US" w:eastAsia="zh-CN" w:bidi="ar-SA"/>
    </w:rPr>
  </w:style>
  <w:style w:type="character" w:customStyle="1" w:styleId="142">
    <w:name w:val="myp11"/>
    <w:qFormat/>
    <w:uiPriority w:val="0"/>
    <w:rPr>
      <w:rFonts w:ascii="仿宋_GB2312" w:eastAsia="微软雅黑"/>
      <w:b/>
      <w:kern w:val="2"/>
      <w:sz w:val="32"/>
      <w:szCs w:val="32"/>
      <w:lang w:val="en-US" w:eastAsia="zh-CN" w:bidi="ar-SA"/>
    </w:rPr>
  </w:style>
  <w:style w:type="character" w:customStyle="1" w:styleId="143">
    <w:name w:val="tw4winTerm"/>
    <w:qFormat/>
    <w:uiPriority w:val="0"/>
    <w:rPr>
      <w:color w:val="0000FF"/>
    </w:rPr>
  </w:style>
  <w:style w:type="character" w:customStyle="1" w:styleId="144">
    <w:name w:val="标题 2 Char Char"/>
    <w:qFormat/>
    <w:uiPriority w:val="0"/>
    <w:rPr>
      <w:rFonts w:ascii="楷体_GB2312" w:hAnsi="Arial" w:eastAsia="楷体_GB2312"/>
      <w:b/>
      <w:bCs/>
      <w:kern w:val="2"/>
      <w:sz w:val="24"/>
      <w:szCs w:val="32"/>
      <w:lang w:val="en-US" w:eastAsia="zh-CN" w:bidi="ar-SA"/>
    </w:rPr>
  </w:style>
  <w:style w:type="character" w:customStyle="1" w:styleId="145">
    <w:name w:val="hei16b1"/>
    <w:qFormat/>
    <w:uiPriority w:val="0"/>
    <w:rPr>
      <w:rFonts w:hint="default" w:ascii="Arial" w:hAnsi="Arial" w:cs="Arial"/>
      <w:b/>
      <w:bCs/>
      <w:color w:val="000000"/>
      <w:sz w:val="24"/>
      <w:szCs w:val="24"/>
    </w:rPr>
  </w:style>
  <w:style w:type="character" w:customStyle="1" w:styleId="146">
    <w:name w:val="Heading 7 Char"/>
    <w:qFormat/>
    <w:locked/>
    <w:uiPriority w:val="0"/>
    <w:rPr>
      <w:rFonts w:ascii="宋体" w:hAnsi="宋体" w:eastAsia="宋体"/>
      <w:b/>
      <w:bCs/>
      <w:kern w:val="2"/>
      <w:sz w:val="24"/>
      <w:szCs w:val="24"/>
      <w:lang w:val="en-US" w:eastAsia="zh-CN" w:bidi="ar-SA"/>
    </w:rPr>
  </w:style>
  <w:style w:type="character" w:customStyle="1" w:styleId="147">
    <w:name w:val="Char Char6"/>
    <w:qFormat/>
    <w:uiPriority w:val="0"/>
    <w:rPr>
      <w:rFonts w:eastAsia="宋体"/>
      <w:kern w:val="2"/>
      <w:sz w:val="21"/>
      <w:szCs w:val="24"/>
      <w:lang w:val="en-US" w:eastAsia="zh-CN" w:bidi="ar-SA"/>
    </w:rPr>
  </w:style>
  <w:style w:type="character" w:customStyle="1" w:styleId="148">
    <w:name w:val="哈哈正文 Char"/>
    <w:link w:val="149"/>
    <w:qFormat/>
    <w:uiPriority w:val="0"/>
    <w:rPr>
      <w:rFonts w:ascii="宋体" w:hAnsi="宋体" w:eastAsia="宋体"/>
      <w:sz w:val="24"/>
    </w:rPr>
  </w:style>
  <w:style w:type="paragraph" w:customStyle="1" w:styleId="149">
    <w:name w:val="哈哈正文"/>
    <w:basedOn w:val="1"/>
    <w:link w:val="148"/>
    <w:qFormat/>
    <w:uiPriority w:val="0"/>
    <w:pPr>
      <w:spacing w:line="360" w:lineRule="auto"/>
      <w:ind w:firstLine="200" w:firstLineChars="200"/>
    </w:pPr>
    <w:rPr>
      <w:rFonts w:ascii="宋体" w:hAnsi="宋体" w:eastAsia="宋体"/>
      <w:sz w:val="24"/>
    </w:rPr>
  </w:style>
  <w:style w:type="character" w:customStyle="1" w:styleId="150">
    <w:name w:val="pt141"/>
    <w:qFormat/>
    <w:uiPriority w:val="0"/>
    <w:rPr>
      <w:color w:val="330066"/>
      <w:sz w:val="22"/>
      <w:szCs w:val="22"/>
    </w:rPr>
  </w:style>
  <w:style w:type="character" w:customStyle="1" w:styleId="151">
    <w:name w:val="普通文字 Char3"/>
    <w:qFormat/>
    <w:uiPriority w:val="0"/>
    <w:rPr>
      <w:rFonts w:ascii="宋体" w:hAnsi="Courier New" w:eastAsia="宋体"/>
      <w:kern w:val="2"/>
      <w:sz w:val="21"/>
      <w:lang w:val="en-US" w:eastAsia="zh-CN" w:bidi="ar-SA"/>
    </w:rPr>
  </w:style>
  <w:style w:type="character" w:customStyle="1" w:styleId="15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53">
    <w:name w:val="正文文本 Char1"/>
    <w:link w:val="24"/>
    <w:qFormat/>
    <w:uiPriority w:val="0"/>
    <w:rPr>
      <w:rFonts w:ascii="宋体" w:hAnsi="Arial" w:eastAsia="宋体" w:cs="Arial"/>
      <w:snapToGrid w:val="0"/>
      <w:sz w:val="24"/>
      <w:szCs w:val="21"/>
      <w:lang w:val="zh-CN"/>
    </w:rPr>
  </w:style>
  <w:style w:type="character" w:customStyle="1" w:styleId="154">
    <w:name w:val="正文2 Char"/>
    <w:qFormat/>
    <w:uiPriority w:val="0"/>
    <w:rPr>
      <w:rFonts w:eastAsia="宋体"/>
      <w:kern w:val="2"/>
      <w:sz w:val="24"/>
      <w:lang w:val="en-US" w:eastAsia="zh-CN" w:bidi="ar-SA"/>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ader Char"/>
    <w:qFormat/>
    <w:locked/>
    <w:uiPriority w:val="0"/>
    <w:rPr>
      <w:rFonts w:eastAsia="宋体"/>
      <w:kern w:val="2"/>
      <w:sz w:val="18"/>
      <w:szCs w:val="18"/>
      <w:lang w:val="en-US" w:eastAsia="zh-CN" w:bidi="ar-SA"/>
    </w:rPr>
  </w:style>
  <w:style w:type="character" w:customStyle="1" w:styleId="157">
    <w:name w:val="Footer-Even Char1"/>
    <w:qFormat/>
    <w:uiPriority w:val="0"/>
    <w:rPr>
      <w:rFonts w:eastAsia="宋体"/>
      <w:kern w:val="2"/>
      <w:sz w:val="18"/>
      <w:szCs w:val="18"/>
      <w:lang w:val="en-US" w:eastAsia="zh-CN" w:bidi="ar-SA"/>
    </w:rPr>
  </w:style>
  <w:style w:type="character" w:customStyle="1" w:styleId="158">
    <w:name w:val="unnamed31"/>
    <w:qFormat/>
    <w:uiPriority w:val="0"/>
    <w:rPr>
      <w:rFonts w:ascii="Tahoma" w:hAnsi="Tahoma" w:eastAsia="宋体"/>
      <w:b/>
      <w:kern w:val="2"/>
      <w:sz w:val="24"/>
      <w:szCs w:val="32"/>
      <w:u w:val="none"/>
      <w:lang w:val="en-US" w:eastAsia="zh-CN" w:bidi="ar-SA"/>
    </w:rPr>
  </w:style>
  <w:style w:type="character" w:customStyle="1" w:styleId="159">
    <w:name w:val="纯文本 Char Char Char"/>
    <w:qFormat/>
    <w:uiPriority w:val="0"/>
    <w:rPr>
      <w:rFonts w:ascii="宋体" w:hAnsi="Courier New" w:eastAsia="宋体"/>
      <w:kern w:val="2"/>
      <w:sz w:val="21"/>
      <w:lang w:val="en-US" w:eastAsia="zh-CN" w:bidi="ar-SA"/>
    </w:rPr>
  </w:style>
  <w:style w:type="character" w:customStyle="1" w:styleId="160">
    <w:name w:val="Body Text(ch) Char Char"/>
    <w:qFormat/>
    <w:uiPriority w:val="0"/>
    <w:rPr>
      <w:rFonts w:ascii="宋体"/>
      <w:kern w:val="2"/>
      <w:sz w:val="24"/>
      <w:szCs w:val="21"/>
      <w:lang w:val="zh-CN"/>
    </w:rPr>
  </w:style>
  <w:style w:type="character" w:customStyle="1" w:styleId="161">
    <w:name w:val="插图说明 Char"/>
    <w:qFormat/>
    <w:uiPriority w:val="0"/>
    <w:rPr>
      <w:rFonts w:eastAsia="黑体"/>
      <w:sz w:val="24"/>
      <w:lang w:val="en-US" w:eastAsia="zh-CN"/>
    </w:rPr>
  </w:style>
  <w:style w:type="character" w:customStyle="1" w:styleId="162">
    <w:name w:val="tw4winExternal"/>
    <w:qFormat/>
    <w:uiPriority w:val="0"/>
    <w:rPr>
      <w:rFonts w:ascii="Courier New" w:hAnsi="Courier New" w:cs="Courier New"/>
      <w:color w:val="808080"/>
      <w:lang w:val="en-US" w:eastAsia="zh-CN"/>
    </w:rPr>
  </w:style>
  <w:style w:type="character" w:customStyle="1" w:styleId="163">
    <w:name w:val="font21"/>
    <w:qFormat/>
    <w:uiPriority w:val="0"/>
    <w:rPr>
      <w:rFonts w:hint="eastAsia" w:ascii="宋体" w:hAnsi="宋体" w:eastAsia="宋体"/>
      <w:kern w:val="2"/>
      <w:sz w:val="28"/>
      <w:szCs w:val="28"/>
      <w:lang w:val="en-US" w:eastAsia="zh-CN" w:bidi="ar-SA"/>
    </w:rPr>
  </w:style>
  <w:style w:type="character" w:customStyle="1" w:styleId="164">
    <w:name w:val="标书正文格式 Char"/>
    <w:qFormat/>
    <w:uiPriority w:val="0"/>
    <w:rPr>
      <w:rFonts w:eastAsia="楷体_GB2312"/>
      <w:kern w:val="2"/>
      <w:sz w:val="24"/>
      <w:szCs w:val="24"/>
      <w:lang w:bidi="ar-SA"/>
    </w:rPr>
  </w:style>
  <w:style w:type="character" w:customStyle="1" w:styleId="165">
    <w:name w:val="javascript"/>
    <w:qFormat/>
    <w:uiPriority w:val="0"/>
  </w:style>
  <w:style w:type="character" w:customStyle="1" w:styleId="166">
    <w:name w:val="Balloon Text Char"/>
    <w:qFormat/>
    <w:locked/>
    <w:uiPriority w:val="0"/>
    <w:rPr>
      <w:rFonts w:eastAsia="宋体"/>
      <w:kern w:val="2"/>
      <w:sz w:val="18"/>
      <w:szCs w:val="18"/>
      <w:lang w:val="en-US" w:eastAsia="zh-CN" w:bidi="ar-SA"/>
    </w:rPr>
  </w:style>
  <w:style w:type="character" w:customStyle="1" w:styleId="167">
    <w:name w:val="Char Char5"/>
    <w:qFormat/>
    <w:uiPriority w:val="0"/>
    <w:rPr>
      <w:rFonts w:ascii="宋体" w:hAnsi="Courier New" w:eastAsia="宋体"/>
      <w:kern w:val="2"/>
      <w:sz w:val="21"/>
      <w:lang w:val="en-US"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mdeck"/>
    <w:qFormat/>
    <w:uiPriority w:val="0"/>
    <w:rPr>
      <w:rFonts w:ascii="仿宋_GB2312" w:eastAsia="微软雅黑"/>
      <w:b/>
      <w:kern w:val="2"/>
      <w:sz w:val="32"/>
      <w:szCs w:val="32"/>
      <w:lang w:val="en-US" w:eastAsia="zh-CN" w:bidi="ar-SA"/>
    </w:rPr>
  </w:style>
  <w:style w:type="character" w:customStyle="1" w:styleId="170">
    <w:name w:val="content"/>
    <w:qFormat/>
    <w:uiPriority w:val="0"/>
  </w:style>
  <w:style w:type="character" w:customStyle="1" w:styleId="171">
    <w:name w:val="Char Char3"/>
    <w:qFormat/>
    <w:uiPriority w:val="0"/>
    <w:rPr>
      <w:rFonts w:eastAsia="宋体"/>
      <w:kern w:val="2"/>
      <w:sz w:val="21"/>
      <w:szCs w:val="24"/>
      <w:lang w:val="en-US" w:eastAsia="zh-CN" w:bidi="ar-SA"/>
    </w:rPr>
  </w:style>
  <w:style w:type="character" w:customStyle="1" w:styleId="172">
    <w:name w:val="Char Char811"/>
    <w:qFormat/>
    <w:uiPriority w:val="0"/>
    <w:rPr>
      <w:rFonts w:eastAsia="宋体"/>
      <w:b/>
      <w:sz w:val="24"/>
      <w:lang w:val="en-GB" w:eastAsia="zh-CN"/>
    </w:rPr>
  </w:style>
  <w:style w:type="character" w:customStyle="1" w:styleId="173">
    <w:name w:val="b11_01b Char"/>
    <w:link w:val="174"/>
    <w:qFormat/>
    <w:uiPriority w:val="0"/>
    <w:rPr>
      <w:rFonts w:ascii="Verdana" w:hAnsi="Verdana"/>
      <w:b/>
      <w:bCs/>
      <w:color w:val="4A82CA"/>
      <w:sz w:val="17"/>
      <w:szCs w:val="17"/>
    </w:rPr>
  </w:style>
  <w:style w:type="paragraph" w:customStyle="1" w:styleId="174">
    <w:name w:val="b11_01b"/>
    <w:basedOn w:val="1"/>
    <w:next w:val="1"/>
    <w:link w:val="173"/>
    <w:qFormat/>
    <w:uiPriority w:val="0"/>
    <w:pPr>
      <w:widowControl/>
      <w:spacing w:before="100" w:beforeAutospacing="1" w:after="100" w:afterAutospacing="1" w:line="384" w:lineRule="auto"/>
      <w:jc w:val="left"/>
    </w:pPr>
    <w:rPr>
      <w:rFonts w:ascii="Verdana" w:hAnsi="Verdana"/>
      <w:b/>
      <w:bCs/>
      <w:color w:val="4A82CA"/>
      <w:sz w:val="17"/>
      <w:szCs w:val="17"/>
    </w:rPr>
  </w:style>
  <w:style w:type="character" w:customStyle="1" w:styleId="175">
    <w:name w:val="标题4-dyf Char"/>
    <w:link w:val="176"/>
    <w:qFormat/>
    <w:uiPriority w:val="0"/>
    <w:rPr>
      <w:rFonts w:ascii="Cambria" w:hAnsi="Cambria"/>
      <w:b/>
      <w:bCs/>
      <w:color w:val="000000"/>
      <w:szCs w:val="21"/>
    </w:rPr>
  </w:style>
  <w:style w:type="paragraph" w:customStyle="1" w:styleId="176">
    <w:name w:val="标题4-dyf"/>
    <w:basedOn w:val="6"/>
    <w:link w:val="175"/>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gray6"/>
    <w:basedOn w:val="69"/>
    <w:qFormat/>
    <w:uiPriority w:val="0"/>
    <w:rPr>
      <w:rFonts w:ascii="Arial" w:hAnsi="Arial" w:eastAsia="黑体" w:cs="Arial"/>
      <w:snapToGrid w:val="0"/>
      <w:kern w:val="0"/>
      <w:szCs w:val="21"/>
    </w:rPr>
  </w:style>
  <w:style w:type="character" w:customStyle="1" w:styleId="179">
    <w:name w:val="正文首行缩进两字 Char"/>
    <w:qFormat/>
    <w:uiPriority w:val="0"/>
    <w:rPr>
      <w:sz w:val="24"/>
      <w:szCs w:val="24"/>
      <w:lang w:val="en-US" w:eastAsia="zh-CN" w:bidi="ar-SA"/>
    </w:rPr>
  </w:style>
  <w:style w:type="character" w:customStyle="1" w:styleId="180">
    <w:name w:val="Char Char511"/>
    <w:qFormat/>
    <w:uiPriority w:val="0"/>
    <w:rPr>
      <w:rFonts w:ascii="宋体" w:hAnsi="Courier New" w:eastAsia="宋体"/>
      <w:kern w:val="2"/>
      <w:sz w:val="21"/>
      <w:lang w:val="en-US" w:eastAsia="zh-CN"/>
    </w:rPr>
  </w:style>
  <w:style w:type="character" w:customStyle="1" w:styleId="181">
    <w:name w:val="带编号样式 Char"/>
    <w:qFormat/>
    <w:uiPriority w:val="0"/>
    <w:rPr>
      <w:rFonts w:ascii="仿宋_GB2312" w:eastAsia="仿宋_GB2312"/>
      <w:color w:val="000000"/>
      <w:sz w:val="24"/>
      <w:lang w:bidi="ar-SA"/>
    </w:rPr>
  </w:style>
  <w:style w:type="character" w:customStyle="1" w:styleId="182">
    <w:name w:val="Footer-Even Char"/>
    <w:qFormat/>
    <w:uiPriority w:val="0"/>
    <w:rPr>
      <w:rFonts w:eastAsia="宋体"/>
      <w:kern w:val="2"/>
      <w:sz w:val="18"/>
      <w:lang w:val="en-US" w:eastAsia="zh-CN" w:bidi="ar-SA"/>
    </w:rPr>
  </w:style>
  <w:style w:type="character" w:customStyle="1" w:styleId="183">
    <w:name w:val="样式4 Char"/>
    <w:qFormat/>
    <w:uiPriority w:val="0"/>
    <w:rPr>
      <w:rFonts w:ascii="仿宋_GB2312" w:hAnsi="仿宋" w:eastAsia="仿宋_GB2312"/>
      <w:b/>
      <w:kern w:val="2"/>
      <w:sz w:val="32"/>
      <w:szCs w:val="32"/>
      <w:lang w:bidi="ar-SA"/>
    </w:rPr>
  </w:style>
  <w:style w:type="character" w:customStyle="1" w:styleId="184">
    <w:name w:val="样式 标题 4h4H4Fab-4T5Ref Heading 1rh1Heading sqlsect 1.2.3.... Char"/>
    <w:link w:val="185"/>
    <w:qFormat/>
    <w:uiPriority w:val="0"/>
    <w:rPr>
      <w:rFonts w:ascii="微软雅黑" w:hAnsi="微软雅黑" w:eastAsia="微软雅黑"/>
      <w:b/>
      <w:bCs/>
      <w:sz w:val="24"/>
      <w:szCs w:val="28"/>
    </w:rPr>
  </w:style>
  <w:style w:type="paragraph" w:customStyle="1" w:styleId="185">
    <w:name w:val="样式 标题 4h4H4Fab-4T5Ref Heading 1rh1Heading sqlsect 1.2.3...."/>
    <w:basedOn w:val="6"/>
    <w:link w:val="18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86">
    <w:name w:val="dandyren_title1"/>
    <w:qFormat/>
    <w:uiPriority w:val="0"/>
    <w:rPr>
      <w:b/>
      <w:bCs/>
      <w:color w:val="FF6633"/>
      <w:sz w:val="18"/>
      <w:szCs w:val="18"/>
    </w:rPr>
  </w:style>
  <w:style w:type="character" w:customStyle="1" w:styleId="187">
    <w:name w:val="普通文字 Char Char1"/>
    <w:qFormat/>
    <w:uiPriority w:val="0"/>
    <w:rPr>
      <w:rFonts w:ascii="宋体" w:hAnsi="Courier New"/>
      <w:kern w:val="2"/>
      <w:sz w:val="21"/>
    </w:rPr>
  </w:style>
  <w:style w:type="character" w:customStyle="1" w:styleId="188">
    <w:name w:val="PI Char"/>
    <w:qFormat/>
    <w:uiPriority w:val="0"/>
    <w:rPr>
      <w:rFonts w:ascii="宋体" w:hAnsi="宋体" w:eastAsia="宋体"/>
      <w:kern w:val="2"/>
      <w:sz w:val="24"/>
      <w:szCs w:val="24"/>
      <w:lang w:val="en-US" w:eastAsia="zh-CN" w:bidi="ar-SA"/>
    </w:rPr>
  </w:style>
  <w:style w:type="character" w:customStyle="1" w:styleId="189">
    <w:name w:val="Char Char11"/>
    <w:qFormat/>
    <w:locked/>
    <w:uiPriority w:val="0"/>
    <w:rPr>
      <w:rFonts w:ascii="宋体" w:hAnsi="宋体" w:eastAsia="宋体"/>
      <w:b/>
      <w:kern w:val="2"/>
      <w:sz w:val="24"/>
      <w:szCs w:val="24"/>
      <w:lang w:val="en-US" w:eastAsia="zh-CN" w:bidi="ar-SA"/>
    </w:rPr>
  </w:style>
  <w:style w:type="character" w:customStyle="1" w:styleId="1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91">
    <w:name w:val="Document Map Char"/>
    <w:qFormat/>
    <w:locked/>
    <w:uiPriority w:val="0"/>
    <w:rPr>
      <w:rFonts w:eastAsia="宋体"/>
      <w:kern w:val="2"/>
      <w:sz w:val="21"/>
      <w:szCs w:val="24"/>
      <w:lang w:val="en-US" w:eastAsia="zh-CN" w:bidi="ar-SA"/>
    </w:rPr>
  </w:style>
  <w:style w:type="character" w:customStyle="1" w:styleId="192">
    <w:name w:val="文本正文 Char Char"/>
    <w:qFormat/>
    <w:locked/>
    <w:uiPriority w:val="0"/>
    <w:rPr>
      <w:sz w:val="24"/>
      <w:lang w:bidi="ar-SA"/>
    </w:rPr>
  </w:style>
  <w:style w:type="character" w:customStyle="1" w:styleId="193">
    <w:name w:val="样式7 Char"/>
    <w:qFormat/>
    <w:uiPriority w:val="0"/>
    <w:rPr>
      <w:rFonts w:ascii="仿宋_GB2312" w:hAnsi="仿宋" w:eastAsia="仿宋_GB2312"/>
      <w:b/>
      <w:kern w:val="2"/>
      <w:sz w:val="24"/>
      <w:szCs w:val="24"/>
    </w:rPr>
  </w:style>
  <w:style w:type="character" w:customStyle="1" w:styleId="194">
    <w:name w:val="样式3 Char"/>
    <w:basedOn w:val="195"/>
    <w:qFormat/>
    <w:uiPriority w:val="0"/>
    <w:rPr>
      <w:rFonts w:ascii="仿宋_GB2312" w:hAnsi="仿宋" w:eastAsia="仿宋_GB2312" w:cs="仿宋_GB2312"/>
      <w:sz w:val="32"/>
      <w:szCs w:val="30"/>
      <w:lang w:val="zh-CN"/>
    </w:rPr>
  </w:style>
  <w:style w:type="character" w:customStyle="1" w:styleId="195">
    <w:name w:val="样式2 Char"/>
    <w:qFormat/>
    <w:uiPriority w:val="0"/>
    <w:rPr>
      <w:rFonts w:ascii="仿宋_GB2312" w:hAnsi="仿宋" w:eastAsia="仿宋_GB2312" w:cs="仿宋_GB2312"/>
      <w:b/>
      <w:bCs/>
      <w:sz w:val="32"/>
      <w:szCs w:val="30"/>
      <w:lang w:val="zh-CN"/>
    </w:rPr>
  </w:style>
  <w:style w:type="character" w:customStyle="1" w:styleId="196">
    <w:name w:val="二级标题 Char Char"/>
    <w:qFormat/>
    <w:uiPriority w:val="0"/>
    <w:rPr>
      <w:rFonts w:ascii="宋体" w:hAnsi="宋体" w:eastAsia="宋体"/>
      <w:b/>
      <w:snapToGrid w:val="0"/>
      <w:kern w:val="2"/>
      <w:sz w:val="24"/>
      <w:szCs w:val="24"/>
      <w:lang w:val="en-US" w:eastAsia="zh-CN" w:bidi="ar-SA"/>
    </w:rPr>
  </w:style>
  <w:style w:type="character" w:customStyle="1" w:styleId="197">
    <w:name w:val="Table Text Char1"/>
    <w:qFormat/>
    <w:uiPriority w:val="0"/>
    <w:rPr>
      <w:rFonts w:eastAsia="宋体"/>
      <w:sz w:val="24"/>
      <w:szCs w:val="24"/>
      <w:lang w:val="en-US" w:eastAsia="zh-CN" w:bidi="ar-SA"/>
    </w:rPr>
  </w:style>
  <w:style w:type="character" w:customStyle="1" w:styleId="198">
    <w:name w:val="shadow11"/>
    <w:qFormat/>
    <w:uiPriority w:val="0"/>
    <w:rPr>
      <w:color w:val="000000"/>
      <w:sz w:val="21"/>
    </w:rPr>
  </w:style>
  <w:style w:type="character" w:customStyle="1" w:styleId="199">
    <w:name w:val="Char Char212"/>
    <w:qFormat/>
    <w:uiPriority w:val="0"/>
    <w:rPr>
      <w:rFonts w:eastAsia="宋体"/>
      <w:b/>
      <w:bCs/>
      <w:kern w:val="2"/>
      <w:sz w:val="21"/>
      <w:szCs w:val="24"/>
      <w:lang w:val="en-US" w:eastAsia="zh-CN" w:bidi="ar-SA"/>
    </w:rPr>
  </w:style>
  <w:style w:type="character" w:customStyle="1" w:styleId="200">
    <w:name w:val="h3 Char1"/>
    <w:qFormat/>
    <w:uiPriority w:val="0"/>
    <w:rPr>
      <w:rFonts w:eastAsia="宋体"/>
      <w:b/>
      <w:bCs/>
      <w:kern w:val="2"/>
      <w:sz w:val="32"/>
      <w:szCs w:val="32"/>
      <w:lang w:bidi="ar-SA"/>
    </w:rPr>
  </w:style>
  <w:style w:type="character" w:customStyle="1" w:styleId="201">
    <w:name w:val="FA正文 Char Char"/>
    <w:qFormat/>
    <w:uiPriority w:val="0"/>
    <w:rPr>
      <w:rFonts w:hAnsi="宋体"/>
      <w:kern w:val="2"/>
      <w:sz w:val="24"/>
      <w:lang w:bidi="ar-SA"/>
    </w:rPr>
  </w:style>
  <w:style w:type="character" w:customStyle="1" w:styleId="202">
    <w:name w:val="首行缩进 Char"/>
    <w:qFormat/>
    <w:uiPriority w:val="0"/>
    <w:rPr>
      <w:rFonts w:ascii="宋体" w:eastAsia="宋体"/>
      <w:kern w:val="2"/>
      <w:sz w:val="24"/>
      <w:lang w:val="en-US" w:eastAsia="zh-CN" w:bidi="ar-SA"/>
    </w:rPr>
  </w:style>
  <w:style w:type="character" w:customStyle="1" w:styleId="203">
    <w:name w:val="Char Char7"/>
    <w:semiHidden/>
    <w:qFormat/>
    <w:uiPriority w:val="0"/>
    <w:rPr>
      <w:rFonts w:eastAsia="宋体"/>
      <w:kern w:val="2"/>
      <w:sz w:val="21"/>
      <w:szCs w:val="24"/>
      <w:lang w:val="en-US" w:eastAsia="zh-CN" w:bidi="ar-SA"/>
    </w:rPr>
  </w:style>
  <w:style w:type="character" w:customStyle="1" w:styleId="204">
    <w:name w:val="hui"/>
    <w:basedOn w:val="69"/>
    <w:qFormat/>
    <w:uiPriority w:val="0"/>
    <w:rPr>
      <w:rFonts w:ascii="Arial" w:hAnsi="Arial" w:eastAsia="黑体" w:cs="Arial"/>
      <w:snapToGrid w:val="0"/>
      <w:kern w:val="0"/>
      <w:szCs w:val="21"/>
    </w:rPr>
  </w:style>
  <w:style w:type="character" w:customStyle="1" w:styleId="205">
    <w:name w:val="正文缩进 Char"/>
    <w:qFormat/>
    <w:uiPriority w:val="0"/>
    <w:rPr>
      <w:rFonts w:eastAsia="宋体"/>
      <w:kern w:val="2"/>
      <w:sz w:val="21"/>
      <w:lang w:val="en-US" w:eastAsia="zh-CN"/>
    </w:rPr>
  </w:style>
  <w:style w:type="character" w:customStyle="1" w:styleId="206">
    <w:name w:val="正文1 Char"/>
    <w:qFormat/>
    <w:uiPriority w:val="0"/>
    <w:rPr>
      <w:rFonts w:ascii="宋体" w:eastAsia="宋体"/>
      <w:snapToGrid w:val="0"/>
      <w:color w:val="000000"/>
      <w:kern w:val="28"/>
      <w:sz w:val="28"/>
      <w:lang w:val="en-US" w:eastAsia="zh-CN" w:bidi="ar-SA"/>
    </w:rPr>
  </w:style>
  <w:style w:type="character" w:customStyle="1" w:styleId="207">
    <w:name w:val="Char Char611"/>
    <w:qFormat/>
    <w:uiPriority w:val="0"/>
    <w:rPr>
      <w:rFonts w:eastAsia="宋体"/>
      <w:kern w:val="2"/>
      <w:sz w:val="21"/>
      <w:szCs w:val="24"/>
      <w:lang w:val="en-US" w:eastAsia="zh-CN" w:bidi="ar-SA"/>
    </w:rPr>
  </w:style>
  <w:style w:type="character" w:customStyle="1" w:styleId="208">
    <w:name w:val="message1"/>
    <w:qFormat/>
    <w:uiPriority w:val="0"/>
    <w:rPr>
      <w:rFonts w:hint="default" w:ascii="Tahoma" w:hAnsi="Tahoma" w:cs="Tahoma"/>
      <w:sz w:val="18"/>
      <w:szCs w:val="18"/>
    </w:rPr>
  </w:style>
  <w:style w:type="character" w:customStyle="1" w:styleId="209">
    <w:name w:val="Heading 2 Hidden Char"/>
    <w:qFormat/>
    <w:uiPriority w:val="0"/>
    <w:rPr>
      <w:rFonts w:ascii="仿宋_GB2312" w:eastAsia="仿宋_GB2312"/>
      <w:b/>
      <w:bCs/>
      <w:kern w:val="2"/>
      <w:sz w:val="24"/>
      <w:szCs w:val="24"/>
      <w:lang w:val="zh-CN" w:eastAsia="zh-CN" w:bidi="ar-SA"/>
    </w:rPr>
  </w:style>
  <w:style w:type="character" w:customStyle="1" w:styleId="210">
    <w:name w:val="DO_NOT_TRANSLATE"/>
    <w:qFormat/>
    <w:uiPriority w:val="0"/>
    <w:rPr>
      <w:rFonts w:ascii="Courier New" w:hAnsi="Courier New" w:cs="Courier New"/>
      <w:color w:val="800000"/>
      <w:lang w:val="en-US" w:eastAsia="zh-CN"/>
    </w:rPr>
  </w:style>
  <w:style w:type="character" w:customStyle="1" w:styleId="211">
    <w:name w:val="unnamed11"/>
    <w:qFormat/>
    <w:uiPriority w:val="0"/>
    <w:rPr>
      <w:sz w:val="20"/>
      <w:szCs w:val="20"/>
    </w:rPr>
  </w:style>
  <w:style w:type="character" w:customStyle="1" w:styleId="212">
    <w:name w:val="tw4winInternal"/>
    <w:qFormat/>
    <w:uiPriority w:val="0"/>
    <w:rPr>
      <w:rFonts w:ascii="Courier New" w:hAnsi="Courier New" w:cs="Courier New"/>
      <w:color w:val="FF0000"/>
      <w:lang w:val="en-US" w:eastAsia="zh-CN"/>
    </w:rPr>
  </w:style>
  <w:style w:type="character" w:customStyle="1" w:styleId="213">
    <w:name w:val="正文（缩进2汉字） Char"/>
    <w:link w:val="214"/>
    <w:qFormat/>
    <w:uiPriority w:val="0"/>
    <w:rPr>
      <w:rFonts w:ascii="宋体"/>
    </w:rPr>
  </w:style>
  <w:style w:type="paragraph" w:customStyle="1" w:styleId="214">
    <w:name w:val="正文（缩进2汉字）"/>
    <w:basedOn w:val="1"/>
    <w:link w:val="213"/>
    <w:qFormat/>
    <w:uiPriority w:val="0"/>
    <w:pPr>
      <w:tabs>
        <w:tab w:val="left" w:pos="525"/>
      </w:tabs>
      <w:spacing w:before="100" w:beforeAutospacing="1" w:after="100" w:afterAutospacing="1"/>
      <w:ind w:left="120" w:leftChars="50" w:firstLine="494" w:firstLineChars="206"/>
    </w:pPr>
    <w:rPr>
      <w:rFonts w:ascii="宋体"/>
    </w:rPr>
  </w:style>
  <w:style w:type="character" w:customStyle="1" w:styleId="215">
    <w:name w:val="正文缩进 Char1"/>
    <w:qFormat/>
    <w:uiPriority w:val="0"/>
    <w:rPr>
      <w:rFonts w:ascii="宋体" w:eastAsia="宋体"/>
      <w:snapToGrid w:val="0"/>
      <w:color w:val="000000"/>
      <w:kern w:val="28"/>
      <w:sz w:val="28"/>
      <w:lang w:val="en-US" w:eastAsia="zh-CN" w:bidi="ar-SA"/>
    </w:rPr>
  </w:style>
  <w:style w:type="character" w:customStyle="1" w:styleId="216">
    <w:name w:val="style36"/>
    <w:basedOn w:val="69"/>
    <w:qFormat/>
    <w:uiPriority w:val="0"/>
    <w:rPr>
      <w:rFonts w:ascii="Arial" w:hAnsi="Arial" w:eastAsia="黑体" w:cs="Arial"/>
      <w:snapToGrid w:val="0"/>
      <w:kern w:val="0"/>
      <w:szCs w:val="21"/>
    </w:rPr>
  </w:style>
  <w:style w:type="character" w:customStyle="1" w:styleId="217">
    <w:name w:val="hui3"/>
    <w:qFormat/>
    <w:uiPriority w:val="0"/>
    <w:rPr>
      <w:color w:val="333333"/>
    </w:rPr>
  </w:style>
  <w:style w:type="character" w:customStyle="1" w:styleId="218">
    <w:name w:val="方案正文 Char"/>
    <w:qFormat/>
    <w:uiPriority w:val="0"/>
    <w:rPr>
      <w:rFonts w:ascii="仿宋_GB2312" w:eastAsia="仿宋_GB2312"/>
      <w:b/>
      <w:color w:val="000000"/>
      <w:kern w:val="2"/>
      <w:sz w:val="24"/>
      <w:lang w:val="en-US" w:eastAsia="zh-CN" w:bidi="ar-SA"/>
    </w:rPr>
  </w:style>
  <w:style w:type="character" w:customStyle="1" w:styleId="219">
    <w:name w:val="apple-converted-space"/>
    <w:qFormat/>
    <w:uiPriority w:val="0"/>
  </w:style>
  <w:style w:type="character" w:customStyle="1" w:styleId="220">
    <w:name w:val="正文非缩进 Char3"/>
    <w:qFormat/>
    <w:uiPriority w:val="0"/>
    <w:rPr>
      <w:rFonts w:ascii="宋体" w:eastAsia="宋体"/>
      <w:snapToGrid w:val="0"/>
      <w:color w:val="000000"/>
      <w:kern w:val="28"/>
      <w:sz w:val="28"/>
      <w:lang w:val="en-US" w:eastAsia="zh-CN" w:bidi="ar-SA"/>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t21"/>
    <w:qFormat/>
    <w:uiPriority w:val="0"/>
    <w:rPr>
      <w:rFonts w:ascii="仿宋_GB2312" w:eastAsia="微软雅黑"/>
      <w:b/>
      <w:kern w:val="2"/>
      <w:sz w:val="23"/>
      <w:szCs w:val="23"/>
      <w:lang w:val="en-US" w:eastAsia="zh-CN" w:bidi="ar-SA"/>
    </w:rPr>
  </w:style>
  <w:style w:type="character" w:customStyle="1" w:styleId="223">
    <w:name w:val="副标题 Char1"/>
    <w:qFormat/>
    <w:uiPriority w:val="11"/>
    <w:rPr>
      <w:rFonts w:ascii="Cambria" w:hAnsi="Cambria" w:eastAsia="宋体" w:cs="Times New Roman"/>
      <w:b/>
      <w:bCs/>
      <w:snapToGrid w:val="0"/>
      <w:kern w:val="28"/>
      <w:sz w:val="32"/>
      <w:szCs w:val="32"/>
    </w:rPr>
  </w:style>
  <w:style w:type="character" w:customStyle="1" w:styleId="224">
    <w:name w:val="px14"/>
    <w:qFormat/>
    <w:uiPriority w:val="0"/>
    <w:rPr>
      <w:rFonts w:ascii="仿宋_GB2312" w:eastAsia="微软雅黑" w:cs="Times New Roman"/>
      <w:b/>
      <w:kern w:val="2"/>
      <w:sz w:val="32"/>
      <w:szCs w:val="32"/>
      <w:lang w:val="en-US" w:eastAsia="zh-CN" w:bidi="ar-SA"/>
    </w:rPr>
  </w:style>
  <w:style w:type="character" w:customStyle="1" w:styleId="225">
    <w:name w:val="Normal Indent Char Char"/>
    <w:qFormat/>
    <w:uiPriority w:val="0"/>
    <w:rPr>
      <w:rFonts w:eastAsia="宋体"/>
      <w:kern w:val="2"/>
      <w:sz w:val="21"/>
      <w:lang w:val="en-US" w:eastAsia="zh-CN" w:bidi="ar-SA"/>
    </w:rPr>
  </w:style>
  <w:style w:type="character" w:customStyle="1" w:styleId="226">
    <w:name w:val="f141"/>
    <w:qFormat/>
    <w:uiPriority w:val="0"/>
    <w:rPr>
      <w:rFonts w:ascii="Tahoma" w:hAnsi="Tahoma" w:eastAsia="宋体"/>
      <w:b/>
      <w:kern w:val="2"/>
      <w:sz w:val="21"/>
      <w:szCs w:val="21"/>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标书1 Char"/>
    <w:qFormat/>
    <w:uiPriority w:val="0"/>
    <w:rPr>
      <w:rFonts w:eastAsia="宋体"/>
      <w:b/>
      <w:bCs/>
      <w:kern w:val="44"/>
      <w:sz w:val="44"/>
      <w:szCs w:val="44"/>
      <w:lang w:val="en-US" w:eastAsia="zh-CN" w:bidi="ar-SA"/>
    </w:rPr>
  </w:style>
  <w:style w:type="character" w:customStyle="1" w:styleId="229">
    <w:name w:val="链接"/>
    <w:qFormat/>
    <w:uiPriority w:val="0"/>
    <w:rPr>
      <w:color w:val="0000FF"/>
      <w:sz w:val="21"/>
      <w:szCs w:val="21"/>
      <w:u w:val="single"/>
    </w:rPr>
  </w:style>
  <w:style w:type="character" w:customStyle="1" w:styleId="230">
    <w:name w:val="正文首行缩进 Char Char Char Char Char Char"/>
    <w:qFormat/>
    <w:uiPriority w:val="0"/>
    <w:rPr>
      <w:rFonts w:ascii="宋体" w:eastAsia="宋体"/>
      <w:kern w:val="2"/>
      <w:sz w:val="24"/>
      <w:lang w:val="zh-CN" w:bidi="ar-SA"/>
    </w:rPr>
  </w:style>
  <w:style w:type="character" w:customStyle="1" w:styleId="231">
    <w:name w:val="正文2 Char Char"/>
    <w:link w:val="232"/>
    <w:qFormat/>
    <w:uiPriority w:val="0"/>
    <w:rPr>
      <w:rFonts w:eastAsia="宋体"/>
      <w:sz w:val="24"/>
    </w:rPr>
  </w:style>
  <w:style w:type="paragraph" w:customStyle="1" w:styleId="232">
    <w:name w:val="正文2"/>
    <w:basedOn w:val="1"/>
    <w:link w:val="231"/>
    <w:qFormat/>
    <w:uiPriority w:val="0"/>
    <w:pPr>
      <w:adjustRightInd w:val="0"/>
      <w:spacing w:before="156" w:line="360" w:lineRule="auto"/>
      <w:ind w:firstLine="510" w:firstLineChars="200"/>
    </w:pPr>
    <w:rPr>
      <w:rFonts w:eastAsia="宋体"/>
      <w:sz w:val="24"/>
    </w:rPr>
  </w:style>
  <w:style w:type="character" w:customStyle="1" w:styleId="233">
    <w:name w:val="tw4winError"/>
    <w:qFormat/>
    <w:uiPriority w:val="0"/>
    <w:rPr>
      <w:rFonts w:ascii="Courier New" w:hAnsi="Courier New" w:cs="Courier New"/>
      <w:color w:val="00FF00"/>
      <w:sz w:val="40"/>
      <w:szCs w:val="40"/>
    </w:rPr>
  </w:style>
  <w:style w:type="character" w:customStyle="1" w:styleId="234">
    <w:name w:val="正文1 Char1"/>
    <w:qFormat/>
    <w:uiPriority w:val="0"/>
    <w:rPr>
      <w:rFonts w:ascii="仿宋_GB2312" w:hAnsi="Courier New" w:eastAsia="仿宋_GB2312"/>
      <w:kern w:val="28"/>
      <w:sz w:val="24"/>
      <w:szCs w:val="24"/>
      <w:lang w:val="en-US" w:eastAsia="zh-CN"/>
    </w:rPr>
  </w:style>
  <w:style w:type="character" w:customStyle="1" w:styleId="235">
    <w:name w:val="Used by Word for text of Help footnotes Char Char"/>
    <w:qFormat/>
    <w:uiPriority w:val="0"/>
    <w:rPr>
      <w:rFonts w:ascii="Times New Roman" w:hAnsi="Times New Roman" w:eastAsia="宋体" w:cs="Times New Roman"/>
      <w:sz w:val="20"/>
      <w:szCs w:val="20"/>
    </w:rPr>
  </w:style>
  <w:style w:type="character" w:customStyle="1" w:styleId="236">
    <w:name w:val="c7 style3"/>
    <w:qFormat/>
    <w:uiPriority w:val="0"/>
  </w:style>
  <w:style w:type="character" w:customStyle="1" w:styleId="237">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普通文字 Char1 Char"/>
    <w:qFormat/>
    <w:uiPriority w:val="0"/>
    <w:rPr>
      <w:rFonts w:ascii="宋体" w:hAnsi="Courier New" w:eastAsia="宋体"/>
      <w:kern w:val="2"/>
      <w:sz w:val="21"/>
      <w:szCs w:val="24"/>
      <w:lang w:val="en-US" w:eastAsia="zh-CN" w:bidi="ar-SA"/>
    </w:rPr>
  </w:style>
  <w:style w:type="character" w:customStyle="1" w:styleId="240">
    <w:name w:val="pt9"/>
    <w:qFormat/>
    <w:uiPriority w:val="0"/>
    <w:rPr>
      <w:rFonts w:ascii="仿宋_GB2312" w:eastAsia="微软雅黑"/>
      <w:b/>
      <w:kern w:val="2"/>
      <w:sz w:val="32"/>
      <w:szCs w:val="32"/>
      <w:lang w:val="en-US" w:eastAsia="zh-CN" w:bidi="ar-SA"/>
    </w:rPr>
  </w:style>
  <w:style w:type="character" w:customStyle="1" w:styleId="241">
    <w:name w:val="表正文 Char1"/>
    <w:qFormat/>
    <w:uiPriority w:val="0"/>
    <w:rPr>
      <w:rFonts w:ascii="宋体" w:eastAsia="宋体"/>
      <w:snapToGrid w:val="0"/>
      <w:color w:val="000000"/>
      <w:kern w:val="28"/>
      <w:sz w:val="28"/>
    </w:rPr>
  </w:style>
  <w:style w:type="character" w:customStyle="1" w:styleId="242">
    <w:name w:val="正文非缩进 Char"/>
    <w:qFormat/>
    <w:uiPriority w:val="0"/>
    <w:rPr>
      <w:rFonts w:ascii="宋体" w:eastAsia="宋体"/>
      <w:snapToGrid w:val="0"/>
      <w:color w:val="000000"/>
      <w:kern w:val="28"/>
      <w:sz w:val="28"/>
      <w:lang w:val="en-US" w:eastAsia="zh-CN" w:bidi="ar-SA"/>
    </w:rPr>
  </w:style>
  <w:style w:type="character" w:customStyle="1" w:styleId="243">
    <w:name w:val="冯广丽 Char"/>
    <w:link w:val="244"/>
    <w:qFormat/>
    <w:uiPriority w:val="0"/>
    <w:rPr>
      <w:rFonts w:ascii="宋体" w:hAnsi="宋体"/>
      <w:sz w:val="24"/>
    </w:rPr>
  </w:style>
  <w:style w:type="paragraph" w:customStyle="1" w:styleId="244">
    <w:name w:val="冯广丽"/>
    <w:basedOn w:val="1"/>
    <w:link w:val="243"/>
    <w:qFormat/>
    <w:uiPriority w:val="0"/>
    <w:pPr>
      <w:spacing w:line="360" w:lineRule="auto"/>
      <w:ind w:firstLine="480" w:firstLineChars="200"/>
    </w:pPr>
    <w:rPr>
      <w:rFonts w:ascii="宋体" w:hAnsi="宋体"/>
      <w:sz w:val="24"/>
    </w:rPr>
  </w:style>
  <w:style w:type="character" w:customStyle="1" w:styleId="245">
    <w:name w:val="large1"/>
    <w:qFormat/>
    <w:uiPriority w:val="0"/>
    <w:rPr>
      <w:rFonts w:hint="eastAsia" w:ascii="宋体" w:hAnsi="宋体" w:eastAsia="宋体"/>
      <w:sz w:val="21"/>
      <w:szCs w:val="21"/>
    </w:rPr>
  </w:style>
  <w:style w:type="character" w:customStyle="1" w:styleId="246">
    <w:name w:val="样式 样式 标题 4h4H4Fab-4T5Ref Heading 1rh1Heading sqlsect 1.2.3.... +... Char"/>
    <w:link w:val="247"/>
    <w:qFormat/>
    <w:uiPriority w:val="0"/>
    <w:rPr>
      <w:rFonts w:ascii="微软雅黑" w:hAnsi="微软雅黑" w:eastAsia="微软雅黑"/>
      <w:b/>
      <w:bCs/>
      <w:sz w:val="24"/>
      <w:szCs w:val="28"/>
    </w:rPr>
  </w:style>
  <w:style w:type="paragraph" w:customStyle="1" w:styleId="247">
    <w:name w:val="样式 样式 标题 4h4H4Fab-4T5Ref Heading 1rh1Heading sqlsect 1.2.3.... +..."/>
    <w:basedOn w:val="185"/>
    <w:link w:val="246"/>
    <w:qFormat/>
    <w:uiPriority w:val="0"/>
  </w:style>
  <w:style w:type="character" w:customStyle="1" w:styleId="248">
    <w:name w:val="标题 1 Char Char"/>
    <w:qFormat/>
    <w:uiPriority w:val="0"/>
    <w:rPr>
      <w:rFonts w:hint="eastAsia" w:ascii="宋体" w:hAnsi="宋体" w:eastAsia="宋体"/>
      <w:b/>
      <w:spacing w:val="-2"/>
      <w:sz w:val="24"/>
      <w:lang w:val="en-US" w:eastAsia="zh-CN" w:bidi="ar-SA"/>
    </w:rPr>
  </w:style>
  <w:style w:type="character" w:customStyle="1" w:styleId="249">
    <w:name w:val="标题 4 Char1"/>
    <w:qFormat/>
    <w:uiPriority w:val="0"/>
    <w:rPr>
      <w:rFonts w:ascii="Cambria" w:hAnsi="Cambria" w:eastAsia="宋体" w:cs="Times New Roman"/>
      <w:b/>
      <w:bCs/>
      <w:kern w:val="2"/>
      <w:sz w:val="28"/>
      <w:szCs w:val="28"/>
    </w:rPr>
  </w:style>
  <w:style w:type="character" w:customStyle="1" w:styleId="250">
    <w:name w:val="zbggmain style9"/>
    <w:qFormat/>
    <w:uiPriority w:val="0"/>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tw4winPopup"/>
    <w:qFormat/>
    <w:uiPriority w:val="0"/>
    <w:rPr>
      <w:rFonts w:ascii="Courier New" w:hAnsi="Courier New" w:cs="Courier New"/>
      <w:color w:val="008000"/>
      <w:lang w:val="en-US" w:eastAsia="zh-CN"/>
    </w:rPr>
  </w:style>
  <w:style w:type="character" w:customStyle="1" w:styleId="253">
    <w:name w:val="样式 宋体"/>
    <w:qFormat/>
    <w:uiPriority w:val="0"/>
    <w:rPr>
      <w:rFonts w:ascii="宋体" w:hAnsi="宋体"/>
      <w:sz w:val="24"/>
    </w:rPr>
  </w:style>
  <w:style w:type="character" w:customStyle="1" w:styleId="254">
    <w:name w:val="正文缩进 Char2"/>
    <w:link w:val="16"/>
    <w:qFormat/>
    <w:uiPriority w:val="0"/>
    <w:rPr>
      <w:rFonts w:ascii="宋体" w:eastAsia="宋体"/>
      <w:snapToGrid w:val="0"/>
      <w:color w:val="000000"/>
      <w:kern w:val="28"/>
      <w:sz w:val="28"/>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批注文字 Char1"/>
    <w:qFormat/>
    <w:uiPriority w:val="99"/>
    <w:rPr>
      <w:kern w:val="2"/>
      <w:sz w:val="21"/>
      <w:szCs w:val="24"/>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Footer Char"/>
    <w:qFormat/>
    <w:locked/>
    <w:uiPriority w:val="0"/>
    <w:rPr>
      <w:rFonts w:eastAsia="宋体"/>
      <w:kern w:val="2"/>
      <w:sz w:val="18"/>
      <w:lang w:val="en-US" w:eastAsia="zh-CN" w:bidi="ar-SA"/>
    </w:rPr>
  </w:style>
  <w:style w:type="character" w:customStyle="1" w:styleId="259">
    <w:name w:val="Char Char411"/>
    <w:qFormat/>
    <w:uiPriority w:val="0"/>
    <w:rPr>
      <w:rFonts w:eastAsia="宋体"/>
      <w:b/>
      <w:sz w:val="24"/>
      <w:lang w:val="en-GB" w:eastAsia="zh-CN" w:bidi="ar-SA"/>
    </w:rPr>
  </w:style>
  <w:style w:type="character" w:customStyle="1" w:styleId="260">
    <w:name w:val="Char Char911"/>
    <w:qFormat/>
    <w:uiPriority w:val="0"/>
    <w:rPr>
      <w:rFonts w:eastAsia="宋体"/>
      <w:kern w:val="2"/>
      <w:sz w:val="18"/>
      <w:szCs w:val="18"/>
      <w:lang w:val="en-US" w:eastAsia="zh-CN" w:bidi="ar-SA"/>
    </w:rPr>
  </w:style>
  <w:style w:type="character" w:customStyle="1" w:styleId="261">
    <w:name w:val="列出段落 Char"/>
    <w:qFormat/>
    <w:uiPriority w:val="0"/>
    <w:rPr>
      <w:rFonts w:eastAsia="楷体_GB2312" w:cs="Lucida Sans"/>
      <w:kern w:val="2"/>
      <w:sz w:val="24"/>
      <w:szCs w:val="24"/>
      <w:lang w:val="en-US" w:eastAsia="zh-CN" w:bidi="ar-SA"/>
    </w:rPr>
  </w:style>
  <w:style w:type="character" w:customStyle="1" w:styleId="262">
    <w:name w:val="gf正文1 Char"/>
    <w:qFormat/>
    <w:uiPriority w:val="0"/>
    <w:rPr>
      <w:rFonts w:ascii="宋体" w:hAnsi="宋体" w:eastAsia="宋体" w:cs="宋体"/>
      <w:kern w:val="2"/>
      <w:sz w:val="24"/>
      <w:szCs w:val="24"/>
      <w:lang w:val="en-US" w:eastAsia="zh-CN" w:bidi="ar-SA"/>
    </w:rPr>
  </w:style>
  <w:style w:type="character" w:customStyle="1" w:styleId="263">
    <w:name w:val="标书表格字体格式 Char"/>
    <w:qFormat/>
    <w:uiPriority w:val="0"/>
    <w:rPr>
      <w:kern w:val="2"/>
      <w:sz w:val="21"/>
      <w:szCs w:val="24"/>
      <w:lang w:bidi="ar-SA"/>
    </w:rPr>
  </w:style>
  <w:style w:type="character" w:customStyle="1" w:styleId="264">
    <w:name w:val="样式6 Char"/>
    <w:qFormat/>
    <w:uiPriority w:val="0"/>
    <w:rPr>
      <w:rFonts w:ascii="仿宋_GB2312" w:hAnsi="宋体" w:eastAsia="仿宋_GB2312"/>
      <w:b/>
      <w:bCs/>
      <w:kern w:val="2"/>
      <w:sz w:val="24"/>
      <w:szCs w:val="24"/>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spacing w:line="360" w:lineRule="auto"/>
      <w:ind w:firstLine="480" w:firstLineChars="200"/>
    </w:pPr>
    <w:rPr>
      <w:rFonts w:ascii="宋体" w:hAnsi="宋体"/>
      <w:color w:val="000000"/>
      <w:sz w:val="24"/>
      <w:szCs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2"/>
    <w:qFormat/>
    <w:uiPriority w:val="0"/>
    <w:rPr>
      <w:rFonts w:ascii="Times New Roman" w:hAnsi="Times New Roman" w:eastAsia="宋体" w:cs="Times New Roman"/>
      <w:szCs w:val="24"/>
      <w:lang w:val="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0"/>
    <w:rPr>
      <w:rFonts w:ascii="宋体" w:hAnsi="Courier New" w:eastAsia="宋体" w:cs="Courier New"/>
      <w:szCs w:val="21"/>
    </w:rPr>
  </w:style>
  <w:style w:type="paragraph" w:customStyle="1" w:styleId="282">
    <w:name w:val="纯文本1"/>
    <w:basedOn w:val="1"/>
    <w:link w:val="281"/>
    <w:qFormat/>
    <w:uiPriority w:val="0"/>
    <w:rPr>
      <w:rFonts w:ascii="宋体" w:hAnsi="Courier New" w:eastAsia="宋体"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5"/>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0"/>
    <w:qFormat/>
    <w:uiPriority w:val="99"/>
    <w:rPr>
      <w:rFonts w:ascii="Times New Roman" w:hAnsi="Times New Roman" w:eastAsia="宋体" w:cs="Times New Roman"/>
      <w:szCs w:val="24"/>
    </w:rPr>
  </w:style>
  <w:style w:type="character" w:customStyle="1" w:styleId="290">
    <w:name w:val="批注主题 Char1"/>
    <w:basedOn w:val="289"/>
    <w:link w:val="59"/>
    <w:qFormat/>
    <w:uiPriority w:val="0"/>
    <w:rPr>
      <w:rFonts w:ascii="Times New Roman" w:hAnsi="Times New Roman" w:eastAsia="宋体" w:cs="Times New Roman"/>
      <w:b/>
      <w:bCs/>
      <w:szCs w:val="24"/>
      <w:lang w:val="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19"/>
    <w:qFormat/>
    <w:uiPriority w:val="0"/>
    <w:rPr>
      <w:rFonts w:ascii="Times New Roman" w:hAnsi="Times New Roman" w:eastAsia="宋体" w:cs="Times New Roman"/>
      <w:szCs w:val="24"/>
      <w:shd w:val="clear" w:color="auto" w:fill="000080"/>
      <w:lang w:val="zh-CN"/>
    </w:rPr>
  </w:style>
  <w:style w:type="character" w:customStyle="1" w:styleId="295">
    <w:name w:val="标题 Char1"/>
    <w:basedOn w:val="69"/>
    <w:link w:val="58"/>
    <w:qFormat/>
    <w:uiPriority w:val="0"/>
    <w:rPr>
      <w:rFonts w:ascii="Times New Roman" w:hAnsi="Times New Roman" w:eastAsia="宋体" w:cs="Times New Roman"/>
      <w:b/>
      <w:kern w:val="0"/>
      <w:sz w:val="24"/>
      <w:szCs w:val="20"/>
      <w:lang w:val="en-GB"/>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3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7"/>
    <w:qFormat/>
    <w:uiPriority w:val="0"/>
    <w:pPr>
      <w:adjustRightInd w:val="0"/>
      <w:spacing w:after="120" w:line="480" w:lineRule="auto"/>
      <w:ind w:left="420" w:leftChars="200"/>
    </w:pPr>
    <w:rPr>
      <w:rFonts w:ascii="Times New Roman" w:hAnsi="Times New Roman" w:eastAsia="宋体" w:cs="Times New Roman"/>
      <w:sz w:val="24"/>
      <w:szCs w:val="20"/>
    </w:rPr>
  </w:style>
  <w:style w:type="paragraph" w:customStyle="1" w:styleId="302">
    <w:name w:val="Char Char1"/>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303">
    <w:name w:val="La0b"/>
    <w:basedOn w:val="1"/>
    <w:qFormat/>
    <w:uiPriority w:val="0"/>
    <w:pPr>
      <w:tabs>
        <w:tab w:val="left" w:pos="1500"/>
      </w:tabs>
      <w:spacing w:after="100" w:line="240" w:lineRule="exact"/>
      <w:ind w:left="1500" w:hanging="420" w:firstLineChars="200"/>
    </w:pPr>
    <w:rPr>
      <w:rFonts w:ascii="宋体" w:hAnsi="宋体" w:eastAsia="微软雅黑" w:cs="Times New Roman"/>
      <w:b/>
      <w:sz w:val="24"/>
      <w:szCs w:val="20"/>
    </w:rPr>
  </w:style>
  <w:style w:type="paragraph" w:customStyle="1" w:styleId="30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pPr>
      <w:adjustRightInd w:val="0"/>
    </w:pPr>
    <w:rPr>
      <w:rFonts w:ascii="仿宋_GB2312" w:hAnsi="Times New Roman" w:eastAsia="仿宋_GB2312" w:cs="Times New Roman"/>
      <w:b/>
      <w:sz w:val="32"/>
      <w:szCs w:val="20"/>
    </w:rPr>
  </w:style>
  <w:style w:type="paragraph" w:customStyle="1" w:styleId="307">
    <w:name w:val="正文4"/>
    <w:basedOn w:val="1"/>
    <w:qFormat/>
    <w:uiPriority w:val="0"/>
    <w:pPr>
      <w:tabs>
        <w:tab w:val="left" w:pos="720"/>
      </w:tabs>
      <w:spacing w:before="60" w:after="60" w:line="360" w:lineRule="auto"/>
      <w:ind w:left="575" w:leftChars="400" w:hanging="175" w:hangingChars="175"/>
    </w:pPr>
    <w:rPr>
      <w:rFonts w:ascii="Times New Roman" w:hAnsi="Times New Roman" w:eastAsia="宋体" w:cs="Times New Roman"/>
      <w:sz w:val="24"/>
      <w:szCs w:val="24"/>
    </w:rPr>
  </w:style>
  <w:style w:type="paragraph" w:customStyle="1" w:styleId="308">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adjustRightInd w:val="0"/>
      <w:spacing w:line="360" w:lineRule="auto"/>
      <w:ind w:firstLine="200" w:firstLineChars="200"/>
    </w:pPr>
    <w:rPr>
      <w:rFonts w:ascii="Times New Roman" w:hAnsi="Times New Roman" w:eastAsia="宋体" w:cs="Times New Roman"/>
      <w:kern w:val="0"/>
      <w:sz w:val="24"/>
      <w:szCs w:val="20"/>
    </w:rPr>
  </w:style>
  <w:style w:type="paragraph" w:customStyle="1" w:styleId="310">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12">
    <w:name w:val="文章标题"/>
    <w:next w:val="31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pPr>
      <w:adjustRightInd w:val="0"/>
    </w:pPr>
    <w:rPr>
      <w:rFonts w:ascii="Times New Roman" w:hAnsi="Times New Roman" w:eastAsia="仿宋_GB2312" w:cs="Times New Roman"/>
      <w:sz w:val="28"/>
      <w:szCs w:val="20"/>
    </w:rPr>
  </w:style>
  <w:style w:type="paragraph" w:customStyle="1" w:styleId="316">
    <w:name w:val="样式 仿宋_GB2312 小三 左侧:  1.06 厘米"/>
    <w:basedOn w:val="1"/>
    <w:qFormat/>
    <w:uiPriority w:val="0"/>
    <w:pPr>
      <w:adjustRightInd w:val="0"/>
      <w:spacing w:line="360" w:lineRule="auto"/>
      <w:ind w:left="601"/>
    </w:pPr>
    <w:rPr>
      <w:rFonts w:ascii="仿宋_GB2312" w:hAnsi="Times New Roman" w:eastAsia="仿宋_GB2312" w:cs="Times New Roman"/>
      <w:sz w:val="24"/>
      <w:szCs w:val="20"/>
    </w:rPr>
  </w:style>
  <w:style w:type="paragraph" w:customStyle="1" w:styleId="317">
    <w:name w:val="模板普通正文"/>
    <w:basedOn w:val="25"/>
    <w:qFormat/>
    <w:uiPriority w:val="0"/>
    <w:pPr>
      <w:adjustRightInd/>
      <w:spacing w:before="156"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rPr>
      <w:rFonts w:ascii="仿宋_GB2312" w:hAnsi="Times New Roman" w:eastAsia="仿宋_GB2312" w:cs="Times New Roman"/>
      <w:b/>
      <w:sz w:val="32"/>
      <w:szCs w:val="32"/>
    </w:rPr>
  </w:style>
  <w:style w:type="paragraph" w:customStyle="1" w:styleId="321">
    <w:name w:val="默认段落字体 Para Char"/>
    <w:basedOn w:val="1"/>
    <w:qFormat/>
    <w:uiPriority w:val="0"/>
    <w:pPr>
      <w:adjustRightInd w:val="0"/>
    </w:pPr>
    <w:rPr>
      <w:rFonts w:ascii="Tahoma" w:hAnsi="Tahoma" w:eastAsia="宋体" w:cs="Times New Roman"/>
      <w:sz w:val="24"/>
      <w:szCs w:val="20"/>
    </w:rPr>
  </w:style>
  <w:style w:type="paragraph" w:customStyle="1" w:styleId="322">
    <w:name w:val="solutionfonts1"/>
    <w:basedOn w:val="1"/>
    <w:qFormat/>
    <w:uiPriority w:val="0"/>
    <w:pPr>
      <w:widowControl/>
      <w:spacing w:before="100" w:beforeAutospacing="1" w:after="100" w:afterAutospacing="1"/>
      <w:ind w:firstLine="200" w:firstLineChars="200"/>
      <w:jc w:val="left"/>
    </w:pPr>
    <w:rPr>
      <w:rFonts w:ascii="宋体" w:hAnsi="宋体" w:eastAsia="宋体" w:cs="宋体"/>
      <w:kern w:val="0"/>
      <w:sz w:val="24"/>
      <w:szCs w:val="24"/>
    </w:rPr>
  </w:style>
  <w:style w:type="paragraph" w:customStyle="1" w:styleId="323">
    <w:name w:val="Char Char Char Char Char Char Char Char Char Char Char Char1 Char"/>
    <w:basedOn w:val="1"/>
    <w:qFormat/>
    <w:uiPriority w:val="0"/>
    <w:pPr>
      <w:adjustRightInd w:val="0"/>
    </w:pPr>
    <w:rPr>
      <w:rFonts w:ascii="Tahoma" w:hAnsi="Tahoma" w:eastAsia="宋体"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325">
    <w:name w:val="Char22"/>
    <w:basedOn w:val="1"/>
    <w:qFormat/>
    <w:uiPriority w:val="0"/>
    <w:pPr>
      <w:spacing w:line="360" w:lineRule="auto"/>
      <w:ind w:firstLine="480" w:firstLineChars="200"/>
    </w:pPr>
    <w:rPr>
      <w:rFonts w:ascii="仿宋_GB2312" w:hAnsi="Times New Roman" w:eastAsia="仿宋_GB2312" w:cs="Times New Roman"/>
      <w:b/>
      <w:sz w:val="32"/>
      <w:szCs w:val="32"/>
    </w:rPr>
  </w:style>
  <w:style w:type="paragraph" w:customStyle="1" w:styleId="326">
    <w:name w:val="Table Contents"/>
    <w:basedOn w:val="1"/>
    <w:qFormat/>
    <w:uiPriority w:val="0"/>
    <w:pPr>
      <w:suppressAutoHyphens/>
      <w:autoSpaceDE w:val="0"/>
      <w:adjustRightInd w:val="0"/>
      <w:spacing w:after="120"/>
      <w:jc w:val="left"/>
    </w:pPr>
    <w:rPr>
      <w:rFonts w:ascii="Helvetica" w:hAnsi="Helvetica" w:eastAsia="宋体" w:cs="Times New Roman"/>
      <w:kern w:val="1"/>
      <w:sz w:val="20"/>
      <w:szCs w:val="20"/>
    </w:rPr>
  </w:style>
  <w:style w:type="paragraph" w:customStyle="1" w:styleId="327">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30">
    <w:name w:val="正文缩进1"/>
    <w:basedOn w:val="1"/>
    <w:next w:val="25"/>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331">
    <w:name w:val="左对齐表格文字"/>
    <w:basedOn w:val="1"/>
    <w:qFormat/>
    <w:uiPriority w:val="0"/>
    <w:pPr>
      <w:ind w:firstLine="200" w:firstLineChars="200"/>
      <w:jc w:val="right"/>
    </w:pPr>
    <w:rPr>
      <w:rFonts w:ascii="Times New Roman" w:hAnsi="Times New Roman" w:eastAsia="宋体" w:cs="Times New Roman"/>
      <w:szCs w:val="24"/>
    </w:rPr>
  </w:style>
  <w:style w:type="paragraph" w:customStyle="1" w:styleId="332">
    <w:name w:val="Char311"/>
    <w:basedOn w:val="1"/>
    <w:qFormat/>
    <w:uiPriority w:val="0"/>
    <w:pPr>
      <w:ind w:firstLine="200" w:firstLineChars="200"/>
    </w:pPr>
    <w:rPr>
      <w:rFonts w:ascii="Tahoma" w:hAnsi="Tahoma" w:eastAsia="宋体" w:cs="Times New Roman"/>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adjustRightInd w:val="0"/>
      <w:spacing w:line="360" w:lineRule="auto"/>
      <w:ind w:firstLine="200" w:firstLineChars="200"/>
      <w:jc w:val="center"/>
    </w:pPr>
    <w:rPr>
      <w:rFonts w:ascii="Arial" w:hAnsi="Arial" w:eastAsia="黑体" w:cs="Times New Roman"/>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ind w:firstLine="420" w:firstLineChars="200"/>
    </w:pPr>
    <w:rPr>
      <w:rFonts w:ascii="Calibri" w:hAnsi="Calibri" w:eastAsia="宋体" w:cs="Times New Roman"/>
    </w:rPr>
  </w:style>
  <w:style w:type="paragraph" w:customStyle="1" w:styleId="337">
    <w:name w:val="小节标题"/>
    <w:basedOn w:val="1"/>
    <w:qFormat/>
    <w:uiPriority w:val="0"/>
    <w:pPr>
      <w:autoSpaceDE w:val="0"/>
      <w:autoSpaceDN w:val="0"/>
      <w:adjustRightInd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338">
    <w:name w:val="MM Topic 3"/>
    <w:basedOn w:val="5"/>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341">
    <w:name w:val="Char Char Char Char Char Char Char Char Char"/>
    <w:basedOn w:val="1"/>
    <w:qFormat/>
    <w:uiPriority w:val="0"/>
    <w:pPr>
      <w:ind w:firstLine="200" w:firstLineChars="200"/>
    </w:pPr>
    <w:rPr>
      <w:rFonts w:ascii="Tahoma" w:hAnsi="Tahoma" w:eastAsia="宋体" w:cs="Times New Roman"/>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spacing w:before="100" w:beforeAutospacing="1" w:after="100" w:afterAutospacing="1" w:line="360" w:lineRule="auto"/>
      <w:ind w:left="480" w:leftChars="200" w:firstLine="200" w:firstLineChars="200"/>
      <w:jc w:val="left"/>
    </w:pPr>
    <w:rPr>
      <w:rFonts w:ascii="Times New Roman" w:hAnsi="Times New Roman" w:eastAsia="宋体" w:cs="Times New Roman"/>
      <w:sz w:val="24"/>
      <w:szCs w:val="24"/>
    </w:rPr>
  </w:style>
  <w:style w:type="paragraph" w:customStyle="1" w:styleId="34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347">
    <w:name w:val="Char2"/>
    <w:basedOn w:val="1"/>
    <w:qFormat/>
    <w:uiPriority w:val="0"/>
    <w:pPr>
      <w:adjustRightInd w:val="0"/>
    </w:pPr>
    <w:rPr>
      <w:rFonts w:ascii="仿宋_GB2312" w:hAnsi="Times New Roman" w:eastAsia="仿宋_GB2312" w:cs="Times New Roman"/>
      <w:b/>
      <w:sz w:val="32"/>
      <w:szCs w:val="32"/>
    </w:rPr>
  </w:style>
  <w:style w:type="paragraph" w:customStyle="1" w:styleId="348">
    <w:name w:val="Char1 Char Char Char Char Char Char Char Char Char"/>
    <w:basedOn w:val="1"/>
    <w:qFormat/>
    <w:uiPriority w:val="0"/>
    <w:pPr>
      <w:spacing w:before="240" w:after="120" w:line="288" w:lineRule="auto"/>
      <w:ind w:firstLine="200" w:firstLineChars="200"/>
      <w:jc w:val="left"/>
    </w:pPr>
    <w:rPr>
      <w:rFonts w:ascii="Tahoma" w:hAnsi="Tahoma" w:eastAsia="宋体" w:cs="Times New Roman"/>
      <w:sz w:val="24"/>
      <w:szCs w:val="24"/>
    </w:rPr>
  </w:style>
  <w:style w:type="paragraph" w:customStyle="1" w:styleId="349">
    <w:name w:val="封面华为技术"/>
    <w:basedOn w:val="1"/>
    <w:qFormat/>
    <w:uiPriority w:val="0"/>
    <w:pPr>
      <w:autoSpaceDE w:val="0"/>
      <w:autoSpaceDN w:val="0"/>
      <w:adjustRightInd w:val="0"/>
      <w:spacing w:line="360" w:lineRule="auto"/>
      <w:ind w:firstLine="200" w:firstLineChars="200"/>
      <w:jc w:val="center"/>
    </w:pPr>
    <w:rPr>
      <w:rFonts w:ascii="Arial" w:hAnsi="Arial" w:eastAsia="黑体" w:cs="Times New Roman"/>
      <w:kern w:val="0"/>
      <w:sz w:val="32"/>
      <w:szCs w:val="32"/>
    </w:rPr>
  </w:style>
  <w:style w:type="paragraph" w:customStyle="1" w:styleId="350">
    <w:name w:val="样式 正文文本缩进 2 + 仿宋_GB2312 黑色 行距: 1.5 倍行距"/>
    <w:basedOn w:val="37"/>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352">
    <w:name w:val="Char Char1 Char Char Char Char Char Char Char Char Char Char Char Char Char Char Char"/>
    <w:basedOn w:val="1"/>
    <w:qFormat/>
    <w:uiPriority w:val="0"/>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353">
    <w:name w:val="插图说明"/>
    <w:basedOn w:val="1"/>
    <w:qFormat/>
    <w:uiPriority w:val="0"/>
    <w:pPr>
      <w:adjustRightInd w:val="0"/>
      <w:spacing w:after="240"/>
      <w:ind w:firstLine="200" w:firstLineChars="200"/>
      <w:jc w:val="center"/>
      <w:textAlignment w:val="baseline"/>
    </w:pPr>
    <w:rPr>
      <w:rFonts w:ascii="Times New Roman" w:hAnsi="Times New Roman" w:eastAsia="黑体" w:cs="Times New Roman"/>
      <w:sz w:val="24"/>
      <w:szCs w:val="20"/>
    </w:rPr>
  </w:style>
  <w:style w:type="paragraph" w:customStyle="1" w:styleId="354">
    <w:name w:val="Char Char Char"/>
    <w:basedOn w:val="1"/>
    <w:qFormat/>
    <w:uiPriority w:val="0"/>
    <w:pPr>
      <w:adjustRightInd w:val="0"/>
    </w:pPr>
    <w:rPr>
      <w:rFonts w:ascii="Tahoma" w:hAnsi="Tahoma" w:eastAsia="宋体" w:cs="Times New Roman"/>
      <w:sz w:val="24"/>
      <w:szCs w:val="20"/>
    </w:rPr>
  </w:style>
  <w:style w:type="paragraph" w:customStyle="1" w:styleId="355">
    <w:name w:val="MM Topic 4"/>
    <w:basedOn w:val="6"/>
    <w:qFormat/>
    <w:uiPriority w:val="0"/>
    <w:pPr>
      <w:numPr>
        <w:numId w:val="5"/>
      </w:numPr>
      <w:tabs>
        <w:tab w:val="left" w:pos="840"/>
        <w:tab w:val="left" w:pos="2100"/>
        <w:tab w:val="clear" w:pos="864"/>
      </w:tabs>
      <w:adjustRightInd/>
    </w:pPr>
    <w:rPr>
      <w:lang w:val="en-US"/>
    </w:rPr>
  </w:style>
  <w:style w:type="paragraph" w:customStyle="1" w:styleId="356">
    <w:name w:val="标准小四"/>
    <w:basedOn w:val="1"/>
    <w:qFormat/>
    <w:uiPriority w:val="0"/>
    <w:pPr>
      <w:adjustRightInd w:val="0"/>
      <w:spacing w:line="360" w:lineRule="auto"/>
      <w:ind w:firstLine="480" w:firstLineChars="200"/>
    </w:pPr>
    <w:rPr>
      <w:rFonts w:ascii="Arial" w:hAnsi="Arial" w:eastAsia="宋体" w:cs="Times New Roman"/>
      <w:sz w:val="24"/>
      <w:szCs w:val="21"/>
    </w:rPr>
  </w:style>
  <w:style w:type="paragraph" w:customStyle="1" w:styleId="357">
    <w:name w:val="MM Topic 2"/>
    <w:basedOn w:val="4"/>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spacing w:line="360" w:lineRule="auto"/>
    </w:pPr>
    <w:rPr>
      <w:rFonts w:ascii="宋体" w:hAnsi="宋体" w:eastAsia="宋体" w:cs="宋体"/>
      <w:color w:val="000000"/>
      <w:szCs w:val="20"/>
    </w:rPr>
  </w:style>
  <w:style w:type="paragraph" w:customStyle="1" w:styleId="360">
    <w:name w:val="Preformatted Text"/>
    <w:basedOn w:val="1"/>
    <w:qFormat/>
    <w:uiPriority w:val="0"/>
    <w:pPr>
      <w:suppressAutoHyphens/>
      <w:ind w:firstLine="200" w:firstLineChars="200"/>
    </w:pPr>
    <w:rPr>
      <w:rFonts w:ascii="Cumberland" w:hAnsi="Cumberland" w:eastAsia="方正宋体" w:cs="Times New Roman"/>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362">
    <w:name w:val="Char Char11 Char Char Char Char Char Char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363">
    <w:name w:val="Char Char Char Char Char Char Char Char Char Char Char1 Char"/>
    <w:basedOn w:val="1"/>
    <w:qFormat/>
    <w:uiPriority w:val="0"/>
    <w:rPr>
      <w:rFonts w:ascii="Tahoma" w:hAnsi="Tahoma" w:eastAsia="宋体" w:cs="Times New Roman"/>
      <w:sz w:val="24"/>
      <w:szCs w:val="24"/>
    </w:rPr>
  </w:style>
  <w:style w:type="paragraph" w:customStyle="1" w:styleId="364">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5">
    <w:name w:val="a1"/>
    <w:basedOn w:val="1"/>
    <w:qFormat/>
    <w:uiPriority w:val="0"/>
    <w:pPr>
      <w:widowControl/>
      <w:adjustRightInd w:val="0"/>
      <w:spacing w:line="300" w:lineRule="atLeast"/>
      <w:jc w:val="left"/>
    </w:pPr>
    <w:rPr>
      <w:rFonts w:ascii="宋体" w:hAnsi="宋体" w:eastAsia="宋体" w:cs="Times New Roman"/>
      <w:kern w:val="0"/>
      <w:sz w:val="18"/>
      <w:szCs w:val="20"/>
    </w:rPr>
  </w:style>
  <w:style w:type="paragraph" w:customStyle="1" w:styleId="36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367">
    <w:name w:val="Char"/>
    <w:basedOn w:val="1"/>
    <w:qFormat/>
    <w:uiPriority w:val="0"/>
    <w:pPr>
      <w:adjustRightInd w:val="0"/>
    </w:pPr>
    <w:rPr>
      <w:rFonts w:ascii="仿宋_GB2312" w:hAnsi="Times New Roman" w:eastAsia="仿宋_GB2312" w:cs="Times New Roman"/>
      <w:b/>
      <w:sz w:val="32"/>
      <w:szCs w:val="32"/>
    </w:rPr>
  </w:style>
  <w:style w:type="paragraph" w:customStyle="1" w:styleId="368">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5"/>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374">
    <w:name w:val="正文1"/>
    <w:basedOn w:val="32"/>
    <w:link w:val="878"/>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376">
    <w:name w:val="段"/>
    <w:link w:val="87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5"/>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380">
    <w:name w:val="±íÑùÊ½"/>
    <w:basedOn w:val="1"/>
    <w:qFormat/>
    <w:uiPriority w:val="0"/>
    <w:pPr>
      <w:widowControl/>
      <w:tabs>
        <w:tab w:val="left" w:pos="840"/>
      </w:tabs>
      <w:overflowPunct w:val="0"/>
      <w:autoSpaceDE w:val="0"/>
      <w:autoSpaceDN w:val="0"/>
      <w:adjustRightInd w:val="0"/>
      <w:jc w:val="left"/>
      <w:textAlignment w:val="baseline"/>
    </w:pPr>
    <w:rPr>
      <w:rFonts w:ascii="Arial Narrow" w:hAnsi="Arial Narrow" w:eastAsia="宋体" w:cs="Times New Roman"/>
      <w:kern w:val="0"/>
      <w:sz w:val="18"/>
      <w:szCs w:val="20"/>
    </w:rPr>
  </w:style>
  <w:style w:type="paragraph" w:customStyle="1" w:styleId="381">
    <w:name w:val="Char Char1 Char Char1 Char Char1"/>
    <w:basedOn w:val="1"/>
    <w:qFormat/>
    <w:uiPriority w:val="0"/>
    <w:pPr>
      <w:tabs>
        <w:tab w:val="left" w:pos="840"/>
      </w:tabs>
      <w:adjustRightInd w:val="0"/>
      <w:ind w:left="840" w:hanging="420"/>
    </w:pPr>
    <w:rPr>
      <w:rFonts w:ascii="Tahoma" w:hAnsi="Tahoma" w:eastAsia="宋体" w:cs="Times New Roman"/>
      <w:sz w:val="24"/>
      <w:szCs w:val="24"/>
    </w:rPr>
  </w:style>
  <w:style w:type="paragraph" w:customStyle="1" w:styleId="382">
    <w:name w:val="zTableCellBody"/>
    <w:basedOn w:val="1"/>
    <w:qFormat/>
    <w:uiPriority w:val="0"/>
    <w:pPr>
      <w:keepNext/>
      <w:keepLines/>
      <w:widowControl/>
      <w:spacing w:line="320" w:lineRule="exact"/>
      <w:ind w:firstLine="200" w:firstLineChars="200"/>
      <w:jc w:val="left"/>
    </w:pPr>
    <w:rPr>
      <w:rFonts w:ascii="Arial" w:hAnsi="Arial" w:eastAsia="宋体" w:cs="Times New Roman"/>
      <w:kern w:val="0"/>
      <w:sz w:val="24"/>
      <w:szCs w:val="24"/>
      <w:lang w:eastAsia="en-US"/>
    </w:rPr>
  </w:style>
  <w:style w:type="paragraph" w:customStyle="1" w:styleId="383">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385">
    <w:name w:val="公文正文"/>
    <w:basedOn w:val="1"/>
    <w:link w:val="784"/>
    <w:qFormat/>
    <w:uiPriority w:val="0"/>
    <w:pPr>
      <w:spacing w:before="156" w:line="360" w:lineRule="auto"/>
      <w:ind w:firstLine="360" w:firstLineChars="200"/>
    </w:pPr>
    <w:rPr>
      <w:rFonts w:ascii="仿宋_GB2312" w:hAnsi="Times New Roman" w:eastAsia="仿宋_GB2312" w:cs="Times New Roman"/>
      <w:sz w:val="24"/>
      <w:szCs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spacing w:line="360" w:lineRule="auto"/>
      <w:ind w:firstLine="420" w:firstLineChars="200"/>
    </w:pPr>
    <w:rPr>
      <w:rFonts w:ascii="宋体" w:hAnsi="宋体" w:eastAsia="宋体" w:cs="Times New Roman"/>
      <w:sz w:val="24"/>
      <w:szCs w:val="20"/>
    </w:rPr>
  </w:style>
  <w:style w:type="paragraph" w:customStyle="1" w:styleId="388">
    <w:name w:val="f9a style88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389">
    <w:name w:val="正文21"/>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390">
    <w:name w:val="列出段落2"/>
    <w:basedOn w:val="1"/>
    <w:qFormat/>
    <w:uiPriority w:val="0"/>
    <w:pPr>
      <w:ind w:firstLine="420" w:firstLineChars="200"/>
    </w:pPr>
    <w:rPr>
      <w:rFonts w:ascii="宋体" w:hAnsi="宋体" w:eastAsia="宋体" w:cs="Times New Roman"/>
      <w:sz w:val="24"/>
      <w:szCs w:val="24"/>
    </w:rPr>
  </w:style>
  <w:style w:type="paragraph" w:customStyle="1" w:styleId="391">
    <w:name w:val="封面"/>
    <w:basedOn w:val="1"/>
    <w:qFormat/>
    <w:uiPriority w:val="0"/>
    <w:pPr>
      <w:adjustRightInd w:val="0"/>
      <w:spacing w:line="360" w:lineRule="atLeast"/>
      <w:jc w:val="right"/>
      <w:textAlignment w:val="baseline"/>
    </w:pPr>
    <w:rPr>
      <w:rFonts w:ascii="Symbol" w:hAnsi="Symbol" w:eastAsia="宋体" w:cs="Times New Roman"/>
      <w:kern w:val="0"/>
      <w:szCs w:val="20"/>
    </w:rPr>
  </w:style>
  <w:style w:type="paragraph" w:customStyle="1" w:styleId="392">
    <w:name w:val="Char Char1 Char"/>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393">
    <w:name w:val="Char Char Char Char Char Char1 Char"/>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pPr>
      <w:adjustRightInd w:val="0"/>
    </w:pPr>
    <w:rPr>
      <w:rFonts w:ascii="仿宋_GB2312" w:hAnsi="Times New Roman" w:eastAsia="仿宋_GB2312" w:cs="Times New Roman"/>
      <w:b/>
      <w:sz w:val="32"/>
      <w:szCs w:val="20"/>
    </w:rPr>
  </w:style>
  <w:style w:type="paragraph" w:customStyle="1" w:styleId="39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7">
    <w:name w:val="样式 正1 + 首行缩进:  2 字符"/>
    <w:basedOn w:val="1"/>
    <w:qFormat/>
    <w:uiPriority w:val="0"/>
    <w:pPr>
      <w:spacing w:line="360" w:lineRule="auto"/>
      <w:ind w:firstLine="480" w:firstLineChars="200"/>
    </w:pPr>
    <w:rPr>
      <w:rFonts w:ascii="仿宋_GB2312" w:hAnsi="Times New Roman" w:eastAsia="仿宋_GB2312" w:cs="Times New Roman"/>
      <w:sz w:val="24"/>
      <w:szCs w:val="24"/>
    </w:rPr>
  </w:style>
  <w:style w:type="paragraph" w:customStyle="1" w:styleId="398">
    <w:name w:val="样式4"/>
    <w:basedOn w:val="1"/>
    <w:qFormat/>
    <w:uiPriority w:val="0"/>
    <w:pPr>
      <w:adjustRightInd w:val="0"/>
      <w:spacing w:line="360" w:lineRule="auto"/>
      <w:ind w:firstLine="420"/>
      <w:jc w:val="center"/>
      <w:outlineLvl w:val="2"/>
    </w:pPr>
    <w:rPr>
      <w:rFonts w:ascii="仿宋_GB2312" w:hAnsi="仿宋" w:eastAsia="仿宋_GB2312" w:cs="Times New Roman"/>
      <w:b/>
      <w:sz w:val="32"/>
      <w:szCs w:val="32"/>
    </w:rPr>
  </w:style>
  <w:style w:type="paragraph" w:customStyle="1" w:styleId="399">
    <w:name w:val="正文（首行缩进2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adjustRightInd w:val="0"/>
      <w:spacing w:after="120" w:line="440" w:lineRule="exact"/>
      <w:ind w:left="840" w:hanging="420"/>
      <w:jc w:val="left"/>
    </w:pPr>
    <w:rPr>
      <w:rFonts w:ascii="仿宋_GB2312" w:hAnsi="仿宋_GB2312" w:eastAsia="仿宋_GB2312" w:cs="Times New Roman"/>
      <w:sz w:val="24"/>
      <w:szCs w:val="20"/>
    </w:rPr>
  </w:style>
  <w:style w:type="paragraph" w:customStyle="1" w:styleId="403">
    <w:name w:val="Char1"/>
    <w:basedOn w:val="1"/>
    <w:qFormat/>
    <w:uiPriority w:val="0"/>
    <w:pPr>
      <w:widowControl/>
      <w:adjustRightInd w:val="0"/>
      <w:spacing w:after="160" w:line="240" w:lineRule="exact"/>
      <w:jc w:val="left"/>
    </w:pPr>
    <w:rPr>
      <w:rFonts w:ascii="Verdana" w:hAnsi="Verdana" w:eastAsia="仿宋_GB2312" w:cs="Times New Roman"/>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adjustRightInd w:val="0"/>
      <w:spacing w:line="360" w:lineRule="auto"/>
      <w:ind w:firstLine="480" w:firstLineChars="200"/>
    </w:pPr>
    <w:rPr>
      <w:rFonts w:ascii="仿宋_GB2312" w:hAnsi="Times New Roman" w:eastAsia="新宋体" w:cs="Times New Roman"/>
      <w:sz w:val="24"/>
      <w:szCs w:val="20"/>
    </w:rPr>
  </w:style>
  <w:style w:type="paragraph" w:customStyle="1" w:styleId="405">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406">
    <w:name w:val="数字标题5"/>
    <w:basedOn w:val="7"/>
    <w:next w:val="1"/>
    <w:qFormat/>
    <w:uiPriority w:val="0"/>
    <w:pPr>
      <w:numPr>
        <w:numId w:val="6"/>
      </w:numPr>
      <w:tabs>
        <w:tab w:val="left" w:pos="480"/>
        <w:tab w:val="left" w:pos="1080"/>
      </w:tabs>
    </w:pPr>
  </w:style>
  <w:style w:type="paragraph" w:customStyle="1" w:styleId="407">
    <w:name w:val="Char1111"/>
    <w:basedOn w:val="1"/>
    <w:qFormat/>
    <w:uiPriority w:val="0"/>
    <w:pPr>
      <w:adjustRightInd w:val="0"/>
    </w:pPr>
    <w:rPr>
      <w:rFonts w:ascii="仿宋_GB2312" w:hAnsi="Times New Roman" w:eastAsia="仿宋_GB2312" w:cs="Times New Roman"/>
      <w:b/>
      <w:sz w:val="32"/>
      <w:szCs w:val="32"/>
    </w:rPr>
  </w:style>
  <w:style w:type="paragraph" w:customStyle="1" w:styleId="408">
    <w:name w:val="规范正文"/>
    <w:basedOn w:val="1"/>
    <w:qFormat/>
    <w:uiPriority w:val="0"/>
    <w:pPr>
      <w:tabs>
        <w:tab w:val="left" w:pos="840"/>
      </w:tabs>
      <w:adjustRightInd w:val="0"/>
      <w:spacing w:before="156" w:beforeLines="50" w:line="360" w:lineRule="auto"/>
      <w:ind w:left="840" w:hanging="420"/>
      <w:textAlignment w:val="baseline"/>
    </w:pPr>
    <w:rPr>
      <w:rFonts w:ascii="Times New Roman" w:hAnsi="Times New Roman" w:eastAsia="宋体" w:cs="Times New Roman"/>
      <w:szCs w:val="20"/>
    </w:rPr>
  </w:style>
  <w:style w:type="paragraph" w:customStyle="1" w:styleId="40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411">
    <w:name w:val="Char Char11 Char Char Char"/>
    <w:basedOn w:val="1"/>
    <w:qFormat/>
    <w:uiPriority w:val="0"/>
    <w:pPr>
      <w:adjustRightInd w:val="0"/>
      <w:spacing w:line="360" w:lineRule="auto"/>
    </w:pPr>
    <w:rPr>
      <w:rFonts w:ascii="Times New Roman" w:hAnsi="Times New Roman" w:eastAsia="宋体" w:cs="Times New Roman"/>
      <w:szCs w:val="20"/>
    </w:rPr>
  </w:style>
  <w:style w:type="paragraph" w:customStyle="1" w:styleId="412">
    <w:name w:val="Char Char Char11"/>
    <w:basedOn w:val="1"/>
    <w:qFormat/>
    <w:uiPriority w:val="0"/>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413">
    <w:name w:val="Char Char1111"/>
    <w:basedOn w:val="1"/>
    <w:qFormat/>
    <w:uiPriority w:val="0"/>
    <w:pPr>
      <w:adjustRightInd w:val="0"/>
      <w:spacing w:line="360" w:lineRule="auto"/>
    </w:pPr>
    <w:rPr>
      <w:rFonts w:ascii="Times New Roman" w:hAnsi="Times New Roman" w:eastAsia="宋体" w:cs="Times New Roman"/>
      <w:szCs w:val="20"/>
    </w:rPr>
  </w:style>
  <w:style w:type="paragraph" w:customStyle="1" w:styleId="414">
    <w:name w:val="文档正文"/>
    <w:basedOn w:val="1"/>
    <w:qFormat/>
    <w:uiPriority w:val="0"/>
    <w:pPr>
      <w:adjustRightInd w:val="0"/>
      <w:spacing w:line="480" w:lineRule="atLeast"/>
      <w:ind w:firstLine="567"/>
      <w:textAlignment w:val="baseline"/>
    </w:pPr>
    <w:rPr>
      <w:rFonts w:ascii="Times New Roman" w:hAnsi="Times New Roman" w:eastAsia="宋体" w:cs="Times New Roman"/>
      <w:kern w:val="0"/>
      <w:sz w:val="24"/>
      <w:szCs w:val="20"/>
    </w:rPr>
  </w:style>
  <w:style w:type="paragraph" w:customStyle="1" w:styleId="415">
    <w:name w:val="legal"/>
    <w:basedOn w:val="1"/>
    <w:qFormat/>
    <w:uiPriority w:val="0"/>
    <w:pPr>
      <w:widowControl/>
      <w:spacing w:line="180" w:lineRule="exact"/>
      <w:ind w:firstLine="200" w:firstLineChars="200"/>
      <w:jc w:val="left"/>
    </w:pPr>
    <w:rPr>
      <w:rFonts w:ascii="Futura Bk" w:hAnsi="Futura Bk" w:eastAsia="宋体" w:cs="Futura Bk"/>
      <w:kern w:val="0"/>
      <w:sz w:val="13"/>
      <w:szCs w:val="13"/>
    </w:rPr>
  </w:style>
  <w:style w:type="paragraph" w:customStyle="1" w:styleId="416">
    <w:name w:val="样式 微软雅黑 行距: 1.5 倍行距"/>
    <w:basedOn w:val="1"/>
    <w:qFormat/>
    <w:uiPriority w:val="0"/>
    <w:pPr>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ind w:firstLine="200" w:firstLineChars="200"/>
    </w:pPr>
    <w:rPr>
      <w:rFonts w:ascii="Tahoma" w:hAnsi="Tahoma" w:eastAsia="宋体" w:cs="Times New Roman"/>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19">
    <w:name w:val="样式 左侧:  0.85 厘米 首行缩进:  0.85 厘米"/>
    <w:basedOn w:val="1"/>
    <w:qFormat/>
    <w:uiPriority w:val="0"/>
    <w:pPr>
      <w:spacing w:line="360" w:lineRule="auto"/>
      <w:ind w:firstLine="482"/>
    </w:pPr>
    <w:rPr>
      <w:rFonts w:ascii="Times New Roman" w:hAnsi="Times New Roman" w:eastAsia="宋体" w:cs="宋体"/>
      <w:sz w:val="24"/>
      <w:szCs w:val="20"/>
    </w:rPr>
  </w:style>
  <w:style w:type="paragraph" w:customStyle="1" w:styleId="420">
    <w:name w:val="Char2 Char Char Char"/>
    <w:basedOn w:val="1"/>
    <w:qFormat/>
    <w:uiPriority w:val="0"/>
    <w:pPr>
      <w:adjustRightInd w:val="0"/>
    </w:pPr>
    <w:rPr>
      <w:rFonts w:ascii="仿宋_GB2312" w:hAnsi="Times New Roman" w:eastAsia="仿宋_GB2312" w:cs="Times New Roman"/>
      <w:b/>
      <w:sz w:val="32"/>
      <w:szCs w:val="32"/>
    </w:rPr>
  </w:style>
  <w:style w:type="paragraph" w:customStyle="1" w:styleId="421">
    <w:name w:val="Body"/>
    <w:basedOn w:val="1"/>
    <w:qFormat/>
    <w:uiPriority w:val="0"/>
    <w:pPr>
      <w:widowControl/>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422">
    <w:name w:val="MM Topic 5"/>
    <w:basedOn w:val="7"/>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424">
    <w:name w:val="目录1"/>
    <w:basedOn w:val="1"/>
    <w:qFormat/>
    <w:uiPriority w:val="0"/>
    <w:pPr>
      <w:tabs>
        <w:tab w:val="left" w:leader="dot" w:pos="8503"/>
      </w:tabs>
      <w:autoSpaceDE w:val="0"/>
      <w:autoSpaceDN w:val="0"/>
      <w:adjustRightInd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pPr>
      <w:adjustRightInd w:val="0"/>
    </w:pPr>
    <w:rPr>
      <w:rFonts w:ascii="Tahoma" w:hAnsi="Tahoma" w:eastAsia="宋体" w:cs="Times New Roman"/>
      <w:sz w:val="24"/>
      <w:szCs w:val="20"/>
    </w:rPr>
  </w:style>
  <w:style w:type="paragraph" w:customStyle="1" w:styleId="426">
    <w:name w:val="Char1 Char Char Char2"/>
    <w:basedOn w:val="1"/>
    <w:qFormat/>
    <w:uiPriority w:val="0"/>
    <w:pPr>
      <w:ind w:firstLine="200" w:firstLineChars="200"/>
    </w:pPr>
    <w:rPr>
      <w:rFonts w:ascii="Tahoma" w:hAnsi="Tahoma" w:eastAsia="宋体" w:cs="Times New Roman"/>
      <w:sz w:val="24"/>
      <w:szCs w:val="20"/>
    </w:rPr>
  </w:style>
  <w:style w:type="paragraph" w:customStyle="1" w:styleId="427">
    <w:name w:val="列出段落1"/>
    <w:basedOn w:val="1"/>
    <w:qFormat/>
    <w:uiPriority w:val="0"/>
    <w:pPr>
      <w:spacing w:line="360" w:lineRule="auto"/>
      <w:ind w:firstLine="420" w:firstLineChars="200"/>
    </w:pPr>
    <w:rPr>
      <w:rFonts w:ascii="Calibri" w:hAnsi="Calibri" w:eastAsia="宋体" w:cs="Times New Roman"/>
      <w:sz w:val="24"/>
    </w:rPr>
  </w:style>
  <w:style w:type="paragraph" w:customStyle="1" w:styleId="428">
    <w:name w:val="Char1 Char Char Char"/>
    <w:basedOn w:val="1"/>
    <w:qFormat/>
    <w:uiPriority w:val="0"/>
    <w:pPr>
      <w:adjustRightInd w:val="0"/>
    </w:pPr>
    <w:rPr>
      <w:rFonts w:ascii="Tahoma" w:hAnsi="Tahoma" w:eastAsia="宋体" w:cs="Times New Roman"/>
      <w:sz w:val="24"/>
      <w:szCs w:val="20"/>
    </w:rPr>
  </w:style>
  <w:style w:type="paragraph" w:customStyle="1" w:styleId="429">
    <w:name w:val="正文文本 22"/>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430">
    <w:name w:val="正文3"/>
    <w:basedOn w:val="1"/>
    <w:qFormat/>
    <w:uiPriority w:val="0"/>
    <w:pPr>
      <w:spacing w:before="156" w:beforeLines="50" w:after="156"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432">
    <w:name w:val="Char2 Char Char Char11"/>
    <w:basedOn w:val="1"/>
    <w:qFormat/>
    <w:uiPriority w:val="0"/>
    <w:pPr>
      <w:adjustRightInd w:val="0"/>
    </w:pPr>
    <w:rPr>
      <w:rFonts w:ascii="仿宋_GB2312" w:hAnsi="Times New Roman" w:eastAsia="仿宋_GB2312" w:cs="Times New Roman"/>
      <w:b/>
      <w:sz w:val="32"/>
      <w:szCs w:val="32"/>
    </w:rPr>
  </w:style>
  <w:style w:type="paragraph" w:customStyle="1" w:styleId="433">
    <w:name w:val="Char Char11 Char Char Char Char Char Char Char Char Char Char Char Char Char"/>
    <w:basedOn w:val="1"/>
    <w:qFormat/>
    <w:uiPriority w:val="0"/>
    <w:pPr>
      <w:spacing w:line="360" w:lineRule="auto"/>
    </w:pPr>
    <w:rPr>
      <w:rFonts w:ascii="Arial" w:hAnsi="Arial" w:eastAsia="黑体" w:cs="Times New Roman"/>
      <w:snapToGrid w:val="0"/>
      <w:kern w:val="0"/>
      <w:sz w:val="20"/>
      <w:szCs w:val="21"/>
    </w:rPr>
  </w:style>
  <w:style w:type="paragraph" w:customStyle="1" w:styleId="434">
    <w:name w:val="0"/>
    <w:basedOn w:val="1"/>
    <w:qFormat/>
    <w:uiPriority w:val="0"/>
    <w:pPr>
      <w:widowControl/>
      <w:adjustRightInd w:val="0"/>
    </w:pPr>
    <w:rPr>
      <w:rFonts w:ascii="Times New Roman" w:hAnsi="Times New Roman" w:eastAsia="宋体" w:cs="Times New Roman"/>
      <w:kern w:val="0"/>
      <w:sz w:val="24"/>
      <w:szCs w:val="20"/>
    </w:rPr>
  </w:style>
  <w:style w:type="paragraph" w:customStyle="1" w:styleId="43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437">
    <w:name w:val="Char Char11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adjustRightInd w:val="0"/>
      <w:spacing w:line="240" w:lineRule="atLeast"/>
      <w:ind w:left="420" w:firstLine="420"/>
    </w:pPr>
    <w:rPr>
      <w:rFonts w:ascii="Times New Roman" w:hAnsi="Times New Roman" w:eastAsia="宋体" w:cs="Times New Roman"/>
      <w:sz w:val="24"/>
      <w:szCs w:val="24"/>
    </w:rPr>
  </w:style>
  <w:style w:type="paragraph" w:customStyle="1" w:styleId="439">
    <w:name w:val="样式 正文文本缩进 + 段前: 2 字符"/>
    <w:basedOn w:val="1"/>
    <w:qFormat/>
    <w:uiPriority w:val="0"/>
    <w:pPr>
      <w:ind w:left="420" w:leftChars="200"/>
      <w:jc w:val="left"/>
    </w:pPr>
    <w:rPr>
      <w:rFonts w:ascii="Times New Roman" w:hAnsi="Times New Roman" w:eastAsia="宋体" w:cs="Times New Roman"/>
      <w:sz w:val="28"/>
      <w:szCs w:val="20"/>
      <w:lang w:eastAsia="zh-TW"/>
    </w:rPr>
  </w:style>
  <w:style w:type="paragraph" w:customStyle="1" w:styleId="440">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adjustRightInd w:val="0"/>
      <w:snapToGrid w:val="0"/>
      <w:ind w:firstLine="42" w:firstLineChars="21"/>
    </w:pPr>
    <w:rPr>
      <w:rFonts w:ascii="宋体" w:hAnsi="宋体" w:eastAsia="宋体" w:cs="Times New Roman"/>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4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8"/>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spacing w:line="288" w:lineRule="auto"/>
      <w:ind w:firstLine="425" w:firstLineChars="200"/>
    </w:pPr>
    <w:rPr>
      <w:rFonts w:ascii="Times New Roman" w:hAnsi="Times New Roman" w:eastAsia="宋体" w:cs="Times New Roman"/>
      <w:szCs w:val="24"/>
    </w:rPr>
  </w:style>
  <w:style w:type="paragraph" w:customStyle="1" w:styleId="447">
    <w:name w:val="Char Char11 Char Char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adjustRightInd w:val="0"/>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szCs w:val="24"/>
    </w:rPr>
  </w:style>
  <w:style w:type="paragraph" w:customStyle="1" w:styleId="449">
    <w:name w:val="正文文字 2"/>
    <w:basedOn w:val="78"/>
    <w:next w:val="78"/>
    <w:qFormat/>
    <w:uiPriority w:val="0"/>
    <w:rPr>
      <w:rFonts w:ascii="宋体" w:eastAsia="宋体"/>
      <w:color w:val="auto"/>
    </w:rPr>
  </w:style>
  <w:style w:type="paragraph" w:customStyle="1" w:styleId="450">
    <w:name w:val="Bullet"/>
    <w:basedOn w:val="1"/>
    <w:qFormat/>
    <w:uiPriority w:val="0"/>
    <w:pPr>
      <w:widowControl/>
      <w:tabs>
        <w:tab w:val="left" w:pos="288"/>
      </w:tabs>
      <w:ind w:left="288" w:hanging="360" w:firstLineChars="200"/>
      <w:jc w:val="left"/>
    </w:pPr>
    <w:rPr>
      <w:rFonts w:ascii="Arial" w:hAnsi="Arial" w:eastAsia="宋体" w:cs="Times New Roman"/>
      <w:kern w:val="0"/>
      <w:sz w:val="20"/>
      <w:szCs w:val="20"/>
    </w:rPr>
  </w:style>
  <w:style w:type="paragraph" w:customStyle="1" w:styleId="45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52">
    <w:name w:val="Char3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_Style 12"/>
    <w:basedOn w:val="19"/>
    <w:qFormat/>
    <w:uiPriority w:val="0"/>
    <w:pPr>
      <w:snapToGrid w:val="0"/>
      <w:spacing w:line="360" w:lineRule="auto"/>
    </w:pPr>
  </w:style>
  <w:style w:type="paragraph" w:customStyle="1" w:styleId="45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5">
    <w:name w:val="Char Char1 Char11"/>
    <w:basedOn w:val="1"/>
    <w:qFormat/>
    <w:uiPriority w:val="0"/>
    <w:pPr>
      <w:adjustRightInd w:val="0"/>
    </w:pPr>
    <w:rPr>
      <w:rFonts w:ascii="仿宋_GB2312" w:hAnsi="Times New Roman" w:eastAsia="仿宋_GB2312" w:cs="Times New Roman"/>
      <w:b/>
      <w:sz w:val="32"/>
      <w:szCs w:val="32"/>
    </w:rPr>
  </w:style>
  <w:style w:type="paragraph" w:customStyle="1" w:styleId="456">
    <w:name w:val="Char2 Char Char"/>
    <w:basedOn w:val="1"/>
    <w:qFormat/>
    <w:uiPriority w:val="0"/>
    <w:rPr>
      <w:rFonts w:ascii="Tahoma" w:hAnsi="Tahoma" w:eastAsia="宋体" w:cs="Times New Roman"/>
      <w:sz w:val="24"/>
      <w:szCs w:val="20"/>
    </w:rPr>
  </w:style>
  <w:style w:type="paragraph" w:customStyle="1" w:styleId="457">
    <w:name w:val="Char Char Char Char Char Char1 Char1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458">
    <w:name w:val="MM Empty"/>
    <w:basedOn w:val="1"/>
    <w:qFormat/>
    <w:uiPriority w:val="0"/>
    <w:rPr>
      <w:rFonts w:ascii="Times New Roman" w:hAnsi="Times New Roman" w:eastAsia="宋体" w:cs="Times New Roman"/>
      <w:szCs w:val="24"/>
    </w:rPr>
  </w:style>
  <w:style w:type="paragraph" w:customStyle="1" w:styleId="459">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0">
    <w:name w:val="style82 f9a f9a f9a"/>
    <w:basedOn w:val="1"/>
    <w:qFormat/>
    <w:uiPriority w:val="0"/>
    <w:pPr>
      <w:widowControl/>
      <w:adjustRightInd w:val="0"/>
      <w:spacing w:before="100" w:beforeAutospacing="1" w:after="100" w:afterAutospacing="1" w:line="276" w:lineRule="auto"/>
      <w:jc w:val="left"/>
    </w:pPr>
    <w:rPr>
      <w:rFonts w:ascii="宋体" w:hAnsi="宋体" w:eastAsia="宋体" w:cs="Times New Roman"/>
      <w:kern w:val="0"/>
      <w:sz w:val="24"/>
      <w:szCs w:val="20"/>
    </w:rPr>
  </w:style>
  <w:style w:type="paragraph" w:customStyle="1" w:styleId="46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2">
    <w:name w:val="Char Char11 Char Char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463">
    <w:name w:val="Char2 Char Char11"/>
    <w:basedOn w:val="1"/>
    <w:qFormat/>
    <w:uiPriority w:val="0"/>
    <w:rPr>
      <w:rFonts w:ascii="Tahoma" w:hAnsi="Tahoma" w:eastAsia="宋体" w:cs="Times New Roman"/>
      <w:sz w:val="24"/>
      <w:szCs w:val="20"/>
    </w:rPr>
  </w:style>
  <w:style w:type="paragraph" w:customStyle="1" w:styleId="464">
    <w:name w:val="数字标题3"/>
    <w:basedOn w:val="5"/>
    <w:next w:val="1"/>
    <w:qFormat/>
    <w:uiPriority w:val="0"/>
    <w:pPr>
      <w:numPr>
        <w:numId w:val="0"/>
      </w:numPr>
      <w:spacing w:line="240" w:lineRule="auto"/>
    </w:pPr>
    <w:rPr>
      <w:sz w:val="28"/>
      <w:szCs w:val="28"/>
    </w:rPr>
  </w:style>
  <w:style w:type="paragraph" w:customStyle="1" w:styleId="465">
    <w:name w:val="彩色列表 - 强调文字颜色 12"/>
    <w:basedOn w:val="1"/>
    <w:qFormat/>
    <w:uiPriority w:val="0"/>
    <w:pPr>
      <w:ind w:firstLine="420" w:firstLineChars="200"/>
    </w:pPr>
    <w:rPr>
      <w:rFonts w:ascii="Calibri" w:hAnsi="Calibri" w:eastAsia="宋体" w:cs="Times New Roman"/>
    </w:rPr>
  </w:style>
  <w:style w:type="paragraph" w:customStyle="1" w:styleId="466">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6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68">
    <w:name w:val="正文（标题三）"/>
    <w:basedOn w:val="1"/>
    <w:qFormat/>
    <w:uiPriority w:val="0"/>
    <w:pPr>
      <w:adjustRightInd w:val="0"/>
      <w:spacing w:line="360" w:lineRule="auto"/>
      <w:ind w:firstLine="200" w:firstLineChars="200"/>
    </w:pPr>
    <w:rPr>
      <w:rFonts w:ascii="Times New Roman" w:hAnsi="Times New Roman" w:eastAsia="宋体" w:cs="Times New Roman"/>
      <w:sz w:val="24"/>
      <w:szCs w:val="24"/>
    </w:rPr>
  </w:style>
  <w:style w:type="paragraph" w:customStyle="1" w:styleId="469">
    <w:name w:val="Char Char Char1 Char"/>
    <w:basedOn w:val="1"/>
    <w:qFormat/>
    <w:uiPriority w:val="0"/>
    <w:pPr>
      <w:adjustRightInd w:val="0"/>
    </w:pPr>
    <w:rPr>
      <w:rFonts w:ascii="Times New Roman" w:hAnsi="Times New Roman" w:eastAsia="宋体" w:cs="Times New Roman"/>
      <w:szCs w:val="20"/>
    </w:rPr>
  </w:style>
  <w:style w:type="paragraph" w:customStyle="1" w:styleId="470">
    <w:name w:val="tabletext"/>
    <w:basedOn w:val="1"/>
    <w:qFormat/>
    <w:uiPriority w:val="0"/>
    <w:pPr>
      <w:widowControl/>
      <w:adjustRightInd w:val="0"/>
      <w:spacing w:before="100" w:beforeAutospacing="1" w:after="100" w:afterAutospacing="1"/>
      <w:jc w:val="left"/>
    </w:pPr>
    <w:rPr>
      <w:rFonts w:ascii="宋体" w:hAnsi="宋体" w:eastAsia="宋体" w:cs="宋体"/>
      <w:kern w:val="0"/>
      <w:sz w:val="24"/>
      <w:szCs w:val="24"/>
    </w:rPr>
  </w:style>
  <w:style w:type="paragraph" w:customStyle="1" w:styleId="471">
    <w:name w:val="正文文字缩进项目"/>
    <w:basedOn w:val="25"/>
    <w:qFormat/>
    <w:uiPriority w:val="0"/>
    <w:pPr>
      <w:tabs>
        <w:tab w:val="left" w:pos="840"/>
      </w:tabs>
      <w:adjustRightInd/>
      <w:ind w:left="0" w:leftChars="0" w:hanging="420"/>
    </w:pPr>
    <w:rPr>
      <w:rFonts w:ascii="Tahoma" w:hAnsi="Tahoma"/>
      <w:sz w:val="22"/>
      <w:szCs w:val="20"/>
      <w:lang w:val="zh-CN"/>
    </w:rPr>
  </w:style>
  <w:style w:type="paragraph" w:customStyle="1" w:styleId="472">
    <w:name w:val="标题五"/>
    <w:basedOn w:val="1"/>
    <w:qFormat/>
    <w:uiPriority w:val="0"/>
    <w:pPr>
      <w:spacing w:before="156" w:beforeLines="50" w:line="360" w:lineRule="auto"/>
    </w:pPr>
    <w:rPr>
      <w:rFonts w:ascii="Times New Roman" w:hAnsi="Times New Roman" w:eastAsia="宋体" w:cs="Times New Roman"/>
      <w:b/>
      <w:sz w:val="24"/>
      <w:szCs w:val="24"/>
    </w:rPr>
  </w:style>
  <w:style w:type="paragraph" w:customStyle="1" w:styleId="473">
    <w:name w:val="Char Char Char Char Char Char Char Char Char Char Char Char1 Char11"/>
    <w:basedOn w:val="1"/>
    <w:qFormat/>
    <w:uiPriority w:val="0"/>
    <w:pPr>
      <w:adjustRightInd w:val="0"/>
    </w:pPr>
    <w:rPr>
      <w:rFonts w:ascii="Tahoma" w:hAnsi="Tahoma" w:eastAsia="宋体" w:cs="仿宋_GB2312"/>
      <w:sz w:val="24"/>
      <w:szCs w:val="20"/>
    </w:rPr>
  </w:style>
  <w:style w:type="paragraph" w:customStyle="1" w:styleId="474">
    <w:name w:val="Bulleted List"/>
    <w:basedOn w:val="1"/>
    <w:qFormat/>
    <w:uiPriority w:val="0"/>
    <w:pPr>
      <w:tabs>
        <w:tab w:val="left" w:pos="1260"/>
      </w:tabs>
      <w:ind w:left="1260" w:hanging="420"/>
    </w:pPr>
    <w:rPr>
      <w:rFonts w:ascii="Times New Roman" w:hAnsi="Times New Roman" w:eastAsia="宋体" w:cs="Times New Roman"/>
      <w:szCs w:val="24"/>
    </w:rPr>
  </w:style>
  <w:style w:type="paragraph" w:customStyle="1" w:styleId="475">
    <w:name w:val="Char Char1 Char Char Char"/>
    <w:basedOn w:val="1"/>
    <w:qFormat/>
    <w:uiPriority w:val="0"/>
    <w:pPr>
      <w:adjustRightInd w:val="0"/>
    </w:pPr>
    <w:rPr>
      <w:rFonts w:ascii="仿宋_GB2312" w:hAnsi="Times New Roman" w:eastAsia="仿宋_GB2312" w:cs="Times New Roman"/>
      <w:b/>
      <w:sz w:val="32"/>
      <w:szCs w:val="20"/>
    </w:rPr>
  </w:style>
  <w:style w:type="paragraph" w:customStyle="1" w:styleId="476">
    <w:name w:val="金宏发行正文"/>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477">
    <w:name w:val="数字标题2"/>
    <w:basedOn w:val="4"/>
    <w:next w:val="1"/>
    <w:qFormat/>
    <w:uiPriority w:val="0"/>
    <w:pPr>
      <w:numPr>
        <w:ilvl w:val="1"/>
        <w:numId w:val="6"/>
      </w:numPr>
    </w:pPr>
    <w:rPr>
      <w:rFonts w:ascii="Times New Roman" w:eastAsia="宋体"/>
      <w:i/>
      <w:sz w:val="36"/>
      <w:szCs w:val="36"/>
      <w:lang w:val="en-US"/>
    </w:rPr>
  </w:style>
  <w:style w:type="paragraph" w:customStyle="1" w:styleId="47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79">
    <w:name w:val="Char21"/>
    <w:basedOn w:val="1"/>
    <w:qFormat/>
    <w:uiPriority w:val="0"/>
    <w:pPr>
      <w:ind w:firstLine="200" w:firstLineChars="200"/>
    </w:pPr>
    <w:rPr>
      <w:rFonts w:ascii="仿宋_GB2312" w:hAnsi="Times New Roman" w:eastAsia="仿宋_GB2312" w:cs="Times New Roman"/>
      <w:b/>
      <w:sz w:val="32"/>
      <w:szCs w:val="32"/>
    </w:rPr>
  </w:style>
  <w:style w:type="paragraph" w:customStyle="1" w:styleId="48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font7"/>
    <w:basedOn w:val="1"/>
    <w:qFormat/>
    <w:uiPriority w:val="0"/>
    <w:pPr>
      <w:widowControl/>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483">
    <w:name w:val="表格标题1"/>
    <w:basedOn w:val="1"/>
    <w:qFormat/>
    <w:uiPriority w:val="0"/>
    <w:pPr>
      <w:spacing w:line="360" w:lineRule="auto"/>
      <w:jc w:val="center"/>
    </w:pPr>
    <w:rPr>
      <w:rFonts w:ascii="宋体" w:hAnsi="宋体" w:eastAsia="宋体" w:cs="宋体"/>
      <w:b/>
      <w:bCs/>
      <w:color w:val="000000"/>
      <w:sz w:val="24"/>
      <w:szCs w:val="21"/>
    </w:rPr>
  </w:style>
  <w:style w:type="paragraph" w:customStyle="1" w:styleId="484">
    <w:name w:val="批注框文本1"/>
    <w:basedOn w:val="1"/>
    <w:qFormat/>
    <w:uiPriority w:val="0"/>
    <w:pPr>
      <w:autoSpaceDE w:val="0"/>
      <w:autoSpaceDN w:val="0"/>
      <w:adjustRightInd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5">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86">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7">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Cs w:val="21"/>
    </w:rPr>
  </w:style>
  <w:style w:type="paragraph" w:customStyle="1" w:styleId="48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89">
    <w:name w:val="五级条标题"/>
    <w:basedOn w:val="490"/>
    <w:next w:val="376"/>
    <w:qFormat/>
    <w:uiPriority w:val="0"/>
    <w:pPr>
      <w:numPr>
        <w:ilvl w:val="6"/>
      </w:numPr>
      <w:tabs>
        <w:tab w:val="left" w:pos="1260"/>
        <w:tab w:val="left" w:pos="1680"/>
        <w:tab w:val="left" w:pos="2100"/>
        <w:tab w:val="left" w:pos="2520"/>
        <w:tab w:val="left" w:pos="2940"/>
      </w:tabs>
      <w:outlineLvl w:val="6"/>
    </w:pPr>
  </w:style>
  <w:style w:type="paragraph" w:customStyle="1" w:styleId="490">
    <w:name w:val="四级条标题"/>
    <w:basedOn w:val="491"/>
    <w:next w:val="376"/>
    <w:qFormat/>
    <w:uiPriority w:val="0"/>
    <w:pPr>
      <w:numPr>
        <w:ilvl w:val="5"/>
        <w:numId w:val="5"/>
      </w:numPr>
      <w:tabs>
        <w:tab w:val="left" w:pos="1260"/>
        <w:tab w:val="left" w:pos="1680"/>
        <w:tab w:val="left" w:pos="2100"/>
        <w:tab w:val="left" w:pos="2520"/>
      </w:tabs>
      <w:outlineLvl w:val="5"/>
    </w:pPr>
  </w:style>
  <w:style w:type="paragraph" w:customStyle="1" w:styleId="491">
    <w:name w:val="三级条标题"/>
    <w:basedOn w:val="492"/>
    <w:next w:val="376"/>
    <w:qFormat/>
    <w:uiPriority w:val="0"/>
    <w:pPr>
      <w:tabs>
        <w:tab w:val="left" w:pos="1260"/>
        <w:tab w:val="left" w:pos="1680"/>
        <w:tab w:val="left" w:pos="2100"/>
        <w:tab w:val="left" w:pos="2520"/>
      </w:tabs>
      <w:ind w:left="2520"/>
      <w:outlineLvl w:val="4"/>
    </w:pPr>
  </w:style>
  <w:style w:type="paragraph" w:customStyle="1" w:styleId="492">
    <w:name w:val="二级条标题"/>
    <w:basedOn w:val="493"/>
    <w:next w:val="376"/>
    <w:qFormat/>
    <w:uiPriority w:val="0"/>
    <w:pPr>
      <w:tabs>
        <w:tab w:val="left" w:pos="1260"/>
        <w:tab w:val="left" w:pos="1680"/>
        <w:tab w:val="left" w:pos="2100"/>
      </w:tabs>
      <w:ind w:left="0"/>
      <w:outlineLvl w:val="3"/>
    </w:pPr>
  </w:style>
  <w:style w:type="paragraph" w:customStyle="1" w:styleId="493">
    <w:name w:val="一级条标题"/>
    <w:basedOn w:val="494"/>
    <w:next w:val="376"/>
    <w:qFormat/>
    <w:uiPriority w:val="0"/>
    <w:pPr>
      <w:tabs>
        <w:tab w:val="left" w:pos="1260"/>
        <w:tab w:val="left" w:pos="1680"/>
      </w:tabs>
      <w:spacing w:before="0" w:beforeLines="0" w:after="0" w:afterLines="0"/>
      <w:ind w:left="1680"/>
      <w:outlineLvl w:val="2"/>
    </w:pPr>
  </w:style>
  <w:style w:type="paragraph" w:customStyle="1" w:styleId="494">
    <w:name w:val="章标题"/>
    <w:next w:val="37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95">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6">
    <w:name w:val="普通正文"/>
    <w:basedOn w:val="1"/>
    <w:link w:val="901"/>
    <w:qFormat/>
    <w:uiPriority w:val="0"/>
    <w:pPr>
      <w:tabs>
        <w:tab w:val="left" w:pos="2280"/>
      </w:tabs>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paragraph" w:customStyle="1" w:styleId="4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8">
    <w:name w:val="Bullet with text 4"/>
    <w:basedOn w:val="1"/>
    <w:qFormat/>
    <w:uiPriority w:val="0"/>
    <w:pPr>
      <w:widowControl/>
      <w:tabs>
        <w:tab w:val="left" w:pos="1440"/>
      </w:tabs>
      <w:ind w:left="1440" w:hanging="360" w:firstLineChars="200"/>
      <w:jc w:val="left"/>
    </w:pPr>
    <w:rPr>
      <w:rFonts w:ascii="Arial" w:hAnsi="Arial" w:eastAsia="宋体" w:cs="Times New Roman"/>
      <w:kern w:val="0"/>
      <w:sz w:val="20"/>
      <w:szCs w:val="20"/>
      <w:lang w:val="en-GB" w:eastAsia="en-US"/>
    </w:rPr>
  </w:style>
  <w:style w:type="paragraph" w:customStyle="1" w:styleId="499">
    <w:name w:val="font5"/>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500">
    <w:name w:val="数字标题1"/>
    <w:basedOn w:val="3"/>
    <w:next w:val="1"/>
    <w:qFormat/>
    <w:uiPriority w:val="0"/>
    <w:pPr>
      <w:numPr>
        <w:numId w:val="6"/>
      </w:numPr>
      <w:tabs>
        <w:tab w:val="left" w:pos="480"/>
      </w:tabs>
    </w:pPr>
  </w:style>
  <w:style w:type="paragraph" w:customStyle="1" w:styleId="501">
    <w:name w:val="正文 项目2"/>
    <w:basedOn w:val="402"/>
    <w:qFormat/>
    <w:uiPriority w:val="0"/>
    <w:pPr>
      <w:numPr>
        <w:ilvl w:val="0"/>
        <w:numId w:val="7"/>
      </w:numPr>
      <w:tabs>
        <w:tab w:val="clear" w:pos="840"/>
      </w:tabs>
      <w:spacing w:after="0"/>
    </w:pPr>
  </w:style>
  <w:style w:type="paragraph" w:customStyle="1" w:styleId="502">
    <w:name w:val="样式 仿宋_GB2312 三号 加粗 黑色 居中 行距: 1.5 倍行距"/>
    <w:basedOn w:val="1"/>
    <w:qFormat/>
    <w:uiPriority w:val="0"/>
    <w:pPr>
      <w:adjustRightInd w:val="0"/>
      <w:spacing w:line="360" w:lineRule="auto"/>
      <w:jc w:val="center"/>
    </w:pPr>
    <w:rPr>
      <w:rFonts w:ascii="仿宋_GB2312" w:hAnsi="Times New Roman" w:eastAsia="仿宋_GB2312" w:cs="宋体"/>
      <w:b/>
      <w:bCs/>
      <w:color w:val="000000"/>
      <w:sz w:val="28"/>
      <w:szCs w:val="20"/>
    </w:rPr>
  </w:style>
  <w:style w:type="paragraph" w:customStyle="1" w:styleId="503">
    <w:name w:val="Char Char Char Char1"/>
    <w:basedOn w:val="1"/>
    <w:qFormat/>
    <w:uiPriority w:val="0"/>
    <w:pPr>
      <w:tabs>
        <w:tab w:val="left" w:pos="0"/>
      </w:tabs>
      <w:ind w:firstLine="200" w:firstLineChars="200"/>
    </w:pPr>
    <w:rPr>
      <w:rFonts w:ascii="宋体" w:hAnsi="宋体" w:eastAsia="仿宋_GB2312" w:cs="Times New Roman"/>
      <w:sz w:val="28"/>
      <w:szCs w:val="24"/>
    </w:rPr>
  </w:style>
  <w:style w:type="paragraph" w:customStyle="1" w:styleId="5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505">
    <w:name w:val="节标题"/>
    <w:basedOn w:val="1"/>
    <w:qFormat/>
    <w:uiPriority w:val="0"/>
    <w:pPr>
      <w:autoSpaceDE w:val="0"/>
      <w:autoSpaceDN w:val="0"/>
      <w:adjustRightInd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50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7">
    <w:name w:val="Char Char Char1 Char11"/>
    <w:basedOn w:val="1"/>
    <w:qFormat/>
    <w:uiPriority w:val="0"/>
    <w:pPr>
      <w:adjustRightInd w:val="0"/>
    </w:pPr>
    <w:rPr>
      <w:rFonts w:ascii="Times New Roman" w:hAnsi="Times New Roman" w:eastAsia="宋体" w:cs="Times New Roman"/>
      <w:szCs w:val="20"/>
    </w:rPr>
  </w:style>
  <w:style w:type="paragraph" w:customStyle="1" w:styleId="508">
    <w:name w:val="Char1 Char Char Char4"/>
    <w:basedOn w:val="1"/>
    <w:qFormat/>
    <w:uiPriority w:val="0"/>
    <w:pPr>
      <w:ind w:firstLine="200" w:firstLineChars="200"/>
    </w:pPr>
    <w:rPr>
      <w:rFonts w:ascii="Tahoma" w:hAnsi="Tahoma" w:eastAsia="宋体" w:cs="Times New Roman"/>
      <w:sz w:val="24"/>
      <w:szCs w:val="20"/>
    </w:rPr>
  </w:style>
  <w:style w:type="paragraph" w:customStyle="1" w:styleId="509">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0">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11">
    <w:name w:val="表格文字（大）"/>
    <w:basedOn w:val="1"/>
    <w:qFormat/>
    <w:uiPriority w:val="0"/>
    <w:pPr>
      <w:spacing w:before="20" w:after="20"/>
      <w:ind w:firstLine="200" w:firstLineChars="200"/>
    </w:pPr>
    <w:rPr>
      <w:rFonts w:ascii="Century Gothic" w:hAnsi="Century Gothic" w:eastAsia="宋体" w:cs="Times New Roman"/>
      <w:sz w:val="24"/>
      <w:szCs w:val="20"/>
    </w:rPr>
  </w:style>
  <w:style w:type="paragraph" w:customStyle="1" w:styleId="512">
    <w:name w:val="样式1"/>
    <w:basedOn w:val="1"/>
    <w:link w:val="884"/>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paragraph" w:customStyle="1" w:styleId="513">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514">
    <w:name w:val="章正文"/>
    <w:basedOn w:val="1"/>
    <w:qFormat/>
    <w:uiPriority w:val="0"/>
    <w:pPr>
      <w:spacing w:before="156" w:beforeLines="50" w:after="120" w:line="300" w:lineRule="auto"/>
      <w:ind w:firstLine="480" w:firstLineChars="200"/>
    </w:pPr>
    <w:rPr>
      <w:rFonts w:ascii="Helvetica" w:hAnsi="Helvetica" w:eastAsia="宋体" w:cs="Times New Roman"/>
      <w:kern w:val="0"/>
      <w:sz w:val="24"/>
      <w:szCs w:val="24"/>
    </w:rPr>
  </w:style>
  <w:style w:type="paragraph" w:customStyle="1" w:styleId="515">
    <w:name w:val="style25"/>
    <w:basedOn w:val="1"/>
    <w:qFormat/>
    <w:uiPriority w:val="0"/>
    <w:pPr>
      <w:widowControl/>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516">
    <w:name w:val="小标题"/>
    <w:basedOn w:val="1"/>
    <w:qFormat/>
    <w:uiPriority w:val="0"/>
    <w:pPr>
      <w:adjustRightInd w:val="0"/>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517">
    <w:name w:val="Char Char11 Char Char Char11"/>
    <w:basedOn w:val="1"/>
    <w:qFormat/>
    <w:uiPriority w:val="0"/>
    <w:pPr>
      <w:adjustRightInd w:val="0"/>
      <w:spacing w:line="360" w:lineRule="auto"/>
    </w:pPr>
    <w:rPr>
      <w:rFonts w:ascii="Times New Roman" w:hAnsi="Times New Roman" w:eastAsia="宋体" w:cs="Times New Roman"/>
      <w:szCs w:val="20"/>
    </w:rPr>
  </w:style>
  <w:style w:type="paragraph" w:customStyle="1" w:styleId="51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9">
    <w:name w:val="样式 首行缩进:  2 字符"/>
    <w:basedOn w:val="1"/>
    <w:qFormat/>
    <w:uiPriority w:val="0"/>
    <w:pPr>
      <w:adjustRightInd w:val="0"/>
      <w:snapToGrid w:val="0"/>
      <w:spacing w:line="360" w:lineRule="auto"/>
    </w:pPr>
    <w:rPr>
      <w:rFonts w:ascii="仿宋_GB2312" w:hAnsi="宋体" w:eastAsia="仿宋_GB2312" w:cs="宋体"/>
      <w:color w:val="000000"/>
      <w:kern w:val="0"/>
      <w:sz w:val="28"/>
      <w:szCs w:val="21"/>
    </w:rPr>
  </w:style>
  <w:style w:type="paragraph" w:customStyle="1" w:styleId="520">
    <w:name w:val="Char Char Char Char Char Char Char Char"/>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21">
    <w:name w:val="表格（小）"/>
    <w:basedOn w:val="1"/>
    <w:qFormat/>
    <w:uiPriority w:val="0"/>
    <w:pPr>
      <w:snapToGrid w:val="0"/>
      <w:spacing w:line="300" w:lineRule="auto"/>
    </w:pPr>
    <w:rPr>
      <w:rFonts w:ascii="Times New Roman" w:hAnsi="Times New Roman" w:eastAsia="仿宋" w:cs="Times New Roman"/>
      <w:szCs w:val="21"/>
    </w:rPr>
  </w:style>
  <w:style w:type="paragraph" w:customStyle="1" w:styleId="522">
    <w:name w:val="列出段落3"/>
    <w:basedOn w:val="1"/>
    <w:qFormat/>
    <w:uiPriority w:val="0"/>
    <w:pPr>
      <w:spacing w:line="360" w:lineRule="auto"/>
      <w:ind w:firstLine="420" w:firstLineChars="200"/>
    </w:pPr>
    <w:rPr>
      <w:rFonts w:ascii="Calibri" w:hAnsi="Calibri" w:eastAsia="宋体" w:cs="Times New Roman"/>
      <w:sz w:val="24"/>
    </w:rPr>
  </w:style>
  <w:style w:type="paragraph" w:customStyle="1" w:styleId="523">
    <w:name w:val="样式"/>
    <w:basedOn w:val="1"/>
    <w:qFormat/>
    <w:uiPriority w:val="0"/>
    <w:pPr>
      <w:autoSpaceDE w:val="0"/>
      <w:autoSpaceDN w:val="0"/>
      <w:adjustRightInd w:val="0"/>
      <w:snapToGrid w:val="0"/>
      <w:spacing w:before="120" w:after="120" w:line="360" w:lineRule="auto"/>
    </w:pPr>
    <w:rPr>
      <w:rFonts w:ascii="宋体" w:hAnsi="Times New Roman" w:eastAsia="宋体" w:cs="Times New Roman"/>
      <w:sz w:val="24"/>
      <w:szCs w:val="20"/>
    </w:rPr>
  </w:style>
  <w:style w:type="paragraph" w:customStyle="1" w:styleId="524">
    <w:name w:val="List Paragraph1"/>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 w:type="paragraph" w:customStyle="1" w:styleId="525">
    <w:name w:val="Char3 Char Char Char Char Char Char11"/>
    <w:basedOn w:val="1"/>
    <w:qFormat/>
    <w:uiPriority w:val="0"/>
    <w:pPr>
      <w:spacing w:line="360" w:lineRule="auto"/>
    </w:pPr>
    <w:rPr>
      <w:rFonts w:ascii="Arial" w:hAnsi="Arial" w:eastAsia="黑体" w:cs="Arial"/>
      <w:snapToGrid w:val="0"/>
      <w:kern w:val="0"/>
      <w:szCs w:val="21"/>
    </w:rPr>
  </w:style>
  <w:style w:type="paragraph" w:customStyle="1" w:styleId="5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7">
    <w:name w:val="Char Char Char Char Char Char"/>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28">
    <w:name w:val="Table Text"/>
    <w:basedOn w:val="1"/>
    <w:link w:val="849"/>
    <w:qFormat/>
    <w:uiPriority w:val="0"/>
    <w:pPr>
      <w:widowControl/>
      <w:adjustRightInd w:val="0"/>
      <w:spacing w:before="60" w:after="60"/>
      <w:jc w:val="left"/>
    </w:pPr>
    <w:rPr>
      <w:rFonts w:ascii="Times New Roman" w:hAnsi="Times New Roman" w:eastAsia="宋体" w:cs="Times New Roman"/>
      <w:kern w:val="0"/>
      <w:sz w:val="24"/>
      <w:szCs w:val="24"/>
      <w:lang w:val="zh-CN"/>
    </w:rPr>
  </w:style>
  <w:style w:type="paragraph" w:customStyle="1" w:styleId="529">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0">
    <w:name w:val="Char231"/>
    <w:basedOn w:val="1"/>
    <w:qFormat/>
    <w:uiPriority w:val="0"/>
    <w:pPr>
      <w:adjustRightInd w:val="0"/>
    </w:pPr>
    <w:rPr>
      <w:rFonts w:ascii="仿宋_GB2312" w:hAnsi="Times New Roman" w:eastAsia="仿宋_GB2312" w:cs="Times New Roman"/>
      <w:b/>
      <w:sz w:val="32"/>
      <w:szCs w:val="32"/>
    </w:rPr>
  </w:style>
  <w:style w:type="paragraph" w:styleId="531">
    <w:name w:val="List Paragraph"/>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532">
    <w:name w:val="Char Char Char Char Char Char Char Char1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533">
    <w:name w:val="xl41"/>
    <w:basedOn w:val="1"/>
    <w:qFormat/>
    <w:uiPriority w:val="0"/>
    <w:pPr>
      <w:widowControl/>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 w:val="24"/>
      <w:szCs w:val="24"/>
    </w:rPr>
  </w:style>
  <w:style w:type="paragraph" w:customStyle="1" w:styleId="534">
    <w:name w:val="Char Char11 Char Char Char Char Char Char Char Char Char Char Char11"/>
    <w:basedOn w:val="1"/>
    <w:qFormat/>
    <w:uiPriority w:val="0"/>
    <w:pPr>
      <w:spacing w:line="360" w:lineRule="auto"/>
    </w:pPr>
    <w:rPr>
      <w:rFonts w:ascii="Arial" w:hAnsi="Arial" w:eastAsia="黑体" w:cs="Arial"/>
      <w:snapToGrid w:val="0"/>
      <w:kern w:val="0"/>
      <w:szCs w:val="21"/>
    </w:rPr>
  </w:style>
  <w:style w:type="paragraph" w:customStyle="1" w:styleId="535">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6">
    <w:name w:val="样式 小四 首行缩进:  0.74 厘米 行距: 1.5 倍行距"/>
    <w:basedOn w:val="1"/>
    <w:qFormat/>
    <w:uiPriority w:val="0"/>
    <w:pPr>
      <w:spacing w:before="100" w:beforeAutospacing="1" w:after="100" w:afterAutospacing="1" w:line="300" w:lineRule="auto"/>
      <w:ind w:firstLine="480" w:firstLineChars="200"/>
    </w:pPr>
    <w:rPr>
      <w:rFonts w:ascii="宋体" w:hAnsi="宋体" w:eastAsia="微软雅黑" w:cs="Times New Roman"/>
      <w:sz w:val="24"/>
      <w:szCs w:val="24"/>
    </w:rPr>
  </w:style>
  <w:style w:type="paragraph" w:customStyle="1" w:styleId="537">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8">
    <w:name w:val="WW-正文文字缩进 2"/>
    <w:basedOn w:val="1"/>
    <w:qFormat/>
    <w:uiPriority w:val="0"/>
    <w:pPr>
      <w:suppressAutoHyphens/>
      <w:ind w:firstLine="420"/>
    </w:pPr>
    <w:rPr>
      <w:rFonts w:ascii="Times New Roman" w:hAnsi="Times New Roman" w:eastAsia="宋体" w:cs="Times New Roman"/>
      <w:kern w:val="1"/>
      <w:szCs w:val="20"/>
    </w:rPr>
  </w:style>
  <w:style w:type="paragraph" w:customStyle="1" w:styleId="539">
    <w:name w:val="style3"/>
    <w:basedOn w:val="1"/>
    <w:qFormat/>
    <w:uiPriority w:val="0"/>
    <w:pPr>
      <w:widowControl/>
      <w:spacing w:before="100" w:beforeAutospacing="1" w:after="100" w:afterAutospacing="1" w:line="360" w:lineRule="auto"/>
      <w:ind w:firstLine="480" w:firstLineChars="200"/>
      <w:jc w:val="left"/>
    </w:pPr>
    <w:rPr>
      <w:rFonts w:ascii="宋体" w:hAnsi="宋体" w:eastAsia="微软雅黑" w:cs="Times New Roman"/>
      <w:color w:val="666666"/>
      <w:kern w:val="0"/>
      <w:sz w:val="24"/>
      <w:szCs w:val="24"/>
    </w:rPr>
  </w:style>
  <w:style w:type="paragraph" w:customStyle="1" w:styleId="540">
    <w:name w:val="RFI Heading 3rd Level"/>
    <w:basedOn w:val="1"/>
    <w:qFormat/>
    <w:uiPriority w:val="0"/>
    <w:pPr>
      <w:widowControl/>
      <w:tabs>
        <w:tab w:val="left" w:pos="840"/>
      </w:tabs>
      <w:ind w:firstLine="200" w:firstLineChars="200"/>
      <w:jc w:val="left"/>
    </w:pPr>
    <w:rPr>
      <w:rFonts w:ascii="Arial (W1)" w:hAnsi="Arial (W1)" w:eastAsia="宋体" w:cs="Times New Roman"/>
      <w:color w:val="000000"/>
      <w:kern w:val="0"/>
      <w:sz w:val="24"/>
      <w:szCs w:val="24"/>
      <w:lang w:val="en-GB" w:eastAsia="en-US"/>
    </w:rPr>
  </w:style>
  <w:style w:type="paragraph" w:customStyle="1" w:styleId="541">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3">
    <w:name w:val="四号　首行缩进"/>
    <w:basedOn w:val="1"/>
    <w:qFormat/>
    <w:uiPriority w:val="0"/>
    <w:pPr>
      <w:spacing w:line="360" w:lineRule="auto"/>
    </w:pPr>
    <w:rPr>
      <w:rFonts w:ascii="宋体" w:hAnsi="宋体" w:eastAsia="宋体" w:cs="Times New Roman"/>
      <w:szCs w:val="20"/>
    </w:rPr>
  </w:style>
  <w:style w:type="paragraph" w:customStyle="1" w:styleId="54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45">
    <w:name w:val="bullet"/>
    <w:basedOn w:val="1"/>
    <w:qFormat/>
    <w:uiPriority w:val="0"/>
    <w:pPr>
      <w:tabs>
        <w:tab w:val="left" w:pos="840"/>
      </w:tabs>
      <w:ind w:left="840" w:hanging="420"/>
    </w:pPr>
    <w:rPr>
      <w:rFonts w:ascii="Times New Roman" w:hAnsi="Times New Roman" w:eastAsia="宋体" w:cs="Times New Roman"/>
      <w:szCs w:val="24"/>
    </w:rPr>
  </w:style>
  <w:style w:type="paragraph" w:customStyle="1" w:styleId="546">
    <w:name w:val="正文样式 首行缩进:  0.74 厘米"/>
    <w:basedOn w:val="1"/>
    <w:qFormat/>
    <w:uiPriority w:val="0"/>
    <w:pPr>
      <w:spacing w:before="156" w:beforeLines="50" w:line="360" w:lineRule="auto"/>
      <w:ind w:firstLine="420"/>
    </w:pPr>
    <w:rPr>
      <w:rFonts w:ascii="Times New Roman" w:hAnsi="Times New Roman" w:eastAsia="宋体" w:cs="宋体"/>
      <w:sz w:val="24"/>
      <w:szCs w:val="20"/>
    </w:rPr>
  </w:style>
  <w:style w:type="paragraph" w:customStyle="1" w:styleId="54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8">
    <w:name w:val="单元格居中"/>
    <w:basedOn w:val="1"/>
    <w:qFormat/>
    <w:uiPriority w:val="0"/>
    <w:pPr>
      <w:spacing w:line="360" w:lineRule="auto"/>
      <w:jc w:val="center"/>
    </w:pPr>
    <w:rPr>
      <w:rFonts w:ascii="Times New Roman" w:hAnsi="Times New Roman" w:eastAsia="宋体" w:cs="Times New Roman"/>
      <w:sz w:val="24"/>
      <w:szCs w:val="24"/>
    </w:rPr>
  </w:style>
  <w:style w:type="paragraph" w:customStyle="1" w:styleId="549">
    <w:name w:val="Char Char Char Char Char Char11"/>
    <w:basedOn w:val="1"/>
    <w:qFormat/>
    <w:uiPriority w:val="0"/>
    <w:pPr>
      <w:widowControl/>
      <w:adjustRightInd w:val="0"/>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50">
    <w:name w:val="Char Char13"/>
    <w:basedOn w:val="1"/>
    <w:qFormat/>
    <w:uiPriority w:val="0"/>
    <w:pPr>
      <w:adjustRightInd w:val="0"/>
      <w:spacing w:line="360" w:lineRule="auto"/>
    </w:pPr>
    <w:rPr>
      <w:rFonts w:ascii="Tahoma" w:hAnsi="Tahoma" w:eastAsia="宋体" w:cs="Times New Roman"/>
      <w:sz w:val="24"/>
      <w:szCs w:val="20"/>
    </w:rPr>
  </w:style>
  <w:style w:type="paragraph" w:customStyle="1" w:styleId="551">
    <w:name w:val="文章总标题"/>
    <w:basedOn w:val="1"/>
    <w:qFormat/>
    <w:uiPriority w:val="0"/>
    <w:pPr>
      <w:autoSpaceDE w:val="0"/>
      <w:autoSpaceDN w:val="0"/>
      <w:adjustRightInd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2">
    <w:name w:val="main"/>
    <w:basedOn w:val="1"/>
    <w:qFormat/>
    <w:uiPriority w:val="0"/>
    <w:pPr>
      <w:widowControl/>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3">
    <w:name w:val="Char3 Char Char Char1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54">
    <w:name w:val="Char Char Char Char Char Char Char Char Char Char"/>
    <w:basedOn w:val="1"/>
    <w:qFormat/>
    <w:uiPriority w:val="0"/>
    <w:pPr>
      <w:adjustRightInd w:val="0"/>
    </w:pPr>
    <w:rPr>
      <w:rFonts w:ascii="仿宋_GB2312" w:hAnsi="Times New Roman" w:eastAsia="仿宋_GB2312" w:cs="Times New Roman"/>
      <w:b/>
      <w:sz w:val="32"/>
      <w:szCs w:val="32"/>
    </w:rPr>
  </w:style>
  <w:style w:type="paragraph" w:customStyle="1" w:styleId="555">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556">
    <w:name w:val="金宏发行正文 Char"/>
    <w:basedOn w:val="1"/>
    <w:qFormat/>
    <w:uiPriority w:val="0"/>
    <w:pPr>
      <w:spacing w:line="500" w:lineRule="exact"/>
      <w:ind w:firstLine="560" w:firstLineChars="200"/>
    </w:pPr>
    <w:rPr>
      <w:rFonts w:ascii="Times New Roman" w:hAnsi="Times New Roman" w:eastAsia="仿宋_GB2312" w:cs="Times New Roman"/>
      <w:sz w:val="28"/>
      <w:szCs w:val="20"/>
    </w:rPr>
  </w:style>
  <w:style w:type="paragraph" w:customStyle="1" w:styleId="557">
    <w:name w:val="EB_表格"/>
    <w:basedOn w:val="1"/>
    <w:qFormat/>
    <w:uiPriority w:val="0"/>
    <w:pPr>
      <w:spacing w:line="300" w:lineRule="auto"/>
      <w:jc w:val="center"/>
    </w:pPr>
    <w:rPr>
      <w:rFonts w:ascii="Times New Roman" w:hAnsi="Times New Roman" w:eastAsia="宋体" w:cs="Times New Roman"/>
      <w:szCs w:val="24"/>
    </w:rPr>
  </w:style>
  <w:style w:type="paragraph" w:customStyle="1" w:styleId="558">
    <w:name w:val="Char41"/>
    <w:basedOn w:val="1"/>
    <w:qFormat/>
    <w:uiPriority w:val="0"/>
    <w:pPr>
      <w:adjustRightInd w:val="0"/>
    </w:pPr>
    <w:rPr>
      <w:rFonts w:ascii="仿宋_GB2312" w:hAnsi="Times New Roman" w:eastAsia="仿宋_GB2312" w:cs="Times New Roman"/>
      <w:b/>
      <w:sz w:val="32"/>
      <w:szCs w:val="32"/>
    </w:rPr>
  </w:style>
  <w:style w:type="paragraph" w:customStyle="1" w:styleId="5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0">
    <w:name w:val="Char4"/>
    <w:basedOn w:val="1"/>
    <w:qFormat/>
    <w:uiPriority w:val="0"/>
    <w:pPr>
      <w:tabs>
        <w:tab w:val="left" w:pos="432"/>
      </w:tabs>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561">
    <w:name w:val="font6"/>
    <w:basedOn w:val="1"/>
    <w:qFormat/>
    <w:uiPriority w:val="0"/>
    <w:pPr>
      <w:widowControl/>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562">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6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4">
    <w:name w:val="MM Topic 1"/>
    <w:basedOn w:val="3"/>
    <w:qFormat/>
    <w:uiPriority w:val="0"/>
    <w:pPr>
      <w:numPr>
        <w:numId w:val="0"/>
      </w:numPr>
      <w:tabs>
        <w:tab w:val="left" w:pos="840"/>
      </w:tabs>
      <w:adjustRightInd/>
      <w:ind w:left="840" w:hanging="420"/>
    </w:pPr>
  </w:style>
  <w:style w:type="paragraph" w:customStyle="1" w:styleId="565">
    <w:name w:val="目录3"/>
    <w:basedOn w:val="1"/>
    <w:qFormat/>
    <w:uiPriority w:val="0"/>
    <w:pPr>
      <w:tabs>
        <w:tab w:val="left" w:leader="dot" w:pos="7370"/>
      </w:tabs>
      <w:autoSpaceDE w:val="0"/>
      <w:autoSpaceDN w:val="0"/>
      <w:adjustRightInd w:val="0"/>
      <w:spacing w:line="317" w:lineRule="atLeast"/>
      <w:ind w:firstLine="419" w:firstLineChars="200"/>
    </w:pPr>
    <w:rPr>
      <w:rFonts w:ascii="Times New Roman" w:hAnsi="Times New Roman" w:eastAsia="宋体" w:cs="Times New Roman"/>
      <w:color w:val="000000"/>
      <w:kern w:val="0"/>
      <w:szCs w:val="21"/>
    </w:rPr>
  </w:style>
  <w:style w:type="paragraph" w:customStyle="1" w:styleId="566">
    <w:name w:val="bt_content"/>
    <w:basedOn w:val="1"/>
    <w:qFormat/>
    <w:uiPriority w:val="0"/>
    <w:pPr>
      <w:widowControl/>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567">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68">
    <w:name w:val="Char1 Char Char Char Char Char Char Char Char Char Char Char1 Char Char Char Char Char Char Char Char Char Char Char Char Char Char1 Char Char Char Char1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69">
    <w:name w:val="列表内容"/>
    <w:basedOn w:val="1"/>
    <w:next w:val="1"/>
    <w:qFormat/>
    <w:uiPriority w:val="0"/>
    <w:pPr>
      <w:widowControl/>
      <w:tabs>
        <w:tab w:val="left" w:pos="840"/>
      </w:tabs>
      <w:adjustRightInd w:val="0"/>
      <w:ind w:left="840" w:hanging="420"/>
      <w:jc w:val="left"/>
    </w:pPr>
    <w:rPr>
      <w:rFonts w:ascii="Times New Roman" w:hAnsi="Times New Roman" w:eastAsia="宋体" w:cs="Times New Roman"/>
      <w:kern w:val="0"/>
      <w:sz w:val="18"/>
      <w:szCs w:val="24"/>
    </w:rPr>
  </w:style>
  <w:style w:type="paragraph" w:customStyle="1" w:styleId="5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71">
    <w:name w:val="正文文字格式"/>
    <w:basedOn w:val="1"/>
    <w:qFormat/>
    <w:uiPriority w:val="0"/>
    <w:pPr>
      <w:spacing w:line="460" w:lineRule="exact"/>
      <w:ind w:firstLine="505"/>
      <w:jc w:val="left"/>
    </w:pPr>
    <w:rPr>
      <w:rFonts w:ascii="宋体" w:hAnsi="Times New Roman" w:eastAsia="宋体" w:cs="Times New Roman"/>
      <w:kern w:val="24"/>
      <w:sz w:val="24"/>
      <w:szCs w:val="20"/>
    </w:rPr>
  </w:style>
  <w:style w:type="paragraph" w:customStyle="1" w:styleId="572">
    <w:name w:val="说明"/>
    <w:basedOn w:val="1"/>
    <w:qFormat/>
    <w:uiPriority w:val="0"/>
    <w:pPr>
      <w:autoSpaceDE w:val="0"/>
      <w:autoSpaceDN w:val="0"/>
      <w:adjustRightInd w:val="0"/>
      <w:spacing w:line="440" w:lineRule="exact"/>
      <w:ind w:firstLine="200" w:firstLineChars="200"/>
    </w:pPr>
    <w:rPr>
      <w:rFonts w:ascii="宋体" w:hAnsi="Times New Roman" w:eastAsia="宋体" w:cs="Times New Roman"/>
      <w:b/>
      <w:bCs/>
      <w:i/>
      <w:iCs/>
      <w:color w:val="0000FF"/>
      <w:kern w:val="0"/>
      <w:sz w:val="24"/>
      <w:szCs w:val="24"/>
    </w:rPr>
  </w:style>
  <w:style w:type="paragraph" w:customStyle="1" w:styleId="573">
    <w:name w:val="Char1 Char Char Char1"/>
    <w:basedOn w:val="1"/>
    <w:qFormat/>
    <w:uiPriority w:val="0"/>
    <w:pPr>
      <w:ind w:firstLine="200" w:firstLineChars="200"/>
    </w:pPr>
    <w:rPr>
      <w:rFonts w:ascii="Tahoma" w:hAnsi="Tahoma" w:eastAsia="宋体" w:cs="Times New Roman"/>
      <w:sz w:val="24"/>
      <w:szCs w:val="20"/>
    </w:rPr>
  </w:style>
  <w:style w:type="paragraph" w:customStyle="1" w:styleId="574">
    <w:name w:val="图中文字"/>
    <w:basedOn w:val="1"/>
    <w:qFormat/>
    <w:uiPriority w:val="0"/>
    <w:pPr>
      <w:adjustRightInd w:val="0"/>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575">
    <w:name w:val="正文段"/>
    <w:basedOn w:val="1"/>
    <w:link w:val="671"/>
    <w:qFormat/>
    <w:uiPriority w:val="0"/>
    <w:pPr>
      <w:widowControl/>
      <w:adjustRightInd w:val="0"/>
      <w:snapToGrid w:val="0"/>
      <w:spacing w:after="156" w:afterLines="50"/>
      <w:ind w:firstLine="200" w:firstLineChars="200"/>
    </w:pPr>
    <w:rPr>
      <w:rFonts w:ascii="Times New Roman" w:hAnsi="Times New Roman" w:eastAsia="宋体" w:cs="Times New Roman"/>
      <w:kern w:val="0"/>
      <w:sz w:val="24"/>
      <w:szCs w:val="20"/>
      <w:lang w:val="zh-CN"/>
    </w:rPr>
  </w:style>
  <w:style w:type="paragraph" w:customStyle="1" w:styleId="576">
    <w:name w:val="Default Text"/>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577">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578">
    <w:name w:val="样式 样式2 + 左侧:  1 字符 右侧:  1 字符"/>
    <w:basedOn w:val="51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7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580">
    <w:name w:val="正文格式"/>
    <w:basedOn w:val="1"/>
    <w:qFormat/>
    <w:uiPriority w:val="0"/>
    <w:pPr>
      <w:widowControl/>
      <w:autoSpaceDE w:val="0"/>
      <w:autoSpaceDN w:val="0"/>
      <w:adjustRightInd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581">
    <w:name w:val="ÕýÎÄÊ×ÐÐËõ½ø"/>
    <w:basedOn w:val="1"/>
    <w:qFormat/>
    <w:uiPriority w:val="0"/>
    <w:pPr>
      <w:widowControl/>
      <w:overflowPunct w:val="0"/>
      <w:autoSpaceDE w:val="0"/>
      <w:autoSpaceDN w:val="0"/>
      <w:adjustRightInd w:val="0"/>
      <w:spacing w:line="360" w:lineRule="auto"/>
      <w:ind w:left="1134"/>
      <w:textAlignment w:val="baseline"/>
    </w:pPr>
    <w:rPr>
      <w:rFonts w:ascii="Times New Roman" w:hAnsi="Times New Roman" w:eastAsia="Times New Roman" w:cs="Times New Roman"/>
      <w:kern w:val="0"/>
      <w:szCs w:val="20"/>
    </w:rPr>
  </w:style>
  <w:style w:type="paragraph" w:customStyle="1" w:styleId="582">
    <w:name w:val="Char Char Char Char Char Char Char Char Char Char11"/>
    <w:basedOn w:val="1"/>
    <w:qFormat/>
    <w:uiPriority w:val="0"/>
    <w:pPr>
      <w:adjustRightInd w:val="0"/>
    </w:pPr>
    <w:rPr>
      <w:rFonts w:ascii="仿宋_GB2312" w:hAnsi="Times New Roman" w:eastAsia="仿宋_GB2312" w:cs="Times New Roman"/>
      <w:b/>
      <w:sz w:val="32"/>
      <w:szCs w:val="32"/>
    </w:rPr>
  </w:style>
  <w:style w:type="paragraph" w:customStyle="1" w:styleId="583">
    <w:name w:val="注释"/>
    <w:basedOn w:val="1"/>
    <w:qFormat/>
    <w:uiPriority w:val="0"/>
    <w:pPr>
      <w:spacing w:line="360" w:lineRule="auto"/>
      <w:ind w:firstLine="480"/>
    </w:pPr>
    <w:rPr>
      <w:rFonts w:ascii="Times New Roman" w:hAnsi="Times New Roman" w:eastAsia="宋体" w:cs="Times New Roman"/>
      <w:sz w:val="24"/>
      <w:szCs w:val="24"/>
    </w:rPr>
  </w:style>
  <w:style w:type="paragraph" w:customStyle="1" w:styleId="584">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chart text"/>
    <w:basedOn w:val="1"/>
    <w:qFormat/>
    <w:uiPriority w:val="0"/>
    <w:pPr>
      <w:widowControl/>
      <w:spacing w:line="180" w:lineRule="exact"/>
      <w:ind w:firstLine="200" w:firstLineChars="200"/>
      <w:jc w:val="left"/>
    </w:pPr>
    <w:rPr>
      <w:rFonts w:ascii="Futura Bk" w:hAnsi="Futura Bk" w:eastAsia="宋体" w:cs="Futura Bk"/>
      <w:kern w:val="0"/>
      <w:sz w:val="14"/>
      <w:szCs w:val="14"/>
    </w:rPr>
  </w:style>
  <w:style w:type="paragraph" w:customStyle="1" w:styleId="586">
    <w:name w:val="RFI Heading 2nd Level"/>
    <w:basedOn w:val="1"/>
    <w:qFormat/>
    <w:uiPriority w:val="0"/>
    <w:pPr>
      <w:widowControl/>
      <w:tabs>
        <w:tab w:val="left" w:pos="1260"/>
      </w:tabs>
      <w:ind w:firstLine="200" w:firstLineChars="200"/>
      <w:jc w:val="left"/>
    </w:pPr>
    <w:rPr>
      <w:rFonts w:ascii="Arial (W1)" w:hAnsi="Arial (W1)" w:eastAsia="宋体" w:cs="Times New Roman"/>
      <w:b/>
      <w:bCs/>
      <w:color w:val="0000FF"/>
      <w:kern w:val="0"/>
      <w:sz w:val="28"/>
      <w:szCs w:val="24"/>
      <w:lang w:val="en-GB" w:eastAsia="en-US"/>
    </w:rPr>
  </w:style>
  <w:style w:type="paragraph" w:customStyle="1" w:styleId="587">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588">
    <w:name w:val="Body Copy"/>
    <w:basedOn w:val="1"/>
    <w:qFormat/>
    <w:uiPriority w:val="0"/>
    <w:pPr>
      <w:widowControl/>
      <w:tabs>
        <w:tab w:val="left" w:pos="1584"/>
        <w:tab w:val="left" w:pos="1613"/>
        <w:tab w:val="left" w:pos="1728"/>
        <w:tab w:val="left" w:pos="1872"/>
        <w:tab w:val="left" w:pos="2016"/>
      </w:tabs>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5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90">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91">
    <w:name w:val="样式7"/>
    <w:basedOn w:val="398"/>
    <w:next w:val="1"/>
    <w:qFormat/>
    <w:uiPriority w:val="0"/>
    <w:pPr>
      <w:spacing w:after="156" w:afterLines="50"/>
      <w:jc w:val="left"/>
      <w:outlineLvl w:val="3"/>
    </w:pPr>
    <w:rPr>
      <w:sz w:val="24"/>
      <w:szCs w:val="24"/>
    </w:rPr>
  </w:style>
  <w:style w:type="paragraph" w:customStyle="1" w:styleId="5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593">
    <w:name w:val="单元格左对齐"/>
    <w:basedOn w:val="1"/>
    <w:qFormat/>
    <w:uiPriority w:val="0"/>
    <w:pPr>
      <w:spacing w:line="360" w:lineRule="auto"/>
    </w:pPr>
    <w:rPr>
      <w:rFonts w:ascii="Times New Roman" w:hAnsi="Times New Roman" w:eastAsia="宋体" w:cs="Times New Roman"/>
      <w:sz w:val="24"/>
      <w:szCs w:val="24"/>
    </w:rPr>
  </w:style>
  <w:style w:type="paragraph" w:customStyle="1" w:styleId="594">
    <w:name w:val="Char Char1 Char Char Char11"/>
    <w:basedOn w:val="1"/>
    <w:qFormat/>
    <w:uiPriority w:val="0"/>
    <w:pPr>
      <w:adjustRightInd w:val="0"/>
    </w:pPr>
    <w:rPr>
      <w:rFonts w:ascii="仿宋_GB2312" w:hAnsi="Times New Roman" w:eastAsia="仿宋_GB2312" w:cs="Times New Roman"/>
      <w:b/>
      <w:sz w:val="32"/>
      <w:szCs w:val="32"/>
    </w:rPr>
  </w:style>
  <w:style w:type="paragraph" w:customStyle="1" w:styleId="595">
    <w:name w:val="文章附标题"/>
    <w:basedOn w:val="1"/>
    <w:qFormat/>
    <w:uiPriority w:val="0"/>
    <w:pPr>
      <w:autoSpaceDE w:val="0"/>
      <w:autoSpaceDN w:val="0"/>
      <w:adjustRightInd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59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7">
    <w:name w:val="正文文字表格居中"/>
    <w:basedOn w:val="1"/>
    <w:next w:val="2"/>
    <w:qFormat/>
    <w:uiPriority w:val="0"/>
    <w:pPr>
      <w:adjustRightInd w:val="0"/>
      <w:snapToGrid w:val="0"/>
      <w:spacing w:line="360" w:lineRule="auto"/>
    </w:pPr>
    <w:rPr>
      <w:rFonts w:ascii="宋体" w:hAnsi="Times New Roman" w:eastAsia="宋体" w:cs="Times New Roman"/>
      <w:b/>
      <w:sz w:val="24"/>
      <w:szCs w:val="20"/>
    </w:rPr>
  </w:style>
  <w:style w:type="paragraph" w:customStyle="1" w:styleId="598">
    <w:name w:val="Z5"/>
    <w:basedOn w:val="1"/>
    <w:next w:val="1"/>
    <w:qFormat/>
    <w:uiPriority w:val="0"/>
    <w:pPr>
      <w:tabs>
        <w:tab w:val="left" w:pos="2100"/>
      </w:tabs>
      <w:spacing w:before="240"/>
      <w:ind w:firstLine="200" w:firstLineChars="200"/>
      <w:outlineLvl w:val="4"/>
    </w:pPr>
    <w:rPr>
      <w:rFonts w:ascii="Tahoma" w:hAnsi="Tahoma" w:eastAsia="幼圆" w:cs="Times New Roman"/>
      <w:szCs w:val="24"/>
    </w:rPr>
  </w:style>
  <w:style w:type="paragraph" w:customStyle="1" w:styleId="599">
    <w:name w:val="深色列表 - 强调文字颜色 51"/>
    <w:basedOn w:val="1"/>
    <w:qFormat/>
    <w:uiPriority w:val="0"/>
    <w:pPr>
      <w:spacing w:line="360" w:lineRule="auto"/>
      <w:ind w:firstLine="200" w:firstLineChars="200"/>
    </w:pPr>
    <w:rPr>
      <w:rFonts w:ascii="Times New Roman" w:hAnsi="Times New Roman" w:eastAsia="楷体_GB2312" w:cs="Lucida Sans"/>
      <w:sz w:val="24"/>
      <w:szCs w:val="24"/>
    </w:rPr>
  </w:style>
  <w:style w:type="paragraph" w:customStyle="1" w:styleId="600">
    <w:name w:val="封面表格文本"/>
    <w:basedOn w:val="1"/>
    <w:qFormat/>
    <w:uiPriority w:val="0"/>
    <w:pPr>
      <w:autoSpaceDE w:val="0"/>
      <w:autoSpaceDN w:val="0"/>
      <w:adjustRightInd w:val="0"/>
      <w:ind w:firstLine="200" w:firstLineChars="200"/>
      <w:jc w:val="center"/>
    </w:pPr>
    <w:rPr>
      <w:rFonts w:ascii="Arial" w:hAnsi="Arial" w:eastAsia="宋体" w:cs="Times New Roman"/>
      <w:kern w:val="0"/>
      <w:szCs w:val="21"/>
    </w:rPr>
  </w:style>
  <w:style w:type="paragraph" w:customStyle="1" w:styleId="601">
    <w:name w:val="Thf"/>
    <w:basedOn w:val="542"/>
    <w:qFormat/>
    <w:uiPriority w:val="0"/>
    <w:pPr>
      <w:ind w:left="0"/>
    </w:pPr>
  </w:style>
  <w:style w:type="paragraph" w:customStyle="1" w:styleId="60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0"/>
      <w:lang w:eastAsia="en-US"/>
    </w:rPr>
  </w:style>
  <w:style w:type="paragraph" w:customStyle="1" w:styleId="60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4">
    <w:name w:val="Char19"/>
    <w:basedOn w:val="1"/>
    <w:qFormat/>
    <w:uiPriority w:val="0"/>
    <w:rPr>
      <w:rFonts w:ascii="Times New Roman" w:hAnsi="Times New Roman" w:eastAsia="宋体" w:cs="Times New Roman"/>
      <w:szCs w:val="20"/>
    </w:rPr>
  </w:style>
  <w:style w:type="paragraph" w:customStyle="1" w:styleId="605">
    <w:name w:val="目录标题"/>
    <w:basedOn w:val="1"/>
    <w:qFormat/>
    <w:uiPriority w:val="0"/>
    <w:pPr>
      <w:autoSpaceDE w:val="0"/>
      <w:autoSpaceDN w:val="0"/>
      <w:adjustRightInd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606">
    <w:name w:val="样式3"/>
    <w:basedOn w:val="513"/>
    <w:qFormat/>
    <w:uiPriority w:val="0"/>
    <w:pPr>
      <w:spacing w:before="312" w:beforeLines="100"/>
      <w:jc w:val="left"/>
    </w:pPr>
  </w:style>
  <w:style w:type="paragraph" w:customStyle="1" w:styleId="607">
    <w:name w:val="首行缩进"/>
    <w:basedOn w:val="1"/>
    <w:qFormat/>
    <w:uiPriority w:val="0"/>
    <w:pPr>
      <w:adjustRightInd w:val="0"/>
      <w:spacing w:line="360" w:lineRule="auto"/>
      <w:ind w:firstLine="480" w:firstLineChars="200"/>
    </w:pPr>
    <w:rPr>
      <w:rFonts w:ascii="宋体" w:hAnsi="Times New Roman" w:eastAsia="宋体" w:cs="Times New Roman"/>
      <w:sz w:val="24"/>
      <w:szCs w:val="20"/>
    </w:rPr>
  </w:style>
  <w:style w:type="paragraph" w:customStyle="1" w:styleId="608">
    <w:name w:val="方案正文"/>
    <w:basedOn w:val="1"/>
    <w:qFormat/>
    <w:uiPriority w:val="0"/>
    <w:pPr>
      <w:adjustRightInd w:val="0"/>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样式 标题 4PIM 4H4h4bulletblbbH41H42H43H44H45H46H47H48...1"/>
    <w:basedOn w:val="6"/>
    <w:qFormat/>
    <w:uiPriority w:val="0"/>
    <w:pPr>
      <w:widowControl/>
      <w:jc w:val="left"/>
    </w:pPr>
    <w:rPr>
      <w:rFonts w:cs="宋体"/>
      <w:sz w:val="24"/>
      <w:szCs w:val="20"/>
    </w:rPr>
  </w:style>
  <w:style w:type="paragraph" w:customStyle="1" w:styleId="611">
    <w:name w:val="button"/>
    <w:basedOn w:val="1"/>
    <w:qFormat/>
    <w:uiPriority w:val="0"/>
    <w:pPr>
      <w:widowControl/>
      <w:adjustRightInd w:val="0"/>
      <w:spacing w:before="100" w:beforeAutospacing="1" w:after="100" w:afterAutospacing="1"/>
      <w:jc w:val="left"/>
    </w:pPr>
    <w:rPr>
      <w:rFonts w:ascii="Arial Unicode MS" w:hAnsi="Arial Unicode MS" w:eastAsia="宋体" w:cs="Times New Roman"/>
      <w:color w:val="000000"/>
      <w:kern w:val="0"/>
      <w:sz w:val="24"/>
      <w:szCs w:val="24"/>
    </w:rPr>
  </w:style>
  <w:style w:type="paragraph" w:customStyle="1" w:styleId="612">
    <w:name w:val="样式 正文缩进 + 首行缩进:  2 字符"/>
    <w:basedOn w:val="16"/>
    <w:link w:val="674"/>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3">
    <w:name w:val="默认段落字体 Para Char Char Char Char Char Char Char Char Char Char"/>
    <w:basedOn w:val="1"/>
    <w:qFormat/>
    <w:uiPriority w:val="0"/>
    <w:rPr>
      <w:rFonts w:ascii="Tahoma" w:hAnsi="Tahoma" w:eastAsia="宋体" w:cs="Times New Roman"/>
      <w:color w:val="000000"/>
      <w:sz w:val="24"/>
      <w:szCs w:val="20"/>
    </w:rPr>
  </w:style>
  <w:style w:type="paragraph" w:customStyle="1" w:styleId="614">
    <w:name w:val="样式8"/>
    <w:basedOn w:val="1"/>
    <w:qFormat/>
    <w:uiPriority w:val="0"/>
    <w:pPr>
      <w:adjustRightInd w:val="0"/>
      <w:spacing w:before="156" w:beforeLines="50" w:after="156" w:afterLines="50"/>
      <w:ind w:firstLine="200" w:firstLineChars="200"/>
      <w:outlineLvl w:val="4"/>
    </w:pPr>
    <w:rPr>
      <w:rFonts w:ascii="仿宋_GB2312" w:hAnsi="宋体" w:eastAsia="仿宋_GB2312" w:cs="Times New Roman"/>
      <w:b/>
      <w:bCs/>
      <w:sz w:val="24"/>
      <w:szCs w:val="24"/>
    </w:rPr>
  </w:style>
  <w:style w:type="paragraph" w:customStyle="1" w:styleId="615">
    <w:name w:val="正文文字缩进"/>
    <w:basedOn w:val="1"/>
    <w:qFormat/>
    <w:uiPriority w:val="0"/>
    <w:pPr>
      <w:widowControl/>
      <w:tabs>
        <w:tab w:val="left" w:pos="180"/>
      </w:tabs>
      <w:spacing w:line="240" w:lineRule="exact"/>
      <w:ind w:left="187" w:hanging="187" w:firstLineChars="200"/>
      <w:jc w:val="left"/>
    </w:pPr>
    <w:rPr>
      <w:rFonts w:ascii="Futura Bk" w:hAnsi="Futura Bk" w:eastAsia="宋体" w:cs="Futura Bk"/>
      <w:kern w:val="0"/>
      <w:sz w:val="18"/>
      <w:szCs w:val="18"/>
    </w:rPr>
  </w:style>
  <w:style w:type="paragraph" w:customStyle="1" w:styleId="616">
    <w:name w:val="正文文本 21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617">
    <w:name w:val="xl23"/>
    <w:basedOn w:val="1"/>
    <w:qFormat/>
    <w:uiPriority w:val="0"/>
    <w:pPr>
      <w:widowControl/>
      <w:spacing w:before="100" w:beforeAutospacing="1" w:after="100" w:afterAutospacing="1" w:line="360" w:lineRule="auto"/>
      <w:ind w:firstLine="200" w:firstLineChars="200"/>
      <w:textAlignment w:val="top"/>
    </w:pPr>
    <w:rPr>
      <w:rFonts w:ascii="Times New Roman" w:hAnsi="Times New Roman" w:eastAsia="宋体" w:cs="Times New Roman"/>
      <w:kern w:val="0"/>
      <w:sz w:val="24"/>
      <w:szCs w:val="24"/>
    </w:rPr>
  </w:style>
  <w:style w:type="paragraph" w:customStyle="1" w:styleId="618">
    <w:name w:val="xl25"/>
    <w:basedOn w:val="1"/>
    <w:qFormat/>
    <w:uiPriority w:val="0"/>
    <w:pPr>
      <w:widowControl/>
      <w:adjustRightInd w:val="0"/>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619">
    <w:name w:val="目录2"/>
    <w:basedOn w:val="1"/>
    <w:qFormat/>
    <w:uiPriority w:val="0"/>
    <w:pPr>
      <w:tabs>
        <w:tab w:val="left" w:leader="dot" w:pos="7370"/>
      </w:tabs>
      <w:autoSpaceDE w:val="0"/>
      <w:autoSpaceDN w:val="0"/>
      <w:adjustRightInd w:val="0"/>
      <w:spacing w:line="317" w:lineRule="atLeast"/>
      <w:ind w:firstLine="209" w:firstLineChars="200"/>
    </w:pPr>
    <w:rPr>
      <w:rFonts w:ascii="Times New Roman" w:hAnsi="Times New Roman" w:eastAsia="宋体" w:cs="Times New Roman"/>
      <w:color w:val="000000"/>
      <w:kern w:val="0"/>
      <w:szCs w:val="21"/>
    </w:rPr>
  </w:style>
  <w:style w:type="paragraph" w:customStyle="1" w:styleId="620">
    <w:name w:val="缺省文本"/>
    <w:basedOn w:val="1"/>
    <w:qFormat/>
    <w:uiPriority w:val="0"/>
    <w:pPr>
      <w:widowControl/>
      <w:overflowPunct w:val="0"/>
      <w:autoSpaceDE w:val="0"/>
      <w:autoSpaceDN w:val="0"/>
      <w:adjustRightInd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621">
    <w:name w:val="p0"/>
    <w:basedOn w:val="1"/>
    <w:qFormat/>
    <w:uiPriority w:val="0"/>
    <w:pPr>
      <w:widowControl/>
    </w:pPr>
    <w:rPr>
      <w:rFonts w:ascii="Times New Roman" w:hAnsi="Times New Roman" w:eastAsia="宋体" w:cs="Times New Roman"/>
      <w:kern w:val="0"/>
      <w:szCs w:val="21"/>
    </w:rPr>
  </w:style>
  <w:style w:type="paragraph" w:customStyle="1" w:styleId="622">
    <w:name w:val="修订1"/>
    <w:qFormat/>
    <w:uiPriority w:val="3"/>
    <w:rPr>
      <w:rFonts w:ascii="Times New Roman" w:hAnsi="Times New Roman" w:eastAsia="宋体" w:cs="Times New Roman"/>
      <w:kern w:val="2"/>
      <w:sz w:val="21"/>
      <w:lang w:val="en-US" w:eastAsia="zh-CN" w:bidi="ar-SA"/>
    </w:rPr>
  </w:style>
  <w:style w:type="paragraph" w:customStyle="1" w:styleId="623">
    <w:name w:val="gf正文1"/>
    <w:basedOn w:val="1"/>
    <w:link w:val="787"/>
    <w:qFormat/>
    <w:uiPriority w:val="0"/>
    <w:pPr>
      <w:tabs>
        <w:tab w:val="left" w:pos="3240"/>
        <w:tab w:val="left" w:pos="3960"/>
      </w:tabs>
      <w:adjustRightInd w:val="0"/>
      <w:snapToGrid w:val="0"/>
      <w:spacing w:line="360" w:lineRule="auto"/>
      <w:ind w:firstLine="480" w:firstLineChars="200"/>
    </w:pPr>
    <w:rPr>
      <w:rFonts w:ascii="宋体" w:hAnsi="宋体" w:eastAsia="宋体" w:cs="Times New Roman"/>
      <w:sz w:val="24"/>
      <w:szCs w:val="24"/>
      <w:lang w:val="zh-CN"/>
    </w:rPr>
  </w:style>
  <w:style w:type="paragraph" w:customStyle="1" w:styleId="624">
    <w:name w:val="表格文字"/>
    <w:basedOn w:val="1"/>
    <w:next w:val="16"/>
    <w:qFormat/>
    <w:uiPriority w:val="0"/>
    <w:pPr>
      <w:ind w:firstLine="200" w:firstLineChars="200"/>
    </w:pPr>
    <w:rPr>
      <w:rFonts w:ascii="Arial" w:hAnsi="Arial" w:eastAsia="宋体" w:cs="Times New Roman"/>
      <w:spacing w:val="-5"/>
      <w:kern w:val="0"/>
      <w:sz w:val="24"/>
      <w:szCs w:val="20"/>
    </w:rPr>
  </w:style>
  <w:style w:type="paragraph" w:customStyle="1" w:styleId="62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26">
    <w:name w:val="Char Char14"/>
    <w:basedOn w:val="1"/>
    <w:qFormat/>
    <w:uiPriority w:val="0"/>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6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28">
    <w:name w:val="FA正文"/>
    <w:basedOn w:val="1"/>
    <w:qFormat/>
    <w:uiPriority w:val="0"/>
    <w:pPr>
      <w:adjustRightInd w:val="0"/>
      <w:spacing w:line="360" w:lineRule="auto"/>
      <w:ind w:firstLine="480" w:firstLineChars="200"/>
    </w:pPr>
    <w:rPr>
      <w:rFonts w:ascii="Times New Roman" w:hAnsi="宋体" w:eastAsia="宋体" w:cs="Times New Roman"/>
      <w:sz w:val="24"/>
      <w:szCs w:val="20"/>
    </w:rPr>
  </w:style>
  <w:style w:type="paragraph" w:customStyle="1" w:styleId="629">
    <w:name w:val="CM14"/>
    <w:basedOn w:val="78"/>
    <w:next w:val="78"/>
    <w:qFormat/>
    <w:uiPriority w:val="0"/>
    <w:pPr>
      <w:spacing w:after="68"/>
    </w:pPr>
    <w:rPr>
      <w:rFonts w:ascii="FHLHE E+ Futura Bk" w:eastAsia="FHLHE E+ Futura Bk"/>
      <w:color w:val="auto"/>
    </w:rPr>
  </w:style>
  <w:style w:type="paragraph" w:customStyle="1" w:styleId="630">
    <w:name w:val="Char Char Char Char2"/>
    <w:basedOn w:val="1"/>
    <w:qFormat/>
    <w:uiPriority w:val="0"/>
    <w:pPr>
      <w:adjustRightInd w:val="0"/>
    </w:pPr>
    <w:rPr>
      <w:rFonts w:ascii="Tahoma" w:hAnsi="Tahoma" w:eastAsia="宋体" w:cs="Times New Roman"/>
      <w:sz w:val="24"/>
      <w:szCs w:val="20"/>
    </w:rPr>
  </w:style>
  <w:style w:type="paragraph" w:customStyle="1" w:styleId="631">
    <w:name w:val="Char11"/>
    <w:basedOn w:val="1"/>
    <w:qFormat/>
    <w:uiPriority w:val="0"/>
    <w:pPr>
      <w:tabs>
        <w:tab w:val="left" w:pos="432"/>
      </w:tabs>
      <w:spacing w:before="156" w:beforeLines="50" w:after="156" w:afterLines="50"/>
      <w:ind w:left="432" w:hanging="432" w:firstLineChars="200"/>
    </w:pPr>
    <w:rPr>
      <w:rFonts w:ascii="Times New Roman" w:hAnsi="Times New Roman" w:eastAsia="宋体" w:cs="Times New Roman"/>
      <w:sz w:val="24"/>
      <w:szCs w:val="24"/>
    </w:rPr>
  </w:style>
  <w:style w:type="paragraph" w:customStyle="1" w:styleId="632">
    <w:name w:val="样式1 + (中宋体"/>
    <w:basedOn w:val="5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3">
    <w:name w:val="标准正文"/>
    <w:basedOn w:val="1"/>
    <w:link w:val="873"/>
    <w:qFormat/>
    <w:uiPriority w:val="0"/>
    <w:pPr>
      <w:tabs>
        <w:tab w:val="left" w:pos="780"/>
      </w:tabs>
      <w:spacing w:line="360" w:lineRule="auto"/>
      <w:ind w:left="200" w:leftChars="200" w:firstLine="200" w:firstLineChars="200"/>
    </w:pPr>
    <w:rPr>
      <w:rFonts w:ascii="Times New Roman" w:hAnsi="Times New Roman" w:eastAsia="宋体" w:cs="Times New Roman"/>
      <w:sz w:val="24"/>
      <w:szCs w:val="24"/>
    </w:rPr>
  </w:style>
  <w:style w:type="paragraph" w:customStyle="1" w:styleId="634">
    <w:name w:val="Char Char11 Char Char Char Char Char Char Char Char Char Char Char Char Char Char Char1"/>
    <w:basedOn w:val="1"/>
    <w:qFormat/>
    <w:uiPriority w:val="0"/>
    <w:pPr>
      <w:spacing w:line="360" w:lineRule="auto"/>
    </w:pPr>
    <w:rPr>
      <w:rFonts w:ascii="Arial" w:hAnsi="Arial" w:eastAsia="黑体" w:cs="Arial"/>
      <w:snapToGrid w:val="0"/>
      <w:kern w:val="0"/>
      <w:szCs w:val="21"/>
    </w:rPr>
  </w:style>
  <w:style w:type="paragraph" w:customStyle="1" w:styleId="635">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7">
    <w:name w:val="Picture"/>
    <w:basedOn w:val="1"/>
    <w:next w:val="17"/>
    <w:qFormat/>
    <w:uiPriority w:val="0"/>
    <w:pPr>
      <w:keepNext/>
      <w:widowControl/>
      <w:ind w:firstLine="200" w:firstLineChars="200"/>
    </w:pPr>
    <w:rPr>
      <w:rFonts w:ascii="楷体" w:hAnsi="Arial" w:eastAsia="楷体" w:cs="Times New Roman"/>
      <w:b/>
      <w:spacing w:val="-5"/>
      <w:w w:val="98"/>
      <w:kern w:val="0"/>
      <w:sz w:val="24"/>
      <w:szCs w:val="20"/>
    </w:rPr>
  </w:style>
  <w:style w:type="paragraph" w:customStyle="1" w:styleId="638">
    <w:name w:val="规划正文"/>
    <w:basedOn w:val="1"/>
    <w:qFormat/>
    <w:uiPriority w:val="0"/>
    <w:pPr>
      <w:spacing w:before="312" w:beforeLines="100" w:line="360" w:lineRule="auto"/>
      <w:jc w:val="left"/>
    </w:pPr>
    <w:rPr>
      <w:rFonts w:ascii="Arial" w:hAnsi="Arial" w:eastAsia="仿宋_GB2312" w:cs="Times New Roman"/>
      <w:bCs/>
      <w:sz w:val="28"/>
      <w:szCs w:val="24"/>
    </w:rPr>
  </w:style>
  <w:style w:type="paragraph" w:customStyle="1" w:styleId="639">
    <w:name w:val="Char1 Char Char Char51"/>
    <w:basedOn w:val="1"/>
    <w:qFormat/>
    <w:uiPriority w:val="0"/>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640">
    <w:name w:val="目录4"/>
    <w:basedOn w:val="1"/>
    <w:qFormat/>
    <w:uiPriority w:val="0"/>
    <w:pPr>
      <w:tabs>
        <w:tab w:val="left" w:leader="dot" w:pos="7370"/>
      </w:tabs>
      <w:autoSpaceDE w:val="0"/>
      <w:autoSpaceDN w:val="0"/>
      <w:adjustRightInd w:val="0"/>
      <w:spacing w:line="317" w:lineRule="atLeast"/>
      <w:ind w:firstLine="629" w:firstLineChars="200"/>
    </w:pPr>
    <w:rPr>
      <w:rFonts w:ascii="Times New Roman" w:hAnsi="Times New Roman" w:eastAsia="宋体" w:cs="Times New Roman"/>
      <w:color w:val="000000"/>
      <w:kern w:val="0"/>
      <w:szCs w:val="21"/>
    </w:rPr>
  </w:style>
  <w:style w:type="paragraph" w:customStyle="1" w:styleId="641">
    <w:name w:val="Char1 Char Char Char5"/>
    <w:basedOn w:val="1"/>
    <w:qFormat/>
    <w:uiPriority w:val="0"/>
    <w:pPr>
      <w:ind w:firstLine="200" w:firstLineChars="200"/>
    </w:pPr>
    <w:rPr>
      <w:rFonts w:ascii="Tahoma" w:hAnsi="Tahoma" w:eastAsia="宋体" w:cs="Times New Roman"/>
      <w:sz w:val="24"/>
      <w:szCs w:val="20"/>
    </w:rPr>
  </w:style>
  <w:style w:type="paragraph" w:customStyle="1" w:styleId="64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4">
    <w:name w:val="Char Char28"/>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6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6">
    <w:name w:val="纯文本_0_0"/>
    <w:basedOn w:val="645"/>
    <w:link w:val="647"/>
    <w:qFormat/>
    <w:uiPriority w:val="0"/>
    <w:rPr>
      <w:rFonts w:ascii="宋体" w:hAnsi="Courier New"/>
      <w:szCs w:val="21"/>
    </w:rPr>
  </w:style>
  <w:style w:type="character" w:customStyle="1" w:styleId="647">
    <w:name w:val="纯文本 Char_0"/>
    <w:link w:val="646"/>
    <w:qFormat/>
    <w:uiPriority w:val="0"/>
    <w:rPr>
      <w:rFonts w:ascii="宋体" w:hAnsi="Courier New" w:eastAsia="宋体" w:cs="Times New Roman"/>
      <w:szCs w:val="21"/>
    </w:rPr>
  </w:style>
  <w:style w:type="paragraph" w:customStyle="1" w:styleId="648">
    <w:name w:val="索引 11"/>
    <w:basedOn w:val="1"/>
    <w:next w:val="1"/>
    <w:qFormat/>
    <w:uiPriority w:val="0"/>
    <w:pPr>
      <w:spacing w:line="360" w:lineRule="auto"/>
    </w:pPr>
    <w:rPr>
      <w:rFonts w:ascii="仿宋_GB2312" w:hAnsi="Times New Roman" w:eastAsia="仿宋_GB2312" w:cs="Times New Roman"/>
      <w:sz w:val="24"/>
      <w:szCs w:val="20"/>
    </w:rPr>
  </w:style>
  <w:style w:type="character" w:customStyle="1" w:styleId="649">
    <w:name w:val="Char Char34"/>
    <w:qFormat/>
    <w:uiPriority w:val="6"/>
    <w:rPr>
      <w:b/>
      <w:kern w:val="1"/>
      <w:sz w:val="28"/>
      <w:szCs w:val="28"/>
    </w:rPr>
  </w:style>
  <w:style w:type="character" w:customStyle="1" w:styleId="650">
    <w:name w:val="Char Char22"/>
    <w:qFormat/>
    <w:uiPriority w:val="6"/>
    <w:rPr>
      <w:rFonts w:ascii="宋体" w:hAnsi="宋体"/>
      <w:kern w:val="1"/>
      <w:sz w:val="24"/>
      <w:szCs w:val="24"/>
    </w:rPr>
  </w:style>
  <w:style w:type="character" w:customStyle="1" w:styleId="651">
    <w:name w:val="Char Char141"/>
    <w:qFormat/>
    <w:uiPriority w:val="0"/>
    <w:rPr>
      <w:rFonts w:ascii="黑体" w:hAnsi="黑体" w:eastAsia="黑体"/>
    </w:rPr>
  </w:style>
  <w:style w:type="character" w:customStyle="1" w:styleId="652">
    <w:name w:val="Char Char61"/>
    <w:qFormat/>
    <w:uiPriority w:val="6"/>
    <w:rPr>
      <w:rFonts w:eastAsia="宋体"/>
      <w:kern w:val="2"/>
      <w:sz w:val="21"/>
      <w:szCs w:val="24"/>
      <w:lang w:val="en-US" w:eastAsia="zh-CN" w:bidi="ar-SA"/>
    </w:rPr>
  </w:style>
  <w:style w:type="character" w:customStyle="1" w:styleId="653">
    <w:name w:val="Char Char24"/>
    <w:qFormat/>
    <w:uiPriority w:val="6"/>
    <w:rPr>
      <w:kern w:val="1"/>
      <w:sz w:val="21"/>
    </w:rPr>
  </w:style>
  <w:style w:type="character" w:customStyle="1" w:styleId="654">
    <w:name w:val="Heading 1 Char"/>
    <w:qFormat/>
    <w:uiPriority w:val="6"/>
    <w:rPr>
      <w:rFonts w:ascii="Times New Roman" w:hAnsi="Times New Roman" w:eastAsia="黑体" w:cs="Times New Roman"/>
      <w:b/>
      <w:kern w:val="0"/>
      <w:sz w:val="24"/>
      <w:szCs w:val="24"/>
    </w:rPr>
  </w:style>
  <w:style w:type="character" w:customStyle="1" w:styleId="655">
    <w:name w:val="Char Char19"/>
    <w:qFormat/>
    <w:uiPriority w:val="0"/>
    <w:rPr>
      <w:rFonts w:ascii="宋体" w:hAnsi="宋体"/>
      <w:i/>
      <w:sz w:val="24"/>
      <w:szCs w:val="24"/>
    </w:rPr>
  </w:style>
  <w:style w:type="character" w:customStyle="1" w:styleId="656">
    <w:name w:val="纯文本 Char2"/>
    <w:semiHidden/>
    <w:qFormat/>
    <w:uiPriority w:val="99"/>
    <w:rPr>
      <w:rFonts w:ascii="宋体" w:hAnsi="Courier New" w:eastAsia="宋体" w:cs="Courier New"/>
    </w:rPr>
  </w:style>
  <w:style w:type="character" w:customStyle="1" w:styleId="657">
    <w:name w:val="Char Char32"/>
    <w:qFormat/>
    <w:uiPriority w:val="6"/>
    <w:rPr>
      <w:b/>
      <w:kern w:val="1"/>
      <w:sz w:val="24"/>
      <w:szCs w:val="24"/>
    </w:rPr>
  </w:style>
  <w:style w:type="character" w:customStyle="1" w:styleId="658">
    <w:name w:val="Char Char36"/>
    <w:qFormat/>
    <w:uiPriority w:val="6"/>
    <w:rPr>
      <w:rFonts w:ascii="仿宋_GB2312" w:hAnsi="仿宋_GB2312" w:eastAsia="仿宋_GB2312" w:cs="Arial"/>
      <w:b/>
      <w:kern w:val="1"/>
      <w:sz w:val="32"/>
      <w:szCs w:val="32"/>
      <w:lang w:val="zh-CN" w:eastAsia="zh-CN" w:bidi="ar-SA"/>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Char Char17"/>
    <w:qFormat/>
    <w:uiPriority w:val="0"/>
    <w:rPr>
      <w:rFonts w:eastAsia="仿宋_GB2312"/>
      <w:sz w:val="24"/>
    </w:rPr>
  </w:style>
  <w:style w:type="character" w:customStyle="1" w:styleId="661">
    <w:name w:val="Char Char121"/>
    <w:qFormat/>
    <w:uiPriority w:val="6"/>
    <w:rPr>
      <w:rFonts w:ascii="仿宋_GB2312" w:eastAsia="仿宋_GB2312"/>
      <w:b/>
      <w:bCs/>
      <w:kern w:val="2"/>
      <w:sz w:val="24"/>
      <w:szCs w:val="24"/>
      <w:lang w:val="zh-CN" w:eastAsia="zh-CN" w:bidi="ar-SA"/>
    </w:rPr>
  </w:style>
  <w:style w:type="character" w:customStyle="1" w:styleId="662">
    <w:name w:val="Char Char91"/>
    <w:qFormat/>
    <w:uiPriority w:val="0"/>
    <w:rPr>
      <w:rFonts w:eastAsia="宋体"/>
      <w:kern w:val="2"/>
      <w:sz w:val="18"/>
      <w:szCs w:val="18"/>
      <w:lang w:val="en-US" w:eastAsia="zh-CN" w:bidi="ar-SA"/>
    </w:rPr>
  </w:style>
  <w:style w:type="character" w:customStyle="1" w:styleId="663">
    <w:name w:val="param-name"/>
    <w:qFormat/>
    <w:uiPriority w:val="99"/>
    <w:rPr>
      <w:rFonts w:ascii="Arial" w:hAnsi="Arial" w:eastAsia="黑体" w:cs="Arial"/>
      <w:snapToGrid/>
      <w:kern w:val="0"/>
      <w:szCs w:val="21"/>
    </w:rPr>
  </w:style>
  <w:style w:type="character" w:customStyle="1" w:styleId="664">
    <w:name w:val="Char Char31"/>
    <w:qFormat/>
    <w:uiPriority w:val="6"/>
    <w:rPr>
      <w:rFonts w:ascii="Arial" w:hAnsi="Arial" w:eastAsia="黑体"/>
      <w:kern w:val="1"/>
      <w:sz w:val="24"/>
      <w:szCs w:val="24"/>
    </w:rPr>
  </w:style>
  <w:style w:type="character" w:customStyle="1" w:styleId="665">
    <w:name w:val="Char Char27"/>
    <w:qFormat/>
    <w:uiPriority w:val="6"/>
    <w:rPr>
      <w:rFonts w:ascii="宋体" w:hAnsi="宋体" w:eastAsia="宋体"/>
      <w:color w:val="000000"/>
      <w:kern w:val="1"/>
      <w:sz w:val="28"/>
      <w:lang w:val="en-US" w:eastAsia="zh-CN" w:bidi="ar-SA"/>
    </w:rPr>
  </w:style>
  <w:style w:type="character" w:customStyle="1" w:styleId="666">
    <w:name w:val="Char Char16"/>
    <w:qFormat/>
    <w:uiPriority w:val="6"/>
    <w:rPr>
      <w:kern w:val="1"/>
      <w:sz w:val="18"/>
      <w:szCs w:val="18"/>
    </w:rPr>
  </w:style>
  <w:style w:type="character" w:customStyle="1" w:styleId="667">
    <w:name w:val="页眉 Char2"/>
    <w:qFormat/>
    <w:uiPriority w:val="0"/>
    <w:rPr>
      <w:kern w:val="2"/>
      <w:sz w:val="18"/>
      <w:szCs w:val="18"/>
    </w:rPr>
  </w:style>
  <w:style w:type="character" w:customStyle="1" w:styleId="668">
    <w:name w:val="表格名称[858D7CFB-ED40-4347-BF05-701D383B685F]"/>
    <w:link w:val="669"/>
    <w:qFormat/>
    <w:uiPriority w:val="0"/>
    <w:rPr>
      <w:sz w:val="32"/>
    </w:rPr>
  </w:style>
  <w:style w:type="paragraph" w:customStyle="1" w:styleId="669">
    <w:name w:val="表格名称"/>
    <w:basedOn w:val="4"/>
    <w:link w:val="668"/>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0">
    <w:name w:val="Char Char41"/>
    <w:qFormat/>
    <w:uiPriority w:val="0"/>
    <w:rPr>
      <w:rFonts w:eastAsia="宋体"/>
      <w:b/>
      <w:sz w:val="24"/>
      <w:lang w:val="en-GB" w:eastAsia="zh-CN" w:bidi="ar-SA"/>
    </w:rPr>
  </w:style>
  <w:style w:type="character" w:customStyle="1" w:styleId="671">
    <w:name w:val="正文段 Char"/>
    <w:link w:val="575"/>
    <w:qFormat/>
    <w:uiPriority w:val="0"/>
    <w:rPr>
      <w:rFonts w:ascii="Times New Roman" w:hAnsi="Times New Roman" w:eastAsia="宋体" w:cs="Times New Roman"/>
      <w:kern w:val="0"/>
      <w:sz w:val="24"/>
      <w:szCs w:val="20"/>
      <w:lang w:val="zh-CN"/>
    </w:rPr>
  </w:style>
  <w:style w:type="character" w:customStyle="1" w:styleId="672">
    <w:name w:val="Char Char29"/>
    <w:qFormat/>
    <w:uiPriority w:val="6"/>
    <w:rPr>
      <w:rFonts w:ascii="Arial" w:hAnsi="Arial" w:eastAsia="微软雅黑"/>
      <w:b/>
      <w:kern w:val="1"/>
      <w:sz w:val="44"/>
      <w:szCs w:val="32"/>
      <w:lang w:val="en-US" w:eastAsia="zh-CN" w:bidi="ar-SA"/>
    </w:rPr>
  </w:style>
  <w:style w:type="character" w:customStyle="1" w:styleId="673">
    <w:name w:val="Char Char211"/>
    <w:qFormat/>
    <w:uiPriority w:val="0"/>
    <w:rPr>
      <w:rFonts w:eastAsia="宋体"/>
      <w:b/>
      <w:bCs/>
      <w:kern w:val="2"/>
      <w:sz w:val="21"/>
      <w:szCs w:val="24"/>
      <w:lang w:val="en-US" w:eastAsia="zh-CN" w:bidi="ar-SA"/>
    </w:rPr>
  </w:style>
  <w:style w:type="character" w:customStyle="1" w:styleId="674">
    <w:name w:val="样式 正文缩进 + 首行缩进:  2 字符 Char Char"/>
    <w:link w:val="612"/>
    <w:qFormat/>
    <w:uiPriority w:val="0"/>
    <w:rPr>
      <w:rFonts w:ascii="Times New Roman" w:eastAsia="宋体"/>
      <w:sz w:val="24"/>
      <w:lang w:val="zh-CN"/>
    </w:rPr>
  </w:style>
  <w:style w:type="character" w:customStyle="1" w:styleId="675">
    <w:name w:val="Char Char131"/>
    <w:qFormat/>
    <w:uiPriority w:val="0"/>
    <w:rPr>
      <w:rFonts w:ascii="宋体" w:hAnsi="宋体"/>
      <w:kern w:val="1"/>
      <w:sz w:val="21"/>
      <w:szCs w:val="24"/>
    </w:rPr>
  </w:style>
  <w:style w:type="character" w:customStyle="1" w:styleId="676">
    <w:name w:val="Char Char33"/>
    <w:qFormat/>
    <w:uiPriority w:val="6"/>
    <w:rPr>
      <w:rFonts w:ascii="Arial" w:hAnsi="Arial" w:eastAsia="黑体"/>
      <w:b/>
      <w:kern w:val="1"/>
      <w:sz w:val="24"/>
      <w:szCs w:val="24"/>
    </w:rPr>
  </w:style>
  <w:style w:type="character" w:customStyle="1" w:styleId="677">
    <w:name w:val="正文说明 Char"/>
    <w:link w:val="678"/>
    <w:qFormat/>
    <w:uiPriority w:val="0"/>
    <w:rPr>
      <w:sz w:val="24"/>
      <w:szCs w:val="24"/>
    </w:rPr>
  </w:style>
  <w:style w:type="paragraph" w:customStyle="1" w:styleId="678">
    <w:name w:val="正文说明"/>
    <w:basedOn w:val="1"/>
    <w:link w:val="677"/>
    <w:qFormat/>
    <w:uiPriority w:val="0"/>
    <w:pPr>
      <w:spacing w:line="360" w:lineRule="auto"/>
    </w:pPr>
    <w:rPr>
      <w:sz w:val="24"/>
      <w:szCs w:val="24"/>
    </w:rPr>
  </w:style>
  <w:style w:type="character" w:customStyle="1" w:styleId="679">
    <w:name w:val="页脚 Char2"/>
    <w:qFormat/>
    <w:locked/>
    <w:uiPriority w:val="0"/>
    <w:rPr>
      <w:kern w:val="2"/>
      <w:sz w:val="18"/>
      <w:szCs w:val="18"/>
    </w:rPr>
  </w:style>
  <w:style w:type="character" w:customStyle="1" w:styleId="680">
    <w:name w:val="Char Char711"/>
    <w:qFormat/>
    <w:uiPriority w:val="0"/>
    <w:rPr>
      <w:rFonts w:eastAsia="宋体"/>
      <w:kern w:val="2"/>
      <w:sz w:val="21"/>
      <w:szCs w:val="24"/>
      <w:lang w:val="en-US" w:eastAsia="zh-CN" w:bidi="ar-SA"/>
    </w:rPr>
  </w:style>
  <w:style w:type="character" w:customStyle="1" w:styleId="681">
    <w:name w:val="Char Char21"/>
    <w:qFormat/>
    <w:uiPriority w:val="6"/>
    <w:rPr>
      <w:rFonts w:ascii="宋体" w:hAnsi="宋体"/>
      <w:kern w:val="1"/>
      <w:sz w:val="24"/>
      <w:szCs w:val="21"/>
      <w:lang w:val="zh-CN"/>
    </w:rPr>
  </w:style>
  <w:style w:type="character" w:customStyle="1" w:styleId="682">
    <w:name w:val="Char Char281"/>
    <w:qFormat/>
    <w:uiPriority w:val="6"/>
    <w:rPr>
      <w:rFonts w:ascii="仿宋_GB2312" w:hAnsi="仿宋_GB2312" w:eastAsia="仿宋_GB2312"/>
      <w:kern w:val="1"/>
      <w:sz w:val="28"/>
    </w:rPr>
  </w:style>
  <w:style w:type="character" w:customStyle="1" w:styleId="683">
    <w:name w:val="Char Char30"/>
    <w:qFormat/>
    <w:uiPriority w:val="6"/>
    <w:rPr>
      <w:rFonts w:ascii="Arial" w:hAnsi="Arial" w:eastAsia="黑体"/>
      <w:kern w:val="1"/>
      <w:sz w:val="21"/>
      <w:szCs w:val="21"/>
    </w:rPr>
  </w:style>
  <w:style w:type="character" w:customStyle="1" w:styleId="684">
    <w:name w:val="question-title2"/>
    <w:qFormat/>
    <w:uiPriority w:val="6"/>
    <w:rPr>
      <w:rFonts w:ascii="Arial" w:hAnsi="Arial" w:eastAsia="黑体" w:cs="Arial"/>
      <w:snapToGrid/>
      <w:kern w:val="0"/>
      <w:szCs w:val="21"/>
    </w:rPr>
  </w:style>
  <w:style w:type="character" w:customStyle="1" w:styleId="685">
    <w:name w:val="Char Char20"/>
    <w:qFormat/>
    <w:uiPriority w:val="6"/>
    <w:rPr>
      <w:kern w:val="1"/>
      <w:sz w:val="24"/>
    </w:rPr>
  </w:style>
  <w:style w:type="character" w:customStyle="1" w:styleId="686">
    <w:name w:val="Char Char311"/>
    <w:qFormat/>
    <w:uiPriority w:val="0"/>
    <w:rPr>
      <w:rFonts w:eastAsia="宋体"/>
      <w:kern w:val="2"/>
      <w:sz w:val="21"/>
      <w:szCs w:val="24"/>
      <w:lang w:val="en-US" w:eastAsia="zh-CN" w:bidi="ar-SA"/>
    </w:rPr>
  </w:style>
  <w:style w:type="character" w:customStyle="1" w:styleId="687">
    <w:name w:val="Char Char15"/>
    <w:qFormat/>
    <w:uiPriority w:val="0"/>
    <w:rPr>
      <w:rFonts w:ascii="宋体" w:hAnsi="宋体"/>
      <w:kern w:val="1"/>
      <w:sz w:val="21"/>
    </w:rPr>
  </w:style>
  <w:style w:type="character" w:customStyle="1" w:styleId="688">
    <w:name w:val="Char Char26"/>
    <w:qFormat/>
    <w:uiPriority w:val="6"/>
    <w:rPr>
      <w:kern w:val="1"/>
      <w:sz w:val="21"/>
      <w:szCs w:val="24"/>
    </w:rPr>
  </w:style>
  <w:style w:type="character" w:customStyle="1" w:styleId="689">
    <w:name w:val="Char Char51"/>
    <w:qFormat/>
    <w:uiPriority w:val="0"/>
    <w:rPr>
      <w:rFonts w:ascii="宋体" w:hAnsi="Courier New" w:eastAsia="宋体"/>
      <w:kern w:val="2"/>
      <w:sz w:val="21"/>
      <w:lang w:val="en-US" w:eastAsia="zh-CN"/>
    </w:rPr>
  </w:style>
  <w:style w:type="character" w:customStyle="1" w:styleId="690">
    <w:name w:val="Char Char71"/>
    <w:semiHidden/>
    <w:qFormat/>
    <w:uiPriority w:val="0"/>
    <w:rPr>
      <w:rFonts w:eastAsia="宋体"/>
      <w:kern w:val="2"/>
      <w:sz w:val="21"/>
      <w:szCs w:val="24"/>
      <w:lang w:val="en-US" w:eastAsia="zh-CN" w:bidi="ar-SA"/>
    </w:rPr>
  </w:style>
  <w:style w:type="character" w:customStyle="1" w:styleId="691">
    <w:name w:val="Char Char18"/>
    <w:qFormat/>
    <w:uiPriority w:val="0"/>
    <w:rPr>
      <w:rFonts w:ascii="宋体" w:hAnsi="宋体"/>
      <w:sz w:val="28"/>
    </w:rPr>
  </w:style>
  <w:style w:type="character" w:customStyle="1" w:styleId="692">
    <w:name w:val="Char Char81"/>
    <w:qFormat/>
    <w:uiPriority w:val="6"/>
    <w:rPr>
      <w:rFonts w:eastAsia="宋体"/>
      <w:b/>
      <w:sz w:val="24"/>
      <w:lang w:val="en-GB" w:eastAsia="zh-CN"/>
    </w:rPr>
  </w:style>
  <w:style w:type="character" w:customStyle="1" w:styleId="693">
    <w:name w:val="Char Char37"/>
    <w:qFormat/>
    <w:uiPriority w:val="6"/>
    <w:rPr>
      <w:b/>
      <w:kern w:val="1"/>
      <w:sz w:val="44"/>
      <w:szCs w:val="44"/>
    </w:rPr>
  </w:style>
  <w:style w:type="character" w:customStyle="1" w:styleId="694">
    <w:name w:val="Char Char102"/>
    <w:semiHidden/>
    <w:qFormat/>
    <w:uiPriority w:val="0"/>
    <w:rPr>
      <w:rFonts w:ascii="宋体" w:hAnsi="宋体"/>
      <w:kern w:val="2"/>
      <w:sz w:val="21"/>
      <w:szCs w:val="24"/>
      <w:lang w:val="en-US" w:eastAsia="zh-CN"/>
    </w:rPr>
  </w:style>
  <w:style w:type="character" w:customStyle="1" w:styleId="695">
    <w:name w:val="Char Char23"/>
    <w:qFormat/>
    <w:uiPriority w:val="6"/>
    <w:rPr>
      <w:color w:val="0000FF"/>
      <w:sz w:val="21"/>
    </w:rPr>
  </w:style>
  <w:style w:type="character" w:customStyle="1" w:styleId="696">
    <w:name w:val="Char Char25"/>
    <w:qFormat/>
    <w:uiPriority w:val="6"/>
    <w:rPr>
      <w:rFonts w:ascii="宋体" w:hAnsi="宋体"/>
      <w:kern w:val="1"/>
      <w:sz w:val="24"/>
      <w:lang w:val="zh-CN"/>
    </w:rPr>
  </w:style>
  <w:style w:type="character" w:customStyle="1" w:styleId="697">
    <w:name w:val="Char Char35"/>
    <w:qFormat/>
    <w:uiPriority w:val="6"/>
    <w:rPr>
      <w:rFonts w:ascii="Arial" w:hAnsi="Arial" w:eastAsia="黑体"/>
      <w:b/>
      <w:kern w:val="1"/>
      <w:sz w:val="28"/>
      <w:szCs w:val="28"/>
      <w:lang w:val="zh-CN"/>
    </w:rPr>
  </w:style>
  <w:style w:type="character" w:customStyle="1" w:styleId="698">
    <w:name w:val="font81"/>
    <w:qFormat/>
    <w:uiPriority w:val="0"/>
    <w:rPr>
      <w:rFonts w:ascii="微软雅黑" w:hAnsi="微软雅黑" w:eastAsia="微软雅黑" w:cs="微软雅黑"/>
      <w:color w:val="000000"/>
      <w:sz w:val="20"/>
      <w:szCs w:val="20"/>
      <w:u w:val="none"/>
    </w:rPr>
  </w:style>
  <w:style w:type="character" w:customStyle="1" w:styleId="699">
    <w:name w:val="font51"/>
    <w:qFormat/>
    <w:uiPriority w:val="0"/>
    <w:rPr>
      <w:rFonts w:hint="eastAsia" w:ascii="仿宋" w:hAnsi="仿宋" w:eastAsia="仿宋" w:cs="仿宋"/>
      <w:color w:val="000000"/>
      <w:sz w:val="20"/>
      <w:szCs w:val="20"/>
      <w:u w:val="none"/>
    </w:rPr>
  </w:style>
  <w:style w:type="character" w:customStyle="1" w:styleId="700">
    <w:name w:val="font31"/>
    <w:qFormat/>
    <w:uiPriority w:val="0"/>
    <w:rPr>
      <w:rFonts w:hint="eastAsia" w:ascii="仿宋" w:hAnsi="仿宋" w:eastAsia="仿宋" w:cs="仿宋"/>
      <w:color w:val="000000"/>
      <w:sz w:val="20"/>
      <w:szCs w:val="20"/>
      <w:u w:val="none"/>
    </w:rPr>
  </w:style>
  <w:style w:type="character" w:customStyle="1" w:styleId="701">
    <w:name w:val="font01"/>
    <w:qFormat/>
    <w:uiPriority w:val="0"/>
    <w:rPr>
      <w:rFonts w:hint="eastAsia" w:ascii="微软雅黑" w:hAnsi="微软雅黑" w:eastAsia="微软雅黑" w:cs="微软雅黑"/>
      <w:color w:val="000000"/>
      <w:sz w:val="20"/>
      <w:szCs w:val="20"/>
      <w:u w:val="none"/>
    </w:rPr>
  </w:style>
  <w:style w:type="character" w:customStyle="1" w:styleId="702">
    <w:name w:val="font61"/>
    <w:qFormat/>
    <w:uiPriority w:val="0"/>
    <w:rPr>
      <w:rFonts w:hint="eastAsia" w:ascii="仿宋" w:hAnsi="仿宋" w:eastAsia="仿宋" w:cs="仿宋"/>
      <w:color w:val="000000"/>
      <w:sz w:val="20"/>
      <w:szCs w:val="20"/>
      <w:u w:val="none"/>
    </w:rPr>
  </w:style>
  <w:style w:type="paragraph" w:customStyle="1" w:styleId="703">
    <w:name w:val="Char1 Char Char Char6"/>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04">
    <w:name w:val="Char Char Char Char Char Char Char1"/>
    <w:basedOn w:val="1"/>
    <w:qFormat/>
    <w:uiPriority w:val="6"/>
    <w:pPr>
      <w:adjustRightInd w:val="0"/>
    </w:pPr>
    <w:rPr>
      <w:rFonts w:ascii="仿宋_GB2312" w:hAnsi="Times New Roman" w:eastAsia="仿宋_GB2312" w:cs="Times New Roman"/>
      <w:b/>
      <w:sz w:val="32"/>
      <w:szCs w:val="32"/>
    </w:rPr>
  </w:style>
  <w:style w:type="paragraph" w:customStyle="1" w:styleId="705">
    <w:name w:val="TOC 标题11"/>
    <w:basedOn w:val="3"/>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6">
    <w:name w:val="Char Char1 Char Char Char Char Char Char1"/>
    <w:basedOn w:val="1"/>
    <w:qFormat/>
    <w:uiPriority w:val="0"/>
    <w:pPr>
      <w:adjustRightInd w:val="0"/>
    </w:pPr>
    <w:rPr>
      <w:rFonts w:ascii="仿宋_GB2312" w:hAnsi="Times New Roman" w:eastAsia="仿宋_GB2312" w:cs="Times New Roman"/>
      <w:b/>
      <w:sz w:val="32"/>
      <w:szCs w:val="20"/>
    </w:rPr>
  </w:style>
  <w:style w:type="paragraph" w:customStyle="1" w:styleId="707">
    <w:name w:val="Char Char Char Char Char Char1"/>
    <w:basedOn w:val="1"/>
    <w:qFormat/>
    <w:uiPriority w:val="6"/>
    <w:pPr>
      <w:widowControl/>
      <w:adjustRightInd w:val="0"/>
      <w:spacing w:beforeLines="50" w:afterLines="50" w:line="240" w:lineRule="exact"/>
      <w:jc w:val="left"/>
    </w:pPr>
    <w:rPr>
      <w:rFonts w:ascii="Verdana" w:hAnsi="Verdana" w:eastAsia="宋体" w:cs="Times New Roman"/>
      <w:kern w:val="0"/>
      <w:sz w:val="20"/>
      <w:szCs w:val="20"/>
      <w:lang w:eastAsia="en-US"/>
    </w:rPr>
  </w:style>
  <w:style w:type="paragraph" w:customStyle="1" w:styleId="70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23"/>
    <w:basedOn w:val="1"/>
    <w:qFormat/>
    <w:uiPriority w:val="0"/>
    <w:pPr>
      <w:adjustRightInd w:val="0"/>
    </w:pPr>
    <w:rPr>
      <w:rFonts w:ascii="仿宋_GB2312" w:hAnsi="Times New Roman" w:eastAsia="仿宋_GB2312" w:cs="Times New Roman"/>
      <w:b/>
      <w:sz w:val="32"/>
      <w:szCs w:val="32"/>
    </w:rPr>
  </w:style>
  <w:style w:type="paragraph" w:customStyle="1" w:styleId="712">
    <w:name w:val="样式 宋体 三号 加粗 居中"/>
    <w:basedOn w:val="1"/>
    <w:qFormat/>
    <w:uiPriority w:val="0"/>
    <w:pPr>
      <w:spacing w:line="360" w:lineRule="auto"/>
      <w:jc w:val="center"/>
    </w:pPr>
    <w:rPr>
      <w:rFonts w:ascii="宋体" w:hAnsi="宋体" w:eastAsia="宋体" w:cs="宋体"/>
      <w:b/>
      <w:bCs/>
      <w:sz w:val="24"/>
      <w:szCs w:val="20"/>
    </w:rPr>
  </w:style>
  <w:style w:type="paragraph" w:customStyle="1" w:styleId="713">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15">
    <w:name w:val="Char111"/>
    <w:basedOn w:val="1"/>
    <w:qFormat/>
    <w:uiPriority w:val="0"/>
    <w:pPr>
      <w:adjustRightInd w:val="0"/>
    </w:pPr>
    <w:rPr>
      <w:rFonts w:ascii="仿宋_GB2312" w:hAnsi="Times New Roman" w:eastAsia="仿宋_GB2312" w:cs="Times New Roman"/>
      <w:b/>
      <w:sz w:val="32"/>
      <w:szCs w:val="32"/>
    </w:rPr>
  </w:style>
  <w:style w:type="paragraph" w:customStyle="1" w:styleId="71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17">
    <w:name w:val="列出段落*"/>
    <w:basedOn w:val="1"/>
    <w:qFormat/>
    <w:uiPriority w:val="0"/>
    <w:pPr>
      <w:spacing w:line="360" w:lineRule="auto"/>
      <w:ind w:firstLine="200"/>
    </w:pPr>
    <w:rPr>
      <w:rFonts w:ascii="Times New Roman" w:hAnsi="Times New Roman" w:eastAsia="楷体_GB2312" w:cs="Lucida Sans Unicode"/>
      <w:color w:val="000000"/>
      <w:kern w:val="1"/>
      <w:sz w:val="24"/>
      <w:szCs w:val="24"/>
    </w:rPr>
  </w:style>
  <w:style w:type="paragraph" w:customStyle="1" w:styleId="718">
    <w:name w:val="Char Char11 Char Char Char Char Char Char Char Char Char Char Char1"/>
    <w:basedOn w:val="1"/>
    <w:qFormat/>
    <w:uiPriority w:val="6"/>
    <w:pPr>
      <w:spacing w:line="360" w:lineRule="auto"/>
    </w:pPr>
    <w:rPr>
      <w:rFonts w:ascii="Arial" w:hAnsi="Arial" w:eastAsia="黑体" w:cs="Arial"/>
      <w:snapToGrid w:val="0"/>
      <w:kern w:val="0"/>
      <w:szCs w:val="21"/>
    </w:rPr>
  </w:style>
  <w:style w:type="paragraph" w:customStyle="1" w:styleId="719">
    <w:name w:val="Char2 Char Char1"/>
    <w:basedOn w:val="1"/>
    <w:qFormat/>
    <w:uiPriority w:val="6"/>
    <w:rPr>
      <w:rFonts w:ascii="Tahoma" w:hAnsi="Tahoma" w:eastAsia="宋体" w:cs="Times New Roman"/>
      <w:sz w:val="24"/>
      <w:szCs w:val="20"/>
    </w:rPr>
  </w:style>
  <w:style w:type="paragraph" w:customStyle="1" w:styleId="720">
    <w:name w:val="xl94"/>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721">
    <w:name w:val="Char Char1 Char1"/>
    <w:basedOn w:val="1"/>
    <w:qFormat/>
    <w:uiPriority w:val="6"/>
    <w:pPr>
      <w:widowControl/>
      <w:adjustRightInd w:val="0"/>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722">
    <w:name w:val="xl80"/>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72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72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25">
    <w:name w:val="列出段落5"/>
    <w:basedOn w:val="1"/>
    <w:qFormat/>
    <w:uiPriority w:val="0"/>
    <w:pPr>
      <w:adjustRightInd w:val="0"/>
      <w:spacing w:line="360" w:lineRule="auto"/>
      <w:ind w:firstLine="200" w:firstLineChars="200"/>
    </w:pPr>
    <w:rPr>
      <w:rFonts w:ascii="Times New Roman" w:hAnsi="Times New Roman" w:eastAsia="楷体_GB2312" w:cs="Lucida Sans"/>
      <w:sz w:val="24"/>
      <w:szCs w:val="24"/>
    </w:rPr>
  </w:style>
  <w:style w:type="paragraph" w:customStyle="1" w:styleId="726">
    <w:name w:val="Char Char11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27">
    <w:name w:val="Char Char Char Char11"/>
    <w:basedOn w:val="1"/>
    <w:qFormat/>
    <w:uiPriority w:val="0"/>
    <w:pPr>
      <w:adjustRightInd w:val="0"/>
    </w:pPr>
    <w:rPr>
      <w:rFonts w:ascii="Tahoma" w:hAnsi="Tahoma" w:eastAsia="宋体" w:cs="Times New Roman"/>
      <w:sz w:val="24"/>
      <w:szCs w:val="20"/>
    </w:rPr>
  </w:style>
  <w:style w:type="paragraph" w:customStyle="1" w:styleId="728">
    <w:name w:val="Char1 Char Char Char Char Char Char Char Char Char Char Char1 Char Char Char Char Char Char Char Char Char Char Char Char Char Char1 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729">
    <w:name w:val="xl73"/>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Char Char Char Char Char Char Char Char Char Char1"/>
    <w:basedOn w:val="1"/>
    <w:qFormat/>
    <w:uiPriority w:val="0"/>
    <w:pPr>
      <w:adjustRightInd w:val="0"/>
    </w:pPr>
    <w:rPr>
      <w:rFonts w:ascii="仿宋_GB2312" w:hAnsi="Times New Roman" w:eastAsia="仿宋_GB2312" w:cs="Times New Roman"/>
      <w:b/>
      <w:sz w:val="32"/>
      <w:szCs w:val="32"/>
    </w:rPr>
  </w:style>
  <w:style w:type="paragraph" w:customStyle="1" w:styleId="733">
    <w:name w:val="Char Char11 Char Char Char Char Char Char Char Char Char1"/>
    <w:basedOn w:val="1"/>
    <w:qFormat/>
    <w:uiPriority w:val="6"/>
    <w:pPr>
      <w:adjustRightInd w:val="0"/>
      <w:spacing w:line="360" w:lineRule="auto"/>
    </w:pPr>
    <w:rPr>
      <w:rFonts w:ascii="Times New Roman" w:hAnsi="Times New Roman" w:eastAsia="宋体" w:cs="Times New Roman"/>
      <w:szCs w:val="20"/>
    </w:rPr>
  </w:style>
  <w:style w:type="paragraph" w:customStyle="1" w:styleId="734">
    <w:name w:val="Char Char110"/>
    <w:basedOn w:val="1"/>
    <w:qFormat/>
    <w:uiPriority w:val="6"/>
    <w:pPr>
      <w:adjustRightInd w:val="0"/>
      <w:spacing w:line="360" w:lineRule="auto"/>
    </w:pPr>
    <w:rPr>
      <w:rFonts w:ascii="Tahoma" w:hAnsi="Tahoma" w:eastAsia="宋体" w:cs="Times New Roman"/>
      <w:sz w:val="24"/>
      <w:szCs w:val="20"/>
    </w:rPr>
  </w:style>
  <w:style w:type="paragraph" w:customStyle="1" w:styleId="7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3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38">
    <w:name w:val="Char31"/>
    <w:basedOn w:val="1"/>
    <w:qFormat/>
    <w:uiPriority w:val="0"/>
    <w:rPr>
      <w:rFonts w:ascii="仿宋_GB2312" w:hAnsi="Times New Roman" w:eastAsia="仿宋_GB2312" w:cs="Times New Roman"/>
      <w:b/>
      <w:sz w:val="32"/>
      <w:szCs w:val="32"/>
    </w:rPr>
  </w:style>
  <w:style w:type="paragraph" w:customStyle="1" w:styleId="7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742">
    <w:name w:val="修订2"/>
    <w:qFormat/>
    <w:uiPriority w:val="0"/>
    <w:rPr>
      <w:rFonts w:ascii="Times New Roman" w:hAnsi="Times New Roman" w:eastAsia="宋体" w:cs="Times New Roman"/>
      <w:kern w:val="2"/>
      <w:sz w:val="21"/>
      <w:lang w:val="en-US" w:eastAsia="zh-CN" w:bidi="ar-SA"/>
    </w:rPr>
  </w:style>
  <w:style w:type="paragraph" w:customStyle="1" w:styleId="7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44">
    <w:name w:val="Char Char112"/>
    <w:basedOn w:val="1"/>
    <w:qFormat/>
    <w:uiPriority w:val="6"/>
    <w:pPr>
      <w:widowControl/>
      <w:adjustRightInd w:val="0"/>
      <w:spacing w:after="160" w:line="240" w:lineRule="exact"/>
      <w:jc w:val="left"/>
    </w:pPr>
    <w:rPr>
      <w:rFonts w:ascii="Times New Roman" w:hAnsi="Times New Roman" w:eastAsia="仿宋_GB2312" w:cs="Times New Roman"/>
      <w:sz w:val="28"/>
      <w:szCs w:val="24"/>
    </w:rPr>
  </w:style>
  <w:style w:type="paragraph" w:customStyle="1" w:styleId="745">
    <w:name w:val="Char5"/>
    <w:basedOn w:val="1"/>
    <w:qFormat/>
    <w:uiPriority w:val="0"/>
    <w:pPr>
      <w:adjustRightInd w:val="0"/>
    </w:pPr>
    <w:rPr>
      <w:rFonts w:ascii="仿宋_GB2312" w:hAnsi="Times New Roman" w:eastAsia="仿宋_GB2312" w:cs="Times New Roman"/>
      <w:b/>
      <w:sz w:val="32"/>
      <w:szCs w:val="32"/>
    </w:rPr>
  </w:style>
  <w:style w:type="paragraph" w:customStyle="1" w:styleId="7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7">
    <w:name w:val="Char Char Char Char Char Char Char Char Char Char Char Char1 Char1"/>
    <w:basedOn w:val="1"/>
    <w:qFormat/>
    <w:uiPriority w:val="6"/>
    <w:pPr>
      <w:adjustRightInd w:val="0"/>
    </w:pPr>
    <w:rPr>
      <w:rFonts w:ascii="Tahoma" w:hAnsi="Tahoma" w:eastAsia="宋体" w:cs="仿宋_GB2312"/>
      <w:sz w:val="24"/>
      <w:szCs w:val="20"/>
    </w:rPr>
  </w:style>
  <w:style w:type="paragraph" w:customStyle="1" w:styleId="748">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49">
    <w:name w:val="Body Text 2*"/>
    <w:basedOn w:val="1"/>
    <w:qFormat/>
    <w:uiPriority w:val="6"/>
    <w:pPr>
      <w:widowControl/>
      <w:ind w:left="720" w:hanging="720"/>
    </w:pPr>
    <w:rPr>
      <w:rFonts w:ascii="Times New Roman" w:hAnsi="Times New Roman" w:eastAsia="宋体" w:cs="Times New Roman"/>
      <w:color w:val="000000"/>
      <w:kern w:val="0"/>
      <w:sz w:val="24"/>
      <w:szCs w:val="20"/>
      <w:lang w:val="en-GB"/>
    </w:rPr>
  </w:style>
  <w:style w:type="paragraph" w:customStyle="1" w:styleId="750">
    <w:name w:val="样式 左侧:  0.85 厘米"/>
    <w:basedOn w:val="1"/>
    <w:qFormat/>
    <w:uiPriority w:val="2"/>
    <w:pPr>
      <w:spacing w:line="360" w:lineRule="auto"/>
    </w:pPr>
    <w:rPr>
      <w:rFonts w:ascii="Times New Roman" w:hAnsi="Times New Roman" w:eastAsia="宋体" w:cs="宋体"/>
      <w:sz w:val="24"/>
      <w:szCs w:val="20"/>
    </w:rPr>
  </w:style>
  <w:style w:type="paragraph" w:customStyle="1" w:styleId="751">
    <w:name w:val="Char Char Char1"/>
    <w:basedOn w:val="1"/>
    <w:qFormat/>
    <w:uiPriority w:val="6"/>
    <w:pPr>
      <w:widowControl/>
      <w:adjustRightInd w:val="0"/>
      <w:spacing w:after="160" w:line="240" w:lineRule="exact"/>
      <w:jc w:val="left"/>
    </w:pPr>
    <w:rPr>
      <w:rFonts w:ascii="Verdana" w:hAnsi="Verdana" w:eastAsia="宋体" w:cs="Times New Roman"/>
      <w:kern w:val="0"/>
      <w:sz w:val="20"/>
      <w:szCs w:val="20"/>
      <w:lang w:eastAsia="en-US"/>
    </w:rPr>
  </w:style>
  <w:style w:type="paragraph" w:customStyle="1" w:styleId="752">
    <w:name w:val="列出段落31"/>
    <w:basedOn w:val="1"/>
    <w:qFormat/>
    <w:uiPriority w:val="0"/>
    <w:pPr>
      <w:spacing w:line="360" w:lineRule="auto"/>
      <w:ind w:firstLine="420" w:firstLineChars="200"/>
    </w:pPr>
    <w:rPr>
      <w:rFonts w:ascii="Calibri" w:hAnsi="Calibri" w:eastAsia="宋体" w:cs="Times New Roman"/>
      <w:sz w:val="24"/>
    </w:rPr>
  </w:style>
  <w:style w:type="paragraph" w:customStyle="1" w:styleId="753">
    <w:name w:val="Char Char111"/>
    <w:basedOn w:val="1"/>
    <w:qFormat/>
    <w:uiPriority w:val="0"/>
    <w:pPr>
      <w:adjustRightInd w:val="0"/>
      <w:spacing w:line="360" w:lineRule="auto"/>
    </w:pPr>
    <w:rPr>
      <w:rFonts w:ascii="Times New Roman" w:hAnsi="Times New Roman" w:eastAsia="宋体" w:cs="Times New Roman"/>
      <w:szCs w:val="20"/>
    </w:rPr>
  </w:style>
  <w:style w:type="paragraph" w:customStyle="1" w:styleId="754">
    <w:name w:val="List Paragraph*"/>
    <w:basedOn w:val="1"/>
    <w:qFormat/>
    <w:uiPriority w:val="7"/>
    <w:pPr>
      <w:spacing w:line="360" w:lineRule="auto"/>
      <w:ind w:firstLine="420"/>
    </w:pPr>
    <w:rPr>
      <w:rFonts w:ascii="Calibri" w:hAnsi="Calibri" w:eastAsia="宋体" w:cs="Calibri"/>
      <w:color w:val="000000"/>
      <w:kern w:val="1"/>
      <w:sz w:val="24"/>
    </w:rPr>
  </w:style>
  <w:style w:type="paragraph" w:customStyle="1" w:styleId="7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20"/>
      <w:szCs w:val="20"/>
    </w:rPr>
  </w:style>
  <w:style w:type="paragraph" w:customStyle="1" w:styleId="756">
    <w:name w:val="方形箭头"/>
    <w:basedOn w:val="1"/>
    <w:qFormat/>
    <w:uiPriority w:val="0"/>
    <w:pPr>
      <w:widowControl/>
      <w:tabs>
        <w:tab w:val="left" w:pos="840"/>
      </w:tabs>
      <w:spacing w:before="93" w:line="60" w:lineRule="atLeast"/>
      <w:ind w:left="420" w:right="200" w:hanging="420"/>
      <w:jc w:val="left"/>
    </w:pPr>
    <w:rPr>
      <w:rFonts w:ascii="Calibri" w:hAnsi="Calibri" w:eastAsia="宋体" w:cs="Calibri"/>
      <w:color w:val="000000"/>
      <w:kern w:val="0"/>
      <w:sz w:val="16"/>
    </w:rPr>
  </w:style>
  <w:style w:type="paragraph" w:customStyle="1" w:styleId="7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7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760">
    <w:name w:val="Char Char1 Char Char Char1"/>
    <w:basedOn w:val="1"/>
    <w:qFormat/>
    <w:uiPriority w:val="6"/>
    <w:pPr>
      <w:adjustRightInd w:val="0"/>
    </w:pPr>
    <w:rPr>
      <w:rFonts w:ascii="仿宋_GB2312" w:hAnsi="Times New Roman" w:eastAsia="仿宋_GB2312" w:cs="Times New Roman"/>
      <w:b/>
      <w:sz w:val="32"/>
      <w:szCs w:val="20"/>
    </w:rPr>
  </w:style>
  <w:style w:type="paragraph" w:customStyle="1" w:styleId="76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2">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eastAsia="宋体" w:cs="Times New Roman"/>
      <w:b/>
      <w:bCs/>
      <w:sz w:val="24"/>
      <w:szCs w:val="24"/>
    </w:rPr>
  </w:style>
  <w:style w:type="paragraph" w:customStyle="1" w:styleId="7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正文文本 2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765">
    <w:name w:val="xl74"/>
    <w:basedOn w:val="1"/>
    <w:qFormat/>
    <w:uiPriority w:val="0"/>
    <w:pPr>
      <w:widowControl/>
      <w:spacing w:before="100" w:beforeAutospacing="1" w:after="100" w:afterAutospacing="1"/>
      <w:jc w:val="center"/>
    </w:pPr>
    <w:rPr>
      <w:rFonts w:ascii="微软雅黑" w:hAnsi="微软雅黑" w:eastAsia="微软雅黑" w:cs="宋体"/>
      <w:b/>
      <w:bCs/>
      <w:kern w:val="0"/>
      <w:sz w:val="20"/>
      <w:szCs w:val="20"/>
    </w:rPr>
  </w:style>
  <w:style w:type="paragraph" w:customStyle="1" w:styleId="7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67">
    <w:name w:val="Char3 Char Char1"/>
    <w:basedOn w:val="1"/>
    <w:qFormat/>
    <w:uiPriority w:val="6"/>
    <w:pPr>
      <w:widowControl/>
      <w:spacing w:after="160" w:line="240" w:lineRule="exact"/>
      <w:jc w:val="left"/>
    </w:pPr>
    <w:rPr>
      <w:rFonts w:ascii="Arial" w:hAnsi="Arial" w:eastAsia="Times New Roman" w:cs="Verdana"/>
      <w:b/>
      <w:kern w:val="0"/>
      <w:sz w:val="24"/>
      <w:szCs w:val="20"/>
      <w:lang w:eastAsia="en-US"/>
    </w:rPr>
  </w:style>
  <w:style w:type="paragraph" w:customStyle="1" w:styleId="768">
    <w:name w:val="Char3 Char Char Char Char Char Char1"/>
    <w:basedOn w:val="1"/>
    <w:qFormat/>
    <w:uiPriority w:val="6"/>
    <w:pPr>
      <w:spacing w:line="360" w:lineRule="auto"/>
    </w:pPr>
    <w:rPr>
      <w:rFonts w:ascii="Arial" w:hAnsi="Arial" w:eastAsia="黑体" w:cs="Arial"/>
      <w:snapToGrid w:val="0"/>
      <w:kern w:val="0"/>
      <w:szCs w:val="21"/>
    </w:rPr>
  </w:style>
  <w:style w:type="paragraph" w:customStyle="1" w:styleId="769">
    <w:name w:val="Plain Text1"/>
    <w:basedOn w:val="1"/>
    <w:qFormat/>
    <w:uiPriority w:val="7"/>
    <w:rPr>
      <w:rFonts w:ascii="宋体" w:hAnsi="Courier New" w:eastAsia="宋体" w:cs="Times New Roman"/>
      <w:szCs w:val="24"/>
    </w:rPr>
  </w:style>
  <w:style w:type="paragraph" w:customStyle="1" w:styleId="77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20"/>
      <w:szCs w:val="20"/>
    </w:rPr>
  </w:style>
  <w:style w:type="paragraph" w:customStyle="1" w:styleId="771">
    <w:name w:val="列出段落4"/>
    <w:basedOn w:val="1"/>
    <w:qFormat/>
    <w:uiPriority w:val="0"/>
    <w:pPr>
      <w:spacing w:line="360" w:lineRule="auto"/>
      <w:ind w:firstLine="420" w:firstLineChars="200"/>
    </w:pPr>
    <w:rPr>
      <w:rFonts w:ascii="Calibri" w:hAnsi="Calibri" w:eastAsia="宋体" w:cs="Times New Roman"/>
      <w:sz w:val="24"/>
    </w:rPr>
  </w:style>
  <w:style w:type="paragraph" w:customStyle="1" w:styleId="772">
    <w:name w:val="表内文字"/>
    <w:basedOn w:val="1"/>
    <w:qFormat/>
    <w:uiPriority w:val="0"/>
    <w:pPr>
      <w:tabs>
        <w:tab w:val="left" w:pos="1418"/>
      </w:tabs>
      <w:spacing w:line="360" w:lineRule="auto"/>
      <w:ind w:firstLine="420" w:firstLineChars="200"/>
      <w:jc w:val="center"/>
    </w:pPr>
    <w:rPr>
      <w:rFonts w:ascii="仿宋_GB2312" w:hAnsi="Times New Roman" w:eastAsia="仿宋_GB2312" w:cs="Times New Roman"/>
      <w:spacing w:val="-20"/>
      <w:kern w:val="0"/>
      <w:sz w:val="24"/>
      <w:szCs w:val="24"/>
    </w:rPr>
  </w:style>
  <w:style w:type="paragraph" w:customStyle="1" w:styleId="773">
    <w:name w:val="Char Char Char1 Char1"/>
    <w:basedOn w:val="1"/>
    <w:qFormat/>
    <w:uiPriority w:val="6"/>
    <w:pPr>
      <w:adjustRightInd w:val="0"/>
    </w:pPr>
    <w:rPr>
      <w:rFonts w:ascii="Times New Roman" w:hAnsi="Times New Roman" w:eastAsia="宋体" w:cs="Times New Roman"/>
      <w:szCs w:val="20"/>
    </w:rPr>
  </w:style>
  <w:style w:type="paragraph" w:customStyle="1" w:styleId="774">
    <w:name w:val="Char Char Char Char Char Char1 Char1"/>
    <w:basedOn w:val="1"/>
    <w:qFormat/>
    <w:uiPriority w:val="0"/>
    <w:pPr>
      <w:widowControl/>
      <w:adjustRightInd w:val="0"/>
      <w:spacing w:after="160" w:line="240" w:lineRule="exact"/>
      <w:jc w:val="left"/>
    </w:pPr>
    <w:rPr>
      <w:rFonts w:ascii="Verdana" w:hAnsi="Verdana" w:eastAsia="宋体" w:cs="Times New Roman"/>
      <w:kern w:val="0"/>
      <w:szCs w:val="20"/>
      <w:lang w:eastAsia="en-US"/>
    </w:rPr>
  </w:style>
  <w:style w:type="paragraph" w:customStyle="1" w:styleId="775">
    <w:name w:val="Char3 Char Char Char1"/>
    <w:basedOn w:val="1"/>
    <w:qFormat/>
    <w:uiPriority w:val="6"/>
    <w:pPr>
      <w:widowControl/>
      <w:spacing w:after="160" w:line="240" w:lineRule="exact"/>
      <w:jc w:val="left"/>
    </w:pPr>
    <w:rPr>
      <w:rFonts w:ascii="Times New Roman" w:hAnsi="Times New Roman" w:eastAsia="宋体" w:cs="Times New Roman"/>
      <w:szCs w:val="20"/>
    </w:rPr>
  </w:style>
  <w:style w:type="paragraph" w:customStyle="1" w:styleId="776">
    <w:name w:val="Char Char Char Char Char Char Char Char1"/>
    <w:basedOn w:val="1"/>
    <w:qFormat/>
    <w:uiPriority w:val="0"/>
    <w:pPr>
      <w:tabs>
        <w:tab w:val="left" w:pos="360"/>
      </w:tabs>
      <w:adjustRightInd w:val="0"/>
    </w:pPr>
    <w:rPr>
      <w:rFonts w:ascii="Times New Roman" w:hAnsi="Times New Roman" w:eastAsia="宋体" w:cs="Times New Roman"/>
      <w:sz w:val="24"/>
      <w:szCs w:val="20"/>
    </w:rPr>
  </w:style>
  <w:style w:type="paragraph" w:customStyle="1" w:styleId="777">
    <w:name w:val="Char2 Char Char Char1"/>
    <w:basedOn w:val="1"/>
    <w:qFormat/>
    <w:uiPriority w:val="6"/>
    <w:pPr>
      <w:adjustRightInd w:val="0"/>
    </w:pPr>
    <w:rPr>
      <w:rFonts w:ascii="仿宋_GB2312" w:hAnsi="Times New Roman" w:eastAsia="仿宋_GB2312" w:cs="Times New Roman"/>
      <w:b/>
      <w:sz w:val="32"/>
      <w:szCs w:val="32"/>
    </w:rPr>
  </w:style>
  <w:style w:type="paragraph" w:customStyle="1" w:styleId="778">
    <w:name w:val="xl72"/>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79">
    <w:name w:val="Char Char11 Char Char Char Char Char Char Char Char Char Char Char Char Char11"/>
    <w:basedOn w:val="1"/>
    <w:qFormat/>
    <w:uiPriority w:val="6"/>
    <w:pPr>
      <w:spacing w:line="360" w:lineRule="auto"/>
    </w:pPr>
    <w:rPr>
      <w:rFonts w:ascii="Arial" w:hAnsi="Arial" w:eastAsia="黑体" w:cs="Arial"/>
      <w:snapToGrid w:val="0"/>
      <w:kern w:val="0"/>
      <w:szCs w:val="21"/>
    </w:rPr>
  </w:style>
  <w:style w:type="paragraph" w:customStyle="1" w:styleId="78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781">
    <w:name w:val="Char Char11 Char Char Char Char Char Char Char Char Char Char Char Char Char2"/>
    <w:basedOn w:val="1"/>
    <w:qFormat/>
    <w:uiPriority w:val="0"/>
    <w:pPr>
      <w:spacing w:line="360" w:lineRule="auto"/>
    </w:pPr>
    <w:rPr>
      <w:rFonts w:ascii="Arial" w:hAnsi="Arial" w:eastAsia="黑体" w:cs="Times New Roman"/>
      <w:snapToGrid w:val="0"/>
      <w:kern w:val="0"/>
      <w:sz w:val="20"/>
      <w:szCs w:val="21"/>
    </w:rPr>
  </w:style>
  <w:style w:type="character" w:customStyle="1" w:styleId="782">
    <w:name w:val="正文样式 Char"/>
    <w:link w:val="783"/>
    <w:qFormat/>
    <w:uiPriority w:val="0"/>
    <w:rPr>
      <w:rFonts w:ascii="Calibri" w:hAnsi="Calibri"/>
      <w:sz w:val="24"/>
      <w:szCs w:val="24"/>
    </w:rPr>
  </w:style>
  <w:style w:type="paragraph" w:customStyle="1" w:styleId="783">
    <w:name w:val="正文样式"/>
    <w:basedOn w:val="1"/>
    <w:link w:val="782"/>
    <w:qFormat/>
    <w:uiPriority w:val="0"/>
    <w:pPr>
      <w:spacing w:line="360" w:lineRule="auto"/>
      <w:ind w:firstLine="480" w:firstLineChars="200"/>
    </w:pPr>
    <w:rPr>
      <w:rFonts w:ascii="Calibri" w:hAnsi="Calibri"/>
      <w:sz w:val="24"/>
      <w:szCs w:val="24"/>
    </w:rPr>
  </w:style>
  <w:style w:type="character" w:customStyle="1" w:styleId="784">
    <w:name w:val="公文正文 Char Char"/>
    <w:link w:val="385"/>
    <w:qFormat/>
    <w:uiPriority w:val="0"/>
    <w:rPr>
      <w:rFonts w:ascii="仿宋_GB2312" w:hAnsi="Times New Roman" w:eastAsia="仿宋_GB2312" w:cs="Times New Roman"/>
      <w:sz w:val="24"/>
      <w:szCs w:val="24"/>
      <w:lang w:val="zh-CN"/>
    </w:rPr>
  </w:style>
  <w:style w:type="character" w:customStyle="1" w:styleId="785">
    <w:name w:val="题注 Char"/>
    <w:link w:val="17"/>
    <w:qFormat/>
    <w:uiPriority w:val="0"/>
    <w:rPr>
      <w:rFonts w:ascii="Times New Roman" w:hAnsi="Times New Roman" w:eastAsia="宋体" w:cs="Times New Roman"/>
      <w:b/>
      <w:sz w:val="28"/>
      <w:szCs w:val="20"/>
      <w:lang w:val="zh-CN"/>
    </w:rPr>
  </w:style>
  <w:style w:type="character" w:customStyle="1" w:styleId="786">
    <w:name w:val="表正文 Char3"/>
    <w:qFormat/>
    <w:uiPriority w:val="0"/>
    <w:rPr>
      <w:rFonts w:eastAsia="宋体"/>
    </w:rPr>
  </w:style>
  <w:style w:type="character" w:customStyle="1" w:styleId="787">
    <w:name w:val="gf正文1 Char Char"/>
    <w:link w:val="623"/>
    <w:qFormat/>
    <w:uiPriority w:val="0"/>
    <w:rPr>
      <w:rFonts w:ascii="宋体" w:hAnsi="宋体" w:eastAsia="宋体" w:cs="Times New Roman"/>
      <w:sz w:val="24"/>
      <w:szCs w:val="24"/>
      <w:lang w:val="zh-CN"/>
    </w:rPr>
  </w:style>
  <w:style w:type="character" w:customStyle="1" w:styleId="788">
    <w:name w:val="h Char1"/>
    <w:qFormat/>
    <w:uiPriority w:val="0"/>
    <w:rPr>
      <w:sz w:val="18"/>
      <w:szCs w:val="18"/>
    </w:rPr>
  </w:style>
  <w:style w:type="character" w:customStyle="1" w:styleId="789">
    <w:name w:val="Char Char161"/>
    <w:qFormat/>
    <w:uiPriority w:val="0"/>
    <w:rPr>
      <w:rFonts w:eastAsia="宋体"/>
      <w:b/>
      <w:kern w:val="2"/>
      <w:sz w:val="32"/>
      <w:lang w:val="en-US" w:eastAsia="zh-CN"/>
    </w:rPr>
  </w:style>
  <w:style w:type="character" w:customStyle="1" w:styleId="790">
    <w:name w:val="编号，小四 Char"/>
    <w:link w:val="791"/>
    <w:qFormat/>
    <w:uiPriority w:val="0"/>
    <w:rPr>
      <w:rFonts w:ascii="Arial" w:hAnsi="Arial"/>
      <w:sz w:val="24"/>
    </w:rPr>
  </w:style>
  <w:style w:type="paragraph" w:customStyle="1" w:styleId="791">
    <w:name w:val="编号，小四"/>
    <w:basedOn w:val="1"/>
    <w:link w:val="790"/>
    <w:qFormat/>
    <w:uiPriority w:val="0"/>
    <w:pPr>
      <w:tabs>
        <w:tab w:val="left" w:pos="432"/>
      </w:tabs>
      <w:spacing w:line="360" w:lineRule="auto"/>
      <w:ind w:left="432" w:hanging="432"/>
    </w:pPr>
    <w:rPr>
      <w:rFonts w:ascii="Arial" w:hAnsi="Arial"/>
      <w:sz w:val="24"/>
    </w:rPr>
  </w:style>
  <w:style w:type="character" w:customStyle="1" w:styleId="792">
    <w:name w:val="段落 Char Char"/>
    <w:link w:val="793"/>
    <w:qFormat/>
    <w:uiPriority w:val="0"/>
    <w:rPr>
      <w:rFonts w:ascii="宋体" w:hAnsi="宋体"/>
      <w:sz w:val="24"/>
    </w:rPr>
  </w:style>
  <w:style w:type="paragraph" w:customStyle="1" w:styleId="793">
    <w:name w:val="段落"/>
    <w:basedOn w:val="1"/>
    <w:link w:val="792"/>
    <w:qFormat/>
    <w:uiPriority w:val="0"/>
    <w:pPr>
      <w:spacing w:line="360" w:lineRule="auto"/>
      <w:ind w:firstLine="480" w:firstLineChars="200"/>
    </w:pPr>
    <w:rPr>
      <w:rFonts w:ascii="宋体" w:hAnsi="宋体"/>
      <w:sz w:val="24"/>
    </w:rPr>
  </w:style>
  <w:style w:type="character" w:customStyle="1" w:styleId="794">
    <w:name w:val="maywed421"/>
    <w:qFormat/>
    <w:uiPriority w:val="0"/>
    <w:rPr>
      <w:color w:val="366FB6"/>
      <w:u w:val="none"/>
    </w:rPr>
  </w:style>
  <w:style w:type="character" w:customStyle="1" w:styleId="795">
    <w:name w:val="哈哈正文 Char Char"/>
    <w:qFormat/>
    <w:uiPriority w:val="0"/>
    <w:rPr>
      <w:rFonts w:ascii="宋体" w:hAnsi="宋体" w:eastAsia="宋体" w:cs="宋体"/>
      <w:kern w:val="2"/>
      <w:sz w:val="24"/>
      <w:lang w:val="en-US" w:eastAsia="zh-CN" w:bidi="ar-SA"/>
    </w:rPr>
  </w:style>
  <w:style w:type="character" w:customStyle="1" w:styleId="796">
    <w:name w:val="font11"/>
    <w:qFormat/>
    <w:uiPriority w:val="0"/>
    <w:rPr>
      <w:rFonts w:hint="default" w:ascii="Times New Roman" w:hAnsi="Times New Roman" w:cs="Times New Roman"/>
      <w:color w:val="000000"/>
      <w:sz w:val="22"/>
      <w:szCs w:val="22"/>
      <w:u w:val="none"/>
    </w:rPr>
  </w:style>
  <w:style w:type="character" w:customStyle="1" w:styleId="797">
    <w:name w:val="font41"/>
    <w:qFormat/>
    <w:uiPriority w:val="0"/>
    <w:rPr>
      <w:rFonts w:hint="eastAsia" w:ascii="仿宋_GB2312" w:eastAsia="仿宋_GB2312" w:cs="仿宋_GB2312"/>
      <w:color w:val="000000"/>
      <w:sz w:val="22"/>
      <w:szCs w:val="22"/>
      <w:u w:val="none"/>
    </w:rPr>
  </w:style>
  <w:style w:type="character" w:customStyle="1" w:styleId="798">
    <w:name w:val="5正文 Char"/>
    <w:link w:val="799"/>
    <w:qFormat/>
    <w:uiPriority w:val="0"/>
    <w:rPr>
      <w:rFonts w:ascii="仿宋_GB2312" w:hAnsi="微软雅黑" w:eastAsia="仿宋_GB2312"/>
      <w:sz w:val="28"/>
      <w:szCs w:val="21"/>
    </w:rPr>
  </w:style>
  <w:style w:type="paragraph" w:customStyle="1" w:styleId="799">
    <w:name w:val="5正文"/>
    <w:basedOn w:val="1"/>
    <w:link w:val="798"/>
    <w:qFormat/>
    <w:uiPriority w:val="0"/>
    <w:pPr>
      <w:spacing w:line="360" w:lineRule="auto"/>
      <w:ind w:firstLine="566" w:firstLineChars="202"/>
      <w:jc w:val="left"/>
    </w:pPr>
    <w:rPr>
      <w:rFonts w:ascii="仿宋_GB2312" w:hAnsi="微软雅黑" w:eastAsia="仿宋_GB2312"/>
      <w:sz w:val="28"/>
      <w:szCs w:val="21"/>
    </w:rPr>
  </w:style>
  <w:style w:type="character" w:customStyle="1" w:styleId="800">
    <w:name w:val="正文缩进 字符"/>
    <w:qFormat/>
    <w:uiPriority w:val="0"/>
    <w:rPr>
      <w:rFonts w:ascii="宋体" w:eastAsia="宋体"/>
      <w:snapToGrid w:val="0"/>
      <w:color w:val="000000"/>
      <w:kern w:val="28"/>
      <w:sz w:val="28"/>
      <w:lang w:val="en-US" w:eastAsia="zh-CN" w:bidi="ar-SA"/>
    </w:rPr>
  </w:style>
  <w:style w:type="character" w:customStyle="1" w:styleId="801">
    <w:name w:val="U_正文 Char"/>
    <w:link w:val="802"/>
    <w:qFormat/>
    <w:uiPriority w:val="0"/>
    <w:rPr>
      <w:sz w:val="24"/>
      <w:szCs w:val="24"/>
    </w:rPr>
  </w:style>
  <w:style w:type="paragraph" w:customStyle="1" w:styleId="802">
    <w:name w:val="U_正文"/>
    <w:basedOn w:val="1"/>
    <w:link w:val="801"/>
    <w:qFormat/>
    <w:uiPriority w:val="0"/>
    <w:pPr>
      <w:spacing w:beforeLines="20" w:afterLines="20" w:line="300" w:lineRule="auto"/>
      <w:ind w:firstLine="200" w:firstLineChars="200"/>
    </w:pPr>
    <w:rPr>
      <w:sz w:val="24"/>
      <w:szCs w:val="24"/>
    </w:rPr>
  </w:style>
  <w:style w:type="paragraph" w:customStyle="1" w:styleId="803">
    <w:name w:val="标题2"/>
    <w:basedOn w:val="4"/>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4">
    <w:name w:val="_Style 8"/>
    <w:basedOn w:val="1"/>
    <w:qFormat/>
    <w:uiPriority w:val="34"/>
    <w:pPr>
      <w:ind w:firstLine="420" w:firstLineChars="200"/>
    </w:pPr>
    <w:rPr>
      <w:rFonts w:ascii="Times New Roman" w:hAnsi="Times New Roman" w:eastAsia="仿宋_GB2312" w:cs="Times New Roman"/>
      <w:sz w:val="28"/>
      <w:szCs w:val="24"/>
    </w:rPr>
  </w:style>
  <w:style w:type="paragraph" w:customStyle="1" w:styleId="805">
    <w:name w:val="GP正文(首行缩进)"/>
    <w:basedOn w:val="1"/>
    <w:qFormat/>
    <w:uiPriority w:val="0"/>
    <w:pPr>
      <w:spacing w:line="360" w:lineRule="auto"/>
      <w:ind w:firstLine="200" w:firstLineChars="200"/>
    </w:pPr>
    <w:rPr>
      <w:rFonts w:ascii="Times New Roman" w:hAnsi="Times New Roman" w:eastAsia="仿宋_GB2312" w:cs="Times New Roman"/>
      <w:sz w:val="28"/>
      <w:szCs w:val="21"/>
    </w:rPr>
  </w:style>
  <w:style w:type="paragraph" w:customStyle="1" w:styleId="80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7">
    <w:name w:val="批注框文本 Char Char"/>
    <w:basedOn w:val="1"/>
    <w:qFormat/>
    <w:uiPriority w:val="0"/>
    <w:rPr>
      <w:rFonts w:ascii="Times New Roman" w:hAnsi="Times New Roman" w:eastAsia="宋体" w:cs="Times New Roman"/>
      <w:sz w:val="18"/>
      <w:szCs w:val="20"/>
    </w:rPr>
  </w:style>
  <w:style w:type="paragraph" w:customStyle="1" w:styleId="808">
    <w:name w:val="_Style 11"/>
    <w:basedOn w:val="1"/>
    <w:qFormat/>
    <w:uiPriority w:val="34"/>
    <w:pPr>
      <w:ind w:firstLine="420" w:firstLineChars="200"/>
    </w:pPr>
    <w:rPr>
      <w:rFonts w:ascii="Times New Roman" w:hAnsi="Times New Roman" w:eastAsia="仿宋_GB2312" w:cs="Times New Roman"/>
      <w:sz w:val="28"/>
      <w:szCs w:val="24"/>
    </w:rPr>
  </w:style>
  <w:style w:type="paragraph" w:customStyle="1" w:styleId="809">
    <w:name w:val="大汉方案正文"/>
    <w:basedOn w:val="1"/>
    <w:qFormat/>
    <w:uiPriority w:val="0"/>
    <w:pPr>
      <w:spacing w:line="360" w:lineRule="auto"/>
      <w:ind w:firstLine="200" w:firstLineChars="200"/>
    </w:pPr>
    <w:rPr>
      <w:rFonts w:ascii="Arial" w:hAnsi="Arial" w:eastAsia="宋体" w:cs="Times New Roman"/>
      <w:sz w:val="24"/>
      <w:szCs w:val="20"/>
    </w:rPr>
  </w:style>
  <w:style w:type="paragraph" w:customStyle="1" w:styleId="81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811">
    <w:name w:val="_正文段落"/>
    <w:basedOn w:val="1"/>
    <w:qFormat/>
    <w:uiPriority w:val="0"/>
    <w:pPr>
      <w:ind w:firstLine="560"/>
    </w:pPr>
    <w:rPr>
      <w:rFonts w:ascii="仿宋_GB2312" w:hAnsi="仿宋" w:eastAsia="仿宋_GB2312" w:cs="Times New Roman"/>
      <w:kern w:val="0"/>
      <w:sz w:val="28"/>
      <w:szCs w:val="28"/>
    </w:rPr>
  </w:style>
  <w:style w:type="paragraph" w:customStyle="1" w:styleId="812">
    <w:name w:val="样式 样式 宋体 小四 段前: 7.8 磅 段后: 7.8 磅 行距: 1.5 倍行距 + 小二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813">
    <w:name w:val="_Style 5"/>
    <w:basedOn w:val="1"/>
    <w:qFormat/>
    <w:uiPriority w:val="34"/>
    <w:pPr>
      <w:ind w:firstLine="420" w:firstLineChars="200"/>
    </w:pPr>
    <w:rPr>
      <w:rFonts w:ascii="Times New Roman" w:hAnsi="Times New Roman" w:eastAsia="仿宋_GB2312" w:cs="Times New Roman"/>
      <w:sz w:val="28"/>
      <w:szCs w:val="24"/>
    </w:rPr>
  </w:style>
  <w:style w:type="paragraph" w:customStyle="1" w:styleId="814">
    <w:name w:val="_Style 3"/>
    <w:basedOn w:val="1"/>
    <w:qFormat/>
    <w:uiPriority w:val="34"/>
    <w:pPr>
      <w:ind w:firstLine="420" w:firstLineChars="200"/>
    </w:pPr>
    <w:rPr>
      <w:rFonts w:ascii="Times New Roman" w:hAnsi="Times New Roman" w:eastAsia="仿宋_GB2312" w:cs="Times New Roman"/>
      <w:sz w:val="28"/>
      <w:szCs w:val="24"/>
    </w:rPr>
  </w:style>
  <w:style w:type="paragraph" w:customStyle="1" w:styleId="815">
    <w:name w:val="_Style 6"/>
    <w:basedOn w:val="1"/>
    <w:qFormat/>
    <w:uiPriority w:val="34"/>
    <w:pPr>
      <w:ind w:firstLine="420" w:firstLineChars="200"/>
    </w:pPr>
    <w:rPr>
      <w:rFonts w:ascii="Times New Roman" w:hAnsi="Times New Roman" w:eastAsia="仿宋_GB2312" w:cs="Times New Roman"/>
      <w:sz w:val="28"/>
      <w:szCs w:val="24"/>
    </w:rPr>
  </w:style>
  <w:style w:type="paragraph" w:customStyle="1" w:styleId="816">
    <w:name w:val="_Style 1"/>
    <w:basedOn w:val="1"/>
    <w:qFormat/>
    <w:uiPriority w:val="34"/>
    <w:pPr>
      <w:ind w:firstLine="420" w:firstLineChars="200"/>
    </w:pPr>
    <w:rPr>
      <w:rFonts w:ascii="Times New Roman" w:hAnsi="Times New Roman" w:eastAsia="仿宋_GB2312" w:cs="Times New Roman"/>
      <w:sz w:val="28"/>
      <w:szCs w:val="24"/>
    </w:rPr>
  </w:style>
  <w:style w:type="paragraph" w:customStyle="1" w:styleId="817">
    <w:name w:val="样式 标题 2 + 四号"/>
    <w:basedOn w:val="4"/>
    <w:qFormat/>
    <w:uiPriority w:val="0"/>
    <w:pPr>
      <w:numPr>
        <w:numId w:val="0"/>
      </w:numPr>
      <w:spacing w:before="120" w:after="120"/>
      <w:jc w:val="both"/>
    </w:pPr>
    <w:rPr>
      <w:rFonts w:ascii="宋体" w:hAnsi="Arial" w:eastAsia="宋体"/>
      <w:sz w:val="28"/>
      <w:lang w:val="en-US"/>
    </w:rPr>
  </w:style>
  <w:style w:type="paragraph" w:customStyle="1" w:styleId="818">
    <w:name w:val="样式 首行缩进:  2 字符4"/>
    <w:basedOn w:val="1"/>
    <w:qFormat/>
    <w:uiPriority w:val="0"/>
    <w:pPr>
      <w:spacing w:before="120" w:line="360" w:lineRule="auto"/>
      <w:ind w:firstLine="480" w:firstLineChars="200"/>
    </w:pPr>
    <w:rPr>
      <w:rFonts w:ascii="Times New Roman" w:hAnsi="Times New Roman" w:eastAsia="仿宋_GB2312" w:cs="宋体"/>
      <w:sz w:val="28"/>
      <w:szCs w:val="20"/>
    </w:rPr>
  </w:style>
  <w:style w:type="paragraph" w:customStyle="1" w:styleId="819">
    <w:name w:val="样式 首行缩进:  0 字符"/>
    <w:basedOn w:val="1"/>
    <w:qFormat/>
    <w:uiPriority w:val="0"/>
    <w:pPr>
      <w:spacing w:line="360" w:lineRule="auto"/>
      <w:ind w:firstLine="200" w:firstLineChars="200"/>
    </w:pPr>
    <w:rPr>
      <w:rFonts w:ascii="Arial" w:hAnsi="Arial" w:eastAsia="宋体" w:cs="宋体"/>
      <w:sz w:val="24"/>
      <w:szCs w:val="20"/>
    </w:rPr>
  </w:style>
  <w:style w:type="paragraph" w:customStyle="1" w:styleId="820">
    <w:name w:val="正文1.25"/>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821">
    <w:name w:val="U_编号2"/>
    <w:basedOn w:val="1"/>
    <w:qFormat/>
    <w:uiPriority w:val="0"/>
    <w:pPr>
      <w:tabs>
        <w:tab w:val="left" w:pos="785"/>
      </w:tabs>
      <w:spacing w:beforeLines="10" w:afterLines="10" w:line="300" w:lineRule="auto"/>
    </w:pPr>
    <w:rPr>
      <w:rFonts w:ascii="Times New Roman" w:hAnsi="Times New Roman" w:eastAsia="宋体" w:cs="Times New Roman"/>
      <w:sz w:val="24"/>
      <w:szCs w:val="24"/>
    </w:rPr>
  </w:style>
  <w:style w:type="paragraph" w:customStyle="1" w:styleId="822">
    <w:name w:val="列表1"/>
    <w:basedOn w:val="1"/>
    <w:next w:val="531"/>
    <w:link w:val="829"/>
    <w:qFormat/>
    <w:uiPriority w:val="0"/>
    <w:pPr>
      <w:widowControl/>
      <w:spacing w:after="200" w:line="360" w:lineRule="auto"/>
      <w:ind w:left="720" w:firstLine="200" w:firstLineChars="200"/>
      <w:jc w:val="left"/>
    </w:pPr>
    <w:rPr>
      <w:rFonts w:ascii="Calibri" w:hAnsi="Calibri" w:eastAsia="宋体" w:cs="Times New Roman"/>
      <w:kern w:val="0"/>
      <w:sz w:val="24"/>
      <w:szCs w:val="20"/>
      <w:lang w:val="zh-CN" w:eastAsia="en-US"/>
    </w:rPr>
  </w:style>
  <w:style w:type="character" w:customStyle="1" w:styleId="823">
    <w:name w:val="正文首行缩进 Char Char Char Char Char Char1"/>
    <w:qFormat/>
    <w:uiPriority w:val="0"/>
    <w:rPr>
      <w:rFonts w:ascii="宋体" w:eastAsia="宋体"/>
      <w:kern w:val="2"/>
      <w:sz w:val="24"/>
      <w:szCs w:val="24"/>
      <w:lang w:val="zh-CN" w:bidi="ar-SA"/>
    </w:rPr>
  </w:style>
  <w:style w:type="character" w:customStyle="1" w:styleId="824">
    <w:name w:val="正文首行缩进 Char Char Char Char Char"/>
    <w:qFormat/>
    <w:uiPriority w:val="0"/>
    <w:rPr>
      <w:rFonts w:ascii="宋体"/>
      <w:kern w:val="2"/>
      <w:sz w:val="24"/>
      <w:lang w:val="zh-CN"/>
    </w:rPr>
  </w:style>
  <w:style w:type="character" w:customStyle="1" w:styleId="825">
    <w:name w:val="Used by Word for text of Help footnotes Char Char1"/>
    <w:qFormat/>
    <w:uiPriority w:val="0"/>
    <w:rPr>
      <w:color w:val="0000FF"/>
      <w:sz w:val="21"/>
    </w:rPr>
  </w:style>
  <w:style w:type="character" w:customStyle="1" w:styleId="826">
    <w:name w:val="H5 Char"/>
    <w:qFormat/>
    <w:uiPriority w:val="0"/>
    <w:rPr>
      <w:b/>
      <w:bCs/>
      <w:kern w:val="2"/>
      <w:sz w:val="28"/>
      <w:szCs w:val="28"/>
    </w:rPr>
  </w:style>
  <w:style w:type="character" w:customStyle="1" w:styleId="827">
    <w:name w:val="正文缩进 Char3"/>
    <w:qFormat/>
    <w:uiPriority w:val="0"/>
    <w:rPr>
      <w:rFonts w:ascii="宋体" w:eastAsia="宋体"/>
      <w:snapToGrid w:val="0"/>
      <w:color w:val="000000"/>
      <w:kern w:val="28"/>
      <w:sz w:val="28"/>
      <w:lang w:val="en-US" w:eastAsia="zh-CN" w:bidi="ar-SA"/>
    </w:rPr>
  </w:style>
  <w:style w:type="character" w:customStyle="1" w:styleId="828">
    <w:name w:val="表名 Char"/>
    <w:qFormat/>
    <w:uiPriority w:val="0"/>
    <w:rPr>
      <w:rFonts w:eastAsia="宋体"/>
      <w:b/>
      <w:bCs/>
      <w:kern w:val="2"/>
      <w:sz w:val="24"/>
      <w:szCs w:val="24"/>
      <w:lang w:val="en-US" w:eastAsia="zh-CN" w:bidi="ar-SA"/>
    </w:rPr>
  </w:style>
  <w:style w:type="character" w:customStyle="1" w:styleId="829">
    <w:name w:val="列出段落 Char1"/>
    <w:link w:val="822"/>
    <w:qFormat/>
    <w:uiPriority w:val="0"/>
    <w:rPr>
      <w:rFonts w:ascii="Calibri" w:hAnsi="Calibri" w:eastAsia="宋体" w:cs="Times New Roman"/>
      <w:kern w:val="0"/>
      <w:sz w:val="24"/>
      <w:szCs w:val="20"/>
      <w:lang w:val="zh-CN" w:eastAsia="en-US"/>
    </w:rPr>
  </w:style>
  <w:style w:type="character" w:customStyle="1" w:styleId="830">
    <w:name w:val="图名 Char"/>
    <w:qFormat/>
    <w:uiPriority w:val="0"/>
    <w:rPr>
      <w:rFonts w:ascii="Arial" w:hAnsi="Arial" w:eastAsia="黑体"/>
      <w:kern w:val="2"/>
      <w:sz w:val="24"/>
      <w:szCs w:val="24"/>
      <w:lang w:val="en-US" w:eastAsia="zh-CN" w:bidi="ar-SA"/>
    </w:rPr>
  </w:style>
  <w:style w:type="character" w:customStyle="1" w:styleId="831">
    <w:name w:val="PI Char1"/>
    <w:qFormat/>
    <w:uiPriority w:val="0"/>
    <w:rPr>
      <w:rFonts w:ascii="宋体" w:hAnsi="宋体"/>
      <w:kern w:val="2"/>
      <w:sz w:val="24"/>
      <w:szCs w:val="24"/>
    </w:rPr>
  </w:style>
  <w:style w:type="character" w:customStyle="1" w:styleId="832">
    <w:name w:val="H6 Char"/>
    <w:qFormat/>
    <w:uiPriority w:val="0"/>
    <w:rPr>
      <w:rFonts w:ascii="Arial" w:hAnsi="Arial" w:eastAsia="黑体"/>
      <w:b/>
      <w:bCs/>
      <w:kern w:val="2"/>
      <w:sz w:val="24"/>
      <w:szCs w:val="24"/>
    </w:rPr>
  </w:style>
  <w:style w:type="character" w:customStyle="1" w:styleId="833">
    <w:name w:val="Default Char"/>
    <w:link w:val="78"/>
    <w:qFormat/>
    <w:uiPriority w:val="0"/>
    <w:rPr>
      <w:rFonts w:ascii="仿宋_GB2312" w:hAnsi="Times New Roman" w:eastAsia="仿宋_GB2312" w:cs="Times New Roman"/>
      <w:color w:val="000000"/>
      <w:kern w:val="0"/>
      <w:sz w:val="24"/>
      <w:szCs w:val="24"/>
    </w:rPr>
  </w:style>
  <w:style w:type="character" w:customStyle="1" w:styleId="834">
    <w:name w:val="标书1 Char1"/>
    <w:qFormat/>
    <w:uiPriority w:val="0"/>
    <w:rPr>
      <w:rFonts w:eastAsia="宋体"/>
      <w:b/>
      <w:bCs/>
      <w:kern w:val="44"/>
      <w:sz w:val="44"/>
      <w:szCs w:val="44"/>
      <w:lang w:val="en-US" w:eastAsia="zh-CN" w:bidi="ar-SA"/>
    </w:rPr>
  </w:style>
  <w:style w:type="character" w:customStyle="1" w:styleId="835">
    <w:name w:val="h4 Char"/>
    <w:qFormat/>
    <w:uiPriority w:val="0"/>
    <w:rPr>
      <w:rFonts w:ascii="Arial" w:hAnsi="Arial" w:eastAsia="黑体"/>
      <w:b/>
      <w:bCs/>
      <w:kern w:val="2"/>
      <w:sz w:val="28"/>
      <w:szCs w:val="28"/>
      <w:lang w:val="zh-CN" w:eastAsia="zh-CN" w:bidi="ar-SA"/>
    </w:rPr>
  </w:style>
  <w:style w:type="character" w:customStyle="1" w:styleId="8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7">
    <w:name w:val="未用 Char"/>
    <w:qFormat/>
    <w:uiPriority w:val="0"/>
    <w:rPr>
      <w:rFonts w:ascii="Arial" w:hAnsi="Arial" w:eastAsia="黑体"/>
      <w:kern w:val="2"/>
      <w:sz w:val="21"/>
      <w:szCs w:val="21"/>
      <w:lang w:val="en-US" w:eastAsia="zh-CN" w:bidi="ar-SA"/>
    </w:rPr>
  </w:style>
  <w:style w:type="character" w:customStyle="1" w:styleId="838">
    <w:name w:val="正文文字缩进 2 Char Char"/>
    <w:qFormat/>
    <w:uiPriority w:val="0"/>
    <w:rPr>
      <w:rFonts w:ascii="宋体"/>
      <w:sz w:val="28"/>
    </w:rPr>
  </w:style>
  <w:style w:type="paragraph" w:customStyle="1" w:styleId="83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0">
    <w:name w:val="Char Char Char 字元 字元"/>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841">
    <w:name w:val="五级无标题条"/>
    <w:basedOn w:val="1"/>
    <w:qFormat/>
    <w:uiPriority w:val="0"/>
    <w:rPr>
      <w:rFonts w:ascii="Times New Roman" w:hAnsi="Times New Roman" w:eastAsia="宋体" w:cs="Times New Roman"/>
      <w:szCs w:val="24"/>
    </w:rPr>
  </w:style>
  <w:style w:type="paragraph" w:customStyle="1" w:styleId="842">
    <w:name w:val="样式9"/>
    <w:basedOn w:val="1"/>
    <w:qFormat/>
    <w:uiPriority w:val="0"/>
    <w:pPr>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4">
    <w:name w:val="中文标题 3"/>
    <w:basedOn w:val="25"/>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5">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4"/>
    </w:rPr>
  </w:style>
  <w:style w:type="paragraph" w:customStyle="1" w:styleId="846">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7">
    <w:name w:val="表格非标题文字"/>
    <w:link w:val="84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8">
    <w:name w:val="表格非标题文字 Char"/>
    <w:link w:val="847"/>
    <w:qFormat/>
    <w:uiPriority w:val="0"/>
    <w:rPr>
      <w:rFonts w:ascii="Futura Bk" w:hAnsi="Futura Bk" w:eastAsia="宋体" w:cs="Times New Roman"/>
      <w:sz w:val="18"/>
      <w:szCs w:val="21"/>
    </w:rPr>
  </w:style>
  <w:style w:type="character" w:customStyle="1" w:styleId="849">
    <w:name w:val="Table Text Char"/>
    <w:link w:val="528"/>
    <w:qFormat/>
    <w:uiPriority w:val="0"/>
    <w:rPr>
      <w:rFonts w:ascii="Times New Roman" w:hAnsi="Times New Roman" w:eastAsia="宋体" w:cs="Times New Roman"/>
      <w:kern w:val="0"/>
      <w:sz w:val="24"/>
      <w:szCs w:val="24"/>
      <w:lang w:val="zh-CN"/>
    </w:rPr>
  </w:style>
  <w:style w:type="character" w:customStyle="1" w:styleId="850">
    <w:name w:val="页眉 字符"/>
    <w:qFormat/>
    <w:uiPriority w:val="99"/>
    <w:rPr>
      <w:kern w:val="2"/>
      <w:sz w:val="18"/>
      <w:szCs w:val="18"/>
    </w:rPr>
  </w:style>
  <w:style w:type="character" w:customStyle="1" w:styleId="851">
    <w:name w:val="页脚 字符"/>
    <w:qFormat/>
    <w:uiPriority w:val="99"/>
    <w:rPr>
      <w:kern w:val="2"/>
      <w:sz w:val="18"/>
      <w:szCs w:val="18"/>
    </w:rPr>
  </w:style>
  <w:style w:type="character" w:customStyle="1" w:styleId="852">
    <w:name w:val="列表段落 字符"/>
    <w:qFormat/>
    <w:uiPriority w:val="34"/>
  </w:style>
  <w:style w:type="paragraph" w:customStyle="1" w:styleId="853">
    <w:name w:val="列表段落1"/>
    <w:basedOn w:val="1"/>
    <w:qFormat/>
    <w:uiPriority w:val="34"/>
    <w:pPr>
      <w:ind w:right="238" w:firstLine="420"/>
    </w:pPr>
    <w:rPr>
      <w:rFonts w:ascii="Calibri" w:hAnsi="Calibri" w:eastAsia="宋体" w:cs="Times New Roman"/>
      <w:sz w:val="24"/>
      <w:szCs w:val="24"/>
    </w:rPr>
  </w:style>
  <w:style w:type="character" w:customStyle="1" w:styleId="854">
    <w:name w:val="标题 2 字符"/>
    <w:qFormat/>
    <w:uiPriority w:val="9"/>
    <w:rPr>
      <w:rFonts w:ascii="仿宋_GB2312" w:hAnsi="Times New Roman" w:eastAsia="仿宋_GB2312" w:cs="Times New Roman"/>
      <w:b/>
      <w:kern w:val="2"/>
      <w:sz w:val="24"/>
      <w:lang w:val="zh-CN"/>
    </w:rPr>
  </w:style>
  <w:style w:type="paragraph" w:customStyle="1" w:styleId="855">
    <w:name w:val="样式 标题 3h33rd level3BOD 0H3l3CTHeading 3 - oldLevel 3 He..."/>
    <w:basedOn w:val="5"/>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6">
    <w:name w:val="4级标题"/>
    <w:basedOn w:val="531"/>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7">
    <w:name w:val="3级"/>
    <w:basedOn w:val="855"/>
    <w:link w:val="858"/>
    <w:qFormat/>
    <w:uiPriority w:val="0"/>
    <w:pPr>
      <w:ind w:left="0" w:right="466" w:firstLine="288"/>
    </w:pPr>
    <w:rPr>
      <w:rFonts w:hAnsi="宋体"/>
    </w:rPr>
  </w:style>
  <w:style w:type="character" w:customStyle="1" w:styleId="858">
    <w:name w:val="3级 Char"/>
    <w:link w:val="857"/>
    <w:qFormat/>
    <w:uiPriority w:val="0"/>
    <w:rPr>
      <w:rFonts w:ascii="宋体" w:hAnsi="宋体" w:eastAsia="宋体" w:cs="Times New Roman"/>
      <w:b/>
      <w:bCs/>
      <w:snapToGrid w:val="0"/>
      <w:kern w:val="0"/>
      <w:sz w:val="28"/>
      <w:szCs w:val="20"/>
      <w:lang w:val="zh-CN"/>
    </w:rPr>
  </w:style>
  <w:style w:type="character" w:customStyle="1" w:styleId="859">
    <w:name w:val="标题 3 字符"/>
    <w:qFormat/>
    <w:uiPriority w:val="9"/>
    <w:rPr>
      <w:b/>
      <w:bCs/>
      <w:kern w:val="2"/>
      <w:sz w:val="32"/>
      <w:szCs w:val="32"/>
    </w:rPr>
  </w:style>
  <w:style w:type="character" w:customStyle="1" w:styleId="860">
    <w:name w:val="标题 4 字符"/>
    <w:qFormat/>
    <w:uiPriority w:val="9"/>
    <w:rPr>
      <w:rFonts w:ascii="等线 Light" w:hAnsi="等线 Light" w:eastAsia="等线 Light" w:cs="Times New Roman"/>
      <w:b/>
      <w:bCs/>
      <w:snapToGrid/>
      <w:kern w:val="0"/>
      <w:sz w:val="28"/>
      <w:szCs w:val="28"/>
    </w:rPr>
  </w:style>
  <w:style w:type="character" w:customStyle="1" w:styleId="861">
    <w:name w:val="标题 1 字符"/>
    <w:qFormat/>
    <w:uiPriority w:val="9"/>
    <w:rPr>
      <w:rFonts w:ascii="Arial" w:hAnsi="Arial" w:eastAsia="黑体" w:cs="Arial"/>
      <w:b/>
      <w:bCs/>
      <w:snapToGrid/>
      <w:kern w:val="44"/>
      <w:sz w:val="44"/>
      <w:szCs w:val="44"/>
    </w:rPr>
  </w:style>
  <w:style w:type="character" w:customStyle="1" w:styleId="862">
    <w:name w:val="批注文字 字符"/>
    <w:qFormat/>
    <w:uiPriority w:val="0"/>
    <w:rPr>
      <w:rFonts w:ascii="Arial" w:hAnsi="Arial" w:eastAsia="黑体" w:cs="Arial"/>
      <w:snapToGrid/>
      <w:kern w:val="0"/>
      <w:szCs w:val="21"/>
    </w:rPr>
  </w:style>
  <w:style w:type="character" w:customStyle="1" w:styleId="863">
    <w:name w:val="批注框文本 字符"/>
    <w:semiHidden/>
    <w:qFormat/>
    <w:uiPriority w:val="99"/>
    <w:rPr>
      <w:rFonts w:ascii="Arial" w:hAnsi="Arial" w:eastAsia="黑体" w:cs="Arial"/>
      <w:snapToGrid/>
      <w:kern w:val="0"/>
      <w:sz w:val="18"/>
      <w:szCs w:val="18"/>
    </w:rPr>
  </w:style>
  <w:style w:type="paragraph" w:customStyle="1" w:styleId="86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5">
    <w:name w:val="纯文本 字符"/>
    <w:qFormat/>
    <w:uiPriority w:val="0"/>
    <w:rPr>
      <w:rFonts w:ascii="宋体" w:hAnsi="Courier New" w:eastAsia="宋体" w:cs="Arial"/>
      <w:snapToGrid w:val="0"/>
      <w:kern w:val="2"/>
      <w:sz w:val="21"/>
      <w:szCs w:val="21"/>
      <w:lang w:val="en-US" w:eastAsia="zh-CN" w:bidi="ar-SA"/>
    </w:rPr>
  </w:style>
  <w:style w:type="paragraph" w:customStyle="1" w:styleId="866">
    <w:name w:val="_标题2"/>
    <w:basedOn w:val="867"/>
    <w:next w:val="86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67">
    <w:name w:val="__正文"/>
    <w:link w:val="868"/>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68">
    <w:name w:val="__正文 Char"/>
    <w:link w:val="867"/>
    <w:qFormat/>
    <w:uiPriority w:val="0"/>
    <w:rPr>
      <w:rFonts w:ascii="Calibri" w:hAnsi="Calibri" w:eastAsia="等线" w:cs="Times New Roman"/>
      <w:sz w:val="24"/>
      <w:szCs w:val="21"/>
    </w:rPr>
  </w:style>
  <w:style w:type="paragraph" w:customStyle="1" w:styleId="869">
    <w:name w:val="l正文"/>
    <w:basedOn w:val="1"/>
    <w:qFormat/>
    <w:uiPriority w:val="0"/>
    <w:pPr>
      <w:adjustRightInd w:val="0"/>
      <w:spacing w:line="360" w:lineRule="auto"/>
      <w:ind w:firstLine="200" w:firstLineChars="200"/>
    </w:pPr>
    <w:rPr>
      <w:rFonts w:ascii="宋体" w:hAnsi="宋体" w:eastAsia="宋体" w:cs="Times New Roman"/>
      <w:sz w:val="24"/>
      <w:szCs w:val="24"/>
    </w:rPr>
  </w:style>
  <w:style w:type="paragraph" w:customStyle="1" w:styleId="870">
    <w:name w:val="_标题3"/>
    <w:basedOn w:val="867"/>
    <w:next w:val="867"/>
    <w:qFormat/>
    <w:uiPriority w:val="0"/>
    <w:pPr>
      <w:widowControl w:val="0"/>
      <w:spacing w:before="50" w:beforeLines="50" w:after="50" w:afterLines="50"/>
      <w:ind w:firstLine="0" w:firstLineChars="0"/>
      <w:outlineLvl w:val="2"/>
    </w:pPr>
    <w:rPr>
      <w:rFonts w:eastAsia="宋体"/>
      <w:b/>
      <w:sz w:val="32"/>
    </w:rPr>
  </w:style>
  <w:style w:type="paragraph" w:customStyle="1" w:styleId="871">
    <w:name w:val="_标题1"/>
    <w:basedOn w:val="867"/>
    <w:next w:val="867"/>
    <w:qFormat/>
    <w:uiPriority w:val="0"/>
    <w:pPr>
      <w:widowControl w:val="0"/>
      <w:spacing w:before="156" w:beforeLines="50" w:after="156" w:afterLines="50"/>
      <w:ind w:firstLine="0" w:firstLineChars="0"/>
      <w:outlineLvl w:val="0"/>
    </w:pPr>
    <w:rPr>
      <w:rFonts w:eastAsia="黑体"/>
      <w:b/>
      <w:sz w:val="32"/>
    </w:rPr>
  </w:style>
  <w:style w:type="paragraph" w:customStyle="1" w:styleId="872">
    <w:name w:val="_标题5"/>
    <w:basedOn w:val="867"/>
    <w:next w:val="867"/>
    <w:qFormat/>
    <w:uiPriority w:val="0"/>
    <w:pPr>
      <w:spacing w:before="120" w:after="120"/>
      <w:ind w:left="4679" w:firstLine="0" w:firstLineChars="0"/>
      <w:outlineLvl w:val="4"/>
    </w:pPr>
    <w:rPr>
      <w:rFonts w:ascii="仿宋" w:hAnsi="仿宋" w:eastAsia="仿宋"/>
      <w:b/>
      <w:sz w:val="28"/>
    </w:rPr>
  </w:style>
  <w:style w:type="character" w:customStyle="1" w:styleId="873">
    <w:name w:val="标准正文 Char"/>
    <w:link w:val="633"/>
    <w:qFormat/>
    <w:uiPriority w:val="0"/>
    <w:rPr>
      <w:rFonts w:ascii="Times New Roman" w:hAnsi="Times New Roman" w:eastAsia="宋体" w:cs="Times New Roman"/>
      <w:sz w:val="24"/>
      <w:szCs w:val="24"/>
    </w:rPr>
  </w:style>
  <w:style w:type="paragraph" w:customStyle="1" w:styleId="874">
    <w:name w:val="样式_杭州市局"/>
    <w:basedOn w:val="1"/>
    <w:qFormat/>
    <w:uiPriority w:val="0"/>
    <w:pPr>
      <w:adjustRightInd w:val="0"/>
      <w:ind w:firstLine="200" w:firstLineChars="200"/>
    </w:pPr>
    <w:rPr>
      <w:rFonts w:ascii="仿宋" w:hAnsi="仿宋" w:eastAsia="仿宋" w:cs="黑体"/>
      <w:sz w:val="28"/>
      <w:szCs w:val="28"/>
    </w:rPr>
  </w:style>
  <w:style w:type="paragraph" w:customStyle="1" w:styleId="875">
    <w:name w:val="！正文（四号字）"/>
    <w:link w:val="876"/>
    <w:qFormat/>
    <w:uiPriority w:val="0"/>
    <w:pPr>
      <w:snapToGrid w:val="0"/>
      <w:spacing w:before="211"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6">
    <w:name w:val="！正文（四号字） Char"/>
    <w:link w:val="875"/>
    <w:qFormat/>
    <w:uiPriority w:val="0"/>
    <w:rPr>
      <w:rFonts w:ascii="等线" w:hAnsi="等线" w:eastAsia="仿宋_GB2312" w:cs="黑体"/>
      <w:sz w:val="24"/>
      <w:szCs w:val="28"/>
    </w:rPr>
  </w:style>
  <w:style w:type="table" w:customStyle="1" w:styleId="877">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78">
    <w:name w:val="正文1 Char Char"/>
    <w:link w:val="374"/>
    <w:qFormat/>
    <w:locked/>
    <w:uiPriority w:val="0"/>
    <w:rPr>
      <w:rFonts w:ascii="仿宋_GB2312" w:hAnsi="Courier New" w:eastAsia="仿宋_GB2312" w:cs="Times New Roman"/>
      <w:kern w:val="28"/>
      <w:sz w:val="24"/>
      <w:szCs w:val="24"/>
    </w:rPr>
  </w:style>
  <w:style w:type="character" w:customStyle="1" w:styleId="879">
    <w:name w:val="段 Char"/>
    <w:link w:val="376"/>
    <w:qFormat/>
    <w:locked/>
    <w:uiPriority w:val="0"/>
    <w:rPr>
      <w:rFonts w:ascii="宋体" w:hAnsi="Times New Roman" w:eastAsia="宋体" w:cs="Times New Roman"/>
      <w:kern w:val="0"/>
      <w:szCs w:val="20"/>
    </w:rPr>
  </w:style>
  <w:style w:type="paragraph" w:customStyle="1" w:styleId="880">
    <w:name w:val="Char Char Char Char Char Char2 Char Char Char Char"/>
    <w:basedOn w:val="1"/>
    <w:qFormat/>
    <w:uiPriority w:val="0"/>
    <w:rPr>
      <w:rFonts w:ascii="Times New Roman" w:hAnsi="Times New Roman" w:eastAsia="宋体" w:cs="Times New Roman"/>
      <w:szCs w:val="24"/>
    </w:rPr>
  </w:style>
  <w:style w:type="character" w:customStyle="1" w:styleId="881">
    <w:name w:val="正文(首行缩进) Char"/>
    <w:link w:val="882"/>
    <w:qFormat/>
    <w:locked/>
    <w:uiPriority w:val="0"/>
    <w:rPr>
      <w:rFonts w:ascii="Arial" w:hAnsi="Arial" w:cs="Arial"/>
      <w:szCs w:val="24"/>
    </w:rPr>
  </w:style>
  <w:style w:type="paragraph" w:customStyle="1" w:styleId="882">
    <w:name w:val="正文(首行缩进)"/>
    <w:basedOn w:val="1"/>
    <w:next w:val="1"/>
    <w:link w:val="881"/>
    <w:qFormat/>
    <w:uiPriority w:val="0"/>
    <w:pPr>
      <w:snapToGrid w:val="0"/>
      <w:spacing w:before="10" w:line="360" w:lineRule="auto"/>
      <w:ind w:firstLine="482"/>
    </w:pPr>
    <w:rPr>
      <w:rFonts w:ascii="Arial" w:hAnsi="Arial" w:cs="Arial"/>
      <w:szCs w:val="24"/>
    </w:rPr>
  </w:style>
  <w:style w:type="paragraph" w:customStyle="1" w:styleId="883">
    <w:name w:val="条目2"/>
    <w:basedOn w:val="33"/>
    <w:qFormat/>
    <w:uiPriority w:val="0"/>
    <w:pPr>
      <w:tabs>
        <w:tab w:val="left" w:pos="420"/>
      </w:tabs>
      <w:adjustRightInd/>
      <w:spacing w:line="360" w:lineRule="auto"/>
      <w:ind w:left="420" w:hanging="420"/>
    </w:pPr>
    <w:rPr>
      <w:rFonts w:cs="Courier New"/>
      <w:snapToGrid/>
      <w:color w:val="000000"/>
      <w:sz w:val="24"/>
    </w:rPr>
  </w:style>
  <w:style w:type="character" w:customStyle="1" w:styleId="884">
    <w:name w:val="样式1 Char"/>
    <w:link w:val="512"/>
    <w:qFormat/>
    <w:locked/>
    <w:uiPriority w:val="0"/>
    <w:rPr>
      <w:rFonts w:ascii="宋体" w:hAnsi="宋体" w:eastAsia="宋体" w:cs="Times New Roman"/>
      <w:kern w:val="0"/>
      <w:sz w:val="24"/>
      <w:szCs w:val="20"/>
    </w:rPr>
  </w:style>
  <w:style w:type="paragraph" w:customStyle="1" w:styleId="885">
    <w:name w:val="HD正文1"/>
    <w:basedOn w:val="1"/>
    <w:next w:val="25"/>
    <w:qFormat/>
    <w:uiPriority w:val="0"/>
    <w:pPr>
      <w:spacing w:line="360" w:lineRule="auto"/>
      <w:ind w:firstLine="480" w:firstLineChars="200"/>
    </w:pPr>
    <w:rPr>
      <w:rFonts w:ascii="宋体" w:hAnsi="宋体" w:eastAsia="宋体" w:cs="Times New Roman"/>
      <w:sz w:val="24"/>
      <w:szCs w:val="21"/>
    </w:rPr>
  </w:style>
  <w:style w:type="paragraph" w:customStyle="1" w:styleId="886">
    <w:name w:val="正文00"/>
    <w:basedOn w:val="1"/>
    <w:qFormat/>
    <w:uiPriority w:val="0"/>
    <w:pPr>
      <w:tabs>
        <w:tab w:val="left" w:pos="0"/>
      </w:tabs>
      <w:spacing w:line="360" w:lineRule="auto"/>
      <w:ind w:firstLine="480" w:firstLineChars="200"/>
    </w:pPr>
    <w:rPr>
      <w:rFonts w:ascii="宋体" w:hAnsi="宋体" w:eastAsia="宋体" w:cs="Times New Roman"/>
      <w:kern w:val="28"/>
      <w:sz w:val="24"/>
      <w:szCs w:val="24"/>
    </w:rPr>
  </w:style>
  <w:style w:type="paragraph" w:customStyle="1" w:styleId="887">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8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889">
    <w:name w:val="Char Char Char Char Char Char Char Char Char Char Char"/>
    <w:basedOn w:val="1"/>
    <w:qFormat/>
    <w:uiPriority w:val="0"/>
    <w:rPr>
      <w:rFonts w:ascii="Tahoma" w:hAnsi="Tahoma" w:eastAsia="宋体" w:cs="Times New Roman"/>
      <w:sz w:val="24"/>
      <w:szCs w:val="20"/>
    </w:rPr>
  </w:style>
  <w:style w:type="paragraph" w:customStyle="1" w:styleId="890">
    <w:name w:val="Char Char 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891">
    <w:name w:val="正文文本 23"/>
    <w:basedOn w:val="1"/>
    <w:qFormat/>
    <w:uiPriority w:val="0"/>
    <w:pPr>
      <w:widowControl/>
      <w:overflowPunct w:val="0"/>
      <w:autoSpaceDE w:val="0"/>
      <w:autoSpaceDN w:val="0"/>
      <w:adjustRightInd w:val="0"/>
      <w:ind w:left="720" w:hanging="720"/>
    </w:pPr>
    <w:rPr>
      <w:rFonts w:ascii="Times New Roman" w:hAnsi="Times New Roman" w:eastAsia="宋体" w:cs="Times New Roman"/>
      <w:kern w:val="0"/>
      <w:sz w:val="24"/>
      <w:szCs w:val="20"/>
      <w:lang w:val="en-GB"/>
    </w:rPr>
  </w:style>
  <w:style w:type="paragraph" w:customStyle="1" w:styleId="892">
    <w:name w:val="条目3"/>
    <w:basedOn w:val="33"/>
    <w:qFormat/>
    <w:uiPriority w:val="0"/>
    <w:pPr>
      <w:adjustRightInd/>
      <w:spacing w:line="360" w:lineRule="auto"/>
    </w:pPr>
    <w:rPr>
      <w:rFonts w:cs="Courier New"/>
      <w:snapToGrid/>
      <w:color w:val="000000"/>
      <w:sz w:val="24"/>
    </w:rPr>
  </w:style>
  <w:style w:type="paragraph" w:customStyle="1" w:styleId="893">
    <w:name w:val="标准段落"/>
    <w:basedOn w:val="1"/>
    <w:qFormat/>
    <w:uiPriority w:val="0"/>
    <w:pPr>
      <w:tabs>
        <w:tab w:val="left" w:pos="709"/>
      </w:tabs>
      <w:topLinePunct/>
      <w:autoSpaceDE w:val="0"/>
      <w:autoSpaceDN w:val="0"/>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4">
    <w:name w:val="列出段落6"/>
    <w:basedOn w:val="1"/>
    <w:qFormat/>
    <w:uiPriority w:val="0"/>
    <w:pPr>
      <w:spacing w:line="360" w:lineRule="auto"/>
      <w:ind w:firstLine="420" w:firstLineChars="200"/>
    </w:pPr>
    <w:rPr>
      <w:rFonts w:ascii="Calibri" w:hAnsi="Calibri" w:eastAsia="宋体" w:cs="Times New Roman"/>
      <w:sz w:val="24"/>
    </w:rPr>
  </w:style>
  <w:style w:type="paragraph" w:customStyle="1" w:styleId="895">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6">
    <w:name w:val="DN-正文 Char"/>
    <w:link w:val="897"/>
    <w:qFormat/>
    <w:locked/>
    <w:uiPriority w:val="0"/>
    <w:rPr>
      <w:rFonts w:ascii="Arial" w:hAnsi="Arial" w:cs="Arial"/>
      <w:szCs w:val="24"/>
    </w:rPr>
  </w:style>
  <w:style w:type="paragraph" w:customStyle="1" w:styleId="897">
    <w:name w:val="DN-正文"/>
    <w:basedOn w:val="16"/>
    <w:link w:val="896"/>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898">
    <w:name w:val="Char Char1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99">
    <w:name w:val="文字列表"/>
    <w:basedOn w:val="60"/>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0">
    <w:name w:val="批注主题 Char Char"/>
    <w:basedOn w:val="20"/>
    <w:next w:val="20"/>
    <w:qFormat/>
    <w:uiPriority w:val="0"/>
    <w:pPr>
      <w:adjustRightInd/>
    </w:pPr>
    <w:rPr>
      <w:rFonts w:ascii="仿宋_GB2312"/>
      <w:b/>
      <w:bCs/>
      <w:sz w:val="32"/>
      <w:szCs w:val="32"/>
    </w:rPr>
  </w:style>
  <w:style w:type="character" w:customStyle="1" w:styleId="901">
    <w:name w:val="普通正文 Char Char"/>
    <w:link w:val="496"/>
    <w:qFormat/>
    <w:locked/>
    <w:uiPriority w:val="0"/>
    <w:rPr>
      <w:rFonts w:ascii="Arial" w:hAnsi="Arial" w:eastAsia="宋体" w:cs="Times New Roman"/>
      <w:kern w:val="0"/>
      <w:sz w:val="24"/>
      <w:szCs w:val="24"/>
    </w:rPr>
  </w:style>
  <w:style w:type="paragraph" w:customStyle="1" w:styleId="902">
    <w:name w:val="无间隔3"/>
    <w:qFormat/>
    <w:uiPriority w:val="0"/>
    <w:rPr>
      <w:rFonts w:ascii="Calibri" w:hAnsi="Calibri" w:eastAsia="宋体" w:cs="Times New Roman"/>
      <w:sz w:val="22"/>
      <w:szCs w:val="22"/>
      <w:lang w:val="en-US" w:eastAsia="en-US" w:bidi="ar-SA"/>
    </w:rPr>
  </w:style>
  <w:style w:type="character" w:customStyle="1" w:styleId="903">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4">
    <w:name w:val="c1"/>
    <w:qFormat/>
    <w:uiPriority w:val="0"/>
    <w:rPr>
      <w:rFonts w:hint="eastAsia" w:ascii="仿宋_GB2312" w:hAnsi="Arial" w:eastAsia="宋体" w:cs="Arial"/>
      <w:b/>
      <w:snapToGrid w:val="0"/>
      <w:kern w:val="2"/>
      <w:sz w:val="21"/>
      <w:szCs w:val="21"/>
      <w:lang w:val="en-US" w:eastAsia="zh-CN" w:bidi="ar-SA"/>
    </w:rPr>
  </w:style>
  <w:style w:type="character" w:customStyle="1" w:styleId="905">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6">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7">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08">
    <w:name w:val="标题 8 Char1"/>
    <w:qFormat/>
    <w:uiPriority w:val="0"/>
    <w:rPr>
      <w:rFonts w:hint="default" w:ascii="Cambria" w:hAnsi="Cambria" w:eastAsia="宋体" w:cs="Times New Roman"/>
      <w:snapToGrid w:val="0"/>
      <w:kern w:val="2"/>
      <w:sz w:val="24"/>
      <w:szCs w:val="24"/>
    </w:rPr>
  </w:style>
  <w:style w:type="character" w:customStyle="1" w:styleId="909">
    <w:name w:val="标题 7 Char1"/>
    <w:qFormat/>
    <w:uiPriority w:val="0"/>
    <w:rPr>
      <w:rFonts w:hint="default" w:ascii="Times New Roman" w:hAnsi="Times New Roman" w:eastAsia="黑体" w:cs="Arial"/>
      <w:b/>
      <w:bCs/>
      <w:snapToGrid w:val="0"/>
      <w:kern w:val="2"/>
      <w:sz w:val="24"/>
      <w:szCs w:val="24"/>
    </w:rPr>
  </w:style>
  <w:style w:type="character" w:customStyle="1" w:styleId="910">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1">
    <w:name w:val="标题 9 Char1"/>
    <w:qFormat/>
    <w:uiPriority w:val="0"/>
    <w:rPr>
      <w:rFonts w:hint="default" w:ascii="Cambria" w:hAnsi="Cambria" w:eastAsia="宋体" w:cs="Times New Roman"/>
      <w:snapToGrid w:val="0"/>
      <w:kern w:val="2"/>
      <w:sz w:val="21"/>
      <w:szCs w:val="21"/>
    </w:rPr>
  </w:style>
  <w:style w:type="character" w:customStyle="1" w:styleId="912">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3">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4">
    <w:name w:val="标题 3 Char1"/>
    <w:semiHidden/>
    <w:qFormat/>
    <w:locked/>
    <w:uiPriority w:val="0"/>
    <w:rPr>
      <w:rFonts w:ascii="Times New Roman" w:hAnsi="Times New Roman" w:eastAsia="宋体" w:cs="Times New Roman"/>
      <w:b/>
      <w:bCs/>
      <w:sz w:val="32"/>
      <w:szCs w:val="32"/>
    </w:rPr>
  </w:style>
  <w:style w:type="character" w:customStyle="1" w:styleId="915">
    <w:name w:val="标题 5 Char1"/>
    <w:qFormat/>
    <w:uiPriority w:val="0"/>
    <w:rPr>
      <w:rFonts w:hint="default" w:ascii="Times New Roman" w:hAnsi="Times New Roman" w:eastAsia="黑体" w:cs="Arial"/>
      <w:b/>
      <w:bCs/>
      <w:snapToGrid w:val="0"/>
      <w:kern w:val="2"/>
      <w:sz w:val="28"/>
      <w:szCs w:val="28"/>
    </w:rPr>
  </w:style>
  <w:style w:type="character" w:customStyle="1" w:styleId="916">
    <w:name w:val="未用 Char3"/>
    <w:qFormat/>
    <w:uiPriority w:val="0"/>
    <w:rPr>
      <w:rFonts w:hint="default" w:ascii="Arial" w:hAnsi="Arial" w:eastAsia="黑体" w:cs="Arial"/>
      <w:kern w:val="2"/>
      <w:sz w:val="21"/>
      <w:szCs w:val="21"/>
      <w:lang w:bidi="ar-SA"/>
    </w:rPr>
  </w:style>
  <w:style w:type="character" w:customStyle="1" w:styleId="917">
    <w:name w:val="PI Char3"/>
    <w:qFormat/>
    <w:uiPriority w:val="0"/>
    <w:rPr>
      <w:rFonts w:hint="eastAsia" w:ascii="宋体" w:hAnsi="宋体" w:eastAsia="宋体"/>
      <w:kern w:val="2"/>
      <w:sz w:val="24"/>
      <w:szCs w:val="24"/>
    </w:rPr>
  </w:style>
  <w:style w:type="character" w:customStyle="1" w:styleId="918">
    <w:name w:val="图名 Char3"/>
    <w:qFormat/>
    <w:uiPriority w:val="0"/>
    <w:rPr>
      <w:rFonts w:hint="default" w:ascii="Arial" w:hAnsi="Arial" w:eastAsia="黑体" w:cs="Arial"/>
      <w:kern w:val="2"/>
      <w:sz w:val="24"/>
      <w:szCs w:val="24"/>
      <w:lang w:bidi="ar-SA"/>
    </w:rPr>
  </w:style>
  <w:style w:type="character" w:customStyle="1" w:styleId="919">
    <w:name w:val="表名 Char3"/>
    <w:qFormat/>
    <w:uiPriority w:val="0"/>
    <w:rPr>
      <w:rFonts w:hint="eastAsia" w:ascii="宋体" w:hAnsi="宋体" w:eastAsia="宋体"/>
      <w:b/>
      <w:bCs/>
      <w:kern w:val="2"/>
      <w:sz w:val="24"/>
      <w:szCs w:val="24"/>
      <w:lang w:bidi="ar-SA"/>
    </w:rPr>
  </w:style>
  <w:style w:type="character" w:customStyle="1" w:styleId="920">
    <w:name w:val="Heading sql Char3"/>
    <w:qFormat/>
    <w:uiPriority w:val="0"/>
    <w:rPr>
      <w:rFonts w:hint="default" w:ascii="Arial" w:hAnsi="Arial" w:eastAsia="黑体" w:cs="Arial"/>
      <w:b/>
      <w:bCs/>
      <w:kern w:val="2"/>
      <w:sz w:val="28"/>
      <w:szCs w:val="28"/>
      <w:lang w:val="zh-CN" w:bidi="ar-SA"/>
    </w:rPr>
  </w:style>
  <w:style w:type="character" w:customStyle="1" w:styleId="921">
    <w:name w:val="H6 Char3"/>
    <w:qFormat/>
    <w:uiPriority w:val="0"/>
    <w:rPr>
      <w:rFonts w:hint="default" w:ascii="Arial" w:hAnsi="Arial" w:eastAsia="黑体" w:cs="Arial"/>
      <w:b/>
      <w:bCs/>
      <w:kern w:val="2"/>
      <w:sz w:val="24"/>
      <w:szCs w:val="24"/>
      <w:lang w:bidi="ar-SA"/>
    </w:rPr>
  </w:style>
  <w:style w:type="character" w:customStyle="1" w:styleId="922">
    <w:name w:val="正文首行缩进 Char Char"/>
    <w:qFormat/>
    <w:uiPriority w:val="0"/>
    <w:rPr>
      <w:rFonts w:hint="eastAsia" w:ascii="宋体" w:hAnsi="宋体" w:eastAsia="宋体"/>
      <w:kern w:val="2"/>
      <w:sz w:val="21"/>
      <w:szCs w:val="24"/>
      <w:lang w:val="en-US" w:eastAsia="zh-CN" w:bidi="ar-SA"/>
    </w:rPr>
  </w:style>
  <w:style w:type="character" w:customStyle="1" w:styleId="923">
    <w:name w:val="签名 Char Char"/>
    <w:qFormat/>
    <w:uiPriority w:val="0"/>
    <w:rPr>
      <w:rFonts w:hint="default" w:ascii="Arial" w:hAnsi="Arial" w:eastAsia="宋体" w:cs="Arial"/>
      <w:snapToGrid w:val="0"/>
      <w:kern w:val="0"/>
      <w:szCs w:val="24"/>
      <w:lang w:bidi="ar-SA"/>
    </w:rPr>
  </w:style>
  <w:style w:type="character" w:customStyle="1" w:styleId="924">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5">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6">
    <w:name w:val="称呼 Char Char"/>
    <w:qFormat/>
    <w:uiPriority w:val="0"/>
    <w:rPr>
      <w:rFonts w:hint="default" w:ascii="Arial" w:hAnsi="Arial" w:eastAsia="宋体" w:cs="Arial"/>
      <w:b/>
      <w:bCs/>
      <w:snapToGrid w:val="0"/>
      <w:kern w:val="0"/>
      <w:szCs w:val="24"/>
      <w:lang w:bidi="ar-SA"/>
    </w:rPr>
  </w:style>
  <w:style w:type="character" w:customStyle="1" w:styleId="927">
    <w:name w:val="正文文本缩进 Char3"/>
    <w:basedOn w:val="69"/>
    <w:semiHidden/>
    <w:qFormat/>
    <w:uiPriority w:val="99"/>
    <w:rPr>
      <w:rFonts w:hint="default" w:ascii="Arial" w:hAnsi="Arial" w:eastAsia="黑体" w:cs="Arial"/>
      <w:snapToGrid w:val="0"/>
      <w:kern w:val="2"/>
      <w:sz w:val="21"/>
      <w:szCs w:val="24"/>
    </w:rPr>
  </w:style>
  <w:style w:type="character" w:customStyle="1" w:styleId="928">
    <w:name w:val="正文文本 Char3"/>
    <w:basedOn w:val="69"/>
    <w:semiHidden/>
    <w:qFormat/>
    <w:uiPriority w:val="99"/>
    <w:rPr>
      <w:rFonts w:hint="default" w:ascii="Arial" w:hAnsi="Arial" w:eastAsia="黑体" w:cs="Arial"/>
      <w:snapToGrid w:val="0"/>
      <w:kern w:val="2"/>
      <w:sz w:val="21"/>
      <w:szCs w:val="24"/>
    </w:rPr>
  </w:style>
  <w:style w:type="character" w:customStyle="1" w:styleId="929">
    <w:name w:val="标题 Char2"/>
    <w:basedOn w:val="69"/>
    <w:qFormat/>
    <w:uiPriority w:val="10"/>
    <w:rPr>
      <w:rFonts w:hint="default" w:eastAsia="黑体" w:asciiTheme="majorHAnsi" w:hAnsiTheme="majorHAnsi" w:cstheme="majorBidi"/>
      <w:b/>
      <w:bCs/>
      <w:snapToGrid w:val="0"/>
      <w:kern w:val="2"/>
      <w:sz w:val="32"/>
      <w:szCs w:val="32"/>
    </w:rPr>
  </w:style>
  <w:style w:type="paragraph" w:customStyle="1" w:styleId="930">
    <w:name w:val="_Style 657"/>
    <w:basedOn w:val="1"/>
    <w:qFormat/>
    <w:uiPriority w:val="0"/>
    <w:pPr>
      <w:snapToGrid w:val="0"/>
      <w:spacing w:line="360" w:lineRule="auto"/>
    </w:pPr>
    <w:rPr>
      <w:rFonts w:ascii="Arial" w:hAnsi="Arial" w:eastAsia="黑体" w:cs="Times New Roman"/>
      <w:snapToGrid w:val="0"/>
      <w:kern w:val="0"/>
      <w:sz w:val="20"/>
      <w:szCs w:val="21"/>
    </w:rPr>
  </w:style>
  <w:style w:type="paragraph" w:customStyle="1" w:styleId="93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932">
    <w:name w:val="[Normal]"/>
    <w:qFormat/>
    <w:uiPriority w:val="0"/>
    <w:rPr>
      <w:rFonts w:ascii="宋体" w:hAnsi="宋体" w:eastAsia="宋体" w:cs="Times New Roman"/>
      <w:sz w:val="24"/>
      <w:szCs w:val="22"/>
      <w:lang w:val="zh-CN" w:eastAsia="zh-CN" w:bidi="ar-SA"/>
    </w:rPr>
  </w:style>
  <w:style w:type="paragraph" w:customStyle="1" w:styleId="933">
    <w:name w:val="本文正文文本"/>
    <w:basedOn w:val="1"/>
    <w:qFormat/>
    <w:uiPriority w:val="0"/>
    <w:pPr>
      <w:adjustRightInd/>
      <w:spacing w:line="360" w:lineRule="auto"/>
      <w:ind w:firstLine="480" w:firstLineChars="200"/>
    </w:pPr>
    <w:rPr>
      <w:rFonts w:ascii="宋体" w:hAnsi="宋体" w:cs="宋体"/>
      <w:sz w:val="24"/>
      <w:szCs w:val="20"/>
    </w:rPr>
  </w:style>
  <w:style w:type="paragraph" w:customStyle="1" w:styleId="934">
    <w:name w:val="GW-正文"/>
    <w:qFormat/>
    <w:uiPriority w:val="0"/>
    <w:pPr>
      <w:spacing w:line="360" w:lineRule="auto"/>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footer8.xml" Type="http://schemas.openxmlformats.org/officeDocument/2006/relationships/footer"/><Relationship Id="rId18" Target="footer9.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customXml/item2.xml" Type="http://schemas.openxmlformats.org/officeDocument/2006/relationships/customXml"/><Relationship Id="rId23"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B8738-B03B-413D-B900-FEE6809823C5}">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6831</Words>
  <Characters>38942</Characters>
  <Lines>324</Lines>
  <Paragraphs>91</Paragraphs>
  <TotalTime>36</TotalTime>
  <ScaleCrop>false</ScaleCrop>
  <LinksUpToDate>false</LinksUpToDate>
  <CharactersWithSpaces>45682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2021-03-04T02:54:00Z</dcterms:created>
  <dc:creator>mb</dc:creator>
  <cp:lastModifiedBy>Administrator</cp:lastModifiedBy>
  <dcterms:modified xsi:type="dcterms:W3CDTF">2021-12-08T05:47:47Z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F0D3B767158F4509A37E4175EB2E56E9</vt:lpwstr>
  </property>
</Properties>
</file>