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360" w:lineRule="auto"/>
        <w:jc w:val="center"/>
        <w:rPr>
          <w:rFonts w:hint="eastAsia" w:ascii="仿宋_GB2312" w:hAnsi="仿宋" w:eastAsia="仿宋_GB2312" w:cs="仿宋_GB2312"/>
          <w:b/>
          <w:sz w:val="24"/>
          <w:szCs w:val="24"/>
        </w:rPr>
      </w:pPr>
    </w:p>
    <w:p>
      <w:pPr>
        <w:adjustRightInd w:val="0"/>
        <w:spacing w:line="360" w:lineRule="auto"/>
        <w:jc w:val="center"/>
        <w:rPr>
          <w:rFonts w:ascii="仿宋_GB2312" w:hAnsi="仿宋" w:eastAsia="仿宋_GB2312" w:cs="仿宋_GB2312"/>
          <w:b/>
          <w:sz w:val="24"/>
          <w:szCs w:val="24"/>
        </w:rPr>
      </w:pPr>
    </w:p>
    <w:p>
      <w:pPr>
        <w:spacing w:line="360" w:lineRule="auto"/>
        <w:jc w:val="center"/>
        <w:rPr>
          <w:rFonts w:ascii="仿宋_GB2312" w:hAnsi="仿宋" w:eastAsia="仿宋_GB2312" w:cs="仿宋_GB2312"/>
          <w:b/>
          <w:sz w:val="44"/>
          <w:szCs w:val="44"/>
        </w:rPr>
      </w:pPr>
    </w:p>
    <w:p>
      <w:pPr>
        <w:adjustRightInd w:val="0"/>
        <w:spacing w:line="360" w:lineRule="auto"/>
        <w:jc w:val="center"/>
        <w:rPr>
          <w:rFonts w:ascii="仿宋_GB2312" w:hAnsi="仿宋" w:eastAsia="仿宋_GB2312" w:cs="仿宋_GB2312"/>
          <w:b/>
          <w:sz w:val="44"/>
          <w:szCs w:val="44"/>
        </w:rPr>
      </w:pPr>
      <w:r>
        <w:rPr>
          <w:rFonts w:hint="eastAsia" w:ascii="仿宋_GB2312" w:hAnsi="仿宋" w:eastAsia="仿宋_GB2312" w:cs="仿宋_GB2312"/>
          <w:b/>
          <w:sz w:val="44"/>
          <w:szCs w:val="44"/>
        </w:rPr>
        <w:t xml:space="preserve"> </w:t>
      </w:r>
    </w:p>
    <w:p>
      <w:pPr>
        <w:spacing w:line="360" w:lineRule="auto"/>
        <w:jc w:val="center"/>
        <w:rPr>
          <w:rFonts w:hint="eastAsia" w:ascii="仿宋_GB2312" w:hAnsi="仿宋" w:eastAsia="仿宋_GB2312" w:cs="仿宋_GB2312"/>
          <w:sz w:val="48"/>
          <w:szCs w:val="48"/>
          <w:lang w:eastAsia="zh-CN"/>
        </w:rPr>
      </w:pPr>
      <w:r>
        <w:rPr>
          <w:rFonts w:hint="eastAsia" w:ascii="仿宋_GB2312" w:hAnsi="仿宋" w:eastAsia="仿宋_GB2312" w:cs="仿宋_GB2312"/>
          <w:sz w:val="48"/>
          <w:szCs w:val="48"/>
          <w:lang w:eastAsia="zh-CN"/>
        </w:rPr>
        <w:t>杭州市</w:t>
      </w:r>
      <w:r>
        <w:rPr>
          <w:rFonts w:ascii="仿宋_GB2312" w:hAnsi="仿宋" w:eastAsia="仿宋_GB2312" w:cs="仿宋_GB2312"/>
          <w:sz w:val="48"/>
          <w:szCs w:val="48"/>
        </w:rPr>
        <w:t>临安区锦南新城管理委员会天目医药港化工集聚区智慧园区数字化建设</w:t>
      </w:r>
      <w:r>
        <w:rPr>
          <w:rFonts w:hint="eastAsia" w:ascii="仿宋_GB2312" w:hAnsi="仿宋" w:eastAsia="仿宋_GB2312" w:cs="仿宋_GB2312"/>
          <w:sz w:val="48"/>
          <w:szCs w:val="48"/>
          <w:lang w:eastAsia="zh-CN"/>
        </w:rPr>
        <w:t>项目</w:t>
      </w:r>
    </w:p>
    <w:p>
      <w:pPr>
        <w:spacing w:line="360" w:lineRule="auto"/>
        <w:jc w:val="center"/>
        <w:rPr>
          <w:rFonts w:ascii="仿宋_GB2312" w:hAnsi="仿宋" w:eastAsia="仿宋_GB2312" w:cs="仿宋_GB2312"/>
          <w:b/>
          <w:sz w:val="72"/>
          <w:szCs w:val="72"/>
        </w:rPr>
      </w:pPr>
      <w:r>
        <w:rPr>
          <w:rFonts w:hint="eastAsia" w:ascii="仿宋_GB2312" w:hAnsi="仿宋" w:eastAsia="仿宋_GB2312" w:cs="仿宋_GB2312"/>
          <w:b/>
          <w:sz w:val="72"/>
          <w:szCs w:val="72"/>
        </w:rPr>
        <w:t>招标文件</w:t>
      </w:r>
    </w:p>
    <w:p>
      <w:pPr>
        <w:spacing w:line="360" w:lineRule="auto"/>
        <w:jc w:val="center"/>
        <w:rPr>
          <w:rFonts w:ascii="仿宋_GB2312" w:hAnsi="仿宋" w:eastAsia="仿宋_GB2312" w:cs="仿宋_GB2312"/>
          <w:b/>
          <w:sz w:val="44"/>
          <w:szCs w:val="44"/>
        </w:rPr>
      </w:pPr>
      <w:r>
        <w:rPr>
          <w:rFonts w:hint="eastAsia" w:ascii="仿宋_GB2312" w:hAnsi="仿宋" w:eastAsia="仿宋_GB2312" w:cs="仿宋_GB2312"/>
          <w:b/>
          <w:sz w:val="44"/>
          <w:szCs w:val="44"/>
        </w:rPr>
        <w:t xml:space="preserve"> （电子招投标）</w:t>
      </w:r>
    </w:p>
    <w:p>
      <w:pPr>
        <w:adjustRightInd w:val="0"/>
        <w:spacing w:line="360" w:lineRule="auto"/>
        <w:jc w:val="center"/>
        <w:rPr>
          <w:rFonts w:ascii="仿宋_GB2312" w:hAnsi="仿宋" w:eastAsia="仿宋_GB2312" w:cs="仿宋_GB2312"/>
          <w:b/>
          <w:sz w:val="24"/>
          <w:szCs w:val="24"/>
        </w:rPr>
      </w:pPr>
    </w:p>
    <w:p>
      <w:pPr>
        <w:adjustRightInd w:val="0"/>
        <w:snapToGrid w:val="0"/>
        <w:spacing w:line="360" w:lineRule="auto"/>
        <w:jc w:val="center"/>
        <w:rPr>
          <w:rFonts w:hint="default" w:ascii="仿宋_GB2312" w:hAnsi="仿宋" w:eastAsia="仿宋_GB2312" w:cs="仿宋_GB2312"/>
          <w:sz w:val="30"/>
          <w:szCs w:val="30"/>
          <w:lang w:val="en-US" w:eastAsia="zh-CN"/>
        </w:rPr>
      </w:pPr>
      <w:r>
        <w:rPr>
          <w:rFonts w:hint="eastAsia" w:ascii="仿宋_GB2312" w:hAnsi="仿宋" w:eastAsia="仿宋_GB2312" w:cs="仿宋_GB2312"/>
          <w:sz w:val="30"/>
          <w:szCs w:val="30"/>
        </w:rPr>
        <w:t>编号:</w:t>
      </w:r>
      <w:r>
        <w:rPr>
          <w:rFonts w:hint="eastAsia" w:ascii="仿宋_GB2312" w:hAnsi="仿宋" w:eastAsia="仿宋_GB2312" w:cs="仿宋_GB2312"/>
          <w:sz w:val="30"/>
          <w:szCs w:val="30"/>
          <w:lang w:val="en-US" w:eastAsia="zh-CN"/>
        </w:rPr>
        <w:t>LZC</w:t>
      </w:r>
      <w:r>
        <w:rPr>
          <w:rFonts w:hint="eastAsia" w:ascii="仿宋_GB2312" w:hAnsi="仿宋" w:eastAsia="仿宋_GB2312" w:cs="仿宋_GB2312"/>
          <w:sz w:val="30"/>
          <w:szCs w:val="30"/>
        </w:rPr>
        <w:t>-</w:t>
      </w:r>
      <w:r>
        <w:rPr>
          <w:rFonts w:hint="eastAsia" w:ascii="仿宋_GB2312" w:hAnsi="仿宋" w:eastAsia="仿宋_GB2312" w:cs="仿宋_GB2312"/>
          <w:sz w:val="30"/>
          <w:szCs w:val="30"/>
          <w:lang w:val="en-US" w:eastAsia="zh-CN"/>
        </w:rPr>
        <w:t>GK-</w:t>
      </w:r>
      <w:r>
        <w:rPr>
          <w:rFonts w:hint="eastAsia" w:ascii="仿宋_GB2312" w:hAnsi="仿宋" w:eastAsia="仿宋_GB2312" w:cs="仿宋_GB2312"/>
          <w:sz w:val="30"/>
          <w:szCs w:val="30"/>
        </w:rPr>
        <w:t>2021-</w:t>
      </w:r>
      <w:r>
        <w:rPr>
          <w:rFonts w:hint="eastAsia" w:ascii="仿宋_GB2312" w:hAnsi="仿宋" w:eastAsia="仿宋_GB2312" w:cs="仿宋_GB2312"/>
          <w:sz w:val="30"/>
          <w:szCs w:val="30"/>
          <w:lang w:val="en-US" w:eastAsia="zh-CN"/>
        </w:rPr>
        <w:t>10082</w:t>
      </w:r>
    </w:p>
    <w:p>
      <w:pPr>
        <w:spacing w:line="360" w:lineRule="auto"/>
        <w:rPr>
          <w:rFonts w:ascii="仿宋_GB2312" w:hAnsi="仿宋" w:eastAsia="仿宋_GB2312" w:cs="仿宋_GB2312"/>
          <w:sz w:val="28"/>
          <w:szCs w:val="20"/>
        </w:rPr>
      </w:pPr>
    </w:p>
    <w:p>
      <w:pPr>
        <w:adjustRightInd w:val="0"/>
        <w:spacing w:line="360" w:lineRule="auto"/>
        <w:jc w:val="center"/>
        <w:rPr>
          <w:rFonts w:ascii="仿宋_GB2312" w:hAnsi="仿宋" w:eastAsia="仿宋_GB2312" w:cs="仿宋_GB2312"/>
          <w:b/>
          <w:sz w:val="44"/>
          <w:szCs w:val="44"/>
        </w:rPr>
      </w:pPr>
      <w:r>
        <w:rPr>
          <w:rFonts w:hint="eastAsia" w:ascii="仿宋_GB2312" w:hAnsi="仿宋" w:eastAsia="仿宋_GB2312" w:cs="仿宋_GB2312"/>
          <w:b/>
          <w:sz w:val="44"/>
          <w:szCs w:val="44"/>
        </w:rPr>
        <w:t xml:space="preserve"> </w:t>
      </w:r>
    </w:p>
    <w:p>
      <w:pPr>
        <w:adjustRightInd w:val="0"/>
        <w:spacing w:line="360" w:lineRule="auto"/>
        <w:jc w:val="center"/>
        <w:rPr>
          <w:rFonts w:ascii="仿宋_GB2312" w:hAnsi="仿宋" w:eastAsia="仿宋_GB2312" w:cs="仿宋_GB2312"/>
          <w:b/>
          <w:sz w:val="44"/>
          <w:szCs w:val="44"/>
        </w:rPr>
      </w:pPr>
      <w:r>
        <w:rPr>
          <w:rFonts w:hint="eastAsia" w:ascii="仿宋_GB2312" w:hAnsi="仿宋" w:eastAsia="仿宋_GB2312" w:cs="仿宋_GB2312"/>
          <w:b/>
          <w:sz w:val="44"/>
          <w:szCs w:val="44"/>
        </w:rPr>
        <w:t xml:space="preserve"> </w:t>
      </w:r>
    </w:p>
    <w:p>
      <w:pPr>
        <w:adjustRightInd w:val="0"/>
        <w:spacing w:line="360" w:lineRule="auto"/>
        <w:jc w:val="center"/>
        <w:rPr>
          <w:rFonts w:ascii="仿宋_GB2312" w:hAnsi="仿宋" w:eastAsia="仿宋_GB2312" w:cs="仿宋_GB2312"/>
          <w:sz w:val="24"/>
          <w:szCs w:val="24"/>
        </w:rPr>
      </w:pPr>
    </w:p>
    <w:p>
      <w:pPr>
        <w:adjustRightInd w:val="0"/>
        <w:spacing w:line="360" w:lineRule="auto"/>
        <w:jc w:val="center"/>
        <w:rPr>
          <w:rFonts w:ascii="仿宋_GB2312" w:hAnsi="仿宋" w:eastAsia="仿宋_GB2312" w:cs="仿宋_GB2312"/>
          <w:sz w:val="24"/>
          <w:szCs w:val="24"/>
        </w:rPr>
      </w:pPr>
    </w:p>
    <w:p>
      <w:pPr>
        <w:adjustRightInd w:val="0"/>
        <w:spacing w:line="360" w:lineRule="auto"/>
        <w:jc w:val="center"/>
        <w:rPr>
          <w:rFonts w:ascii="仿宋_GB2312" w:hAnsi="仿宋" w:eastAsia="仿宋_GB2312" w:cs="仿宋_GB2312"/>
          <w:sz w:val="24"/>
          <w:szCs w:val="24"/>
        </w:rPr>
      </w:pPr>
    </w:p>
    <w:p>
      <w:pPr>
        <w:adjustRightInd w:val="0"/>
        <w:spacing w:line="360" w:lineRule="auto"/>
        <w:rPr>
          <w:rFonts w:ascii="仿宋_GB2312" w:hAnsi="仿宋" w:eastAsia="仿宋_GB2312" w:cs="仿宋_GB2312"/>
          <w:sz w:val="32"/>
          <w:szCs w:val="32"/>
        </w:rPr>
      </w:pPr>
      <w:r>
        <w:rPr>
          <w:rFonts w:hint="eastAsia" w:ascii="仿宋_GB2312" w:hAnsi="仿宋" w:eastAsia="仿宋_GB2312" w:cs="仿宋_GB2312"/>
          <w:sz w:val="24"/>
          <w:szCs w:val="24"/>
        </w:rPr>
        <w:t xml:space="preserve">                                      </w:t>
      </w:r>
    </w:p>
    <w:p>
      <w:pPr>
        <w:adjustRightInd w:val="0"/>
        <w:spacing w:line="360" w:lineRule="auto"/>
        <w:jc w:val="center"/>
        <w:rPr>
          <w:rFonts w:hint="eastAsia" w:ascii="仿宋_GB2312" w:hAnsi="仿宋" w:eastAsia="仿宋_GB2312" w:cs="仿宋_GB2312"/>
          <w:bCs/>
          <w:sz w:val="32"/>
          <w:szCs w:val="32"/>
        </w:rPr>
      </w:pPr>
      <w:r>
        <w:rPr>
          <w:rFonts w:hint="eastAsia" w:ascii="仿宋_GB2312" w:hAnsi="仿宋" w:eastAsia="仿宋_GB2312" w:cs="仿宋_GB2312"/>
          <w:bCs/>
          <w:sz w:val="32"/>
          <w:szCs w:val="32"/>
          <w:lang w:eastAsia="zh-CN"/>
        </w:rPr>
        <w:t>杭州市</w:t>
      </w:r>
      <w:r>
        <w:rPr>
          <w:rFonts w:hint="eastAsia" w:ascii="仿宋_GB2312" w:hAnsi="仿宋" w:eastAsia="仿宋_GB2312" w:cs="仿宋_GB2312"/>
          <w:bCs/>
          <w:sz w:val="32"/>
          <w:szCs w:val="32"/>
        </w:rPr>
        <w:t>临安区锦南新城管理委员会</w:t>
      </w:r>
    </w:p>
    <w:p>
      <w:pPr>
        <w:adjustRightInd w:val="0"/>
        <w:spacing w:line="360" w:lineRule="auto"/>
        <w:jc w:val="center"/>
        <w:rPr>
          <w:rFonts w:hint="eastAsia" w:ascii="仿宋_GB2312" w:hAnsi="仿宋" w:eastAsia="仿宋_GB2312" w:cs="仿宋_GB2312"/>
          <w:bCs/>
          <w:sz w:val="32"/>
          <w:szCs w:val="32"/>
          <w:highlight w:val="yellow"/>
          <w:lang w:val="en-US" w:eastAsia="zh-CN"/>
        </w:rPr>
      </w:pPr>
      <w:r>
        <w:rPr>
          <w:rFonts w:hint="eastAsia" w:ascii="仿宋_GB2312" w:hAnsi="仿宋" w:eastAsia="仿宋_GB2312" w:cs="仿宋_GB2312"/>
          <w:bCs/>
          <w:sz w:val="32"/>
          <w:szCs w:val="32"/>
        </w:rPr>
        <w:t>杭州市公共资源交易中心</w:t>
      </w:r>
      <w:r>
        <w:rPr>
          <w:rFonts w:hint="eastAsia" w:ascii="仿宋_GB2312" w:hAnsi="仿宋" w:eastAsia="仿宋_GB2312" w:cs="仿宋_GB2312"/>
          <w:bCs/>
          <w:sz w:val="32"/>
          <w:szCs w:val="32"/>
          <w:lang w:eastAsia="zh-CN"/>
        </w:rPr>
        <w:t>临安分中心</w:t>
      </w:r>
    </w:p>
    <w:p>
      <w:pPr>
        <w:adjustRightInd w:val="0"/>
        <w:snapToGrid w:val="0"/>
        <w:spacing w:line="360" w:lineRule="auto"/>
        <w:jc w:val="center"/>
        <w:rPr>
          <w:rFonts w:ascii="仿宋_GB2312" w:hAnsi="仿宋" w:eastAsia="仿宋_GB2312" w:cs="仿宋_GB2312"/>
          <w:bCs/>
          <w:sz w:val="32"/>
          <w:szCs w:val="32"/>
        </w:rPr>
      </w:pPr>
      <w:r>
        <w:rPr>
          <w:rFonts w:hint="eastAsia" w:ascii="仿宋_GB2312" w:hAnsi="仿宋" w:eastAsia="仿宋_GB2312" w:cs="仿宋_GB2312"/>
          <w:bCs/>
          <w:sz w:val="32"/>
          <w:szCs w:val="32"/>
        </w:rPr>
        <w:t>二</w:t>
      </w:r>
      <w:r>
        <w:rPr>
          <w:rFonts w:hint="eastAsia" w:ascii="宋体" w:hAnsi="宋体" w:eastAsia="宋体" w:cs="宋体"/>
          <w:bCs/>
          <w:sz w:val="32"/>
          <w:szCs w:val="32"/>
        </w:rPr>
        <w:t>〇</w:t>
      </w:r>
      <w:r>
        <w:rPr>
          <w:rFonts w:hint="eastAsia" w:ascii="仿宋_GB2312" w:hAnsi="仿宋" w:eastAsia="仿宋_GB2312" w:cs="仿宋_GB2312"/>
          <w:bCs/>
          <w:sz w:val="32"/>
          <w:szCs w:val="32"/>
        </w:rPr>
        <w:t>二</w:t>
      </w:r>
      <w:r>
        <w:rPr>
          <w:rFonts w:hint="eastAsia" w:ascii="宋体" w:hAnsi="宋体" w:eastAsia="宋体" w:cs="宋体"/>
          <w:bCs/>
          <w:sz w:val="32"/>
          <w:szCs w:val="32"/>
        </w:rPr>
        <w:t>一</w:t>
      </w:r>
      <w:r>
        <w:rPr>
          <w:rFonts w:hint="eastAsia" w:ascii="仿宋_GB2312" w:hAnsi="仿宋" w:eastAsia="仿宋_GB2312" w:cs="仿宋_GB2312"/>
          <w:bCs/>
          <w:sz w:val="32"/>
          <w:szCs w:val="32"/>
        </w:rPr>
        <w:t>年</w:t>
      </w:r>
      <w:r>
        <w:rPr>
          <w:rFonts w:hint="eastAsia" w:ascii="仿宋_GB2312" w:hAnsi="仿宋" w:eastAsia="仿宋_GB2312" w:cs="仿宋_GB2312"/>
          <w:bCs/>
          <w:sz w:val="32"/>
          <w:szCs w:val="32"/>
          <w:lang w:eastAsia="zh-CN"/>
        </w:rPr>
        <w:t>十</w:t>
      </w:r>
      <w:r>
        <w:rPr>
          <w:rFonts w:hint="eastAsia" w:ascii="仿宋_GB2312" w:hAnsi="仿宋" w:eastAsia="仿宋_GB2312" w:cs="仿宋_GB2312"/>
          <w:bCs/>
          <w:sz w:val="32"/>
          <w:szCs w:val="32"/>
          <w:lang w:val="en-US" w:eastAsia="zh-CN"/>
        </w:rPr>
        <w:t>一</w:t>
      </w:r>
      <w:r>
        <w:rPr>
          <w:rFonts w:hint="eastAsia" w:ascii="仿宋_GB2312" w:hAnsi="仿宋" w:eastAsia="仿宋_GB2312" w:cs="仿宋_GB2312"/>
          <w:bCs/>
          <w:sz w:val="32"/>
          <w:szCs w:val="32"/>
        </w:rPr>
        <w:t>月</w:t>
      </w:r>
      <w:r>
        <w:rPr>
          <w:rFonts w:hint="eastAsia" w:ascii="仿宋_GB2312" w:hAnsi="仿宋" w:eastAsia="仿宋_GB2312" w:cs="仿宋_GB2312"/>
          <w:bCs/>
          <w:sz w:val="32"/>
          <w:szCs w:val="32"/>
          <w:lang w:eastAsia="zh-CN"/>
        </w:rPr>
        <w:t>三</w:t>
      </w:r>
      <w:r>
        <w:rPr>
          <w:rFonts w:hint="eastAsia" w:ascii="仿宋_GB2312" w:hAnsi="仿宋" w:eastAsia="仿宋_GB2312" w:cs="仿宋_GB2312"/>
          <w:bCs/>
          <w:sz w:val="32"/>
          <w:szCs w:val="32"/>
        </w:rPr>
        <w:t>日</w:t>
      </w:r>
    </w:p>
    <w:p>
      <w:pPr>
        <w:adjustRightInd w:val="0"/>
        <w:spacing w:line="360" w:lineRule="auto"/>
        <w:jc w:val="center"/>
        <w:rPr>
          <w:rFonts w:ascii="仿宋_GB2312" w:hAnsi="仿宋" w:eastAsia="仿宋_GB2312" w:cs="仿宋_GB2312"/>
          <w:b/>
          <w:sz w:val="48"/>
          <w:szCs w:val="48"/>
        </w:rPr>
      </w:pPr>
      <w:r>
        <w:rPr>
          <w:rFonts w:hint="eastAsia" w:ascii="仿宋_GB2312" w:hAnsi="仿宋" w:eastAsia="仿宋_GB2312" w:cs="仿宋_GB2312"/>
          <w:sz w:val="24"/>
          <w:szCs w:val="24"/>
        </w:rPr>
        <w:br w:type="page"/>
      </w:r>
      <w:bookmarkStart w:id="0" w:name="_Hlt67893495"/>
      <w:bookmarkEnd w:id="0"/>
      <w:r>
        <w:rPr>
          <w:rFonts w:hint="eastAsia" w:ascii="仿宋_GB2312" w:hAnsi="仿宋" w:eastAsia="仿宋_GB2312" w:cs="仿宋_GB2312"/>
          <w:b/>
          <w:sz w:val="48"/>
          <w:szCs w:val="48"/>
        </w:rPr>
        <w:t>目  录</w:t>
      </w:r>
    </w:p>
    <w:p>
      <w:pPr>
        <w:adjustRightInd w:val="0"/>
        <w:spacing w:line="360" w:lineRule="auto"/>
        <w:rPr>
          <w:rFonts w:ascii="仿宋_GB2312" w:hAnsi="仿宋" w:eastAsia="仿宋_GB2312" w:cs="仿宋_GB2312"/>
          <w:sz w:val="32"/>
          <w:szCs w:val="32"/>
        </w:rPr>
      </w:pPr>
    </w:p>
    <w:p>
      <w:pPr>
        <w:adjustRightInd w:val="0"/>
        <w:spacing w:line="360" w:lineRule="auto"/>
        <w:rPr>
          <w:rFonts w:ascii="仿宋_GB2312" w:hAnsi="仿宋" w:eastAsia="仿宋_GB2312" w:cs="仿宋_GB2312"/>
          <w:sz w:val="32"/>
          <w:szCs w:val="32"/>
        </w:rPr>
      </w:pPr>
    </w:p>
    <w:p>
      <w:pPr>
        <w:adjustRightInd w:val="0"/>
        <w:spacing w:line="360" w:lineRule="auto"/>
        <w:ind w:firstLine="1280" w:firstLineChars="400"/>
        <w:rPr>
          <w:rFonts w:ascii="仿宋_GB2312" w:hAnsi="仿宋" w:eastAsia="仿宋_GB2312" w:cs="仿宋_GB2312"/>
          <w:sz w:val="32"/>
          <w:szCs w:val="32"/>
        </w:rPr>
      </w:pPr>
      <w:r>
        <w:rPr>
          <w:rFonts w:hint="eastAsia" w:ascii="仿宋_GB2312" w:hAnsi="仿宋" w:eastAsia="仿宋_GB2312" w:cs="仿宋_GB2312"/>
          <w:sz w:val="32"/>
          <w:szCs w:val="32"/>
        </w:rPr>
        <w:t>第一部分      招标公告</w:t>
      </w:r>
    </w:p>
    <w:p>
      <w:pPr>
        <w:adjustRightInd w:val="0"/>
        <w:spacing w:line="360" w:lineRule="auto"/>
        <w:ind w:firstLine="1280" w:firstLineChars="400"/>
        <w:rPr>
          <w:rFonts w:ascii="仿宋_GB2312" w:hAnsi="仿宋" w:eastAsia="仿宋_GB2312" w:cs="仿宋_GB2312"/>
          <w:sz w:val="32"/>
          <w:szCs w:val="32"/>
        </w:rPr>
      </w:pPr>
      <w:r>
        <w:rPr>
          <w:rFonts w:hint="eastAsia" w:ascii="仿宋_GB2312" w:hAnsi="仿宋" w:eastAsia="仿宋_GB2312" w:cs="仿宋_GB2312"/>
          <w:sz w:val="32"/>
          <w:szCs w:val="32"/>
        </w:rPr>
        <w:t>第二部分      投标人须知</w:t>
      </w:r>
    </w:p>
    <w:p>
      <w:pPr>
        <w:adjustRightInd w:val="0"/>
        <w:spacing w:line="360" w:lineRule="auto"/>
        <w:ind w:firstLine="1280" w:firstLineChars="400"/>
        <w:rPr>
          <w:rFonts w:ascii="仿宋_GB2312" w:hAnsi="仿宋" w:eastAsia="仿宋_GB2312" w:cs="仿宋_GB2312"/>
          <w:sz w:val="32"/>
          <w:szCs w:val="32"/>
        </w:rPr>
      </w:pPr>
      <w:r>
        <w:rPr>
          <w:rFonts w:hint="eastAsia" w:ascii="仿宋_GB2312" w:hAnsi="仿宋" w:eastAsia="仿宋_GB2312" w:cs="仿宋_GB2312"/>
          <w:sz w:val="32"/>
          <w:szCs w:val="32"/>
        </w:rPr>
        <w:t>第三部分      采购需求</w:t>
      </w:r>
    </w:p>
    <w:p>
      <w:pPr>
        <w:adjustRightInd w:val="0"/>
        <w:spacing w:line="360" w:lineRule="auto"/>
        <w:ind w:firstLine="1280" w:firstLineChars="400"/>
        <w:rPr>
          <w:rFonts w:ascii="仿宋_GB2312" w:hAnsi="仿宋" w:eastAsia="仿宋_GB2312" w:cs="仿宋_GB2312"/>
          <w:sz w:val="32"/>
          <w:szCs w:val="32"/>
        </w:rPr>
      </w:pPr>
      <w:r>
        <w:rPr>
          <w:rFonts w:hint="eastAsia" w:ascii="仿宋_GB2312" w:hAnsi="仿宋" w:eastAsia="仿宋_GB2312" w:cs="仿宋_GB2312"/>
          <w:sz w:val="32"/>
          <w:szCs w:val="32"/>
        </w:rPr>
        <w:t>第四部分      评标方法及评分标准</w:t>
      </w:r>
    </w:p>
    <w:p>
      <w:pPr>
        <w:adjustRightInd w:val="0"/>
        <w:spacing w:line="360" w:lineRule="auto"/>
        <w:ind w:firstLine="1280" w:firstLineChars="400"/>
        <w:rPr>
          <w:rFonts w:ascii="仿宋_GB2312" w:hAnsi="仿宋" w:eastAsia="仿宋_GB2312" w:cs="仿宋_GB2312"/>
          <w:sz w:val="32"/>
          <w:szCs w:val="32"/>
        </w:rPr>
      </w:pPr>
      <w:r>
        <w:rPr>
          <w:rFonts w:hint="eastAsia" w:ascii="仿宋_GB2312" w:hAnsi="仿宋" w:eastAsia="仿宋_GB2312" w:cs="仿宋_GB2312"/>
          <w:sz w:val="32"/>
          <w:szCs w:val="32"/>
        </w:rPr>
        <w:t>第五部分      拟签订的合同文本</w:t>
      </w:r>
    </w:p>
    <w:p>
      <w:pPr>
        <w:adjustRightInd w:val="0"/>
        <w:spacing w:line="360" w:lineRule="auto"/>
        <w:ind w:firstLine="1280" w:firstLineChars="400"/>
        <w:rPr>
          <w:rFonts w:ascii="仿宋_GB2312" w:hAnsi="仿宋" w:eastAsia="仿宋_GB2312" w:cs="仿宋_GB2312"/>
          <w:sz w:val="32"/>
          <w:szCs w:val="32"/>
        </w:rPr>
      </w:pPr>
      <w:r>
        <w:rPr>
          <w:rFonts w:hint="eastAsia" w:ascii="仿宋_GB2312" w:hAnsi="仿宋" w:eastAsia="仿宋_GB2312" w:cs="仿宋_GB2312"/>
          <w:sz w:val="32"/>
          <w:szCs w:val="32"/>
        </w:rPr>
        <w:t>第六部分      应提交的有关格式范例</w:t>
      </w:r>
    </w:p>
    <w:p>
      <w:pPr>
        <w:adjustRightInd w:val="0"/>
        <w:spacing w:line="360" w:lineRule="auto"/>
        <w:ind w:firstLine="549" w:firstLineChars="229"/>
        <w:rPr>
          <w:rFonts w:ascii="仿宋_GB2312" w:hAnsi="仿宋" w:eastAsia="仿宋_GB2312" w:cs="仿宋_GB2312"/>
          <w:sz w:val="24"/>
          <w:szCs w:val="24"/>
        </w:rPr>
      </w:pPr>
      <w:bookmarkStart w:id="1" w:name="_Hlt91233176"/>
      <w:bookmarkEnd w:id="1"/>
      <w:bookmarkStart w:id="2" w:name="_Toc91899869"/>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p>
      <w:pPr>
        <w:adjustRightInd w:val="0"/>
        <w:spacing w:line="360" w:lineRule="auto"/>
        <w:ind w:firstLine="549" w:firstLineChars="229"/>
        <w:rPr>
          <w:rFonts w:ascii="仿宋_GB2312" w:hAnsi="仿宋" w:eastAsia="仿宋_GB2312" w:cs="仿宋_GB2312"/>
          <w:sz w:val="24"/>
          <w:szCs w:val="24"/>
        </w:rPr>
      </w:pPr>
    </w:p>
    <w:bookmarkEnd w:id="2"/>
    <w:p>
      <w:pPr>
        <w:spacing w:line="360" w:lineRule="auto"/>
        <w:jc w:val="center"/>
        <w:outlineLvl w:val="0"/>
        <w:rPr>
          <w:rFonts w:ascii="仿宋_GB2312" w:hAnsi="仿宋" w:eastAsia="仿宋_GB2312" w:cs="仿宋_GB2312"/>
          <w:b/>
          <w:sz w:val="36"/>
          <w:szCs w:val="20"/>
        </w:rPr>
      </w:pPr>
      <w:bookmarkStart w:id="3" w:name="_Hlt74707423"/>
      <w:bookmarkEnd w:id="3"/>
      <w:bookmarkStart w:id="4" w:name="_Hlt74728647"/>
      <w:bookmarkEnd w:id="4"/>
      <w:bookmarkStart w:id="5" w:name="_Hlt74649545"/>
      <w:bookmarkEnd w:id="5"/>
      <w:bookmarkStart w:id="6" w:name="_Hlt74729822"/>
      <w:bookmarkEnd w:id="6"/>
      <w:bookmarkStart w:id="7" w:name="第二部分"/>
      <w:bookmarkStart w:id="8" w:name="_Toc91899870"/>
      <w:bookmarkStart w:id="9" w:name="_Toc91899871"/>
    </w:p>
    <w:p>
      <w:pPr>
        <w:spacing w:line="360" w:lineRule="auto"/>
        <w:jc w:val="center"/>
        <w:outlineLvl w:val="0"/>
        <w:rPr>
          <w:rFonts w:ascii="仿宋_GB2312" w:hAnsi="仿宋" w:eastAsia="仿宋_GB2312" w:cs="仿宋_GB2312"/>
          <w:b/>
          <w:sz w:val="36"/>
          <w:szCs w:val="20"/>
        </w:rPr>
      </w:pPr>
    </w:p>
    <w:p>
      <w:pPr>
        <w:spacing w:line="360" w:lineRule="auto"/>
        <w:jc w:val="center"/>
        <w:outlineLvl w:val="0"/>
        <w:rPr>
          <w:rFonts w:ascii="仿宋_GB2312" w:hAnsi="仿宋" w:eastAsia="仿宋_GB2312" w:cs="仿宋_GB2312"/>
          <w:b/>
          <w:sz w:val="36"/>
          <w:szCs w:val="20"/>
        </w:rPr>
      </w:pPr>
      <w:r>
        <w:rPr>
          <w:rFonts w:hint="eastAsia" w:ascii="仿宋_GB2312" w:hAnsi="仿宋" w:eastAsia="仿宋_GB2312" w:cs="仿宋_GB2312"/>
          <w:b/>
          <w:sz w:val="36"/>
          <w:szCs w:val="20"/>
        </w:rPr>
        <w:t>第一部分 招标公告</w:t>
      </w:r>
    </w:p>
    <w:p>
      <w:pPr>
        <w:pBdr>
          <w:top w:val="single" w:color="auto" w:sz="4" w:space="1"/>
          <w:left w:val="single" w:color="auto" w:sz="4" w:space="4"/>
          <w:bottom w:val="single" w:color="auto" w:sz="4" w:space="1"/>
          <w:right w:val="single" w:color="auto" w:sz="4" w:space="4"/>
        </w:pBd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项目概况</w:t>
      </w:r>
    </w:p>
    <w:p>
      <w:pPr>
        <w:pBdr>
          <w:top w:val="single" w:color="auto" w:sz="4" w:space="1"/>
          <w:left w:val="single" w:color="auto" w:sz="4" w:space="4"/>
          <w:bottom w:val="single" w:color="auto" w:sz="4" w:space="1"/>
          <w:right w:val="single" w:color="auto" w:sz="4" w:space="4"/>
        </w:pBd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lang w:eastAsia="zh-CN"/>
        </w:rPr>
        <w:t>杭州市</w:t>
      </w:r>
      <w:r>
        <w:rPr>
          <w:rFonts w:hint="eastAsia" w:ascii="仿宋_GB2312" w:hAnsi="仿宋" w:eastAsia="仿宋_GB2312" w:cs="Times New Roman"/>
          <w:sz w:val="24"/>
          <w:szCs w:val="24"/>
        </w:rPr>
        <w:t>临安区锦南新城管理委员会天目医药港化工集聚区智慧园区数字化建设</w:t>
      </w:r>
      <w:r>
        <w:rPr>
          <w:rFonts w:hint="eastAsia" w:ascii="仿宋_GB2312" w:hAnsi="仿宋" w:eastAsia="仿宋_GB2312" w:cs="Times New Roman"/>
          <w:sz w:val="24"/>
          <w:szCs w:val="24"/>
          <w:lang w:eastAsia="zh-CN"/>
        </w:rPr>
        <w:t>项目</w:t>
      </w:r>
      <w:r>
        <w:rPr>
          <w:rFonts w:hint="eastAsia" w:ascii="仿宋_GB2312" w:hAnsi="仿宋" w:eastAsia="仿宋_GB2312" w:cs="Times New Roman"/>
          <w:sz w:val="24"/>
          <w:szCs w:val="24"/>
        </w:rPr>
        <w:t>招标项目的</w:t>
      </w:r>
      <w:r>
        <w:rPr>
          <w:rFonts w:hint="eastAsia" w:ascii="仿宋_GB2312" w:hAnsi="仿宋" w:eastAsia="仿宋_GB2312" w:cs="Times New Roman"/>
          <w:sz w:val="24"/>
          <w:szCs w:val="24"/>
          <w:highlight w:val="none"/>
        </w:rPr>
        <w:t>潜在投标人应在政采云平台（</w:t>
      </w:r>
      <w:r>
        <w:rPr>
          <w:highlight w:val="none"/>
        </w:rPr>
        <w:fldChar w:fldCharType="begin"/>
      </w:r>
      <w:r>
        <w:rPr>
          <w:highlight w:val="none"/>
        </w:rPr>
        <w:instrText xml:space="preserve"> HYPERLINK "https://www.zcygov.cn/）获取（下载）招标文件，并于2021年" </w:instrText>
      </w:r>
      <w:r>
        <w:rPr>
          <w:highlight w:val="none"/>
        </w:rPr>
        <w:fldChar w:fldCharType="separate"/>
      </w:r>
      <w:r>
        <w:rPr>
          <w:rFonts w:hint="eastAsia" w:ascii="仿宋_GB2312" w:hAnsi="仿宋" w:eastAsia="仿宋_GB2312" w:cs="Times New Roman"/>
          <w:sz w:val="24"/>
          <w:szCs w:val="24"/>
          <w:highlight w:val="none"/>
        </w:rPr>
        <w:t>https://www.zcygov.cn/）获取（下载）招标文件，并于2021年</w:t>
      </w:r>
      <w:r>
        <w:rPr>
          <w:rFonts w:hint="eastAsia" w:ascii="仿宋_GB2312" w:hAnsi="仿宋" w:eastAsia="仿宋_GB2312" w:cs="Times New Roman"/>
          <w:sz w:val="24"/>
          <w:szCs w:val="24"/>
          <w:highlight w:val="none"/>
        </w:rPr>
        <w:fldChar w:fldCharType="end"/>
      </w:r>
      <w:r>
        <w:rPr>
          <w:rFonts w:hint="eastAsia" w:ascii="仿宋_GB2312" w:hAnsi="仿宋" w:eastAsia="仿宋_GB2312" w:cs="Times New Roman"/>
          <w:sz w:val="24"/>
          <w:szCs w:val="24"/>
          <w:highlight w:val="none"/>
          <w:lang w:val="en-US" w:eastAsia="zh-CN"/>
        </w:rPr>
        <w:t>11</w:t>
      </w:r>
      <w:r>
        <w:rPr>
          <w:rFonts w:hint="eastAsia" w:ascii="仿宋_GB2312" w:hAnsi="仿宋" w:eastAsia="仿宋_GB2312" w:cs="Times New Roman"/>
          <w:sz w:val="24"/>
          <w:szCs w:val="24"/>
          <w:highlight w:val="none"/>
        </w:rPr>
        <w:t>月</w:t>
      </w:r>
      <w:r>
        <w:rPr>
          <w:rFonts w:hint="eastAsia" w:ascii="仿宋_GB2312" w:hAnsi="仿宋" w:eastAsia="仿宋_GB2312" w:cs="Times New Roman"/>
          <w:sz w:val="24"/>
          <w:szCs w:val="24"/>
          <w:highlight w:val="none"/>
          <w:lang w:val="en-US" w:eastAsia="zh-CN"/>
        </w:rPr>
        <w:t>25</w:t>
      </w:r>
      <w:r>
        <w:rPr>
          <w:rFonts w:hint="eastAsia" w:ascii="仿宋_GB2312" w:hAnsi="仿宋" w:eastAsia="仿宋_GB2312" w:cs="Times New Roman"/>
          <w:sz w:val="24"/>
          <w:szCs w:val="24"/>
          <w:highlight w:val="none"/>
        </w:rPr>
        <w:t>日</w:t>
      </w:r>
      <w:r>
        <w:rPr>
          <w:rFonts w:hint="eastAsia" w:ascii="仿宋_GB2312" w:hAnsi="仿宋" w:eastAsia="仿宋_GB2312" w:cs="Times New Roman"/>
          <w:sz w:val="24"/>
          <w:szCs w:val="24"/>
          <w:highlight w:val="none"/>
          <w:lang w:val="en-US" w:eastAsia="zh-CN"/>
        </w:rPr>
        <w:t>13</w:t>
      </w:r>
      <w:r>
        <w:rPr>
          <w:rFonts w:hint="eastAsia" w:ascii="仿宋_GB2312" w:hAnsi="仿宋" w:eastAsia="仿宋_GB2312" w:cs="Times New Roman"/>
          <w:sz w:val="24"/>
          <w:szCs w:val="24"/>
          <w:highlight w:val="none"/>
        </w:rPr>
        <w:t>点</w:t>
      </w:r>
      <w:r>
        <w:rPr>
          <w:rFonts w:hint="eastAsia" w:ascii="仿宋_GB2312" w:hAnsi="仿宋" w:eastAsia="仿宋_GB2312" w:cs="Times New Roman"/>
          <w:sz w:val="24"/>
          <w:szCs w:val="24"/>
          <w:highlight w:val="none"/>
          <w:lang w:val="en-US" w:eastAsia="zh-CN"/>
        </w:rPr>
        <w:t>30</w:t>
      </w:r>
      <w:r>
        <w:rPr>
          <w:rFonts w:hint="eastAsia" w:ascii="仿宋_GB2312" w:hAnsi="仿宋" w:eastAsia="仿宋_GB2312" w:cs="Times New Roman"/>
          <w:sz w:val="24"/>
          <w:szCs w:val="24"/>
          <w:highlight w:val="none"/>
        </w:rPr>
        <w:t xml:space="preserve">分00秒（北京时间）前递交（上传）投标文件。 </w:t>
      </w:r>
    </w:p>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 xml:space="preserve">一、项目基本情况                                            </w:t>
      </w:r>
    </w:p>
    <w:p>
      <w:pPr>
        <w:adjustRightInd w:val="0"/>
        <w:spacing w:line="360" w:lineRule="auto"/>
        <w:rPr>
          <w:rFonts w:hint="default" w:ascii="仿宋_GB2312" w:hAnsi="仿宋" w:eastAsia="仿宋_GB2312" w:cs="Times New Roman"/>
          <w:sz w:val="24"/>
          <w:szCs w:val="24"/>
          <w:lang w:val="en-US" w:eastAsia="zh-CN"/>
        </w:rPr>
      </w:pPr>
      <w:r>
        <w:rPr>
          <w:rFonts w:hint="eastAsia" w:ascii="仿宋_GB2312" w:hAnsi="仿宋" w:eastAsia="仿宋_GB2312" w:cs="Times New Roman"/>
          <w:sz w:val="24"/>
          <w:szCs w:val="24"/>
        </w:rPr>
        <w:t xml:space="preserve">    </w:t>
      </w:r>
      <w:r>
        <w:rPr>
          <w:rFonts w:hint="eastAsia" w:ascii="仿宋_GB2312" w:hAnsi="仿宋" w:eastAsia="仿宋_GB2312" w:cs="Times New Roman"/>
          <w:b/>
          <w:sz w:val="24"/>
          <w:szCs w:val="24"/>
        </w:rPr>
        <w:t>项目</w:t>
      </w:r>
      <w:r>
        <w:rPr>
          <w:rFonts w:hint="eastAsia" w:ascii="仿宋_GB2312" w:hAnsi="仿宋" w:eastAsia="仿宋_GB2312" w:cs="Times New Roman"/>
          <w:b/>
          <w:sz w:val="24"/>
          <w:szCs w:val="24"/>
          <w:highlight w:val="none"/>
        </w:rPr>
        <w:t>编号：</w:t>
      </w:r>
      <w:r>
        <w:rPr>
          <w:rFonts w:hint="eastAsia" w:ascii="仿宋_GB2312" w:hAnsi="仿宋" w:eastAsia="仿宋_GB2312" w:cs="Times New Roman"/>
          <w:sz w:val="24"/>
          <w:szCs w:val="24"/>
          <w:highlight w:val="none"/>
          <w:lang w:val="en-US" w:eastAsia="zh-CN"/>
        </w:rPr>
        <w:t>LZC</w:t>
      </w:r>
      <w:r>
        <w:rPr>
          <w:rFonts w:hint="eastAsia" w:ascii="仿宋_GB2312" w:hAnsi="仿宋" w:eastAsia="仿宋_GB2312" w:cs="Times New Roman"/>
          <w:sz w:val="24"/>
          <w:szCs w:val="24"/>
          <w:highlight w:val="none"/>
        </w:rPr>
        <w:t>-</w:t>
      </w:r>
      <w:r>
        <w:rPr>
          <w:rFonts w:hint="eastAsia" w:ascii="仿宋_GB2312" w:hAnsi="仿宋" w:eastAsia="仿宋_GB2312" w:cs="Times New Roman"/>
          <w:sz w:val="24"/>
          <w:szCs w:val="24"/>
          <w:highlight w:val="none"/>
          <w:lang w:val="en-US" w:eastAsia="zh-CN"/>
        </w:rPr>
        <w:t>GK-</w:t>
      </w:r>
      <w:r>
        <w:rPr>
          <w:rFonts w:hint="eastAsia" w:ascii="仿宋_GB2312" w:hAnsi="仿宋" w:eastAsia="仿宋_GB2312" w:cs="Times New Roman"/>
          <w:sz w:val="24"/>
          <w:szCs w:val="24"/>
          <w:highlight w:val="none"/>
        </w:rPr>
        <w:t>2021-</w:t>
      </w:r>
      <w:r>
        <w:rPr>
          <w:rFonts w:hint="eastAsia" w:ascii="仿宋_GB2312" w:hAnsi="仿宋" w:eastAsia="仿宋_GB2312" w:cs="Times New Roman"/>
          <w:sz w:val="24"/>
          <w:szCs w:val="24"/>
          <w:highlight w:val="none"/>
          <w:lang w:val="en-US" w:eastAsia="zh-CN"/>
        </w:rPr>
        <w:t>10082</w:t>
      </w:r>
    </w:p>
    <w:p>
      <w:pPr>
        <w:adjustRightInd w:val="0"/>
        <w:spacing w:line="360" w:lineRule="auto"/>
        <w:rPr>
          <w:rFonts w:ascii="仿宋_GB2312" w:hAnsi="仿宋" w:eastAsia="仿宋_GB2312" w:cs="Times New Roman"/>
          <w:b w:val="0"/>
          <w:bCs/>
          <w:sz w:val="24"/>
          <w:szCs w:val="24"/>
        </w:rPr>
      </w:pPr>
      <w:r>
        <w:rPr>
          <w:rFonts w:hint="eastAsia" w:ascii="仿宋_GB2312" w:hAnsi="仿宋" w:eastAsia="仿宋_GB2312" w:cs="Times New Roman"/>
          <w:sz w:val="24"/>
          <w:szCs w:val="24"/>
        </w:rPr>
        <w:t xml:space="preserve">   </w:t>
      </w:r>
      <w:r>
        <w:rPr>
          <w:rFonts w:hint="eastAsia" w:ascii="仿宋_GB2312" w:hAnsi="仿宋" w:eastAsia="仿宋_GB2312" w:cs="Times New Roman"/>
          <w:b/>
          <w:sz w:val="24"/>
          <w:szCs w:val="24"/>
        </w:rPr>
        <w:t xml:space="preserve"> 项目名称：</w:t>
      </w:r>
      <w:r>
        <w:rPr>
          <w:rFonts w:hint="eastAsia" w:ascii="仿宋_GB2312" w:hAnsi="仿宋" w:eastAsia="仿宋_GB2312" w:cs="Times New Roman"/>
          <w:b w:val="0"/>
          <w:bCs/>
          <w:sz w:val="24"/>
          <w:szCs w:val="24"/>
          <w:lang w:eastAsia="zh-CN"/>
        </w:rPr>
        <w:t>杭州市</w:t>
      </w:r>
      <w:r>
        <w:rPr>
          <w:rFonts w:hint="eastAsia" w:ascii="仿宋_GB2312" w:hAnsi="仿宋" w:eastAsia="仿宋_GB2312" w:cs="Times New Roman"/>
          <w:b w:val="0"/>
          <w:bCs/>
          <w:sz w:val="24"/>
          <w:szCs w:val="24"/>
        </w:rPr>
        <w:t>临安区锦南新城管理委员会天目医药港化工集聚区智慧园区数字化建设</w:t>
      </w:r>
      <w:r>
        <w:rPr>
          <w:rFonts w:hint="eastAsia" w:ascii="仿宋_GB2312" w:hAnsi="仿宋" w:eastAsia="仿宋_GB2312" w:cs="Times New Roman"/>
          <w:b w:val="0"/>
          <w:bCs/>
          <w:sz w:val="24"/>
          <w:szCs w:val="24"/>
          <w:lang w:eastAsia="zh-CN"/>
        </w:rPr>
        <w:t>项目</w:t>
      </w:r>
    </w:p>
    <w:p>
      <w:pPr>
        <w:adjustRightInd w:val="0"/>
        <w:spacing w:line="360" w:lineRule="auto"/>
        <w:ind w:firstLine="482" w:firstLineChars="200"/>
        <w:rPr>
          <w:rFonts w:ascii="仿宋_GB2312" w:hAnsi="仿宋" w:eastAsia="仿宋_GB2312" w:cs="仿宋_GB2312"/>
          <w:sz w:val="24"/>
          <w:szCs w:val="24"/>
        </w:rPr>
      </w:pPr>
      <w:r>
        <w:rPr>
          <w:rFonts w:hint="eastAsia" w:ascii="仿宋_GB2312" w:hAnsi="仿宋" w:eastAsia="仿宋_GB2312" w:cs="Times New Roman"/>
          <w:b/>
          <w:sz w:val="24"/>
          <w:szCs w:val="24"/>
        </w:rPr>
        <w:t>预算金额（元）</w:t>
      </w:r>
      <w:r>
        <w:rPr>
          <w:rFonts w:hint="eastAsia" w:ascii="仿宋_GB2312" w:hAnsi="仿宋" w:eastAsia="仿宋_GB2312" w:cs="仿宋_GB2312"/>
          <w:sz w:val="24"/>
          <w:szCs w:val="24"/>
        </w:rPr>
        <w:t>：</w:t>
      </w:r>
      <w:r>
        <w:rPr>
          <w:rFonts w:hint="eastAsia" w:ascii="仿宋_GB2312" w:hAnsi="仿宋" w:eastAsia="仿宋_GB2312" w:cs="仿宋_GB2312"/>
          <w:sz w:val="24"/>
          <w:szCs w:val="24"/>
          <w:lang w:val="en-US" w:eastAsia="zh-CN"/>
        </w:rPr>
        <w:t>7150000</w:t>
      </w:r>
      <w:r>
        <w:rPr>
          <w:rFonts w:hint="eastAsia" w:ascii="仿宋_GB2312" w:hAnsi="仿宋" w:eastAsia="仿宋_GB2312" w:cs="仿宋_GB2312"/>
          <w:sz w:val="24"/>
          <w:szCs w:val="24"/>
        </w:rPr>
        <w:t xml:space="preserve"> </w:t>
      </w:r>
    </w:p>
    <w:p>
      <w:pPr>
        <w:adjustRightInd w:val="0"/>
        <w:spacing w:line="360" w:lineRule="auto"/>
        <w:ind w:firstLine="482" w:firstLineChars="200"/>
        <w:rPr>
          <w:rFonts w:ascii="仿宋_GB2312" w:hAnsi="仿宋" w:eastAsia="仿宋_GB2312" w:cs="Times New Roman"/>
          <w:sz w:val="24"/>
          <w:szCs w:val="24"/>
        </w:rPr>
      </w:pPr>
      <w:r>
        <w:rPr>
          <w:rFonts w:hint="eastAsia" w:ascii="仿宋_GB2312" w:hAnsi="仿宋" w:eastAsia="仿宋_GB2312" w:cs="Times New Roman"/>
          <w:b/>
          <w:sz w:val="24"/>
          <w:szCs w:val="24"/>
        </w:rPr>
        <w:t>最高限价（元）：</w:t>
      </w:r>
      <w:r>
        <w:rPr>
          <w:rFonts w:hint="eastAsia" w:ascii="仿宋_GB2312" w:hAnsi="仿宋" w:eastAsia="仿宋_GB2312" w:cs="Times New Roman"/>
          <w:b/>
          <w:sz w:val="24"/>
          <w:szCs w:val="24"/>
          <w:lang w:val="en-US" w:eastAsia="zh-CN"/>
        </w:rPr>
        <w:t>7150000</w:t>
      </w:r>
      <w:r>
        <w:rPr>
          <w:rFonts w:hint="eastAsia" w:ascii="仿宋_GB2312" w:hAnsi="仿宋" w:eastAsia="仿宋_GB2312" w:cs="Times New Roman"/>
          <w:sz w:val="24"/>
          <w:szCs w:val="24"/>
        </w:rPr>
        <w:t xml:space="preserve"> </w:t>
      </w:r>
    </w:p>
    <w:p>
      <w:pPr>
        <w:spacing w:line="360" w:lineRule="auto"/>
        <w:ind w:firstLine="482" w:firstLineChars="200"/>
        <w:rPr>
          <w:rFonts w:ascii="仿宋_GB2312" w:hAnsi="仿宋" w:eastAsia="仿宋_GB2312" w:cs="仿宋_GB2312"/>
          <w:sz w:val="24"/>
          <w:szCs w:val="24"/>
        </w:rPr>
      </w:pPr>
      <w:r>
        <w:rPr>
          <w:rFonts w:hint="eastAsia" w:ascii="仿宋_GB2312" w:hAnsi="仿宋" w:eastAsia="仿宋_GB2312" w:cs="Times New Roman"/>
          <w:b/>
          <w:sz w:val="24"/>
          <w:szCs w:val="24"/>
        </w:rPr>
        <w:t>采购需求：</w:t>
      </w:r>
      <w:r>
        <w:rPr>
          <w:rFonts w:hint="eastAsia" w:ascii="仿宋_GB2312" w:hAnsi="仿宋" w:eastAsia="仿宋_GB2312" w:cs="Times New Roman"/>
          <w:b w:val="0"/>
          <w:bCs/>
          <w:sz w:val="24"/>
          <w:szCs w:val="24"/>
        </w:rPr>
        <w:t>基于目前园区已投产运行企业及后期新入园企业，充分利用现有系统资源条件下，以环境保护、安全生产监管和协同应急救援三大业务功能为基础，开发建设智慧园区数字化平台，具体包含：园区三维地图建设、应急指挥中心建设、工业互联网平台建设、园区画像、安全监管、环境保护、应急指挥、封闭管理、能源监管建设，实现与省化工产业大脑的对接。</w:t>
      </w:r>
    </w:p>
    <w:p>
      <w:pPr>
        <w:spacing w:line="360" w:lineRule="auto"/>
        <w:ind w:firstLine="482" w:firstLineChars="20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备注：无</w:t>
      </w:r>
      <w:r>
        <w:rPr>
          <w:rFonts w:hint="eastAsia" w:ascii="仿宋_GB2312" w:hAnsi="Times New Roman" w:eastAsia="仿宋_GB2312" w:cs="Times New Roman"/>
          <w:sz w:val="24"/>
          <w:szCs w:val="24"/>
        </w:rPr>
        <w:t xml:space="preserve"> </w:t>
      </w:r>
    </w:p>
    <w:p>
      <w:pPr>
        <w:adjustRightInd w:val="0"/>
        <w:spacing w:line="360" w:lineRule="auto"/>
        <w:rPr>
          <w:rFonts w:ascii="仿宋_GB2312" w:hAnsi="Times New Roman" w:eastAsia="仿宋_GB2312" w:cs="Times New Roman"/>
          <w:sz w:val="24"/>
          <w:szCs w:val="24"/>
        </w:rPr>
      </w:pPr>
      <w:r>
        <w:rPr>
          <w:rFonts w:ascii="仿宋_GB2312" w:hAnsi="仿宋" w:eastAsia="仿宋_GB2312" w:cs="Times New Roman"/>
          <w:sz w:val="24"/>
          <w:szCs w:val="24"/>
        </w:rPr>
        <w:t xml:space="preserve">    </w:t>
      </w:r>
      <w:r>
        <w:rPr>
          <w:rFonts w:hint="eastAsia" w:ascii="仿宋_GB2312" w:hAnsi="仿宋" w:eastAsia="仿宋_GB2312" w:cs="Times New Roman"/>
          <w:b/>
          <w:sz w:val="24"/>
          <w:szCs w:val="24"/>
        </w:rPr>
        <w:t>合同履约期限：</w:t>
      </w:r>
      <w:r>
        <w:rPr>
          <w:rFonts w:hint="eastAsia" w:ascii="仿宋_GB2312" w:hAnsi="仿宋" w:eastAsia="仿宋_GB2312" w:cs="Times New Roman"/>
          <w:b w:val="0"/>
          <w:bCs/>
          <w:sz w:val="24"/>
          <w:szCs w:val="24"/>
          <w:lang w:val="zh-CN"/>
        </w:rPr>
        <w:t>从合同签订之日起</w:t>
      </w:r>
      <w:r>
        <w:rPr>
          <w:rFonts w:hint="eastAsia" w:ascii="仿宋_GB2312" w:hAnsi="仿宋" w:eastAsia="仿宋_GB2312" w:cs="Times New Roman"/>
          <w:b w:val="0"/>
          <w:bCs/>
          <w:sz w:val="24"/>
          <w:szCs w:val="24"/>
        </w:rPr>
        <w:t>16</w:t>
      </w:r>
      <w:r>
        <w:rPr>
          <w:rFonts w:hint="eastAsia" w:ascii="仿宋_GB2312" w:hAnsi="仿宋" w:eastAsia="仿宋_GB2312" w:cs="Times New Roman"/>
          <w:b w:val="0"/>
          <w:bCs/>
          <w:sz w:val="24"/>
          <w:szCs w:val="24"/>
          <w:lang w:val="zh-CN"/>
        </w:rPr>
        <w:t>个月内完成项目建设并具备试运行条件。</w:t>
      </w:r>
      <w:r>
        <w:rPr>
          <w:rFonts w:hint="eastAsia" w:ascii="仿宋_GB2312" w:hAnsi="Times New Roman" w:eastAsia="仿宋_GB2312" w:cs="Times New Roman"/>
          <w:sz w:val="24"/>
          <w:szCs w:val="24"/>
        </w:rPr>
        <w:t xml:space="preserve"> </w:t>
      </w:r>
    </w:p>
    <w:p>
      <w:pPr>
        <w:adjustRightInd w:val="0"/>
        <w:spacing w:line="360" w:lineRule="auto"/>
        <w:ind w:firstLine="480"/>
        <w:rPr>
          <w:rFonts w:ascii="仿宋_GB2312" w:hAnsi="仿宋" w:eastAsia="仿宋_GB2312" w:cs="Times New Roman"/>
          <w:b/>
          <w:sz w:val="24"/>
          <w:szCs w:val="24"/>
        </w:rPr>
      </w:pPr>
      <w:r>
        <w:rPr>
          <w:rFonts w:hint="eastAsia" w:ascii="仿宋_GB2312" w:hAnsi="仿宋" w:eastAsia="仿宋_GB2312" w:cs="Times New Roman"/>
          <w:b/>
          <w:sz w:val="24"/>
          <w:szCs w:val="24"/>
        </w:rPr>
        <w:t>本</w:t>
      </w:r>
      <w:r>
        <w:rPr>
          <w:rFonts w:hint="eastAsia" w:ascii="仿宋_GB2312" w:hAnsi="仿宋" w:eastAsia="仿宋_GB2312" w:cs="Times New Roman"/>
          <w:b/>
          <w:sz w:val="24"/>
          <w:szCs w:val="24"/>
          <w:highlight w:val="none"/>
        </w:rPr>
        <w:t>项目（否）接受联</w:t>
      </w:r>
      <w:r>
        <w:rPr>
          <w:rFonts w:hint="eastAsia" w:ascii="仿宋_GB2312" w:hAnsi="仿宋" w:eastAsia="仿宋_GB2312" w:cs="Times New Roman"/>
          <w:b/>
          <w:sz w:val="24"/>
          <w:szCs w:val="24"/>
        </w:rPr>
        <w:t>合体投标。</w:t>
      </w:r>
    </w:p>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二、申请人的资格要求：</w:t>
      </w:r>
    </w:p>
    <w:p>
      <w:pPr>
        <w:adjustRightInd w:val="0"/>
        <w:spacing w:line="360" w:lineRule="auto"/>
        <w:ind w:firstLine="480" w:firstLineChars="200"/>
        <w:rPr>
          <w:rFonts w:ascii="仿宋_GB2312" w:hAnsi="仿宋" w:eastAsia="仿宋_GB2312" w:cs="Times New Roman"/>
          <w:color w:val="auto"/>
          <w:sz w:val="24"/>
          <w:szCs w:val="24"/>
        </w:rPr>
      </w:pPr>
      <w:r>
        <w:rPr>
          <w:rFonts w:hint="eastAsia" w:ascii="仿宋_GB2312" w:hAnsi="仿宋" w:eastAsia="仿宋_GB2312" w:cs="Times New Roman"/>
          <w:sz w:val="24"/>
          <w:szCs w:val="24"/>
        </w:rPr>
        <w:t>1.满足《中华人民共和国政府采购法》</w:t>
      </w:r>
      <w:r>
        <w:rPr>
          <w:rFonts w:hint="eastAsia" w:ascii="仿宋_GB2312" w:hAnsi="仿宋" w:eastAsia="仿宋_GB2312" w:cs="Times New Roman"/>
          <w:color w:val="auto"/>
          <w:sz w:val="24"/>
          <w:szCs w:val="24"/>
        </w:rPr>
        <w:t>第二十二条规定；</w:t>
      </w:r>
    </w:p>
    <w:p>
      <w:pPr>
        <w:adjustRightInd w:val="0"/>
        <w:spacing w:line="360" w:lineRule="auto"/>
        <w:ind w:firstLine="480" w:firstLineChars="200"/>
        <w:rPr>
          <w:rFonts w:hint="eastAsia" w:ascii="仿宋_GB2312" w:hAnsi="仿宋" w:eastAsia="仿宋_GB2312" w:cs="Times New Roman"/>
          <w:color w:val="FF0000"/>
          <w:sz w:val="24"/>
          <w:szCs w:val="24"/>
        </w:rPr>
      </w:pPr>
      <w:r>
        <w:rPr>
          <w:rFonts w:hint="eastAsia" w:ascii="仿宋_GB2312" w:hAnsi="仿宋" w:eastAsia="仿宋_GB2312" w:cs="Times New Roman"/>
          <w:color w:val="auto"/>
          <w:sz w:val="24"/>
          <w:szCs w:val="24"/>
        </w:rPr>
        <w:t>2.落实政府采购政策需满足的资格要求：无；</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3.本项目的特定资格要求：无 。</w:t>
      </w:r>
    </w:p>
    <w:p>
      <w:pPr>
        <w:adjustRightInd w:val="0"/>
        <w:spacing w:line="360" w:lineRule="auto"/>
        <w:rPr>
          <w:rFonts w:ascii="仿宋_GB2312" w:hAnsi="仿宋" w:eastAsia="仿宋_GB2312" w:cs="Times New Roman"/>
          <w:b/>
          <w:sz w:val="24"/>
          <w:szCs w:val="24"/>
          <w:highlight w:val="none"/>
        </w:rPr>
      </w:pPr>
      <w:r>
        <w:rPr>
          <w:rFonts w:hint="eastAsia" w:ascii="仿宋_GB2312" w:hAnsi="仿宋" w:eastAsia="仿宋_GB2312" w:cs="Times New Roman"/>
          <w:b/>
          <w:sz w:val="24"/>
          <w:szCs w:val="24"/>
        </w:rPr>
        <w:t xml:space="preserve">三、获取招标文件 </w:t>
      </w:r>
    </w:p>
    <w:p>
      <w:pPr>
        <w:adjustRightInd w:val="0"/>
        <w:spacing w:line="360" w:lineRule="auto"/>
        <w:ind w:firstLine="482" w:firstLineChars="200"/>
        <w:rPr>
          <w:rFonts w:ascii="仿宋_GB2312" w:hAnsi="仿宋" w:eastAsia="仿宋_GB2312" w:cs="Times New Roman"/>
          <w:sz w:val="24"/>
          <w:szCs w:val="24"/>
        </w:rPr>
      </w:pPr>
      <w:r>
        <w:rPr>
          <w:rFonts w:hint="eastAsia" w:ascii="仿宋_GB2312" w:hAnsi="仿宋" w:eastAsia="仿宋_GB2312" w:cs="Times New Roman"/>
          <w:b/>
          <w:sz w:val="24"/>
          <w:szCs w:val="24"/>
          <w:highlight w:val="none"/>
        </w:rPr>
        <w:t>时间：</w:t>
      </w:r>
      <w:r>
        <w:rPr>
          <w:rFonts w:hint="eastAsia" w:ascii="仿宋_GB2312" w:hAnsi="仿宋" w:eastAsia="仿宋_GB2312" w:cs="Times New Roman"/>
          <w:sz w:val="24"/>
          <w:szCs w:val="24"/>
          <w:highlight w:val="none"/>
        </w:rPr>
        <w:t>/至2021年</w:t>
      </w:r>
      <w:r>
        <w:rPr>
          <w:rFonts w:hint="eastAsia" w:ascii="仿宋_GB2312" w:hAnsi="仿宋" w:eastAsia="仿宋_GB2312" w:cs="Times New Roman"/>
          <w:sz w:val="24"/>
          <w:szCs w:val="24"/>
          <w:highlight w:val="none"/>
          <w:lang w:val="en-US" w:eastAsia="zh-CN"/>
        </w:rPr>
        <w:t>11</w:t>
      </w:r>
      <w:r>
        <w:rPr>
          <w:rFonts w:hint="eastAsia" w:ascii="仿宋_GB2312" w:hAnsi="仿宋" w:eastAsia="仿宋_GB2312" w:cs="Times New Roman"/>
          <w:sz w:val="24"/>
          <w:szCs w:val="24"/>
          <w:highlight w:val="none"/>
        </w:rPr>
        <w:t>月</w:t>
      </w:r>
      <w:r>
        <w:rPr>
          <w:rFonts w:hint="eastAsia" w:ascii="仿宋_GB2312" w:hAnsi="仿宋" w:eastAsia="仿宋_GB2312" w:cs="Times New Roman"/>
          <w:sz w:val="24"/>
          <w:szCs w:val="24"/>
          <w:highlight w:val="none"/>
          <w:lang w:val="en-US" w:eastAsia="zh-CN"/>
        </w:rPr>
        <w:t>25</w:t>
      </w:r>
      <w:r>
        <w:rPr>
          <w:rFonts w:hint="eastAsia" w:ascii="仿宋_GB2312" w:hAnsi="仿宋" w:eastAsia="仿宋_GB2312" w:cs="Times New Roman"/>
          <w:sz w:val="24"/>
          <w:szCs w:val="24"/>
          <w:highlight w:val="none"/>
        </w:rPr>
        <w:t xml:space="preserve">日 </w:t>
      </w:r>
      <w:r>
        <w:rPr>
          <w:rFonts w:hint="eastAsia" w:ascii="仿宋_GB2312" w:hAnsi="仿宋" w:eastAsia="仿宋_GB2312" w:cs="Times New Roman"/>
          <w:sz w:val="24"/>
          <w:szCs w:val="24"/>
        </w:rPr>
        <w:t>，每天上午00:00至12:00 ，下午12:00至23:59（北京时间，线上获取法定节假日均可，线下获取文件法定节假日除外）</w:t>
      </w:r>
    </w:p>
    <w:p>
      <w:pPr>
        <w:adjustRightInd w:val="0"/>
        <w:spacing w:line="360" w:lineRule="auto"/>
        <w:ind w:firstLine="482" w:firstLineChars="200"/>
        <w:rPr>
          <w:rFonts w:ascii="仿宋_GB2312" w:hAnsi="仿宋" w:eastAsia="仿宋_GB2312" w:cs="Times New Roman"/>
          <w:sz w:val="24"/>
          <w:szCs w:val="24"/>
        </w:rPr>
      </w:pPr>
      <w:r>
        <w:rPr>
          <w:rFonts w:hint="eastAsia" w:ascii="仿宋_GB2312" w:hAnsi="仿宋" w:eastAsia="仿宋_GB2312" w:cs="Times New Roman"/>
          <w:b/>
          <w:sz w:val="24"/>
          <w:szCs w:val="24"/>
        </w:rPr>
        <w:t>地点（网址）：</w:t>
      </w:r>
      <w:r>
        <w:rPr>
          <w:rFonts w:hint="eastAsia" w:ascii="仿宋_GB2312" w:hAnsi="仿宋" w:eastAsia="仿宋_GB2312" w:cs="Times New Roman"/>
          <w:b w:val="0"/>
          <w:bCs/>
          <w:sz w:val="24"/>
          <w:szCs w:val="24"/>
          <w:lang w:eastAsia="zh-CN"/>
        </w:rPr>
        <w:t>浙江政府采购网</w:t>
      </w:r>
      <w:r>
        <w:rPr>
          <w:rFonts w:hint="eastAsia" w:ascii="仿宋_GB2312" w:hAnsi="仿宋" w:eastAsia="仿宋_GB2312" w:cs="Times New Roman"/>
          <w:sz w:val="24"/>
          <w:szCs w:val="24"/>
        </w:rPr>
        <w:t xml:space="preserve">（https://zfcg.czt.zj.gov.cn/） </w:t>
      </w:r>
    </w:p>
    <w:p>
      <w:pPr>
        <w:adjustRightInd w:val="0"/>
        <w:spacing w:line="360" w:lineRule="auto"/>
        <w:ind w:firstLine="482" w:firstLineChars="200"/>
        <w:rPr>
          <w:rFonts w:ascii="仿宋_GB2312" w:hAnsi="仿宋" w:eastAsia="仿宋_GB2312" w:cs="Times New Roman"/>
          <w:sz w:val="24"/>
          <w:szCs w:val="24"/>
        </w:rPr>
      </w:pPr>
      <w:r>
        <w:rPr>
          <w:rFonts w:hint="eastAsia" w:ascii="仿宋_GB2312" w:hAnsi="仿宋" w:eastAsia="仿宋_GB2312" w:cs="Times New Roman"/>
          <w:b/>
          <w:sz w:val="24"/>
          <w:szCs w:val="24"/>
        </w:rPr>
        <w:t>方式：</w:t>
      </w:r>
      <w:r>
        <w:rPr>
          <w:rFonts w:hint="eastAsia" w:ascii="仿宋_GB2312" w:hAnsi="仿宋" w:eastAsia="仿宋_GB2312" w:cs="Times New Roman"/>
          <w:sz w:val="24"/>
          <w:szCs w:val="24"/>
        </w:rPr>
        <w:t xml:space="preserve">使用账号登录或者使用CA登录政采云平台；进入“项目采购”应用，在获取采购文件菜单中选择项目，获取采购文件。（注册账号--点击“商家入驻”，进行政府采购供应商资料填写；申领CA数字证书--申领流程详见“浙江政府采购网-下载专区-电子交易客户端-CA驱动和申领流程”。） </w:t>
      </w:r>
    </w:p>
    <w:p>
      <w:pPr>
        <w:adjustRightInd w:val="0"/>
        <w:spacing w:line="360" w:lineRule="auto"/>
        <w:ind w:firstLine="482" w:firstLineChars="200"/>
        <w:rPr>
          <w:rFonts w:ascii="仿宋_GB2312" w:hAnsi="仿宋" w:eastAsia="仿宋_GB2312" w:cs="Times New Roman"/>
          <w:sz w:val="24"/>
          <w:szCs w:val="24"/>
        </w:rPr>
      </w:pPr>
      <w:r>
        <w:rPr>
          <w:rFonts w:hint="eastAsia" w:ascii="仿宋_GB2312" w:hAnsi="仿宋" w:eastAsia="仿宋_GB2312" w:cs="Times New Roman"/>
          <w:b/>
          <w:sz w:val="24"/>
          <w:szCs w:val="24"/>
        </w:rPr>
        <w:t>售价（元）：</w:t>
      </w:r>
      <w:r>
        <w:rPr>
          <w:rFonts w:hint="eastAsia" w:ascii="仿宋_GB2312" w:hAnsi="仿宋" w:eastAsia="仿宋_GB2312" w:cs="Times New Roman"/>
          <w:sz w:val="24"/>
          <w:szCs w:val="24"/>
        </w:rPr>
        <w:t xml:space="preserve">0 </w:t>
      </w:r>
    </w:p>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四、提交投标文件截止时间、开标时间和地点</w:t>
      </w:r>
    </w:p>
    <w:p>
      <w:pPr>
        <w:adjustRightInd w:val="0"/>
        <w:spacing w:line="360" w:lineRule="auto"/>
        <w:ind w:firstLine="482" w:firstLineChars="200"/>
        <w:rPr>
          <w:rFonts w:ascii="仿宋_GB2312" w:hAnsi="仿宋" w:eastAsia="仿宋_GB2312" w:cs="Times New Roman"/>
          <w:sz w:val="24"/>
          <w:szCs w:val="24"/>
          <w:highlight w:val="none"/>
        </w:rPr>
      </w:pPr>
      <w:r>
        <w:rPr>
          <w:rFonts w:hint="eastAsia" w:ascii="仿宋_GB2312" w:hAnsi="仿宋" w:eastAsia="仿宋_GB2312" w:cs="Times New Roman"/>
          <w:b/>
          <w:sz w:val="24"/>
          <w:szCs w:val="24"/>
        </w:rPr>
        <w:t>提交投标文件截止时间：</w:t>
      </w:r>
      <w:r>
        <w:rPr>
          <w:rFonts w:hint="eastAsia" w:ascii="仿宋_GB2312" w:hAnsi="仿宋" w:eastAsia="仿宋_GB2312" w:cs="Times New Roman"/>
          <w:sz w:val="24"/>
          <w:szCs w:val="24"/>
          <w:u w:val="single"/>
        </w:rPr>
        <w:t>2021</w:t>
      </w:r>
      <w:r>
        <w:rPr>
          <w:rFonts w:hint="eastAsia" w:ascii="仿宋_GB2312" w:hAnsi="仿宋" w:eastAsia="仿宋_GB2312" w:cs="Times New Roman"/>
          <w:sz w:val="24"/>
          <w:szCs w:val="24"/>
          <w:highlight w:val="none"/>
          <w:u w:val="single"/>
        </w:rPr>
        <w:t>年</w:t>
      </w:r>
      <w:r>
        <w:rPr>
          <w:rFonts w:hint="eastAsia" w:ascii="仿宋_GB2312" w:hAnsi="仿宋" w:eastAsia="仿宋_GB2312" w:cs="Times New Roman"/>
          <w:sz w:val="24"/>
          <w:szCs w:val="24"/>
          <w:highlight w:val="none"/>
          <w:u w:val="single"/>
          <w:lang w:val="en-US" w:eastAsia="zh-CN"/>
        </w:rPr>
        <w:t>11</w:t>
      </w:r>
      <w:r>
        <w:rPr>
          <w:rFonts w:hint="eastAsia" w:ascii="仿宋_GB2312" w:hAnsi="仿宋" w:eastAsia="仿宋_GB2312" w:cs="Times New Roman"/>
          <w:sz w:val="24"/>
          <w:szCs w:val="24"/>
          <w:highlight w:val="none"/>
          <w:u w:val="single"/>
        </w:rPr>
        <w:t>月</w:t>
      </w:r>
      <w:r>
        <w:rPr>
          <w:rFonts w:hint="eastAsia" w:ascii="仿宋_GB2312" w:hAnsi="仿宋" w:eastAsia="仿宋_GB2312" w:cs="Times New Roman"/>
          <w:sz w:val="24"/>
          <w:szCs w:val="24"/>
          <w:highlight w:val="none"/>
          <w:u w:val="single"/>
          <w:lang w:val="en-US" w:eastAsia="zh-CN"/>
        </w:rPr>
        <w:t>25</w:t>
      </w:r>
      <w:r>
        <w:rPr>
          <w:rFonts w:hint="eastAsia" w:ascii="仿宋_GB2312" w:hAnsi="仿宋" w:eastAsia="仿宋_GB2312" w:cs="Times New Roman"/>
          <w:sz w:val="24"/>
          <w:szCs w:val="24"/>
          <w:highlight w:val="none"/>
          <w:u w:val="single"/>
        </w:rPr>
        <w:t>日</w:t>
      </w:r>
      <w:r>
        <w:rPr>
          <w:rFonts w:hint="eastAsia" w:ascii="仿宋_GB2312" w:hAnsi="仿宋" w:eastAsia="仿宋_GB2312" w:cs="Times New Roman"/>
          <w:sz w:val="24"/>
          <w:szCs w:val="24"/>
          <w:highlight w:val="none"/>
          <w:u w:val="single"/>
          <w:lang w:val="en-US" w:eastAsia="zh-CN"/>
        </w:rPr>
        <w:t>13</w:t>
      </w:r>
      <w:r>
        <w:rPr>
          <w:rFonts w:hint="eastAsia" w:ascii="仿宋_GB2312" w:hAnsi="仿宋" w:eastAsia="仿宋_GB2312" w:cs="Times New Roman"/>
          <w:sz w:val="24"/>
          <w:szCs w:val="24"/>
          <w:highlight w:val="none"/>
          <w:u w:val="single"/>
        </w:rPr>
        <w:t>点</w:t>
      </w:r>
      <w:r>
        <w:rPr>
          <w:rFonts w:hint="eastAsia" w:ascii="仿宋_GB2312" w:hAnsi="仿宋" w:eastAsia="仿宋_GB2312" w:cs="Times New Roman"/>
          <w:sz w:val="24"/>
          <w:szCs w:val="24"/>
          <w:highlight w:val="none"/>
          <w:u w:val="single"/>
          <w:lang w:val="en-US" w:eastAsia="zh-CN"/>
        </w:rPr>
        <w:t>30</w:t>
      </w:r>
      <w:r>
        <w:rPr>
          <w:rFonts w:hint="eastAsia" w:ascii="仿宋_GB2312" w:hAnsi="仿宋" w:eastAsia="仿宋_GB2312" w:cs="Times New Roman"/>
          <w:sz w:val="24"/>
          <w:szCs w:val="24"/>
          <w:highlight w:val="none"/>
          <w:u w:val="single"/>
        </w:rPr>
        <w:t>分00秒</w:t>
      </w:r>
      <w:r>
        <w:rPr>
          <w:rFonts w:hint="eastAsia" w:ascii="仿宋_GB2312" w:hAnsi="仿宋" w:eastAsia="仿宋_GB2312" w:cs="Times New Roman"/>
          <w:sz w:val="24"/>
          <w:szCs w:val="24"/>
          <w:highlight w:val="none"/>
        </w:rPr>
        <w:t>（北京时间）</w:t>
      </w:r>
    </w:p>
    <w:p>
      <w:pPr>
        <w:adjustRightInd w:val="0"/>
        <w:spacing w:line="360" w:lineRule="auto"/>
        <w:ind w:firstLine="482" w:firstLineChars="200"/>
        <w:rPr>
          <w:rFonts w:ascii="仿宋_GB2312" w:hAnsi="仿宋" w:eastAsia="仿宋_GB2312" w:cs="Times New Roman"/>
          <w:b/>
          <w:sz w:val="24"/>
          <w:szCs w:val="24"/>
          <w:highlight w:val="none"/>
        </w:rPr>
      </w:pPr>
      <w:r>
        <w:rPr>
          <w:rFonts w:hint="eastAsia" w:ascii="仿宋_GB2312" w:hAnsi="仿宋" w:eastAsia="仿宋_GB2312" w:cs="Times New Roman"/>
          <w:b/>
          <w:sz w:val="24"/>
          <w:szCs w:val="24"/>
          <w:highlight w:val="none"/>
        </w:rPr>
        <w:t>投标地点（网址）：</w:t>
      </w:r>
      <w:r>
        <w:rPr>
          <w:rFonts w:hint="eastAsia" w:ascii="仿宋_GB2312" w:hAnsi="仿宋" w:eastAsia="仿宋_GB2312" w:cs="Times New Roman"/>
          <w:sz w:val="24"/>
          <w:szCs w:val="24"/>
          <w:highlight w:val="none"/>
        </w:rPr>
        <w:t xml:space="preserve">政采云平台（https://www.zcygov.cn/） </w:t>
      </w:r>
    </w:p>
    <w:p>
      <w:pPr>
        <w:adjustRightInd w:val="0"/>
        <w:spacing w:line="360" w:lineRule="auto"/>
        <w:ind w:firstLine="482" w:firstLineChars="200"/>
        <w:rPr>
          <w:rFonts w:ascii="仿宋_GB2312" w:hAnsi="仿宋" w:eastAsia="仿宋_GB2312" w:cs="Times New Roman"/>
          <w:sz w:val="24"/>
          <w:szCs w:val="24"/>
          <w:highlight w:val="none"/>
        </w:rPr>
      </w:pPr>
      <w:r>
        <w:rPr>
          <w:rFonts w:hint="eastAsia" w:ascii="仿宋_GB2312" w:hAnsi="仿宋" w:eastAsia="仿宋_GB2312" w:cs="Times New Roman"/>
          <w:b/>
          <w:sz w:val="24"/>
          <w:szCs w:val="24"/>
          <w:highlight w:val="none"/>
        </w:rPr>
        <w:t>开标时间：</w:t>
      </w:r>
      <w:r>
        <w:rPr>
          <w:rFonts w:hint="eastAsia" w:ascii="仿宋_GB2312" w:hAnsi="仿宋" w:eastAsia="仿宋_GB2312" w:cs="Times New Roman"/>
          <w:sz w:val="24"/>
          <w:szCs w:val="24"/>
          <w:highlight w:val="none"/>
          <w:u w:val="single"/>
        </w:rPr>
        <w:t>2021年</w:t>
      </w:r>
      <w:r>
        <w:rPr>
          <w:rFonts w:hint="eastAsia" w:ascii="仿宋_GB2312" w:hAnsi="仿宋" w:eastAsia="仿宋_GB2312" w:cs="Times New Roman"/>
          <w:sz w:val="24"/>
          <w:szCs w:val="24"/>
          <w:highlight w:val="none"/>
          <w:u w:val="single"/>
          <w:lang w:val="en-US" w:eastAsia="zh-CN"/>
        </w:rPr>
        <w:t>11</w:t>
      </w:r>
      <w:r>
        <w:rPr>
          <w:rFonts w:hint="eastAsia" w:ascii="仿宋_GB2312" w:hAnsi="仿宋" w:eastAsia="仿宋_GB2312" w:cs="Times New Roman"/>
          <w:sz w:val="24"/>
          <w:szCs w:val="24"/>
          <w:highlight w:val="none"/>
          <w:u w:val="single"/>
        </w:rPr>
        <w:t>月</w:t>
      </w:r>
      <w:r>
        <w:rPr>
          <w:rFonts w:hint="eastAsia" w:ascii="仿宋_GB2312" w:hAnsi="仿宋" w:eastAsia="仿宋_GB2312" w:cs="Times New Roman"/>
          <w:sz w:val="24"/>
          <w:szCs w:val="24"/>
          <w:highlight w:val="none"/>
          <w:u w:val="single"/>
          <w:lang w:val="en-US" w:eastAsia="zh-CN"/>
        </w:rPr>
        <w:t>25</w:t>
      </w:r>
      <w:r>
        <w:rPr>
          <w:rFonts w:hint="eastAsia" w:ascii="仿宋_GB2312" w:hAnsi="仿宋" w:eastAsia="仿宋_GB2312" w:cs="Times New Roman"/>
          <w:sz w:val="24"/>
          <w:szCs w:val="24"/>
          <w:highlight w:val="none"/>
          <w:u w:val="single"/>
        </w:rPr>
        <w:t>日</w:t>
      </w:r>
      <w:r>
        <w:rPr>
          <w:rFonts w:hint="eastAsia" w:ascii="仿宋_GB2312" w:hAnsi="仿宋" w:eastAsia="仿宋_GB2312" w:cs="Times New Roman"/>
          <w:sz w:val="24"/>
          <w:szCs w:val="24"/>
          <w:highlight w:val="none"/>
          <w:u w:val="single"/>
          <w:lang w:val="en-US" w:eastAsia="zh-CN"/>
        </w:rPr>
        <w:t>13</w:t>
      </w:r>
      <w:r>
        <w:rPr>
          <w:rFonts w:hint="eastAsia" w:ascii="仿宋_GB2312" w:hAnsi="仿宋" w:eastAsia="仿宋_GB2312" w:cs="Times New Roman"/>
          <w:sz w:val="24"/>
          <w:szCs w:val="24"/>
          <w:highlight w:val="none"/>
          <w:u w:val="single"/>
        </w:rPr>
        <w:t>点</w:t>
      </w:r>
      <w:r>
        <w:rPr>
          <w:rFonts w:hint="eastAsia" w:ascii="仿宋_GB2312" w:hAnsi="仿宋" w:eastAsia="仿宋_GB2312" w:cs="Times New Roman"/>
          <w:sz w:val="24"/>
          <w:szCs w:val="24"/>
          <w:highlight w:val="none"/>
          <w:u w:val="single"/>
          <w:lang w:val="en-US" w:eastAsia="zh-CN"/>
        </w:rPr>
        <w:t>30</w:t>
      </w:r>
      <w:r>
        <w:rPr>
          <w:rFonts w:hint="eastAsia" w:ascii="仿宋_GB2312" w:hAnsi="仿宋" w:eastAsia="仿宋_GB2312" w:cs="Times New Roman"/>
          <w:sz w:val="24"/>
          <w:szCs w:val="24"/>
          <w:highlight w:val="none"/>
          <w:u w:val="single"/>
        </w:rPr>
        <w:t>分00秒</w:t>
      </w:r>
    </w:p>
    <w:p>
      <w:pPr>
        <w:adjustRightInd w:val="0"/>
        <w:spacing w:line="360" w:lineRule="auto"/>
        <w:ind w:firstLine="482" w:firstLineChars="200"/>
        <w:rPr>
          <w:rFonts w:ascii="仿宋_GB2312" w:hAnsi="仿宋" w:eastAsia="仿宋_GB2312" w:cs="Times New Roman"/>
          <w:sz w:val="24"/>
          <w:szCs w:val="24"/>
        </w:rPr>
      </w:pPr>
      <w:r>
        <w:rPr>
          <w:rFonts w:hint="eastAsia" w:ascii="仿宋_GB2312" w:hAnsi="仿宋" w:eastAsia="仿宋_GB2312" w:cs="Times New Roman"/>
          <w:b/>
          <w:sz w:val="24"/>
          <w:szCs w:val="24"/>
          <w:highlight w:val="none"/>
        </w:rPr>
        <w:t>开标地点（网址）：</w:t>
      </w:r>
      <w:r>
        <w:rPr>
          <w:rFonts w:hint="eastAsia" w:ascii="仿宋_GB2312" w:hAnsi="仿宋" w:eastAsia="仿宋_GB2312" w:cs="Times New Roman"/>
          <w:sz w:val="24"/>
          <w:szCs w:val="24"/>
          <w:highlight w:val="none"/>
        </w:rPr>
        <w:t>杭州市公共资源交</w:t>
      </w:r>
      <w:r>
        <w:rPr>
          <w:rFonts w:hint="eastAsia" w:ascii="仿宋_GB2312" w:hAnsi="仿宋" w:eastAsia="仿宋_GB2312" w:cs="Times New Roman"/>
          <w:sz w:val="24"/>
          <w:szCs w:val="24"/>
        </w:rPr>
        <w:t>易中心</w:t>
      </w:r>
      <w:r>
        <w:rPr>
          <w:rFonts w:hint="eastAsia" w:ascii="仿宋_GB2312" w:hAnsi="仿宋" w:eastAsia="仿宋_GB2312" w:cs="Times New Roman"/>
          <w:color w:val="auto"/>
          <w:sz w:val="24"/>
          <w:szCs w:val="24"/>
          <w:lang w:eastAsia="zh-CN"/>
        </w:rPr>
        <w:t>临安分中心</w:t>
      </w:r>
      <w:r>
        <w:rPr>
          <w:rFonts w:hint="eastAsia" w:ascii="仿宋_GB2312" w:hAnsi="仿宋" w:eastAsia="仿宋_GB2312" w:cs="Times New Roman"/>
          <w:color w:val="auto"/>
          <w:sz w:val="24"/>
          <w:szCs w:val="24"/>
          <w:lang w:val="en-US" w:eastAsia="zh-CN"/>
        </w:rPr>
        <w:t>1号</w:t>
      </w:r>
      <w:r>
        <w:rPr>
          <w:rFonts w:hint="eastAsia" w:ascii="仿宋_GB2312" w:hAnsi="仿宋" w:eastAsia="仿宋_GB2312" w:cs="Times New Roman"/>
          <w:color w:val="auto"/>
          <w:sz w:val="24"/>
          <w:szCs w:val="24"/>
        </w:rPr>
        <w:t>开标室[杭州市</w:t>
      </w:r>
      <w:r>
        <w:rPr>
          <w:rFonts w:hint="eastAsia" w:ascii="仿宋_GB2312" w:hAnsi="仿宋" w:eastAsia="仿宋_GB2312" w:cs="Times New Roman"/>
          <w:color w:val="auto"/>
          <w:sz w:val="24"/>
          <w:szCs w:val="24"/>
          <w:lang w:eastAsia="zh-CN"/>
        </w:rPr>
        <w:t>临安区锦北街道科技大道</w:t>
      </w:r>
      <w:r>
        <w:rPr>
          <w:rFonts w:hint="eastAsia" w:ascii="仿宋_GB2312" w:hAnsi="仿宋" w:eastAsia="仿宋_GB2312" w:cs="Times New Roman"/>
          <w:color w:val="auto"/>
          <w:sz w:val="24"/>
          <w:szCs w:val="24"/>
          <w:lang w:val="en-US" w:eastAsia="zh-CN"/>
        </w:rPr>
        <w:t>4398号市民中心B座4楼</w:t>
      </w:r>
      <w:r>
        <w:rPr>
          <w:rFonts w:hint="eastAsia" w:ascii="仿宋_GB2312" w:hAnsi="仿宋" w:eastAsia="仿宋_GB2312" w:cs="Times New Roman"/>
          <w:color w:val="auto"/>
          <w:sz w:val="24"/>
          <w:szCs w:val="24"/>
        </w:rPr>
        <w:t>]， 政采云平台（https://www.zcygov.cn/）</w:t>
      </w:r>
    </w:p>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 xml:space="preserve">五、公告期限 </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自本公告发布之日起5个工作日。</w:t>
      </w:r>
    </w:p>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六、其他补充事宜</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2.其他事项： 2.1落实政府采购政策：包括保护环境、节约能源、促进中小企业发展等。详见招标文件的第二部分总则。为支持和促进中小企业发展，杭州市财政局出台了政府采购信用融资政策，供应商可凭中标合同申请贷款，利率一般为不高于基准利率上浮10%。具体可登录http://220.191.208.230/login.do办理业务。 2.2电子招投标的说明：2.2.1采购人、采购机构将依托政采云平台完成本项目的电子交易活动，平台不接受未按上述方式获取招标文件的供应商进行投标活动； 2.2.2对未按上述方式获取招标文件的供应商对该文件提出的质疑，采购人或采购代理机构将不予处理；2.2.3不提供招标文件纸质版；2.2.4电子招投标：本项目以数据电文形式，依托“政府采购云平台（www.zcygov.cn）”进行招投标活动，不接受纸质投标文件；2.2.5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2.2.6招标文件的获取：使用账号登录或者使用CA登录政采云平台；进入“项目采购”应用，在获取采购文件菜单中选择项目，获取招标文件；2.2.7投标文件的制作：在“政采云电子交易客户端”中完成“填写基本信息”、“导入投标文件”、“标书关联”、“标书检查”、“电子签名”、“生成电子标书”等操作；2.2.8投标文件的传输递交：投标人在投标截止时间前将加密的投标文件上传至政府采购云平台，还可以在投标截止时间前直接提交或者以邮政快递方式递交备份投标文件1份；备份投标文的制作、存储、密封详见招标文件第二部分第15点—“备份投标文件”；2.2.9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2.2.10具体操作指南：详见政采云平台“服务中心-帮助文档-项目采购-操作流程-电子招投标-政府采购项目电子交易管理操作指南-供应商”</w:t>
      </w:r>
      <w:r>
        <w:rPr>
          <w:rFonts w:hint="eastAsia" w:ascii="仿宋_GB2312" w:hAnsi="仿宋" w:eastAsia="仿宋_GB2312" w:cs="仿宋_GB2312"/>
          <w:sz w:val="24"/>
          <w:szCs w:val="24"/>
        </w:rPr>
        <w:t>。</w:t>
      </w:r>
    </w:p>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七、对本次采购提出询问、质疑、投诉，请按以下方式联系</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1.采购人信息</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名    称：</w:t>
      </w:r>
      <w:r>
        <w:rPr>
          <w:rFonts w:hint="eastAsia" w:ascii="仿宋_GB2312" w:hAnsi="仿宋" w:eastAsia="仿宋_GB2312" w:cs="Times New Roman"/>
          <w:sz w:val="24"/>
          <w:szCs w:val="24"/>
          <w:lang w:eastAsia="zh-CN"/>
        </w:rPr>
        <w:t>杭州市</w:t>
      </w:r>
      <w:r>
        <w:rPr>
          <w:rFonts w:hint="eastAsia" w:ascii="仿宋_GB2312" w:hAnsi="仿宋" w:eastAsia="仿宋_GB2312" w:cs="Times New Roman"/>
          <w:sz w:val="24"/>
          <w:szCs w:val="24"/>
        </w:rPr>
        <w:t>临安区锦南新城管理委员会</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地</w:t>
      </w:r>
      <w:r>
        <w:rPr>
          <w:rFonts w:ascii="仿宋_GB2312" w:hAnsi="仿宋" w:eastAsia="仿宋_GB2312" w:cs="Times New Roman"/>
          <w:sz w:val="24"/>
          <w:szCs w:val="24"/>
        </w:rPr>
        <w:t xml:space="preserve">    </w:t>
      </w:r>
      <w:r>
        <w:rPr>
          <w:rFonts w:hint="eastAsia" w:ascii="仿宋_GB2312" w:hAnsi="仿宋" w:eastAsia="仿宋_GB2312" w:cs="Times New Roman"/>
          <w:sz w:val="24"/>
          <w:szCs w:val="24"/>
        </w:rPr>
        <w:t>址：临安区锦街道九州街599号</w:t>
      </w:r>
      <w:r>
        <w:rPr>
          <w:rFonts w:hint="eastAsia" w:ascii="仿宋" w:hAnsi="仿宋" w:eastAsia="仿宋" w:cs="仿宋"/>
          <w:sz w:val="24"/>
        </w:rPr>
        <w:t xml:space="preserve"> </w:t>
      </w:r>
    </w:p>
    <w:p>
      <w:pPr>
        <w:adjustRightInd w:val="0"/>
        <w:spacing w:line="360" w:lineRule="auto"/>
        <w:ind w:firstLine="480"/>
        <w:rPr>
          <w:rFonts w:ascii="仿宋" w:hAnsi="仿宋" w:eastAsia="仿宋" w:cs="仿宋"/>
          <w:sz w:val="24"/>
        </w:rPr>
      </w:pPr>
      <w:r>
        <w:rPr>
          <w:rFonts w:ascii="仿宋_GB2312" w:hAnsi="仿宋" w:eastAsia="仿宋_GB2312" w:cs="Times New Roman"/>
          <w:sz w:val="24"/>
          <w:szCs w:val="24"/>
        </w:rPr>
        <w:t>传    真：</w:t>
      </w:r>
      <w:r>
        <w:rPr>
          <w:rFonts w:hint="eastAsia" w:ascii="仿宋_GB2312" w:hAnsi="仿宋" w:eastAsia="仿宋_GB2312" w:cs="Times New Roman"/>
          <w:sz w:val="24"/>
          <w:szCs w:val="24"/>
          <w:lang w:val="en-US" w:eastAsia="zh-CN"/>
        </w:rPr>
        <w:t>/</w:t>
      </w:r>
      <w:r>
        <w:rPr>
          <w:rFonts w:hint="eastAsia" w:ascii="仿宋" w:hAnsi="仿宋" w:eastAsia="仿宋" w:cs="仿宋"/>
          <w:sz w:val="24"/>
        </w:rPr>
        <w:t xml:space="preserve"> </w:t>
      </w:r>
    </w:p>
    <w:p>
      <w:pPr>
        <w:adjustRightInd w:val="0"/>
        <w:spacing w:line="360" w:lineRule="auto"/>
        <w:ind w:firstLine="480"/>
        <w:rPr>
          <w:rFonts w:ascii="仿宋_GB2312" w:hAnsi="仿宋" w:eastAsia="仿宋_GB2312" w:cs="Times New Roman"/>
          <w:sz w:val="24"/>
          <w:szCs w:val="24"/>
        </w:rPr>
      </w:pPr>
      <w:r>
        <w:rPr>
          <w:rFonts w:ascii="仿宋_GB2312" w:hAnsi="仿宋" w:eastAsia="仿宋_GB2312" w:cs="Times New Roman"/>
          <w:sz w:val="24"/>
          <w:szCs w:val="24"/>
        </w:rPr>
        <w:t>项目联系人（询问）：黄清波</w:t>
      </w:r>
      <w:r>
        <w:rPr>
          <w:rFonts w:hint="eastAsia" w:ascii="仿宋" w:hAnsi="仿宋" w:eastAsia="仿宋" w:cs="仿宋"/>
          <w:sz w:val="24"/>
        </w:rPr>
        <w:t xml:space="preserve"> </w:t>
      </w:r>
    </w:p>
    <w:p>
      <w:pPr>
        <w:adjustRightInd w:val="0"/>
        <w:spacing w:line="360" w:lineRule="auto"/>
        <w:rPr>
          <w:rFonts w:ascii="仿宋_GB2312" w:hAnsi="仿宋" w:eastAsia="仿宋_GB2312" w:cs="Times New Roman"/>
          <w:sz w:val="24"/>
          <w:szCs w:val="24"/>
        </w:rPr>
      </w:pPr>
      <w:r>
        <w:rPr>
          <w:rFonts w:ascii="仿宋_GB2312" w:hAnsi="仿宋" w:eastAsia="仿宋_GB2312" w:cs="Times New Roman"/>
          <w:sz w:val="24"/>
          <w:szCs w:val="24"/>
        </w:rPr>
        <w:t xml:space="preserve">    项目联系方式（询问）：0571-61066312</w:t>
      </w:r>
      <w:r>
        <w:rPr>
          <w:rFonts w:hint="eastAsia" w:ascii="仿宋" w:hAnsi="仿宋" w:eastAsia="仿宋" w:cs="仿宋"/>
          <w:sz w:val="24"/>
        </w:rPr>
        <w:t xml:space="preserve"> </w:t>
      </w:r>
    </w:p>
    <w:p>
      <w:pPr>
        <w:adjustRightInd w:val="0"/>
        <w:spacing w:line="360" w:lineRule="auto"/>
        <w:ind w:firstLine="480"/>
        <w:rPr>
          <w:rFonts w:ascii="仿宋_GB2312" w:hAnsi="仿宋" w:eastAsia="仿宋_GB2312" w:cs="Times New Roman"/>
          <w:sz w:val="24"/>
          <w:szCs w:val="24"/>
        </w:rPr>
      </w:pPr>
      <w:r>
        <w:rPr>
          <w:rFonts w:ascii="仿宋_GB2312" w:hAnsi="仿宋" w:eastAsia="仿宋_GB2312" w:cs="Times New Roman"/>
          <w:sz w:val="24"/>
          <w:szCs w:val="24"/>
        </w:rPr>
        <w:t>质疑联系人：方根悦</w:t>
      </w:r>
      <w:r>
        <w:rPr>
          <w:rFonts w:hint="eastAsia" w:ascii="仿宋" w:hAnsi="仿宋" w:eastAsia="仿宋" w:cs="仿宋"/>
          <w:sz w:val="24"/>
        </w:rPr>
        <w:t xml:space="preserve"> </w:t>
      </w:r>
    </w:p>
    <w:p>
      <w:pPr>
        <w:adjustRightInd w:val="0"/>
        <w:spacing w:line="360" w:lineRule="auto"/>
        <w:ind w:firstLine="480"/>
        <w:rPr>
          <w:rFonts w:ascii="仿宋_GB2312" w:hAnsi="仿宋" w:eastAsia="仿宋_GB2312" w:cs="Times New Roman"/>
          <w:sz w:val="24"/>
          <w:szCs w:val="24"/>
        </w:rPr>
      </w:pPr>
      <w:r>
        <w:rPr>
          <w:rFonts w:ascii="仿宋_GB2312" w:hAnsi="仿宋" w:eastAsia="仿宋_GB2312" w:cs="Times New Roman"/>
          <w:sz w:val="24"/>
          <w:szCs w:val="24"/>
        </w:rPr>
        <w:t>质疑联系方式：0571-61066312</w:t>
      </w:r>
      <w:r>
        <w:rPr>
          <w:rFonts w:hint="eastAsia" w:ascii="仿宋" w:hAnsi="仿宋" w:eastAsia="仿宋" w:cs="仿宋"/>
          <w:sz w:val="24"/>
        </w:rPr>
        <w:t xml:space="preserve">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2.采购代理机构信息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名    称：杭州市公共资源交易中心</w:t>
      </w:r>
      <w:r>
        <w:rPr>
          <w:rFonts w:hint="eastAsia" w:ascii="仿宋_GB2312" w:hAnsi="仿宋" w:eastAsia="仿宋_GB2312" w:cs="Times New Roman"/>
          <w:sz w:val="24"/>
          <w:szCs w:val="24"/>
          <w:lang w:eastAsia="zh-CN"/>
        </w:rPr>
        <w:t>临安分中心</w:t>
      </w:r>
      <w:r>
        <w:rPr>
          <w:rFonts w:hint="eastAsia" w:ascii="仿宋_GB2312" w:hAnsi="仿宋" w:eastAsia="仿宋_GB2312" w:cs="Times New Roman"/>
          <w:sz w:val="24"/>
          <w:szCs w:val="24"/>
        </w:rPr>
        <w:t xml:space="preserve">             </w:t>
      </w:r>
    </w:p>
    <w:p>
      <w:pPr>
        <w:adjustRightInd w:val="0"/>
        <w:spacing w:line="360" w:lineRule="auto"/>
        <w:rPr>
          <w:rFonts w:hint="default" w:ascii="仿宋_GB2312" w:hAnsi="仿宋" w:eastAsia="仿宋_GB2312" w:cs="Times New Roman"/>
          <w:sz w:val="24"/>
          <w:szCs w:val="24"/>
          <w:lang w:val="en-US" w:eastAsia="zh-CN"/>
        </w:rPr>
      </w:pPr>
      <w:r>
        <w:rPr>
          <w:rFonts w:hint="eastAsia" w:ascii="仿宋_GB2312" w:hAnsi="仿宋" w:eastAsia="仿宋_GB2312" w:cs="Times New Roman"/>
          <w:sz w:val="24"/>
          <w:szCs w:val="24"/>
        </w:rPr>
        <w:t xml:space="preserve">    地    址：</w:t>
      </w:r>
      <w:r>
        <w:rPr>
          <w:rFonts w:hint="eastAsia" w:ascii="仿宋_GB2312" w:hAnsi="仿宋" w:eastAsia="仿宋_GB2312" w:cs="Times New Roman"/>
          <w:sz w:val="24"/>
          <w:szCs w:val="24"/>
          <w:lang w:eastAsia="zh-CN"/>
        </w:rPr>
        <w:t>浙江省杭州市临安区锦北街道科技大道</w:t>
      </w:r>
      <w:r>
        <w:rPr>
          <w:rFonts w:hint="eastAsia" w:ascii="仿宋_GB2312" w:hAnsi="仿宋" w:eastAsia="仿宋_GB2312" w:cs="Times New Roman"/>
          <w:sz w:val="24"/>
          <w:szCs w:val="24"/>
          <w:lang w:val="en-US" w:eastAsia="zh-CN"/>
        </w:rPr>
        <w:t>4398号市民中心4楼</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传    真：</w:t>
      </w:r>
      <w:r>
        <w:rPr>
          <w:rFonts w:hint="eastAsia" w:ascii="仿宋_GB2312" w:hAnsi="仿宋" w:eastAsia="仿宋_GB2312" w:cs="Times New Roman"/>
          <w:sz w:val="24"/>
          <w:szCs w:val="24"/>
          <w:lang w:val="en-US" w:eastAsia="zh-CN"/>
        </w:rPr>
        <w:t>0571-23616016</w:t>
      </w:r>
      <w:r>
        <w:rPr>
          <w:rFonts w:hint="eastAsia" w:ascii="仿宋_GB2312" w:hAnsi="仿宋" w:eastAsia="仿宋_GB2312" w:cs="Times New Roman"/>
          <w:sz w:val="24"/>
          <w:szCs w:val="24"/>
        </w:rPr>
        <w:t xml:space="preserve">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项目联系人（询问）：</w:t>
      </w:r>
      <w:r>
        <w:rPr>
          <w:rFonts w:hint="eastAsia" w:ascii="仿宋_GB2312" w:hAnsi="仿宋" w:eastAsia="仿宋_GB2312" w:cs="Times New Roman"/>
          <w:sz w:val="24"/>
          <w:szCs w:val="24"/>
          <w:lang w:eastAsia="zh-CN"/>
        </w:rPr>
        <w:t>杨颖</w:t>
      </w:r>
      <w:r>
        <w:rPr>
          <w:rFonts w:hint="eastAsia" w:ascii="仿宋_GB2312" w:hAnsi="仿宋" w:eastAsia="仿宋_GB2312" w:cs="Times New Roman"/>
          <w:sz w:val="24"/>
          <w:szCs w:val="24"/>
        </w:rPr>
        <w:t xml:space="preserve">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项目联系方式（询问）：</w:t>
      </w:r>
      <w:r>
        <w:rPr>
          <w:rFonts w:hint="eastAsia" w:ascii="仿宋_GB2312" w:hAnsi="仿宋" w:eastAsia="仿宋_GB2312" w:cs="Times New Roman"/>
          <w:sz w:val="24"/>
          <w:szCs w:val="24"/>
          <w:lang w:val="en-US" w:eastAsia="zh-CN"/>
        </w:rPr>
        <w:t>0571-23616011</w:t>
      </w:r>
      <w:r>
        <w:rPr>
          <w:rFonts w:hint="eastAsia" w:ascii="仿宋_GB2312" w:hAnsi="仿宋" w:eastAsia="仿宋_GB2312" w:cs="Times New Roman"/>
          <w:sz w:val="24"/>
          <w:szCs w:val="24"/>
        </w:rPr>
        <w:t xml:space="preserve">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质疑联系人：</w:t>
      </w:r>
      <w:r>
        <w:rPr>
          <w:rFonts w:hint="eastAsia" w:ascii="仿宋_GB2312" w:hAnsi="仿宋" w:eastAsia="仿宋_GB2312" w:cs="Times New Roman"/>
          <w:sz w:val="24"/>
          <w:szCs w:val="24"/>
          <w:lang w:eastAsia="zh-CN"/>
        </w:rPr>
        <w:t>张晨</w:t>
      </w:r>
      <w:r>
        <w:rPr>
          <w:rFonts w:hint="eastAsia" w:ascii="仿宋_GB2312" w:hAnsi="仿宋" w:eastAsia="仿宋_GB2312" w:cs="Times New Roman"/>
          <w:sz w:val="24"/>
          <w:szCs w:val="24"/>
        </w:rPr>
        <w:t xml:space="preserve">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质疑联系方式：0571-</w:t>
      </w:r>
      <w:r>
        <w:rPr>
          <w:rFonts w:hint="eastAsia" w:ascii="仿宋_GB2312" w:hAnsi="仿宋" w:eastAsia="仿宋_GB2312" w:cs="Times New Roman"/>
          <w:sz w:val="24"/>
          <w:szCs w:val="24"/>
          <w:lang w:val="en-US" w:eastAsia="zh-CN"/>
        </w:rPr>
        <w:t>23616016</w:t>
      </w:r>
      <w:r>
        <w:rPr>
          <w:rFonts w:hint="eastAsia" w:ascii="仿宋_GB2312" w:hAnsi="仿宋" w:eastAsia="仿宋_GB2312" w:cs="Times New Roman"/>
          <w:sz w:val="24"/>
          <w:szCs w:val="24"/>
        </w:rPr>
        <w:t xml:space="preserve">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3.同级政府采购监督管理部门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名    称：杭州市临安区财政局政府采购监督管理科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地    址：</w:t>
      </w:r>
      <w:r>
        <w:rPr>
          <w:rFonts w:hint="eastAsia" w:ascii="仿宋_GB2312" w:hAnsi="仿宋" w:eastAsia="仿宋_GB2312"/>
          <w:sz w:val="24"/>
        </w:rPr>
        <w:t>浙江</w:t>
      </w:r>
      <w:r>
        <w:rPr>
          <w:rFonts w:hint="eastAsia" w:ascii="仿宋_GB2312" w:hAnsi="仿宋" w:eastAsia="仿宋_GB2312"/>
          <w:sz w:val="24"/>
          <w:lang w:eastAsia="zh-CN"/>
        </w:rPr>
        <w:t>省杭州市临安区锦北街道科技大道</w:t>
      </w:r>
      <w:r>
        <w:rPr>
          <w:rFonts w:hint="eastAsia" w:ascii="仿宋_GB2312" w:hAnsi="仿宋" w:eastAsia="仿宋_GB2312"/>
          <w:sz w:val="24"/>
          <w:lang w:val="en-US" w:eastAsia="zh-CN"/>
        </w:rPr>
        <w:t>4398号4号楼11楼</w:t>
      </w:r>
      <w:r>
        <w:rPr>
          <w:rFonts w:hint="eastAsia" w:ascii="仿宋_GB2312" w:hAnsi="仿宋" w:eastAsia="仿宋_GB2312" w:cs="Times New Roman"/>
          <w:sz w:val="24"/>
          <w:szCs w:val="24"/>
        </w:rPr>
        <w:t xml:space="preserve"> </w:t>
      </w:r>
    </w:p>
    <w:p>
      <w:pPr>
        <w:adjustRightInd w:val="0"/>
        <w:spacing w:line="360" w:lineRule="auto"/>
        <w:ind w:firstLine="240" w:firstLineChars="100"/>
        <w:rPr>
          <w:rFonts w:ascii="仿宋_GB2312" w:hAnsi="仿宋" w:eastAsia="仿宋_GB2312" w:cs="Times New Roman"/>
          <w:sz w:val="24"/>
          <w:szCs w:val="24"/>
        </w:rPr>
      </w:pPr>
      <w:r>
        <w:rPr>
          <w:rFonts w:hint="eastAsia" w:ascii="仿宋_GB2312" w:hAnsi="仿宋" w:eastAsia="仿宋_GB2312" w:cs="Times New Roman"/>
          <w:sz w:val="24"/>
          <w:szCs w:val="24"/>
        </w:rPr>
        <w:t xml:space="preserve">  传    真：0571-63722886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联系人 ：喻伟建 </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 xml:space="preserve">    监督投诉电话：0571-61073953           </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 xml:space="preserve">若对项目采购电子交易系统操作有疑问，可登录政采云（https://www.zcygov.cn/），点击右侧咨询小采，获取采小蜜智能服务管家帮助，或拨打政采云服务热线400-881-7190获取热线服务帮助。       </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CA问题联系电话（人工）：汇信CA 400-888-4636；天谷CA 400-087-8198。</w:t>
      </w:r>
    </w:p>
    <w:p>
      <w:pPr>
        <w:adjustRightInd w:val="0"/>
        <w:spacing w:line="360" w:lineRule="auto"/>
        <w:ind w:firstLine="472" w:firstLineChars="196"/>
        <w:rPr>
          <w:rFonts w:ascii="仿宋_GB2312" w:hAnsi="仿宋" w:eastAsia="仿宋_GB2312" w:cs="仿宋_GB2312"/>
          <w:b/>
          <w:snapToGrid w:val="0"/>
          <w:sz w:val="24"/>
          <w:szCs w:val="24"/>
        </w:rPr>
      </w:pPr>
    </w:p>
    <w:p>
      <w:pPr>
        <w:adjustRightInd w:val="0"/>
        <w:spacing w:line="360" w:lineRule="auto"/>
        <w:ind w:firstLine="200"/>
        <w:jc w:val="center"/>
        <w:rPr>
          <w:rFonts w:ascii="仿宋_GB2312" w:hAnsi="仿宋" w:eastAsia="仿宋_GB2312" w:cs="仿宋_GB2312"/>
          <w:sz w:val="24"/>
          <w:szCs w:val="24"/>
        </w:rPr>
      </w:pPr>
      <w:r>
        <w:rPr>
          <w:rFonts w:hint="eastAsia" w:ascii="仿宋_GB2312" w:hAnsi="仿宋" w:eastAsia="仿宋_GB2312" w:cs="仿宋_GB2312"/>
          <w:sz w:val="24"/>
          <w:szCs w:val="24"/>
        </w:rPr>
        <w:t xml:space="preserve">                    </w:t>
      </w:r>
    </w:p>
    <w:p>
      <w:pPr>
        <w:adjustRightInd w:val="0"/>
        <w:spacing w:line="360" w:lineRule="auto"/>
        <w:ind w:firstLine="200"/>
        <w:jc w:val="center"/>
        <w:rPr>
          <w:rFonts w:ascii="仿宋_GB2312" w:hAnsi="仿宋" w:eastAsia="仿宋_GB2312" w:cs="仿宋_GB2312"/>
          <w:snapToGrid w:val="0"/>
          <w:sz w:val="24"/>
          <w:szCs w:val="24"/>
        </w:rPr>
      </w:pPr>
      <w:r>
        <w:rPr>
          <w:rFonts w:hint="eastAsia" w:ascii="仿宋_GB2312" w:hAnsi="仿宋" w:eastAsia="仿宋_GB2312" w:cs="仿宋_GB2312"/>
          <w:sz w:val="24"/>
          <w:szCs w:val="24"/>
        </w:rPr>
        <w:t xml:space="preserve">                     </w:t>
      </w:r>
    </w:p>
    <w:p>
      <w:pPr>
        <w:spacing w:line="360" w:lineRule="auto"/>
        <w:jc w:val="center"/>
        <w:outlineLvl w:val="0"/>
        <w:rPr>
          <w:rFonts w:ascii="仿宋_GB2312" w:hAnsi="仿宋" w:eastAsia="仿宋_GB2312" w:cs="仿宋_GB2312"/>
          <w:b/>
          <w:sz w:val="36"/>
          <w:szCs w:val="20"/>
        </w:rPr>
      </w:pPr>
      <w:r>
        <w:rPr>
          <w:rFonts w:hint="eastAsia" w:ascii="仿宋_GB2312" w:hAnsi="仿宋" w:eastAsia="仿宋_GB2312" w:cs="仿宋_GB2312"/>
          <w:b/>
          <w:sz w:val="36"/>
          <w:szCs w:val="20"/>
        </w:rPr>
        <w:br w:type="page"/>
      </w:r>
      <w:r>
        <w:rPr>
          <w:rFonts w:hint="eastAsia" w:ascii="仿宋_GB2312" w:hAnsi="仿宋" w:eastAsia="仿宋_GB2312" w:cs="仿宋_GB2312"/>
          <w:b/>
          <w:sz w:val="36"/>
          <w:szCs w:val="20"/>
        </w:rPr>
        <w:t>第二部分</w:t>
      </w:r>
      <w:bookmarkEnd w:id="7"/>
      <w:r>
        <w:rPr>
          <w:rFonts w:hint="eastAsia" w:ascii="仿宋_GB2312" w:hAnsi="仿宋" w:eastAsia="仿宋_GB2312" w:cs="仿宋_GB2312"/>
          <w:b/>
          <w:sz w:val="36"/>
          <w:szCs w:val="20"/>
        </w:rPr>
        <w:t xml:space="preserve"> 投标人须知</w:t>
      </w:r>
      <w:bookmarkEnd w:id="8"/>
    </w:p>
    <w:p>
      <w:pPr>
        <w:adjustRightInd w:val="0"/>
        <w:snapToGrid w:val="0"/>
        <w:spacing w:line="360" w:lineRule="auto"/>
        <w:jc w:val="center"/>
        <w:rPr>
          <w:rFonts w:ascii="仿宋_GB2312" w:hAnsi="仿宋" w:eastAsia="仿宋_GB2312" w:cs="仿宋_GB2312"/>
          <w:b/>
          <w:sz w:val="32"/>
          <w:szCs w:val="20"/>
        </w:rPr>
      </w:pPr>
      <w:r>
        <w:rPr>
          <w:rFonts w:hint="eastAsia" w:ascii="仿宋_GB2312" w:hAnsi="仿宋" w:eastAsia="仿宋_GB2312" w:cs="仿宋_GB2312"/>
          <w:b/>
          <w:sz w:val="32"/>
          <w:szCs w:val="20"/>
        </w:rPr>
        <w:t>前附表</w:t>
      </w:r>
    </w:p>
    <w:tbl>
      <w:tblPr>
        <w:tblStyle w:val="62"/>
        <w:tblW w:w="855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7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事项</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tcPr>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报价要求</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jc w:val="left"/>
              <w:rPr>
                <w:rFonts w:ascii="仿宋_GB2312" w:hAnsi="仿宋" w:eastAsia="仿宋_GB2312" w:cs="仿宋_GB2312"/>
                <w:kern w:val="0"/>
                <w:sz w:val="24"/>
                <w:szCs w:val="24"/>
                <w:lang w:val="zh-CN"/>
              </w:rPr>
            </w:pPr>
            <w:r>
              <w:rPr>
                <w:rFonts w:hint="eastAsia" w:ascii="仿宋_GB2312" w:hAnsi="仿宋" w:eastAsia="仿宋_GB2312" w:cs="Times New Roman"/>
                <w:kern w:val="0"/>
                <w:sz w:val="24"/>
                <w:szCs w:val="24"/>
                <w:lang w:val="zh-CN"/>
              </w:rPr>
              <w:t>有关本项目建设所需等费用均计入报价。</w:t>
            </w:r>
            <w:r>
              <w:rPr>
                <w:rFonts w:hint="eastAsia" w:ascii="仿宋_GB2312" w:hAnsi="仿宋" w:eastAsia="仿宋_GB2312" w:cs="Times New Roman"/>
                <w:sz w:val="24"/>
                <w:szCs w:val="24"/>
              </w:rPr>
              <w:t>《投标（开标）一览表》是报价的唯一载体</w:t>
            </w:r>
            <w:r>
              <w:rPr>
                <w:rFonts w:hint="eastAsia" w:ascii="仿宋_GB2312" w:hAnsi="仿宋" w:eastAsia="仿宋_GB2312" w:cs="仿宋_GB2312"/>
                <w:kern w:val="0"/>
                <w:sz w:val="24"/>
                <w:szCs w:val="24"/>
                <w:lang w:val="zh-CN"/>
              </w:rPr>
              <w:t>。投标文件中价格全部采用人民币报价。招标文件未列明，而投标人认为必需的费用也需列入报价</w:t>
            </w:r>
            <w:r>
              <w:rPr>
                <w:rFonts w:hint="eastAsia" w:ascii="仿宋_GB2312" w:hAnsi="仿宋" w:eastAsia="仿宋_GB2312" w:cs="仿宋_GB2312"/>
                <w:b/>
                <w:kern w:val="0"/>
                <w:sz w:val="24"/>
                <w:szCs w:val="24"/>
                <w:lang w:val="zh-CN"/>
              </w:rPr>
              <w:t>。</w:t>
            </w:r>
          </w:p>
          <w:p>
            <w:pPr>
              <w:adjustRightInd w:val="0"/>
              <w:snapToGrid w:val="0"/>
              <w:spacing w:line="360" w:lineRule="auto"/>
              <w:jc w:val="left"/>
              <w:rPr>
                <w:rFonts w:ascii="仿宋_GB2312" w:hAnsi="仿宋" w:eastAsia="仿宋_GB2312" w:cs="仿宋_GB2312"/>
                <w:b/>
                <w:kern w:val="0"/>
                <w:sz w:val="24"/>
                <w:szCs w:val="24"/>
                <w:lang w:val="zh-CN"/>
              </w:rPr>
            </w:pPr>
            <w:r>
              <w:rPr>
                <w:rFonts w:hint="eastAsia" w:ascii="仿宋_GB2312" w:hAnsi="仿宋" w:eastAsia="仿宋_GB2312" w:cs="仿宋_GB2312"/>
                <w:b/>
                <w:kern w:val="0"/>
                <w:sz w:val="24"/>
                <w:szCs w:val="24"/>
                <w:lang w:val="zh-CN"/>
              </w:rPr>
              <w:t>投标报价出现下列情形的，投标无效：</w:t>
            </w:r>
          </w:p>
          <w:p>
            <w:pPr>
              <w:adjustRightInd w:val="0"/>
              <w:snapToGrid w:val="0"/>
              <w:spacing w:line="360" w:lineRule="auto"/>
              <w:jc w:val="left"/>
              <w:rPr>
                <w:rFonts w:ascii="仿宋_GB2312" w:hAnsi="仿宋" w:eastAsia="仿宋_GB2312" w:cs="仿宋_GB2312"/>
                <w:b/>
                <w:kern w:val="0"/>
                <w:sz w:val="24"/>
                <w:szCs w:val="24"/>
                <w:lang w:val="zh-CN"/>
              </w:rPr>
            </w:pPr>
            <w:r>
              <w:rPr>
                <w:rFonts w:hint="eastAsia" w:ascii="仿宋_GB2312" w:hAnsi="仿宋" w:eastAsia="仿宋_GB2312" w:cs="Times New Roman"/>
                <w:b/>
                <w:sz w:val="24"/>
                <w:szCs w:val="24"/>
              </w:rPr>
              <w:t>▲</w:t>
            </w:r>
            <w:r>
              <w:rPr>
                <w:rFonts w:hint="eastAsia" w:ascii="仿宋_GB2312" w:hAnsi="仿宋" w:eastAsia="仿宋_GB2312" w:cs="仿宋_GB2312"/>
                <w:b/>
                <w:kern w:val="0"/>
                <w:sz w:val="24"/>
                <w:szCs w:val="24"/>
                <w:lang w:val="zh-CN"/>
              </w:rPr>
              <w:t>投标文件出现不是唯一的、有选择性投标报价的；</w:t>
            </w:r>
          </w:p>
          <w:p>
            <w:pPr>
              <w:adjustRightInd w:val="0"/>
              <w:snapToGrid w:val="0"/>
              <w:spacing w:line="360" w:lineRule="auto"/>
              <w:jc w:val="left"/>
              <w:rPr>
                <w:rFonts w:ascii="仿宋_GB2312" w:hAnsi="仿宋" w:eastAsia="仿宋_GB2312" w:cs="仿宋_GB2312"/>
                <w:kern w:val="0"/>
                <w:sz w:val="24"/>
                <w:szCs w:val="24"/>
                <w:lang w:val="zh-CN"/>
              </w:rPr>
            </w:pPr>
            <w:r>
              <w:rPr>
                <w:rFonts w:hint="eastAsia" w:ascii="仿宋_GB2312" w:hAnsi="仿宋" w:eastAsia="仿宋_GB2312" w:cs="Times New Roman"/>
                <w:b/>
                <w:sz w:val="24"/>
                <w:szCs w:val="24"/>
              </w:rPr>
              <w:t>▲</w:t>
            </w:r>
            <w:r>
              <w:rPr>
                <w:rFonts w:hint="eastAsia" w:ascii="仿宋_GB2312" w:hAnsi="仿宋" w:eastAsia="仿宋_GB2312" w:cs="仿宋_GB2312"/>
                <w:b/>
                <w:sz w:val="24"/>
                <w:szCs w:val="24"/>
              </w:rPr>
              <w:t>投标报价高于本项目采购预算或者最高限价的;</w:t>
            </w:r>
          </w:p>
          <w:p>
            <w:pPr>
              <w:adjustRightInd w:val="0"/>
              <w:spacing w:line="360" w:lineRule="auto"/>
              <w:rPr>
                <w:rFonts w:ascii="仿宋_GB2312" w:hAnsi="仿宋" w:eastAsia="仿宋_GB2312" w:cs="仿宋_GB2312"/>
                <w:b/>
                <w:sz w:val="24"/>
                <w:szCs w:val="24"/>
              </w:rPr>
            </w:pPr>
            <w:r>
              <w:rPr>
                <w:rFonts w:hint="eastAsia" w:ascii="仿宋_GB2312" w:hAnsi="仿宋" w:eastAsia="仿宋_GB2312" w:cs="Times New Roman"/>
                <w:b/>
                <w:sz w:val="24"/>
                <w:szCs w:val="24"/>
              </w:rPr>
              <w:t>▲</w:t>
            </w:r>
            <w:r>
              <w:rPr>
                <w:rFonts w:hint="eastAsia" w:ascii="仿宋_GB2312" w:hAnsi="仿宋" w:eastAsia="仿宋_GB2312" w:cs="Arial"/>
                <w:b/>
                <w:kern w:val="0"/>
                <w:sz w:val="24"/>
                <w:szCs w:val="24"/>
              </w:rPr>
              <w:t>报价明显低于其他通过符合性审查投标人的报价，有可能影响产品质量或者不能诚信履约的，未能按要求提供书面说明或者提交相关证明材料，不能证明其报价合理性的</w:t>
            </w:r>
            <w:r>
              <w:rPr>
                <w:rFonts w:hint="eastAsia" w:ascii="仿宋_GB2312" w:hAnsi="仿宋" w:eastAsia="仿宋_GB2312" w:cs="仿宋_GB2312"/>
                <w:b/>
                <w:sz w:val="24"/>
                <w:szCs w:val="21"/>
              </w:rPr>
              <w:t>;</w:t>
            </w:r>
          </w:p>
          <w:p>
            <w:pPr>
              <w:adjustRightInd w:val="0"/>
              <w:spacing w:line="360" w:lineRule="auto"/>
              <w:rPr>
                <w:rFonts w:ascii="仿宋_GB2312" w:hAnsi="仿宋" w:eastAsia="仿宋_GB2312" w:cs="仿宋_GB2312"/>
                <w:sz w:val="24"/>
                <w:szCs w:val="21"/>
              </w:rPr>
            </w:pPr>
            <w:r>
              <w:rPr>
                <w:rFonts w:hint="eastAsia" w:ascii="仿宋_GB2312" w:hAnsi="仿宋" w:eastAsia="仿宋_GB2312" w:cs="Times New Roman"/>
                <w:b/>
                <w:sz w:val="24"/>
                <w:szCs w:val="24"/>
              </w:rPr>
              <w:t>▲《投标（开标）一览表》填写不完整或字迹不能辨认或有漏项的；</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Arial"/>
                <w:b/>
                <w:kern w:val="0"/>
                <w:sz w:val="24"/>
                <w:szCs w:val="24"/>
              </w:rPr>
              <w:t>▲投标人对根据修正原则修正后的报价不确认的</w:t>
            </w:r>
            <w:r>
              <w:rPr>
                <w:rFonts w:hint="eastAsia" w:ascii="仿宋_GB2312" w:hAnsi="仿宋" w:eastAsia="仿宋_GB2312" w:cs="Times New Roman"/>
                <w:b/>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adjustRightInd w:val="0"/>
              <w:snapToGrid w:val="0"/>
              <w:spacing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分包或转包</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（1）采购人不同意分包</w:t>
            </w:r>
          </w:p>
          <w:p>
            <w:pPr>
              <w:adjustRightInd w:val="0"/>
              <w:spacing w:line="360" w:lineRule="auto"/>
              <w:rPr>
                <w:rFonts w:ascii="仿宋_GB2312" w:hAnsi="仿宋" w:eastAsia="仿宋_GB2312" w:cs="仿宋_GB2312"/>
                <w:sz w:val="24"/>
                <w:szCs w:val="24"/>
              </w:rPr>
            </w:pPr>
            <w:r>
              <w:rPr>
                <w:rFonts w:hint="eastAsia" w:ascii="仿宋_GB2312" w:hAnsi="仿宋" w:eastAsia="仿宋_GB2312" w:cs="Times New Roman"/>
                <w:sz w:val="24"/>
                <w:szCs w:val="24"/>
              </w:rPr>
              <w:t>（2）本项目不得转包。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2" w:hRule="atLeast"/>
          <w:tblHeader/>
        </w:trPr>
        <w:tc>
          <w:tcPr>
            <w:tcW w:w="629" w:type="dxa"/>
            <w:vMerge w:val="restart"/>
            <w:tcBorders>
              <w:top w:val="single" w:color="auto" w:sz="4" w:space="0"/>
              <w:left w:val="single" w:color="auto" w:sz="4" w:space="0"/>
              <w:right w:val="single" w:color="auto" w:sz="4" w:space="0"/>
            </w:tcBorders>
          </w:tcPr>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3</w:t>
            </w:r>
          </w:p>
        </w:tc>
        <w:tc>
          <w:tcPr>
            <w:tcW w:w="1843" w:type="dxa"/>
            <w:vMerge w:val="restart"/>
            <w:tcBorders>
              <w:top w:val="single" w:color="000000" w:sz="8" w:space="0"/>
              <w:left w:val="single" w:color="auto" w:sz="4"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投标人应当提供的资格、资信证明文件</w:t>
            </w:r>
          </w:p>
        </w:tc>
        <w:tc>
          <w:tcPr>
            <w:tcW w:w="6079" w:type="dxa"/>
            <w:tcBorders>
              <w:top w:val="single" w:color="000000" w:sz="8" w:space="0"/>
              <w:left w:val="single" w:color="000000" w:sz="2" w:space="0"/>
              <w:bottom w:val="single" w:color="auto" w:sz="4" w:space="0"/>
              <w:right w:val="single" w:color="000000" w:sz="8" w:space="0"/>
            </w:tcBorders>
            <w:vAlign w:val="center"/>
          </w:tcPr>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（1）资格证明文件：见招标文件第二部分</w:t>
            </w:r>
            <w:r>
              <w:rPr>
                <w:rFonts w:hint="eastAsia" w:ascii="仿宋_GB2312" w:hAnsi="仿宋" w:eastAsia="仿宋_GB2312" w:cs="仿宋_GB2312"/>
                <w:sz w:val="24"/>
                <w:szCs w:val="24"/>
              </w:rPr>
              <w:t>11.1。</w:t>
            </w:r>
          </w:p>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w:t>
            </w:r>
            <w:r>
              <w:rPr>
                <w:rFonts w:hint="eastAsia" w:ascii="仿宋_GB2312" w:hAnsi="仿宋" w:eastAsia="仿宋_GB2312" w:cs="仿宋_GB2312"/>
                <w:b/>
                <w:sz w:val="24"/>
                <w:szCs w:val="24"/>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2" w:hRule="atLeast"/>
          <w:tblHeader/>
        </w:trPr>
        <w:tc>
          <w:tcPr>
            <w:tcW w:w="629" w:type="dxa"/>
            <w:vMerge w:val="continue"/>
            <w:tcBorders>
              <w:left w:val="single" w:color="auto" w:sz="4" w:space="0"/>
              <w:bottom w:val="single" w:color="auto" w:sz="4" w:space="0"/>
              <w:right w:val="single" w:color="auto" w:sz="4" w:space="0"/>
            </w:tcBorders>
          </w:tcPr>
          <w:p>
            <w:pPr>
              <w:adjustRightInd w:val="0"/>
              <w:snapToGrid w:val="0"/>
              <w:spacing w:line="360" w:lineRule="auto"/>
              <w:jc w:val="center"/>
              <w:rPr>
                <w:rFonts w:ascii="仿宋_GB2312" w:hAnsi="仿宋" w:eastAsia="仿宋_GB2312" w:cs="仿宋_GB2312"/>
                <w:sz w:val="24"/>
                <w:szCs w:val="24"/>
              </w:rPr>
            </w:pPr>
          </w:p>
        </w:tc>
        <w:tc>
          <w:tcPr>
            <w:tcW w:w="1843" w:type="dxa"/>
            <w:vMerge w:val="continue"/>
            <w:tcBorders>
              <w:left w:val="single" w:color="auto" w:sz="4"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p>
        </w:tc>
        <w:tc>
          <w:tcPr>
            <w:tcW w:w="6079" w:type="dxa"/>
            <w:tcBorders>
              <w:top w:val="single" w:color="auto" w:sz="4" w:space="0"/>
              <w:left w:val="single" w:color="000000" w:sz="2" w:space="0"/>
              <w:bottom w:val="single" w:color="000000" w:sz="8" w:space="0"/>
              <w:right w:val="single" w:color="000000" w:sz="8" w:space="0"/>
            </w:tcBorders>
            <w:vAlign w:val="center"/>
          </w:tcPr>
          <w:p>
            <w:pPr>
              <w:adjustRightIn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（2）资信证明文件：根据招标文件第四部分具体评标标准提供。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highlight w:val="none"/>
              </w:rPr>
            </w:pPr>
            <w:r>
              <w:rPr>
                <w:rFonts w:hint="eastAsia" w:ascii="仿宋_GB2312" w:hAnsi="仿宋" w:eastAsia="仿宋_GB2312" w:cs="仿宋_GB2312"/>
                <w:b/>
                <w:sz w:val="24"/>
                <w:szCs w:val="24"/>
                <w:highlight w:val="none"/>
              </w:rPr>
              <w:t>开标前答疑会或现场考察</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pacing w:line="360" w:lineRule="auto"/>
              <w:rPr>
                <w:rFonts w:ascii="仿宋_GB2312" w:hAnsi="仿宋" w:eastAsia="仿宋_GB2312" w:cs="Arial"/>
                <w:snapToGrid w:val="0"/>
                <w:sz w:val="24"/>
                <w:szCs w:val="20"/>
                <w:highlight w:val="none"/>
              </w:rPr>
            </w:pPr>
            <w:r>
              <w:rPr>
                <w:rFonts w:hint="eastAsia" w:ascii="仿宋_GB2312" w:hAnsi="仿宋" w:eastAsia="仿宋_GB2312" w:cs="Times New Roman"/>
                <w:sz w:val="24"/>
                <w:szCs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样品提供</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pacing w:line="360" w:lineRule="auto"/>
              <w:jc w:val="left"/>
              <w:rPr>
                <w:rFonts w:hint="eastAsia" w:ascii="仿宋_GB2312" w:hAnsi="仿宋" w:eastAsia="仿宋_GB2312" w:cs="Times New Roman"/>
                <w:b/>
                <w:sz w:val="24"/>
                <w:szCs w:val="24"/>
                <w:lang w:eastAsia="zh-CN"/>
              </w:rPr>
            </w:pPr>
            <w:r>
              <w:rPr>
                <w:rFonts w:hint="eastAsia" w:ascii="仿宋_GB2312" w:hAnsi="仿宋" w:eastAsia="仿宋_GB2312" w:cs="Arial"/>
                <w:snapToGrid w:val="0"/>
                <w:sz w:val="24"/>
                <w:szCs w:val="21"/>
                <w:lang w:eastAsia="zh-CN"/>
              </w:rPr>
              <w:t>不提供。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2"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adjustRightInd w:val="0"/>
              <w:snapToGri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Cs/>
                <w:sz w:val="24"/>
                <w:szCs w:val="24"/>
              </w:rPr>
            </w:pPr>
            <w:r>
              <w:rPr>
                <w:rFonts w:hint="eastAsia" w:ascii="仿宋_GB2312" w:hAnsi="仿宋" w:eastAsia="仿宋_GB2312" w:cs="仿宋_GB2312"/>
                <w:b/>
                <w:sz w:val="24"/>
                <w:szCs w:val="24"/>
              </w:rPr>
              <w:t>方案讲解演示</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pacing w:line="360" w:lineRule="auto"/>
              <w:rPr>
                <w:rFonts w:ascii="仿宋_GB2312" w:hAnsi="仿宋" w:eastAsia="仿宋_GB2312" w:cs="仿宋_GB2312"/>
                <w:b/>
                <w:kern w:val="0"/>
                <w:sz w:val="24"/>
                <w:szCs w:val="20"/>
                <w:lang w:val="zh-CN"/>
              </w:rPr>
            </w:pPr>
            <w:r>
              <w:rPr>
                <w:rFonts w:hint="eastAsia" w:ascii="仿宋_GB2312" w:hAnsi="仿宋" w:eastAsia="仿宋_GB2312" w:cs="仿宋_GB2312"/>
                <w:b w:val="0"/>
                <w:bCs/>
                <w:kern w:val="0"/>
                <w:sz w:val="24"/>
                <w:szCs w:val="20"/>
                <w:lang w:val="zh-CN" w:eastAsia="zh-CN"/>
              </w:rPr>
              <w:t>系统演示：由投标人自行准备相关演示环境，软件模型成功展现本次项目要求的功能，演示视频须制作成光盘或U盘，在投标截止前2021年  月  日13:30提交至杭州市临安区行政服务中心B座四楼B448办公室，逾期拒收。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adjustRightInd w:val="0"/>
              <w:snapToGrid w:val="0"/>
              <w:spacing w:line="360" w:lineRule="auto"/>
              <w:jc w:val="center"/>
              <w:rPr>
                <w:rFonts w:ascii="仿宋_GB2312" w:hAnsi="仿宋" w:eastAsia="仿宋_GB2312" w:cs="仿宋_GB2312"/>
                <w:sz w:val="24"/>
                <w:szCs w:val="24"/>
              </w:rPr>
            </w:pPr>
            <w:r>
              <w:rPr>
                <w:rFonts w:ascii="仿宋_GB2312" w:hAnsi="仿宋" w:eastAsia="仿宋_GB2312" w:cs="仿宋_GB2312"/>
                <w:sz w:val="24"/>
                <w:szCs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项目属性</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rPr>
                <w:rFonts w:hint="eastAsia" w:ascii="仿宋_GB2312" w:hAnsi="仿宋" w:eastAsia="仿宋_GB2312" w:cs="Times New Roman"/>
                <w:sz w:val="24"/>
                <w:szCs w:val="24"/>
                <w:lang w:eastAsia="zh-CN"/>
              </w:rPr>
            </w:pPr>
            <w:r>
              <w:rPr>
                <w:rFonts w:hint="eastAsia" w:ascii="仿宋_GB2312" w:hAnsi="仿宋" w:eastAsia="仿宋_GB2312" w:cs="Times New Roman"/>
                <w:sz w:val="24"/>
                <w:szCs w:val="24"/>
              </w:rPr>
              <w:t>服务类</w:t>
            </w:r>
            <w:r>
              <w:rPr>
                <w:rFonts w:hint="eastAsia" w:ascii="仿宋_GB2312" w:hAnsi="仿宋" w:eastAsia="仿宋_GB2312" w:cs="Times New Roman"/>
                <w:sz w:val="24"/>
                <w:szCs w:val="24"/>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adjustRightInd w:val="0"/>
              <w:snapToGrid w:val="0"/>
              <w:spacing w:line="360" w:lineRule="auto"/>
              <w:jc w:val="center"/>
              <w:rPr>
                <w:rFonts w:ascii="仿宋_GB2312" w:hAnsi="仿宋" w:eastAsia="仿宋_GB2312" w:cs="仿宋_GB2312"/>
                <w:sz w:val="24"/>
                <w:szCs w:val="24"/>
              </w:rPr>
            </w:pPr>
            <w:r>
              <w:rPr>
                <w:rFonts w:ascii="仿宋_GB2312" w:hAnsi="仿宋" w:eastAsia="仿宋_GB2312" w:cs="仿宋_GB2312"/>
                <w:sz w:val="24"/>
                <w:szCs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highlight w:val="none"/>
              </w:rPr>
            </w:pPr>
            <w:r>
              <w:rPr>
                <w:rFonts w:hint="eastAsia" w:ascii="仿宋_GB2312" w:hAnsi="仿宋" w:eastAsia="仿宋_GB2312" w:cs="仿宋_GB2312"/>
                <w:b/>
                <w:sz w:val="24"/>
                <w:szCs w:val="24"/>
                <w:highlight w:val="none"/>
              </w:rPr>
              <w:t>中小企业划分标准所属行业</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rPr>
                <w:rFonts w:ascii="仿宋_GB2312" w:hAnsi="仿宋" w:eastAsia="仿宋_GB2312" w:cs="Times New Roman"/>
                <w:sz w:val="24"/>
                <w:szCs w:val="24"/>
                <w:highlight w:val="none"/>
              </w:rPr>
            </w:pPr>
            <w:r>
              <w:rPr>
                <w:rFonts w:hint="eastAsia" w:ascii="仿宋_GB2312" w:hAnsi="仿宋" w:eastAsia="仿宋_GB2312" w:cs="Times New Roman"/>
                <w:color w:val="auto"/>
                <w:sz w:val="24"/>
                <w:szCs w:val="24"/>
                <w:highlight w:val="none"/>
              </w:rPr>
              <w:t>采购标的：</w:t>
            </w:r>
            <w:r>
              <w:rPr>
                <w:rFonts w:hint="eastAsia" w:ascii="仿宋_GB2312" w:hAnsi="仿宋" w:eastAsia="仿宋_GB2312" w:cs="Times New Roman"/>
                <w:b/>
                <w:bCs/>
                <w:color w:val="auto"/>
                <w:sz w:val="24"/>
                <w:szCs w:val="24"/>
                <w:highlight w:val="none"/>
                <w:u w:val="single"/>
              </w:rPr>
              <w:t>天目医药港化工集聚区智慧园区数字化建设</w:t>
            </w:r>
            <w:r>
              <w:rPr>
                <w:rFonts w:hint="eastAsia" w:ascii="仿宋_GB2312" w:hAnsi="仿宋" w:eastAsia="仿宋_GB2312" w:cs="Times New Roman"/>
                <w:color w:val="auto"/>
                <w:sz w:val="24"/>
                <w:szCs w:val="24"/>
                <w:highlight w:val="none"/>
              </w:rPr>
              <w:t>，所属行业：</w:t>
            </w:r>
            <w:r>
              <w:rPr>
                <w:rFonts w:hint="eastAsia" w:ascii="仿宋_GB2312" w:hAnsi="仿宋" w:eastAsia="仿宋_GB2312" w:cs="Times New Roman"/>
                <w:b/>
                <w:bCs/>
                <w:color w:val="auto"/>
                <w:sz w:val="24"/>
                <w:szCs w:val="24"/>
                <w:highlight w:val="none"/>
                <w:u w:val="single"/>
                <w:lang w:eastAsia="zh-CN"/>
              </w:rPr>
              <w:t>软件和信息技术服务业</w:t>
            </w:r>
            <w:r>
              <w:rPr>
                <w:rFonts w:hint="eastAsia" w:ascii="仿宋_GB2312" w:hAnsi="仿宋" w:eastAsia="仿宋_GB2312" w:cs="Times New Roman"/>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adjustRightInd w:val="0"/>
              <w:snapToGrid w:val="0"/>
              <w:spacing w:line="360" w:lineRule="auto"/>
              <w:jc w:val="center"/>
              <w:rPr>
                <w:rFonts w:ascii="仿宋_GB2312" w:hAnsi="仿宋" w:eastAsia="仿宋_GB2312" w:cs="仿宋_GB2312"/>
                <w:sz w:val="24"/>
                <w:szCs w:val="24"/>
              </w:rPr>
            </w:pPr>
            <w:r>
              <w:rPr>
                <w:rFonts w:ascii="仿宋_GB2312" w:hAnsi="仿宋" w:eastAsia="仿宋_GB2312" w:cs="仿宋_GB2312"/>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是否适宜中小企业情况</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rPr>
                <w:rFonts w:ascii="仿宋_GB2312" w:hAnsi="仿宋" w:eastAsia="仿宋_GB2312" w:cs="Times New Roman"/>
                <w:sz w:val="24"/>
                <w:szCs w:val="24"/>
              </w:rPr>
            </w:pPr>
            <w:r>
              <w:rPr>
                <w:rFonts w:hint="eastAsia" w:ascii="仿宋_GB2312" w:hAnsi="仿宋" w:eastAsia="仿宋_GB2312" w:cs="Times New Roman"/>
                <w:sz w:val="24"/>
                <w:szCs w:val="24"/>
              </w:rPr>
              <w:t>根据《政</w:t>
            </w:r>
            <w:r>
              <w:rPr>
                <w:rFonts w:hint="eastAsia" w:ascii="仿宋_GB2312" w:hAnsi="仿宋" w:eastAsia="仿宋_GB2312" w:cs="Times New Roman"/>
                <w:sz w:val="24"/>
                <w:szCs w:val="24"/>
                <w:highlight w:val="none"/>
              </w:rPr>
              <w:t>府采购促进中小企业发展管理办法》财库〔</w:t>
            </w:r>
            <w:r>
              <w:rPr>
                <w:rFonts w:ascii="仿宋_GB2312" w:hAnsi="仿宋" w:eastAsia="仿宋_GB2312" w:cs="Times New Roman"/>
                <w:sz w:val="24"/>
                <w:szCs w:val="24"/>
                <w:highlight w:val="none"/>
              </w:rPr>
              <w:t>2020〕46号</w:t>
            </w:r>
            <w:r>
              <w:rPr>
                <w:rFonts w:hint="eastAsia" w:ascii="仿宋_GB2312" w:hAnsi="仿宋" w:eastAsia="仿宋_GB2312" w:cs="Times New Roman"/>
                <w:sz w:val="24"/>
                <w:szCs w:val="24"/>
                <w:highlight w:val="none"/>
              </w:rPr>
              <w:t>文件的规定，本项目不适宜预留份额专门面向中小企业采购。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adjustRightInd w:val="0"/>
              <w:snapToGri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中小企业信用融资</w:t>
            </w:r>
          </w:p>
        </w:tc>
        <w:tc>
          <w:tcPr>
            <w:tcW w:w="6079" w:type="dxa"/>
            <w:tcBorders>
              <w:top w:val="single" w:color="000000" w:sz="8" w:space="0"/>
              <w:left w:val="single" w:color="000000" w:sz="2" w:space="0"/>
              <w:bottom w:val="single" w:color="000000" w:sz="8" w:space="0"/>
              <w:right w:val="single" w:color="000000" w:sz="8" w:space="0"/>
            </w:tcBorders>
            <w:vAlign w:val="center"/>
          </w:tcPr>
          <w:p>
            <w:pPr>
              <w:adjustRightInd w:val="0"/>
              <w:spacing w:line="360" w:lineRule="auto"/>
              <w:rPr>
                <w:rFonts w:ascii="仿宋_GB2312" w:hAnsi="仿宋" w:eastAsia="仿宋_GB2312" w:cs="Times New Roman"/>
                <w:sz w:val="24"/>
                <w:szCs w:val="24"/>
              </w:rPr>
            </w:pPr>
            <w:r>
              <w:rPr>
                <w:rFonts w:hint="eastAsia" w:ascii="仿宋_GB2312" w:hAnsi="仿宋_GB2312" w:eastAsia="仿宋_GB2312" w:cs="仿宋_GB2312"/>
                <w:snapToGrid w:val="0"/>
                <w:color w:val="000000" w:themeColor="text1"/>
                <w:kern w:val="2"/>
                <w:sz w:val="24"/>
                <w:szCs w:val="21"/>
                <w:lang w:val="en-US" w:eastAsia="zh-CN" w:bidi="ar-SA"/>
                <w14:textFill>
                  <w14:solidFill>
                    <w14:schemeClr w14:val="tx1"/>
                  </w14:solidFill>
                </w14:textFill>
              </w:rPr>
              <w:t>凡已在浙江政府采购网网上注册入库，并取得临安区政府采购合同的中小企业供应商，均可申请政府采购信用融资，联系方式见附表（政府采购融资畅通工程金融机构联系信息表）。</w:t>
            </w:r>
          </w:p>
        </w:tc>
      </w:tr>
    </w:tbl>
    <w:p>
      <w:pPr>
        <w:adjustRightInd w:val="0"/>
        <w:snapToGrid w:val="0"/>
        <w:spacing w:line="360" w:lineRule="auto"/>
        <w:jc w:val="center"/>
        <w:rPr>
          <w:rFonts w:ascii="仿宋_GB2312" w:hAnsi="仿宋" w:eastAsia="仿宋_GB2312" w:cs="仿宋_GB2312"/>
          <w:b/>
          <w:sz w:val="32"/>
          <w:szCs w:val="20"/>
        </w:rPr>
      </w:pPr>
    </w:p>
    <w:p>
      <w:pPr>
        <w:spacing w:line="360" w:lineRule="auto"/>
        <w:ind w:firstLine="3845" w:firstLineChars="1197"/>
        <w:outlineLvl w:val="0"/>
        <w:rPr>
          <w:rFonts w:ascii="仿宋_GB2312" w:hAnsi="仿宋" w:eastAsia="仿宋_GB2312" w:cs="仿宋_GB2312"/>
          <w:b/>
          <w:sz w:val="32"/>
          <w:szCs w:val="20"/>
        </w:rPr>
      </w:pPr>
      <w:r>
        <w:rPr>
          <w:rFonts w:hint="eastAsia" w:ascii="仿宋_GB2312" w:hAnsi="仿宋" w:eastAsia="仿宋_GB2312" w:cs="仿宋_GB2312"/>
          <w:b/>
          <w:sz w:val="32"/>
          <w:szCs w:val="20"/>
        </w:rPr>
        <w:t>一、总则</w:t>
      </w:r>
    </w:p>
    <w:p>
      <w:pPr>
        <w:adjustRightInd w:val="0"/>
        <w:snapToGrid w:val="0"/>
        <w:spacing w:line="360" w:lineRule="auto"/>
        <w:jc w:val="left"/>
        <w:outlineLvl w:val="1"/>
        <w:rPr>
          <w:rFonts w:ascii="仿宋_GB2312" w:hAnsi="仿宋" w:eastAsia="仿宋_GB2312" w:cs="Times New Roman"/>
          <w:b/>
          <w:sz w:val="24"/>
          <w:szCs w:val="24"/>
        </w:rPr>
      </w:pPr>
      <w:r>
        <w:rPr>
          <w:rFonts w:hint="eastAsia" w:ascii="仿宋_GB2312" w:hAnsi="仿宋" w:eastAsia="仿宋_GB2312" w:cs="Times New Roman"/>
          <w:b/>
          <w:sz w:val="24"/>
          <w:szCs w:val="24"/>
        </w:rPr>
        <w:t>1. 适用范围</w:t>
      </w:r>
    </w:p>
    <w:p>
      <w:pPr>
        <w:adjustRightInd w:val="0"/>
        <w:snapToGrid w:val="0"/>
        <w:spacing w:line="360" w:lineRule="auto"/>
        <w:ind w:firstLine="480" w:firstLineChars="200"/>
        <w:jc w:val="left"/>
        <w:rPr>
          <w:rFonts w:ascii="仿宋_GB2312" w:hAnsi="仿宋" w:eastAsia="仿宋_GB2312" w:cs="Times New Roman"/>
          <w:sz w:val="24"/>
          <w:szCs w:val="24"/>
        </w:rPr>
      </w:pPr>
      <w:r>
        <w:rPr>
          <w:rFonts w:hint="eastAsia" w:ascii="仿宋_GB2312" w:hAnsi="仿宋" w:eastAsia="仿宋_GB2312" w:cs="Times New Roman"/>
          <w:sz w:val="24"/>
          <w:szCs w:val="24"/>
        </w:rPr>
        <w:t>本招标文件适用于该项目的招标、投标、开标、资格审查及信用信息查询、评标、定标、合同、验收等行为（法律、法规另有规定的，从其规定）。</w:t>
      </w:r>
    </w:p>
    <w:p>
      <w:pPr>
        <w:adjustRightInd w:val="0"/>
        <w:snapToGrid w:val="0"/>
        <w:spacing w:line="360" w:lineRule="auto"/>
        <w:jc w:val="left"/>
        <w:outlineLvl w:val="1"/>
        <w:rPr>
          <w:rFonts w:ascii="仿宋_GB2312" w:hAnsi="仿宋" w:eastAsia="仿宋_GB2312" w:cs="Times New Roman"/>
          <w:b/>
          <w:sz w:val="24"/>
          <w:szCs w:val="24"/>
        </w:rPr>
      </w:pPr>
      <w:r>
        <w:rPr>
          <w:rFonts w:hint="eastAsia" w:ascii="仿宋_GB2312" w:hAnsi="仿宋" w:eastAsia="仿宋_GB2312" w:cs="Times New Roman"/>
          <w:b/>
          <w:sz w:val="24"/>
          <w:szCs w:val="24"/>
        </w:rPr>
        <w:t>2.定义</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2.1 “采购人”系指招标公告中载明的本项目的采购人。</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2.2 “采购机构”系指招标公告中载明的本项目的采购机构。</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2.3 “投标人”系指是指响应招标、参加投标竞争的法人、其他组织或者自然人。</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2.4 “负责人”系指法人企业的法定负责人，或其他组织为法律、行政法规规定代表单位行使职权的主要负责人，或自然人本人。</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2.5“电子签名”系指数据电文中以电子形式所含、所附用于识别签名人身份并表明签名人认可其中内容的数据。</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2.6“电子交易平台”是指本项目政府采购活动所依托的政府采购云平台（https://www.zcygov.cn/）。</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2.7 “▲” 系指实质性要求条款，“★”系产品采购项目中单一产品或核心产品。</w:t>
      </w:r>
    </w:p>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3.</w:t>
      </w:r>
      <w:r>
        <w:rPr>
          <w:rFonts w:hint="eastAsia" w:ascii="仿宋_GB2312" w:hAnsi="仿宋" w:eastAsia="仿宋_GB2312" w:cs="Times New Roman"/>
          <w:szCs w:val="24"/>
        </w:rPr>
        <w:t xml:space="preserve"> </w:t>
      </w:r>
      <w:r>
        <w:rPr>
          <w:rFonts w:hint="eastAsia" w:ascii="仿宋_GB2312" w:hAnsi="仿宋" w:eastAsia="仿宋_GB2312" w:cs="Times New Roman"/>
          <w:b/>
          <w:sz w:val="24"/>
          <w:szCs w:val="24"/>
        </w:rPr>
        <w:t>采购项目需要落实的政府采购政策</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3.2 节能环保要求</w:t>
      </w:r>
    </w:p>
    <w:p>
      <w:pPr>
        <w:adjustRightInd w:val="0"/>
        <w:spacing w:line="360" w:lineRule="auto"/>
        <w:ind w:firstLine="480" w:firstLineChars="200"/>
        <w:rPr>
          <w:rFonts w:ascii="仿宋_GB2312" w:hAnsi="仿宋" w:eastAsia="仿宋_GB2312" w:cs="Times New Roman"/>
          <w:sz w:val="24"/>
          <w:szCs w:val="24"/>
        </w:rPr>
      </w:pPr>
      <w:r>
        <w:rPr>
          <w:rFonts w:hint="eastAsia" w:ascii="仿宋_GB2312" w:hAnsi="仿宋" w:eastAsia="仿宋_GB2312" w:cs="Times New Roman"/>
          <w:sz w:val="24"/>
          <w:szCs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adjustRightInd w:val="0"/>
        <w:spacing w:line="360" w:lineRule="auto"/>
        <w:ind w:firstLine="480" w:firstLineChars="200"/>
        <w:rPr>
          <w:rFonts w:ascii="仿宋_GB2312" w:hAnsi="仿宋" w:eastAsia="仿宋_GB2312" w:cs="Times New Roman"/>
          <w:b/>
          <w:sz w:val="24"/>
          <w:szCs w:val="24"/>
        </w:rPr>
      </w:pPr>
      <w:r>
        <w:rPr>
          <w:rFonts w:hint="eastAsia" w:ascii="仿宋_GB2312" w:hAnsi="仿宋" w:eastAsia="仿宋_GB2312" w:cs="Times New Roman"/>
          <w:sz w:val="24"/>
          <w:szCs w:val="24"/>
        </w:rPr>
        <w:t>3.2.2▲</w:t>
      </w:r>
      <w:r>
        <w:rPr>
          <w:rFonts w:hint="eastAsia" w:ascii="仿宋_GB2312" w:hAnsi="仿宋" w:eastAsia="仿宋_GB2312" w:cs="Times New Roman"/>
          <w:b/>
          <w:sz w:val="24"/>
          <w:szCs w:val="24"/>
        </w:rPr>
        <w:t>采购人拟采购的产品属于政府强制采购的节能产品品目清单范围的，投标人未按招标文件要求提供国家确定的认证机构出具的、处于有效期之内的节能产品认证证书，投标无效。</w:t>
      </w:r>
    </w:p>
    <w:p>
      <w:pPr>
        <w:adjustRightInd w:val="0"/>
        <w:spacing w:line="360" w:lineRule="auto"/>
        <w:ind w:firstLine="480" w:firstLineChars="200"/>
        <w:rPr>
          <w:rFonts w:ascii="仿宋_GB2312" w:hAnsi="仿宋" w:eastAsia="仿宋_GB2312" w:cs="Times New Roman"/>
          <w:color w:val="auto"/>
          <w:sz w:val="24"/>
          <w:szCs w:val="24"/>
        </w:rPr>
      </w:pPr>
      <w:r>
        <w:rPr>
          <w:rFonts w:ascii="仿宋_GB2312" w:hAnsi="仿宋" w:eastAsia="仿宋_GB2312" w:cs="Times New Roman"/>
          <w:color w:val="auto"/>
          <w:sz w:val="24"/>
          <w:szCs w:val="24"/>
        </w:rPr>
        <w:t>3.3</w:t>
      </w:r>
      <w:r>
        <w:rPr>
          <w:rFonts w:hint="eastAsia" w:ascii="仿宋_GB2312" w:hAnsi="仿宋" w:eastAsia="仿宋_GB2312" w:cs="Times New Roman"/>
          <w:bCs/>
          <w:color w:val="auto"/>
          <w:sz w:val="24"/>
          <w:szCs w:val="24"/>
        </w:rPr>
        <w:t>支持中小企业发展</w:t>
      </w:r>
      <w:r>
        <w:rPr>
          <w:rFonts w:hint="eastAsia" w:ascii="仿宋_GB2312" w:hAnsi="仿宋" w:eastAsia="仿宋_GB2312" w:cs="Times New Roman"/>
          <w:color w:val="auto"/>
          <w:sz w:val="24"/>
          <w:szCs w:val="24"/>
        </w:rPr>
        <w:t>。</w:t>
      </w:r>
    </w:p>
    <w:p>
      <w:pPr>
        <w:adjustRightInd w:val="0"/>
        <w:spacing w:line="360" w:lineRule="auto"/>
        <w:ind w:firstLine="480" w:firstLineChars="200"/>
        <w:rPr>
          <w:rFonts w:ascii="仿宋_GB2312" w:hAnsi="仿宋" w:eastAsia="仿宋_GB2312" w:cs="Times New Roman"/>
          <w:color w:val="auto"/>
          <w:sz w:val="24"/>
          <w:szCs w:val="24"/>
        </w:rPr>
      </w:pPr>
      <w:r>
        <w:rPr>
          <w:rFonts w:ascii="仿宋_GB2312" w:hAnsi="仿宋" w:eastAsia="仿宋_GB2312" w:cs="Times New Roman"/>
          <w:color w:val="auto"/>
          <w:sz w:val="24"/>
          <w:szCs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pacing w:line="360" w:lineRule="auto"/>
        <w:ind w:firstLine="480" w:firstLineChars="200"/>
        <w:rPr>
          <w:rFonts w:ascii="仿宋_GB2312" w:hAnsi="仿宋" w:eastAsia="仿宋_GB2312" w:cs="Times New Roman"/>
          <w:color w:val="auto"/>
          <w:sz w:val="24"/>
          <w:szCs w:val="24"/>
        </w:rPr>
      </w:pPr>
      <w:r>
        <w:rPr>
          <w:rFonts w:ascii="仿宋_GB2312" w:hAnsi="仿宋" w:eastAsia="仿宋_GB2312" w:cs="Times New Roman"/>
          <w:color w:val="auto"/>
          <w:sz w:val="24"/>
          <w:szCs w:val="24"/>
        </w:rPr>
        <w:t>符合中小企业划分标准的个体工商户，在政府采购活动中视同中小企业。</w:t>
      </w:r>
    </w:p>
    <w:p>
      <w:pPr>
        <w:widowControl/>
        <w:adjustRightInd w:val="0"/>
        <w:spacing w:line="360" w:lineRule="auto"/>
        <w:ind w:firstLine="480" w:firstLineChars="200"/>
        <w:jc w:val="left"/>
        <w:rPr>
          <w:rFonts w:ascii="仿宋_GB2312" w:hAnsi="宋体" w:eastAsia="仿宋_GB2312" w:cs="宋体"/>
          <w:color w:val="auto"/>
          <w:kern w:val="0"/>
          <w:sz w:val="24"/>
          <w:szCs w:val="24"/>
        </w:rPr>
      </w:pPr>
      <w:r>
        <w:rPr>
          <w:rFonts w:ascii="仿宋_GB2312" w:hAnsi="Times New Roman" w:eastAsia="仿宋_GB2312" w:cs="Times New Roman"/>
          <w:bCs/>
          <w:color w:val="auto"/>
          <w:sz w:val="24"/>
          <w:szCs w:val="24"/>
        </w:rPr>
        <w:t>3.3.2</w:t>
      </w:r>
      <w:r>
        <w:rPr>
          <w:rFonts w:hint="eastAsia" w:ascii="仿宋_GB2312" w:hAnsi="宋体" w:eastAsia="仿宋_GB2312" w:cs="宋体"/>
          <w:color w:val="auto"/>
          <w:kern w:val="0"/>
          <w:sz w:val="24"/>
          <w:szCs w:val="24"/>
        </w:rPr>
        <w:t>在政府采购活动中，投标人提供的货物、工程或者服务符合下列情形的，享受中小企业扶持政策：</w:t>
      </w:r>
    </w:p>
    <w:p>
      <w:pPr>
        <w:widowControl/>
        <w:adjustRightInd w:val="0"/>
        <w:spacing w:line="360" w:lineRule="auto"/>
        <w:ind w:firstLine="480" w:firstLineChars="200"/>
        <w:jc w:val="left"/>
        <w:rPr>
          <w:rFonts w:ascii="仿宋_GB2312" w:hAnsi="宋体" w:eastAsia="仿宋_GB2312" w:cs="宋体"/>
          <w:color w:val="auto"/>
          <w:kern w:val="0"/>
          <w:sz w:val="24"/>
          <w:szCs w:val="24"/>
        </w:rPr>
      </w:pPr>
      <w:r>
        <w:rPr>
          <w:rFonts w:hint="eastAsia" w:ascii="仿宋_GB2312" w:hAnsi="宋体" w:eastAsia="仿宋_GB2312" w:cs="宋体"/>
          <w:color w:val="auto"/>
          <w:kern w:val="0"/>
          <w:sz w:val="24"/>
          <w:szCs w:val="24"/>
        </w:rPr>
        <w:t>（</w:t>
      </w:r>
      <w:r>
        <w:rPr>
          <w:rFonts w:ascii="仿宋_GB2312" w:hAnsi="宋体" w:eastAsia="仿宋_GB2312" w:cs="宋体"/>
          <w:color w:val="auto"/>
          <w:kern w:val="0"/>
          <w:sz w:val="24"/>
          <w:szCs w:val="24"/>
        </w:rPr>
        <w:t>1）在货物采购项目中，货物由中小企业制造，即货物由中小企业生产且使用该中小企业商号或者注册商标；</w:t>
      </w:r>
    </w:p>
    <w:p>
      <w:pPr>
        <w:widowControl/>
        <w:adjustRightInd w:val="0"/>
        <w:spacing w:line="360" w:lineRule="auto"/>
        <w:ind w:firstLine="480" w:firstLineChars="200"/>
        <w:jc w:val="left"/>
        <w:rPr>
          <w:rFonts w:ascii="仿宋_GB2312" w:hAnsi="宋体" w:eastAsia="仿宋_GB2312" w:cs="宋体"/>
          <w:color w:val="auto"/>
          <w:kern w:val="0"/>
          <w:sz w:val="24"/>
          <w:szCs w:val="24"/>
        </w:rPr>
      </w:pPr>
      <w:r>
        <w:rPr>
          <w:rFonts w:hint="eastAsia" w:ascii="仿宋_GB2312" w:hAnsi="宋体" w:eastAsia="仿宋_GB2312" w:cs="宋体"/>
          <w:color w:val="auto"/>
          <w:kern w:val="0"/>
          <w:sz w:val="24"/>
          <w:szCs w:val="24"/>
        </w:rPr>
        <w:t>（</w:t>
      </w:r>
      <w:r>
        <w:rPr>
          <w:rFonts w:ascii="仿宋_GB2312" w:hAnsi="宋体" w:eastAsia="仿宋_GB2312" w:cs="宋体"/>
          <w:color w:val="auto"/>
          <w:kern w:val="0"/>
          <w:sz w:val="24"/>
          <w:szCs w:val="24"/>
        </w:rPr>
        <w:t>2）在工程采购项目中，工程由中小企业承建，即工程施工单位为中小企业；</w:t>
      </w:r>
    </w:p>
    <w:p>
      <w:pPr>
        <w:widowControl/>
        <w:adjustRightInd w:val="0"/>
        <w:spacing w:line="360" w:lineRule="auto"/>
        <w:ind w:firstLine="480" w:firstLineChars="200"/>
        <w:jc w:val="left"/>
        <w:rPr>
          <w:rFonts w:ascii="仿宋_GB2312" w:hAnsi="宋体" w:eastAsia="仿宋_GB2312" w:cs="宋体"/>
          <w:color w:val="auto"/>
          <w:kern w:val="0"/>
          <w:sz w:val="24"/>
          <w:szCs w:val="24"/>
        </w:rPr>
      </w:pPr>
      <w:r>
        <w:rPr>
          <w:rFonts w:hint="eastAsia" w:ascii="仿宋_GB2312" w:hAnsi="宋体" w:eastAsia="仿宋_GB2312" w:cs="宋体"/>
          <w:color w:val="auto"/>
          <w:kern w:val="0"/>
          <w:sz w:val="24"/>
          <w:szCs w:val="24"/>
        </w:rPr>
        <w:t>（</w:t>
      </w:r>
      <w:r>
        <w:rPr>
          <w:rFonts w:ascii="仿宋_GB2312" w:hAnsi="宋体" w:eastAsia="仿宋_GB2312" w:cs="宋体"/>
          <w:color w:val="auto"/>
          <w:kern w:val="0"/>
          <w:sz w:val="24"/>
          <w:szCs w:val="24"/>
        </w:rPr>
        <w:t>3）在服务采购项目中，服务由中小企业承接，即提供服务的人员为中小企业依照《中华人民共和国劳动合同法》订立劳动合同的从业人员。</w:t>
      </w:r>
    </w:p>
    <w:p>
      <w:pPr>
        <w:widowControl/>
        <w:adjustRightInd w:val="0"/>
        <w:spacing w:line="360" w:lineRule="auto"/>
        <w:ind w:firstLine="480" w:firstLineChars="200"/>
        <w:jc w:val="left"/>
        <w:rPr>
          <w:rFonts w:ascii="仿宋_GB2312" w:hAnsi="宋体" w:eastAsia="仿宋_GB2312" w:cs="宋体"/>
          <w:color w:val="auto"/>
          <w:kern w:val="0"/>
          <w:sz w:val="24"/>
          <w:szCs w:val="24"/>
        </w:rPr>
      </w:pPr>
      <w:r>
        <w:rPr>
          <w:rFonts w:hint="eastAsia" w:ascii="仿宋_GB2312" w:hAnsi="宋体" w:eastAsia="仿宋_GB2312" w:cs="宋体"/>
          <w:color w:val="auto"/>
          <w:kern w:val="0"/>
          <w:sz w:val="24"/>
          <w:szCs w:val="24"/>
        </w:rPr>
        <w:t>在货物采购项目中，投标人提供的货物既有中小企业制造货物，也有大型企业制造货物的，不享受中小企业扶持政策。</w:t>
      </w:r>
    </w:p>
    <w:p>
      <w:pPr>
        <w:widowControl/>
        <w:adjustRightInd w:val="0"/>
        <w:spacing w:line="360" w:lineRule="auto"/>
        <w:ind w:firstLine="480" w:firstLineChars="200"/>
        <w:jc w:val="left"/>
        <w:rPr>
          <w:rFonts w:ascii="仿宋_GB2312" w:hAnsi="宋体" w:eastAsia="仿宋_GB2312" w:cs="宋体"/>
          <w:color w:val="auto"/>
          <w:kern w:val="0"/>
          <w:sz w:val="24"/>
          <w:szCs w:val="24"/>
        </w:rPr>
      </w:pPr>
      <w:r>
        <w:rPr>
          <w:rFonts w:hint="eastAsia" w:ascii="仿宋_GB2312" w:hAnsi="宋体" w:eastAsia="仿宋_GB2312" w:cs="宋体"/>
          <w:color w:val="auto"/>
          <w:kern w:val="0"/>
          <w:sz w:val="24"/>
          <w:szCs w:val="24"/>
        </w:rPr>
        <w:t>以联合体形式参加政府采购活动，联合体各方均为中小企业的，联合体视同中小企业。其中，联合体各方均为小微企业的，联合体视同小微企业。</w:t>
      </w:r>
    </w:p>
    <w:p>
      <w:pPr>
        <w:adjustRightInd w:val="0"/>
        <w:spacing w:line="360" w:lineRule="auto"/>
        <w:ind w:firstLine="480" w:firstLineChars="200"/>
        <w:rPr>
          <w:rFonts w:ascii="仿宋_GB2312" w:hAnsi="仿宋" w:eastAsia="仿宋_GB2312" w:cs="Times New Roman"/>
          <w:color w:val="auto"/>
          <w:sz w:val="24"/>
          <w:szCs w:val="24"/>
        </w:rPr>
      </w:pPr>
      <w:r>
        <w:rPr>
          <w:rFonts w:ascii="仿宋_GB2312" w:hAnsi="仿宋" w:eastAsia="仿宋_GB2312" w:cs="Times New Roman"/>
          <w:color w:val="auto"/>
          <w:sz w:val="24"/>
          <w:szCs w:val="24"/>
        </w:rPr>
        <w:t>3.3.3</w:t>
      </w:r>
      <w:r>
        <w:rPr>
          <w:rFonts w:hint="eastAsia" w:ascii="仿宋_GB2312" w:hAnsi="仿宋" w:eastAsia="仿宋_GB2312" w:cs="Times New Roman"/>
          <w:color w:val="auto"/>
          <w:sz w:val="24"/>
          <w:szCs w:val="24"/>
        </w:rPr>
        <w:t>对于未预留份额专门面向中小企业的政府采购货物或服务项目，以及预留份额政府采购货物或服务项目中的非预留部分标项，对小型和微型企业的投标报价给予</w:t>
      </w:r>
      <w:r>
        <w:rPr>
          <w:rFonts w:ascii="仿宋_GB2312" w:hAnsi="仿宋" w:eastAsia="仿宋_GB2312" w:cs="Times New Roman"/>
          <w:b/>
          <w:bCs/>
          <w:color w:val="auto"/>
          <w:sz w:val="24"/>
          <w:szCs w:val="24"/>
        </w:rPr>
        <w:t>10%</w:t>
      </w:r>
      <w:r>
        <w:rPr>
          <w:rFonts w:ascii="仿宋_GB2312" w:hAnsi="仿宋" w:eastAsia="仿宋_GB2312" w:cs="Times New Roman"/>
          <w:color w:val="auto"/>
          <w:sz w:val="24"/>
          <w:szCs w:val="24"/>
        </w:rPr>
        <w:t>的扣除，用扣除后的价格参与评审。</w:t>
      </w:r>
    </w:p>
    <w:p>
      <w:pPr>
        <w:adjustRightInd w:val="0"/>
        <w:spacing w:line="360" w:lineRule="auto"/>
        <w:ind w:firstLine="480" w:firstLineChars="200"/>
        <w:rPr>
          <w:rFonts w:ascii="仿宋_GB2312" w:hAnsi="仿宋" w:eastAsia="仿宋_GB2312" w:cs="Times New Roman"/>
          <w:color w:val="auto"/>
          <w:sz w:val="24"/>
          <w:szCs w:val="24"/>
        </w:rPr>
      </w:pPr>
      <w:r>
        <w:rPr>
          <w:rFonts w:ascii="仿宋_GB2312" w:hAnsi="仿宋" w:eastAsia="仿宋_GB2312" w:cs="Times New Roman"/>
          <w:color w:val="auto"/>
          <w:sz w:val="24"/>
          <w:szCs w:val="24"/>
        </w:rPr>
        <w:t>3.3.4接受大中型企业与小微企业组成联合体或者允许大中型企业向一家或者多家小微企业分包的</w:t>
      </w:r>
      <w:r>
        <w:rPr>
          <w:rFonts w:hint="eastAsia" w:ascii="仿宋_GB2312" w:hAnsi="仿宋" w:eastAsia="仿宋_GB2312" w:cs="Times New Roman"/>
          <w:color w:val="auto"/>
          <w:sz w:val="24"/>
          <w:szCs w:val="24"/>
        </w:rPr>
        <w:t>政府</w:t>
      </w:r>
      <w:r>
        <w:rPr>
          <w:rFonts w:ascii="仿宋_GB2312" w:hAnsi="仿宋" w:eastAsia="仿宋_GB2312" w:cs="Times New Roman"/>
          <w:color w:val="auto"/>
          <w:sz w:val="24"/>
          <w:szCs w:val="24"/>
        </w:rPr>
        <w:t>采购</w:t>
      </w:r>
      <w:r>
        <w:rPr>
          <w:rFonts w:hint="eastAsia" w:ascii="仿宋_GB2312" w:hAnsi="仿宋" w:eastAsia="仿宋_GB2312" w:cs="Times New Roman"/>
          <w:color w:val="auto"/>
          <w:sz w:val="24"/>
          <w:szCs w:val="24"/>
        </w:rPr>
        <w:t>货物或服务</w:t>
      </w:r>
      <w:r>
        <w:rPr>
          <w:rFonts w:ascii="仿宋_GB2312" w:hAnsi="仿宋" w:eastAsia="仿宋_GB2312" w:cs="Times New Roman"/>
          <w:color w:val="auto"/>
          <w:sz w:val="24"/>
          <w:szCs w:val="24"/>
        </w:rPr>
        <w:t>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adjustRightInd w:val="0"/>
        <w:spacing w:line="360" w:lineRule="auto"/>
        <w:ind w:firstLine="480" w:firstLineChars="200"/>
        <w:rPr>
          <w:rFonts w:ascii="仿宋_GB2312" w:hAnsi="仿宋" w:eastAsia="仿宋_GB2312" w:cs="Times New Roman"/>
          <w:sz w:val="24"/>
          <w:szCs w:val="24"/>
        </w:rPr>
      </w:pPr>
      <w:r>
        <w:rPr>
          <w:rFonts w:ascii="仿宋_GB2312" w:hAnsi="仿宋" w:eastAsia="仿宋_GB2312" w:cs="Times New Roman"/>
          <w:sz w:val="24"/>
          <w:szCs w:val="24"/>
        </w:rPr>
        <w:t>3.3.5</w:t>
      </w:r>
      <w:r>
        <w:rPr>
          <w:rFonts w:hint="eastAsia" w:ascii="仿宋_GB2312" w:hAnsi="仿宋" w:eastAsia="仿宋_GB2312" w:cs="Times New Roman"/>
          <w:sz w:val="24"/>
          <w:szCs w:val="24"/>
        </w:rPr>
        <w:t>符合《关于促进残疾人就业政府采购政策的通知》（财库〔</w:t>
      </w:r>
      <w:r>
        <w:rPr>
          <w:rFonts w:ascii="仿宋_GB2312" w:hAnsi="仿宋" w:eastAsia="仿宋_GB2312" w:cs="Times New Roman"/>
          <w:sz w:val="24"/>
          <w:szCs w:val="24"/>
        </w:rPr>
        <w:t>2017〕141号）规定的条件并提供《残疾人福利性单位声明函》（附件1）的残疾人福利性单位视同小型、微型企业；</w:t>
      </w:r>
    </w:p>
    <w:p>
      <w:pPr>
        <w:adjustRightInd w:val="0"/>
        <w:spacing w:line="360" w:lineRule="auto"/>
        <w:ind w:firstLine="480" w:firstLineChars="200"/>
        <w:rPr>
          <w:rFonts w:ascii="仿宋_GB2312" w:hAnsi="仿宋" w:eastAsia="仿宋_GB2312" w:cs="Times New Roman"/>
          <w:sz w:val="24"/>
          <w:szCs w:val="24"/>
        </w:rPr>
      </w:pPr>
      <w:r>
        <w:rPr>
          <w:rFonts w:ascii="仿宋_GB2312" w:hAnsi="仿宋" w:eastAsia="仿宋_GB2312" w:cs="Times New Roman"/>
          <w:sz w:val="24"/>
          <w:szCs w:val="24"/>
        </w:rPr>
        <w:t>3.3.6</w:t>
      </w:r>
      <w:r>
        <w:rPr>
          <w:rFonts w:hint="eastAsia" w:ascii="仿宋_GB2312" w:hAnsi="仿宋" w:eastAsia="仿宋_GB2312" w:cs="Times New Roman"/>
          <w:sz w:val="24"/>
          <w:szCs w:val="24"/>
        </w:rPr>
        <w:t>符合《关于政府采购支持监狱企业发展有关问题的通知》（财库</w:t>
      </w:r>
      <w:r>
        <w:rPr>
          <w:rFonts w:ascii="仿宋_GB2312" w:hAnsi="仿宋" w:eastAsia="仿宋_GB2312" w:cs="Times New Roman"/>
          <w:sz w:val="24"/>
          <w:szCs w:val="24"/>
        </w:rPr>
        <w:t>[2014]68号）规定的监狱企业并提供由省级以上监狱管理局、戒毒管理局（含新疆生产建设兵团）出具的属于监狱企业证明文件的，视同为小型、微型企业。</w:t>
      </w:r>
    </w:p>
    <w:p>
      <w:pPr>
        <w:adjustRightInd w:val="0"/>
        <w:spacing w:line="360" w:lineRule="auto"/>
        <w:ind w:firstLine="480" w:firstLineChars="200"/>
        <w:rPr>
          <w:rFonts w:ascii="仿宋_GB2312" w:hAnsi="仿宋" w:eastAsia="仿宋_GB2312" w:cs="Times New Roman"/>
          <w:sz w:val="24"/>
          <w:szCs w:val="24"/>
        </w:rPr>
      </w:pPr>
      <w:r>
        <w:rPr>
          <w:rFonts w:ascii="仿宋_GB2312" w:hAnsi="仿宋" w:eastAsia="仿宋_GB2312" w:cs="Times New Roman"/>
          <w:sz w:val="24"/>
          <w:szCs w:val="24"/>
        </w:rPr>
        <w:t>3.3.7</w:t>
      </w:r>
      <w:r>
        <w:rPr>
          <w:rFonts w:hint="eastAsia" w:ascii="仿宋_GB2312" w:hAnsi="仿宋" w:eastAsia="仿宋_GB2312" w:cs="Times New Roman"/>
          <w:sz w:val="24"/>
          <w:szCs w:val="24"/>
        </w:rPr>
        <w:t>可享受</w:t>
      </w:r>
      <w:r>
        <w:rPr>
          <w:rFonts w:hint="eastAsia" w:ascii="仿宋_GB2312" w:hAnsi="宋体" w:eastAsia="仿宋_GB2312" w:cs="宋体"/>
          <w:kern w:val="0"/>
          <w:sz w:val="24"/>
          <w:szCs w:val="24"/>
        </w:rPr>
        <w:t>中小企业扶持政策</w:t>
      </w:r>
      <w:r>
        <w:rPr>
          <w:rFonts w:hint="eastAsia" w:ascii="仿宋_GB2312" w:hAnsi="仿宋" w:eastAsia="仿宋_GB2312" w:cs="Times New Roman"/>
          <w:sz w:val="24"/>
          <w:szCs w:val="24"/>
        </w:rPr>
        <w:t>的投标人应按照招标文件格式要求提供《中小企业声明函》。</w:t>
      </w:r>
    </w:p>
    <w:p>
      <w:pPr>
        <w:adjustRightInd w:val="0"/>
        <w:spacing w:line="360" w:lineRule="auto"/>
        <w:ind w:firstLine="480" w:firstLineChars="200"/>
        <w:rPr>
          <w:rFonts w:ascii="仿宋_GB2312" w:hAnsi="仿宋" w:eastAsia="仿宋_GB2312" w:cs="Times New Roman"/>
          <w:sz w:val="24"/>
          <w:szCs w:val="24"/>
        </w:rPr>
      </w:pPr>
      <w:r>
        <w:rPr>
          <w:rFonts w:ascii="仿宋_GB2312" w:hAnsi="仿宋" w:eastAsia="仿宋_GB2312" w:cs="Times New Roman"/>
          <w:sz w:val="24"/>
          <w:szCs w:val="24"/>
        </w:rPr>
        <w:t>3.3.8</w:t>
      </w:r>
      <w:r>
        <w:rPr>
          <w:rFonts w:hint="eastAsia" w:ascii="仿宋_GB2312" w:hAnsi="仿宋" w:eastAsia="仿宋_GB2312" w:cs="Times New Roman"/>
          <w:sz w:val="24"/>
          <w:szCs w:val="24"/>
        </w:rPr>
        <w:t>中小企业</w:t>
      </w:r>
      <w:r>
        <w:rPr>
          <w:rFonts w:ascii="仿宋_GB2312" w:hAnsi="仿宋" w:eastAsia="仿宋_GB2312" w:cs="Times New Roman"/>
          <w:sz w:val="24"/>
          <w:szCs w:val="24"/>
        </w:rPr>
        <w:t>享受扶持政策获得政府采购合同的，小微企业不得将合同分包给大中型企业，中型企业不得将合同分包给大型企业</w:t>
      </w:r>
      <w:r>
        <w:rPr>
          <w:rFonts w:hint="eastAsia" w:ascii="仿宋_GB2312" w:hAnsi="仿宋" w:eastAsia="仿宋_GB2312" w:cs="Times New Roman"/>
          <w:sz w:val="24"/>
          <w:szCs w:val="24"/>
        </w:rPr>
        <w:t>。</w:t>
      </w:r>
    </w:p>
    <w:p>
      <w:pPr>
        <w:adjustRightInd w:val="0"/>
        <w:spacing w:line="360" w:lineRule="auto"/>
        <w:ind w:firstLine="480" w:firstLineChars="200"/>
        <w:rPr>
          <w:rFonts w:hint="eastAsia" w:ascii="仿宋_GB2312" w:hAnsi="仿宋_GB2312" w:eastAsia="仿宋_GB2312" w:cs="仿宋_GB2312"/>
          <w:snapToGrid w:val="0"/>
          <w:color w:val="000000" w:themeColor="text1"/>
          <w:kern w:val="2"/>
          <w:sz w:val="24"/>
          <w:szCs w:val="21"/>
          <w:lang w:val="en-US" w:eastAsia="zh-CN" w:bidi="ar-SA"/>
          <w14:textFill>
            <w14:solidFill>
              <w14:schemeClr w14:val="tx1"/>
            </w14:solidFill>
          </w14:textFill>
        </w:rPr>
      </w:pPr>
      <w:r>
        <w:rPr>
          <w:rFonts w:hint="eastAsia" w:ascii="仿宋_GB2312" w:hAnsi="仿宋" w:eastAsia="仿宋_GB2312" w:cs="Times New Roman"/>
          <w:sz w:val="24"/>
          <w:szCs w:val="24"/>
        </w:rPr>
        <w:t>3.4</w:t>
      </w:r>
      <w:r>
        <w:rPr>
          <w:rFonts w:hint="eastAsia" w:ascii="仿宋_GB2312" w:hAnsi="仿宋_GB2312" w:eastAsia="仿宋_GB2312" w:cs="仿宋_GB2312"/>
          <w:snapToGrid w:val="0"/>
          <w:color w:val="000000" w:themeColor="text1"/>
          <w:kern w:val="2"/>
          <w:sz w:val="24"/>
          <w:szCs w:val="21"/>
          <w:lang w:val="en-US" w:eastAsia="zh-CN" w:bidi="ar-SA"/>
          <w14:textFill>
            <w14:solidFill>
              <w14:schemeClr w14:val="tx1"/>
            </w14:solidFill>
          </w14:textFill>
        </w:rPr>
        <w:t>凡已在浙江政府采购网网上注册入库，并取得临安区政府采购合同的中小企业供应商，均可申请政府采购信用融资，联系方式见附表（政府采购融资畅通工程金融机构联系信息表）。</w:t>
      </w:r>
    </w:p>
    <w:p>
      <w:pPr>
        <w:adjustRightInd w:val="0"/>
        <w:spacing w:line="360" w:lineRule="auto"/>
        <w:ind w:firstLine="482" w:firstLineChars="200"/>
        <w:rPr>
          <w:rFonts w:ascii="仿宋_GB2312" w:hAnsi="仿宋" w:eastAsia="仿宋_GB2312" w:cs="Times New Roman"/>
          <w:b/>
          <w:sz w:val="24"/>
          <w:szCs w:val="24"/>
        </w:rPr>
      </w:pPr>
      <w:r>
        <w:rPr>
          <w:rFonts w:hint="eastAsia" w:ascii="仿宋_GB2312" w:hAnsi="仿宋" w:eastAsia="仿宋_GB2312" w:cs="Times New Roman"/>
          <w:b/>
          <w:sz w:val="24"/>
          <w:szCs w:val="24"/>
        </w:rPr>
        <w:t>4. 询问、质疑、投诉</w:t>
      </w:r>
    </w:p>
    <w:p>
      <w:pPr>
        <w:autoSpaceDE w:val="0"/>
        <w:autoSpaceDN w:val="0"/>
        <w:adjustRightInd w:val="0"/>
        <w:spacing w:line="360" w:lineRule="auto"/>
        <w:ind w:firstLine="480" w:firstLineChars="200"/>
        <w:jc w:val="left"/>
        <w:rPr>
          <w:rFonts w:ascii="仿宋_GB2312" w:hAnsi="仿宋" w:eastAsia="仿宋_GB2312" w:cs="微软雅黑"/>
          <w:kern w:val="0"/>
          <w:sz w:val="24"/>
          <w:szCs w:val="24"/>
          <w:lang w:val="zh-CN"/>
        </w:rPr>
      </w:pPr>
      <w:r>
        <w:rPr>
          <w:rFonts w:hint="eastAsia" w:ascii="仿宋_GB2312" w:hAnsi="仿宋" w:eastAsia="仿宋_GB2312" w:cs="微软雅黑"/>
          <w:kern w:val="0"/>
          <w:sz w:val="24"/>
          <w:szCs w:val="24"/>
          <w:lang w:val="zh-CN"/>
        </w:rPr>
        <w:t>4.1供应商询问</w:t>
      </w:r>
    </w:p>
    <w:p>
      <w:pPr>
        <w:adjustRightInd w:val="0"/>
        <w:spacing w:line="360" w:lineRule="auto"/>
        <w:ind w:firstLine="480" w:firstLineChars="200"/>
        <w:rPr>
          <w:rFonts w:ascii="仿宋_GB2312" w:hAnsi="仿宋" w:eastAsia="仿宋_GB2312" w:cs="Arial"/>
          <w:snapToGrid w:val="0"/>
          <w:sz w:val="24"/>
          <w:szCs w:val="21"/>
        </w:rPr>
      </w:pPr>
      <w:r>
        <w:rPr>
          <w:rFonts w:hint="eastAsia" w:ascii="仿宋_GB2312" w:hAnsi="仿宋" w:eastAsia="仿宋_GB2312" w:cs="Arial"/>
          <w:snapToGrid w:val="0"/>
          <w:sz w:val="24"/>
          <w:szCs w:val="21"/>
        </w:rPr>
        <w:t>根据采购人与采购机构签订的《杭州市集中采购年度委托协议》的规定：供应商可以就采购文件中特定资格条件、采购需求、评分办法及采购过程中有关现场考察或开标前答疑会事项向采购人提出询问，采购人将对此作出答复；供应商可以就采购活动中的其它事项向采购机构提出询问，采购机构将对此作出答复。答复的内容不得涉及商业秘密。</w:t>
      </w:r>
    </w:p>
    <w:p>
      <w:pPr>
        <w:autoSpaceDE w:val="0"/>
        <w:autoSpaceDN w:val="0"/>
        <w:adjustRightInd w:val="0"/>
        <w:spacing w:line="360" w:lineRule="auto"/>
        <w:ind w:firstLine="480" w:firstLineChars="200"/>
        <w:jc w:val="left"/>
        <w:rPr>
          <w:rFonts w:ascii="仿宋_GB2312" w:hAnsi="仿宋" w:eastAsia="仿宋_GB2312" w:cs="微软雅黑"/>
          <w:kern w:val="0"/>
          <w:sz w:val="24"/>
          <w:szCs w:val="24"/>
          <w:lang w:val="zh-CN"/>
        </w:rPr>
      </w:pPr>
      <w:r>
        <w:rPr>
          <w:rFonts w:hint="eastAsia" w:ascii="仿宋_GB2312" w:hAnsi="仿宋" w:eastAsia="仿宋_GB2312" w:cs="微软雅黑"/>
          <w:kern w:val="0"/>
          <w:sz w:val="24"/>
          <w:szCs w:val="24"/>
          <w:lang w:val="zh-CN"/>
        </w:rPr>
        <w:t>4.2供应商质疑</w:t>
      </w:r>
    </w:p>
    <w:p>
      <w:pPr>
        <w:adjustRightInd w:val="0"/>
        <w:spacing w:line="360" w:lineRule="auto"/>
        <w:ind w:firstLine="480" w:firstLineChars="200"/>
        <w:rPr>
          <w:rFonts w:ascii="仿宋_GB2312" w:hAnsi="仿宋" w:eastAsia="仿宋_GB2312" w:cs="Arial"/>
          <w:snapToGrid w:val="0"/>
          <w:sz w:val="24"/>
          <w:szCs w:val="21"/>
        </w:rPr>
      </w:pPr>
      <w:r>
        <w:rPr>
          <w:rFonts w:hint="eastAsia" w:ascii="仿宋_GB2312" w:hAnsi="仿宋" w:eastAsia="仿宋_GB2312" w:cs="微软雅黑"/>
          <w:snapToGrid w:val="0"/>
          <w:kern w:val="0"/>
          <w:sz w:val="24"/>
          <w:szCs w:val="21"/>
          <w:lang w:val="zh-CN"/>
        </w:rPr>
        <w:t>4.2</w:t>
      </w:r>
      <w:r>
        <w:rPr>
          <w:rFonts w:hint="eastAsia" w:ascii="仿宋_GB2312" w:hAnsi="仿宋" w:eastAsia="仿宋_GB2312" w:cs="Arial"/>
          <w:snapToGrid w:val="0"/>
          <w:sz w:val="24"/>
          <w:szCs w:val="21"/>
        </w:rPr>
        <w:t>.1提出质疑的供应商应当是参与所质疑项目采购活动的供应商。潜在供应商已依法获取其可质疑的采购文件的，可以对该文件提出质疑。</w:t>
      </w:r>
    </w:p>
    <w:p>
      <w:pPr>
        <w:adjustRightInd w:val="0"/>
        <w:spacing w:line="360" w:lineRule="auto"/>
        <w:ind w:firstLine="480" w:firstLineChars="200"/>
        <w:rPr>
          <w:rFonts w:ascii="仿宋_GB2312" w:hAnsi="仿宋" w:eastAsia="仿宋_GB2312" w:cs="Arial"/>
          <w:snapToGrid w:val="0"/>
          <w:sz w:val="24"/>
          <w:szCs w:val="21"/>
        </w:rPr>
      </w:pPr>
      <w:r>
        <w:rPr>
          <w:rFonts w:hint="eastAsia" w:ascii="仿宋_GB2312" w:hAnsi="仿宋" w:eastAsia="仿宋_GB2312" w:cs="微软雅黑"/>
          <w:snapToGrid w:val="0"/>
          <w:kern w:val="0"/>
          <w:sz w:val="24"/>
          <w:szCs w:val="21"/>
          <w:lang w:val="zh-CN"/>
        </w:rPr>
        <w:t>4.2</w:t>
      </w:r>
      <w:r>
        <w:rPr>
          <w:rFonts w:hint="eastAsia" w:ascii="仿宋_GB2312" w:hAnsi="仿宋" w:eastAsia="仿宋_GB2312" w:cs="Arial"/>
          <w:snapToGrid w:val="0"/>
          <w:sz w:val="24"/>
          <w:szCs w:val="21"/>
        </w:rPr>
        <w:t>.2供应商认为采购文件、采购过程和中标结果使自己的权益受到损害的，可以在知道或者应知其权益受到损害之日起七个工作日内，以书面形式向采购人或者采购机构提出质疑，否则，采购人或者采购机构不予受理：</w:t>
      </w:r>
    </w:p>
    <w:p>
      <w:pPr>
        <w:widowControl/>
        <w:adjustRightInd w:val="0"/>
        <w:snapToGrid w:val="0"/>
        <w:spacing w:line="360" w:lineRule="auto"/>
        <w:ind w:firstLine="434" w:firstLineChars="181"/>
        <w:rPr>
          <w:rFonts w:ascii="仿宋_GB2312" w:hAnsi="仿宋" w:eastAsia="仿宋_GB2312"/>
          <w:sz w:val="24"/>
        </w:rPr>
      </w:pPr>
      <w:r>
        <w:rPr>
          <w:rFonts w:hint="eastAsia" w:ascii="仿宋_GB2312" w:hAnsi="仿宋" w:eastAsia="仿宋_GB2312"/>
          <w:sz w:val="24"/>
        </w:rPr>
        <w:t>4.2.2.1对采购文件提出质疑的，质疑期限为供应商获得采购文件之日或者采购文件公告期限届满之日起计算。采购文件在获取截止之日后获得的，应当自采购文件公告期限届满之日起计算，且应当在采购响应截止时间之前提出。根据采购人与采购机构签订的《杭州市集中采购年度委托协议》的规定：对采购文件中特定资格条件、采购需求、评分办法提出的质疑，原则上由采购人负责答复；对采购文件中其他内容提出的质疑，原则上由采购机构负责答复。</w:t>
      </w:r>
    </w:p>
    <w:p>
      <w:pPr>
        <w:adjustRightInd w:val="0"/>
        <w:spacing w:line="360" w:lineRule="auto"/>
        <w:ind w:firstLine="480" w:firstLineChars="200"/>
        <w:rPr>
          <w:rFonts w:ascii="仿宋_GB2312" w:hAnsi="仿宋" w:eastAsia="仿宋_GB2312" w:cs="Arial"/>
          <w:snapToGrid w:val="0"/>
          <w:sz w:val="24"/>
          <w:szCs w:val="21"/>
        </w:rPr>
      </w:pPr>
      <w:r>
        <w:rPr>
          <w:rFonts w:hint="eastAsia" w:ascii="仿宋_GB2312" w:hAnsi="仿宋" w:eastAsia="仿宋_GB2312" w:cs="Arial"/>
          <w:snapToGrid w:val="0"/>
          <w:sz w:val="24"/>
          <w:szCs w:val="21"/>
        </w:rPr>
        <w:t>4.2.2.2对采购过程提出质疑的，质疑期限为各采购程序环节结束之日起计算。对同一采购程序环节的质疑，供应商须一次性提出。根据采购人与采购机构签订的《杭州市集中采购年度委托协议》的规定：对采购过程中有关现场考察或开标前答疑会事项提出的质疑，原则上由采购人负责答复；对采购过程中其它事项提出的质疑，原则上由采购机构负责答复。</w:t>
      </w:r>
    </w:p>
    <w:p>
      <w:pPr>
        <w:adjustRightInd w:val="0"/>
        <w:spacing w:line="360" w:lineRule="auto"/>
        <w:ind w:firstLine="480" w:firstLineChars="200"/>
        <w:rPr>
          <w:rFonts w:ascii="仿宋_GB2312" w:hAnsi="仿宋" w:eastAsia="仿宋_GB2312" w:cs="Arial"/>
          <w:snapToGrid w:val="0"/>
          <w:sz w:val="24"/>
          <w:szCs w:val="21"/>
        </w:rPr>
      </w:pPr>
      <w:r>
        <w:rPr>
          <w:rFonts w:hint="eastAsia" w:ascii="仿宋_GB2312" w:hAnsi="仿宋" w:eastAsia="仿宋_GB2312" w:cs="Arial"/>
          <w:snapToGrid w:val="0"/>
          <w:sz w:val="24"/>
          <w:szCs w:val="21"/>
        </w:rPr>
        <w:t>4.2.2.3对采购结果提出质疑的，质疑期限自采购结果公告期限届满之日起计算。对采购结果提出质疑的，采购机构负责答复。</w:t>
      </w:r>
    </w:p>
    <w:p>
      <w:pPr>
        <w:adjustRightInd w:val="0"/>
        <w:snapToGrid w:val="0"/>
        <w:spacing w:line="360" w:lineRule="auto"/>
        <w:ind w:firstLine="480" w:firstLineChars="200"/>
        <w:contextualSpacing/>
        <w:rPr>
          <w:rFonts w:ascii="仿宋_GB2312" w:hAnsi="仿宋" w:eastAsia="仿宋_GB2312" w:cs="Arial"/>
          <w:snapToGrid w:val="0"/>
          <w:sz w:val="24"/>
          <w:szCs w:val="21"/>
        </w:rPr>
      </w:pPr>
      <w:r>
        <w:rPr>
          <w:rFonts w:hint="eastAsia" w:ascii="仿宋_GB2312" w:hAnsi="仿宋" w:eastAsia="仿宋_GB2312" w:cs="微软雅黑"/>
          <w:snapToGrid w:val="0"/>
          <w:kern w:val="0"/>
          <w:sz w:val="24"/>
          <w:szCs w:val="21"/>
          <w:lang w:val="zh-CN"/>
        </w:rPr>
        <w:t>4.2.3</w:t>
      </w:r>
      <w:r>
        <w:rPr>
          <w:rFonts w:hint="eastAsia" w:ascii="仿宋_GB2312" w:hAnsi="仿宋" w:eastAsia="仿宋_GB2312" w:cs="Arial"/>
          <w:snapToGrid w:val="0"/>
          <w:sz w:val="24"/>
          <w:szCs w:val="21"/>
        </w:rPr>
        <w:t>供应商提出质疑应当提交质疑函和必要的证明材料。质疑函应当包括下列内容：</w:t>
      </w:r>
    </w:p>
    <w:p>
      <w:pPr>
        <w:widowControl/>
        <w:shd w:val="clear" w:color="auto" w:fill="FFFFFF"/>
        <w:snapToGrid w:val="0"/>
        <w:spacing w:before="100" w:beforeAutospacing="1" w:after="240" w:line="360" w:lineRule="auto"/>
        <w:contextualSpacing/>
        <w:jc w:val="left"/>
        <w:rPr>
          <w:rFonts w:ascii="仿宋_GB2312" w:hAnsi="仿宋" w:eastAsia="仿宋_GB2312" w:cs="Arial"/>
          <w:snapToGrid w:val="0"/>
          <w:sz w:val="24"/>
          <w:szCs w:val="21"/>
        </w:rPr>
      </w:pPr>
      <w:r>
        <w:rPr>
          <w:rFonts w:hint="eastAsia" w:ascii="仿宋_GB2312" w:hAnsi="仿宋" w:eastAsia="仿宋_GB2312" w:cs="Arial"/>
          <w:snapToGrid w:val="0"/>
          <w:sz w:val="24"/>
          <w:szCs w:val="21"/>
        </w:rPr>
        <w:t>　　</w:t>
      </w:r>
      <w:r>
        <w:rPr>
          <w:rFonts w:hint="eastAsia" w:ascii="仿宋_GB2312" w:hAnsi="仿宋" w:eastAsia="仿宋_GB2312" w:cs="微软雅黑"/>
          <w:kern w:val="0"/>
          <w:sz w:val="24"/>
          <w:szCs w:val="24"/>
          <w:lang w:val="zh-CN"/>
        </w:rPr>
        <w:t>4.2.3.1</w:t>
      </w:r>
      <w:r>
        <w:rPr>
          <w:rFonts w:hint="eastAsia" w:ascii="仿宋_GB2312" w:hAnsi="仿宋" w:eastAsia="仿宋_GB2312" w:cs="Arial"/>
          <w:snapToGrid w:val="0"/>
          <w:sz w:val="24"/>
          <w:szCs w:val="21"/>
        </w:rPr>
        <w:t>供应商的姓名或者名称、地址、邮编、联系人及联系电话；</w:t>
      </w:r>
    </w:p>
    <w:p>
      <w:pPr>
        <w:widowControl/>
        <w:shd w:val="clear" w:color="auto" w:fill="FFFFFF"/>
        <w:snapToGrid w:val="0"/>
        <w:spacing w:before="100" w:beforeAutospacing="1" w:after="240" w:line="360" w:lineRule="auto"/>
        <w:contextualSpacing/>
        <w:jc w:val="left"/>
        <w:rPr>
          <w:rFonts w:ascii="仿宋_GB2312" w:hAnsi="仿宋" w:eastAsia="仿宋_GB2312" w:cs="Arial"/>
          <w:snapToGrid w:val="0"/>
          <w:sz w:val="24"/>
          <w:szCs w:val="21"/>
        </w:rPr>
      </w:pPr>
      <w:r>
        <w:rPr>
          <w:rFonts w:hint="eastAsia" w:ascii="仿宋_GB2312" w:hAnsi="仿宋" w:eastAsia="仿宋_GB2312" w:cs="Arial"/>
          <w:snapToGrid w:val="0"/>
          <w:sz w:val="24"/>
          <w:szCs w:val="21"/>
        </w:rPr>
        <w:t>　　</w:t>
      </w:r>
      <w:r>
        <w:rPr>
          <w:rFonts w:hint="eastAsia" w:ascii="仿宋_GB2312" w:hAnsi="仿宋" w:eastAsia="仿宋_GB2312" w:cs="微软雅黑"/>
          <w:kern w:val="0"/>
          <w:sz w:val="24"/>
          <w:szCs w:val="24"/>
          <w:lang w:val="zh-CN"/>
        </w:rPr>
        <w:t>4.2.3.2</w:t>
      </w:r>
      <w:r>
        <w:rPr>
          <w:rFonts w:hint="eastAsia" w:ascii="仿宋_GB2312" w:hAnsi="仿宋" w:eastAsia="仿宋_GB2312" w:cs="Arial"/>
          <w:snapToGrid w:val="0"/>
          <w:sz w:val="24"/>
          <w:szCs w:val="21"/>
        </w:rPr>
        <w:t>质疑项目的名称、编号；</w:t>
      </w:r>
    </w:p>
    <w:p>
      <w:pPr>
        <w:widowControl/>
        <w:shd w:val="clear" w:color="auto" w:fill="FFFFFF"/>
        <w:snapToGrid w:val="0"/>
        <w:spacing w:before="100" w:beforeAutospacing="1" w:after="240" w:line="360" w:lineRule="auto"/>
        <w:contextualSpacing/>
        <w:jc w:val="left"/>
        <w:rPr>
          <w:rFonts w:ascii="仿宋_GB2312" w:hAnsi="仿宋" w:eastAsia="仿宋_GB2312" w:cs="Arial"/>
          <w:snapToGrid w:val="0"/>
          <w:sz w:val="24"/>
          <w:szCs w:val="21"/>
        </w:rPr>
      </w:pPr>
      <w:r>
        <w:rPr>
          <w:rFonts w:hint="eastAsia" w:ascii="仿宋_GB2312" w:hAnsi="仿宋" w:eastAsia="仿宋_GB2312" w:cs="Arial"/>
          <w:snapToGrid w:val="0"/>
          <w:sz w:val="24"/>
          <w:szCs w:val="21"/>
        </w:rPr>
        <w:t>　　</w:t>
      </w:r>
      <w:r>
        <w:rPr>
          <w:rFonts w:hint="eastAsia" w:ascii="仿宋_GB2312" w:hAnsi="仿宋" w:eastAsia="仿宋_GB2312" w:cs="微软雅黑"/>
          <w:kern w:val="0"/>
          <w:sz w:val="24"/>
          <w:szCs w:val="24"/>
          <w:lang w:val="zh-CN"/>
        </w:rPr>
        <w:t>4.2.3.3</w:t>
      </w:r>
      <w:r>
        <w:rPr>
          <w:rFonts w:hint="eastAsia" w:ascii="仿宋_GB2312" w:hAnsi="仿宋" w:eastAsia="仿宋_GB2312" w:cs="Arial"/>
          <w:snapToGrid w:val="0"/>
          <w:sz w:val="24"/>
          <w:szCs w:val="21"/>
        </w:rPr>
        <w:t>具体、明确的质疑事项和与质疑事项相关的请求；</w:t>
      </w:r>
    </w:p>
    <w:p>
      <w:pPr>
        <w:widowControl/>
        <w:shd w:val="clear" w:color="auto" w:fill="FFFFFF"/>
        <w:snapToGrid w:val="0"/>
        <w:spacing w:before="100" w:beforeAutospacing="1" w:after="240" w:line="360" w:lineRule="auto"/>
        <w:contextualSpacing/>
        <w:jc w:val="left"/>
        <w:rPr>
          <w:rFonts w:ascii="仿宋_GB2312" w:hAnsi="仿宋" w:eastAsia="仿宋_GB2312" w:cs="Arial"/>
          <w:snapToGrid w:val="0"/>
          <w:sz w:val="24"/>
          <w:szCs w:val="21"/>
        </w:rPr>
      </w:pPr>
      <w:r>
        <w:rPr>
          <w:rFonts w:hint="eastAsia" w:ascii="仿宋_GB2312" w:hAnsi="仿宋" w:eastAsia="仿宋_GB2312" w:cs="Arial"/>
          <w:snapToGrid w:val="0"/>
          <w:sz w:val="24"/>
          <w:szCs w:val="21"/>
        </w:rPr>
        <w:t>　　</w:t>
      </w:r>
      <w:r>
        <w:rPr>
          <w:rFonts w:hint="eastAsia" w:ascii="仿宋_GB2312" w:hAnsi="仿宋" w:eastAsia="仿宋_GB2312" w:cs="微软雅黑"/>
          <w:kern w:val="0"/>
          <w:sz w:val="24"/>
          <w:szCs w:val="24"/>
          <w:lang w:val="zh-CN"/>
        </w:rPr>
        <w:t>4.2.3.4</w:t>
      </w:r>
      <w:r>
        <w:rPr>
          <w:rFonts w:hint="eastAsia" w:ascii="仿宋_GB2312" w:hAnsi="仿宋" w:eastAsia="仿宋_GB2312" w:cs="Arial"/>
          <w:snapToGrid w:val="0"/>
          <w:sz w:val="24"/>
          <w:szCs w:val="21"/>
        </w:rPr>
        <w:t>事实依据；</w:t>
      </w:r>
    </w:p>
    <w:p>
      <w:pPr>
        <w:widowControl/>
        <w:shd w:val="clear" w:color="auto" w:fill="FFFFFF"/>
        <w:snapToGrid w:val="0"/>
        <w:spacing w:before="100" w:beforeAutospacing="1" w:after="240" w:line="360" w:lineRule="auto"/>
        <w:contextualSpacing/>
        <w:jc w:val="left"/>
        <w:rPr>
          <w:rFonts w:ascii="仿宋_GB2312" w:hAnsi="仿宋" w:eastAsia="仿宋_GB2312" w:cs="Arial"/>
          <w:snapToGrid w:val="0"/>
          <w:sz w:val="24"/>
          <w:szCs w:val="21"/>
        </w:rPr>
      </w:pPr>
      <w:r>
        <w:rPr>
          <w:rFonts w:hint="eastAsia" w:ascii="仿宋_GB2312" w:hAnsi="仿宋" w:eastAsia="仿宋_GB2312" w:cs="Arial"/>
          <w:snapToGrid w:val="0"/>
          <w:sz w:val="24"/>
          <w:szCs w:val="21"/>
        </w:rPr>
        <w:t>　　</w:t>
      </w:r>
      <w:r>
        <w:rPr>
          <w:rFonts w:hint="eastAsia" w:ascii="仿宋_GB2312" w:hAnsi="仿宋" w:eastAsia="仿宋_GB2312" w:cs="微软雅黑"/>
          <w:kern w:val="0"/>
          <w:sz w:val="24"/>
          <w:szCs w:val="24"/>
          <w:lang w:val="zh-CN"/>
        </w:rPr>
        <w:t>4.2.3.5</w:t>
      </w:r>
      <w:r>
        <w:rPr>
          <w:rFonts w:hint="eastAsia" w:ascii="仿宋_GB2312" w:hAnsi="仿宋" w:eastAsia="仿宋_GB2312" w:cs="Arial"/>
          <w:snapToGrid w:val="0"/>
          <w:sz w:val="24"/>
          <w:szCs w:val="21"/>
        </w:rPr>
        <w:t>必要的法律依据；</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Arial"/>
          <w:snapToGrid w:val="0"/>
          <w:sz w:val="24"/>
          <w:szCs w:val="21"/>
        </w:rPr>
      </w:pPr>
      <w:r>
        <w:rPr>
          <w:rFonts w:hint="eastAsia" w:ascii="仿宋_GB2312" w:hAnsi="仿宋" w:eastAsia="仿宋_GB2312" w:cs="微软雅黑"/>
          <w:kern w:val="0"/>
          <w:sz w:val="24"/>
          <w:szCs w:val="24"/>
          <w:lang w:val="zh-CN"/>
        </w:rPr>
        <w:t>4.2.3.6</w:t>
      </w:r>
      <w:r>
        <w:rPr>
          <w:rFonts w:hint="eastAsia" w:ascii="仿宋_GB2312" w:hAnsi="仿宋" w:eastAsia="仿宋_GB2312" w:cs="Arial"/>
          <w:snapToGrid w:val="0"/>
          <w:sz w:val="24"/>
          <w:szCs w:val="21"/>
        </w:rPr>
        <w:t>提出质疑的日期。</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宋体"/>
          <w:kern w:val="0"/>
          <w:sz w:val="24"/>
          <w:szCs w:val="24"/>
        </w:rPr>
        <w:t>供应商提交的质疑函需一式三份。供应商为自然人的，应当由本人签字；供应商为法人或者其他组织的，应当由法定代表人、主要负责人，或者其授权代表签字或者盖章，并加盖公章。</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宋体"/>
          <w:kern w:val="0"/>
          <w:sz w:val="24"/>
          <w:szCs w:val="24"/>
        </w:rPr>
        <w:t>质疑函范本及制作说明详见附件</w:t>
      </w:r>
      <w:r>
        <w:rPr>
          <w:rFonts w:hint="eastAsia" w:ascii="仿宋_GB2312" w:hAnsi="仿宋" w:eastAsia="仿宋_GB2312" w:cs="宋体"/>
          <w:kern w:val="0"/>
          <w:sz w:val="24"/>
          <w:szCs w:val="24"/>
          <w:lang w:val="en-US" w:eastAsia="zh-CN"/>
        </w:rPr>
        <w:t>4</w:t>
      </w:r>
      <w:r>
        <w:rPr>
          <w:rFonts w:hint="eastAsia" w:ascii="仿宋_GB2312" w:hAnsi="仿宋" w:eastAsia="仿宋_GB2312" w:cs="宋体"/>
          <w:kern w:val="0"/>
          <w:sz w:val="24"/>
          <w:szCs w:val="24"/>
        </w:rPr>
        <w:t>。</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微软雅黑"/>
          <w:kern w:val="0"/>
          <w:sz w:val="24"/>
          <w:szCs w:val="24"/>
          <w:lang w:val="zh-CN"/>
        </w:rPr>
        <w:t>4.2</w:t>
      </w:r>
      <w:r>
        <w:rPr>
          <w:rFonts w:hint="eastAsia" w:ascii="仿宋_GB2312" w:hAnsi="仿宋" w:eastAsia="仿宋_GB2312" w:cs="宋体"/>
          <w:kern w:val="0"/>
          <w:sz w:val="24"/>
          <w:szCs w:val="24"/>
        </w:rPr>
        <w:t>.4采购人或者采购机构应当在收到供应商的书面质疑后七个工作日内作出答复，并以书面形式通知质疑供应商和其他与质疑处理结果有利害关系的政府采购当事人，但答复的内容不得涉及商业秘密。</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微软雅黑"/>
          <w:kern w:val="0"/>
          <w:sz w:val="24"/>
          <w:szCs w:val="24"/>
          <w:lang w:val="zh-CN"/>
        </w:rPr>
        <w:t>4.2</w:t>
      </w:r>
      <w:r>
        <w:rPr>
          <w:rFonts w:hint="eastAsia" w:ascii="仿宋_GB2312" w:hAnsi="仿宋" w:eastAsia="仿宋_GB2312" w:cs="宋体"/>
          <w:kern w:val="0"/>
          <w:sz w:val="24"/>
          <w:szCs w:val="24"/>
        </w:rPr>
        <w:t>.5询问或者质疑事项可能影响采购结果的，采购人应当暂停签订合同，已经签订合同的，应当中止履行合同。</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微软雅黑"/>
          <w:kern w:val="0"/>
          <w:sz w:val="24"/>
          <w:szCs w:val="24"/>
          <w:lang w:val="zh-CN"/>
        </w:rPr>
      </w:pPr>
      <w:r>
        <w:rPr>
          <w:rFonts w:hint="eastAsia" w:ascii="仿宋_GB2312" w:hAnsi="仿宋" w:eastAsia="仿宋_GB2312" w:cs="微软雅黑"/>
          <w:kern w:val="0"/>
          <w:sz w:val="24"/>
          <w:szCs w:val="24"/>
          <w:lang w:val="zh-CN"/>
        </w:rPr>
        <w:t>4.3供应商投诉</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宋体"/>
          <w:kern w:val="0"/>
          <w:sz w:val="24"/>
          <w:szCs w:val="24"/>
        </w:rPr>
        <w:t>4.3.1质疑供应商对采购人、采购机构的答复不满意或者采购人、采购机构未在规定的时间内作出答复的，可以在答复期满后十五个工作日内向同级政府采购监督管理部门提出投诉。</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宋体"/>
          <w:kern w:val="0"/>
          <w:sz w:val="24"/>
          <w:szCs w:val="24"/>
        </w:rPr>
        <w:t>4.3.</w:t>
      </w:r>
      <w:r>
        <w:rPr>
          <w:rFonts w:hint="eastAsia" w:ascii="仿宋_GB2312" w:hAnsi="仿宋" w:eastAsia="仿宋_GB2312" w:cs="微软雅黑"/>
          <w:kern w:val="0"/>
          <w:sz w:val="24"/>
          <w:szCs w:val="24"/>
          <w:lang w:val="zh-CN"/>
        </w:rPr>
        <w:t>2</w:t>
      </w:r>
      <w:r>
        <w:rPr>
          <w:rFonts w:hint="eastAsia" w:ascii="仿宋_GB2312" w:hAnsi="仿宋" w:eastAsia="仿宋_GB2312" w:cs="宋体"/>
          <w:kern w:val="0"/>
          <w:sz w:val="24"/>
          <w:szCs w:val="24"/>
        </w:rPr>
        <w:t>供应商投诉的事项不得超出已质疑事项的范围，基于质疑答复内容提出的投诉事项除外。</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宋体"/>
          <w:kern w:val="0"/>
          <w:sz w:val="24"/>
          <w:szCs w:val="24"/>
        </w:rPr>
        <w:t>4.3.3供应商投诉应当有明确的请求和必要的证明材料。</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宋体"/>
          <w:kern w:val="0"/>
          <w:sz w:val="24"/>
          <w:szCs w:val="24"/>
        </w:rPr>
        <w:t>4.3.4 以联合体形式参加政府采购活动的，其投诉应当由组成联合体的所有供应商共同提出。</w:t>
      </w:r>
    </w:p>
    <w:p>
      <w:pPr>
        <w:widowControl/>
        <w:shd w:val="clear" w:color="auto" w:fill="FFFFFF"/>
        <w:snapToGrid w:val="0"/>
        <w:spacing w:before="100" w:beforeAutospacing="1" w:after="240" w:line="360" w:lineRule="auto"/>
        <w:ind w:firstLine="480"/>
        <w:contextualSpacing/>
        <w:jc w:val="left"/>
        <w:rPr>
          <w:rFonts w:ascii="仿宋_GB2312" w:hAnsi="仿宋" w:eastAsia="仿宋_GB2312" w:cs="宋体"/>
          <w:kern w:val="0"/>
          <w:sz w:val="24"/>
          <w:szCs w:val="24"/>
        </w:rPr>
      </w:pPr>
      <w:r>
        <w:rPr>
          <w:rFonts w:hint="eastAsia" w:ascii="仿宋_GB2312" w:hAnsi="仿宋" w:eastAsia="仿宋_GB2312" w:cs="宋体"/>
          <w:kern w:val="0"/>
          <w:sz w:val="24"/>
          <w:szCs w:val="24"/>
        </w:rPr>
        <w:t>投诉书范本及制作说明详见附件</w:t>
      </w:r>
      <w:r>
        <w:rPr>
          <w:rFonts w:hint="eastAsia" w:ascii="仿宋_GB2312" w:hAnsi="仿宋" w:eastAsia="仿宋_GB2312" w:cs="宋体"/>
          <w:kern w:val="0"/>
          <w:sz w:val="24"/>
          <w:szCs w:val="24"/>
          <w:lang w:val="en-US" w:eastAsia="zh-CN"/>
        </w:rPr>
        <w:t>5</w:t>
      </w:r>
      <w:r>
        <w:rPr>
          <w:rFonts w:hint="eastAsia" w:ascii="仿宋_GB2312" w:hAnsi="仿宋" w:eastAsia="仿宋_GB2312" w:cs="宋体"/>
          <w:kern w:val="0"/>
          <w:sz w:val="24"/>
          <w:szCs w:val="24"/>
        </w:rPr>
        <w:t>。</w:t>
      </w:r>
    </w:p>
    <w:p>
      <w:pPr>
        <w:adjustRightInd w:val="0"/>
        <w:snapToGrid w:val="0"/>
        <w:spacing w:after="120" w:line="360" w:lineRule="auto"/>
        <w:ind w:firstLine="360" w:firstLineChars="200"/>
        <w:rPr>
          <w:rFonts w:ascii="仿宋_GB2312" w:hAnsi="仿宋" w:eastAsia="仿宋_GB2312" w:cs="仿宋_GB2312"/>
          <w:sz w:val="18"/>
          <w:szCs w:val="18"/>
        </w:rPr>
      </w:pPr>
    </w:p>
    <w:p>
      <w:pPr>
        <w:spacing w:line="360" w:lineRule="auto"/>
        <w:jc w:val="center"/>
        <w:outlineLvl w:val="0"/>
        <w:rPr>
          <w:rFonts w:ascii="仿宋_GB2312" w:hAnsi="仿宋" w:eastAsia="仿宋_GB2312" w:cs="仿宋_GB2312"/>
          <w:b/>
          <w:sz w:val="32"/>
          <w:szCs w:val="20"/>
        </w:rPr>
      </w:pPr>
      <w:r>
        <w:rPr>
          <w:rFonts w:hint="eastAsia" w:ascii="仿宋_GB2312" w:hAnsi="仿宋" w:eastAsia="仿宋_GB2312" w:cs="仿宋_GB2312"/>
          <w:b/>
          <w:sz w:val="32"/>
          <w:szCs w:val="20"/>
        </w:rPr>
        <w:t>二、招标文件的构成、澄清、修改</w:t>
      </w:r>
    </w:p>
    <w:p>
      <w:pPr>
        <w:adjustRightInd w:val="0"/>
        <w:spacing w:line="360" w:lineRule="auto"/>
        <w:rPr>
          <w:rFonts w:ascii="仿宋_GB2312" w:hAnsi="仿宋" w:eastAsia="仿宋_GB2312" w:cs="仿宋_GB2312"/>
          <w:b/>
          <w:snapToGrid w:val="0"/>
          <w:sz w:val="24"/>
          <w:szCs w:val="24"/>
        </w:rPr>
      </w:pPr>
      <w:r>
        <w:rPr>
          <w:rFonts w:hint="eastAsia" w:ascii="仿宋_GB2312" w:hAnsi="仿宋" w:eastAsia="仿宋_GB2312" w:cs="仿宋_GB2312"/>
          <w:b/>
          <w:snapToGrid w:val="0"/>
          <w:sz w:val="24"/>
          <w:szCs w:val="24"/>
        </w:rPr>
        <w:t>5．招标文件的构成</w:t>
      </w:r>
    </w:p>
    <w:p>
      <w:pPr>
        <w:adjustRightInd w:val="0"/>
        <w:spacing w:line="360" w:lineRule="auto"/>
        <w:ind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5.1 招标文件包括下列文件及附件</w:t>
      </w:r>
    </w:p>
    <w:p>
      <w:pPr>
        <w:numPr>
          <w:ilvl w:val="0"/>
          <w:numId w:val="5"/>
        </w:numPr>
        <w:adjustRightInd w:val="0"/>
        <w:spacing w:line="360" w:lineRule="auto"/>
        <w:ind w:left="839"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第一部分 招标公告</w:t>
      </w:r>
    </w:p>
    <w:p>
      <w:pPr>
        <w:numPr>
          <w:ilvl w:val="0"/>
          <w:numId w:val="5"/>
        </w:numPr>
        <w:adjustRightInd w:val="0"/>
        <w:spacing w:line="360" w:lineRule="auto"/>
        <w:ind w:left="839"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第二部分 投标人须知</w:t>
      </w:r>
    </w:p>
    <w:p>
      <w:pPr>
        <w:numPr>
          <w:ilvl w:val="0"/>
          <w:numId w:val="5"/>
        </w:numPr>
        <w:adjustRightInd w:val="0"/>
        <w:spacing w:line="360" w:lineRule="auto"/>
        <w:ind w:left="839"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第三部分 采购需求</w:t>
      </w:r>
    </w:p>
    <w:p>
      <w:pPr>
        <w:numPr>
          <w:ilvl w:val="0"/>
          <w:numId w:val="5"/>
        </w:numPr>
        <w:adjustRightInd w:val="0"/>
        <w:spacing w:line="360" w:lineRule="auto"/>
        <w:ind w:left="839"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第四部分 评标方法及评分标准</w:t>
      </w:r>
    </w:p>
    <w:p>
      <w:pPr>
        <w:numPr>
          <w:ilvl w:val="0"/>
          <w:numId w:val="5"/>
        </w:numPr>
        <w:adjustRightInd w:val="0"/>
        <w:spacing w:line="360" w:lineRule="auto"/>
        <w:ind w:left="839"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第五部分 拟签订的合同文本</w:t>
      </w:r>
    </w:p>
    <w:p>
      <w:pPr>
        <w:numPr>
          <w:ilvl w:val="0"/>
          <w:numId w:val="5"/>
        </w:numPr>
        <w:adjustRightInd w:val="0"/>
        <w:spacing w:line="360" w:lineRule="auto"/>
        <w:ind w:left="839"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第六部分 应提交的有关格式范例</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5.2与本项目有关的</w:t>
      </w:r>
      <w:r>
        <w:rPr>
          <w:rFonts w:hint="eastAsia" w:ascii="仿宋_GB2312" w:hAnsi="仿宋" w:eastAsia="仿宋_GB2312" w:cs="Times New Roman"/>
          <w:bCs/>
          <w:sz w:val="24"/>
          <w:szCs w:val="24"/>
        </w:rPr>
        <w:t>澄清或者修改的内容为招标文件的组成部分</w:t>
      </w:r>
      <w:r>
        <w:rPr>
          <w:rFonts w:hint="eastAsia" w:ascii="仿宋_GB2312" w:hAnsi="仿宋" w:eastAsia="仿宋_GB2312" w:cs="仿宋_GB2312"/>
          <w:sz w:val="24"/>
          <w:szCs w:val="24"/>
        </w:rPr>
        <w:t>。</w:t>
      </w:r>
    </w:p>
    <w:p>
      <w:pPr>
        <w:adjustRightInd w:val="0"/>
        <w:spacing w:line="360" w:lineRule="auto"/>
        <w:rPr>
          <w:rFonts w:ascii="仿宋_GB2312" w:hAnsi="仿宋" w:eastAsia="仿宋_GB2312" w:cs="仿宋_GB2312"/>
          <w:b/>
          <w:snapToGrid w:val="0"/>
          <w:sz w:val="24"/>
          <w:szCs w:val="24"/>
        </w:rPr>
      </w:pPr>
      <w:r>
        <w:rPr>
          <w:rFonts w:hint="eastAsia" w:ascii="仿宋_GB2312" w:hAnsi="仿宋" w:eastAsia="仿宋_GB2312" w:cs="仿宋_GB2312"/>
          <w:b/>
          <w:snapToGrid w:val="0"/>
          <w:sz w:val="24"/>
          <w:szCs w:val="24"/>
        </w:rPr>
        <w:t>6. 招标文件的澄清、修改</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6.1已获取招标文件的潜在投标人，若有问题需要澄清，应于投标截止时间前，以书面形式向采购机构提出。</w:t>
      </w:r>
    </w:p>
    <w:p>
      <w:pPr>
        <w:adjustRightInd w:val="0"/>
        <w:snapToGrid w:val="0"/>
        <w:spacing w:after="120" w:line="360" w:lineRule="auto"/>
        <w:ind w:firstLine="480" w:firstLineChars="200"/>
        <w:rPr>
          <w:rFonts w:ascii="仿宋_GB2312" w:hAnsi="仿宋" w:eastAsia="仿宋_GB2312"/>
          <w:sz w:val="24"/>
        </w:rPr>
      </w:pPr>
      <w:r>
        <w:rPr>
          <w:rFonts w:hint="eastAsia" w:ascii="仿宋_GB2312" w:hAnsi="仿宋" w:eastAsia="仿宋_GB2312"/>
          <w:sz w:val="24"/>
        </w:rPr>
        <w:t>6.2 采购机构对采购文件进行澄清或修改的，将同时通过电子交易平台通知已获取采购文件的潜在投标人。依法应当公告的，将按规定公告，同时视情况延长投标截止时间和开标时间。该澄清或者修改的内容为招标文件的组成部分。</w:t>
      </w:r>
    </w:p>
    <w:p>
      <w:pPr>
        <w:adjustRightInd w:val="0"/>
        <w:spacing w:line="360" w:lineRule="auto"/>
        <w:ind w:firstLine="482" w:firstLineChars="200"/>
        <w:rPr>
          <w:rFonts w:ascii="仿宋_GB2312" w:hAnsi="仿宋" w:eastAsia="仿宋_GB2312" w:cs="仿宋_GB2312"/>
          <w:b/>
          <w:sz w:val="24"/>
          <w:szCs w:val="21"/>
        </w:rPr>
      </w:pPr>
      <w:r>
        <w:rPr>
          <w:rFonts w:hint="eastAsia" w:ascii="仿宋_GB2312" w:hAnsi="仿宋" w:eastAsia="仿宋_GB2312" w:cs="Times New Roman"/>
          <w:b/>
          <w:sz w:val="24"/>
          <w:szCs w:val="24"/>
        </w:rPr>
        <w:t>▲</w:t>
      </w:r>
      <w:r>
        <w:rPr>
          <w:rFonts w:hint="eastAsia" w:ascii="仿宋_GB2312" w:hAnsi="仿宋" w:eastAsia="仿宋_GB2312" w:cs="仿宋_GB2312"/>
          <w:b/>
          <w:sz w:val="24"/>
          <w:szCs w:val="21"/>
        </w:rPr>
        <w:t>投标文件未按招标文件的澄清、修改的内容编制，又不符合实质性要求的，投标无效。</w:t>
      </w:r>
    </w:p>
    <w:p>
      <w:pPr>
        <w:autoSpaceDE w:val="0"/>
        <w:autoSpaceDN w:val="0"/>
        <w:adjustRightInd w:val="0"/>
        <w:spacing w:line="360" w:lineRule="auto"/>
        <w:rPr>
          <w:rFonts w:ascii="仿宋_GB2312" w:hAnsi="仿宋" w:eastAsia="仿宋_GB2312" w:cs="仿宋_GB2312"/>
          <w:snapToGrid w:val="0"/>
          <w:sz w:val="18"/>
          <w:szCs w:val="18"/>
        </w:rPr>
      </w:pPr>
      <w:r>
        <w:rPr>
          <w:rFonts w:hint="eastAsia" w:ascii="仿宋_GB2312" w:hAnsi="仿宋" w:eastAsia="仿宋_GB2312" w:cs="仿宋_GB2312"/>
          <w:snapToGrid w:val="0"/>
          <w:sz w:val="24"/>
          <w:szCs w:val="24"/>
        </w:rPr>
        <w:t xml:space="preserve">    </w:t>
      </w:r>
    </w:p>
    <w:p>
      <w:pPr>
        <w:spacing w:line="360" w:lineRule="auto"/>
        <w:jc w:val="center"/>
        <w:outlineLvl w:val="0"/>
        <w:rPr>
          <w:rFonts w:ascii="仿宋_GB2312" w:hAnsi="仿宋" w:eastAsia="仿宋_GB2312" w:cs="仿宋_GB2312"/>
          <w:b/>
          <w:sz w:val="30"/>
          <w:szCs w:val="20"/>
        </w:rPr>
      </w:pPr>
      <w:r>
        <w:rPr>
          <w:rFonts w:hint="eastAsia" w:ascii="仿宋_GB2312" w:hAnsi="仿宋" w:eastAsia="仿宋_GB2312" w:cs="仿宋_GB2312"/>
          <w:b/>
          <w:sz w:val="30"/>
          <w:szCs w:val="20"/>
        </w:rPr>
        <w:t>三、投标</w:t>
      </w:r>
    </w:p>
    <w:p>
      <w:pPr>
        <w:adjustRightInd w:val="0"/>
        <w:spacing w:line="360" w:lineRule="auto"/>
        <w:rPr>
          <w:rFonts w:ascii="仿宋_GB2312" w:hAnsi="仿宋" w:eastAsia="仿宋_GB2312" w:cs="仿宋_GB2312"/>
          <w:b/>
          <w:snapToGrid w:val="0"/>
          <w:sz w:val="24"/>
          <w:szCs w:val="24"/>
        </w:rPr>
      </w:pPr>
      <w:r>
        <w:rPr>
          <w:rFonts w:hint="eastAsia" w:ascii="仿宋_GB2312" w:hAnsi="仿宋" w:eastAsia="仿宋_GB2312" w:cs="仿宋_GB2312"/>
          <w:b/>
          <w:snapToGrid w:val="0"/>
          <w:sz w:val="24"/>
          <w:szCs w:val="24"/>
        </w:rPr>
        <w:t>7. 招标文件的获取</w:t>
      </w:r>
    </w:p>
    <w:p>
      <w:pPr>
        <w:adjustRightInd w:val="0"/>
        <w:spacing w:line="360" w:lineRule="auto"/>
        <w:ind w:firstLine="480" w:firstLineChars="200"/>
        <w:rPr>
          <w:rFonts w:ascii="仿宋_GB2312" w:hAnsi="仿宋" w:eastAsia="仿宋_GB2312" w:cs="仿宋_GB2312"/>
          <w:snapToGrid w:val="0"/>
          <w:kern w:val="28"/>
          <w:sz w:val="24"/>
          <w:szCs w:val="24"/>
        </w:rPr>
      </w:pPr>
      <w:r>
        <w:rPr>
          <w:rFonts w:hint="eastAsia" w:ascii="仿宋_GB2312" w:hAnsi="仿宋" w:eastAsia="仿宋_GB2312" w:cs="仿宋_GB2312"/>
          <w:snapToGrid w:val="0"/>
          <w:kern w:val="28"/>
          <w:sz w:val="24"/>
          <w:szCs w:val="24"/>
        </w:rPr>
        <w:t>详见招标公告中获取招标文件的时间期限、地点、方式及招标文件售价。</w:t>
      </w:r>
    </w:p>
    <w:p>
      <w:pPr>
        <w:adjustRightInd w:val="0"/>
        <w:spacing w:line="360" w:lineRule="auto"/>
        <w:rPr>
          <w:rFonts w:ascii="仿宋_GB2312" w:hAnsi="仿宋" w:eastAsia="仿宋_GB2312" w:cs="仿宋_GB2312"/>
          <w:b/>
          <w:snapToGrid w:val="0"/>
          <w:sz w:val="24"/>
          <w:szCs w:val="24"/>
        </w:rPr>
      </w:pPr>
      <w:r>
        <w:rPr>
          <w:rFonts w:hint="eastAsia" w:ascii="仿宋_GB2312" w:hAnsi="仿宋" w:eastAsia="仿宋_GB2312" w:cs="仿宋_GB2312"/>
          <w:b/>
          <w:snapToGrid w:val="0"/>
          <w:sz w:val="24"/>
          <w:szCs w:val="24"/>
        </w:rPr>
        <w:t>8.开标前答疑会或现场考察</w:t>
      </w:r>
    </w:p>
    <w:p>
      <w:pPr>
        <w:adjustRightInd w:val="0"/>
        <w:spacing w:line="360" w:lineRule="auto"/>
        <w:ind w:firstLine="480" w:firstLineChars="200"/>
        <w:rPr>
          <w:rFonts w:ascii="仿宋_GB2312" w:hAnsi="仿宋" w:eastAsia="仿宋_GB2312" w:cs="Arial"/>
          <w:snapToGrid w:val="0"/>
          <w:sz w:val="24"/>
          <w:szCs w:val="24"/>
        </w:rPr>
      </w:pPr>
      <w:r>
        <w:rPr>
          <w:rFonts w:hint="eastAsia" w:ascii="仿宋_GB2312" w:hAnsi="仿宋" w:eastAsia="仿宋_GB2312" w:cs="Arial"/>
          <w:snapToGrid w:val="0"/>
          <w:sz w:val="24"/>
          <w:szCs w:val="24"/>
        </w:rPr>
        <w:t>采购人组织潜在投标人现场考察或者召开开标前答疑会的，潜在投标人按前附表的规定参加现场考察或者开标前答疑会。</w:t>
      </w:r>
    </w:p>
    <w:p>
      <w:pPr>
        <w:adjustRightInd w:val="0"/>
        <w:spacing w:line="360" w:lineRule="auto"/>
        <w:rPr>
          <w:rFonts w:ascii="仿宋_GB2312" w:hAnsi="仿宋" w:eastAsia="仿宋_GB2312" w:cs="仿宋_GB2312"/>
          <w:b/>
          <w:snapToGrid w:val="0"/>
          <w:szCs w:val="24"/>
        </w:rPr>
      </w:pPr>
      <w:r>
        <w:rPr>
          <w:rFonts w:hint="eastAsia" w:ascii="仿宋_GB2312" w:hAnsi="仿宋" w:eastAsia="仿宋_GB2312" w:cs="Arial"/>
          <w:b/>
          <w:snapToGrid w:val="0"/>
          <w:kern w:val="28"/>
          <w:sz w:val="24"/>
          <w:szCs w:val="24"/>
        </w:rPr>
        <w:t>9.投标保证金</w:t>
      </w:r>
    </w:p>
    <w:p>
      <w:pPr>
        <w:widowControl/>
        <w:adjustRightInd w:val="0"/>
        <w:snapToGrid w:val="0"/>
        <w:spacing w:line="360" w:lineRule="auto"/>
        <w:ind w:firstLine="470" w:firstLineChars="196"/>
        <w:rPr>
          <w:rFonts w:ascii="仿宋_GB2312" w:hAnsi="仿宋" w:eastAsia="仿宋_GB2312" w:cs="仿宋_GB2312"/>
          <w:snapToGrid w:val="0"/>
          <w:kern w:val="28"/>
          <w:sz w:val="24"/>
        </w:rPr>
      </w:pPr>
      <w:r>
        <w:rPr>
          <w:rFonts w:hint="eastAsia" w:ascii="仿宋_GB2312" w:hAnsi="仿宋" w:eastAsia="仿宋_GB2312" w:cs="仿宋_GB2312"/>
          <w:snapToGrid w:val="0"/>
          <w:kern w:val="28"/>
          <w:sz w:val="24"/>
        </w:rPr>
        <w:t>本项目不需要交纳投标保证金。</w:t>
      </w:r>
    </w:p>
    <w:p>
      <w:pPr>
        <w:adjustRightInd w:val="0"/>
        <w:spacing w:line="360" w:lineRule="auto"/>
        <w:rPr>
          <w:rFonts w:ascii="仿宋_GB2312" w:hAnsi="仿宋" w:eastAsia="仿宋_GB2312" w:cs="仿宋_GB2312"/>
          <w:b/>
          <w:snapToGrid w:val="0"/>
          <w:sz w:val="24"/>
          <w:szCs w:val="24"/>
        </w:rPr>
      </w:pPr>
      <w:r>
        <w:rPr>
          <w:rFonts w:hint="eastAsia" w:ascii="仿宋_GB2312" w:hAnsi="仿宋" w:eastAsia="仿宋_GB2312" w:cs="仿宋_GB2312"/>
          <w:b/>
          <w:snapToGrid w:val="0"/>
          <w:sz w:val="24"/>
          <w:szCs w:val="24"/>
        </w:rPr>
        <w:t>10. 投标文件的语言</w:t>
      </w:r>
    </w:p>
    <w:p>
      <w:pPr>
        <w:autoSpaceDE w:val="0"/>
        <w:autoSpaceDN w:val="0"/>
        <w:adjustRightInd w:val="0"/>
        <w:spacing w:line="360" w:lineRule="auto"/>
        <w:ind w:firstLine="480" w:firstLineChars="200"/>
        <w:rPr>
          <w:rFonts w:hint="eastAsia" w:ascii="仿宋_GB2312" w:hAnsi="仿宋_GB2312" w:eastAsia="仿宋_GB2312" w:cs="仿宋_GB2312"/>
          <w:sz w:val="24"/>
          <w:szCs w:val="24"/>
          <w:lang w:val="zh-CN"/>
        </w:rPr>
      </w:pPr>
      <w:r>
        <w:rPr>
          <w:rFonts w:hint="eastAsia" w:ascii="仿宋_GB2312" w:hAnsi="仿宋" w:eastAsia="仿宋_GB2312" w:cs="仿宋_GB2312"/>
          <w:sz w:val="24"/>
          <w:szCs w:val="24"/>
        </w:rPr>
        <w:t>投标</w:t>
      </w:r>
      <w:r>
        <w:rPr>
          <w:rFonts w:hint="eastAsia" w:ascii="仿宋_GB2312" w:hAnsi="仿宋_GB2312" w:eastAsia="仿宋_GB2312" w:cs="仿宋_GB2312"/>
          <w:sz w:val="24"/>
          <w:szCs w:val="24"/>
        </w:rPr>
        <w:t>文件及投标人与采购有关的来往通知、函件和文件均应使用中文。</w:t>
      </w:r>
    </w:p>
    <w:p>
      <w:pPr>
        <w:adjustRightInd w:val="0"/>
        <w:spacing w:line="360" w:lineRule="auto"/>
        <w:rPr>
          <w:rFonts w:hint="eastAsia" w:ascii="仿宋_GB2312" w:hAnsi="仿宋_GB2312" w:eastAsia="仿宋_GB2312" w:cs="仿宋_GB2312"/>
          <w:b/>
          <w:snapToGrid w:val="0"/>
          <w:sz w:val="24"/>
          <w:szCs w:val="24"/>
        </w:rPr>
      </w:pPr>
      <w:r>
        <w:rPr>
          <w:rFonts w:hint="eastAsia" w:ascii="仿宋_GB2312" w:hAnsi="仿宋_GB2312" w:eastAsia="仿宋_GB2312" w:cs="仿宋_GB2312"/>
          <w:b/>
          <w:snapToGrid w:val="0"/>
          <w:sz w:val="24"/>
          <w:szCs w:val="24"/>
        </w:rPr>
        <w:t>11. 投标文件的组成</w:t>
      </w:r>
    </w:p>
    <w:p>
      <w:pPr>
        <w:adjustRightInd w:val="0"/>
        <w:snapToGrid w:val="0"/>
        <w:spacing w:line="360" w:lineRule="auto"/>
        <w:ind w:firstLine="480" w:firstLineChars="200"/>
        <w:rPr>
          <w:rFonts w:hint="eastAsia" w:ascii="仿宋_GB2312" w:hAnsi="仿宋_GB2312" w:eastAsia="仿宋_GB2312" w:cs="仿宋_GB2312"/>
          <w:snapToGrid w:val="0"/>
          <w:sz w:val="24"/>
          <w:szCs w:val="24"/>
        </w:rPr>
      </w:pPr>
      <w:r>
        <w:rPr>
          <w:rFonts w:hint="eastAsia" w:ascii="仿宋_GB2312" w:hAnsi="仿宋_GB2312" w:eastAsia="仿宋_GB2312" w:cs="仿宋_GB2312"/>
          <w:snapToGrid w:val="0"/>
          <w:kern w:val="0"/>
          <w:sz w:val="24"/>
          <w:szCs w:val="24"/>
        </w:rPr>
        <w:t>投标文件应当包括以下主要内容：</w:t>
      </w:r>
      <w:r>
        <w:rPr>
          <w:rFonts w:hint="eastAsia" w:ascii="仿宋_GB2312" w:hAnsi="仿宋_GB2312" w:eastAsia="仿宋_GB2312" w:cs="仿宋_GB2312"/>
          <w:b/>
          <w:snapToGrid w:val="0"/>
          <w:sz w:val="24"/>
          <w:szCs w:val="24"/>
        </w:rPr>
        <w:t>资格文件、报价文件、商务技术文件</w:t>
      </w:r>
      <w:r>
        <w:rPr>
          <w:rFonts w:hint="eastAsia" w:ascii="仿宋_GB2312" w:hAnsi="仿宋_GB2312" w:eastAsia="仿宋_GB2312" w:cs="仿宋_GB2312"/>
          <w:snapToGrid w:val="0"/>
          <w:sz w:val="24"/>
          <w:szCs w:val="24"/>
        </w:rPr>
        <w:t>。投标文件应当对招标文件提出的要求和条件作出明确响应。</w:t>
      </w:r>
    </w:p>
    <w:p>
      <w:pPr>
        <w:adjustRightInd w:val="0"/>
        <w:snapToGrid w:val="0"/>
        <w:spacing w:line="360" w:lineRule="auto"/>
        <w:ind w:firstLine="480" w:firstLineChars="200"/>
        <w:rPr>
          <w:rFonts w:hint="eastAsia" w:ascii="仿宋_GB2312" w:hAnsi="仿宋_GB2312" w:eastAsia="仿宋_GB2312" w:cs="仿宋_GB2312"/>
          <w:b/>
          <w:color w:val="auto"/>
          <w:kern w:val="0"/>
          <w:sz w:val="24"/>
          <w:szCs w:val="24"/>
        </w:rPr>
      </w:pPr>
      <w:r>
        <w:rPr>
          <w:rFonts w:hint="eastAsia" w:ascii="仿宋_GB2312" w:hAnsi="仿宋_GB2312" w:eastAsia="仿宋_GB2312" w:cs="仿宋_GB2312"/>
          <w:sz w:val="24"/>
          <w:szCs w:val="24"/>
        </w:rPr>
        <w:t>11.1</w:t>
      </w:r>
      <w:r>
        <w:rPr>
          <w:rFonts w:hint="eastAsia" w:ascii="仿宋_GB2312" w:hAnsi="仿宋_GB2312" w:eastAsia="仿宋_GB2312" w:cs="仿宋_GB2312"/>
          <w:b/>
          <w:sz w:val="24"/>
          <w:szCs w:val="24"/>
        </w:rPr>
        <w:t>资格文件</w:t>
      </w:r>
      <w:r>
        <w:rPr>
          <w:rFonts w:hint="eastAsia" w:ascii="仿宋_GB2312" w:hAnsi="仿宋_GB2312" w:eastAsia="仿宋_GB2312" w:cs="仿宋_GB2312"/>
          <w:sz w:val="24"/>
          <w:szCs w:val="24"/>
        </w:rPr>
        <w:t>应包括以下内容（均需使用电子签名）：</w:t>
      </w:r>
      <w:r>
        <w:rPr>
          <w:rFonts w:hint="eastAsia" w:ascii="仿宋_GB2312" w:hAnsi="仿宋_GB2312" w:eastAsia="仿宋_GB2312" w:cs="仿宋_GB2312"/>
          <w:kern w:val="0"/>
          <w:sz w:val="24"/>
          <w:szCs w:val="24"/>
        </w:rPr>
        <w:t>证明其符合《中华人民共和国政府采购法》规定的供应商基本条件和采购项目对供应商的特定条件</w:t>
      </w:r>
      <w:r>
        <w:rPr>
          <w:rFonts w:hint="eastAsia" w:ascii="仿宋_GB2312" w:hAnsi="仿宋_GB2312" w:eastAsia="仿宋_GB2312" w:cs="仿宋_GB2312"/>
          <w:sz w:val="24"/>
          <w:szCs w:val="24"/>
        </w:rPr>
        <w:t>（如果项目要求）</w:t>
      </w:r>
      <w:r>
        <w:rPr>
          <w:rFonts w:hint="eastAsia" w:ascii="仿宋_GB2312" w:hAnsi="仿宋_GB2312" w:eastAsia="仿宋_GB2312" w:cs="仿宋_GB2312"/>
          <w:kern w:val="0"/>
          <w:sz w:val="24"/>
          <w:szCs w:val="24"/>
        </w:rPr>
        <w:t>的有关资格证明文件。</w:t>
      </w:r>
      <w:r>
        <w:rPr>
          <w:rFonts w:hint="eastAsia" w:ascii="仿宋_GB2312" w:hAnsi="仿宋_GB2312" w:eastAsia="仿宋_GB2312" w:cs="仿宋_GB2312"/>
          <w:b/>
          <w:kern w:val="0"/>
          <w:sz w:val="24"/>
          <w:szCs w:val="24"/>
        </w:rPr>
        <w:t>（以联合体形式进行政府采购的，参加联合体的供应商均应当提</w:t>
      </w:r>
      <w:r>
        <w:rPr>
          <w:rFonts w:hint="eastAsia" w:ascii="仿宋_GB2312" w:hAnsi="仿宋_GB2312" w:eastAsia="仿宋_GB2312" w:cs="仿宋_GB2312"/>
          <w:b/>
          <w:color w:val="auto"/>
          <w:kern w:val="0"/>
          <w:sz w:val="24"/>
          <w:szCs w:val="24"/>
        </w:rPr>
        <w:t>供）</w:t>
      </w:r>
    </w:p>
    <w:p>
      <w:pPr>
        <w:pStyle w:val="32"/>
        <w:spacing w:line="360" w:lineRule="auto"/>
        <w:ind w:firstLine="480" w:firstLineChars="200"/>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rPr>
        <w:t>11.1.1</w:t>
      </w:r>
      <w:r>
        <w:rPr>
          <w:rFonts w:hint="eastAsia" w:ascii="仿宋_GB2312" w:hAnsi="仿宋_GB2312" w:eastAsia="仿宋_GB2312" w:cs="仿宋_GB2312"/>
          <w:snapToGrid w:val="0"/>
          <w:color w:val="auto"/>
          <w:sz w:val="24"/>
          <w:szCs w:val="21"/>
        </w:rPr>
        <w:t>营业执照(或事业法人登记证或其他工商等登记证明材料)复印件（投标人为自然人的，提供</w:t>
      </w:r>
      <w:r>
        <w:rPr>
          <w:rFonts w:hint="eastAsia" w:ascii="仿宋_GB2312" w:hAnsi="仿宋_GB2312" w:eastAsia="仿宋_GB2312" w:cs="仿宋_GB2312"/>
          <w:snapToGrid w:val="0"/>
          <w:color w:val="auto"/>
          <w:kern w:val="0"/>
          <w:sz w:val="24"/>
          <w:szCs w:val="21"/>
        </w:rPr>
        <w:t>自然人的身份证明</w:t>
      </w:r>
      <w:r>
        <w:rPr>
          <w:rFonts w:hint="eastAsia" w:ascii="仿宋_GB2312" w:hAnsi="仿宋_GB2312" w:eastAsia="仿宋_GB2312" w:cs="仿宋_GB2312"/>
          <w:snapToGrid w:val="0"/>
          <w:color w:val="auto"/>
          <w:sz w:val="24"/>
          <w:szCs w:val="21"/>
        </w:rPr>
        <w:t>）复印件；</w:t>
      </w:r>
    </w:p>
    <w:p>
      <w:pPr>
        <w:pStyle w:val="32"/>
        <w:spacing w:line="360"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color w:val="auto"/>
          <w:sz w:val="24"/>
        </w:rPr>
        <w:t>金融、保险、通讯等特定行业的全国性企业所设立的</w:t>
      </w:r>
      <w:r>
        <w:rPr>
          <w:rFonts w:hint="eastAsia" w:ascii="仿宋_GB2312" w:hAnsi="仿宋_GB2312" w:eastAsia="仿宋_GB2312" w:cs="仿宋_GB2312"/>
          <w:sz w:val="24"/>
        </w:rPr>
        <w:t>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spacing w:line="360" w:lineRule="auto"/>
        <w:ind w:firstLine="480" w:firstLineChars="200"/>
        <w:rPr>
          <w:rFonts w:hint="eastAsia" w:ascii="仿宋_GB2312" w:hAnsi="仿宋_GB2312" w:eastAsia="仿宋_GB2312" w:cs="仿宋_GB2312"/>
          <w:sz w:val="24"/>
          <w:highlight w:val="none"/>
          <w:lang w:eastAsia="zh-CN"/>
        </w:rPr>
      </w:pPr>
      <w:r>
        <w:rPr>
          <w:rFonts w:hint="eastAsia" w:ascii="仿宋_GB2312" w:hAnsi="仿宋_GB2312" w:eastAsia="仿宋_GB2312" w:cs="仿宋_GB2312"/>
          <w:sz w:val="24"/>
        </w:rPr>
        <w:t>11.1.2</w:t>
      </w:r>
      <w:r>
        <w:rPr>
          <w:rFonts w:hint="eastAsia" w:ascii="仿宋_GB2312" w:hAnsi="仿宋_GB2312" w:eastAsia="仿宋_GB2312" w:cs="仿宋_GB2312"/>
          <w:sz w:val="24"/>
          <w:lang w:eastAsia="zh-CN"/>
        </w:rPr>
        <w:t>法人</w:t>
      </w:r>
      <w:r>
        <w:rPr>
          <w:rFonts w:hint="eastAsia" w:ascii="仿宋_GB2312" w:hAnsi="仿宋_GB2312" w:eastAsia="仿宋_GB2312" w:cs="仿宋_GB2312"/>
          <w:sz w:val="24"/>
        </w:rPr>
        <w:t>授权书（如法定代表人直接参加投标并对相应文件签字的，只需提供其身份证复印件正反面；如以联合体形式参加政府采购活动的，按招标文件有关格式范例提供联合</w:t>
      </w:r>
      <w:r>
        <w:rPr>
          <w:rFonts w:hint="eastAsia" w:ascii="仿宋_GB2312" w:hAnsi="仿宋_GB2312" w:eastAsia="仿宋_GB2312" w:cs="仿宋_GB2312"/>
          <w:sz w:val="24"/>
          <w:highlight w:val="none"/>
        </w:rPr>
        <w:t>体投标授权书）；▲</w:t>
      </w:r>
      <w:r>
        <w:rPr>
          <w:rFonts w:hint="eastAsia" w:ascii="仿宋_GB2312" w:hAnsi="仿宋_GB2312" w:eastAsia="仿宋_GB2312" w:cs="仿宋_GB2312"/>
          <w:b/>
          <w:sz w:val="24"/>
          <w:highlight w:val="none"/>
        </w:rPr>
        <w:t>投标文件中法人授权书所载内容与本项目内容有异的，投标无效</w:t>
      </w:r>
      <w:r>
        <w:rPr>
          <w:rFonts w:hint="eastAsia" w:ascii="仿宋_GB2312" w:hAnsi="仿宋_GB2312" w:eastAsia="仿宋_GB2312" w:cs="仿宋_GB2312"/>
          <w:b/>
          <w:sz w:val="24"/>
          <w:highlight w:val="none"/>
          <w:lang w:eastAsia="zh-CN"/>
        </w:rPr>
        <w:t>；</w:t>
      </w:r>
    </w:p>
    <w:p>
      <w:pPr>
        <w:pStyle w:val="32"/>
        <w:spacing w:line="360" w:lineRule="auto"/>
        <w:ind w:firstLine="480" w:firstLineChars="200"/>
        <w:rPr>
          <w:rFonts w:hint="eastAsia" w:ascii="仿宋_GB2312" w:hAnsi="仿宋_GB2312" w:eastAsia="仿宋_GB2312" w:cs="仿宋_GB2312"/>
          <w:sz w:val="24"/>
          <w:highlight w:val="none"/>
          <w:lang w:eastAsia="zh-CN"/>
        </w:rPr>
      </w:pPr>
      <w:r>
        <w:rPr>
          <w:rFonts w:hint="eastAsia" w:ascii="仿宋_GB2312" w:hAnsi="仿宋_GB2312" w:eastAsia="仿宋_GB2312" w:cs="仿宋_GB2312"/>
          <w:sz w:val="24"/>
          <w:highlight w:val="none"/>
        </w:rPr>
        <w:t>11.1.3法定代表人及其授权代表的身份证（复印件）</w:t>
      </w:r>
      <w:r>
        <w:rPr>
          <w:rFonts w:hint="eastAsia" w:ascii="仿宋_GB2312" w:hAnsi="仿宋_GB2312" w:eastAsia="仿宋_GB2312" w:cs="仿宋_GB2312"/>
          <w:sz w:val="24"/>
          <w:highlight w:val="none"/>
          <w:lang w:eastAsia="zh-CN"/>
        </w:rPr>
        <w:t>；</w:t>
      </w:r>
    </w:p>
    <w:p>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11.1.4</w:t>
      </w:r>
      <w:r>
        <w:rPr>
          <w:rFonts w:hint="eastAsia" w:ascii="仿宋_GB2312" w:hAnsi="仿宋" w:eastAsia="仿宋_GB2312" w:cs="仿宋_GB2312"/>
          <w:sz w:val="24"/>
        </w:rPr>
        <w:t>符合参与政府采购活动的资格条件并且没有税收缴纳、社会保障等方面的失信记录的承诺函；</w:t>
      </w:r>
    </w:p>
    <w:p>
      <w:pPr>
        <w:pStyle w:val="32"/>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11.1.5具有履行合同所必需的设备和专业技术能力的承诺函；</w:t>
      </w:r>
    </w:p>
    <w:p>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11.1.6参加政府采购活动前三年内，在经营活动中没有重大违法记录的声明；</w:t>
      </w:r>
    </w:p>
    <w:p>
      <w:pPr>
        <w:snapToGrid w:val="0"/>
        <w:spacing w:line="360" w:lineRule="auto"/>
        <w:ind w:firstLine="480" w:firstLineChars="200"/>
        <w:rPr>
          <w:rFonts w:hint="eastAsia" w:ascii="仿宋_GB2312" w:hAnsi="仿宋_GB2312" w:eastAsia="仿宋_GB2312" w:cs="仿宋_GB2312"/>
          <w:sz w:val="24"/>
          <w:highlight w:val="none"/>
          <w:lang w:val="en-US" w:eastAsia="zh-CN"/>
        </w:rPr>
      </w:pPr>
      <w:r>
        <w:rPr>
          <w:rFonts w:hint="eastAsia" w:ascii="仿宋_GB2312" w:hAnsi="仿宋_GB2312" w:eastAsia="仿宋_GB2312" w:cs="仿宋_GB2312"/>
          <w:sz w:val="24"/>
          <w:highlight w:val="none"/>
          <w:lang w:val="en-US" w:eastAsia="zh-CN"/>
        </w:rPr>
        <w:t>11.1.7</w:t>
      </w:r>
      <w:r>
        <w:rPr>
          <w:rFonts w:hint="eastAsia" w:ascii="仿宋_GB2312" w:hAnsi="仿宋_GB2312" w:eastAsia="仿宋_GB2312" w:cs="仿宋_GB2312"/>
          <w:sz w:val="24"/>
          <w:szCs w:val="20"/>
          <w:highlight w:val="none"/>
        </w:rPr>
        <w:t>具有良好商业信誉的声明；</w:t>
      </w:r>
    </w:p>
    <w:p>
      <w:pPr>
        <w:snapToGrid w:val="0"/>
        <w:spacing w:line="360"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11.1.8</w:t>
      </w:r>
      <w:r>
        <w:rPr>
          <w:rFonts w:hint="eastAsia" w:ascii="仿宋_GB2312" w:hAnsi="仿宋_GB2312" w:eastAsia="仿宋_GB2312" w:cs="仿宋_GB2312"/>
          <w:sz w:val="24"/>
        </w:rPr>
        <w:t>符合特定资格条件（如果项目要求）的有关证明材料（复印件）；</w:t>
      </w:r>
    </w:p>
    <w:p>
      <w:pPr>
        <w:adjustRightInd w:val="0"/>
        <w:spacing w:line="360"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以联合体形式投标的，提供联合体协议；本项目不接受联合体投标或者投标人不以联合体形式投标的，则不需要提供</w:t>
      </w:r>
      <w:r>
        <w:rPr>
          <w:rFonts w:hint="eastAsia" w:ascii="仿宋_GB2312" w:hAnsi="仿宋_GB2312" w:eastAsia="仿宋_GB2312" w:cs="仿宋_GB2312"/>
          <w:sz w:val="24"/>
          <w:lang w:eastAsia="zh-CN"/>
        </w:rPr>
        <w:t>；</w:t>
      </w:r>
    </w:p>
    <w:p>
      <w:pPr>
        <w:adjustRightInd w:val="0"/>
        <w:spacing w:line="360" w:lineRule="auto"/>
        <w:ind w:firstLine="480" w:firstLineChars="200"/>
        <w:rPr>
          <w:rFonts w:hint="eastAsia" w:ascii="仿宋_GB2312" w:hAnsi="仿宋_GB2312" w:eastAsia="仿宋_GB2312" w:cs="仿宋_GB2312"/>
          <w:sz w:val="24"/>
          <w:szCs w:val="24"/>
          <w:u w:val="single"/>
          <w:lang w:val="zh-CN"/>
        </w:rPr>
      </w:pPr>
      <w:r>
        <w:rPr>
          <w:rFonts w:hint="eastAsia" w:ascii="仿宋_GB2312" w:hAnsi="仿宋_GB2312" w:eastAsia="仿宋_GB2312" w:cs="仿宋_GB2312"/>
          <w:kern w:val="0"/>
          <w:sz w:val="24"/>
          <w:szCs w:val="24"/>
          <w:lang w:val="zh-CN"/>
        </w:rPr>
        <w:t xml:space="preserve">11.2 </w:t>
      </w:r>
      <w:r>
        <w:rPr>
          <w:rFonts w:hint="eastAsia" w:ascii="仿宋_GB2312" w:hAnsi="仿宋_GB2312" w:eastAsia="仿宋_GB2312" w:cs="仿宋_GB2312"/>
          <w:sz w:val="24"/>
          <w:szCs w:val="24"/>
        </w:rPr>
        <w:t>投标人的</w:t>
      </w:r>
      <w:r>
        <w:rPr>
          <w:rFonts w:hint="eastAsia" w:ascii="仿宋_GB2312" w:hAnsi="仿宋_GB2312" w:eastAsia="仿宋_GB2312" w:cs="仿宋_GB2312"/>
          <w:b/>
          <w:sz w:val="24"/>
          <w:szCs w:val="24"/>
        </w:rPr>
        <w:t>报价文件</w:t>
      </w:r>
      <w:r>
        <w:rPr>
          <w:rFonts w:hint="eastAsia" w:ascii="仿宋_GB2312" w:hAnsi="仿宋_GB2312" w:eastAsia="仿宋_GB2312" w:cs="仿宋_GB2312"/>
          <w:sz w:val="24"/>
          <w:szCs w:val="24"/>
        </w:rPr>
        <w:t>应包括以下内容（均需使用电子签名）：</w:t>
      </w:r>
    </w:p>
    <w:p>
      <w:pPr>
        <w:adjustRightInd w:val="0"/>
        <w:snapToGrid w:val="0"/>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11.2.1</w:t>
      </w:r>
      <w:r>
        <w:rPr>
          <w:rFonts w:hint="eastAsia" w:ascii="仿宋_GB2312" w:hAnsi="仿宋_GB2312" w:eastAsia="仿宋_GB2312" w:cs="仿宋_GB2312"/>
          <w:kern w:val="0"/>
          <w:sz w:val="24"/>
          <w:szCs w:val="24"/>
        </w:rPr>
        <w:t>投标响应函</w:t>
      </w:r>
      <w:r>
        <w:rPr>
          <w:rFonts w:hint="eastAsia" w:ascii="仿宋_GB2312" w:hAnsi="仿宋_GB2312" w:eastAsia="仿宋_GB2312" w:cs="仿宋_GB2312"/>
          <w:sz w:val="24"/>
          <w:szCs w:val="24"/>
        </w:rPr>
        <w:t>；</w:t>
      </w:r>
    </w:p>
    <w:p>
      <w:pPr>
        <w:adjustRightInd w:val="0"/>
        <w:snapToGrid w:val="0"/>
        <w:spacing w:line="360" w:lineRule="auto"/>
        <w:ind w:firstLine="480" w:firstLineChars="200"/>
        <w:rPr>
          <w:rFonts w:hint="eastAsia" w:ascii="仿宋_GB2312" w:hAnsi="仿宋_GB2312" w:eastAsia="仿宋_GB2312" w:cs="仿宋_GB2312"/>
          <w:snapToGrid w:val="0"/>
          <w:sz w:val="24"/>
          <w:szCs w:val="24"/>
        </w:rPr>
      </w:pPr>
      <w:r>
        <w:rPr>
          <w:rFonts w:hint="eastAsia" w:ascii="仿宋_GB2312" w:hAnsi="仿宋_GB2312" w:eastAsia="仿宋_GB2312" w:cs="仿宋_GB2312"/>
          <w:snapToGrid w:val="0"/>
          <w:sz w:val="24"/>
          <w:szCs w:val="24"/>
        </w:rPr>
        <w:t>11.2.2投标(开标)一览表；</w:t>
      </w:r>
    </w:p>
    <w:p>
      <w:pPr>
        <w:adjustRightInd w:val="0"/>
        <w:snapToGrid w:val="0"/>
        <w:spacing w:line="360" w:lineRule="auto"/>
        <w:ind w:firstLine="480" w:firstLineChars="200"/>
        <w:rPr>
          <w:rFonts w:hint="eastAsia" w:ascii="仿宋_GB2312" w:hAnsi="仿宋_GB2312" w:eastAsia="仿宋_GB2312" w:cs="仿宋_GB2312"/>
          <w:snapToGrid w:val="0"/>
          <w:sz w:val="24"/>
          <w:szCs w:val="24"/>
        </w:rPr>
      </w:pPr>
      <w:r>
        <w:rPr>
          <w:rFonts w:hint="eastAsia" w:ascii="仿宋_GB2312" w:hAnsi="仿宋_GB2312" w:eastAsia="仿宋_GB2312" w:cs="仿宋_GB2312"/>
          <w:snapToGrid w:val="0"/>
          <w:sz w:val="24"/>
          <w:szCs w:val="24"/>
        </w:rPr>
        <w:t>11.2.3中小企业声明函。</w:t>
      </w:r>
    </w:p>
    <w:p>
      <w:pPr>
        <w:adjustRightInd w:val="0"/>
        <w:spacing w:line="360" w:lineRule="auto"/>
        <w:ind w:firstLine="480" w:firstLineChars="200"/>
        <w:rPr>
          <w:rFonts w:hint="eastAsia" w:ascii="仿宋_GB2312" w:hAnsi="仿宋_GB2312" w:eastAsia="仿宋_GB2312" w:cs="仿宋_GB2312"/>
          <w:snapToGrid w:val="0"/>
          <w:sz w:val="24"/>
          <w:szCs w:val="24"/>
          <w:lang w:val="zh-CN"/>
        </w:rPr>
      </w:pPr>
      <w:r>
        <w:rPr>
          <w:rFonts w:hint="eastAsia" w:ascii="仿宋_GB2312" w:hAnsi="仿宋_GB2312" w:eastAsia="仿宋_GB2312" w:cs="仿宋_GB2312"/>
          <w:snapToGrid w:val="0"/>
          <w:kern w:val="0"/>
          <w:sz w:val="24"/>
          <w:szCs w:val="24"/>
          <w:lang w:val="zh-CN"/>
        </w:rPr>
        <w:t>11.3  投标人的</w:t>
      </w:r>
      <w:r>
        <w:rPr>
          <w:rFonts w:hint="eastAsia" w:ascii="仿宋_GB2312" w:hAnsi="仿宋_GB2312" w:eastAsia="仿宋_GB2312" w:cs="仿宋_GB2312"/>
          <w:b/>
          <w:snapToGrid w:val="0"/>
          <w:sz w:val="24"/>
          <w:szCs w:val="24"/>
        </w:rPr>
        <w:t>商务技术</w:t>
      </w:r>
      <w:r>
        <w:rPr>
          <w:rFonts w:hint="eastAsia" w:ascii="仿宋_GB2312" w:hAnsi="仿宋_GB2312" w:eastAsia="仿宋_GB2312" w:cs="仿宋_GB2312"/>
          <w:b/>
          <w:snapToGrid w:val="0"/>
          <w:kern w:val="0"/>
          <w:sz w:val="24"/>
          <w:szCs w:val="24"/>
          <w:lang w:val="zh-CN"/>
        </w:rPr>
        <w:t>文件应</w:t>
      </w:r>
      <w:r>
        <w:rPr>
          <w:rFonts w:hint="eastAsia" w:ascii="仿宋_GB2312" w:hAnsi="仿宋_GB2312" w:eastAsia="仿宋_GB2312" w:cs="仿宋_GB2312"/>
          <w:snapToGrid w:val="0"/>
          <w:kern w:val="0"/>
          <w:sz w:val="24"/>
          <w:szCs w:val="24"/>
          <w:lang w:val="zh-CN"/>
        </w:rPr>
        <w:t>包括以下内容</w:t>
      </w:r>
      <w:r>
        <w:rPr>
          <w:rFonts w:hint="eastAsia" w:ascii="仿宋_GB2312" w:hAnsi="仿宋_GB2312" w:eastAsia="仿宋_GB2312" w:cs="仿宋_GB2312"/>
          <w:snapToGrid w:val="0"/>
          <w:sz w:val="24"/>
          <w:szCs w:val="24"/>
        </w:rPr>
        <w:t>（均需使用电子签名）</w:t>
      </w:r>
      <w:r>
        <w:rPr>
          <w:rFonts w:hint="eastAsia" w:ascii="仿宋_GB2312" w:hAnsi="仿宋_GB2312" w:eastAsia="仿宋_GB2312" w:cs="仿宋_GB2312"/>
          <w:snapToGrid w:val="0"/>
          <w:kern w:val="0"/>
          <w:sz w:val="24"/>
          <w:szCs w:val="24"/>
          <w:lang w:val="zh-CN"/>
        </w:rPr>
        <w:t>：</w:t>
      </w:r>
      <w:r>
        <w:rPr>
          <w:rFonts w:hint="eastAsia" w:ascii="仿宋_GB2312" w:hAnsi="仿宋_GB2312" w:eastAsia="仿宋_GB2312" w:cs="仿宋_GB2312"/>
          <w:snapToGrid w:val="0"/>
          <w:sz w:val="24"/>
          <w:szCs w:val="24"/>
          <w:lang w:val="zh-CN"/>
        </w:rPr>
        <w:t xml:space="preserve"> </w:t>
      </w:r>
    </w:p>
    <w:p>
      <w:pPr>
        <w:snapToGrid w:val="0"/>
        <w:spacing w:line="360"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zh-CN"/>
        </w:rPr>
        <w:t>11.3.</w:t>
      </w:r>
      <w:r>
        <w:rPr>
          <w:rFonts w:hint="eastAsia" w:ascii="仿宋_GB2312" w:hAnsi="仿宋_GB2312" w:eastAsia="仿宋_GB2312" w:cs="仿宋_GB2312"/>
          <w:sz w:val="24"/>
          <w:lang w:val="en-US" w:eastAsia="zh-CN"/>
        </w:rPr>
        <w:t>1</w:t>
      </w:r>
      <w:r>
        <w:rPr>
          <w:rFonts w:hint="eastAsia" w:ascii="仿宋_GB2312" w:hAnsi="仿宋_GB2312" w:eastAsia="仿宋_GB2312" w:cs="仿宋_GB2312"/>
          <w:sz w:val="24"/>
        </w:rPr>
        <w:t>资信文件：</w:t>
      </w:r>
      <w:r>
        <w:rPr>
          <w:rFonts w:hint="eastAsia" w:ascii="仿宋_GB2312" w:hAnsi="仿宋_GB2312" w:eastAsia="仿宋_GB2312" w:cs="仿宋_GB2312"/>
          <w:kern w:val="0"/>
          <w:sz w:val="24"/>
          <w:szCs w:val="20"/>
        </w:rPr>
        <w:t>见投标须知前附表所述；</w:t>
      </w:r>
    </w:p>
    <w:p>
      <w:pPr>
        <w:pStyle w:val="232"/>
        <w:snapToGrid w:val="0"/>
        <w:spacing w:before="0"/>
        <w:ind w:firstLine="480"/>
        <w:rPr>
          <w:rFonts w:hint="eastAsia" w:ascii="仿宋_GB2312" w:hAnsi="仿宋_GB2312" w:eastAsia="仿宋_GB2312" w:cs="仿宋_GB2312"/>
          <w:kern w:val="0"/>
          <w:highlight w:val="none"/>
          <w:lang w:val="zh-CN"/>
        </w:rPr>
      </w:pPr>
      <w:r>
        <w:rPr>
          <w:rFonts w:hint="eastAsia" w:ascii="仿宋_GB2312" w:hAnsi="仿宋_GB2312" w:eastAsia="仿宋_GB2312" w:cs="仿宋_GB2312"/>
          <w:lang w:val="zh-CN"/>
        </w:rPr>
        <w:t>11.3.</w:t>
      </w:r>
      <w:r>
        <w:rPr>
          <w:rFonts w:hint="eastAsia" w:ascii="仿宋_GB2312" w:hAnsi="仿宋_GB2312" w:eastAsia="仿宋_GB2312" w:cs="仿宋_GB2312"/>
          <w:lang w:val="en-US" w:eastAsia="zh-CN"/>
        </w:rPr>
        <w:t>2</w:t>
      </w:r>
      <w:r>
        <w:rPr>
          <w:rFonts w:hint="eastAsia" w:ascii="仿宋_GB2312" w:hAnsi="仿宋_GB2312" w:eastAsia="仿宋_GB2312" w:cs="仿宋_GB2312"/>
          <w:kern w:val="0"/>
        </w:rPr>
        <w:t>投标人的主要业绩证明材料即</w:t>
      </w:r>
      <w:r>
        <w:rPr>
          <w:rFonts w:hint="eastAsia" w:ascii="仿宋_GB2312" w:hAnsi="仿宋_GB2312" w:eastAsia="仿宋_GB2312" w:cs="仿宋_GB2312"/>
          <w:lang w:val="zh-CN"/>
        </w:rPr>
        <w:t>合同</w:t>
      </w:r>
      <w:r>
        <w:rPr>
          <w:rFonts w:hint="eastAsia" w:ascii="仿宋_GB2312" w:hAnsi="仿宋_GB2312" w:eastAsia="仿宋_GB2312" w:cs="仿宋_GB2312"/>
        </w:rPr>
        <w:t>和用户验收报告</w:t>
      </w:r>
      <w:r>
        <w:rPr>
          <w:rFonts w:hint="eastAsia" w:ascii="仿宋_GB2312" w:hAnsi="仿宋_GB2312" w:eastAsia="仿宋_GB2312" w:cs="仿宋_GB2312"/>
          <w:lang w:eastAsia="zh-CN"/>
        </w:rPr>
        <w:t>（如需要）</w:t>
      </w:r>
      <w:r>
        <w:rPr>
          <w:rFonts w:hint="eastAsia" w:ascii="仿宋_GB2312" w:hAnsi="仿宋_GB2312" w:eastAsia="仿宋_GB2312" w:cs="仿宋_GB2312"/>
          <w:szCs w:val="24"/>
        </w:rPr>
        <w:t>（</w:t>
      </w:r>
      <w:r>
        <w:rPr>
          <w:rFonts w:hint="eastAsia" w:ascii="仿宋_GB2312" w:hAnsi="仿宋_GB2312" w:eastAsia="仿宋_GB2312" w:cs="仿宋_GB2312"/>
        </w:rPr>
        <w:t>联合体投标的，联合体各方</w:t>
      </w:r>
      <w:r>
        <w:rPr>
          <w:rFonts w:hint="eastAsia" w:ascii="仿宋_GB2312" w:hAnsi="仿宋_GB2312" w:eastAsia="仿宋_GB2312" w:cs="仿宋_GB2312"/>
          <w:kern w:val="0"/>
        </w:rPr>
        <w:t>分别提供与联合体协议中规定的分工内容相应的业绩证明材料，业绩数量以提供材料较少的一方为准，如联合体协议中未进行分工约定的，联合体成员各方应就所有合同约定的工作内容提供业绩证明材料，有一方未能提供全部合同约定的工作内容的业绩证明材料的，视为联合体未提供业绩证明材料；以分包方式履行政府采购合同的，还需提供其</w:t>
      </w:r>
      <w:r>
        <w:rPr>
          <w:rFonts w:hint="eastAsia" w:ascii="仿宋_GB2312" w:hAnsi="仿宋_GB2312" w:eastAsia="仿宋_GB2312" w:cs="仿宋_GB2312"/>
          <w:kern w:val="0"/>
          <w:highlight w:val="none"/>
        </w:rPr>
        <w:t>项目采购人同意分包的证明材料</w:t>
      </w:r>
      <w:r>
        <w:rPr>
          <w:rFonts w:hint="eastAsia" w:ascii="仿宋_GB2312" w:hAnsi="仿宋_GB2312" w:eastAsia="仿宋_GB2312" w:cs="仿宋_GB2312"/>
          <w:szCs w:val="24"/>
          <w:highlight w:val="none"/>
        </w:rPr>
        <w:t>)</w:t>
      </w:r>
      <w:r>
        <w:rPr>
          <w:rFonts w:hint="eastAsia" w:ascii="仿宋_GB2312" w:hAnsi="仿宋_GB2312" w:eastAsia="仿宋_GB2312" w:cs="仿宋_GB2312"/>
          <w:kern w:val="0"/>
          <w:highlight w:val="none"/>
        </w:rPr>
        <w:t>；</w:t>
      </w:r>
    </w:p>
    <w:p>
      <w:pPr>
        <w:snapToGrid w:val="0"/>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lang w:val="zh-CN"/>
        </w:rPr>
        <w:t>11.3.</w:t>
      </w:r>
      <w:r>
        <w:rPr>
          <w:rFonts w:hint="eastAsia" w:ascii="仿宋_GB2312" w:hAnsi="仿宋_GB2312" w:eastAsia="仿宋_GB2312" w:cs="仿宋_GB2312"/>
          <w:sz w:val="24"/>
          <w:highlight w:val="none"/>
          <w:lang w:val="en-US" w:eastAsia="zh-CN"/>
        </w:rPr>
        <w:t>3</w:t>
      </w:r>
      <w:r>
        <w:rPr>
          <w:rFonts w:hint="eastAsia" w:ascii="仿宋_GB2312" w:hAnsi="仿宋_GB2312" w:eastAsia="仿宋_GB2312" w:cs="仿宋_GB2312"/>
          <w:kern w:val="0"/>
          <w:sz w:val="24"/>
          <w:highlight w:val="none"/>
          <w:lang w:val="zh-CN"/>
        </w:rPr>
        <w:t>投标人认为需要的其他商务文件或说明；</w:t>
      </w:r>
      <w:r>
        <w:rPr>
          <w:rFonts w:hint="eastAsia" w:ascii="仿宋_GB2312" w:hAnsi="仿宋_GB2312" w:eastAsia="仿宋_GB2312" w:cs="仿宋_GB2312"/>
          <w:sz w:val="24"/>
          <w:highlight w:val="none"/>
        </w:rPr>
        <w:t xml:space="preserve"> </w:t>
      </w:r>
    </w:p>
    <w:p>
      <w:pPr>
        <w:pStyle w:val="32"/>
        <w:snapToGrid w:val="0"/>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lang w:val="zh-CN"/>
        </w:rPr>
        <w:t>11.3.</w:t>
      </w:r>
      <w:r>
        <w:rPr>
          <w:rFonts w:hint="eastAsia" w:ascii="仿宋_GB2312" w:hAnsi="仿宋_GB2312" w:eastAsia="仿宋_GB2312" w:cs="仿宋_GB2312"/>
          <w:sz w:val="24"/>
          <w:highlight w:val="none"/>
          <w:lang w:val="en-US" w:eastAsia="zh-CN"/>
        </w:rPr>
        <w:t>4</w:t>
      </w:r>
      <w:r>
        <w:rPr>
          <w:rFonts w:hint="eastAsia" w:ascii="仿宋_GB2312" w:hAnsi="仿宋" w:eastAsia="仿宋_GB2312" w:cs="Times New Roman"/>
          <w:sz w:val="24"/>
          <w:szCs w:val="24"/>
          <w:highlight w:val="none"/>
        </w:rPr>
        <w:t>技术和服务方案，</w:t>
      </w:r>
      <w:r>
        <w:rPr>
          <w:rFonts w:hint="eastAsia" w:ascii="仿宋_GB2312" w:hAnsi="仿宋" w:eastAsia="仿宋_GB2312" w:cs="Times New Roman"/>
          <w:b/>
          <w:sz w:val="24"/>
          <w:szCs w:val="24"/>
          <w:highlight w:val="none"/>
        </w:rPr>
        <w:t>投标人根据项目</w:t>
      </w:r>
      <w:r>
        <w:rPr>
          <w:rFonts w:hint="eastAsia" w:ascii="仿宋_GB2312" w:hAnsi="仿宋" w:eastAsia="仿宋_GB2312" w:cs="微软雅黑"/>
          <w:b/>
          <w:sz w:val="24"/>
          <w:szCs w:val="24"/>
          <w:highlight w:val="none"/>
        </w:rPr>
        <w:t>采购需求、评分标准等</w:t>
      </w:r>
      <w:r>
        <w:rPr>
          <w:rFonts w:hint="eastAsia" w:ascii="仿宋_GB2312" w:hAnsi="仿宋" w:eastAsia="仿宋_GB2312" w:cs="Times New Roman"/>
          <w:b/>
          <w:sz w:val="24"/>
          <w:szCs w:val="24"/>
          <w:highlight w:val="none"/>
        </w:rPr>
        <w:t>提出合理的技术和服务方案</w:t>
      </w:r>
      <w:r>
        <w:rPr>
          <w:rFonts w:hint="eastAsia" w:ascii="仿宋_GB2312" w:hAnsi="仿宋" w:eastAsia="仿宋_GB2312" w:cs="仿宋_GB2312"/>
          <w:b/>
          <w:kern w:val="0"/>
          <w:sz w:val="24"/>
          <w:szCs w:val="24"/>
          <w:highlight w:val="none"/>
          <w:lang w:val="zh-CN"/>
        </w:rPr>
        <w:t>；</w:t>
      </w:r>
    </w:p>
    <w:p>
      <w:pPr>
        <w:adjustRightInd w:val="0"/>
        <w:snapToGrid w:val="0"/>
        <w:spacing w:line="360" w:lineRule="auto"/>
        <w:ind w:firstLine="480" w:firstLineChars="200"/>
        <w:rPr>
          <w:rFonts w:hint="eastAsia" w:ascii="仿宋_GB2312" w:hAnsi="仿宋_GB2312" w:eastAsia="仿宋_GB2312" w:cs="仿宋_GB2312"/>
          <w:snapToGrid w:val="0"/>
          <w:kern w:val="0"/>
          <w:sz w:val="24"/>
          <w:szCs w:val="21"/>
          <w:highlight w:val="none"/>
          <w:lang w:val="zh-CN"/>
        </w:rPr>
      </w:pPr>
      <w:r>
        <w:rPr>
          <w:rFonts w:hint="eastAsia" w:ascii="仿宋_GB2312" w:hAnsi="仿宋_GB2312" w:eastAsia="仿宋_GB2312" w:cs="仿宋_GB2312"/>
          <w:sz w:val="24"/>
          <w:highlight w:val="none"/>
          <w:lang w:val="zh-CN"/>
        </w:rPr>
        <w:t>11.3.</w:t>
      </w:r>
      <w:r>
        <w:rPr>
          <w:rFonts w:hint="eastAsia" w:ascii="仿宋_GB2312" w:hAnsi="仿宋_GB2312" w:eastAsia="仿宋_GB2312" w:cs="仿宋_GB2312"/>
          <w:sz w:val="24"/>
          <w:highlight w:val="none"/>
          <w:lang w:val="en-US" w:eastAsia="zh-CN"/>
        </w:rPr>
        <w:t>5</w:t>
      </w:r>
      <w:r>
        <w:rPr>
          <w:rFonts w:hint="eastAsia" w:ascii="仿宋_GB2312" w:hAnsi="仿宋_GB2312" w:eastAsia="仿宋_GB2312" w:cs="仿宋_GB2312"/>
          <w:snapToGrid w:val="0"/>
          <w:kern w:val="0"/>
          <w:sz w:val="24"/>
          <w:szCs w:val="21"/>
          <w:highlight w:val="none"/>
        </w:rPr>
        <w:t>技术和服务偏离说明表，投标人应对采购需求中所提出各项要求明确是否偏离</w:t>
      </w:r>
      <w:r>
        <w:rPr>
          <w:rFonts w:hint="eastAsia" w:ascii="仿宋_GB2312" w:hAnsi="仿宋_GB2312" w:eastAsia="仿宋_GB2312" w:cs="仿宋_GB2312"/>
          <w:snapToGrid w:val="0"/>
          <w:kern w:val="0"/>
          <w:sz w:val="24"/>
          <w:szCs w:val="21"/>
          <w:highlight w:val="none"/>
          <w:lang w:val="zh-CN"/>
        </w:rPr>
        <w:t xml:space="preserve">； </w:t>
      </w:r>
    </w:p>
    <w:p>
      <w:pPr>
        <w:adjustRightInd w:val="0"/>
        <w:snapToGrid w:val="0"/>
        <w:spacing w:line="360" w:lineRule="auto"/>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sz w:val="24"/>
          <w:highlight w:val="none"/>
          <w:lang w:val="zh-CN"/>
        </w:rPr>
        <w:t>11.3</w:t>
      </w:r>
      <w:r>
        <w:rPr>
          <w:rFonts w:hint="eastAsia" w:ascii="仿宋_GB2312" w:hAnsi="仿宋_GB2312" w:eastAsia="仿宋_GB2312" w:cs="仿宋_GB2312"/>
          <w:sz w:val="24"/>
          <w:highlight w:val="none"/>
          <w:lang w:val="en-US" w:eastAsia="zh-CN"/>
        </w:rPr>
        <w:t>.6</w:t>
      </w:r>
      <w:r>
        <w:rPr>
          <w:rFonts w:hint="eastAsia" w:ascii="仿宋_GB2312" w:hAnsi="仿宋_GB2312" w:eastAsia="仿宋_GB2312" w:cs="仿宋_GB2312"/>
          <w:kern w:val="0"/>
          <w:sz w:val="24"/>
          <w:szCs w:val="24"/>
          <w:highlight w:val="none"/>
          <w:lang w:val="zh-CN"/>
        </w:rPr>
        <w:t>组织实施方案</w:t>
      </w:r>
      <w:r>
        <w:rPr>
          <w:rFonts w:hint="eastAsia" w:ascii="仿宋_GB2312" w:hAnsi="仿宋_GB2312" w:eastAsia="仿宋_GB2312" w:cs="仿宋_GB2312"/>
          <w:sz w:val="24"/>
          <w:szCs w:val="24"/>
          <w:highlight w:val="none"/>
        </w:rPr>
        <w:t>，</w:t>
      </w:r>
      <w:r>
        <w:rPr>
          <w:rFonts w:hint="eastAsia" w:ascii="仿宋_GB2312" w:hAnsi="仿宋_GB2312" w:eastAsia="仿宋_GB2312" w:cs="仿宋_GB2312"/>
          <w:b/>
          <w:sz w:val="24"/>
          <w:szCs w:val="24"/>
          <w:highlight w:val="none"/>
        </w:rPr>
        <w:t>投标人根据项目采购需求、评分标准等提出组织实施方案</w:t>
      </w:r>
      <w:r>
        <w:rPr>
          <w:rFonts w:hint="eastAsia" w:ascii="仿宋_GB2312" w:hAnsi="仿宋_GB2312" w:eastAsia="仿宋_GB2312" w:cs="仿宋_GB2312"/>
          <w:b/>
          <w:kern w:val="0"/>
          <w:sz w:val="24"/>
          <w:szCs w:val="24"/>
          <w:highlight w:val="none"/>
          <w:lang w:val="zh-CN"/>
        </w:rPr>
        <w:t>；</w:t>
      </w:r>
    </w:p>
    <w:p>
      <w:pPr>
        <w:adjustRightInd w:val="0"/>
        <w:snapToGrid w:val="0"/>
        <w:spacing w:line="360" w:lineRule="auto"/>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sz w:val="24"/>
          <w:highlight w:val="none"/>
          <w:lang w:val="zh-CN"/>
        </w:rPr>
        <w:t>11.3.</w:t>
      </w:r>
      <w:r>
        <w:rPr>
          <w:rFonts w:hint="eastAsia" w:ascii="仿宋_GB2312" w:hAnsi="仿宋_GB2312" w:eastAsia="仿宋_GB2312" w:cs="仿宋_GB2312"/>
          <w:sz w:val="24"/>
          <w:highlight w:val="none"/>
          <w:lang w:val="en-US" w:eastAsia="zh-CN"/>
        </w:rPr>
        <w:t>7</w:t>
      </w:r>
      <w:r>
        <w:rPr>
          <w:rFonts w:hint="eastAsia" w:ascii="仿宋_GB2312" w:hAnsi="仿宋_GB2312" w:eastAsia="仿宋_GB2312" w:cs="仿宋_GB2312"/>
          <w:sz w:val="24"/>
          <w:szCs w:val="24"/>
          <w:highlight w:val="none"/>
        </w:rPr>
        <w:t>人员投入计划</w:t>
      </w:r>
      <w:r>
        <w:rPr>
          <w:rFonts w:hint="eastAsia" w:ascii="仿宋_GB2312" w:hAnsi="仿宋_GB2312" w:eastAsia="仿宋_GB2312" w:cs="仿宋_GB2312"/>
          <w:snapToGrid w:val="0"/>
          <w:kern w:val="0"/>
          <w:sz w:val="24"/>
          <w:szCs w:val="24"/>
          <w:highlight w:val="none"/>
        </w:rPr>
        <w:t>：人员数量配置（重要岗位须人员详细资料，并附上有关证明材料）等</w:t>
      </w:r>
      <w:r>
        <w:rPr>
          <w:rFonts w:hint="eastAsia" w:ascii="仿宋_GB2312" w:hAnsi="仿宋_GB2312" w:eastAsia="仿宋_GB2312" w:cs="仿宋_GB2312"/>
          <w:kern w:val="0"/>
          <w:sz w:val="24"/>
          <w:szCs w:val="24"/>
          <w:highlight w:val="none"/>
          <w:lang w:val="zh-CN"/>
        </w:rPr>
        <w:t>；</w:t>
      </w:r>
    </w:p>
    <w:p>
      <w:pPr>
        <w:tabs>
          <w:tab w:val="left" w:pos="0"/>
          <w:tab w:val="left" w:pos="840"/>
        </w:tabs>
        <w:autoSpaceDE w:val="0"/>
        <w:autoSpaceDN w:val="0"/>
        <w:spacing w:line="360" w:lineRule="auto"/>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sz w:val="24"/>
          <w:highlight w:val="none"/>
          <w:lang w:val="zh-CN"/>
        </w:rPr>
        <w:t>11.3.</w:t>
      </w:r>
      <w:r>
        <w:rPr>
          <w:rFonts w:hint="eastAsia" w:ascii="仿宋_GB2312" w:hAnsi="仿宋_GB2312" w:eastAsia="仿宋_GB2312" w:cs="仿宋_GB2312"/>
          <w:sz w:val="24"/>
          <w:highlight w:val="none"/>
          <w:lang w:val="en-US" w:eastAsia="zh-CN"/>
        </w:rPr>
        <w:t>8</w:t>
      </w:r>
      <w:r>
        <w:rPr>
          <w:rFonts w:hint="eastAsia" w:ascii="仿宋_GB2312" w:hAnsi="仿宋_GB2312" w:eastAsia="仿宋_GB2312" w:cs="仿宋_GB2312"/>
          <w:sz w:val="24"/>
          <w:szCs w:val="24"/>
          <w:highlight w:val="none"/>
        </w:rPr>
        <w:t>材料、设备、工具等投入计划</w:t>
      </w:r>
      <w:r>
        <w:rPr>
          <w:rFonts w:hint="eastAsia" w:ascii="仿宋_GB2312" w:hAnsi="仿宋_GB2312" w:eastAsia="仿宋_GB2312" w:cs="仿宋_GB2312"/>
          <w:kern w:val="0"/>
          <w:sz w:val="24"/>
          <w:szCs w:val="24"/>
          <w:highlight w:val="none"/>
          <w:lang w:val="zh-CN"/>
        </w:rPr>
        <w:t>；</w:t>
      </w:r>
    </w:p>
    <w:p>
      <w:pPr>
        <w:tabs>
          <w:tab w:val="left" w:pos="0"/>
          <w:tab w:val="left" w:pos="840"/>
        </w:tabs>
        <w:autoSpaceDE w:val="0"/>
        <w:autoSpaceDN w:val="0"/>
        <w:spacing w:line="360" w:lineRule="auto"/>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sz w:val="24"/>
          <w:highlight w:val="none"/>
          <w:lang w:val="zh-CN"/>
        </w:rPr>
        <w:t>11.3.</w:t>
      </w:r>
      <w:r>
        <w:rPr>
          <w:rFonts w:hint="eastAsia" w:ascii="仿宋_GB2312" w:hAnsi="仿宋_GB2312" w:eastAsia="仿宋_GB2312" w:cs="仿宋_GB2312"/>
          <w:sz w:val="24"/>
          <w:highlight w:val="none"/>
          <w:lang w:val="en-US" w:eastAsia="zh-CN"/>
        </w:rPr>
        <w:t>9</w:t>
      </w:r>
      <w:r>
        <w:rPr>
          <w:rFonts w:hint="eastAsia" w:ascii="仿宋_GB2312" w:hAnsi="仿宋_GB2312" w:eastAsia="仿宋_GB2312" w:cs="仿宋_GB2312"/>
          <w:snapToGrid w:val="0"/>
          <w:kern w:val="0"/>
          <w:sz w:val="24"/>
          <w:szCs w:val="24"/>
          <w:highlight w:val="none"/>
        </w:rPr>
        <w:t>各项服务承诺</w:t>
      </w:r>
      <w:r>
        <w:rPr>
          <w:rFonts w:hint="eastAsia" w:ascii="仿宋_GB2312" w:hAnsi="仿宋_GB2312" w:eastAsia="仿宋_GB2312" w:cs="仿宋_GB2312"/>
          <w:kern w:val="0"/>
          <w:sz w:val="24"/>
          <w:szCs w:val="24"/>
          <w:highlight w:val="none"/>
          <w:lang w:val="zh-CN"/>
        </w:rPr>
        <w:t>；</w:t>
      </w:r>
    </w:p>
    <w:p>
      <w:pPr>
        <w:snapToGrid w:val="0"/>
        <w:spacing w:line="360" w:lineRule="auto"/>
        <w:ind w:firstLine="480" w:firstLineChars="200"/>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sz w:val="24"/>
          <w:lang w:val="zh-CN"/>
        </w:rPr>
        <w:t>11.3.</w:t>
      </w:r>
      <w:r>
        <w:rPr>
          <w:rFonts w:hint="eastAsia" w:ascii="仿宋_GB2312" w:hAnsi="仿宋_GB2312" w:eastAsia="仿宋_GB2312" w:cs="仿宋_GB2312"/>
          <w:sz w:val="24"/>
          <w:lang w:val="en-US" w:eastAsia="zh-CN"/>
        </w:rPr>
        <w:t>10</w:t>
      </w:r>
      <w:r>
        <w:rPr>
          <w:rFonts w:hint="eastAsia" w:ascii="仿宋_GB2312" w:hAnsi="仿宋_GB2312" w:eastAsia="仿宋_GB2312" w:cs="仿宋_GB2312"/>
          <w:kern w:val="0"/>
          <w:sz w:val="24"/>
          <w:szCs w:val="24"/>
          <w:lang w:val="zh-CN"/>
        </w:rPr>
        <w:t>认为需要的其他技术文件或说明（如果有）</w:t>
      </w:r>
    </w:p>
    <w:p>
      <w:pPr>
        <w:tabs>
          <w:tab w:val="left" w:pos="0"/>
        </w:tabs>
        <w:autoSpaceDE w:val="0"/>
        <w:autoSpaceDN w:val="0"/>
        <w:spacing w:line="360" w:lineRule="auto"/>
        <w:ind w:firstLine="480" w:firstLineChars="200"/>
        <w:rPr>
          <w:rFonts w:hint="eastAsia" w:ascii="仿宋_GB2312" w:hAnsi="仿宋_GB2312" w:eastAsia="仿宋_GB2312" w:cs="仿宋_GB2312"/>
          <w:kern w:val="0"/>
          <w:sz w:val="24"/>
          <w:lang w:val="zh-CN"/>
        </w:rPr>
      </w:pPr>
      <w:r>
        <w:rPr>
          <w:rFonts w:hint="eastAsia" w:ascii="仿宋_GB2312" w:hAnsi="仿宋_GB2312" w:eastAsia="仿宋_GB2312" w:cs="仿宋_GB2312"/>
          <w:sz w:val="24"/>
          <w:lang w:val="zh-CN"/>
        </w:rPr>
        <w:t>11.3.</w:t>
      </w:r>
      <w:r>
        <w:rPr>
          <w:rFonts w:hint="eastAsia" w:ascii="仿宋_GB2312" w:hAnsi="仿宋_GB2312" w:eastAsia="仿宋_GB2312" w:cs="仿宋_GB2312"/>
          <w:sz w:val="24"/>
          <w:lang w:val="en-US" w:eastAsia="zh-CN"/>
        </w:rPr>
        <w:t>11</w:t>
      </w:r>
      <w:r>
        <w:rPr>
          <w:rFonts w:hint="eastAsia" w:ascii="仿宋_GB2312" w:hAnsi="仿宋_GB2312" w:eastAsia="仿宋_GB2312" w:cs="仿宋_GB2312"/>
          <w:kern w:val="0"/>
          <w:sz w:val="24"/>
          <w:lang w:val="zh-CN"/>
        </w:rPr>
        <w:t>关于对招标文件商务、合同中有关条款的拒绝声明；（如果有）</w:t>
      </w:r>
    </w:p>
    <w:p>
      <w:pPr>
        <w:tabs>
          <w:tab w:val="left" w:pos="0"/>
        </w:tabs>
        <w:autoSpaceDE w:val="0"/>
        <w:autoSpaceDN w:val="0"/>
        <w:spacing w:line="360" w:lineRule="auto"/>
        <w:ind w:firstLine="480" w:firstLineChars="200"/>
        <w:rPr>
          <w:rFonts w:hint="eastAsia"/>
          <w:lang w:val="zh-CN"/>
        </w:rPr>
      </w:pPr>
      <w:r>
        <w:rPr>
          <w:rFonts w:hint="eastAsia" w:ascii="仿宋_GB2312" w:hAnsi="仿宋" w:eastAsia="仿宋_GB2312" w:cs="仿宋_GB2312"/>
          <w:kern w:val="0"/>
          <w:sz w:val="24"/>
          <w:lang w:val="zh-CN"/>
        </w:rPr>
        <w:t>11.3.1</w:t>
      </w:r>
      <w:r>
        <w:rPr>
          <w:rFonts w:hint="eastAsia" w:ascii="仿宋_GB2312" w:hAnsi="仿宋" w:eastAsia="仿宋_GB2312" w:cs="仿宋_GB2312"/>
          <w:kern w:val="0"/>
          <w:sz w:val="24"/>
          <w:lang w:val="en-US" w:eastAsia="zh-CN"/>
        </w:rPr>
        <w:t>2</w:t>
      </w:r>
      <w:r>
        <w:rPr>
          <w:rFonts w:hint="eastAsia" w:ascii="仿宋_GB2312" w:hAnsi="仿宋" w:eastAsia="仿宋_GB2312" w:cs="仿宋_GB2312"/>
          <w:kern w:val="0"/>
          <w:sz w:val="24"/>
          <w:lang w:val="zh-CN"/>
        </w:rPr>
        <w:t>廉政承诺书。</w:t>
      </w:r>
    </w:p>
    <w:p>
      <w:pPr>
        <w:adjustRightInd w:val="0"/>
        <w:spacing w:line="360" w:lineRule="auto"/>
        <w:ind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▲投标文件组成漏项，内容不全或内容字迹模糊辨认不清的，投标无效；</w:t>
      </w:r>
    </w:p>
    <w:p>
      <w:pPr>
        <w:adjustRightInd w:val="0"/>
        <w:spacing w:line="360" w:lineRule="auto"/>
        <w:ind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▲投标文件含有采购人不能接受的附加条件的，投标无效；</w:t>
      </w:r>
    </w:p>
    <w:p>
      <w:pPr>
        <w:adjustRightInd w:val="0"/>
        <w:spacing w:line="360" w:lineRule="auto"/>
        <w:ind w:firstLine="482" w:firstLineChars="200"/>
        <w:rPr>
          <w:rFonts w:hint="eastAsia" w:ascii="仿宋_GB2312" w:hAnsi="仿宋_GB2312" w:eastAsia="仿宋_GB2312" w:cs="仿宋_GB2312"/>
          <w:b/>
          <w:sz w:val="24"/>
          <w:szCs w:val="21"/>
        </w:rPr>
      </w:pPr>
      <w:r>
        <w:rPr>
          <w:rFonts w:hint="eastAsia" w:ascii="仿宋_GB2312" w:hAnsi="仿宋_GB2312" w:eastAsia="仿宋_GB2312" w:cs="仿宋_GB2312"/>
          <w:b/>
          <w:sz w:val="24"/>
          <w:szCs w:val="24"/>
        </w:rPr>
        <w:t>▲投标人提供虚假材料投标的，投标无效。</w:t>
      </w:r>
    </w:p>
    <w:p>
      <w:pPr>
        <w:adjustRightInd w:val="0"/>
        <w:snapToGrid w:val="0"/>
        <w:spacing w:after="120" w:line="360" w:lineRule="auto"/>
        <w:outlineLvl w:val="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12</w:t>
      </w:r>
      <w:r>
        <w:rPr>
          <w:rFonts w:hint="eastAsia" w:ascii="仿宋_GB2312" w:hAnsi="仿宋_GB2312" w:eastAsia="仿宋_GB2312" w:cs="仿宋_GB2312"/>
          <w:b/>
          <w:kern w:val="0"/>
          <w:sz w:val="24"/>
          <w:szCs w:val="24"/>
          <w:lang w:val="zh-CN"/>
        </w:rPr>
        <w:t xml:space="preserve">. </w:t>
      </w:r>
      <w:r>
        <w:rPr>
          <w:rFonts w:hint="eastAsia" w:ascii="仿宋_GB2312" w:hAnsi="仿宋_GB2312" w:eastAsia="仿宋_GB2312" w:cs="仿宋_GB2312"/>
          <w:b/>
          <w:sz w:val="24"/>
          <w:szCs w:val="24"/>
        </w:rPr>
        <w:t>投标文件的编制</w:t>
      </w:r>
    </w:p>
    <w:p>
      <w:pPr>
        <w:adjustRightInd w:val="0"/>
        <w:spacing w:line="360" w:lineRule="auto"/>
        <w:ind w:firstLine="480" w:firstLineChars="200"/>
        <w:rPr>
          <w:rFonts w:hint="eastAsia" w:ascii="仿宋_GB2312" w:hAnsi="仿宋_GB2312" w:eastAsia="仿宋_GB2312" w:cs="仿宋_GB2312"/>
          <w:b/>
          <w:sz w:val="24"/>
          <w:szCs w:val="24"/>
        </w:rPr>
      </w:pPr>
      <w:r>
        <w:rPr>
          <w:rFonts w:hint="eastAsia" w:ascii="仿宋_GB2312" w:hAnsi="仿宋_GB2312" w:eastAsia="仿宋_GB2312" w:cs="仿宋_GB2312"/>
          <w:kern w:val="0"/>
          <w:sz w:val="24"/>
          <w:szCs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r>
        <w:rPr>
          <w:rFonts w:hint="eastAsia" w:ascii="仿宋_GB2312" w:hAnsi="仿宋_GB2312" w:eastAsia="仿宋_GB2312" w:cs="仿宋_GB2312"/>
          <w:b/>
          <w:sz w:val="24"/>
          <w:szCs w:val="24"/>
        </w:rPr>
        <w:t>▲投标文件未按规定的格式编制的，投标无效；</w:t>
      </w:r>
    </w:p>
    <w:p>
      <w:pPr>
        <w:adjustRightInd w:val="0"/>
        <w:spacing w:line="360" w:lineRule="auto"/>
        <w:ind w:firstLine="480" w:firstLineChars="200"/>
        <w:rPr>
          <w:rFonts w:hint="eastAsia" w:ascii="仿宋_GB2312" w:hAnsi="仿宋_GB2312" w:eastAsia="仿宋_GB2312" w:cs="仿宋_GB2312"/>
          <w:kern w:val="0"/>
          <w:sz w:val="24"/>
          <w:szCs w:val="24"/>
          <w:lang w:val="zh-CN"/>
        </w:rPr>
      </w:pPr>
      <w:r>
        <w:rPr>
          <w:rFonts w:hint="eastAsia" w:ascii="仿宋_GB2312" w:hAnsi="仿宋_GB2312" w:eastAsia="仿宋_GB2312" w:cs="仿宋_GB2312"/>
          <w:kern w:val="0"/>
          <w:sz w:val="24"/>
          <w:szCs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adjustRightInd w:val="0"/>
        <w:spacing w:line="360" w:lineRule="auto"/>
        <w:ind w:firstLine="480" w:firstLineChars="200"/>
        <w:rPr>
          <w:rFonts w:hint="eastAsia" w:ascii="仿宋_GB2312" w:hAnsi="仿宋_GB2312" w:eastAsia="仿宋_GB2312" w:cs="仿宋_GB2312"/>
          <w:kern w:val="0"/>
          <w:sz w:val="24"/>
          <w:szCs w:val="24"/>
          <w:lang w:val="zh-CN"/>
        </w:rPr>
      </w:pPr>
      <w:r>
        <w:rPr>
          <w:rFonts w:hint="eastAsia" w:ascii="仿宋_GB2312" w:hAnsi="仿宋_GB2312" w:eastAsia="仿宋_GB2312" w:cs="仿宋_GB2312"/>
          <w:kern w:val="0"/>
          <w:sz w:val="24"/>
          <w:szCs w:val="24"/>
          <w:lang w:val="zh-CN"/>
        </w:rPr>
        <w:t>12.3使用“政采云电子交易客户端”需要提前申领CA数字证书，申领流程请自行前往“浙江政府采购网-下载专区-电子交易客户端-CA驱动和申领流程”进行查阅。</w:t>
      </w:r>
    </w:p>
    <w:p>
      <w:pPr>
        <w:adjustRightInd w:val="0"/>
        <w:snapToGrid w:val="0"/>
        <w:spacing w:line="360" w:lineRule="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13.投标文件的签署、盖章</w:t>
      </w:r>
    </w:p>
    <w:p>
      <w:pPr>
        <w:adjustRightInd w:val="0"/>
        <w:snapToGrid w:val="0"/>
        <w:spacing w:after="120" w:line="360" w:lineRule="auto"/>
        <w:ind w:firstLine="480" w:firstLineChars="200"/>
        <w:rPr>
          <w:rFonts w:hint="eastAsia" w:ascii="仿宋_GB2312" w:hAnsi="仿宋_GB2312" w:eastAsia="仿宋_GB2312" w:cs="仿宋_GB2312"/>
          <w:b/>
          <w:sz w:val="24"/>
        </w:rPr>
      </w:pPr>
      <w:r>
        <w:rPr>
          <w:rFonts w:hint="eastAsia" w:ascii="仿宋_GB2312" w:hAnsi="仿宋_GB2312" w:eastAsia="仿宋_GB2312" w:cs="仿宋_GB2312"/>
          <w:sz w:val="24"/>
          <w:szCs w:val="24"/>
        </w:rPr>
        <w:t>13.1投标文件按照招标文件第六部分格式要</w:t>
      </w:r>
      <w:r>
        <w:rPr>
          <w:rFonts w:hint="eastAsia" w:ascii="仿宋_GB2312" w:hAnsi="仿宋_GB2312" w:eastAsia="仿宋_GB2312" w:cs="仿宋_GB2312"/>
          <w:sz w:val="24"/>
        </w:rPr>
        <w:t>求进行签署、盖章。</w:t>
      </w:r>
      <w:r>
        <w:rPr>
          <w:rFonts w:hint="eastAsia" w:ascii="仿宋_GB2312" w:hAnsi="仿宋_GB2312" w:eastAsia="仿宋_GB2312" w:cs="仿宋_GB2312"/>
          <w:b/>
          <w:sz w:val="24"/>
        </w:rPr>
        <w:t>▲投标人的投标文件未按照招标文件要求签署、盖章的，其投标无效</w:t>
      </w:r>
      <w:r>
        <w:rPr>
          <w:rFonts w:hint="eastAsia" w:ascii="仿宋_GB2312" w:hAnsi="仿宋_GB2312" w:eastAsia="仿宋_GB2312" w:cs="仿宋_GB2312"/>
          <w:sz w:val="24"/>
          <w:szCs w:val="24"/>
        </w:rPr>
        <w:t>。</w:t>
      </w:r>
    </w:p>
    <w:p>
      <w:pPr>
        <w:adjustRightInd w:val="0"/>
        <w:snapToGrid w:val="0"/>
        <w:spacing w:after="120"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rPr>
        <w:t>13.2为确保网上操作合法、有效和安全，投标人应当在投标截止时间前完成在“政府采购云平台”的身份认证，确保在电子投标过程中能够对相关数据电文进行加密和使用电子签名。</w:t>
      </w:r>
    </w:p>
    <w:p>
      <w:pPr>
        <w:adjustRightInd w:val="0"/>
        <w:spacing w:after="120" w:line="360" w:lineRule="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14. 投标文件的提交、补充、修改、撤回</w:t>
      </w:r>
    </w:p>
    <w:p>
      <w:pPr>
        <w:adjustRightInd w:val="0"/>
        <w:spacing w:before="156" w:after="120" w:line="360" w:lineRule="auto"/>
        <w:ind w:firstLine="480" w:firstLineChars="200"/>
        <w:rPr>
          <w:rFonts w:ascii="仿宋_GB2312" w:hAnsi="仿宋" w:eastAsia="仿宋_GB2312" w:cs="仿宋_GB2312"/>
          <w:sz w:val="24"/>
          <w:szCs w:val="24"/>
        </w:rPr>
      </w:pPr>
      <w:r>
        <w:rPr>
          <w:rFonts w:hint="eastAsia" w:ascii="仿宋_GB2312" w:hAnsi="仿宋_GB2312" w:eastAsia="仿宋_GB2312" w:cs="仿宋_GB2312"/>
          <w:sz w:val="24"/>
          <w:szCs w:val="24"/>
        </w:rPr>
        <w:t>14.1供应商应当在投标截止时间前完成投标文件的传输递交，并可以补充、修改</w:t>
      </w:r>
      <w:r>
        <w:rPr>
          <w:rFonts w:hint="eastAsia" w:ascii="仿宋_GB2312" w:hAnsi="仿宋" w:eastAsia="仿宋_GB2312" w:cs="仿宋_GB2312"/>
          <w:sz w:val="24"/>
          <w:szCs w:val="24"/>
        </w:rPr>
        <w:t>或者撤回投标文件。补充或者修改投标文件的，应当先行撤回原文件，补充、修改后重新传输递交。投标截止时间前未完成传输的，视为撤回投标文件。投标截止时间后递交的投标文件，电子交易平台将拒收。</w:t>
      </w:r>
    </w:p>
    <w:p>
      <w:pPr>
        <w:adjustRightIn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14.2电子交易平台收到投标文件，将妥善保存并即时向供应商发出确认回执通知。在投标截止时间前，除供应商补充、修改或者撤回投标文件外，任何单位和个人不得解密或提取投标文件。</w:t>
      </w:r>
    </w:p>
    <w:p>
      <w:pPr>
        <w:adjustRightIn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14.3采购机构可以视情况延长投标文件提交的截止时间。在上述情况下，采购机构与投标人以前在投标截止期方面的全部权利、责任和义务，将适用于延长至新的投标截止期。</w:t>
      </w:r>
    </w:p>
    <w:p>
      <w:pPr>
        <w:adjustRightInd w:val="0"/>
        <w:spacing w:line="360" w:lineRule="auto"/>
        <w:rPr>
          <w:rFonts w:ascii="仿宋_GB2312" w:hAnsi="仿宋" w:eastAsia="仿宋_GB2312" w:cs="仿宋_GB2312"/>
          <w:b/>
          <w:snapToGrid w:val="0"/>
          <w:sz w:val="24"/>
          <w:szCs w:val="24"/>
        </w:rPr>
      </w:pPr>
      <w:r>
        <w:rPr>
          <w:rFonts w:hint="eastAsia" w:ascii="仿宋_GB2312" w:hAnsi="仿宋" w:eastAsia="仿宋_GB2312" w:cs="仿宋_GB2312"/>
          <w:b/>
          <w:snapToGrid w:val="0"/>
          <w:sz w:val="24"/>
          <w:szCs w:val="24"/>
        </w:rPr>
        <w:t>15.备份投标文件</w:t>
      </w:r>
    </w:p>
    <w:p>
      <w:pPr>
        <w:adjustRightInd w:val="0"/>
        <w:spacing w:line="360" w:lineRule="auto"/>
        <w:ind w:firstLine="360" w:firstLineChars="150"/>
        <w:rPr>
          <w:rFonts w:ascii="仿宋_GB2312" w:hAnsi="仿宋" w:eastAsia="仿宋_GB2312" w:cs="仿宋_GB2312"/>
          <w:b/>
          <w:snapToGrid w:val="0"/>
          <w:sz w:val="24"/>
          <w:szCs w:val="24"/>
        </w:rPr>
      </w:pPr>
      <w:r>
        <w:rPr>
          <w:rFonts w:hint="eastAsia" w:ascii="仿宋_GB2312" w:hAnsi="仿宋" w:eastAsia="仿宋_GB2312" w:cs="仿宋_GB2312"/>
          <w:snapToGrid w:val="0"/>
          <w:sz w:val="24"/>
          <w:szCs w:val="24"/>
        </w:rPr>
        <w:t xml:space="preserve"> 15.1投标人在电子交易平台传输递交投标文件后，还可以在投标截止时间前直接提交或者以邮政快递方式递交备份投标文件1份，</w:t>
      </w:r>
      <w:r>
        <w:rPr>
          <w:rFonts w:hint="eastAsia" w:ascii="仿宋_GB2312" w:hAnsi="仿宋" w:eastAsia="仿宋_GB2312" w:cs="仿宋_GB2312"/>
          <w:b/>
          <w:snapToGrid w:val="0"/>
          <w:sz w:val="24"/>
          <w:szCs w:val="24"/>
        </w:rPr>
        <w:t>但采购人、采购机构不强制或变相强制投标人提交备份投标文件。</w:t>
      </w:r>
    </w:p>
    <w:p>
      <w:pPr>
        <w:adjustRightInd w:val="0"/>
        <w:spacing w:line="360" w:lineRule="auto"/>
        <w:ind w:firstLine="480" w:firstLineChars="200"/>
        <w:rPr>
          <w:rFonts w:ascii="仿宋_GB2312" w:hAnsi="仿宋" w:eastAsia="仿宋_GB2312" w:cs="仿宋_GB2312"/>
          <w:b/>
          <w:snapToGrid w:val="0"/>
          <w:sz w:val="24"/>
          <w:szCs w:val="24"/>
        </w:rPr>
      </w:pPr>
      <w:r>
        <w:rPr>
          <w:rFonts w:hint="eastAsia" w:ascii="仿宋_GB2312" w:hAnsi="仿宋" w:eastAsia="仿宋_GB2312" w:cs="仿宋_GB2312"/>
          <w:snapToGrid w:val="0"/>
          <w:sz w:val="24"/>
          <w:szCs w:val="24"/>
        </w:rPr>
        <w:t>15.2备份投标文件须在“政采云投标客户端”制作生成，并储</w:t>
      </w:r>
      <w:r>
        <w:rPr>
          <w:rFonts w:hint="eastAsia" w:ascii="仿宋_GB2312" w:hAnsi="仿宋" w:eastAsia="仿宋_GB2312" w:cs="仿宋_GB2312"/>
          <w:snapToGrid w:val="0"/>
          <w:color w:val="auto"/>
          <w:sz w:val="24"/>
          <w:szCs w:val="24"/>
        </w:rPr>
        <w:t>存在不可修改的</w:t>
      </w:r>
      <w:r>
        <w:rPr>
          <w:rFonts w:hint="eastAsia" w:ascii="仿宋_GB2312" w:hAnsi="仿宋" w:eastAsia="仿宋_GB2312" w:cs="Arial"/>
          <w:snapToGrid w:val="0"/>
          <w:color w:val="auto"/>
          <w:sz w:val="24"/>
          <w:szCs w:val="21"/>
        </w:rPr>
        <w:t>电子光盘</w:t>
      </w:r>
      <w:r>
        <w:rPr>
          <w:rFonts w:hint="eastAsia" w:ascii="仿宋_GB2312" w:hAnsi="仿宋" w:eastAsia="仿宋_GB2312" w:cs="仿宋_GB2312"/>
          <w:snapToGrid w:val="0"/>
          <w:color w:val="auto"/>
          <w:sz w:val="24"/>
          <w:szCs w:val="24"/>
        </w:rPr>
        <w:t>中。备份投标文件应当密封包装并在包装上加盖公章并注明投标项目名称，投标人名称(联合体投标的，包装物封面需注明联合体投标，并注明联合体成员各方</w:t>
      </w:r>
      <w:r>
        <w:rPr>
          <w:rFonts w:hint="eastAsia" w:ascii="仿宋_GB2312" w:hAnsi="仿宋" w:eastAsia="仿宋_GB2312" w:cs="仿宋_GB2312"/>
          <w:snapToGrid w:val="0"/>
          <w:sz w:val="24"/>
          <w:szCs w:val="24"/>
        </w:rPr>
        <w:t>的名称和联合体协议中约定的牵头人的名称)</w:t>
      </w:r>
      <w:r>
        <w:rPr>
          <w:rFonts w:hint="eastAsia" w:ascii="仿宋_GB2312" w:hAnsi="仿宋" w:eastAsia="仿宋_GB2312" w:cs="Arial"/>
          <w:b/>
          <w:snapToGrid w:val="0"/>
          <w:sz w:val="24"/>
          <w:szCs w:val="21"/>
        </w:rPr>
        <w:t>▲不符合上述制作、</w:t>
      </w:r>
      <w:r>
        <w:rPr>
          <w:rFonts w:hint="eastAsia" w:ascii="仿宋_GB2312" w:hAnsi="仿宋" w:eastAsia="仿宋_GB2312" w:cs="仿宋_GB2312"/>
          <w:b/>
          <w:snapToGrid w:val="0"/>
          <w:sz w:val="24"/>
          <w:szCs w:val="24"/>
        </w:rPr>
        <w:t>存储、密封规定的备份投标文件将被视为无效或者被拒绝接收。</w:t>
      </w:r>
    </w:p>
    <w:p>
      <w:pPr>
        <w:adjustRightInd w:val="0"/>
        <w:spacing w:line="360" w:lineRule="auto"/>
        <w:ind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15.3直接提交备份投标文件的，投标人应于投标截止时间前在招标公告中载明的开标地点将备份投标文件提交给采购机构，采购机构将拒绝接受逾期送达的备份投标文件。</w:t>
      </w:r>
    </w:p>
    <w:p>
      <w:pPr>
        <w:adjustRightInd w:val="0"/>
        <w:spacing w:line="360" w:lineRule="auto"/>
        <w:ind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15.4以邮政快递方式递交备份投标文件的，投标人应先将备份投标文件按要求密封和标记，再进行邮政快递包装后邮寄。备份投标文件须在投标截止时间之前送达杭州市</w:t>
      </w:r>
      <w:r>
        <w:rPr>
          <w:rFonts w:hint="eastAsia" w:ascii="仿宋_GB2312" w:hAnsi="仿宋" w:eastAsia="仿宋_GB2312" w:cs="仿宋_GB2312"/>
          <w:snapToGrid w:val="0"/>
          <w:sz w:val="24"/>
          <w:szCs w:val="24"/>
          <w:lang w:eastAsia="zh-CN"/>
        </w:rPr>
        <w:t>临安区锦北街道科技大道</w:t>
      </w:r>
      <w:r>
        <w:rPr>
          <w:rFonts w:hint="eastAsia" w:ascii="仿宋_GB2312" w:hAnsi="仿宋" w:eastAsia="仿宋_GB2312" w:cs="仿宋_GB2312"/>
          <w:snapToGrid w:val="0"/>
          <w:sz w:val="24"/>
          <w:szCs w:val="24"/>
          <w:lang w:val="en-US" w:eastAsia="zh-CN"/>
        </w:rPr>
        <w:t>4398号市民中心B座B448室</w:t>
      </w:r>
      <w:r>
        <w:rPr>
          <w:rFonts w:hint="eastAsia" w:ascii="仿宋_GB2312" w:hAnsi="仿宋" w:eastAsia="仿宋_GB2312" w:cs="仿宋_GB2312"/>
          <w:snapToGrid w:val="0"/>
          <w:sz w:val="24"/>
          <w:szCs w:val="24"/>
        </w:rPr>
        <w:t>（杭州市公共资源交易中心</w:t>
      </w:r>
      <w:r>
        <w:rPr>
          <w:rFonts w:hint="eastAsia" w:ascii="仿宋_GB2312" w:hAnsi="仿宋" w:eastAsia="仿宋_GB2312" w:cs="仿宋_GB2312"/>
          <w:snapToGrid w:val="0"/>
          <w:sz w:val="24"/>
          <w:szCs w:val="24"/>
          <w:lang w:eastAsia="zh-CN"/>
        </w:rPr>
        <w:t>临安分中心</w:t>
      </w:r>
      <w:r>
        <w:rPr>
          <w:rFonts w:hint="eastAsia" w:ascii="仿宋_GB2312" w:hAnsi="仿宋" w:eastAsia="仿宋_GB2312" w:cs="仿宋_GB2312"/>
          <w:snapToGrid w:val="0"/>
          <w:sz w:val="24"/>
          <w:szCs w:val="24"/>
        </w:rPr>
        <w:t>政府采购</w:t>
      </w:r>
      <w:r>
        <w:rPr>
          <w:rFonts w:hint="eastAsia" w:ascii="仿宋_GB2312" w:hAnsi="仿宋" w:eastAsia="仿宋_GB2312" w:cs="仿宋_GB2312"/>
          <w:snapToGrid w:val="0"/>
          <w:sz w:val="24"/>
          <w:szCs w:val="24"/>
          <w:lang w:eastAsia="zh-CN"/>
        </w:rPr>
        <w:t>科</w:t>
      </w:r>
      <w:r>
        <w:rPr>
          <w:rFonts w:hint="eastAsia" w:ascii="仿宋_GB2312" w:hAnsi="仿宋" w:eastAsia="仿宋_GB2312" w:cs="仿宋_GB2312"/>
          <w:snapToGrid w:val="0"/>
          <w:sz w:val="24"/>
          <w:szCs w:val="24"/>
        </w:rPr>
        <w:t>）；送达时间以签收人签收时间为准（签收人：</w:t>
      </w:r>
      <w:r>
        <w:rPr>
          <w:rFonts w:hint="eastAsia" w:ascii="仿宋_GB2312" w:hAnsi="仿宋" w:eastAsia="仿宋_GB2312" w:cs="仿宋_GB2312"/>
          <w:snapToGrid w:val="0"/>
          <w:sz w:val="24"/>
          <w:szCs w:val="24"/>
          <w:lang w:eastAsia="zh-CN"/>
        </w:rPr>
        <w:t>杨颖</w:t>
      </w:r>
      <w:r>
        <w:rPr>
          <w:rFonts w:hint="eastAsia" w:ascii="仿宋_GB2312" w:hAnsi="仿宋" w:eastAsia="仿宋_GB2312" w:cs="仿宋_GB2312"/>
          <w:snapToGrid w:val="0"/>
          <w:sz w:val="24"/>
          <w:szCs w:val="24"/>
        </w:rPr>
        <w:t>， 联系电话：0571-</w:t>
      </w:r>
      <w:r>
        <w:rPr>
          <w:rFonts w:hint="eastAsia" w:ascii="仿宋_GB2312" w:hAnsi="仿宋" w:eastAsia="仿宋_GB2312" w:cs="仿宋_GB2312"/>
          <w:snapToGrid w:val="0"/>
          <w:sz w:val="24"/>
          <w:szCs w:val="24"/>
          <w:lang w:val="en-US" w:eastAsia="zh-CN"/>
        </w:rPr>
        <w:t>23616011</w:t>
      </w:r>
      <w:r>
        <w:rPr>
          <w:rFonts w:hint="eastAsia" w:ascii="仿宋_GB2312" w:hAnsi="仿宋" w:eastAsia="仿宋_GB2312" w:cs="仿宋_GB2312"/>
          <w:snapToGrid w:val="0"/>
          <w:sz w:val="24"/>
          <w:szCs w:val="24"/>
        </w:rPr>
        <w:t>）。采购机构将拒绝接受逾期送达的备份投标文件。邮寄过程中，电子备份投标文件发生泄露、遗失、损坏或延期送达等情况的，由投标人自行负责。</w:t>
      </w:r>
    </w:p>
    <w:p>
      <w:pPr>
        <w:adjustRightInd w:val="0"/>
        <w:spacing w:line="360" w:lineRule="auto"/>
        <w:ind w:firstLine="361" w:firstLineChars="150"/>
        <w:rPr>
          <w:rFonts w:ascii="仿宋_GB2312" w:hAnsi="仿宋" w:eastAsia="仿宋_GB2312" w:cs="仿宋_GB2312"/>
          <w:b/>
          <w:snapToGrid w:val="0"/>
          <w:sz w:val="24"/>
          <w:szCs w:val="24"/>
        </w:rPr>
      </w:pPr>
      <w:r>
        <w:rPr>
          <w:rFonts w:hint="eastAsia" w:ascii="仿宋_GB2312" w:hAnsi="仿宋" w:eastAsia="仿宋_GB2312" w:cs="仿宋_GB2312"/>
          <w:b/>
          <w:snapToGrid w:val="0"/>
          <w:sz w:val="24"/>
          <w:szCs w:val="24"/>
        </w:rPr>
        <w:t>15.5</w:t>
      </w:r>
      <w:r>
        <w:rPr>
          <w:rFonts w:hint="eastAsia" w:ascii="仿宋_GB2312" w:hAnsi="仿宋" w:eastAsia="仿宋_GB2312" w:cs="仿宋_GB2312"/>
          <w:sz w:val="24"/>
          <w:szCs w:val="20"/>
        </w:rPr>
        <w:t>▲</w:t>
      </w:r>
      <w:r>
        <w:rPr>
          <w:rFonts w:hint="eastAsia" w:ascii="仿宋_GB2312" w:hAnsi="仿宋" w:eastAsia="仿宋_GB2312" w:cs="仿宋_GB2312"/>
          <w:b/>
          <w:snapToGrid w:val="0"/>
          <w:sz w:val="24"/>
          <w:szCs w:val="24"/>
        </w:rPr>
        <w:t>投标人仅提交备份投标文件，没有在电子交易平台传输递交投标文件的，投标无效。</w:t>
      </w:r>
    </w:p>
    <w:p>
      <w:pPr>
        <w:adjustRightInd w:val="0"/>
        <w:spacing w:after="120"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16.投标文件的无效处理</w:t>
      </w:r>
    </w:p>
    <w:p>
      <w:pPr>
        <w:adjustRightInd w:val="0"/>
        <w:spacing w:after="120" w:line="360" w:lineRule="auto"/>
        <w:ind w:firstLine="480" w:firstLineChars="200"/>
        <w:rPr>
          <w:rFonts w:ascii="仿宋_GB2312" w:hAnsi="仿宋" w:eastAsia="仿宋_GB2312" w:cs="仿宋_GB2312"/>
          <w:snapToGrid w:val="0"/>
          <w:sz w:val="24"/>
          <w:szCs w:val="24"/>
        </w:rPr>
      </w:pPr>
      <w:r>
        <w:rPr>
          <w:rFonts w:hint="eastAsia" w:ascii="仿宋_GB2312" w:hAnsi="仿宋" w:eastAsia="仿宋_GB2312" w:cs="仿宋_GB2312"/>
          <w:snapToGrid w:val="0"/>
          <w:sz w:val="24"/>
          <w:szCs w:val="24"/>
        </w:rPr>
        <w:t>有招标文件第四部分第</w:t>
      </w:r>
      <w:r>
        <w:rPr>
          <w:rFonts w:ascii="仿宋_GB2312" w:hAnsi="仿宋" w:eastAsia="仿宋_GB2312" w:cs="仿宋_GB2312"/>
          <w:snapToGrid w:val="0"/>
          <w:sz w:val="24"/>
          <w:szCs w:val="24"/>
        </w:rPr>
        <w:t>13项规定的情形之一的，投标无效</w:t>
      </w:r>
      <w:r>
        <w:rPr>
          <w:rFonts w:hint="eastAsia" w:ascii="仿宋_GB2312" w:hAnsi="仿宋" w:eastAsia="仿宋_GB2312" w:cs="仿宋_GB2312"/>
          <w:snapToGrid w:val="0"/>
          <w:sz w:val="24"/>
          <w:szCs w:val="24"/>
        </w:rPr>
        <w:t>。</w:t>
      </w:r>
    </w:p>
    <w:p>
      <w:pPr>
        <w:adjustRightInd w:val="0"/>
        <w:spacing w:after="120"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17.投标有效期</w:t>
      </w:r>
    </w:p>
    <w:p>
      <w:pPr>
        <w:adjustRightInd w:val="0"/>
        <w:spacing w:line="360" w:lineRule="auto"/>
        <w:ind w:firstLine="480" w:firstLineChars="200"/>
        <w:rPr>
          <w:rFonts w:ascii="仿宋_GB2312" w:hAnsi="仿宋" w:eastAsia="仿宋_GB2312" w:cs="仿宋_GB2312"/>
          <w:b/>
          <w:sz w:val="24"/>
          <w:szCs w:val="21"/>
        </w:rPr>
      </w:pPr>
      <w:r>
        <w:rPr>
          <w:rFonts w:hint="eastAsia" w:ascii="仿宋_GB2312" w:hAnsi="仿宋" w:eastAsia="仿宋_GB2312" w:cs="仿宋_GB2312"/>
          <w:sz w:val="24"/>
          <w:szCs w:val="20"/>
        </w:rPr>
        <w:t>17.1投标有效期为从提交投标文件的截止之日起90天。▲</w:t>
      </w:r>
      <w:r>
        <w:rPr>
          <w:rFonts w:hint="eastAsia" w:ascii="仿宋_GB2312" w:hAnsi="仿宋" w:eastAsia="仿宋_GB2312" w:cs="仿宋_GB2312"/>
          <w:b/>
          <w:sz w:val="24"/>
          <w:szCs w:val="20"/>
        </w:rPr>
        <w:t>投标人的投标文件中承</w:t>
      </w:r>
      <w:r>
        <w:rPr>
          <w:rFonts w:hint="eastAsia" w:ascii="仿宋_GB2312" w:hAnsi="仿宋" w:eastAsia="仿宋_GB2312" w:cs="仿宋_GB2312"/>
          <w:b/>
          <w:sz w:val="24"/>
          <w:szCs w:val="21"/>
        </w:rPr>
        <w:t>诺的投标有效期少于招标文件中载明的投标有效期的，投标无效。</w:t>
      </w:r>
    </w:p>
    <w:p>
      <w:pPr>
        <w:adjustRightIn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17.2投标文件合格投递后，自投标截止日期起，在投标有效期内有效。</w:t>
      </w:r>
    </w:p>
    <w:p>
      <w:pPr>
        <w:adjustRightIn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17.3在原定投标有效期满之前，如果出现特殊情况，采购机构可以以书面形式通知投标人延长投标有效期。投标人同意延长的，不得要求或被允许修改其投标文件，投标人拒绝延长的，其投标无效。</w:t>
      </w:r>
    </w:p>
    <w:p>
      <w:pPr>
        <w:adjustRightInd w:val="0"/>
        <w:spacing w:after="120" w:line="360" w:lineRule="auto"/>
        <w:ind w:firstLine="643" w:firstLineChars="200"/>
        <w:rPr>
          <w:rFonts w:ascii="仿宋_GB2312" w:hAnsi="仿宋" w:eastAsia="仿宋_GB2312" w:cs="仿宋_GB2312"/>
          <w:b/>
          <w:sz w:val="32"/>
        </w:rPr>
      </w:pPr>
    </w:p>
    <w:p>
      <w:pPr>
        <w:adjustRightInd w:val="0"/>
        <w:spacing w:after="120" w:line="360" w:lineRule="auto"/>
        <w:ind w:firstLine="1928" w:firstLineChars="600"/>
        <w:rPr>
          <w:rFonts w:ascii="仿宋_GB2312" w:hAnsi="仿宋" w:eastAsia="仿宋_GB2312" w:cs="仿宋_GB2312"/>
          <w:b/>
          <w:sz w:val="32"/>
        </w:rPr>
      </w:pPr>
      <w:r>
        <w:rPr>
          <w:rFonts w:hint="eastAsia" w:ascii="仿宋_GB2312" w:hAnsi="仿宋" w:eastAsia="仿宋_GB2312" w:cs="仿宋_GB2312"/>
          <w:b/>
          <w:sz w:val="32"/>
        </w:rPr>
        <w:t>四、开标、资格审查与信用信息查询</w:t>
      </w:r>
    </w:p>
    <w:p>
      <w:pPr>
        <w:autoSpaceDE w:val="0"/>
        <w:autoSpaceDN w:val="0"/>
        <w:adjustRightInd w:val="0"/>
        <w:spacing w:line="360" w:lineRule="auto"/>
        <w:contextualSpacing/>
        <w:rPr>
          <w:rFonts w:ascii="仿宋_GB2312" w:hAnsi="仿宋" w:eastAsia="仿宋_GB2312" w:cs="Times New Roman"/>
          <w:kern w:val="0"/>
          <w:sz w:val="24"/>
          <w:szCs w:val="20"/>
        </w:rPr>
      </w:pPr>
      <w:r>
        <w:rPr>
          <w:rFonts w:hint="eastAsia" w:ascii="仿宋_GB2312" w:hAnsi="仿宋" w:eastAsia="仿宋_GB2312" w:cs="仿宋_GB2312"/>
          <w:b/>
          <w:kern w:val="0"/>
          <w:sz w:val="24"/>
          <w:szCs w:val="24"/>
        </w:rPr>
        <w:t>18.开标</w:t>
      </w:r>
      <w:r>
        <w:rPr>
          <w:rFonts w:hint="eastAsia" w:ascii="仿宋_GB2312" w:hAnsi="仿宋" w:eastAsia="仿宋_GB2312" w:cs="Times New Roman"/>
          <w:kern w:val="0"/>
          <w:sz w:val="24"/>
          <w:szCs w:val="20"/>
        </w:rPr>
        <w:t xml:space="preserve"> </w:t>
      </w:r>
    </w:p>
    <w:p>
      <w:pPr>
        <w:autoSpaceDE w:val="0"/>
        <w:autoSpaceDN w:val="0"/>
        <w:adjustRightInd w:val="0"/>
        <w:spacing w:line="360" w:lineRule="auto"/>
        <w:ind w:firstLine="480" w:firstLineChars="200"/>
        <w:contextualSpacing/>
        <w:rPr>
          <w:rFonts w:ascii="仿宋_GB2312" w:hAnsi="仿宋" w:eastAsia="仿宋_GB2312" w:cs="仿宋_GB2312"/>
          <w:kern w:val="0"/>
          <w:sz w:val="24"/>
          <w:szCs w:val="20"/>
        </w:rPr>
      </w:pPr>
      <w:r>
        <w:rPr>
          <w:rFonts w:hint="eastAsia" w:ascii="仿宋_GB2312" w:hAnsi="仿宋" w:eastAsia="仿宋_GB2312" w:cs="仿宋_GB2312"/>
          <w:kern w:val="0"/>
          <w:sz w:val="24"/>
          <w:szCs w:val="20"/>
        </w:rPr>
        <w:t>18.1采购机构按照招标文件规定的时间通过电子交易平台组织开标，所有投标人均应当准时在线参加。投标人不足3家的，不得开标。</w:t>
      </w:r>
    </w:p>
    <w:p>
      <w:pPr>
        <w:autoSpaceDE w:val="0"/>
        <w:autoSpaceDN w:val="0"/>
        <w:adjustRightInd w:val="0"/>
        <w:spacing w:line="360" w:lineRule="auto"/>
        <w:ind w:firstLine="240" w:firstLineChars="100"/>
        <w:contextualSpacing/>
        <w:rPr>
          <w:rFonts w:hint="eastAsia" w:ascii="仿宋_GB2312" w:hAnsi="仿宋_GB2312" w:eastAsia="仿宋_GB2312" w:cs="仿宋_GB2312"/>
          <w:kern w:val="0"/>
          <w:sz w:val="24"/>
          <w:szCs w:val="20"/>
        </w:rPr>
      </w:pPr>
      <w:r>
        <w:rPr>
          <w:rFonts w:hint="eastAsia" w:ascii="仿宋_GB2312" w:hAnsi="仿宋" w:eastAsia="仿宋_GB2312" w:cs="仿宋_GB2312"/>
          <w:kern w:val="0"/>
          <w:sz w:val="24"/>
          <w:szCs w:val="20"/>
        </w:rPr>
        <w:t>　18.2开标时，电子交易平台按开标时间自动提取所有投标文件。采购机构依托电子交</w:t>
      </w:r>
      <w:r>
        <w:rPr>
          <w:rFonts w:hint="eastAsia" w:ascii="仿宋_GB2312" w:hAnsi="仿宋_GB2312" w:eastAsia="仿宋_GB2312" w:cs="仿宋_GB2312"/>
          <w:kern w:val="0"/>
          <w:sz w:val="24"/>
          <w:szCs w:val="20"/>
        </w:rPr>
        <w:t>易平台发起开始解密指令，投标人按照平台提示和招标文件的规定在半小时内完成在线解密。</w:t>
      </w:r>
    </w:p>
    <w:p>
      <w:pPr>
        <w:autoSpaceDE w:val="0"/>
        <w:autoSpaceDN w:val="0"/>
        <w:adjustRightInd w:val="0"/>
        <w:spacing w:line="360" w:lineRule="auto"/>
        <w:ind w:firstLine="240" w:firstLineChars="100"/>
        <w:contextualSpacing/>
        <w:rPr>
          <w:rFonts w:hint="eastAsia" w:ascii="仿宋_GB2312" w:hAnsi="仿宋_GB2312" w:eastAsia="仿宋_GB2312" w:cs="仿宋_GB2312"/>
          <w:b/>
          <w:kern w:val="0"/>
          <w:sz w:val="24"/>
          <w:szCs w:val="20"/>
        </w:rPr>
      </w:pPr>
      <w:r>
        <w:rPr>
          <w:rFonts w:hint="eastAsia" w:ascii="仿宋_GB2312" w:hAnsi="仿宋_GB2312" w:eastAsia="仿宋_GB2312" w:cs="仿宋_GB2312"/>
          <w:kern w:val="0"/>
          <w:sz w:val="24"/>
          <w:szCs w:val="20"/>
        </w:rPr>
        <w:t>　18.3</w:t>
      </w:r>
      <w:r>
        <w:rPr>
          <w:rFonts w:hint="eastAsia" w:ascii="仿宋_GB2312" w:hAnsi="仿宋_GB2312" w:eastAsia="仿宋_GB2312" w:cs="仿宋_GB2312"/>
          <w:b/>
          <w:kern w:val="0"/>
          <w:sz w:val="24"/>
          <w:szCs w:val="20"/>
        </w:rPr>
        <w:t>投标文件未按时解密，投标人提供了备份投标文件的，以备份投标文件作为依据，否则视为投标文件撤回。投标文件已按时解密的，备份投标文件自动失效。</w:t>
      </w:r>
    </w:p>
    <w:p>
      <w:pPr>
        <w:pStyle w:val="526"/>
        <w:spacing w:before="0" w:line="360" w:lineRule="auto"/>
        <w:ind w:left="0" w:leftChars="0" w:firstLine="480" w:firstLineChars="200"/>
        <w:contextualSpacing/>
        <w:rPr>
          <w:rFonts w:hint="eastAsia" w:ascii="仿宋_GB2312" w:hAnsi="仿宋_GB2312" w:eastAsia="仿宋_GB2312" w:cs="仿宋_GB2312"/>
        </w:rPr>
      </w:pPr>
      <w:r>
        <w:rPr>
          <w:rFonts w:hint="eastAsia" w:ascii="仿宋_GB2312" w:hAnsi="仿宋_GB2312" w:eastAsia="仿宋_GB2312" w:cs="仿宋_GB2312"/>
          <w:b w:val="0"/>
          <w:bCs w:val="0"/>
          <w:sz w:val="24"/>
          <w:szCs w:val="22"/>
          <w:lang w:val="en-US" w:eastAsia="zh-CN"/>
        </w:rPr>
        <w:t>18.4开标记录开启后，请将附件2《政府采购活动现场确认声明书》填写完整发送至邮箱：649656585@qq.com。</w:t>
      </w:r>
    </w:p>
    <w:p>
      <w:pPr>
        <w:widowControl/>
        <w:adjustRightInd w:val="0"/>
        <w:spacing w:before="100" w:beforeAutospacing="1" w:after="240" w:line="360" w:lineRule="auto"/>
        <w:jc w:val="left"/>
        <w:rPr>
          <w:rFonts w:hint="eastAsia" w:ascii="仿宋_GB2312" w:hAnsi="仿宋_GB2312" w:eastAsia="仿宋_GB2312" w:cs="仿宋_GB2312"/>
          <w:b/>
          <w:sz w:val="24"/>
          <w:szCs w:val="20"/>
        </w:rPr>
      </w:pPr>
      <w:r>
        <w:rPr>
          <w:rFonts w:hint="eastAsia" w:ascii="仿宋_GB2312" w:hAnsi="仿宋_GB2312" w:eastAsia="仿宋_GB2312" w:cs="仿宋_GB2312"/>
          <w:b/>
          <w:sz w:val="24"/>
          <w:szCs w:val="20"/>
        </w:rPr>
        <w:t>19、资格审查</w:t>
      </w:r>
    </w:p>
    <w:p>
      <w:pPr>
        <w:adjustRightInd w:val="0"/>
        <w:spacing w:after="120" w:line="360" w:lineRule="auto"/>
        <w:ind w:firstLine="480" w:firstLineChars="200"/>
        <w:rPr>
          <w:rFonts w:ascii="仿宋_GB2312" w:hAnsi="仿宋" w:eastAsia="仿宋_GB2312" w:cs="Arial"/>
          <w:kern w:val="0"/>
          <w:sz w:val="24"/>
          <w:szCs w:val="24"/>
        </w:rPr>
      </w:pPr>
      <w:r>
        <w:rPr>
          <w:rFonts w:hint="eastAsia" w:ascii="仿宋_GB2312" w:hAnsi="仿宋_GB2312" w:eastAsia="仿宋_GB2312" w:cs="仿宋_GB2312"/>
          <w:kern w:val="0"/>
          <w:sz w:val="24"/>
          <w:szCs w:val="24"/>
        </w:rPr>
        <w:t>19.1开标后，采购人或采购机构将依</w:t>
      </w:r>
      <w:r>
        <w:rPr>
          <w:rFonts w:hint="eastAsia" w:ascii="仿宋_GB2312" w:hAnsi="仿宋" w:eastAsia="仿宋_GB2312" w:cs="Arial"/>
          <w:kern w:val="0"/>
          <w:sz w:val="24"/>
          <w:szCs w:val="24"/>
        </w:rPr>
        <w:t>法对投标人的资格进行审查。</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Arial"/>
          <w:kern w:val="0"/>
          <w:sz w:val="24"/>
          <w:szCs w:val="24"/>
        </w:rPr>
        <w:t>19.2</w:t>
      </w:r>
      <w:r>
        <w:rPr>
          <w:rFonts w:hint="eastAsia" w:ascii="仿宋_GB2312" w:hAnsi="仿宋" w:eastAsia="仿宋_GB2312" w:cs="仿宋_GB2312"/>
          <w:sz w:val="24"/>
          <w:szCs w:val="24"/>
        </w:rPr>
        <w:t>采购人或采购机构依据法律法规和招标文件的规定，对投标人的基本资格条件、特定资格条件进行审查。</w:t>
      </w:r>
    </w:p>
    <w:p>
      <w:pPr>
        <w:adjustRightIn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Arial"/>
          <w:kern w:val="0"/>
          <w:sz w:val="24"/>
          <w:szCs w:val="24"/>
        </w:rPr>
        <w:t>19.3投标人未按照招标文件要求提供与</w:t>
      </w:r>
      <w:r>
        <w:rPr>
          <w:rFonts w:hint="eastAsia" w:ascii="仿宋_GB2312" w:hAnsi="仿宋" w:eastAsia="仿宋_GB2312" w:cs="仿宋_GB2312"/>
          <w:sz w:val="24"/>
        </w:rPr>
        <w:t>基本资格条件、特定资格条件相应的</w:t>
      </w:r>
      <w:r>
        <w:rPr>
          <w:rFonts w:hint="eastAsia" w:ascii="仿宋_GB2312" w:hAnsi="仿宋" w:eastAsia="仿宋_GB2312" w:cs="Arial"/>
          <w:kern w:val="0"/>
          <w:sz w:val="24"/>
          <w:szCs w:val="24"/>
        </w:rPr>
        <w:t>有效资格证明材料的，视为</w:t>
      </w:r>
      <w:r>
        <w:rPr>
          <w:rFonts w:hint="eastAsia" w:ascii="仿宋_GB2312" w:hAnsi="仿宋" w:eastAsia="仿宋_GB2312" w:cs="仿宋_GB2312"/>
          <w:sz w:val="24"/>
        </w:rPr>
        <w:t>投标人不具备招标文件中规定的资格要求，其投标无效。</w:t>
      </w:r>
    </w:p>
    <w:p>
      <w:pPr>
        <w:adjustRightIn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Arial"/>
          <w:kern w:val="0"/>
          <w:sz w:val="24"/>
          <w:szCs w:val="24"/>
        </w:rPr>
        <w:t>19.</w:t>
      </w:r>
      <w:r>
        <w:rPr>
          <w:rFonts w:hint="eastAsia" w:ascii="仿宋_GB2312" w:hAnsi="仿宋" w:eastAsia="仿宋_GB2312" w:cs="仿宋_GB2312"/>
          <w:sz w:val="24"/>
        </w:rPr>
        <w:t>4对未通过资格审查的投标人，采购人或采购机构告知其未通过的原因。</w:t>
      </w:r>
    </w:p>
    <w:p>
      <w:pPr>
        <w:adjustRightIn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Arial"/>
          <w:kern w:val="0"/>
          <w:sz w:val="24"/>
          <w:szCs w:val="24"/>
        </w:rPr>
        <w:t>19.</w:t>
      </w:r>
      <w:r>
        <w:rPr>
          <w:rFonts w:hint="eastAsia" w:ascii="仿宋_GB2312" w:hAnsi="仿宋" w:eastAsia="仿宋_GB2312" w:cs="仿宋_GB2312"/>
          <w:sz w:val="24"/>
        </w:rPr>
        <w:t>5合格投标人不足3家的，不再评标。</w:t>
      </w:r>
    </w:p>
    <w:p>
      <w:pPr>
        <w:adjustRightInd w:val="0"/>
        <w:spacing w:after="120"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20、信用信息查询</w:t>
      </w:r>
    </w:p>
    <w:p>
      <w:pPr>
        <w:adjustRightInd w:val="0"/>
        <w:spacing w:after="120" w:line="360" w:lineRule="auto"/>
        <w:ind w:firstLine="495"/>
        <w:rPr>
          <w:rFonts w:ascii="仿宋_GB2312" w:hAnsi="仿宋" w:eastAsia="仿宋_GB2312" w:cs="Arial"/>
          <w:kern w:val="0"/>
          <w:sz w:val="24"/>
          <w:szCs w:val="24"/>
        </w:rPr>
      </w:pPr>
      <w:r>
        <w:rPr>
          <w:rFonts w:hint="eastAsia" w:ascii="仿宋_GB2312" w:hAnsi="仿宋" w:eastAsia="仿宋_GB2312" w:cs="Arial"/>
          <w:kern w:val="0"/>
          <w:sz w:val="24"/>
          <w:szCs w:val="24"/>
        </w:rPr>
        <w:t>20.1信用信息查询渠道及截止时间：采购机构将通过“信用中国”网站(www.creditchina.gov.cn)、中国政府采购网(www.ccgp.gov.cn)渠道查询投标人投标截止时间当天的信用记录。</w:t>
      </w:r>
    </w:p>
    <w:p>
      <w:pPr>
        <w:adjustRightInd w:val="0"/>
        <w:spacing w:after="120" w:line="360" w:lineRule="auto"/>
        <w:ind w:firstLine="495"/>
        <w:rPr>
          <w:rFonts w:ascii="仿宋_GB2312" w:hAnsi="仿宋" w:eastAsia="仿宋_GB2312" w:cs="Arial"/>
          <w:kern w:val="0"/>
          <w:sz w:val="24"/>
          <w:szCs w:val="24"/>
        </w:rPr>
      </w:pPr>
      <w:r>
        <w:rPr>
          <w:rFonts w:hint="eastAsia" w:ascii="仿宋_GB2312" w:hAnsi="仿宋" w:eastAsia="仿宋_GB2312" w:cs="Arial"/>
          <w:kern w:val="0"/>
          <w:sz w:val="24"/>
          <w:szCs w:val="24"/>
        </w:rPr>
        <w:t>20.2信用信息查询记录和证据留存的具体方式：现场查询的投标人的信用记录、查询结果经确认后将与采购文件一起存档。</w:t>
      </w:r>
    </w:p>
    <w:p>
      <w:pPr>
        <w:adjustRightInd w:val="0"/>
        <w:spacing w:after="120" w:line="360" w:lineRule="auto"/>
        <w:ind w:firstLine="495"/>
        <w:rPr>
          <w:rFonts w:ascii="仿宋_GB2312" w:hAnsi="仿宋" w:eastAsia="仿宋_GB2312" w:cs="Arial"/>
          <w:kern w:val="0"/>
          <w:sz w:val="24"/>
          <w:szCs w:val="24"/>
        </w:rPr>
      </w:pPr>
      <w:r>
        <w:rPr>
          <w:rFonts w:hint="eastAsia" w:ascii="仿宋_GB2312" w:hAnsi="仿宋" w:eastAsia="仿宋_GB2312" w:cs="Arial"/>
          <w:kern w:val="0"/>
          <w:sz w:val="24"/>
          <w:szCs w:val="24"/>
        </w:rPr>
        <w:t>20.3信用信息的使用规则：经查询列入失信被执行人名单、重大税收违法案件当事人名单、政府采购严重违法失信行为记录名单的投标人将被拒绝参与政府采购活动。</w:t>
      </w:r>
    </w:p>
    <w:p>
      <w:pPr>
        <w:adjustRightIn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Arial"/>
          <w:kern w:val="0"/>
          <w:sz w:val="24"/>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sz w:val="24"/>
        </w:rPr>
        <w:t>。</w:t>
      </w:r>
    </w:p>
    <w:p>
      <w:pPr>
        <w:adjustRightInd w:val="0"/>
        <w:spacing w:after="120" w:line="360" w:lineRule="auto"/>
        <w:rPr>
          <w:rFonts w:ascii="仿宋_GB2312" w:hAnsi="仿宋" w:eastAsia="仿宋_GB2312" w:cs="Arial"/>
          <w:kern w:val="0"/>
          <w:sz w:val="24"/>
          <w:szCs w:val="24"/>
        </w:rPr>
      </w:pPr>
    </w:p>
    <w:p>
      <w:pPr>
        <w:adjustRightInd w:val="0"/>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五、评标</w:t>
      </w:r>
    </w:p>
    <w:p>
      <w:pPr>
        <w:adjustRightInd w:val="0"/>
        <w:spacing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21.</w:t>
      </w:r>
      <w:r>
        <w:rPr>
          <w:rFonts w:hint="eastAsia" w:ascii="仿宋_GB2312" w:hAnsi="仿宋" w:eastAsia="仿宋_GB2312" w:cs="Times New Roman"/>
          <w:szCs w:val="24"/>
        </w:rPr>
        <w:t xml:space="preserve"> </w:t>
      </w:r>
      <w:r>
        <w:rPr>
          <w:rFonts w:hint="eastAsia" w:ascii="仿宋_GB2312" w:hAnsi="仿宋" w:eastAsia="仿宋_GB2312" w:cs="仿宋_GB2312"/>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sz w:val="24"/>
          <w:szCs w:val="24"/>
        </w:rPr>
        <w:t>详见招标文件第四部分“评标方法及评分标准”</w:t>
      </w:r>
    </w:p>
    <w:p>
      <w:pPr>
        <w:adjustRightInd w:val="0"/>
        <w:spacing w:line="360" w:lineRule="auto"/>
        <w:rPr>
          <w:rFonts w:ascii="仿宋_GB2312" w:hAnsi="仿宋" w:eastAsia="仿宋_GB2312" w:cs="仿宋_GB2312"/>
          <w:b/>
          <w:sz w:val="24"/>
          <w:szCs w:val="24"/>
        </w:rPr>
      </w:pPr>
    </w:p>
    <w:p>
      <w:pPr>
        <w:adjustRightInd w:val="0"/>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六、定 标</w:t>
      </w:r>
    </w:p>
    <w:p>
      <w:pPr>
        <w:adjustRightInd w:val="0"/>
        <w:spacing w:after="120"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22. 确定中标供应商</w:t>
      </w:r>
    </w:p>
    <w:p>
      <w:pPr>
        <w:adjustRightInd w:val="0"/>
        <w:snapToGrid w:val="0"/>
        <w:spacing w:after="120" w:line="360" w:lineRule="auto"/>
        <w:ind w:firstLine="480" w:firstLineChars="200"/>
        <w:rPr>
          <w:rFonts w:ascii="仿宋_GB2312" w:hAnsi="仿宋" w:eastAsia="仿宋_GB2312" w:cs="仿宋_GB2312"/>
          <w:b/>
          <w:sz w:val="24"/>
          <w:szCs w:val="24"/>
        </w:rPr>
      </w:pPr>
      <w:r>
        <w:rPr>
          <w:rFonts w:hint="eastAsia" w:ascii="仿宋_GB2312" w:hAnsi="仿宋" w:eastAsia="仿宋_GB2312" w:cs="仿宋_GB2312"/>
          <w:sz w:val="24"/>
          <w:szCs w:val="24"/>
        </w:rPr>
        <w:t>采购人将自收到评审报告之日起5个工作日内通过电子交易平台在评审报告推荐的中标候选人中按顺序确定中标供应商。</w:t>
      </w:r>
    </w:p>
    <w:p>
      <w:pPr>
        <w:adjustRightInd w:val="0"/>
        <w:snapToGrid w:val="0"/>
        <w:spacing w:after="120"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23. 中标通知与中标结果公告</w:t>
      </w:r>
    </w:p>
    <w:p>
      <w:pPr>
        <w:widowControl/>
        <w:shd w:val="clear" w:color="auto" w:fill="FFFFFF"/>
        <w:adjustRightInd w:val="0"/>
        <w:spacing w:line="360" w:lineRule="auto"/>
        <w:ind w:firstLine="480"/>
        <w:jc w:val="left"/>
        <w:rPr>
          <w:rFonts w:ascii="仿宋_GB2312" w:hAnsi="仿宋" w:eastAsia="仿宋_GB2312" w:cs="仿宋_GB2312"/>
          <w:sz w:val="24"/>
          <w:szCs w:val="24"/>
        </w:rPr>
      </w:pPr>
      <w:r>
        <w:rPr>
          <w:rFonts w:hint="eastAsia" w:ascii="仿宋_GB2312" w:hAnsi="仿宋" w:eastAsia="仿宋_GB2312" w:cs="仿宋_GB2312"/>
          <w:sz w:val="24"/>
          <w:szCs w:val="24"/>
        </w:rPr>
        <w:t>23.1自中标人确定之日起2个工作日内，采购机构通过电子交易平台向中标人发出中标通知书，向未中标人发出中标结果通知书，同时编制发布采购结果公告。采购机构也可以以纸质形式进行中标通知。</w:t>
      </w:r>
    </w:p>
    <w:p>
      <w:pPr>
        <w:widowControl/>
        <w:shd w:val="clear" w:color="auto" w:fill="FFFFFF"/>
        <w:adjustRightInd w:val="0"/>
        <w:spacing w:line="360" w:lineRule="auto"/>
        <w:ind w:firstLine="480"/>
        <w:jc w:val="left"/>
        <w:rPr>
          <w:rFonts w:ascii="仿宋_GB2312" w:hAnsi="仿宋" w:eastAsia="仿宋_GB2312" w:cs="仿宋_GB2312"/>
          <w:sz w:val="24"/>
          <w:szCs w:val="24"/>
        </w:rPr>
      </w:pPr>
      <w:r>
        <w:rPr>
          <w:rFonts w:hint="eastAsia" w:ascii="仿宋_GB2312" w:hAnsi="仿宋" w:eastAsia="仿宋_GB2312" w:cs="仿宋_GB2312"/>
          <w:sz w:val="24"/>
          <w:szCs w:val="24"/>
        </w:rPr>
        <w:t>23.2中标结果公告内容包括采购人及其委托的采购机构的名称、地址、联系方式，项目名称和项目编号，中标人名称、地址和中标金额，主要中标标的的名称、规格型号、数量、单价、服务要求，中标公告期限以及评审专家名单，评分汇总及明细。</w:t>
      </w:r>
    </w:p>
    <w:p>
      <w:pPr>
        <w:widowControl/>
        <w:shd w:val="clear" w:color="auto" w:fill="FFFFFF"/>
        <w:adjustRightInd w:val="0"/>
        <w:spacing w:line="360" w:lineRule="auto"/>
        <w:ind w:firstLine="480"/>
        <w:jc w:val="left"/>
        <w:rPr>
          <w:rFonts w:ascii="仿宋_GB2312" w:hAnsi="仿宋" w:eastAsia="仿宋_GB2312" w:cs="仿宋_GB2312"/>
          <w:sz w:val="24"/>
          <w:szCs w:val="24"/>
        </w:rPr>
      </w:pPr>
      <w:r>
        <w:rPr>
          <w:rFonts w:hint="eastAsia" w:ascii="仿宋_GB2312" w:hAnsi="仿宋" w:eastAsia="仿宋_GB2312" w:cs="仿宋_GB2312"/>
          <w:sz w:val="24"/>
          <w:szCs w:val="24"/>
        </w:rPr>
        <w:t>23.3公告期限为1个工作日。</w:t>
      </w: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r>
        <w:rPr>
          <w:rFonts w:hint="eastAsia" w:ascii="仿宋_GB2312" w:hAnsi="仿宋" w:eastAsia="仿宋_GB2312" w:cs="仿宋_GB2312"/>
          <w:b/>
          <w:sz w:val="32"/>
          <w:szCs w:val="24"/>
        </w:rPr>
        <w:t>七、合同</w:t>
      </w:r>
    </w:p>
    <w:p>
      <w:pPr>
        <w:adjustRightInd w:val="0"/>
        <w:spacing w:after="120"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 xml:space="preserve">24. </w:t>
      </w:r>
      <w:r>
        <w:rPr>
          <w:rFonts w:hint="eastAsia" w:ascii="仿宋_GB2312" w:hAnsi="仿宋" w:eastAsia="仿宋_GB2312" w:cs="仿宋_GB2312"/>
          <w:sz w:val="24"/>
          <w:szCs w:val="24"/>
        </w:rPr>
        <w:t>合同主要条款详见第五部分拟签订的合同文本。</w:t>
      </w:r>
    </w:p>
    <w:p>
      <w:pPr>
        <w:adjustRightInd w:val="0"/>
        <w:spacing w:after="120"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25. </w:t>
      </w:r>
      <w:r>
        <w:rPr>
          <w:rFonts w:hint="eastAsia" w:ascii="仿宋_GB2312" w:hAnsi="仿宋" w:eastAsia="仿宋_GB2312" w:cs="仿宋_GB2312"/>
          <w:b/>
          <w:sz w:val="24"/>
          <w:szCs w:val="24"/>
        </w:rPr>
        <w:t>合同的签订</w:t>
      </w:r>
    </w:p>
    <w:p>
      <w:pPr>
        <w:widowControl/>
        <w:shd w:val="clear" w:color="auto" w:fill="FFFFFF"/>
        <w:adjustRightInd w:val="0"/>
        <w:spacing w:line="360" w:lineRule="auto"/>
        <w:ind w:firstLine="480"/>
        <w:jc w:val="left"/>
        <w:rPr>
          <w:rFonts w:ascii="仿宋_GB2312" w:hAnsi="仿宋" w:eastAsia="仿宋_GB2312" w:cs="Arial"/>
          <w:kern w:val="0"/>
          <w:sz w:val="24"/>
          <w:szCs w:val="24"/>
        </w:rPr>
      </w:pPr>
      <w:r>
        <w:rPr>
          <w:rFonts w:hint="eastAsia" w:ascii="仿宋_GB2312" w:hAnsi="仿宋" w:eastAsia="仿宋_GB2312" w:cs="仿宋_GB2312"/>
          <w:sz w:val="24"/>
          <w:szCs w:val="24"/>
        </w:rPr>
        <w:t>25.1</w:t>
      </w:r>
      <w:r>
        <w:rPr>
          <w:rFonts w:hint="eastAsia" w:ascii="仿宋_GB2312" w:hAnsi="仿宋" w:eastAsia="仿宋_GB2312" w:cs="Arial"/>
          <w:kern w:val="0"/>
          <w:sz w:val="24"/>
          <w:szCs w:val="24"/>
        </w:rPr>
        <w:t xml:space="preserve"> 采购人与中标人应当通过电子交易平台在中标通知书发出之日起三十日内，按照招标文件确定的事项签订政府采购合同，并在规定时间内依法发布合同公告。</w:t>
      </w:r>
    </w:p>
    <w:p>
      <w:pPr>
        <w:adjustRightInd w:val="0"/>
        <w:snapToGrid w:val="0"/>
        <w:spacing w:after="120" w:line="360" w:lineRule="auto"/>
        <w:ind w:firstLine="480" w:firstLineChars="200"/>
        <w:rPr>
          <w:rFonts w:ascii="仿宋_GB2312" w:hAnsi="仿宋" w:eastAsia="仿宋_GB2312"/>
          <w:kern w:val="0"/>
          <w:sz w:val="24"/>
        </w:rPr>
      </w:pPr>
      <w:r>
        <w:rPr>
          <w:rFonts w:hint="eastAsia" w:ascii="仿宋_GB2312" w:hAnsi="仿宋" w:eastAsia="仿宋_GB2312" w:cs="仿宋_GB2312"/>
          <w:kern w:val="0"/>
          <w:sz w:val="24"/>
          <w:lang w:val="zh-CN"/>
        </w:rPr>
        <w:t>25.2</w:t>
      </w:r>
      <w:r>
        <w:rPr>
          <w:rFonts w:hint="eastAsia" w:ascii="仿宋_GB2312" w:hAnsi="仿宋" w:eastAsia="仿宋_GB2312"/>
          <w:kern w:val="0"/>
          <w:sz w:val="24"/>
          <w:lang w:val="zh-CN"/>
        </w:rPr>
        <w:t>中标人按规定的日期、时间、地点，由法定代表人或其授权代表与采购人代表签订合同。如中标人为联合体的，由联合体成员各方法定代表人或其授权代表与采购人代表签订合同。</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25.3如签订合同并生效后，供应商无故拒绝或延期，除按照合同条款处理外，列入不良行为记录一次，并给予通报。</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25.4中标供应商拒绝与采购人签订合同的，采购人可以按照评审报告推荐的中标或者成交候选人名单排序，确定下一候选人为中标供应商，也可以重新开展政府采购活动。</w:t>
      </w:r>
    </w:p>
    <w:p>
      <w:pPr>
        <w:adjustRightInd w:val="0"/>
        <w:snapToGrid w:val="0"/>
        <w:spacing w:after="120" w:line="360" w:lineRule="auto"/>
        <w:ind w:firstLine="480" w:firstLineChars="200"/>
        <w:rPr>
          <w:rFonts w:ascii="仿宋_GB2312" w:hAnsi="仿宋" w:eastAsia="仿宋_GB2312" w:cs="仿宋_GB2312"/>
          <w:sz w:val="24"/>
        </w:rPr>
      </w:pPr>
      <w:r>
        <w:rPr>
          <w:rFonts w:ascii="仿宋_GB2312" w:hAnsi="仿宋" w:eastAsia="仿宋_GB2312" w:cs="仿宋_GB2312"/>
          <w:sz w:val="24"/>
        </w:rPr>
        <w:t>25.5采购合同由采购人与中标供应商根据</w:t>
      </w:r>
      <w:r>
        <w:rPr>
          <w:rFonts w:hint="eastAsia" w:ascii="仿宋_GB2312" w:hAnsi="仿宋" w:eastAsia="仿宋_GB2312" w:cs="仿宋_GB2312"/>
          <w:sz w:val="24"/>
        </w:rPr>
        <w:t>招标文件、投标文件等内容通过政府采购电子交易平台在线签订，自动备案。</w:t>
      </w:r>
    </w:p>
    <w:p>
      <w:pPr>
        <w:adjustRightInd w:val="0"/>
        <w:spacing w:after="120"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26. </w:t>
      </w:r>
      <w:r>
        <w:rPr>
          <w:rFonts w:hint="eastAsia" w:ascii="仿宋_GB2312" w:hAnsi="仿宋" w:eastAsia="仿宋_GB2312" w:cs="仿宋_GB2312"/>
          <w:b/>
          <w:sz w:val="24"/>
          <w:szCs w:val="24"/>
        </w:rPr>
        <w:t>履约保证金</w:t>
      </w:r>
    </w:p>
    <w:p>
      <w:pPr>
        <w:tabs>
          <w:tab w:val="left" w:pos="0"/>
        </w:tabs>
        <w:adjustRightInd w:val="0"/>
        <w:spacing w:line="360" w:lineRule="auto"/>
        <w:ind w:firstLine="480"/>
        <w:rPr>
          <w:rFonts w:ascii="仿宋_GB2312" w:hAnsi="仿宋" w:eastAsia="仿宋_GB2312" w:cs="Times New Roman"/>
          <w:sz w:val="24"/>
          <w:szCs w:val="24"/>
        </w:rPr>
      </w:pPr>
      <w:r>
        <w:rPr>
          <w:rFonts w:hint="eastAsia" w:ascii="仿宋_GB2312" w:hAnsi="仿宋" w:eastAsia="仿宋_GB2312" w:cs="Helvetica"/>
          <w:kern w:val="0"/>
          <w:sz w:val="24"/>
          <w:szCs w:val="24"/>
        </w:rPr>
        <w:t>拟签订的合同文本要求中标供应商提交履约保证金的，供应商应当以支票、汇票、本票或者金融机构、担保机构出具的保函等非现金形式提交</w:t>
      </w:r>
      <w:r>
        <w:rPr>
          <w:rFonts w:hint="eastAsia" w:ascii="仿宋_GB2312" w:hAnsi="仿宋" w:eastAsia="仿宋_GB2312" w:cs="Times New Roman"/>
          <w:sz w:val="24"/>
          <w:szCs w:val="24"/>
        </w:rPr>
        <w:t>。履约保证金的数额不得超过政府采购合同金额的5%。</w:t>
      </w:r>
      <w:r>
        <w:rPr>
          <w:rFonts w:hint="eastAsia" w:ascii="仿宋_GB2312" w:hAnsi="仿宋" w:eastAsia="仿宋_GB2312" w:cs="Times New Roman"/>
          <w:b/>
          <w:sz w:val="24"/>
          <w:szCs w:val="24"/>
        </w:rPr>
        <w:t>采购人不得拒收履约保函。</w:t>
      </w:r>
    </w:p>
    <w:p>
      <w:pPr>
        <w:tabs>
          <w:tab w:val="left" w:pos="0"/>
        </w:tabs>
        <w:adjustRightInd w:val="0"/>
        <w:spacing w:line="360" w:lineRule="auto"/>
        <w:ind w:firstLine="480"/>
        <w:rPr>
          <w:rFonts w:ascii="仿宋_GB2312" w:hAnsi="仿宋" w:eastAsia="仿宋_GB2312" w:cs="Times New Roman"/>
          <w:sz w:val="24"/>
          <w:szCs w:val="24"/>
        </w:rPr>
      </w:pPr>
    </w:p>
    <w:p>
      <w:pPr>
        <w:adjustRightInd w:val="0"/>
        <w:snapToGrid w:val="0"/>
        <w:spacing w:line="360" w:lineRule="auto"/>
        <w:ind w:firstLine="3357" w:firstLineChars="1045"/>
        <w:rPr>
          <w:rFonts w:ascii="仿宋_GB2312" w:hAnsi="仿宋" w:eastAsia="仿宋_GB2312" w:cs="Times New Roman"/>
          <w:b/>
          <w:sz w:val="24"/>
          <w:szCs w:val="24"/>
        </w:rPr>
      </w:pPr>
      <w:r>
        <w:rPr>
          <w:rFonts w:hint="eastAsia" w:ascii="仿宋_GB2312" w:hAnsi="仿宋" w:eastAsia="仿宋_GB2312" w:cs="仿宋_GB2312"/>
          <w:b/>
          <w:sz w:val="32"/>
          <w:szCs w:val="24"/>
        </w:rPr>
        <w:t>八、电子交易活动的中止</w:t>
      </w:r>
    </w:p>
    <w:p>
      <w:pPr>
        <w:adjustRightInd w:val="0"/>
        <w:snapToGrid w:val="0"/>
        <w:spacing w:after="120" w:line="360" w:lineRule="auto"/>
        <w:rPr>
          <w:rFonts w:ascii="仿宋_GB2312" w:hAnsi="仿宋" w:eastAsia="仿宋_GB2312" w:cs="仿宋_GB2312"/>
          <w:sz w:val="24"/>
        </w:rPr>
      </w:pPr>
      <w:r>
        <w:rPr>
          <w:rFonts w:hint="eastAsia" w:ascii="仿宋_GB2312" w:hAnsi="仿宋" w:eastAsia="仿宋_GB2312" w:cs="仿宋_GB2312"/>
          <w:b/>
          <w:sz w:val="24"/>
          <w:szCs w:val="24"/>
        </w:rPr>
        <w:t>27. 电子交易活动的中止。</w:t>
      </w:r>
      <w:r>
        <w:rPr>
          <w:rFonts w:hint="eastAsia" w:ascii="仿宋_GB2312" w:hAnsi="仿宋" w:eastAsia="仿宋_GB2312" w:cs="仿宋_GB2312"/>
          <w:sz w:val="24"/>
        </w:rPr>
        <w:t>采购过程中出现以下情形，导致电子交易平台无法正常运行，或者无法保证电子交易的公平、公正和安全时，采购机构可中止电子交易活动：</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 xml:space="preserve">27.1电子交易平台发生故障而无法登录访问的； </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27.2电子交易平台应用或数据库出现错误，不能进行正常操作的；</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27.3电子交易平台发现严重安全漏洞，有潜在泄密危险的；</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 xml:space="preserve">27.4病毒发作导致不能进行正常操作的； </w:t>
      </w:r>
    </w:p>
    <w:p>
      <w:pPr>
        <w:adjustRightInd w:val="0"/>
        <w:snapToGrid w:val="0"/>
        <w:spacing w:after="120"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27.5其他无法保证电子交易的公平、公正和安全的情况。</w:t>
      </w:r>
    </w:p>
    <w:p>
      <w:pPr>
        <w:adjustRightInd w:val="0"/>
        <w:snapToGrid w:val="0"/>
        <w:spacing w:after="120" w:line="360" w:lineRule="auto"/>
        <w:rPr>
          <w:rFonts w:ascii="仿宋_GB2312" w:hAnsi="仿宋" w:eastAsia="仿宋_GB2312" w:cs="仿宋_GB2312"/>
          <w:sz w:val="24"/>
        </w:rPr>
      </w:pPr>
      <w:r>
        <w:rPr>
          <w:rFonts w:hint="eastAsia" w:ascii="仿宋_GB2312" w:hAnsi="仿宋" w:eastAsia="仿宋_GB2312" w:cs="仿宋_GB2312"/>
          <w:sz w:val="24"/>
        </w:rPr>
        <w:t xml:space="preserve"> </w:t>
      </w:r>
      <w:r>
        <w:rPr>
          <w:rFonts w:hint="eastAsia" w:ascii="仿宋_GB2312" w:hAnsi="仿宋" w:eastAsia="仿宋_GB2312" w:cs="仿宋_GB2312"/>
          <w:b/>
          <w:sz w:val="24"/>
        </w:rPr>
        <w:t>28.</w:t>
      </w:r>
      <w:r>
        <w:rPr>
          <w:rFonts w:hint="eastAsia" w:ascii="仿宋_GB2312" w:hAnsi="仿宋" w:eastAsia="仿宋_GB2312" w:cs="仿宋_GB2312"/>
          <w:sz w:val="24"/>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adjustRightInd w:val="0"/>
        <w:spacing w:line="360" w:lineRule="auto"/>
        <w:ind w:firstLine="480"/>
        <w:rPr>
          <w:rFonts w:ascii="仿宋_GB2312" w:hAnsi="仿宋" w:eastAsia="仿宋_GB2312" w:cs="Times New Roman"/>
          <w:sz w:val="24"/>
          <w:szCs w:val="24"/>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r>
        <w:rPr>
          <w:rFonts w:hint="eastAsia" w:ascii="仿宋_GB2312" w:hAnsi="仿宋" w:eastAsia="仿宋_GB2312" w:cs="仿宋_GB2312"/>
          <w:b/>
          <w:sz w:val="32"/>
          <w:szCs w:val="24"/>
        </w:rPr>
        <w:t>九、验收</w:t>
      </w:r>
    </w:p>
    <w:p>
      <w:pPr>
        <w:adjustRightInd w:val="0"/>
        <w:spacing w:after="120" w:line="360" w:lineRule="auto"/>
        <w:rPr>
          <w:rFonts w:ascii="仿宋_GB2312" w:hAnsi="仿宋" w:eastAsia="仿宋_GB2312" w:cs="仿宋_GB2312"/>
          <w:b/>
          <w:sz w:val="24"/>
          <w:szCs w:val="24"/>
        </w:rPr>
      </w:pPr>
      <w:r>
        <w:rPr>
          <w:rFonts w:ascii="仿宋_GB2312" w:hAnsi="仿宋" w:eastAsia="仿宋_GB2312" w:cs="仿宋_GB2312"/>
          <w:b/>
          <w:sz w:val="24"/>
          <w:szCs w:val="24"/>
        </w:rPr>
        <w:t>29.验收</w:t>
      </w:r>
    </w:p>
    <w:p>
      <w:pPr>
        <w:tabs>
          <w:tab w:val="left" w:pos="0"/>
        </w:tabs>
        <w:adjustRightInd w:val="0"/>
        <w:spacing w:line="360" w:lineRule="auto"/>
        <w:ind w:firstLine="480"/>
        <w:rPr>
          <w:rFonts w:ascii="仿宋_GB2312" w:hAnsi="仿宋" w:eastAsia="仿宋_GB2312" w:cs="Helvetica"/>
          <w:kern w:val="0"/>
          <w:sz w:val="24"/>
          <w:szCs w:val="24"/>
        </w:rPr>
      </w:pPr>
      <w:r>
        <w:rPr>
          <w:rFonts w:hint="eastAsia" w:ascii="仿宋_GB2312" w:hAnsi="仿宋" w:eastAsia="仿宋_GB2312" w:cs="Helvetica"/>
          <w:kern w:val="0"/>
          <w:sz w:val="24"/>
          <w:szCs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adjustRightInd w:val="0"/>
        <w:spacing w:line="360" w:lineRule="auto"/>
        <w:ind w:firstLine="480"/>
        <w:rPr>
          <w:rFonts w:ascii="仿宋_GB2312" w:hAnsi="仿宋" w:eastAsia="仿宋_GB2312" w:cs="Helvetica"/>
          <w:kern w:val="0"/>
          <w:sz w:val="24"/>
          <w:szCs w:val="24"/>
        </w:rPr>
      </w:pPr>
      <w:r>
        <w:rPr>
          <w:rFonts w:hint="eastAsia" w:ascii="仿宋_GB2312" w:hAnsi="仿宋" w:eastAsia="仿宋_GB2312" w:cs="Helvetica"/>
          <w:kern w:val="0"/>
          <w:sz w:val="24"/>
          <w:szCs w:val="24"/>
        </w:rPr>
        <w:t>29.2采购人可以邀请参加本项目的其他投标人或者第三方机构参与验收。参与验收的投标人或者第三方机构的意见作为验收书的参考资料一并存档。</w:t>
      </w:r>
    </w:p>
    <w:p>
      <w:pPr>
        <w:tabs>
          <w:tab w:val="left" w:pos="0"/>
        </w:tabs>
        <w:adjustRightInd w:val="0"/>
        <w:spacing w:line="360" w:lineRule="auto"/>
        <w:ind w:firstLine="480"/>
        <w:rPr>
          <w:rFonts w:ascii="仿宋_GB2312" w:hAnsi="仿宋" w:eastAsia="仿宋_GB2312" w:cs="Helvetica"/>
          <w:kern w:val="0"/>
          <w:sz w:val="24"/>
          <w:szCs w:val="24"/>
        </w:rPr>
      </w:pPr>
      <w:r>
        <w:rPr>
          <w:rFonts w:hint="eastAsia" w:ascii="仿宋_GB2312" w:hAnsi="仿宋" w:eastAsia="仿宋_GB2312" w:cs="Helvetica"/>
          <w:kern w:val="0"/>
          <w:sz w:val="24"/>
          <w:szCs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adjustRightInd w:val="0"/>
        <w:spacing w:line="360" w:lineRule="auto"/>
        <w:ind w:firstLine="480"/>
        <w:rPr>
          <w:rFonts w:ascii="仿宋_GB2312" w:hAnsi="仿宋" w:eastAsia="仿宋_GB2312" w:cs="仿宋_GB2312"/>
          <w:sz w:val="18"/>
          <w:szCs w:val="18"/>
        </w:rPr>
      </w:pPr>
      <w:r>
        <w:rPr>
          <w:rFonts w:hint="eastAsia" w:ascii="仿宋_GB2312" w:hAnsi="仿宋" w:eastAsia="仿宋_GB2312" w:cs="Helvetica"/>
          <w:kern w:val="0"/>
          <w:sz w:val="24"/>
          <w:szCs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9"/>
    <w:p>
      <w:pPr>
        <w:spacing w:line="360" w:lineRule="auto"/>
        <w:jc w:val="center"/>
        <w:rPr>
          <w:rFonts w:ascii="仿宋_GB2312" w:hAnsi="仿宋" w:eastAsia="仿宋_GB2312" w:cs="仿宋_GB2312"/>
          <w:b/>
          <w:sz w:val="32"/>
          <w:szCs w:val="32"/>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bookmarkStart w:id="10" w:name="_Hlt75236101"/>
      <w:bookmarkEnd w:id="10"/>
      <w:bookmarkStart w:id="11" w:name="_Hlt68057669"/>
      <w:bookmarkEnd w:id="11"/>
      <w:bookmarkStart w:id="12" w:name="_Hlt74707468"/>
      <w:bookmarkEnd w:id="12"/>
      <w:bookmarkStart w:id="13" w:name="_Hlt68072998"/>
      <w:bookmarkEnd w:id="13"/>
      <w:bookmarkStart w:id="14" w:name="_Hlt74714665"/>
      <w:bookmarkEnd w:id="14"/>
      <w:bookmarkStart w:id="15" w:name="_Hlt74730295"/>
      <w:bookmarkEnd w:id="15"/>
      <w:bookmarkStart w:id="16" w:name="_Hlt75236011"/>
      <w:bookmarkEnd w:id="16"/>
      <w:bookmarkStart w:id="17" w:name="_Hlt68073093"/>
      <w:bookmarkEnd w:id="17"/>
      <w:bookmarkStart w:id="18" w:name="_Hlt68072990"/>
      <w:bookmarkEnd w:id="18"/>
      <w:bookmarkStart w:id="19" w:name="_Hlt74729768"/>
      <w:bookmarkEnd w:id="19"/>
      <w:bookmarkStart w:id="20" w:name="_Hlt75236290"/>
      <w:bookmarkEnd w:id="20"/>
      <w:bookmarkStart w:id="21" w:name="_Hlt68403820"/>
      <w:bookmarkEnd w:id="21"/>
      <w:bookmarkStart w:id="22" w:name="_Toc164416483"/>
      <w:bookmarkStart w:id="23" w:name="第三部分"/>
    </w:p>
    <w:bookmarkEnd w:id="22"/>
    <w:bookmarkEnd w:id="23"/>
    <w:p>
      <w:pPr>
        <w:adjustRightInd w:val="0"/>
        <w:spacing w:line="360" w:lineRule="auto"/>
        <w:jc w:val="center"/>
        <w:outlineLvl w:val="0"/>
        <w:rPr>
          <w:rFonts w:ascii="仿宋_GB2312" w:hAnsi="仿宋" w:eastAsia="仿宋_GB2312" w:cs="仿宋_GB2312"/>
          <w:b/>
          <w:sz w:val="36"/>
          <w:szCs w:val="36"/>
        </w:rPr>
      </w:pPr>
      <w:bookmarkStart w:id="24" w:name="第四部分"/>
      <w:r>
        <w:rPr>
          <w:rFonts w:hint="eastAsia" w:ascii="仿宋_GB2312" w:hAnsi="仿宋" w:eastAsia="仿宋_GB2312" w:cs="仿宋_GB2312"/>
          <w:b/>
          <w:sz w:val="36"/>
          <w:szCs w:val="36"/>
        </w:rPr>
        <w:t>第三部分   采购需求</w:t>
      </w:r>
    </w:p>
    <w:p>
      <w:pPr>
        <w:pageBreakBefore w:val="0"/>
        <w:widowControl w:val="0"/>
        <w:kinsoku/>
        <w:wordWrap/>
        <w:overflowPunct/>
        <w:topLinePunct w:val="0"/>
        <w:bidi w:val="0"/>
        <w:snapToGrid/>
        <w:spacing w:before="120" w:beforeLines="50" w:after="120" w:afterLines="50" w:line="360" w:lineRule="exact"/>
        <w:jc w:val="left"/>
        <w:textAlignment w:val="auto"/>
        <w:outlineLvl w:val="1"/>
        <w:rPr>
          <w:rFonts w:hint="eastAsia" w:ascii="仿宋_GB2312" w:hAnsi="仿宋_GB2312" w:eastAsia="仿宋_GB2312" w:cs="仿宋_GB2312"/>
          <w:sz w:val="24"/>
        </w:rPr>
      </w:pPr>
      <w:r>
        <w:rPr>
          <w:rFonts w:hint="eastAsia" w:ascii="仿宋_GB2312" w:hAnsi="仿宋_GB2312" w:eastAsia="仿宋_GB2312" w:cs="仿宋_GB2312"/>
          <w:sz w:val="24"/>
        </w:rPr>
        <w:t>属于实质性要求条款的，已用符号“▲”标明，否则属于非实质性要求。</w:t>
      </w:r>
      <w:bookmarkStart w:id="25" w:name="_Toc12118"/>
      <w:bookmarkStart w:id="26" w:name="_Toc13619"/>
      <w:bookmarkStart w:id="27" w:name="_Toc4061"/>
      <w:bookmarkStart w:id="28" w:name="_Toc76630560"/>
      <w:bookmarkStart w:id="29" w:name="_Toc27018"/>
      <w:bookmarkStart w:id="30" w:name="_Toc8984"/>
      <w:bookmarkStart w:id="31" w:name="_Toc16659"/>
      <w:bookmarkStart w:id="32" w:name="_Toc81552810"/>
    </w:p>
    <w:p>
      <w:pPr>
        <w:pageBreakBefore w:val="0"/>
        <w:widowControl w:val="0"/>
        <w:kinsoku/>
        <w:wordWrap/>
        <w:overflowPunct/>
        <w:topLinePunct w:val="0"/>
        <w:bidi w:val="0"/>
        <w:snapToGrid/>
        <w:spacing w:before="120" w:beforeLines="50" w:after="120" w:afterLines="50" w:line="360" w:lineRule="exact"/>
        <w:jc w:val="left"/>
        <w:textAlignment w:val="auto"/>
        <w:outlineLvl w:val="1"/>
        <w:rPr>
          <w:rFonts w:hint="eastAsia" w:ascii="仿宋_GB2312" w:hAnsi="仿宋_GB2312" w:eastAsia="仿宋_GB2312" w:cs="仿宋_GB2312"/>
          <w:b/>
          <w:bCs/>
          <w:kern w:val="2"/>
          <w:sz w:val="24"/>
          <w:szCs w:val="24"/>
          <w:lang w:val="zh-CN" w:eastAsia="zh-CN" w:bidi="ar-SA"/>
        </w:rPr>
      </w:pPr>
      <w:r>
        <w:rPr>
          <w:rFonts w:hint="eastAsia" w:ascii="仿宋_GB2312" w:hAnsi="仿宋_GB2312" w:eastAsia="仿宋_GB2312" w:cs="仿宋_GB2312"/>
          <w:b/>
          <w:bCs/>
          <w:kern w:val="2"/>
          <w:sz w:val="24"/>
          <w:szCs w:val="24"/>
          <w:lang w:val="en-US" w:eastAsia="zh-CN" w:bidi="ar-SA"/>
        </w:rPr>
        <w:t>1.</w:t>
      </w:r>
      <w:r>
        <w:rPr>
          <w:rFonts w:hint="eastAsia" w:ascii="仿宋_GB2312" w:hAnsi="仿宋_GB2312" w:eastAsia="仿宋_GB2312" w:cs="仿宋_GB2312"/>
          <w:b/>
          <w:bCs/>
          <w:kern w:val="2"/>
          <w:sz w:val="24"/>
          <w:szCs w:val="24"/>
          <w:lang w:val="zh-CN" w:eastAsia="zh-CN" w:bidi="ar-SA"/>
        </w:rPr>
        <w:t>项目</w:t>
      </w:r>
      <w:bookmarkEnd w:id="25"/>
      <w:bookmarkEnd w:id="26"/>
      <w:bookmarkEnd w:id="27"/>
      <w:bookmarkEnd w:id="28"/>
      <w:bookmarkEnd w:id="29"/>
      <w:bookmarkEnd w:id="30"/>
      <w:bookmarkEnd w:id="31"/>
      <w:r>
        <w:rPr>
          <w:rFonts w:hint="eastAsia" w:ascii="仿宋_GB2312" w:hAnsi="仿宋_GB2312" w:eastAsia="仿宋_GB2312" w:cs="仿宋_GB2312"/>
          <w:b/>
          <w:bCs/>
          <w:kern w:val="2"/>
          <w:sz w:val="24"/>
          <w:szCs w:val="24"/>
          <w:lang w:val="zh-CN" w:eastAsia="zh-CN" w:bidi="ar-SA"/>
        </w:rPr>
        <w:t>概述</w:t>
      </w:r>
      <w:bookmarkEnd w:id="32"/>
    </w:p>
    <w:p>
      <w:pPr>
        <w:pStyle w:val="4"/>
        <w:pageBreakBefore w:val="0"/>
        <w:widowControl w:val="0"/>
        <w:numPr>
          <w:ilvl w:val="0"/>
          <w:numId w:val="0"/>
        </w:numPr>
        <w:kinsoku/>
        <w:wordWrap/>
        <w:overflowPunct/>
        <w:topLinePunct w:val="0"/>
        <w:bidi w:val="0"/>
        <w:snapToGrid/>
        <w:spacing w:line="360" w:lineRule="exact"/>
        <w:ind w:leftChars="0"/>
        <w:textAlignment w:val="auto"/>
        <w:rPr>
          <w:rFonts w:hint="eastAsia" w:ascii="仿宋_GB2312" w:hAnsi="仿宋_GB2312" w:eastAsia="仿宋_GB2312" w:cs="仿宋_GB2312"/>
          <w:sz w:val="24"/>
          <w:szCs w:val="24"/>
        </w:rPr>
      </w:pPr>
      <w:bookmarkStart w:id="33" w:name="_Toc81552811"/>
      <w:bookmarkStart w:id="34" w:name="_Toc20484"/>
      <w:bookmarkStart w:id="35" w:name="_Toc5975"/>
      <w:bookmarkStart w:id="36" w:name="_Toc18935"/>
      <w:bookmarkStart w:id="37" w:name="_Toc16027"/>
      <w:bookmarkStart w:id="38" w:name="_Toc76630561"/>
      <w:r>
        <w:rPr>
          <w:rFonts w:hint="eastAsia" w:ascii="仿宋_GB2312" w:hAnsi="仿宋_GB2312" w:eastAsia="仿宋_GB2312" w:cs="仿宋_GB2312"/>
          <w:sz w:val="24"/>
          <w:szCs w:val="24"/>
          <w:lang w:val="en-US" w:eastAsia="zh-CN"/>
        </w:rPr>
        <w:t>1.1</w:t>
      </w:r>
      <w:r>
        <w:rPr>
          <w:rFonts w:hint="eastAsia" w:ascii="仿宋_GB2312" w:hAnsi="仿宋_GB2312" w:eastAsia="仿宋_GB2312" w:cs="仿宋_GB2312"/>
          <w:sz w:val="24"/>
          <w:szCs w:val="24"/>
        </w:rPr>
        <w:t>项目背景</w:t>
      </w:r>
      <w:bookmarkEnd w:id="33"/>
      <w:bookmarkEnd w:id="34"/>
      <w:bookmarkEnd w:id="35"/>
    </w:p>
    <w:p>
      <w:pPr>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化学工业是我国国民经济重要的支柱产业，伴随着我国经济的飞速发展，化工行业也得到了快速的发展：生产规模不断壮大、产量逐年提升。化工园区作为化工企业的主要聚集区，也是危险化学品生产、使用、储存、运输等各个环节的集中区域，区域内涉及大量的易燃易爆、有毒有害危化品，且构成重大危险源的数量众多，安全风险集中，一旦发生事故，易造成人员、财产的重大损失。</w:t>
      </w:r>
    </w:p>
    <w:p>
      <w:pPr>
        <w:pStyle w:val="2"/>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shd w:val="clear" w:color="auto" w:fill="FFFFFF"/>
        </w:rPr>
      </w:pPr>
      <w:r>
        <w:rPr>
          <w:rFonts w:hint="eastAsia" w:ascii="仿宋_GB2312" w:hAnsi="仿宋_GB2312" w:eastAsia="仿宋_GB2312" w:cs="仿宋_GB2312"/>
          <w:sz w:val="24"/>
          <w:szCs w:val="24"/>
          <w:shd w:val="clear" w:color="auto" w:fill="FFFFFF"/>
        </w:rPr>
        <w:t>近年来我国的化工产业得到了长足的发展，具体体现在化工园区的数量、体量都在快速壮大，据统计，目前全国化工园区已经达到了676家。化工园区或以化工为主的工业聚集区环境污染严重、安全事故频发等，导致经济损失和人身伤亡代价巨大，究其原因主要为应急能力建设滞后，突发事件处置混乱，缺乏科学应对机制等。</w:t>
      </w:r>
    </w:p>
    <w:p>
      <w:pPr>
        <w:pStyle w:val="2"/>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shd w:val="clear" w:color="auto" w:fill="FFFFFF"/>
        </w:rPr>
      </w:pPr>
      <w:r>
        <w:rPr>
          <w:rFonts w:hint="eastAsia" w:ascii="仿宋_GB2312" w:hAnsi="仿宋_GB2312" w:eastAsia="仿宋_GB2312" w:cs="仿宋_GB2312"/>
          <w:sz w:val="24"/>
          <w:szCs w:val="24"/>
          <w:shd w:val="clear" w:color="auto" w:fill="FFFFFF"/>
        </w:rPr>
        <w:t>2020年，由中国石油和化学工业联合会化工园区工作委员会牵头启动《智慧化工园区建设指南》于10月11日发布。</w:t>
      </w:r>
    </w:p>
    <w:p>
      <w:pPr>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综合研究各地化工园区认定标准，以及园区管理工作实际，充分运用云计算、大数据、物联网、地理信息系统等信息技术，全面整合园区信息化资源，建成集安全、环保、应急、能源、封闭为一体的综合管理平台，打造化工园区安全、环保、应急一体化管理体系，全面提升园区基础设施建设和专业化管理水平，是智慧化工园区建设趋势。</w:t>
      </w:r>
    </w:p>
    <w:p>
      <w:pPr>
        <w:pStyle w:val="2"/>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shd w:val="clear" w:color="auto" w:fill="FFFFFF"/>
        </w:rPr>
      </w:pPr>
      <w:r>
        <w:rPr>
          <w:rFonts w:hint="eastAsia" w:ascii="仿宋_GB2312" w:hAnsi="仿宋_GB2312" w:eastAsia="仿宋_GB2312" w:cs="仿宋_GB2312"/>
          <w:sz w:val="24"/>
          <w:szCs w:val="24"/>
          <w:shd w:val="clear" w:color="auto" w:fill="FFFFFF"/>
        </w:rPr>
        <w:t>2021年，</w:t>
      </w:r>
      <w:r>
        <w:rPr>
          <w:rFonts w:hint="eastAsia" w:ascii="仿宋_GB2312" w:hAnsi="仿宋_GB2312" w:eastAsia="仿宋_GB2312" w:cs="仿宋_GB2312"/>
          <w:sz w:val="24"/>
          <w:szCs w:val="24"/>
        </w:rPr>
        <w:t>为贯彻落实省委、省政府关于数字化改革的重要决策部署，</w:t>
      </w:r>
      <w:r>
        <w:rPr>
          <w:rFonts w:hint="eastAsia" w:ascii="仿宋_GB2312" w:hAnsi="仿宋_GB2312" w:eastAsia="仿宋_GB2312" w:cs="仿宋_GB2312"/>
          <w:sz w:val="24"/>
          <w:szCs w:val="24"/>
          <w:shd w:val="clear" w:color="auto" w:fill="FFFFFF"/>
        </w:rPr>
        <w:t>浙江省经信厅发布《关于推进全省化工园区（集聚区）数字化建设工作的通知》提出：全面推进全省 52 家化工园区（集聚区）数字化平台建设工作，化工园区智慧化数字化平台涵盖园区画像、安全监管、应急指挥、环境监管、封闭管理、能源监管等核心应用。化工园区（集聚区）智慧化数字化平台将作为重要应用场景纳入化工产大脑建设范畴，向化工产业大脑输送各类管理运营数据，为产业大脑建设奠定良好基础。同时要求：</w:t>
      </w:r>
    </w:p>
    <w:p>
      <w:pPr>
        <w:pStyle w:val="2"/>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shd w:val="clear" w:color="auto" w:fill="FFFFFF"/>
        </w:rPr>
      </w:pPr>
      <w:r>
        <w:rPr>
          <w:rFonts w:hint="eastAsia" w:ascii="仿宋_GB2312" w:hAnsi="仿宋_GB2312" w:eastAsia="仿宋_GB2312" w:cs="仿宋_GB2312"/>
          <w:sz w:val="24"/>
          <w:szCs w:val="24"/>
          <w:shd w:val="clear" w:color="auto" w:fill="FFFFFF"/>
        </w:rPr>
        <w:t>2021年6月底，至少5家先行示范园区为试点，开展化工产业大脑建设，同步开展先行示范园区外的化工园区（集聚区）数字化平台建设，力争完成50%以上的目标任务；</w:t>
      </w:r>
    </w:p>
    <w:p>
      <w:pPr>
        <w:pStyle w:val="2"/>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shd w:val="clear" w:color="auto" w:fill="FFFFFF"/>
        </w:rPr>
      </w:pPr>
      <w:r>
        <w:rPr>
          <w:rFonts w:hint="eastAsia" w:ascii="仿宋_GB2312" w:hAnsi="仿宋_GB2312" w:eastAsia="仿宋_GB2312" w:cs="仿宋_GB2312"/>
          <w:sz w:val="24"/>
          <w:szCs w:val="24"/>
          <w:shd w:val="clear" w:color="auto" w:fill="FFFFFF"/>
        </w:rPr>
        <w:t>2021年12月底，完成80%以上化工园区（集聚区）数字化平台建设（或具备条件），至少50%以上化工园区（集聚区）接入化工产业大脑；</w:t>
      </w:r>
    </w:p>
    <w:p>
      <w:pPr>
        <w:pStyle w:val="2"/>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shd w:val="clear" w:color="auto" w:fill="FFFFFF"/>
        </w:rPr>
      </w:pPr>
      <w:r>
        <w:rPr>
          <w:rFonts w:hint="eastAsia" w:ascii="仿宋_GB2312" w:hAnsi="仿宋_GB2312" w:eastAsia="仿宋_GB2312" w:cs="仿宋_GB2312"/>
          <w:sz w:val="24"/>
          <w:szCs w:val="24"/>
          <w:shd w:val="clear" w:color="auto" w:fill="FFFFFF"/>
        </w:rPr>
        <w:t>2022年上半年，完成52家化工园区（集聚区）数字化平台建设，年底前所有化工园区（集聚区）接入化工产业大脑。</w:t>
      </w:r>
      <w:bookmarkEnd w:id="36"/>
      <w:bookmarkEnd w:id="37"/>
      <w:bookmarkEnd w:id="38"/>
      <w:bookmarkStart w:id="39" w:name="_Toc2885"/>
      <w:bookmarkStart w:id="40" w:name="_Toc76630562"/>
      <w:bookmarkStart w:id="41" w:name="_Toc8959"/>
      <w:bookmarkStart w:id="42" w:name="_Toc81552812"/>
    </w:p>
    <w:p>
      <w:pPr>
        <w:pStyle w:val="2"/>
        <w:pageBreakBefore w:val="0"/>
        <w:widowControl w:val="0"/>
        <w:kinsoku/>
        <w:wordWrap/>
        <w:overflowPunct/>
        <w:topLinePunct w:val="0"/>
        <w:bidi w:val="0"/>
        <w:snapToGrid/>
        <w:spacing w:line="360" w:lineRule="exact"/>
        <w:textAlignment w:val="auto"/>
        <w:rPr>
          <w:rFonts w:hint="eastAsia" w:ascii="仿宋_GB2312" w:hAnsi="仿宋_GB2312" w:eastAsia="仿宋_GB2312" w:cs="仿宋_GB2312"/>
          <w:b/>
          <w:bCs/>
          <w:snapToGrid/>
          <w:kern w:val="2"/>
          <w:sz w:val="24"/>
          <w:szCs w:val="24"/>
          <w:lang w:val="zh-CN" w:eastAsia="zh-CN" w:bidi="ar-SA"/>
        </w:rPr>
      </w:pPr>
      <w:r>
        <w:rPr>
          <w:rFonts w:hint="eastAsia" w:ascii="仿宋_GB2312" w:hAnsi="仿宋_GB2312" w:eastAsia="仿宋_GB2312" w:cs="仿宋_GB2312"/>
          <w:b/>
          <w:bCs/>
          <w:snapToGrid/>
          <w:kern w:val="2"/>
          <w:sz w:val="24"/>
          <w:szCs w:val="24"/>
          <w:lang w:val="en-US" w:eastAsia="zh-CN" w:bidi="ar-SA"/>
        </w:rPr>
        <w:t>1.2</w:t>
      </w:r>
      <w:r>
        <w:rPr>
          <w:rFonts w:hint="eastAsia" w:ascii="仿宋_GB2312" w:hAnsi="仿宋_GB2312" w:eastAsia="仿宋_GB2312" w:cs="仿宋_GB2312"/>
          <w:b/>
          <w:bCs/>
          <w:snapToGrid/>
          <w:kern w:val="2"/>
          <w:sz w:val="24"/>
          <w:szCs w:val="24"/>
          <w:lang w:val="zh-CN" w:eastAsia="zh-CN" w:bidi="ar-SA"/>
        </w:rPr>
        <w:t>园区简介</w:t>
      </w:r>
      <w:bookmarkEnd w:id="39"/>
      <w:bookmarkEnd w:id="40"/>
      <w:bookmarkEnd w:id="41"/>
      <w:bookmarkEnd w:id="42"/>
    </w:p>
    <w:p>
      <w:pPr>
        <w:pageBreakBefore w:val="0"/>
        <w:widowControl w:val="0"/>
        <w:kinsoku/>
        <w:wordWrap/>
        <w:overflowPunct/>
        <w:topLinePunct w:val="0"/>
        <w:bidi w:val="0"/>
        <w:snapToGrid/>
        <w:spacing w:line="360" w:lineRule="exact"/>
        <w:ind w:firstLine="48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天目医药港化工集聚区位于天目医药港产业区块，同时也属于玲珑工业功能区范围。天目医药港位于临安区东南部。四至范围：东起天目路、西至玲珑大道、北起吴越街、南至山体，规划范围17.76 平方公里（包括锦南新城区块11.8 平方公里和医药产业区块5.96 平方公里）。玲珑工业功能区规划面积20.38 平方公里。天目医药港与玲珑工业功能区两者重叠部分7.47 平方公里。天目医药港化工集聚区即设置在该重叠区</w:t>
      </w:r>
      <w:r>
        <w:rPr>
          <w:rFonts w:hint="eastAsia" w:ascii="仿宋_GB2312" w:hAnsi="仿宋_GB2312" w:eastAsia="仿宋_GB2312" w:cs="仿宋_GB2312"/>
          <w:sz w:val="24"/>
          <w:szCs w:val="24"/>
        </w:rPr>
        <w:drawing>
          <wp:anchor distT="0" distB="0" distL="0" distR="0" simplePos="0" relativeHeight="251660288" behindDoc="0" locked="0" layoutInCell="1" allowOverlap="1">
            <wp:simplePos x="0" y="0"/>
            <wp:positionH relativeFrom="column">
              <wp:posOffset>727710</wp:posOffset>
            </wp:positionH>
            <wp:positionV relativeFrom="paragraph">
              <wp:posOffset>293370</wp:posOffset>
            </wp:positionV>
            <wp:extent cx="4313555" cy="2950845"/>
            <wp:effectExtent l="0" t="0" r="10795" b="1905"/>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3"/>
                    <a:stretch>
                      <a:fillRect/>
                    </a:stretch>
                  </pic:blipFill>
                  <pic:spPr>
                    <a:xfrm>
                      <a:off x="0" y="0"/>
                      <a:ext cx="4328250" cy="2961407"/>
                    </a:xfrm>
                    <a:prstGeom prst="rect">
                      <a:avLst/>
                    </a:prstGeom>
                  </pic:spPr>
                </pic:pic>
              </a:graphicData>
            </a:graphic>
          </wp:anchor>
        </w:drawing>
      </w:r>
      <w:r>
        <w:rPr>
          <w:rFonts w:hint="eastAsia" w:ascii="仿宋_GB2312" w:hAnsi="仿宋_GB2312" w:eastAsia="仿宋_GB2312" w:cs="仿宋_GB2312"/>
          <w:sz w:val="24"/>
          <w:szCs w:val="24"/>
        </w:rPr>
        <w:t>域，规划面积1669.4 亩（全部为三类工业用地）。</w:t>
      </w:r>
    </w:p>
    <w:p>
      <w:pPr>
        <w:pageBreakBefore w:val="0"/>
        <w:widowControl w:val="0"/>
        <w:kinsoku/>
        <w:wordWrap/>
        <w:overflowPunct/>
        <w:topLinePunct w:val="0"/>
        <w:bidi w:val="0"/>
        <w:snapToGrid/>
        <w:spacing w:line="320" w:lineRule="exact"/>
        <w:ind w:firstLine="480"/>
        <w:jc w:val="center"/>
        <w:textAlignment w:val="auto"/>
        <w:rPr>
          <w:rFonts w:hint="eastAsia" w:ascii="仿宋_GB2312" w:hAnsi="仿宋_GB2312" w:eastAsia="仿宋_GB2312" w:cs="仿宋_GB2312"/>
          <w:sz w:val="24"/>
          <w:szCs w:val="24"/>
        </w:rPr>
      </w:pPr>
    </w:p>
    <w:p>
      <w:pPr>
        <w:pageBreakBefore w:val="0"/>
        <w:widowControl w:val="0"/>
        <w:kinsoku/>
        <w:wordWrap/>
        <w:overflowPunct/>
        <w:topLinePunct w:val="0"/>
        <w:bidi w:val="0"/>
        <w:snapToGrid/>
        <w:spacing w:line="320" w:lineRule="exact"/>
        <w:ind w:firstLine="480"/>
        <w:jc w:val="center"/>
        <w:textAlignment w:val="auto"/>
        <w:rPr>
          <w:rFonts w:hint="eastAsia"/>
          <w:lang w:eastAsia="zh-CN"/>
        </w:rPr>
      </w:pPr>
      <w:r>
        <w:rPr>
          <w:rFonts w:hint="eastAsia" w:ascii="仿宋_GB2312" w:hAnsi="仿宋_GB2312" w:eastAsia="仿宋_GB2312" w:cs="仿宋_GB2312"/>
          <w:sz w:val="24"/>
          <w:szCs w:val="24"/>
        </w:rPr>
        <w:t>图 天目医药港化工集聚区区</w:t>
      </w:r>
      <w:r>
        <w:rPr>
          <w:rFonts w:hint="eastAsia" w:ascii="仿宋_GB2312" w:hAnsi="仿宋_GB2312" w:eastAsia="仿宋_GB2312" w:cs="仿宋_GB2312"/>
          <w:sz w:val="24"/>
          <w:szCs w:val="24"/>
          <w:lang w:eastAsia="zh-CN"/>
        </w:rPr>
        <w:t>位置</w:t>
      </w:r>
    </w:p>
    <w:p>
      <w:pPr>
        <w:pStyle w:val="4"/>
        <w:pageBreakBefore w:val="0"/>
        <w:widowControl w:val="0"/>
        <w:numPr>
          <w:ilvl w:val="0"/>
          <w:numId w:val="0"/>
        </w:numPr>
        <w:kinsoku/>
        <w:wordWrap/>
        <w:overflowPunct/>
        <w:topLinePunct w:val="0"/>
        <w:bidi w:val="0"/>
        <w:snapToGrid/>
        <w:spacing w:line="320" w:lineRule="exact"/>
        <w:ind w:leftChars="0"/>
        <w:textAlignment w:val="auto"/>
        <w:rPr>
          <w:rFonts w:hint="eastAsia" w:ascii="仿宋_GB2312" w:hAnsi="仿宋_GB2312" w:eastAsia="仿宋_GB2312" w:cs="仿宋_GB2312"/>
          <w:sz w:val="24"/>
          <w:szCs w:val="24"/>
        </w:rPr>
      </w:pPr>
      <w:bookmarkStart w:id="43" w:name="_Toc81552813"/>
      <w:bookmarkStart w:id="44" w:name="_Toc2790"/>
      <w:bookmarkStart w:id="45" w:name="_Toc76630563"/>
      <w:bookmarkStart w:id="46" w:name="_Toc29307"/>
      <w:r>
        <w:rPr>
          <w:rFonts w:hint="eastAsia" w:ascii="仿宋_GB2312" w:hAnsi="仿宋_GB2312" w:eastAsia="仿宋_GB2312" w:cs="仿宋_GB2312"/>
          <w:sz w:val="24"/>
          <w:szCs w:val="24"/>
          <w:lang w:val="en-US" w:eastAsia="zh-CN"/>
        </w:rPr>
        <w:t>1.3</w:t>
      </w:r>
      <w:r>
        <w:rPr>
          <w:rFonts w:hint="eastAsia" w:ascii="仿宋_GB2312" w:hAnsi="仿宋_GB2312" w:eastAsia="仿宋_GB2312" w:cs="仿宋_GB2312"/>
          <w:sz w:val="24"/>
          <w:szCs w:val="24"/>
        </w:rPr>
        <w:t>园区基本情况</w:t>
      </w:r>
      <w:bookmarkEnd w:id="43"/>
      <w:bookmarkEnd w:id="44"/>
      <w:bookmarkEnd w:id="45"/>
      <w:bookmarkEnd w:id="46"/>
    </w:p>
    <w:p>
      <w:pPr>
        <w:pageBreakBefore w:val="0"/>
        <w:widowControl w:val="0"/>
        <w:kinsoku/>
        <w:wordWrap/>
        <w:overflowPunct/>
        <w:topLinePunct w:val="0"/>
        <w:bidi w:val="0"/>
        <w:snapToGrid/>
        <w:spacing w:line="320" w:lineRule="exact"/>
        <w:ind w:firstLine="48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目前，本次认定的临安区天目医药港化工集聚区正在部分规划建设过程，该区域中已建企业目前共有49 家，其中医药类型企业1 家，涉及危险化学品储存和使用企业2 家，主要涉及的行业有制药、环保、化工、建材、包装、机械、纺织、电子电器、照明等。</w:t>
      </w:r>
    </w:p>
    <w:p>
      <w:pPr>
        <w:pageBreakBefore w:val="0"/>
        <w:widowControl w:val="0"/>
        <w:kinsoku/>
        <w:wordWrap/>
        <w:overflowPunct/>
        <w:topLinePunct w:val="0"/>
        <w:bidi w:val="0"/>
        <w:snapToGrid/>
        <w:spacing w:line="320" w:lineRule="exact"/>
        <w:ind w:firstLine="48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现有的涉及危化品的企业5家。</w:t>
      </w:r>
    </w:p>
    <w:p>
      <w:pPr>
        <w:pStyle w:val="514"/>
        <w:pageBreakBefore w:val="0"/>
        <w:widowControl w:val="0"/>
        <w:numPr>
          <w:ilvl w:val="0"/>
          <w:numId w:val="11"/>
        </w:numPr>
        <w:kinsoku/>
        <w:wordWrap/>
        <w:overflowPunct/>
        <w:topLinePunct w:val="0"/>
        <w:bidi w:val="0"/>
        <w:snapToGrid/>
        <w:spacing w:before="156" w:line="320" w:lineRule="exact"/>
        <w:ind w:firstLine="44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临安绿能环保发电有限公司</w:t>
      </w:r>
    </w:p>
    <w:p>
      <w:pPr>
        <w:pStyle w:val="514"/>
        <w:pageBreakBefore w:val="0"/>
        <w:widowControl w:val="0"/>
        <w:numPr>
          <w:ilvl w:val="0"/>
          <w:numId w:val="11"/>
        </w:numPr>
        <w:kinsoku/>
        <w:wordWrap/>
        <w:overflowPunct/>
        <w:topLinePunct w:val="0"/>
        <w:bidi w:val="0"/>
        <w:snapToGrid/>
        <w:spacing w:before="156" w:line="320" w:lineRule="exact"/>
        <w:ind w:firstLine="44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浙江盛龙装饰材料公司</w:t>
      </w:r>
    </w:p>
    <w:p>
      <w:pPr>
        <w:pStyle w:val="514"/>
        <w:pageBreakBefore w:val="0"/>
        <w:widowControl w:val="0"/>
        <w:numPr>
          <w:ilvl w:val="0"/>
          <w:numId w:val="11"/>
        </w:numPr>
        <w:kinsoku/>
        <w:wordWrap/>
        <w:overflowPunct/>
        <w:topLinePunct w:val="0"/>
        <w:bidi w:val="0"/>
        <w:snapToGrid/>
        <w:spacing w:before="156" w:line="320" w:lineRule="exact"/>
        <w:ind w:firstLine="44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杭州临安引力外加剂有限公司</w:t>
      </w:r>
    </w:p>
    <w:p>
      <w:pPr>
        <w:pStyle w:val="514"/>
        <w:pageBreakBefore w:val="0"/>
        <w:widowControl w:val="0"/>
        <w:numPr>
          <w:ilvl w:val="0"/>
          <w:numId w:val="11"/>
        </w:numPr>
        <w:kinsoku/>
        <w:wordWrap/>
        <w:overflowPunct/>
        <w:topLinePunct w:val="0"/>
        <w:bidi w:val="0"/>
        <w:snapToGrid/>
        <w:spacing w:before="156" w:line="320" w:lineRule="exact"/>
        <w:ind w:firstLine="40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杭州鑫富科技有限公司</w:t>
      </w:r>
    </w:p>
    <w:p>
      <w:pPr>
        <w:pStyle w:val="514"/>
        <w:pageBreakBefore w:val="0"/>
        <w:widowControl w:val="0"/>
        <w:numPr>
          <w:ilvl w:val="0"/>
          <w:numId w:val="11"/>
        </w:numPr>
        <w:kinsoku/>
        <w:wordWrap/>
        <w:overflowPunct/>
        <w:topLinePunct w:val="0"/>
        <w:bidi w:val="0"/>
        <w:snapToGrid/>
        <w:spacing w:before="156" w:line="320" w:lineRule="exact"/>
        <w:ind w:firstLine="400"/>
        <w:textAlignment w:val="auto"/>
        <w:rPr>
          <w:rFonts w:hint="eastAsia"/>
          <w:lang w:eastAsia="zh-CN"/>
        </w:rPr>
        <w:sectPr>
          <w:footerReference r:id="rId8" w:type="default"/>
          <w:pgSz w:w="11906" w:h="16838"/>
          <w:pgMar w:top="680" w:right="1417" w:bottom="471" w:left="1417" w:header="851" w:footer="992" w:gutter="0"/>
          <w:pgNumType w:fmt="decimal"/>
          <w:cols w:space="720" w:num="1"/>
          <w:docGrid w:type="lines" w:linePitch="312" w:charSpace="0"/>
        </w:sectPr>
      </w:pPr>
      <w:r>
        <w:rPr>
          <w:rFonts w:hint="eastAsia" w:ascii="仿宋_GB2312" w:hAnsi="仿宋_GB2312" w:eastAsia="仿宋_GB2312" w:cs="仿宋_GB2312"/>
          <w:color w:val="000000" w:themeColor="text1"/>
          <w:sz w:val="24"/>
          <w:szCs w:val="24"/>
          <w14:textFill>
            <w14:solidFill>
              <w14:schemeClr w14:val="tx1"/>
            </w14:solidFill>
          </w14:textFill>
        </w:rPr>
        <w:t>杭州天目山药业股份有限公司</w:t>
      </w:r>
    </w:p>
    <w:p>
      <w:pPr>
        <w:pStyle w:val="3"/>
        <w:keepLines w:val="0"/>
        <w:pageBreakBefore/>
        <w:numPr>
          <w:ilvl w:val="0"/>
          <w:numId w:val="0"/>
        </w:numPr>
        <w:kinsoku/>
        <w:wordWrap/>
        <w:topLinePunct w:val="0"/>
        <w:bidi w:val="0"/>
        <w:adjustRightInd w:val="0"/>
        <w:spacing w:line="360" w:lineRule="exact"/>
        <w:ind w:leftChars="0"/>
        <w:jc w:val="left"/>
        <w:textAlignment w:val="baseline"/>
        <w:rPr>
          <w:rFonts w:hint="eastAsia" w:ascii="仿宋_GB2312" w:hAnsi="仿宋_GB2312" w:eastAsia="仿宋_GB2312" w:cs="仿宋_GB2312"/>
          <w:sz w:val="24"/>
          <w:szCs w:val="24"/>
        </w:rPr>
      </w:pPr>
      <w:bookmarkStart w:id="47" w:name="_Toc81552818"/>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园区现状及建设目标</w:t>
      </w:r>
      <w:bookmarkEnd w:id="47"/>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8" w:name="_Toc81552819"/>
      <w:bookmarkStart w:id="49" w:name="_Toc76630564"/>
      <w:bookmarkStart w:id="50" w:name="_Toc11357"/>
      <w:bookmarkStart w:id="51" w:name="_Toc2193"/>
      <w:bookmarkStart w:id="52" w:name="_Toc21288"/>
      <w:bookmarkStart w:id="53" w:name="_Toc21412"/>
      <w:bookmarkStart w:id="54" w:name="_Toc25787"/>
      <w:bookmarkStart w:id="55" w:name="_Toc5700"/>
      <w:bookmarkStart w:id="56" w:name="_Toc76630566"/>
      <w:bookmarkStart w:id="57" w:name="_Toc375096023"/>
      <w:bookmarkStart w:id="58" w:name="_Toc26973"/>
      <w:r>
        <w:rPr>
          <w:rFonts w:hint="eastAsia" w:hAnsi="仿宋_GB2312" w:cs="仿宋_GB2312"/>
          <w:sz w:val="24"/>
          <w:szCs w:val="24"/>
          <w:lang w:val="en-US" w:eastAsia="zh-CN"/>
        </w:rPr>
        <w:t>2.1</w:t>
      </w:r>
      <w:r>
        <w:rPr>
          <w:rFonts w:hint="eastAsia" w:ascii="仿宋_GB2312" w:hAnsi="仿宋_GB2312" w:eastAsia="仿宋_GB2312" w:cs="仿宋_GB2312"/>
          <w:sz w:val="24"/>
          <w:szCs w:val="24"/>
        </w:rPr>
        <w:t>园区</w:t>
      </w:r>
      <w:bookmarkEnd w:id="48"/>
      <w:r>
        <w:rPr>
          <w:rFonts w:hint="eastAsia" w:ascii="仿宋_GB2312" w:hAnsi="仿宋_GB2312" w:eastAsia="仿宋_GB2312" w:cs="仿宋_GB2312"/>
          <w:sz w:val="24"/>
          <w:szCs w:val="24"/>
        </w:rPr>
        <w:t>现状分析</w:t>
      </w:r>
    </w:p>
    <w:p>
      <w:pPr>
        <w:widowControl/>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园区内的企业虽然建设有部分安全、环保等方面的监测预警系统，但均是各自为政，缺少有效整合，并且管委会缺乏对整个园区安全、环保实时动态信息的掌控，缺少预测、预警系统。</w:t>
      </w:r>
    </w:p>
    <w:bookmarkEnd w:id="49"/>
    <w:bookmarkEnd w:id="50"/>
    <w:bookmarkEnd w:id="51"/>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59" w:name="_Toc81552820"/>
      <w:r>
        <w:rPr>
          <w:rFonts w:hint="eastAsia" w:hAnsi="仿宋_GB2312" w:cs="仿宋_GB2312"/>
          <w:sz w:val="24"/>
          <w:szCs w:val="24"/>
          <w:lang w:val="en-US" w:eastAsia="zh-CN"/>
        </w:rPr>
        <w:t>2.2</w:t>
      </w:r>
      <w:r>
        <w:rPr>
          <w:rFonts w:hint="eastAsia" w:ascii="仿宋_GB2312" w:hAnsi="仿宋_GB2312" w:eastAsia="仿宋_GB2312" w:cs="仿宋_GB2312"/>
          <w:sz w:val="24"/>
          <w:szCs w:val="24"/>
        </w:rPr>
        <w:t>建设内容及目标</w:t>
      </w:r>
      <w:bookmarkEnd w:id="52"/>
      <w:bookmarkEnd w:id="53"/>
      <w:bookmarkEnd w:id="54"/>
      <w:bookmarkEnd w:id="55"/>
      <w:bookmarkEnd w:id="56"/>
      <w:bookmarkEnd w:id="59"/>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60" w:name="_Toc11907"/>
      <w:bookmarkStart w:id="61" w:name="_Toc29620"/>
      <w:bookmarkStart w:id="62" w:name="_Toc81552821"/>
      <w:bookmarkStart w:id="63" w:name="_Toc26147"/>
      <w:bookmarkStart w:id="64" w:name="_Toc76630567"/>
      <w:bookmarkStart w:id="65" w:name="_Toc14624"/>
      <w:r>
        <w:rPr>
          <w:rFonts w:hint="eastAsia" w:ascii="仿宋_GB2312" w:hAnsi="仿宋_GB2312" w:eastAsia="仿宋_GB2312" w:cs="仿宋_GB2312"/>
          <w:sz w:val="24"/>
          <w:szCs w:val="24"/>
          <w:lang w:val="en-US" w:eastAsia="zh-CN"/>
        </w:rPr>
        <w:t>2.2.1</w:t>
      </w:r>
      <w:r>
        <w:rPr>
          <w:rFonts w:hint="eastAsia" w:ascii="仿宋_GB2312" w:hAnsi="仿宋_GB2312" w:eastAsia="仿宋_GB2312" w:cs="仿宋_GB2312"/>
          <w:sz w:val="24"/>
          <w:szCs w:val="24"/>
        </w:rPr>
        <w:t>建设内容</w:t>
      </w:r>
      <w:bookmarkEnd w:id="60"/>
      <w:bookmarkEnd w:id="61"/>
      <w:bookmarkEnd w:id="62"/>
      <w:bookmarkEnd w:id="63"/>
      <w:bookmarkEnd w:id="64"/>
      <w:bookmarkEnd w:id="65"/>
    </w:p>
    <w:p>
      <w:pPr>
        <w:kinsoku/>
        <w:wordWrap/>
        <w:topLinePunct w:val="0"/>
        <w:bidi w:val="0"/>
        <w:adjustRightInd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基于目前园区已投产运行企业及后期新入园企业，充分利用现有系统资源条件下，以环境保护、安全生产</w:t>
      </w:r>
      <w:r>
        <w:rPr>
          <w:rFonts w:hint="eastAsia" w:ascii="仿宋_GB2312" w:hAnsi="仿宋_GB2312" w:eastAsia="仿宋_GB2312" w:cs="仿宋_GB2312"/>
          <w:sz w:val="24"/>
          <w:szCs w:val="24"/>
          <w:highlight w:val="none"/>
        </w:rPr>
        <w:t>监管和协同应急救援三大业务功能为基础，开发建设智慧园区数字化平台，具体包含：园区三维地图建设、应急指挥中心建设、工业互联网平台建设、园区画像、安全监管、环境保护、应急指挥、封闭管理、能源监管建设，实现与省化工产业大脑的对接。</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66" w:name="_Toc76630568"/>
      <w:bookmarkStart w:id="67" w:name="_Toc5141"/>
      <w:bookmarkStart w:id="68" w:name="_Toc12574"/>
      <w:bookmarkStart w:id="69" w:name="_Toc30952"/>
      <w:bookmarkStart w:id="70" w:name="_Toc14176"/>
      <w:bookmarkStart w:id="71" w:name="_Toc81552822"/>
      <w:r>
        <w:rPr>
          <w:rFonts w:hint="eastAsia" w:ascii="仿宋_GB2312" w:hAnsi="仿宋_GB2312" w:eastAsia="仿宋_GB2312" w:cs="仿宋_GB2312"/>
          <w:sz w:val="24"/>
          <w:szCs w:val="24"/>
          <w:highlight w:val="none"/>
          <w:lang w:val="en-US" w:eastAsia="zh-CN"/>
        </w:rPr>
        <w:t>2.2.2</w:t>
      </w:r>
      <w:r>
        <w:rPr>
          <w:rFonts w:hint="eastAsia" w:ascii="仿宋_GB2312" w:hAnsi="仿宋_GB2312" w:eastAsia="仿宋_GB2312" w:cs="仿宋_GB2312"/>
          <w:sz w:val="24"/>
          <w:szCs w:val="24"/>
          <w:highlight w:val="none"/>
        </w:rPr>
        <w:t>建设目标</w:t>
      </w:r>
      <w:bookmarkEnd w:id="66"/>
      <w:bookmarkEnd w:id="67"/>
      <w:bookmarkEnd w:id="68"/>
      <w:bookmarkEnd w:id="69"/>
      <w:bookmarkEnd w:id="70"/>
      <w:bookmarkEnd w:id="71"/>
    </w:p>
    <w:p>
      <w:pPr>
        <w:kinsoku/>
        <w:wordWrap/>
        <w:topLinePunct w:val="0"/>
        <w:bidi w:val="0"/>
        <w:adjustRightInd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利用5G、云计算、物联网、大数据、人工智能等新一代技术，以工业互联网平台为底座，以园区各局办和企业应用系统汇集而来的海量数据为基石，建立从运营状态可视、业务分析预警、辅助决策执行的能力，并融合园区应用，提供用户统一入口，实现园区的可视、可管、可控，建成智慧园区数字化平台，实现园区管理的数字化运营目标。同时，实现智慧园区数字化平台与省化工产业大脑平台的对接，保证化工产业大脑平台的稳定运行。具体如下：</w:t>
      </w:r>
    </w:p>
    <w:p>
      <w:pPr>
        <w:numPr>
          <w:ilvl w:val="0"/>
          <w:numId w:val="12"/>
        </w:numPr>
        <w:kinsoku/>
        <w:wordWrap/>
        <w:topLinePunct w:val="0"/>
        <w:bidi w:val="0"/>
        <w:adjustRightInd w:val="0"/>
        <w:spacing w:line="360" w:lineRule="exact"/>
        <w:ind w:firstLine="482"/>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搭建园区智慧化统一平台</w:t>
      </w:r>
    </w:p>
    <w:p>
      <w:pPr>
        <w:numPr>
          <w:ilvl w:val="0"/>
          <w:numId w:val="12"/>
        </w:numPr>
        <w:kinsoku/>
        <w:wordWrap/>
        <w:topLinePunct w:val="0"/>
        <w:bidi w:val="0"/>
        <w:adjustRightInd w:val="0"/>
        <w:spacing w:line="360" w:lineRule="exact"/>
        <w:ind w:firstLine="482"/>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深化园区运营监管及企业服务水平</w:t>
      </w:r>
    </w:p>
    <w:p>
      <w:pPr>
        <w:numPr>
          <w:ilvl w:val="0"/>
          <w:numId w:val="12"/>
        </w:numPr>
        <w:kinsoku/>
        <w:wordWrap/>
        <w:topLinePunct w:val="0"/>
        <w:bidi w:val="0"/>
        <w:adjustRightInd w:val="0"/>
        <w:spacing w:line="360" w:lineRule="exact"/>
        <w:ind w:firstLine="482"/>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建设园区统一智慧基础设施</w:t>
      </w:r>
    </w:p>
    <w:p>
      <w:pPr>
        <w:numPr>
          <w:ilvl w:val="0"/>
          <w:numId w:val="12"/>
        </w:numPr>
        <w:kinsoku/>
        <w:wordWrap/>
        <w:topLinePunct w:val="0"/>
        <w:bidi w:val="0"/>
        <w:adjustRightInd w:val="0"/>
        <w:spacing w:line="360" w:lineRule="exact"/>
        <w:ind w:firstLine="482"/>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建设智慧园区运营中心</w:t>
      </w:r>
      <w:bookmarkEnd w:id="57"/>
      <w:bookmarkEnd w:id="58"/>
      <w:bookmarkStart w:id="72" w:name="_Toc81552823"/>
      <w:bookmarkStart w:id="73" w:name="_Toc940"/>
      <w:bookmarkStart w:id="74" w:name="_Toc26824"/>
    </w:p>
    <w:p>
      <w:pPr>
        <w:numPr>
          <w:ilvl w:val="0"/>
          <w:numId w:val="0"/>
        </w:numPr>
        <w:kinsoku/>
        <w:wordWrap/>
        <w:topLinePunct w:val="0"/>
        <w:bidi w:val="0"/>
        <w:adjustRightInd w:val="0"/>
        <w:spacing w:line="360" w:lineRule="exact"/>
        <w:rPr>
          <w:rFonts w:hint="eastAsia" w:ascii="仿宋_GB2312" w:hAnsi="仿宋_GB2312" w:eastAsia="仿宋_GB2312" w:cs="仿宋_GB2312"/>
          <w:b/>
          <w:bCs/>
          <w:kern w:val="2"/>
          <w:sz w:val="24"/>
          <w:szCs w:val="24"/>
          <w:lang w:val="en-US" w:eastAsia="zh-CN" w:bidi="ar-SA"/>
        </w:rPr>
      </w:pPr>
    </w:p>
    <w:p>
      <w:pPr>
        <w:numPr>
          <w:ilvl w:val="0"/>
          <w:numId w:val="0"/>
        </w:numPr>
        <w:kinsoku/>
        <w:wordWrap/>
        <w:topLinePunct w:val="0"/>
        <w:bidi w:val="0"/>
        <w:adjustRightInd w:val="0"/>
        <w:spacing w:line="360" w:lineRule="exact"/>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2.3需求分析</w:t>
      </w:r>
      <w:bookmarkEnd w:id="72"/>
      <w:bookmarkEnd w:id="73"/>
      <w:bookmarkEnd w:id="74"/>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75" w:name="_Toc22360"/>
      <w:bookmarkStart w:id="76" w:name="_Toc17934"/>
      <w:bookmarkStart w:id="77" w:name="_Toc62423050"/>
      <w:bookmarkStart w:id="78" w:name="_Toc7217"/>
      <w:bookmarkStart w:id="79" w:name="_Toc24546"/>
      <w:bookmarkStart w:id="80" w:name="_Toc53665329"/>
      <w:bookmarkStart w:id="81" w:name="_Toc47301805"/>
      <w:bookmarkStart w:id="82" w:name="_Toc81552824"/>
      <w:bookmarkStart w:id="83" w:name="_Toc62036309"/>
      <w:bookmarkStart w:id="84" w:name="_Toc26465"/>
      <w:bookmarkStart w:id="85" w:name="_Toc61611576"/>
      <w:bookmarkStart w:id="86" w:name="_Toc11644"/>
      <w:bookmarkStart w:id="87" w:name="_Toc22095"/>
      <w:bookmarkStart w:id="88" w:name="_Toc4861"/>
      <w:bookmarkStart w:id="89" w:name="_Toc40298858"/>
      <w:r>
        <w:rPr>
          <w:rFonts w:hint="eastAsia" w:ascii="仿宋_GB2312" w:hAnsi="仿宋_GB2312" w:eastAsia="仿宋_GB2312" w:cs="仿宋_GB2312"/>
          <w:sz w:val="24"/>
          <w:szCs w:val="24"/>
          <w:lang w:val="en-US" w:eastAsia="zh-CN"/>
        </w:rPr>
        <w:t>2.3.1</w:t>
      </w:r>
      <w:r>
        <w:rPr>
          <w:rFonts w:hint="eastAsia" w:ascii="仿宋_GB2312" w:hAnsi="仿宋_GB2312" w:eastAsia="仿宋_GB2312" w:cs="仿宋_GB2312"/>
          <w:sz w:val="24"/>
          <w:szCs w:val="24"/>
        </w:rPr>
        <w:t>业务应用需求</w:t>
      </w:r>
      <w:bookmarkEnd w:id="75"/>
      <w:bookmarkEnd w:id="76"/>
      <w:bookmarkEnd w:id="77"/>
      <w:bookmarkEnd w:id="78"/>
      <w:bookmarkEnd w:id="79"/>
      <w:bookmarkEnd w:id="80"/>
      <w:bookmarkEnd w:id="81"/>
      <w:bookmarkEnd w:id="82"/>
      <w:bookmarkEnd w:id="83"/>
      <w:bookmarkEnd w:id="84"/>
      <w:bookmarkEnd w:id="85"/>
      <w:bookmarkEnd w:id="86"/>
      <w:bookmarkEnd w:id="87"/>
      <w:bookmarkEnd w:id="88"/>
    </w:p>
    <w:bookmarkEnd w:id="89"/>
    <w:p>
      <w:pPr>
        <w:widowControl/>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结合园区信息化建设情况，智慧园区各业务应用需要考虑以下需求：</w:t>
      </w:r>
    </w:p>
    <w:p>
      <w:pPr>
        <w:pStyle w:val="933"/>
        <w:widowControl/>
        <w:kinsoku/>
        <w:wordWrap/>
        <w:topLinePunct w:val="0"/>
        <w:bidi w:val="0"/>
        <w:spacing w:line="360" w:lineRule="exact"/>
        <w:ind w:left="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园区驾驶舱</w:t>
      </w:r>
    </w:p>
    <w:p>
      <w:pPr>
        <w:pStyle w:val="933"/>
        <w:widowControl/>
        <w:kinsoku/>
        <w:wordWrap/>
        <w:topLinePunct w:val="0"/>
        <w:bidi w:val="0"/>
        <w:spacing w:line="360" w:lineRule="exact"/>
        <w:ind w:left="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园区与企业画像</w:t>
      </w:r>
    </w:p>
    <w:p>
      <w:pPr>
        <w:pStyle w:val="933"/>
        <w:widowControl/>
        <w:kinsoku/>
        <w:wordWrap/>
        <w:topLinePunct w:val="0"/>
        <w:bidi w:val="0"/>
        <w:spacing w:line="360" w:lineRule="exact"/>
        <w:ind w:left="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智慧安监</w:t>
      </w:r>
    </w:p>
    <w:p>
      <w:pPr>
        <w:pStyle w:val="933"/>
        <w:widowControl/>
        <w:kinsoku/>
        <w:wordWrap/>
        <w:topLinePunct w:val="0"/>
        <w:bidi w:val="0"/>
        <w:spacing w:line="360" w:lineRule="exact"/>
        <w:ind w:left="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智慧环保</w:t>
      </w:r>
    </w:p>
    <w:p>
      <w:pPr>
        <w:pStyle w:val="933"/>
        <w:widowControl/>
        <w:kinsoku/>
        <w:wordWrap/>
        <w:topLinePunct w:val="0"/>
        <w:bidi w:val="0"/>
        <w:spacing w:line="360" w:lineRule="exact"/>
        <w:ind w:left="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智慧应急</w:t>
      </w:r>
    </w:p>
    <w:p>
      <w:pPr>
        <w:pStyle w:val="933"/>
        <w:widowControl/>
        <w:kinsoku/>
        <w:wordWrap/>
        <w:topLinePunct w:val="0"/>
        <w:bidi w:val="0"/>
        <w:spacing w:line="360" w:lineRule="exact"/>
        <w:ind w:left="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智慧封闭</w:t>
      </w:r>
    </w:p>
    <w:p>
      <w:pPr>
        <w:pStyle w:val="933"/>
        <w:widowControl/>
        <w:kinsoku/>
        <w:wordWrap/>
        <w:topLinePunct w:val="0"/>
        <w:bidi w:val="0"/>
        <w:spacing w:line="360" w:lineRule="exact"/>
        <w:ind w:left="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智慧能源</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90" w:name="_Toc11440"/>
      <w:bookmarkStart w:id="91" w:name="_Toc53665330"/>
      <w:bookmarkStart w:id="92" w:name="_Toc47301806"/>
      <w:bookmarkStart w:id="93" w:name="_Toc12721"/>
      <w:bookmarkStart w:id="94" w:name="_Toc62423051"/>
      <w:bookmarkStart w:id="95" w:name="_Toc17094"/>
      <w:bookmarkStart w:id="96" w:name="_Toc81552825"/>
      <w:bookmarkStart w:id="97" w:name="_Toc31284"/>
      <w:bookmarkStart w:id="98" w:name="_Toc16517"/>
      <w:bookmarkStart w:id="99" w:name="_Toc40298859"/>
      <w:bookmarkStart w:id="100" w:name="_Toc61611577"/>
      <w:bookmarkStart w:id="101" w:name="_Toc22945"/>
      <w:bookmarkStart w:id="102" w:name="_Toc5092"/>
      <w:bookmarkStart w:id="103" w:name="_Toc62036310"/>
      <w:bookmarkStart w:id="104" w:name="_Toc14129"/>
      <w:r>
        <w:rPr>
          <w:rFonts w:hint="eastAsia" w:ascii="仿宋_GB2312" w:hAnsi="仿宋_GB2312" w:eastAsia="仿宋_GB2312" w:cs="仿宋_GB2312"/>
          <w:sz w:val="24"/>
          <w:szCs w:val="24"/>
          <w:lang w:val="en-US" w:eastAsia="zh-CN"/>
        </w:rPr>
        <w:t>2.3.2</w:t>
      </w:r>
      <w:r>
        <w:rPr>
          <w:rFonts w:hint="eastAsia" w:ascii="仿宋_GB2312" w:hAnsi="仿宋_GB2312" w:eastAsia="仿宋_GB2312" w:cs="仿宋_GB2312"/>
          <w:sz w:val="24"/>
          <w:szCs w:val="24"/>
        </w:rPr>
        <w:t>数据资源需求</w:t>
      </w:r>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p>
    <w:p>
      <w:pPr>
        <w:widowControl/>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数据是实现信息管理系统功能的基础和核心，智慧园区数据主要来源于园区和政府部门采集获取的数据、空间数据、三维模型数据、监控数据等。</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105" w:name="_Toc53665331"/>
      <w:bookmarkStart w:id="106" w:name="_Toc10016"/>
      <w:bookmarkStart w:id="107" w:name="_Toc30528"/>
      <w:bookmarkStart w:id="108" w:name="_Toc62036311"/>
      <w:bookmarkStart w:id="109" w:name="_Toc138"/>
      <w:bookmarkStart w:id="110" w:name="_Toc61611578"/>
      <w:bookmarkStart w:id="111" w:name="_Toc30409"/>
      <w:bookmarkStart w:id="112" w:name="_Toc31784"/>
      <w:bookmarkStart w:id="113" w:name="_Toc31279"/>
      <w:bookmarkStart w:id="114" w:name="_Toc47301807"/>
      <w:bookmarkStart w:id="115" w:name="_Toc62423052"/>
      <w:bookmarkStart w:id="116" w:name="_Toc15020"/>
      <w:bookmarkStart w:id="117" w:name="_Toc40298860"/>
      <w:bookmarkStart w:id="118" w:name="_Toc81552826"/>
      <w:r>
        <w:rPr>
          <w:rFonts w:hint="eastAsia" w:ascii="仿宋_GB2312" w:hAnsi="仿宋_GB2312" w:eastAsia="仿宋_GB2312" w:cs="仿宋_GB2312"/>
          <w:sz w:val="24"/>
          <w:szCs w:val="24"/>
          <w:lang w:val="en-US" w:eastAsia="zh-CN"/>
        </w:rPr>
        <w:t>2.3.3</w:t>
      </w:r>
      <w:r>
        <w:rPr>
          <w:rFonts w:hint="eastAsia" w:ascii="仿宋_GB2312" w:hAnsi="仿宋_GB2312" w:eastAsia="仿宋_GB2312" w:cs="仿宋_GB2312"/>
          <w:sz w:val="24"/>
          <w:szCs w:val="24"/>
        </w:rPr>
        <w:t>系统集成需求</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pPr>
        <w:widowControl/>
        <w:kinsoku/>
        <w:wordWrap/>
        <w:topLinePunct w:val="0"/>
        <w:bidi w:val="0"/>
        <w:spacing w:line="360" w:lineRule="exact"/>
        <w:ind w:firstLine="484"/>
        <w:rPr>
          <w:rFonts w:hint="eastAsia" w:ascii="仿宋_GB2312" w:hAnsi="仿宋_GB2312" w:eastAsia="仿宋_GB2312" w:cs="仿宋_GB2312"/>
          <w:sz w:val="24"/>
          <w:szCs w:val="24"/>
        </w:rPr>
      </w:pPr>
      <w:r>
        <w:rPr>
          <w:rFonts w:hint="eastAsia" w:ascii="仿宋_GB2312" w:hAnsi="仿宋_GB2312" w:eastAsia="仿宋_GB2312" w:cs="仿宋_GB2312"/>
          <w:color w:val="000000"/>
          <w:spacing w:val="1"/>
          <w:sz w:val="24"/>
          <w:szCs w:val="24"/>
        </w:rPr>
        <w:t>园区</w:t>
      </w:r>
      <w:r>
        <w:rPr>
          <w:rFonts w:hint="eastAsia" w:ascii="仿宋_GB2312" w:hAnsi="仿宋_GB2312" w:eastAsia="仿宋_GB2312" w:cs="仿宋_GB2312"/>
          <w:sz w:val="24"/>
          <w:szCs w:val="24"/>
        </w:rPr>
        <w:t>管委会及园区内企业已建成众多信息化应用，智慧园区数字化平台建设需要集成与安全风险和应急相关的现有系统和本次项目新增的系统，构建统一的系统集成工具，需要具备以下能力：</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应用集成：应用与应用间、数据、消息、API集成</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业务集成：园区系统到政务系统、园区系统到企业系统，跨业务数据交换</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设备集成：设备到设备、OT和IT间的融合</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整合接入园区重点企业的视频监控图像和监测监控数据，掌握重点企业的重大危险源及风险分级管控数据；</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提供国家、省、市安全生产应急指挥平台以及政府应急平台所需的数据、图像、资料等，配合完成应急有关的各项任务；</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通过多种链路通信互联技术手段，实现与国家、省、市相关平台的互联互通。</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119" w:name="_Toc11454"/>
      <w:bookmarkStart w:id="120" w:name="_Toc29250"/>
      <w:bookmarkStart w:id="121" w:name="_Toc40298861"/>
      <w:bookmarkStart w:id="122" w:name="_Toc62036312"/>
      <w:bookmarkStart w:id="123" w:name="_Toc47301808"/>
      <w:bookmarkStart w:id="124" w:name="_Toc53665332"/>
      <w:bookmarkStart w:id="125" w:name="_Toc409"/>
      <w:bookmarkStart w:id="126" w:name="_Toc81552827"/>
      <w:bookmarkStart w:id="127" w:name="_Toc1817"/>
      <w:bookmarkStart w:id="128" w:name="_Toc27570"/>
      <w:bookmarkStart w:id="129" w:name="_Toc49525702"/>
      <w:bookmarkStart w:id="130" w:name="_Toc11799"/>
      <w:bookmarkStart w:id="131" w:name="_Toc18174"/>
      <w:bookmarkStart w:id="132" w:name="_Toc49808419"/>
      <w:bookmarkStart w:id="133" w:name="_Toc61611579"/>
      <w:bookmarkStart w:id="134" w:name="_Toc62423053"/>
      <w:r>
        <w:rPr>
          <w:rFonts w:hint="eastAsia" w:ascii="仿宋_GB2312" w:hAnsi="仿宋_GB2312" w:eastAsia="仿宋_GB2312" w:cs="仿宋_GB2312"/>
          <w:sz w:val="24"/>
          <w:szCs w:val="24"/>
          <w:lang w:val="en-US" w:eastAsia="zh-CN"/>
        </w:rPr>
        <w:t>2.3.4</w:t>
      </w:r>
      <w:r>
        <w:rPr>
          <w:rFonts w:hint="eastAsia" w:ascii="仿宋_GB2312" w:hAnsi="仿宋_GB2312" w:eastAsia="仿宋_GB2312" w:cs="仿宋_GB2312"/>
          <w:sz w:val="24"/>
          <w:szCs w:val="24"/>
        </w:rPr>
        <w:t>基础支撑需求</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
      <w:pPr>
        <w:pStyle w:val="6"/>
        <w:keepLines w:val="0"/>
        <w:widowControl/>
        <w:numPr>
          <w:ilvl w:val="3"/>
          <w:numId w:val="0"/>
        </w:numPr>
        <w:kinsoku/>
        <w:wordWrap/>
        <w:overflowPunct w:val="0"/>
        <w:topLinePunct w:val="0"/>
        <w:autoSpaceDE w:val="0"/>
        <w:autoSpaceDN w:val="0"/>
        <w:bidi w:val="0"/>
        <w:adjustRightInd w:val="0"/>
        <w:spacing w:line="360" w:lineRule="exact"/>
        <w:jc w:val="left"/>
        <w:textAlignment w:val="baseline"/>
        <w:rPr>
          <w:rFonts w:hint="eastAsia" w:ascii="仿宋_GB2312" w:hAnsi="仿宋_GB2312" w:eastAsia="仿宋_GB2312" w:cs="仿宋_GB2312"/>
          <w:sz w:val="24"/>
          <w:szCs w:val="24"/>
          <w:lang w:val="zh-CN"/>
        </w:rPr>
      </w:pPr>
      <w:bookmarkStart w:id="135" w:name="_Toc47301809"/>
      <w:bookmarkStart w:id="136" w:name="_Toc16140"/>
      <w:bookmarkStart w:id="137" w:name="_Toc62423054"/>
      <w:bookmarkStart w:id="138" w:name="_Toc53665333"/>
      <w:bookmarkStart w:id="139" w:name="_Toc49808420"/>
      <w:bookmarkStart w:id="140" w:name="_Toc20558"/>
      <w:bookmarkStart w:id="141" w:name="_Toc62036313"/>
      <w:bookmarkStart w:id="142" w:name="_Toc5203"/>
      <w:bookmarkStart w:id="143" w:name="_Toc12553"/>
      <w:bookmarkStart w:id="144" w:name="_Toc7737"/>
      <w:bookmarkStart w:id="145" w:name="_Toc31084"/>
      <w:bookmarkStart w:id="146" w:name="_Toc8104"/>
      <w:bookmarkStart w:id="147" w:name="_Toc61611580"/>
      <w:bookmarkStart w:id="148" w:name="_Toc20742"/>
      <w:bookmarkStart w:id="149" w:name="_Toc40307469"/>
      <w:r>
        <w:rPr>
          <w:rFonts w:hint="eastAsia" w:ascii="仿宋_GB2312" w:hAnsi="仿宋_GB2312" w:eastAsia="仿宋_GB2312" w:cs="仿宋_GB2312"/>
          <w:sz w:val="24"/>
          <w:szCs w:val="24"/>
          <w:lang w:val="en-US" w:eastAsia="zh-CN"/>
        </w:rPr>
        <w:t>2.3.4.1</w:t>
      </w:r>
      <w:r>
        <w:rPr>
          <w:rFonts w:hint="eastAsia" w:ascii="仿宋_GB2312" w:hAnsi="仿宋_GB2312" w:eastAsia="仿宋_GB2312" w:cs="仿宋_GB2312"/>
          <w:sz w:val="24"/>
          <w:szCs w:val="24"/>
          <w:lang w:val="zh-CN"/>
        </w:rPr>
        <w:t>智慧园区运营中心</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p>
    <w:p>
      <w:pPr>
        <w:widowControl/>
        <w:kinsoku/>
        <w:wordWrap/>
        <w:topLinePunct w:val="0"/>
        <w:bidi w:val="0"/>
        <w:spacing w:line="360" w:lineRule="exact"/>
        <w:ind w:firstLine="484"/>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color w:val="000000"/>
          <w:spacing w:val="1"/>
          <w:sz w:val="24"/>
          <w:szCs w:val="24"/>
        </w:rPr>
        <w:t>智慧园区运营中心汇聚园区多维度多类型数据，通过融合分析展示，实现园区运行管理、辅助决策支持和应急救援指挥三大功能，满足园区运营管理基本职能。</w:t>
      </w:r>
    </w:p>
    <w:p>
      <w:pPr>
        <w:pStyle w:val="6"/>
        <w:keepLines w:val="0"/>
        <w:widowControl/>
        <w:numPr>
          <w:ilvl w:val="3"/>
          <w:numId w:val="0"/>
        </w:numPr>
        <w:kinsoku/>
        <w:wordWrap/>
        <w:overflowPunct w:val="0"/>
        <w:topLinePunct w:val="0"/>
        <w:autoSpaceDE w:val="0"/>
        <w:autoSpaceDN w:val="0"/>
        <w:bidi w:val="0"/>
        <w:adjustRightInd w:val="0"/>
        <w:spacing w:line="360" w:lineRule="exact"/>
        <w:jc w:val="left"/>
        <w:textAlignment w:val="baseline"/>
        <w:rPr>
          <w:rFonts w:hint="eastAsia" w:ascii="仿宋_GB2312" w:hAnsi="仿宋_GB2312" w:eastAsia="仿宋_GB2312" w:cs="仿宋_GB2312"/>
          <w:sz w:val="24"/>
          <w:szCs w:val="24"/>
          <w:lang w:val="zh-CN"/>
        </w:rPr>
      </w:pPr>
      <w:bookmarkStart w:id="150" w:name="_Toc62036314"/>
      <w:bookmarkStart w:id="151" w:name="_Toc1654"/>
      <w:bookmarkStart w:id="152" w:name="_Toc10749"/>
      <w:bookmarkStart w:id="153" w:name="_Toc10390"/>
      <w:bookmarkStart w:id="154" w:name="_Toc26978"/>
      <w:bookmarkStart w:id="155" w:name="_Toc47301810"/>
      <w:bookmarkStart w:id="156" w:name="_Toc49808421"/>
      <w:bookmarkStart w:id="157" w:name="_Toc61611581"/>
      <w:bookmarkStart w:id="158" w:name="_Toc53665334"/>
      <w:bookmarkStart w:id="159" w:name="_Toc29374"/>
      <w:bookmarkStart w:id="160" w:name="_Toc2489"/>
      <w:bookmarkStart w:id="161" w:name="_Toc25449"/>
      <w:bookmarkStart w:id="162" w:name="_Toc62423055"/>
      <w:bookmarkStart w:id="163" w:name="_Toc18236"/>
      <w:r>
        <w:rPr>
          <w:rFonts w:hint="eastAsia" w:ascii="仿宋_GB2312" w:hAnsi="仿宋_GB2312" w:eastAsia="仿宋_GB2312" w:cs="仿宋_GB2312"/>
          <w:sz w:val="24"/>
          <w:szCs w:val="24"/>
          <w:lang w:val="en-US" w:eastAsia="zh-CN"/>
        </w:rPr>
        <w:t>2.3.4.2</w:t>
      </w:r>
      <w:r>
        <w:rPr>
          <w:rFonts w:hint="eastAsia" w:ascii="仿宋_GB2312" w:hAnsi="仿宋_GB2312" w:eastAsia="仿宋_GB2312" w:cs="仿宋_GB2312"/>
          <w:sz w:val="24"/>
          <w:szCs w:val="24"/>
          <w:lang w:val="zh-CN"/>
        </w:rPr>
        <w:t>数字平台</w:t>
      </w:r>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pPr>
        <w:widowControl/>
        <w:kinsoku/>
        <w:wordWrap/>
        <w:topLinePunct w:val="0"/>
        <w:bidi w:val="0"/>
        <w:spacing w:line="360" w:lineRule="exact"/>
        <w:ind w:firstLine="484"/>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color w:val="000000"/>
          <w:spacing w:val="1"/>
          <w:sz w:val="24"/>
          <w:szCs w:val="24"/>
        </w:rPr>
        <w:t>目前政府和企业已经或正在建设一系列的应用系统，迈向2.0阶段的数字化和智慧化转型阶段，在这一阶段中，园区内外、政企之间、平台和应用、数据和业务都需要从整体、统筹的角度去考虑，以免再次落入单点建设、烟囱式建设、不可运维、升级困难的传统路子上去。</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构建一个数字平台，开放架构，持续迭代升级演进，保持领先</w:t>
      </w:r>
    </w:p>
    <w:p>
      <w:pPr>
        <w:widowControl/>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构建一个融合云计算、大数据、物联网、人工智能、视频云、GIS等新信息技术的数字平台，持续为园区积累业务资产、IO资产、数据资产。</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打破系统壁垒，为园区内多业务系统联动、跨部门业务系统对接、园区与企业侧系统对接奠定基础</w:t>
      </w:r>
    </w:p>
    <w:p>
      <w:pPr>
        <w:widowControl/>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通过集成平台可实现园区内各子系统、上层业务系统之间的联接，真正实现多系统、多业务的联动。</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sz w:val="24"/>
          <w:szCs w:val="24"/>
        </w:rPr>
        <w:t>打破数据壁垒，构建园区工业大数据平台，面向未来可提供基于大数据的AI能力，实现园区精细化管理</w:t>
      </w:r>
    </w:p>
    <w:p>
      <w:pPr>
        <w:pStyle w:val="934"/>
        <w:widowControl/>
        <w:tabs>
          <w:tab w:val="clear" w:pos="240"/>
        </w:tabs>
        <w:kinsoku/>
        <w:wordWrap/>
        <w:topLinePunct w:val="0"/>
        <w:bidi w:val="0"/>
        <w:spacing w:line="360" w:lineRule="exact"/>
        <w:ind w:left="0" w:firstLine="480" w:firstLineChars="200"/>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sz w:val="24"/>
          <w:szCs w:val="24"/>
        </w:rPr>
        <w:t>打造端到端自主可控的信息化平台，树立行业标杆</w:t>
      </w:r>
    </w:p>
    <w:p>
      <w:pPr>
        <w:pStyle w:val="6"/>
        <w:keepLines w:val="0"/>
        <w:widowControl/>
        <w:numPr>
          <w:ilvl w:val="3"/>
          <w:numId w:val="0"/>
        </w:numPr>
        <w:kinsoku/>
        <w:wordWrap/>
        <w:overflowPunct w:val="0"/>
        <w:topLinePunct w:val="0"/>
        <w:autoSpaceDE w:val="0"/>
        <w:autoSpaceDN w:val="0"/>
        <w:bidi w:val="0"/>
        <w:adjustRightInd w:val="0"/>
        <w:spacing w:line="360" w:lineRule="exact"/>
        <w:ind w:left="-864" w:leftChars="0" w:firstLine="723" w:firstLineChars="300"/>
        <w:jc w:val="left"/>
        <w:textAlignment w:val="baseline"/>
        <w:rPr>
          <w:rFonts w:hint="eastAsia" w:ascii="仿宋_GB2312" w:hAnsi="仿宋_GB2312" w:eastAsia="仿宋_GB2312" w:cs="仿宋_GB2312"/>
          <w:sz w:val="24"/>
          <w:szCs w:val="24"/>
          <w:lang w:val="zh-CN"/>
        </w:rPr>
      </w:pPr>
      <w:bookmarkStart w:id="164" w:name="_Toc1292"/>
      <w:bookmarkStart w:id="165" w:name="_Toc26747"/>
      <w:bookmarkStart w:id="166" w:name="_Toc23444"/>
      <w:bookmarkStart w:id="167" w:name="_Toc18093"/>
      <w:bookmarkStart w:id="168" w:name="_Toc20648"/>
      <w:bookmarkStart w:id="169" w:name="_Toc47301811"/>
      <w:bookmarkStart w:id="170" w:name="_Toc49808422"/>
      <w:bookmarkStart w:id="171" w:name="_Toc61611582"/>
      <w:bookmarkStart w:id="172" w:name="_Toc4872"/>
      <w:bookmarkStart w:id="173" w:name="_Toc62423056"/>
      <w:bookmarkStart w:id="174" w:name="_Toc29408"/>
      <w:bookmarkStart w:id="175" w:name="_Toc62036315"/>
      <w:bookmarkStart w:id="176" w:name="_Toc5294"/>
      <w:bookmarkStart w:id="177" w:name="_Toc53665335"/>
      <w:r>
        <w:rPr>
          <w:rFonts w:hint="eastAsia" w:ascii="仿宋_GB2312" w:hAnsi="仿宋_GB2312" w:eastAsia="仿宋_GB2312" w:cs="仿宋_GB2312"/>
          <w:sz w:val="24"/>
          <w:szCs w:val="24"/>
          <w:lang w:val="en-US" w:eastAsia="zh-CN"/>
        </w:rPr>
        <w:t>2.3.4.3</w:t>
      </w:r>
      <w:r>
        <w:rPr>
          <w:rFonts w:hint="eastAsia" w:ascii="仿宋_GB2312" w:hAnsi="仿宋_GB2312" w:eastAsia="仿宋_GB2312" w:cs="仿宋_GB2312"/>
          <w:sz w:val="24"/>
          <w:szCs w:val="24"/>
          <w:lang w:val="zh-CN"/>
        </w:rPr>
        <w:t>数据中心</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pPr>
        <w:widowControl/>
        <w:kinsoku/>
        <w:wordWrap/>
        <w:topLinePunct w:val="0"/>
        <w:bidi w:val="0"/>
        <w:spacing w:line="360" w:lineRule="exact"/>
        <w:ind w:firstLine="484"/>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color w:val="000000"/>
          <w:spacing w:val="1"/>
          <w:sz w:val="24"/>
          <w:szCs w:val="24"/>
        </w:rPr>
        <w:t>数据中心建设主要包括主机、存储、网络、安全及其他硬件在内的硬件基础设施，通过虚拟化等技术进行整合，形成一个逻辑整体，同时通过云管理平台，实现资源监控、管理、调度，建设平台的安全保障体系，为平台的网络访问、上层应用、数据提供安全的运行环境。</w:t>
      </w:r>
    </w:p>
    <w:p>
      <w:pPr>
        <w:pStyle w:val="6"/>
        <w:keepLines w:val="0"/>
        <w:widowControl/>
        <w:numPr>
          <w:ilvl w:val="3"/>
          <w:numId w:val="0"/>
        </w:numPr>
        <w:kinsoku/>
        <w:wordWrap/>
        <w:overflowPunct w:val="0"/>
        <w:topLinePunct w:val="0"/>
        <w:autoSpaceDE w:val="0"/>
        <w:autoSpaceDN w:val="0"/>
        <w:bidi w:val="0"/>
        <w:adjustRightInd w:val="0"/>
        <w:spacing w:line="360" w:lineRule="exact"/>
        <w:ind w:left="-864" w:leftChars="0" w:firstLine="723" w:firstLineChars="300"/>
        <w:jc w:val="left"/>
        <w:textAlignment w:val="baseline"/>
        <w:rPr>
          <w:rFonts w:hint="eastAsia" w:ascii="仿宋_GB2312" w:hAnsi="仿宋_GB2312" w:eastAsia="仿宋_GB2312" w:cs="仿宋_GB2312"/>
          <w:sz w:val="24"/>
          <w:szCs w:val="24"/>
          <w:lang w:val="zh-CN"/>
        </w:rPr>
      </w:pPr>
      <w:bookmarkStart w:id="178" w:name="_Toc1735"/>
      <w:bookmarkStart w:id="179" w:name="_Toc11713"/>
      <w:bookmarkStart w:id="180" w:name="_Toc24679"/>
      <w:bookmarkStart w:id="181" w:name="_Toc13389"/>
      <w:bookmarkStart w:id="182" w:name="_Toc16346"/>
      <w:r>
        <w:rPr>
          <w:rFonts w:hint="eastAsia" w:ascii="仿宋_GB2312" w:hAnsi="仿宋_GB2312" w:eastAsia="仿宋_GB2312" w:cs="仿宋_GB2312"/>
          <w:sz w:val="24"/>
          <w:szCs w:val="24"/>
          <w:lang w:val="en-US" w:eastAsia="zh-CN"/>
        </w:rPr>
        <w:t>2.3.4.4</w:t>
      </w:r>
      <w:r>
        <w:rPr>
          <w:rFonts w:hint="eastAsia" w:ascii="仿宋_GB2312" w:hAnsi="仿宋_GB2312" w:eastAsia="仿宋_GB2312" w:cs="仿宋_GB2312"/>
          <w:sz w:val="24"/>
          <w:szCs w:val="24"/>
          <w:lang w:val="zh-CN"/>
        </w:rPr>
        <w:t>数字化改造需求</w:t>
      </w:r>
      <w:bookmarkEnd w:id="178"/>
      <w:bookmarkEnd w:id="179"/>
      <w:bookmarkEnd w:id="180"/>
      <w:bookmarkEnd w:id="181"/>
      <w:bookmarkEnd w:id="182"/>
    </w:p>
    <w:p>
      <w:pPr>
        <w:widowControl/>
        <w:kinsoku/>
        <w:wordWrap/>
        <w:topLinePunct w:val="0"/>
        <w:bidi w:val="0"/>
        <w:spacing w:line="360" w:lineRule="exact"/>
        <w:ind w:firstLine="484"/>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color w:val="000000"/>
          <w:spacing w:val="1"/>
          <w:sz w:val="24"/>
          <w:szCs w:val="24"/>
        </w:rPr>
        <w:t>2021年，浙江省全面启动数字化改革进程。坚持系统观念、系统方法，坚持目标导向、需求导向，坚持小切口大牵引，坚持综合应用、高效协同，努力实现从数字赋能政府履职，向全方位推进政府体制机制和业务流程系统性重塑的整体跃升。</w:t>
      </w:r>
    </w:p>
    <w:p>
      <w:pPr>
        <w:widowControl/>
        <w:kinsoku/>
        <w:wordWrap/>
        <w:topLinePunct w:val="0"/>
        <w:bidi w:val="0"/>
        <w:spacing w:line="360" w:lineRule="exact"/>
        <w:ind w:firstLine="484"/>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color w:val="000000"/>
          <w:spacing w:val="1"/>
          <w:sz w:val="24"/>
          <w:szCs w:val="24"/>
        </w:rPr>
        <w:t>目前，在以浙江省数字化改革为总引领，打造数字经济一号工程2.0版的背景下，围绕数字产业化、产业数字化构建数字经济系统，打造产业大脑，推动制造业高质量发展，是把握新发展阶段、贯彻新发展理念、构建新发展格局的一次重大探索。产业大脑一体化综合支撑系统作为产业大脑的核心系统，在统一用户体系和产业数据仓的基础上，通过产业中台与产业服务中枢的共性支撑，实现产业数据标准化，数据智能化和业务服务化，向政府侧和企业侧统一提供来自政府、行业和地方的产业服务目录，牵引产业资源共用复用，支撑政企协同、开放赋能、生态创新、持续成长的产业大脑运营，为产业大脑的各类丰富应用场景提供优质的生态环境和稳定的运行环境，可以推动政府、企业、社会整体联动的生产关系重塑，促进传统产业数字化转型的生产力再升级，支撑制造业的整体高质量发展。</w:t>
      </w:r>
    </w:p>
    <w:p>
      <w:pPr>
        <w:widowControl/>
        <w:kinsoku/>
        <w:wordWrap/>
        <w:topLinePunct w:val="0"/>
        <w:bidi w:val="0"/>
        <w:spacing w:line="360" w:lineRule="exact"/>
        <w:ind w:firstLine="484"/>
        <w:rPr>
          <w:rFonts w:hint="eastAsia" w:ascii="仿宋_GB2312" w:hAnsi="仿宋_GB2312" w:eastAsia="仿宋_GB2312" w:cs="仿宋_GB2312"/>
          <w:color w:val="000000"/>
          <w:spacing w:val="1"/>
          <w:sz w:val="24"/>
          <w:szCs w:val="24"/>
        </w:rPr>
      </w:pPr>
      <w:r>
        <w:rPr>
          <w:rFonts w:hint="eastAsia" w:ascii="仿宋_GB2312" w:hAnsi="仿宋_GB2312" w:eastAsia="仿宋_GB2312" w:cs="仿宋_GB2312"/>
          <w:color w:val="000000"/>
          <w:spacing w:val="1"/>
          <w:sz w:val="24"/>
          <w:szCs w:val="24"/>
        </w:rPr>
        <w:t>为贯彻落实省委、省政府关于数字化改革的重要决策部署，省经信厅先行开展化工产业大脑建设，化工产业大脑基于“1+N”工业互联网平台搭建应用场景，与一体化智能化公共数据平台数据共享交换。“1”指1个化工大脑平台，“N”指N个智慧园区。</w:t>
      </w:r>
      <w:bookmarkStart w:id="183" w:name="_Toc6066"/>
      <w:bookmarkStart w:id="184" w:name="_Toc76630573"/>
      <w:bookmarkStart w:id="185" w:name="_Toc23299"/>
      <w:bookmarkStart w:id="186" w:name="_Toc81552828"/>
    </w:p>
    <w:p>
      <w:pPr>
        <w:widowControl/>
        <w:kinsoku/>
        <w:wordWrap/>
        <w:topLinePunct w:val="0"/>
        <w:bidi w:val="0"/>
        <w:spacing w:line="360" w:lineRule="exact"/>
        <w:ind w:firstLine="484"/>
        <w:rPr>
          <w:rFonts w:hint="eastAsia" w:ascii="仿宋_GB2312" w:hAnsi="仿宋_GB2312" w:eastAsia="仿宋_GB2312" w:cs="仿宋_GB2312"/>
          <w:b/>
          <w:bCs/>
          <w:kern w:val="2"/>
          <w:sz w:val="24"/>
          <w:szCs w:val="24"/>
          <w:lang w:val="en-US" w:eastAsia="zh-CN" w:bidi="ar-SA"/>
        </w:rPr>
      </w:pPr>
    </w:p>
    <w:p>
      <w:pPr>
        <w:widowControl/>
        <w:kinsoku/>
        <w:wordWrap/>
        <w:topLinePunct w:val="0"/>
        <w:bidi w:val="0"/>
        <w:spacing w:line="360" w:lineRule="exact"/>
        <w:rPr>
          <w:rFonts w:hint="eastAsia" w:ascii="仿宋_GB2312" w:hAnsi="仿宋_GB2312" w:eastAsia="仿宋_GB2312" w:cs="仿宋_GB2312"/>
          <w:b/>
          <w:bCs/>
          <w:kern w:val="2"/>
          <w:sz w:val="24"/>
          <w:szCs w:val="24"/>
          <w:lang w:val="zh-CN" w:eastAsia="zh-CN" w:bidi="ar-SA"/>
        </w:rPr>
      </w:pPr>
      <w:r>
        <w:rPr>
          <w:rFonts w:hint="eastAsia" w:ascii="仿宋_GB2312" w:hAnsi="仿宋_GB2312" w:eastAsia="仿宋_GB2312" w:cs="仿宋_GB2312"/>
          <w:b/>
          <w:bCs/>
          <w:kern w:val="2"/>
          <w:sz w:val="24"/>
          <w:szCs w:val="24"/>
          <w:lang w:val="en-US" w:eastAsia="zh-CN" w:bidi="ar-SA"/>
        </w:rPr>
        <w:t>3.</w:t>
      </w:r>
      <w:r>
        <w:rPr>
          <w:rFonts w:hint="eastAsia" w:ascii="仿宋_GB2312" w:hAnsi="仿宋_GB2312" w:eastAsia="仿宋_GB2312" w:cs="仿宋_GB2312"/>
          <w:b/>
          <w:bCs/>
          <w:kern w:val="2"/>
          <w:sz w:val="24"/>
          <w:szCs w:val="24"/>
          <w:lang w:val="zh-CN" w:eastAsia="zh-CN" w:bidi="ar-SA"/>
        </w:rPr>
        <w:t>项目总体设计</w:t>
      </w:r>
      <w:bookmarkEnd w:id="183"/>
      <w:bookmarkEnd w:id="184"/>
      <w:bookmarkEnd w:id="185"/>
      <w:bookmarkEnd w:id="186"/>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187" w:name="_Toc81552829"/>
      <w:bookmarkStart w:id="188" w:name="_Toc26662"/>
      <w:bookmarkStart w:id="189" w:name="_Toc2454"/>
      <w:bookmarkStart w:id="190" w:name="_Toc76630574"/>
      <w:r>
        <w:rPr>
          <w:rFonts w:hint="eastAsia" w:hAnsi="仿宋_GB2312" w:cs="仿宋_GB2312"/>
          <w:sz w:val="24"/>
          <w:szCs w:val="24"/>
          <w:lang w:val="en-US" w:eastAsia="zh-CN"/>
        </w:rPr>
        <w:t>3.1</w:t>
      </w:r>
      <w:r>
        <w:rPr>
          <w:rFonts w:hint="eastAsia" w:ascii="仿宋_GB2312" w:hAnsi="仿宋_GB2312" w:eastAsia="仿宋_GB2312" w:cs="仿宋_GB2312"/>
          <w:sz w:val="24"/>
          <w:szCs w:val="24"/>
        </w:rPr>
        <w:t>建设原则</w:t>
      </w:r>
      <w:bookmarkEnd w:id="187"/>
      <w:bookmarkEnd w:id="188"/>
      <w:bookmarkEnd w:id="189"/>
      <w:bookmarkEnd w:id="190"/>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投标人针对整个系统设计需具有系统性、完整性、实用性、先进性、标准化、开放性、安全性、可靠性、经济性、灵活性等建设原则。</w:t>
      </w: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191" w:name="_Toc28737"/>
      <w:bookmarkStart w:id="192" w:name="_Toc81552835"/>
      <w:bookmarkStart w:id="193" w:name="_Toc31663"/>
      <w:bookmarkStart w:id="194" w:name="_Toc76630580"/>
      <w:r>
        <w:rPr>
          <w:rFonts w:hint="eastAsia" w:hAnsi="仿宋_GB2312" w:cs="仿宋_GB2312"/>
          <w:sz w:val="24"/>
          <w:szCs w:val="24"/>
          <w:lang w:val="en-US" w:eastAsia="zh-CN"/>
        </w:rPr>
        <w:t>3.2</w:t>
      </w:r>
      <w:r>
        <w:rPr>
          <w:rFonts w:hint="eastAsia" w:ascii="仿宋_GB2312" w:hAnsi="仿宋_GB2312" w:eastAsia="仿宋_GB2312" w:cs="仿宋_GB2312"/>
          <w:sz w:val="24"/>
          <w:szCs w:val="24"/>
        </w:rPr>
        <w:t>建设依据</w:t>
      </w:r>
      <w:bookmarkEnd w:id="191"/>
      <w:bookmarkEnd w:id="192"/>
      <w:bookmarkEnd w:id="193"/>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195" w:name="_Toc21165"/>
      <w:bookmarkStart w:id="196" w:name="_Toc3935"/>
      <w:bookmarkStart w:id="197" w:name="_Toc1402"/>
      <w:bookmarkStart w:id="198" w:name="_Toc10358"/>
      <w:bookmarkStart w:id="199" w:name="_Toc61611567"/>
      <w:bookmarkStart w:id="200" w:name="_Toc4323"/>
      <w:bookmarkStart w:id="201" w:name="_Toc81552836"/>
      <w:bookmarkStart w:id="202" w:name="_Toc17940"/>
      <w:bookmarkStart w:id="203" w:name="_Toc24470"/>
      <w:r>
        <w:rPr>
          <w:rFonts w:hint="eastAsia" w:ascii="仿宋_GB2312" w:hAnsi="仿宋_GB2312" w:eastAsia="仿宋_GB2312" w:cs="仿宋_GB2312"/>
          <w:sz w:val="24"/>
          <w:szCs w:val="24"/>
          <w:lang w:val="en-US" w:eastAsia="zh-CN"/>
        </w:rPr>
        <w:t>3.2.1</w:t>
      </w:r>
      <w:r>
        <w:rPr>
          <w:rFonts w:hint="eastAsia" w:ascii="仿宋_GB2312" w:hAnsi="仿宋_GB2312" w:eastAsia="仿宋_GB2312" w:cs="仿宋_GB2312"/>
          <w:sz w:val="24"/>
          <w:szCs w:val="24"/>
        </w:rPr>
        <w:t>法律法规</w:t>
      </w:r>
      <w:bookmarkEnd w:id="195"/>
      <w:bookmarkEnd w:id="196"/>
      <w:bookmarkEnd w:id="197"/>
      <w:bookmarkEnd w:id="198"/>
      <w:bookmarkEnd w:id="199"/>
      <w:bookmarkEnd w:id="200"/>
      <w:bookmarkEnd w:id="201"/>
      <w:bookmarkEnd w:id="202"/>
      <w:bookmarkEnd w:id="203"/>
    </w:p>
    <w:p>
      <w:pPr>
        <w:numPr>
          <w:ilvl w:val="0"/>
          <w:numId w:val="13"/>
        </w:numPr>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《中华人民共和国消防法》（主席令第6号）</w:t>
      </w:r>
    </w:p>
    <w:p>
      <w:pPr>
        <w:numPr>
          <w:ilvl w:val="0"/>
          <w:numId w:val="13"/>
        </w:numPr>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《中华人民共和国环境保护法》（主席令第9号）</w:t>
      </w:r>
    </w:p>
    <w:p>
      <w:pPr>
        <w:numPr>
          <w:ilvl w:val="0"/>
          <w:numId w:val="13"/>
        </w:numPr>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《中华人民共和国突发事件应对法》（主席令第69号）</w:t>
      </w:r>
    </w:p>
    <w:p>
      <w:pPr>
        <w:numPr>
          <w:ilvl w:val="0"/>
          <w:numId w:val="13"/>
        </w:numPr>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《中华人民共和国安全生产法》（主席令第70号）</w:t>
      </w:r>
    </w:p>
    <w:p>
      <w:pPr>
        <w:numPr>
          <w:ilvl w:val="0"/>
          <w:numId w:val="13"/>
        </w:numPr>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《危险化学品安全管理条例》 （国务院令第591号）</w:t>
      </w:r>
    </w:p>
    <w:p>
      <w:pPr>
        <w:numPr>
          <w:ilvl w:val="0"/>
          <w:numId w:val="13"/>
        </w:numPr>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《浙江省安全生产条例》 （常务委员会公告 第56号）</w:t>
      </w:r>
    </w:p>
    <w:p>
      <w:pPr>
        <w:numPr>
          <w:ilvl w:val="0"/>
          <w:numId w:val="13"/>
        </w:numPr>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《中华人民共和国职业病防治法》（中华人民共和国主席令第52号）</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04" w:name="_Toc9161"/>
      <w:bookmarkStart w:id="205" w:name="_Toc7060"/>
      <w:bookmarkStart w:id="206" w:name="_Toc12943"/>
      <w:bookmarkStart w:id="207" w:name="_Toc81552837"/>
      <w:bookmarkStart w:id="208" w:name="_Toc17016"/>
      <w:bookmarkStart w:id="209" w:name="_Toc15017"/>
      <w:bookmarkStart w:id="210" w:name="_Toc11936"/>
      <w:bookmarkStart w:id="211" w:name="_Toc15208"/>
      <w:bookmarkStart w:id="212" w:name="_Toc61611568"/>
      <w:bookmarkStart w:id="213" w:name="_Toc19025"/>
      <w:r>
        <w:rPr>
          <w:rFonts w:hint="eastAsia" w:ascii="仿宋_GB2312" w:hAnsi="仿宋_GB2312" w:eastAsia="仿宋_GB2312" w:cs="仿宋_GB2312"/>
          <w:sz w:val="24"/>
          <w:szCs w:val="24"/>
          <w:lang w:val="en-US" w:eastAsia="zh-CN"/>
        </w:rPr>
        <w:t>3.2.2</w:t>
      </w:r>
      <w:r>
        <w:rPr>
          <w:rFonts w:hint="eastAsia" w:ascii="仿宋_GB2312" w:hAnsi="仿宋_GB2312" w:eastAsia="仿宋_GB2312" w:cs="仿宋_GB2312"/>
          <w:sz w:val="24"/>
          <w:szCs w:val="24"/>
        </w:rPr>
        <w:t>标准规范</w:t>
      </w:r>
      <w:bookmarkEnd w:id="204"/>
      <w:bookmarkEnd w:id="205"/>
      <w:bookmarkEnd w:id="206"/>
      <w:bookmarkEnd w:id="207"/>
      <w:bookmarkEnd w:id="208"/>
      <w:bookmarkEnd w:id="209"/>
      <w:bookmarkEnd w:id="210"/>
      <w:bookmarkEnd w:id="211"/>
      <w:bookmarkEnd w:id="212"/>
      <w:bookmarkEnd w:id="213"/>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《危险化学品重大危险源辨识》 （GB 18218-2018）</w:t>
      </w:r>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《危险化学品从业单位安全标准化通用规范》（AQ 3013-2008）</w:t>
      </w:r>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《企业安全生产标准化基本规范》（GB/T 33000-2016）</w:t>
      </w:r>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《国家智能制造标准体系建设指南（2018年版）》</w:t>
      </w:r>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《智慧化工园区建设指南》（GB∕T 39218-2020）</w:t>
      </w:r>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《信息安全风险评估规范（2018年版）》</w:t>
      </w:r>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《大数据标准化白皮书(2018年版) 》</w:t>
      </w:r>
    </w:p>
    <w:p>
      <w:pPr>
        <w:numPr>
          <w:ilvl w:val="0"/>
          <w:numId w:val="13"/>
        </w:numPr>
        <w:kinsoku/>
        <w:wordWrap/>
        <w:topLinePunct w:val="0"/>
        <w:bidi w:val="0"/>
        <w:spacing w:line="360" w:lineRule="exact"/>
        <w:ind w:left="-420"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《国家安全监管总局办公厅关于印发安全生产信息化领域10项技术规范的通知》（安监总厅规划〔2016〕63号）</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14" w:name="_Toc17709"/>
      <w:bookmarkStart w:id="215" w:name="_Toc32577"/>
      <w:bookmarkStart w:id="216" w:name="_Toc18485"/>
      <w:bookmarkStart w:id="217" w:name="_Toc25305"/>
      <w:bookmarkStart w:id="218" w:name="_Toc8864"/>
      <w:bookmarkStart w:id="219" w:name="_Toc61611569"/>
      <w:bookmarkStart w:id="220" w:name="_Toc13035"/>
      <w:bookmarkStart w:id="221" w:name="_Toc81552838"/>
      <w:bookmarkStart w:id="222" w:name="_Toc24332"/>
      <w:bookmarkStart w:id="223" w:name="_Toc7604"/>
      <w:r>
        <w:rPr>
          <w:rFonts w:hint="eastAsia" w:ascii="仿宋_GB2312" w:hAnsi="仿宋_GB2312" w:eastAsia="仿宋_GB2312" w:cs="仿宋_GB2312"/>
          <w:sz w:val="24"/>
          <w:szCs w:val="24"/>
          <w:lang w:val="en-US" w:eastAsia="zh-CN"/>
        </w:rPr>
        <w:t>3.2.3</w:t>
      </w:r>
      <w:r>
        <w:rPr>
          <w:rFonts w:hint="eastAsia" w:ascii="仿宋_GB2312" w:hAnsi="仿宋_GB2312" w:eastAsia="仿宋_GB2312" w:cs="仿宋_GB2312"/>
          <w:sz w:val="24"/>
          <w:szCs w:val="24"/>
        </w:rPr>
        <w:t>行政规章与政策文件</w:t>
      </w:r>
      <w:bookmarkEnd w:id="214"/>
      <w:bookmarkEnd w:id="215"/>
      <w:bookmarkEnd w:id="216"/>
      <w:bookmarkEnd w:id="217"/>
      <w:bookmarkEnd w:id="218"/>
      <w:bookmarkEnd w:id="219"/>
      <w:bookmarkEnd w:id="220"/>
      <w:bookmarkEnd w:id="221"/>
      <w:bookmarkEnd w:id="222"/>
      <w:bookmarkEnd w:id="223"/>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《关于公布首批重点监管的危险化工工艺目录的通知》（安监总管三〔2009〕116号）</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《安全生产事故隐患排查治理暂行规定》（国家安全生产监督管理总局令第16号）</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《国务院关于进一步加强企业安全生产工作的通知》（国发[2010]23号）</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《国务院关于坚持科学发展安全发展促进安全生产形势持续稳定好转的意见》（国发[2011]40号）</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《国务院安委会办公室关于进一步加强化工园区安全管理的指导意见》  (安委办[2012]37号)</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《突发事件隐患排查治理暂行规定》  (国家安监总局第16号令)</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《危险化学品安全管理条例》（国务院第645号令）</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《危险化学品重大危险源监督管理暂行规定》  (国家安监总局第40号令)</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《危险化学品输送管道安全管理规定》（国家安监总局第43号令）</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《危险化学品登记管理办法》（国家安监总局第53号令）</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《关于进一步加强应急平台体系建设的意见》  （安监总应急〔2012〕114号）</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《临安区突发事件总体应急预案》（临政办[2020]33 号）</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《临安区天目医药港化工集聚区生产安全事故风险辨识评估报告》（2021年）；</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《天目医药港化工集聚区化工产业发展规划》（2021年）</w:t>
      </w:r>
    </w:p>
    <w:p>
      <w:pPr>
        <w:pStyle w:val="934"/>
        <w:numPr>
          <w:ilvl w:val="0"/>
          <w:numId w:val="14"/>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《临安天目医药港化工集聚区控规研究》（2021年）</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24" w:name="_Toc20088"/>
      <w:bookmarkStart w:id="225" w:name="_Toc2352"/>
      <w:bookmarkStart w:id="226" w:name="_Toc26883"/>
      <w:bookmarkStart w:id="227" w:name="_Toc274"/>
      <w:bookmarkStart w:id="228" w:name="_Toc61611570"/>
      <w:bookmarkStart w:id="229" w:name="_Toc81552839"/>
      <w:bookmarkStart w:id="230" w:name="_Toc11791"/>
      <w:bookmarkStart w:id="231" w:name="_Toc6997"/>
      <w:bookmarkStart w:id="232" w:name="_Toc9079"/>
      <w:bookmarkStart w:id="233" w:name="_Toc4454"/>
      <w:r>
        <w:rPr>
          <w:rFonts w:hint="eastAsia" w:ascii="仿宋_GB2312" w:hAnsi="仿宋_GB2312" w:eastAsia="仿宋_GB2312" w:cs="仿宋_GB2312"/>
          <w:sz w:val="24"/>
          <w:szCs w:val="24"/>
          <w:lang w:val="en-US" w:eastAsia="zh-CN"/>
        </w:rPr>
        <w:t>3.2.4</w:t>
      </w:r>
      <w:r>
        <w:rPr>
          <w:rFonts w:hint="eastAsia" w:ascii="仿宋_GB2312" w:hAnsi="仿宋_GB2312" w:eastAsia="仿宋_GB2312" w:cs="仿宋_GB2312"/>
          <w:sz w:val="24"/>
          <w:szCs w:val="24"/>
        </w:rPr>
        <w:t>指导性文件</w:t>
      </w:r>
      <w:bookmarkEnd w:id="224"/>
      <w:bookmarkEnd w:id="225"/>
      <w:bookmarkEnd w:id="226"/>
      <w:bookmarkEnd w:id="227"/>
      <w:bookmarkEnd w:id="228"/>
      <w:bookmarkEnd w:id="229"/>
      <w:bookmarkEnd w:id="230"/>
      <w:bookmarkEnd w:id="231"/>
      <w:bookmarkEnd w:id="232"/>
      <w:bookmarkEnd w:id="233"/>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《生态环境大数据建设总体方案》</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《化工园区公共管廊管理规程》</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《浙江省工业污染防治“十三五”规划》</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《浙江省大气污染防治条例》</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《浙江省大气污染防治“十三五”规划》</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《浙江省水污染防治行动计划》</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《浙江省危险废物利用处置设施建设规划（2019-2022年）》 </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《浙江省环境保护“十三五”规划》</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《浙江省污染源自动监测监控信息传输管理办法》</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《关于进一步推进危货道路运输单位和危化品装货单位信息互联点的通知（浙交（2019）25号》</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《国家安全监管总局关于印发&lt;国家安全生产监管信息平台总体建设方案&gt;的通知》（安监总规划〔2015〕6号）</w:t>
      </w:r>
    </w:p>
    <w:p>
      <w:pPr>
        <w:numPr>
          <w:ilvl w:val="0"/>
          <w:numId w:val="15"/>
        </w:numPr>
        <w:kinsoku/>
        <w:wordWrap/>
        <w:topLinePunct w:val="0"/>
        <w:bidi w:val="0"/>
        <w:spacing w:line="360" w:lineRule="exact"/>
        <w:ind w:left="0"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《国务院安委会办公室关于印发标本兼治遏制重特大事故工作指南的通知》（安委办〔2016〕3号）</w:t>
      </w:r>
    </w:p>
    <w:p>
      <w:pPr>
        <w:pStyle w:val="934"/>
        <w:numPr>
          <w:ilvl w:val="0"/>
          <w:numId w:val="15"/>
        </w:numPr>
        <w:tabs>
          <w:tab w:val="clear" w:pos="240"/>
          <w:tab w:val="clear" w:pos="420"/>
        </w:tabs>
        <w:kinsoku/>
        <w:wordWrap/>
        <w:topLinePunct w:val="0"/>
        <w:bidi w:val="0"/>
        <w:adjustRightInd w:val="0"/>
        <w:spacing w:line="360" w:lineRule="exact"/>
        <w:ind w:left="0" w:firstLine="0"/>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《浙江省经济和信息化厅关于推进全省化工园区（集聚区）数字化建设工作的通知》（浙经信材料〔2021〕57号）</w:t>
      </w:r>
    </w:p>
    <w:p>
      <w:pPr>
        <w:pStyle w:val="4"/>
        <w:numPr>
          <w:ilvl w:val="0"/>
          <w:numId w:val="0"/>
        </w:numPr>
        <w:kinsoku/>
        <w:wordWrap/>
        <w:topLinePunct w:val="0"/>
        <w:bidi w:val="0"/>
        <w:spacing w:line="360" w:lineRule="exact"/>
        <w:ind w:leftChars="0"/>
        <w:rPr>
          <w:rFonts w:hint="eastAsia" w:hAnsi="仿宋_GB2312" w:cs="仿宋_GB2312"/>
          <w:sz w:val="24"/>
          <w:szCs w:val="24"/>
          <w:lang w:val="en-US" w:eastAsia="zh-CN"/>
        </w:rPr>
      </w:pPr>
      <w:bookmarkStart w:id="234" w:name="_Toc81552840"/>
      <w:bookmarkStart w:id="235" w:name="_Toc22771"/>
      <w:bookmarkStart w:id="236" w:name="_Toc1334"/>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hAnsi="仿宋_GB2312" w:cs="仿宋_GB2312"/>
          <w:sz w:val="24"/>
          <w:szCs w:val="24"/>
          <w:lang w:val="en-US" w:eastAsia="zh-CN"/>
        </w:rPr>
        <w:t>3.3</w:t>
      </w:r>
      <w:r>
        <w:rPr>
          <w:rFonts w:hint="eastAsia" w:ascii="仿宋_GB2312" w:hAnsi="仿宋_GB2312" w:eastAsia="仿宋_GB2312" w:cs="仿宋_GB2312"/>
          <w:sz w:val="24"/>
          <w:szCs w:val="24"/>
        </w:rPr>
        <w:t>系统架构</w:t>
      </w:r>
      <w:bookmarkEnd w:id="194"/>
      <w:r>
        <w:rPr>
          <w:rFonts w:hint="eastAsia" w:ascii="仿宋_GB2312" w:hAnsi="仿宋_GB2312" w:eastAsia="仿宋_GB2312" w:cs="仿宋_GB2312"/>
          <w:sz w:val="24"/>
          <w:szCs w:val="24"/>
        </w:rPr>
        <w:t>设计</w:t>
      </w:r>
      <w:bookmarkEnd w:id="234"/>
      <w:bookmarkEnd w:id="235"/>
      <w:bookmarkEnd w:id="236"/>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37" w:name="_Toc9198"/>
      <w:bookmarkStart w:id="238" w:name="_Toc29607"/>
      <w:bookmarkStart w:id="239" w:name="_Toc81552841"/>
      <w:r>
        <w:rPr>
          <w:rFonts w:hint="eastAsia" w:ascii="仿宋_GB2312" w:hAnsi="仿宋_GB2312" w:eastAsia="仿宋_GB2312" w:cs="仿宋_GB2312"/>
          <w:sz w:val="24"/>
          <w:szCs w:val="24"/>
          <w:lang w:val="en-US" w:eastAsia="zh-CN"/>
        </w:rPr>
        <w:t>3.3.1</w:t>
      </w:r>
      <w:r>
        <w:rPr>
          <w:rFonts w:hint="eastAsia" w:ascii="仿宋_GB2312" w:hAnsi="仿宋_GB2312" w:eastAsia="仿宋_GB2312" w:cs="仿宋_GB2312"/>
          <w:sz w:val="24"/>
          <w:szCs w:val="24"/>
        </w:rPr>
        <w:t>总体架构</w:t>
      </w:r>
      <w:bookmarkEnd w:id="237"/>
      <w:bookmarkEnd w:id="238"/>
      <w:bookmarkEnd w:id="239"/>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基于工业互联网平台，借助云计算、5G、物联网、AI等新一代信息技术，采用“平台+APP应用”的总体思路，建设满足园区智慧化管理应用平台。</w:t>
      </w:r>
    </w:p>
    <w:p>
      <w:pPr>
        <w:pStyle w:val="935"/>
        <w:kinsoku/>
        <w:wordWrap/>
        <w:topLinePunct w:val="0"/>
        <w:bidi w:val="0"/>
        <w:spacing w:line="36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drawing>
          <wp:anchor distT="0" distB="0" distL="0" distR="0" simplePos="0" relativeHeight="251661312" behindDoc="0" locked="0" layoutInCell="1" allowOverlap="1">
            <wp:simplePos x="0" y="0"/>
            <wp:positionH relativeFrom="column">
              <wp:posOffset>499110</wp:posOffset>
            </wp:positionH>
            <wp:positionV relativeFrom="paragraph">
              <wp:posOffset>115570</wp:posOffset>
            </wp:positionV>
            <wp:extent cx="4379595" cy="2345055"/>
            <wp:effectExtent l="0" t="0" r="1905" b="17145"/>
            <wp:wrapTopAndBottom/>
            <wp:docPr id="103" name="图片 103" descr="C:\Users\86137\Desktop\图片1.jpg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descr="C:\Users\86137\Desktop\图片1.jpg图片1"/>
                    <pic:cNvPicPr>
                      <a:picLocks noChangeAspect="1"/>
                    </pic:cNvPicPr>
                  </pic:nvPicPr>
                  <pic:blipFill>
                    <a:blip r:embed="rId24"/>
                    <a:srcRect/>
                    <a:stretch>
                      <a:fillRect/>
                    </a:stretch>
                  </pic:blipFill>
                  <pic:spPr>
                    <a:xfrm>
                      <a:off x="0" y="0"/>
                      <a:ext cx="4379595" cy="2345055"/>
                    </a:xfrm>
                    <a:prstGeom prst="rect">
                      <a:avLst/>
                    </a:prstGeom>
                  </pic:spPr>
                </pic:pic>
              </a:graphicData>
            </a:graphic>
          </wp:anchor>
        </w:drawing>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40" w:name="_Toc4281"/>
      <w:bookmarkStart w:id="241" w:name="_Toc26043"/>
      <w:bookmarkStart w:id="242" w:name="_Toc81552842"/>
      <w:r>
        <w:rPr>
          <w:rFonts w:hint="eastAsia" w:ascii="仿宋_GB2312" w:hAnsi="仿宋_GB2312" w:eastAsia="仿宋_GB2312" w:cs="仿宋_GB2312"/>
          <w:sz w:val="24"/>
          <w:szCs w:val="24"/>
          <w:lang w:val="en-US" w:eastAsia="zh-CN"/>
        </w:rPr>
        <w:t>3.3.2</w:t>
      </w:r>
      <w:r>
        <w:rPr>
          <w:rFonts w:hint="eastAsia" w:ascii="仿宋_GB2312" w:hAnsi="仿宋_GB2312" w:eastAsia="仿宋_GB2312" w:cs="仿宋_GB2312"/>
          <w:sz w:val="24"/>
          <w:szCs w:val="24"/>
        </w:rPr>
        <w:t>网络架构</w:t>
      </w:r>
      <w:bookmarkEnd w:id="240"/>
      <w:bookmarkEnd w:id="241"/>
      <w:bookmarkEnd w:id="242"/>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网络系统是园区相关业务数据传输和交换的基础设施，必须满足管委会及相关部门之间的互联及各类业务数据的传输，同时应满足企业视频监控信息、园区全景监控信息、采集仪信息上传的专线连通。根据智慧园区规划设计和建设的要求，需要实现园区网络的全覆盖。</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根据园区实际网络需求，天目医药港智慧园区整体网络架构示意图如下所示：</w:t>
      </w:r>
    </w:p>
    <w:p>
      <w:pPr>
        <w:pStyle w:val="935"/>
        <w:keepNext/>
        <w:kinsoku/>
        <w:wordWrap/>
        <w:topLinePunct w:val="0"/>
        <w:bidi w:val="0"/>
        <w:spacing w:line="36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drawing>
          <wp:anchor distT="0" distB="0" distL="114300" distR="114300" simplePos="0" relativeHeight="251662336" behindDoc="0" locked="0" layoutInCell="1" allowOverlap="1">
            <wp:simplePos x="0" y="0"/>
            <wp:positionH relativeFrom="column">
              <wp:posOffset>565785</wp:posOffset>
            </wp:positionH>
            <wp:positionV relativeFrom="paragraph">
              <wp:posOffset>222885</wp:posOffset>
            </wp:positionV>
            <wp:extent cx="4279900" cy="2399665"/>
            <wp:effectExtent l="0" t="0" r="6350" b="635"/>
            <wp:wrapTopAndBottom/>
            <wp:docPr id="6"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2"/>
                    <pic:cNvPicPr>
                      <a:picLocks noChangeAspect="1"/>
                    </pic:cNvPicPr>
                  </pic:nvPicPr>
                  <pic:blipFill>
                    <a:blip r:embed="rId25"/>
                    <a:stretch>
                      <a:fillRect/>
                    </a:stretch>
                  </pic:blipFill>
                  <pic:spPr>
                    <a:xfrm>
                      <a:off x="0" y="0"/>
                      <a:ext cx="4279900" cy="2399665"/>
                    </a:xfrm>
                    <a:prstGeom prst="rect">
                      <a:avLst/>
                    </a:prstGeom>
                    <a:noFill/>
                    <a:ln>
                      <a:noFill/>
                    </a:ln>
                  </pic:spPr>
                </pic:pic>
              </a:graphicData>
            </a:graphic>
          </wp:anchor>
        </w:drawing>
      </w:r>
      <w:r>
        <w:rPr>
          <w:rFonts w:hint="eastAsia" w:ascii="仿宋_GB2312" w:hAnsi="仿宋_GB2312" w:eastAsia="仿宋_GB2312" w:cs="仿宋_GB2312"/>
          <w:sz w:val="24"/>
          <w:szCs w:val="24"/>
        </w:rPr>
        <w:t>图 系统网络拓扑图</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43" w:name="_Toc4224"/>
      <w:bookmarkStart w:id="244" w:name="_Toc26375"/>
      <w:bookmarkStart w:id="245" w:name="_Toc81552843"/>
      <w:r>
        <w:rPr>
          <w:rFonts w:hint="eastAsia" w:ascii="仿宋_GB2312" w:hAnsi="仿宋_GB2312" w:eastAsia="仿宋_GB2312" w:cs="仿宋_GB2312"/>
          <w:sz w:val="24"/>
          <w:szCs w:val="24"/>
          <w:lang w:val="en-US" w:eastAsia="zh-CN"/>
        </w:rPr>
        <w:t>3.3.3</w:t>
      </w:r>
      <w:r>
        <w:rPr>
          <w:rFonts w:hint="eastAsia" w:ascii="仿宋_GB2312" w:hAnsi="仿宋_GB2312" w:eastAsia="仿宋_GB2312" w:cs="仿宋_GB2312"/>
          <w:sz w:val="24"/>
          <w:szCs w:val="24"/>
        </w:rPr>
        <w:t>系统部署方案</w:t>
      </w:r>
      <w:bookmarkEnd w:id="243"/>
      <w:bookmarkEnd w:id="244"/>
      <w:bookmarkEnd w:id="245"/>
    </w:p>
    <w:p>
      <w:pPr>
        <w:pStyle w:val="936"/>
        <w:kinsoku/>
        <w:wordWrap/>
        <w:topLinePunct w:val="0"/>
        <w:bidi w:val="0"/>
        <w:adjustRightInd w:val="0"/>
        <w:spacing w:line="360" w:lineRule="exact"/>
        <w:jc w:val="left"/>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为保证园区资源的有效利用，避免重复建设，结合大数据局及园区实际情况，智慧园区平台采用本地部署结合大数据局提供政务云进行业务模块的云部署方案。园区企业的视频监控信息上传本地机房。平台的其他基础支撑平台、业务模块系统和业务数据直接部署、保存在政务云平台。</w:t>
      </w:r>
    </w:p>
    <w:p>
      <w:pPr>
        <w:pStyle w:val="5"/>
        <w:numPr>
          <w:ilvl w:val="2"/>
          <w:numId w:val="0"/>
        </w:numPr>
        <w:kinsoku/>
        <w:wordWrap/>
        <w:topLinePunct w:val="0"/>
        <w:bidi w:val="0"/>
        <w:spacing w:line="360" w:lineRule="exact"/>
        <w:ind w:left="-720" w:leftChars="0" w:firstLine="723" w:firstLineChars="300"/>
        <w:rPr>
          <w:rFonts w:hint="eastAsia" w:ascii="仿宋_GB2312" w:hAnsi="仿宋_GB2312" w:eastAsia="仿宋_GB2312" w:cs="仿宋_GB2312"/>
          <w:sz w:val="24"/>
          <w:szCs w:val="24"/>
        </w:rPr>
      </w:pPr>
      <w:bookmarkStart w:id="246" w:name="_Toc16954"/>
      <w:bookmarkStart w:id="247" w:name="_Toc27775"/>
      <w:bookmarkStart w:id="248" w:name="_Toc81552844"/>
      <w:bookmarkStart w:id="249" w:name="_Toc1643"/>
      <w:bookmarkStart w:id="250" w:name="_Toc28602"/>
      <w:bookmarkStart w:id="251" w:name="_Toc15867"/>
      <w:bookmarkStart w:id="252" w:name="_Toc76630572"/>
      <w:bookmarkStart w:id="253" w:name="_Toc14795"/>
      <w:bookmarkStart w:id="254" w:name="_Toc76630581"/>
      <w:bookmarkStart w:id="255" w:name="_Toc11787"/>
      <w:r>
        <w:rPr>
          <w:rFonts w:hint="eastAsia" w:ascii="仿宋_GB2312" w:hAnsi="仿宋_GB2312" w:eastAsia="仿宋_GB2312" w:cs="仿宋_GB2312"/>
          <w:sz w:val="24"/>
          <w:szCs w:val="24"/>
          <w:lang w:val="en-US" w:eastAsia="zh-CN"/>
        </w:rPr>
        <w:t>3.3.4</w:t>
      </w:r>
      <w:r>
        <w:rPr>
          <w:rFonts w:hint="eastAsia" w:ascii="仿宋_GB2312" w:hAnsi="仿宋_GB2312" w:eastAsia="仿宋_GB2312" w:cs="仿宋_GB2312"/>
          <w:sz w:val="24"/>
          <w:szCs w:val="24"/>
        </w:rPr>
        <w:t>平台安全</w:t>
      </w:r>
      <w:bookmarkEnd w:id="246"/>
      <w:bookmarkEnd w:id="247"/>
      <w:r>
        <w:rPr>
          <w:rFonts w:hint="eastAsia" w:ascii="仿宋_GB2312" w:hAnsi="仿宋_GB2312" w:eastAsia="仿宋_GB2312" w:cs="仿宋_GB2312"/>
          <w:sz w:val="24"/>
          <w:szCs w:val="24"/>
        </w:rPr>
        <w:t>服务</w:t>
      </w:r>
      <w:bookmarkEnd w:id="248"/>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随着信</w:t>
      </w:r>
      <w:r>
        <w:rPr>
          <w:rFonts w:hint="eastAsia" w:ascii="仿宋_GB2312" w:hAnsi="仿宋_GB2312" w:eastAsia="仿宋_GB2312" w:cs="仿宋_GB2312"/>
          <w:sz w:val="24"/>
          <w:szCs w:val="24"/>
          <w:lang w:val="zh-CN"/>
        </w:rPr>
        <w:t>息技术的不断发展，网络攻击、勒索病毒等对园区信息化建设构成了较大的挑战，一旦受到攻击破坏会对园区企业正常生产和公共服务造成损害。</w:t>
      </w:r>
      <w:r>
        <w:rPr>
          <w:rFonts w:hint="eastAsia" w:ascii="仿宋_GB2312" w:hAnsi="仿宋_GB2312" w:eastAsia="仿宋_GB2312" w:cs="仿宋_GB2312"/>
          <w:sz w:val="24"/>
          <w:szCs w:val="24"/>
        </w:rPr>
        <w:t>智慧园区</w:t>
      </w:r>
      <w:r>
        <w:rPr>
          <w:rFonts w:hint="eastAsia" w:ascii="仿宋_GB2312" w:hAnsi="仿宋_GB2312" w:eastAsia="仿宋_GB2312" w:cs="仿宋_GB2312"/>
          <w:sz w:val="24"/>
          <w:szCs w:val="24"/>
          <w:lang w:val="zh-CN"/>
        </w:rPr>
        <w:t>平台的安全架构</w:t>
      </w:r>
      <w:r>
        <w:rPr>
          <w:rFonts w:hint="eastAsia" w:ascii="仿宋_GB2312" w:hAnsi="仿宋_GB2312" w:eastAsia="仿宋_GB2312" w:cs="仿宋_GB2312"/>
          <w:sz w:val="24"/>
          <w:szCs w:val="24"/>
        </w:rPr>
        <w:t>既要</w:t>
      </w:r>
      <w:r>
        <w:rPr>
          <w:rFonts w:hint="eastAsia" w:ascii="仿宋_GB2312" w:hAnsi="仿宋_GB2312" w:eastAsia="仿宋_GB2312" w:cs="仿宋_GB2312"/>
          <w:sz w:val="24"/>
          <w:szCs w:val="24"/>
          <w:lang w:val="zh-CN"/>
        </w:rPr>
        <w:t>能够满足业务系统安全防护需求，也能满足相关标准和法规的要求。平台</w:t>
      </w:r>
      <w:r>
        <w:rPr>
          <w:rFonts w:hint="eastAsia" w:ascii="仿宋_GB2312" w:hAnsi="仿宋_GB2312" w:eastAsia="仿宋_GB2312" w:cs="仿宋_GB2312"/>
          <w:sz w:val="24"/>
          <w:szCs w:val="24"/>
        </w:rPr>
        <w:t>的</w:t>
      </w:r>
      <w:r>
        <w:rPr>
          <w:rFonts w:hint="eastAsia" w:ascii="仿宋_GB2312" w:hAnsi="仿宋_GB2312" w:eastAsia="仿宋_GB2312" w:cs="仿宋_GB2312"/>
          <w:sz w:val="24"/>
          <w:szCs w:val="24"/>
          <w:lang w:val="zh-CN"/>
        </w:rPr>
        <w:t>安全</w:t>
      </w:r>
      <w:r>
        <w:rPr>
          <w:rFonts w:hint="eastAsia" w:ascii="仿宋_GB2312" w:hAnsi="仿宋_GB2312" w:eastAsia="仿宋_GB2312" w:cs="仿宋_GB2312"/>
          <w:sz w:val="24"/>
          <w:szCs w:val="24"/>
        </w:rPr>
        <w:t>体系要</w:t>
      </w:r>
      <w:r>
        <w:rPr>
          <w:rFonts w:hint="eastAsia" w:ascii="仿宋_GB2312" w:hAnsi="仿宋_GB2312" w:eastAsia="仿宋_GB2312" w:cs="仿宋_GB2312"/>
          <w:sz w:val="24"/>
          <w:szCs w:val="24"/>
          <w:lang w:val="zh-CN"/>
        </w:rPr>
        <w:t>确保平台符合</w:t>
      </w:r>
      <w:r>
        <w:rPr>
          <w:rFonts w:hint="eastAsia" w:ascii="仿宋_GB2312" w:hAnsi="仿宋_GB2312" w:eastAsia="仿宋_GB2312" w:cs="仿宋_GB2312"/>
          <w:sz w:val="24"/>
          <w:szCs w:val="24"/>
        </w:rPr>
        <w:t>信息系统安全等级保护</w:t>
      </w:r>
      <w:r>
        <w:rPr>
          <w:rFonts w:hint="eastAsia" w:ascii="仿宋_GB2312" w:hAnsi="仿宋_GB2312" w:eastAsia="仿宋_GB2312" w:cs="仿宋_GB2312"/>
          <w:sz w:val="24"/>
          <w:szCs w:val="24"/>
          <w:lang w:val="zh-CN"/>
        </w:rPr>
        <w:t>要求，</w:t>
      </w:r>
      <w:r>
        <w:rPr>
          <w:rFonts w:hint="eastAsia" w:ascii="仿宋_GB2312" w:hAnsi="仿宋_GB2312" w:eastAsia="仿宋_GB2312" w:cs="仿宋_GB2312"/>
          <w:sz w:val="24"/>
          <w:szCs w:val="24"/>
        </w:rPr>
        <w:t>园区</w:t>
      </w:r>
      <w:r>
        <w:rPr>
          <w:rFonts w:hint="eastAsia" w:ascii="仿宋_GB2312" w:hAnsi="仿宋_GB2312" w:eastAsia="仿宋_GB2312" w:cs="仿宋_GB2312"/>
          <w:sz w:val="24"/>
          <w:szCs w:val="24"/>
          <w:lang w:val="zh-CN"/>
        </w:rPr>
        <w:t>平台</w:t>
      </w:r>
      <w:r>
        <w:rPr>
          <w:rFonts w:hint="eastAsia" w:ascii="仿宋_GB2312" w:hAnsi="仿宋_GB2312" w:eastAsia="仿宋_GB2312" w:cs="仿宋_GB2312"/>
          <w:sz w:val="24"/>
          <w:szCs w:val="24"/>
        </w:rPr>
        <w:t>租用公有云的</w:t>
      </w:r>
      <w:r>
        <w:rPr>
          <w:rFonts w:hint="eastAsia" w:ascii="仿宋_GB2312" w:hAnsi="仿宋_GB2312" w:eastAsia="仿宋_GB2312" w:cs="仿宋_GB2312"/>
          <w:sz w:val="24"/>
          <w:szCs w:val="24"/>
          <w:lang w:val="zh-CN"/>
        </w:rPr>
        <w:t>堡垒机、WAF、日志审计、数据库审计</w:t>
      </w:r>
      <w:r>
        <w:rPr>
          <w:rFonts w:hint="eastAsia" w:ascii="仿宋_GB2312" w:hAnsi="仿宋_GB2312" w:eastAsia="仿宋_GB2312" w:cs="仿宋_GB2312"/>
          <w:sz w:val="24"/>
          <w:szCs w:val="24"/>
        </w:rPr>
        <w:t>等安全服务。具体配置清单如下：</w:t>
      </w:r>
    </w:p>
    <w:tbl>
      <w:tblPr>
        <w:tblStyle w:val="62"/>
        <w:tblW w:w="7858" w:type="dxa"/>
        <w:jc w:val="center"/>
        <w:tblLayout w:type="fixed"/>
        <w:tblCellMar>
          <w:top w:w="0" w:type="dxa"/>
          <w:left w:w="0" w:type="dxa"/>
          <w:bottom w:w="0" w:type="dxa"/>
          <w:right w:w="0" w:type="dxa"/>
        </w:tblCellMar>
      </w:tblPr>
      <w:tblGrid>
        <w:gridCol w:w="538"/>
        <w:gridCol w:w="1476"/>
        <w:gridCol w:w="4430"/>
        <w:gridCol w:w="763"/>
        <w:gridCol w:w="651"/>
      </w:tblGrid>
      <w:tr>
        <w:tblPrEx>
          <w:tblCellMar>
            <w:top w:w="0" w:type="dxa"/>
            <w:left w:w="0" w:type="dxa"/>
            <w:bottom w:w="0" w:type="dxa"/>
            <w:right w:w="0" w:type="dxa"/>
          </w:tblCellMar>
        </w:tblPrEx>
        <w:trPr>
          <w:trHeight w:val="456" w:hRule="atLeast"/>
          <w:jc w:val="center"/>
        </w:trPr>
        <w:tc>
          <w:tcPr>
            <w:tcW w:w="53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color w:val="000000"/>
                <w:sz w:val="24"/>
                <w:szCs w:val="24"/>
              </w:rPr>
            </w:pPr>
            <w:r>
              <w:rPr>
                <w:rStyle w:val="700"/>
                <w:rFonts w:hint="eastAsia" w:ascii="仿宋_GB2312" w:hAnsi="仿宋_GB2312" w:eastAsia="仿宋_GB2312" w:cs="仿宋_GB2312"/>
                <w:sz w:val="24"/>
                <w:szCs w:val="24"/>
                <w:lang w:bidi="ar"/>
              </w:rPr>
              <w:t>序号</w:t>
            </w:r>
          </w:p>
        </w:tc>
        <w:tc>
          <w:tcPr>
            <w:tcW w:w="1476" w:type="dxa"/>
            <w:tcBorders>
              <w:top w:val="single" w:color="000000" w:sz="4" w:space="0"/>
              <w:left w:val="single" w:color="000000" w:sz="4" w:space="0"/>
              <w:bottom w:val="single" w:color="000000" w:sz="4" w:space="0"/>
              <w:right w:val="single" w:color="000000" w:sz="4" w:space="0"/>
            </w:tcBorders>
            <w:shd w:val="clear" w:color="auto" w:fill="FFFFFF"/>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color w:val="000000"/>
                <w:sz w:val="24"/>
                <w:szCs w:val="24"/>
              </w:rPr>
            </w:pPr>
            <w:r>
              <w:rPr>
                <w:rStyle w:val="700"/>
                <w:rFonts w:hint="eastAsia" w:ascii="仿宋_GB2312" w:hAnsi="仿宋_GB2312" w:eastAsia="仿宋_GB2312" w:cs="仿宋_GB2312"/>
                <w:sz w:val="24"/>
                <w:szCs w:val="24"/>
                <w:lang w:bidi="ar"/>
              </w:rPr>
              <w:t>名称</w:t>
            </w:r>
          </w:p>
        </w:tc>
        <w:tc>
          <w:tcPr>
            <w:tcW w:w="4430" w:type="dxa"/>
            <w:tcBorders>
              <w:top w:val="single" w:color="000000" w:sz="4" w:space="0"/>
              <w:left w:val="single" w:color="000000" w:sz="4" w:space="0"/>
              <w:bottom w:val="single" w:color="000000" w:sz="4" w:space="0"/>
              <w:right w:val="single" w:color="000000" w:sz="4" w:space="0"/>
            </w:tcBorders>
            <w:shd w:val="clear" w:color="auto" w:fill="FFFFFF"/>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color w:val="000000"/>
                <w:sz w:val="24"/>
                <w:szCs w:val="24"/>
              </w:rPr>
            </w:pPr>
            <w:r>
              <w:rPr>
                <w:rFonts w:hint="eastAsia" w:ascii="仿宋_GB2312" w:hAnsi="仿宋_GB2312" w:eastAsia="仿宋_GB2312" w:cs="仿宋_GB2312"/>
                <w:b/>
                <w:color w:val="000000"/>
                <w:kern w:val="0"/>
                <w:sz w:val="24"/>
                <w:szCs w:val="24"/>
                <w:lang w:bidi="ar"/>
              </w:rPr>
              <w:t>具体配置</w:t>
            </w:r>
          </w:p>
        </w:tc>
        <w:tc>
          <w:tcPr>
            <w:tcW w:w="763" w:type="dxa"/>
            <w:tcBorders>
              <w:top w:val="single" w:color="000000" w:sz="4" w:space="0"/>
              <w:left w:val="single" w:color="000000" w:sz="4" w:space="0"/>
              <w:bottom w:val="single" w:color="000000" w:sz="4" w:space="0"/>
              <w:right w:val="single" w:color="000000" w:sz="4" w:space="0"/>
            </w:tcBorders>
            <w:shd w:val="clear" w:color="auto" w:fill="FFFFFF"/>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color w:val="000000"/>
                <w:sz w:val="24"/>
                <w:szCs w:val="24"/>
              </w:rPr>
            </w:pPr>
            <w:r>
              <w:rPr>
                <w:rStyle w:val="700"/>
                <w:rFonts w:hint="eastAsia" w:ascii="仿宋_GB2312" w:hAnsi="仿宋_GB2312" w:eastAsia="仿宋_GB2312" w:cs="仿宋_GB2312"/>
                <w:sz w:val="24"/>
                <w:szCs w:val="24"/>
                <w:lang w:bidi="ar"/>
              </w:rPr>
              <w:t>单位</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color w:val="000000"/>
                <w:sz w:val="24"/>
                <w:szCs w:val="24"/>
              </w:rPr>
            </w:pPr>
            <w:r>
              <w:rPr>
                <w:rStyle w:val="700"/>
                <w:rFonts w:hint="eastAsia" w:ascii="仿宋_GB2312" w:hAnsi="仿宋_GB2312" w:eastAsia="仿宋_GB2312" w:cs="仿宋_GB2312"/>
                <w:sz w:val="24"/>
                <w:szCs w:val="24"/>
                <w:lang w:bidi="ar"/>
              </w:rPr>
              <w:t>数量</w:t>
            </w:r>
          </w:p>
        </w:tc>
      </w:tr>
      <w:tr>
        <w:tblPrEx>
          <w:tblCellMar>
            <w:top w:w="0" w:type="dxa"/>
            <w:left w:w="0" w:type="dxa"/>
            <w:bottom w:w="0" w:type="dxa"/>
            <w:right w:w="0" w:type="dxa"/>
          </w:tblCellMar>
        </w:tblPrEx>
        <w:trPr>
          <w:trHeight w:val="590" w:hRule="atLeast"/>
          <w:jc w:val="center"/>
        </w:trPr>
        <w:tc>
          <w:tcPr>
            <w:tcW w:w="53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kern w:val="0"/>
                <w:sz w:val="24"/>
                <w:szCs w:val="24"/>
                <w:lang w:bidi="ar"/>
              </w:rPr>
              <w:t>1</w:t>
            </w:r>
          </w:p>
        </w:tc>
        <w:tc>
          <w:tcPr>
            <w:tcW w:w="147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堡垒机服务</w:t>
            </w:r>
          </w:p>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（独占堡垒）</w:t>
            </w:r>
          </w:p>
        </w:tc>
        <w:tc>
          <w:tcPr>
            <w:tcW w:w="4430"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单核，2G内存，100G硬盘，20资产服务费用</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个</w:t>
            </w:r>
          </w:p>
        </w:tc>
        <w:tc>
          <w:tcPr>
            <w:tcW w:w="651"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1</w:t>
            </w:r>
          </w:p>
        </w:tc>
      </w:tr>
      <w:tr>
        <w:tblPrEx>
          <w:tblCellMar>
            <w:top w:w="0" w:type="dxa"/>
            <w:left w:w="0" w:type="dxa"/>
            <w:bottom w:w="0" w:type="dxa"/>
            <w:right w:w="0" w:type="dxa"/>
          </w:tblCellMar>
        </w:tblPrEx>
        <w:trPr>
          <w:trHeight w:val="456" w:hRule="atLeast"/>
          <w:jc w:val="center"/>
        </w:trPr>
        <w:tc>
          <w:tcPr>
            <w:tcW w:w="53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kern w:val="0"/>
                <w:sz w:val="24"/>
                <w:szCs w:val="24"/>
                <w:lang w:bidi="ar"/>
              </w:rPr>
              <w:t>2</w:t>
            </w:r>
          </w:p>
        </w:tc>
        <w:tc>
          <w:tcPr>
            <w:tcW w:w="147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云WAF</w:t>
            </w:r>
          </w:p>
        </w:tc>
        <w:tc>
          <w:tcPr>
            <w:tcW w:w="4430"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保护域名授权上限8个，新建5000，并发50000，防护流量50Mbps</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套</w:t>
            </w:r>
          </w:p>
        </w:tc>
        <w:tc>
          <w:tcPr>
            <w:tcW w:w="651"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1</w:t>
            </w:r>
          </w:p>
        </w:tc>
      </w:tr>
      <w:tr>
        <w:tblPrEx>
          <w:tblCellMar>
            <w:top w:w="0" w:type="dxa"/>
            <w:left w:w="0" w:type="dxa"/>
            <w:bottom w:w="0" w:type="dxa"/>
            <w:right w:w="0" w:type="dxa"/>
          </w:tblCellMar>
        </w:tblPrEx>
        <w:trPr>
          <w:trHeight w:val="456" w:hRule="atLeast"/>
          <w:jc w:val="center"/>
        </w:trPr>
        <w:tc>
          <w:tcPr>
            <w:tcW w:w="53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kern w:val="0"/>
                <w:sz w:val="24"/>
                <w:szCs w:val="24"/>
                <w:lang w:bidi="ar"/>
              </w:rPr>
              <w:t>3</w:t>
            </w:r>
          </w:p>
        </w:tc>
        <w:tc>
          <w:tcPr>
            <w:tcW w:w="147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云日志审计</w:t>
            </w:r>
          </w:p>
        </w:tc>
        <w:tc>
          <w:tcPr>
            <w:tcW w:w="4430"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最多支持5个日志源</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套</w:t>
            </w:r>
          </w:p>
        </w:tc>
        <w:tc>
          <w:tcPr>
            <w:tcW w:w="651"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1</w:t>
            </w:r>
          </w:p>
        </w:tc>
      </w:tr>
      <w:tr>
        <w:tblPrEx>
          <w:tblCellMar>
            <w:top w:w="0" w:type="dxa"/>
            <w:left w:w="0" w:type="dxa"/>
            <w:bottom w:w="0" w:type="dxa"/>
            <w:right w:w="0" w:type="dxa"/>
          </w:tblCellMar>
        </w:tblPrEx>
        <w:trPr>
          <w:trHeight w:val="456" w:hRule="atLeast"/>
          <w:jc w:val="center"/>
        </w:trPr>
        <w:tc>
          <w:tcPr>
            <w:tcW w:w="53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color w:val="000000"/>
                <w:kern w:val="0"/>
                <w:sz w:val="24"/>
                <w:szCs w:val="24"/>
                <w:lang w:bidi="ar"/>
              </w:rPr>
            </w:pPr>
            <w:r>
              <w:rPr>
                <w:rFonts w:hint="eastAsia" w:ascii="仿宋_GB2312" w:hAnsi="仿宋_GB2312" w:eastAsia="仿宋_GB2312" w:cs="仿宋_GB2312"/>
                <w:color w:val="000000"/>
                <w:kern w:val="0"/>
                <w:sz w:val="24"/>
                <w:szCs w:val="24"/>
                <w:lang w:bidi="ar"/>
              </w:rPr>
              <w:t>4</w:t>
            </w:r>
          </w:p>
        </w:tc>
        <w:tc>
          <w:tcPr>
            <w:tcW w:w="147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kern w:val="0"/>
                <w:sz w:val="24"/>
                <w:szCs w:val="24"/>
                <w:lang w:bidi="ar"/>
              </w:rPr>
            </w:pPr>
            <w:r>
              <w:rPr>
                <w:rFonts w:hint="eastAsia" w:ascii="仿宋_GB2312" w:hAnsi="仿宋_GB2312" w:eastAsia="仿宋_GB2312" w:cs="仿宋_GB2312"/>
                <w:sz w:val="24"/>
                <w:szCs w:val="24"/>
              </w:rPr>
              <w:t>云数据库审计</w:t>
            </w:r>
          </w:p>
        </w:tc>
        <w:tc>
          <w:tcPr>
            <w:tcW w:w="4430"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kinsoku/>
              <w:wordWrap/>
              <w:topLinePunct w:val="0"/>
              <w:bidi w:val="0"/>
              <w:snapToGrid w:val="0"/>
              <w:spacing w:line="360" w:lineRule="exact"/>
              <w:ind w:firstLine="0" w:firstLineChars="0"/>
              <w:rPr>
                <w:rFonts w:hint="eastAsia" w:ascii="仿宋_GB2312" w:hAnsi="仿宋_GB2312" w:eastAsia="仿宋_GB2312" w:cs="仿宋_GB2312"/>
                <w:color w:val="000000"/>
                <w:kern w:val="0"/>
                <w:sz w:val="24"/>
                <w:szCs w:val="24"/>
                <w:lang w:bidi="ar"/>
              </w:rPr>
            </w:pPr>
            <w:r>
              <w:rPr>
                <w:rFonts w:hint="eastAsia" w:ascii="仿宋_GB2312" w:hAnsi="仿宋_GB2312" w:eastAsia="仿宋_GB2312" w:cs="仿宋_GB2312"/>
                <w:sz w:val="24"/>
                <w:szCs w:val="24"/>
              </w:rPr>
              <w:t>最多可提供2个数据库实例审计，纯数据库流量上限：100Mbs，峰值事务处理能力:10000(条/秒)，日志数量存储：4亿条 含软件基本模块</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kern w:val="0"/>
                <w:sz w:val="24"/>
                <w:szCs w:val="24"/>
                <w:lang w:bidi="ar"/>
              </w:rPr>
            </w:pPr>
            <w:r>
              <w:rPr>
                <w:rFonts w:hint="eastAsia" w:ascii="仿宋_GB2312" w:hAnsi="仿宋_GB2312" w:eastAsia="仿宋_GB2312" w:cs="仿宋_GB2312"/>
                <w:sz w:val="24"/>
                <w:szCs w:val="24"/>
              </w:rPr>
              <w:t>套</w:t>
            </w:r>
          </w:p>
        </w:tc>
        <w:tc>
          <w:tcPr>
            <w:tcW w:w="651"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napToGrid w:val="0"/>
              <w:spacing w:line="360" w:lineRule="exact"/>
              <w:ind w:firstLine="0" w:firstLineChars="0"/>
              <w:jc w:val="center"/>
              <w:rPr>
                <w:rFonts w:hint="eastAsia" w:ascii="仿宋_GB2312" w:hAnsi="仿宋_GB2312" w:eastAsia="仿宋_GB2312" w:cs="仿宋_GB2312"/>
                <w:color w:val="000000"/>
                <w:kern w:val="0"/>
                <w:sz w:val="24"/>
                <w:szCs w:val="24"/>
                <w:lang w:bidi="ar"/>
              </w:rPr>
            </w:pPr>
            <w:r>
              <w:rPr>
                <w:rFonts w:hint="eastAsia" w:ascii="仿宋_GB2312" w:hAnsi="仿宋_GB2312" w:eastAsia="仿宋_GB2312" w:cs="仿宋_GB2312"/>
                <w:sz w:val="24"/>
                <w:szCs w:val="24"/>
              </w:rPr>
              <w:t>1</w:t>
            </w:r>
          </w:p>
        </w:tc>
      </w:tr>
      <w:bookmarkEnd w:id="249"/>
      <w:bookmarkEnd w:id="250"/>
      <w:bookmarkEnd w:id="251"/>
      <w:bookmarkEnd w:id="252"/>
    </w:tbl>
    <w:p>
      <w:pPr>
        <w:pStyle w:val="4"/>
        <w:numPr>
          <w:ilvl w:val="0"/>
          <w:numId w:val="0"/>
        </w:numPr>
        <w:kinsoku/>
        <w:wordWrap/>
        <w:topLinePunct w:val="0"/>
        <w:bidi w:val="0"/>
        <w:spacing w:line="360" w:lineRule="exact"/>
        <w:ind w:leftChars="0"/>
        <w:rPr>
          <w:rFonts w:hint="eastAsia" w:hAnsi="仿宋_GB2312" w:cs="仿宋_GB2312"/>
          <w:sz w:val="24"/>
          <w:szCs w:val="24"/>
          <w:lang w:val="en-US" w:eastAsia="zh-CN"/>
        </w:rPr>
      </w:pPr>
      <w:bookmarkStart w:id="256" w:name="_Toc81552846"/>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hAnsi="仿宋_GB2312" w:cs="仿宋_GB2312"/>
          <w:sz w:val="24"/>
          <w:szCs w:val="24"/>
          <w:lang w:val="en-US" w:eastAsia="zh-CN"/>
        </w:rPr>
        <w:t>3.4</w:t>
      </w:r>
      <w:r>
        <w:rPr>
          <w:rFonts w:hint="eastAsia" w:ascii="仿宋_GB2312" w:hAnsi="仿宋_GB2312" w:eastAsia="仿宋_GB2312" w:cs="仿宋_GB2312"/>
          <w:sz w:val="24"/>
          <w:szCs w:val="24"/>
        </w:rPr>
        <w:t>信息安全保障设计</w:t>
      </w:r>
      <w:bookmarkEnd w:id="253"/>
      <w:bookmarkEnd w:id="254"/>
      <w:bookmarkEnd w:id="255"/>
      <w:bookmarkEnd w:id="256"/>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助招标人进行信息安全体系设计。为保证项目信息安全，在项目建设过程中，需提供法律、资源、管理、技术等方面的安全需求界定、安全设计及安全服务。在项目运维期间，通过技术设施安全评估、技术设施安全加固、安全漏洞补丁通告、安全事件应急响应以及信息安全运维咨询，协助组织系统管理人员进行信息系统的日常安全运维工作，以发现并修复信息系统中所存在的安全隐患，降低安全隐患被非法利用的可能性，并在安全隐患被利用后及时加以响应。</w:t>
      </w: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57" w:name="_Toc5469"/>
      <w:bookmarkStart w:id="258" w:name="_Toc76630584"/>
      <w:bookmarkStart w:id="259" w:name="_Toc81552849"/>
      <w:bookmarkStart w:id="260" w:name="_Toc14455"/>
      <w:r>
        <w:rPr>
          <w:rFonts w:hint="eastAsia" w:hAnsi="仿宋_GB2312" w:cs="仿宋_GB2312"/>
          <w:sz w:val="24"/>
          <w:szCs w:val="24"/>
          <w:lang w:val="en-US" w:eastAsia="zh-CN"/>
        </w:rPr>
        <w:t>3.5</w:t>
      </w:r>
      <w:r>
        <w:rPr>
          <w:rFonts w:hint="eastAsia" w:ascii="仿宋_GB2312" w:hAnsi="仿宋_GB2312" w:eastAsia="仿宋_GB2312" w:cs="仿宋_GB2312"/>
          <w:sz w:val="24"/>
          <w:szCs w:val="24"/>
        </w:rPr>
        <w:t>信息标准规范设计</w:t>
      </w:r>
      <w:bookmarkEnd w:id="257"/>
      <w:bookmarkEnd w:id="258"/>
      <w:bookmarkEnd w:id="259"/>
      <w:bookmarkEnd w:id="260"/>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协助招标人进行信息标准规范设计。</w:t>
      </w:r>
      <w:bookmarkStart w:id="261" w:name="_Toc76630607"/>
      <w:bookmarkStart w:id="262" w:name="_Toc29471"/>
      <w:bookmarkStart w:id="263" w:name="_Toc5573"/>
      <w:bookmarkStart w:id="264" w:name="_Toc22794"/>
      <w:bookmarkStart w:id="265" w:name="_Toc7274"/>
      <w:bookmarkStart w:id="266" w:name="_Toc17462"/>
      <w:bookmarkStart w:id="267" w:name="_Toc81552856"/>
      <w:bookmarkStart w:id="268" w:name="_Toc29130"/>
      <w:bookmarkStart w:id="269" w:name="_Toc76630629"/>
      <w:bookmarkStart w:id="270" w:name="_Toc14233"/>
      <w:bookmarkStart w:id="271" w:name="_Toc17450"/>
      <w:bookmarkStart w:id="272" w:name="_Toc29330"/>
      <w:bookmarkStart w:id="273" w:name="_Toc71881573"/>
      <w:bookmarkStart w:id="274" w:name="_Toc6890"/>
    </w:p>
    <w:p>
      <w:pPr>
        <w:kinsoku/>
        <w:wordWrap/>
        <w:topLinePunct w:val="0"/>
        <w:bidi w:val="0"/>
        <w:spacing w:line="360" w:lineRule="exact"/>
        <w:rPr>
          <w:rFonts w:hint="eastAsia" w:ascii="仿宋_GB2312" w:hAnsi="仿宋_GB2312" w:eastAsia="仿宋_GB2312" w:cs="仿宋_GB2312"/>
          <w:b/>
          <w:bCs/>
          <w:kern w:val="2"/>
          <w:sz w:val="24"/>
          <w:szCs w:val="24"/>
          <w:lang w:val="en-US" w:eastAsia="zh-CN" w:bidi="ar-SA"/>
        </w:rPr>
      </w:pPr>
    </w:p>
    <w:p>
      <w:pPr>
        <w:kinsoku/>
        <w:wordWrap/>
        <w:topLinePunct w:val="0"/>
        <w:bidi w:val="0"/>
        <w:spacing w:line="360" w:lineRule="exact"/>
        <w:rPr>
          <w:rFonts w:hint="eastAsia" w:ascii="仿宋_GB2312" w:hAnsi="仿宋_GB2312" w:eastAsia="仿宋_GB2312" w:cs="仿宋_GB2312"/>
          <w:b/>
          <w:bCs/>
          <w:kern w:val="2"/>
          <w:sz w:val="24"/>
          <w:szCs w:val="24"/>
          <w:lang w:val="zh-CN" w:eastAsia="zh-CN" w:bidi="ar-SA"/>
        </w:rPr>
      </w:pPr>
      <w:r>
        <w:rPr>
          <w:rFonts w:hint="eastAsia" w:ascii="仿宋_GB2312" w:hAnsi="仿宋_GB2312" w:eastAsia="仿宋_GB2312" w:cs="仿宋_GB2312"/>
          <w:b/>
          <w:bCs/>
          <w:kern w:val="2"/>
          <w:sz w:val="24"/>
          <w:szCs w:val="24"/>
          <w:lang w:val="en-US" w:eastAsia="zh-CN" w:bidi="ar-SA"/>
        </w:rPr>
        <w:t>4.</w:t>
      </w:r>
      <w:r>
        <w:rPr>
          <w:rFonts w:hint="eastAsia" w:ascii="仿宋_GB2312" w:hAnsi="仿宋_GB2312" w:eastAsia="仿宋_GB2312" w:cs="仿宋_GB2312"/>
          <w:b/>
          <w:bCs/>
          <w:kern w:val="2"/>
          <w:sz w:val="24"/>
          <w:szCs w:val="24"/>
          <w:lang w:val="zh-CN" w:eastAsia="zh-CN" w:bidi="ar-SA"/>
        </w:rPr>
        <w:t>基础支撑平台设计</w:t>
      </w:r>
      <w:bookmarkEnd w:id="261"/>
      <w:bookmarkEnd w:id="262"/>
      <w:bookmarkEnd w:id="263"/>
      <w:bookmarkEnd w:id="264"/>
      <w:bookmarkEnd w:id="265"/>
      <w:bookmarkEnd w:id="266"/>
      <w:bookmarkEnd w:id="267"/>
      <w:bookmarkEnd w:id="268"/>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75" w:name="_Toc81552857"/>
      <w:bookmarkStart w:id="276" w:name="_Toc76630608"/>
      <w:bookmarkStart w:id="277" w:name="_Toc6327"/>
      <w:bookmarkStart w:id="278" w:name="_Toc19656"/>
      <w:bookmarkStart w:id="279" w:name="_Toc19962"/>
      <w:bookmarkStart w:id="280" w:name="_Toc11058"/>
      <w:r>
        <w:rPr>
          <w:rFonts w:hint="eastAsia" w:hAnsi="仿宋_GB2312" w:cs="仿宋_GB2312"/>
          <w:sz w:val="24"/>
          <w:szCs w:val="24"/>
          <w:lang w:val="en-US" w:eastAsia="zh-CN"/>
        </w:rPr>
        <w:t>4.1</w:t>
      </w:r>
      <w:r>
        <w:rPr>
          <w:rFonts w:hint="eastAsia" w:ascii="仿宋_GB2312" w:hAnsi="仿宋_GB2312" w:eastAsia="仿宋_GB2312" w:cs="仿宋_GB2312"/>
          <w:sz w:val="24"/>
          <w:szCs w:val="24"/>
        </w:rPr>
        <w:t>工业互联网平台</w:t>
      </w:r>
      <w:bookmarkEnd w:id="275"/>
      <w:bookmarkEnd w:id="276"/>
      <w:bookmarkEnd w:id="277"/>
      <w:bookmarkEnd w:id="278"/>
      <w:bookmarkEnd w:id="279"/>
      <w:bookmarkEnd w:id="280"/>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4.1.1</w:t>
      </w:r>
      <w:r>
        <w:rPr>
          <w:rFonts w:hint="eastAsia" w:ascii="仿宋_GB2312" w:hAnsi="仿宋_GB2312" w:eastAsia="仿宋_GB2312" w:cs="仿宋_GB2312"/>
          <w:sz w:val="24"/>
          <w:szCs w:val="24"/>
        </w:rPr>
        <w:t>信息全集成平台</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工业互联网平台提供的企业全信息集成平台旨在实现园区内各类系统数据集成和融合。</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全信息集成平台支持OPC DA、OPC A&amp;E、OPC UA、Modbus、CDT、IEC104等工业协议数据转换和接入，支持SQL/ODBC、WebService、WebAPI等接口方式实现数据采集和处理，支持RTSP协议数据采集和处理。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4.1.2</w:t>
      </w:r>
      <w:r>
        <w:rPr>
          <w:rFonts w:hint="eastAsia" w:ascii="仿宋_GB2312" w:hAnsi="仿宋_GB2312" w:eastAsia="仿宋_GB2312" w:cs="仿宋_GB2312"/>
          <w:sz w:val="24"/>
          <w:szCs w:val="24"/>
        </w:rPr>
        <w:t>云边协同边缘计算</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互联网平台以边缘计算平台作为云边协同的边，边缘计算平台为软硬一体，实现边缘侧底层数据的采集、处理和结果上传。边缘计算场景用于靠近物或数据源头的网络边缘，融合网络、计算、存储、应用核心能力的开放平台，就近提供边缘智能服务，满足行业数字化在敏捷连接、实时业务、数据优化、应用智能、安全与隐私保护等方面的关键需求。</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4.1.3</w:t>
      </w:r>
      <w:r>
        <w:rPr>
          <w:rFonts w:hint="eastAsia" w:ascii="仿宋_GB2312" w:hAnsi="仿宋_GB2312" w:eastAsia="仿宋_GB2312" w:cs="仿宋_GB2312"/>
          <w:sz w:val="24"/>
          <w:szCs w:val="24"/>
        </w:rPr>
        <w:t>对象化工业数据湖</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象化工业数据湖提供面向对象结构的数字化企业模型构建方法，对时序、流式、关系型等多元数据进行清洗、重组和标准化处理，优化企业数据的层级关系，提升数据流通效率，构建对象可视化数据模型，提供多维度、多视角的数据服务。能监控全厂关键数据，包括库存、生产、运营、能源、设备等数据。</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4.1.4</w:t>
      </w:r>
      <w:r>
        <w:rPr>
          <w:rFonts w:hint="eastAsia" w:ascii="仿宋_GB2312" w:hAnsi="仿宋_GB2312" w:eastAsia="仿宋_GB2312" w:cs="仿宋_GB2312"/>
          <w:sz w:val="24"/>
          <w:szCs w:val="24"/>
        </w:rPr>
        <w:t>数据建模及服务</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互联网平台系统支持对象化元数据定义、数据标准化和信息模型的运行期管理，支持对象模型的组织管理和工厂建模，提供对象模板、对象实例和功能集合的可视化组态管理功能。工业互联网平台基于属性、服务、事件与订阅等方法构建业务场景，提供统一的面向工厂设备、人员、物料、产品等维度的对象化模型定义能力，实现标准化元数据清洗与组织；同时，将真实工厂的单元主体，以对象化的全信息模型来表示，结合工厂的单元模型与生产组织关系来建立工厂数字化模型。</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系统提供数据集成、数据加工、数据管理、数据服务的能力，帮助制造业企业快捷构建自身系统性的数据治理，实现企业内各业务系统异构数据汇聚，沉淀优化企业数据模型，强化数据质量，能够对外提供加工后的业务数据支持应用快速开发和数据可视化。</w:t>
      </w:r>
    </w:p>
    <w:p>
      <w:pPr>
        <w:pStyle w:val="5"/>
        <w:numPr>
          <w:ilvl w:val="2"/>
          <w:numId w:val="0"/>
        </w:numPr>
        <w:kinsoku/>
        <w:wordWrap/>
        <w:topLinePunct w:val="0"/>
        <w:bidi w:val="0"/>
        <w:spacing w:line="360" w:lineRule="exact"/>
        <w:ind w:leftChars="0"/>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lang w:val="en-US" w:eastAsia="zh-CN"/>
        </w:rPr>
        <w:t>4.1.5</w:t>
      </w:r>
      <w:r>
        <w:rPr>
          <w:rFonts w:hint="eastAsia" w:ascii="仿宋_GB2312" w:hAnsi="仿宋_GB2312" w:eastAsia="仿宋_GB2312" w:cs="仿宋_GB2312"/>
          <w:sz w:val="24"/>
          <w:szCs w:val="24"/>
        </w:rPr>
        <w:t>工业微服务架构</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工业互联网平台系统通过工业微服务来实现机理模型算法的模块化和软件化，满足工业APP 的运行和扩展。在工业互联网平台中，工业微服务正发挥着承上启下的关键作用。一方面， 基于不同行业、不同领域经验知识所提炼出来的各类原始机理算法模型通常缺少对外调用的接口，也往往难以进行独立的调试、运行和升级，需要用工业微服务的方式将这些机理算法模型集成起来，封装成可独立调试运行的单一功能或服务模块，提升易用性和可维护性。另一方面， 在工业互联网平台中基于工业微服务模块进行工业 APP 开发，既能够借助工业微服务并行开发、分布运行的特点，有效发挥平台海量开发者接入、资源弹性配置、云化部署运行等优势， 又能够利用工业微服务独立隔离、灵活调用的特点，克服工业 APP 所面临的快速运维、持续迭代、个性化定制等问题。</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4.1.6</w:t>
      </w:r>
      <w:r>
        <w:rPr>
          <w:rFonts w:hint="eastAsia" w:ascii="仿宋_GB2312" w:hAnsi="仿宋_GB2312" w:eastAsia="仿宋_GB2312" w:cs="仿宋_GB2312"/>
          <w:sz w:val="24"/>
          <w:szCs w:val="24"/>
        </w:rPr>
        <w:t>工业APP开发环境</w:t>
      </w:r>
    </w:p>
    <w:p>
      <w:pPr>
        <w:kinsoku/>
        <w:wordWrap/>
        <w:topLinePunct w:val="0"/>
        <w:bidi w:val="0"/>
        <w:spacing w:line="360" w:lineRule="exact"/>
        <w:ind w:firstLine="480"/>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平台提供微服务容器框架，每个APP都运行在一个独立的容器中，可实现热插拔。提供交互式业务和流程设计器，满足流程监控、在线报表、APP业务管理页面、工作流管理、Dashboard分析、大屏画面应用等为一体的混合业务编排和场景设计要求。</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4.1.7</w:t>
      </w:r>
      <w:r>
        <w:rPr>
          <w:rFonts w:hint="eastAsia" w:ascii="仿宋_GB2312" w:hAnsi="仿宋_GB2312" w:eastAsia="仿宋_GB2312" w:cs="仿宋_GB2312"/>
          <w:sz w:val="24"/>
          <w:szCs w:val="24"/>
        </w:rPr>
        <w:t>数据DIY分析与展示</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平台提供的数据 DIY 分析工具，用户可通过组态方式实现多元数据的自主分析与利用，如建立生产看板、能耗看板、设备预警看板、重要指标参数看板、重要摄像头监控等。工业过程中产生的时序数据、流式数据和关系数据，利用不同的展示方式，可实现多元数据的可视化综合应用。平台为每个用户提供个人空间，用户可根据自己关注的内容进行个性化定义，个人空间内容可进行权限控制。</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可视化工具方面，平台提供了一整套数据展示的控件库，包括基础图元控件、图表控件、报表控件、趋势控件、实时报警控件、历史报警控件和视频控件。基础图元控件包括矩形、圆角矩形、椭圆、弦、扇形、多边形、按钮、棒状图、管道、直线、弧、折线、文本、数据链接和图片等；图表控件包括柱状图、曲线图、散点图、折线图、饼图、气泡图、面积图、玫瑰图、仪表盘和热力图等。</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4.1.8</w:t>
      </w:r>
      <w:r>
        <w:rPr>
          <w:rFonts w:hint="eastAsia" w:ascii="仿宋_GB2312" w:hAnsi="仿宋_GB2312" w:eastAsia="仿宋_GB2312" w:cs="仿宋_GB2312"/>
          <w:sz w:val="24"/>
          <w:szCs w:val="24"/>
        </w:rPr>
        <w:t>多组织服务</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互联网平台针对多组织的用户，通过集成部署，各实际业务中所需的组织、人员、用户及权限不需自己再维护一套，由工业互联网平台统一提供，提高运维效率以及数据同步性，满足第三方平台不用维护自己的组织、人员、用户及权限。通过工业互联网平台多组织实现多公司人员组织架构、以及用户和权限管理，供第三方平台调取和使用，实现对组织、人员、用户、权限的统一处理， 满足平台集成需求。</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4.1.9</w:t>
      </w:r>
      <w:r>
        <w:rPr>
          <w:rFonts w:hint="eastAsia" w:ascii="仿宋_GB2312" w:hAnsi="仿宋_GB2312" w:eastAsia="仿宋_GB2312" w:cs="仿宋_GB2312"/>
          <w:sz w:val="24"/>
          <w:szCs w:val="24"/>
        </w:rPr>
        <w:t>多租户服务</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工业互联网平台多租户设计的 SaaS 系统，可以为多个租户（客户）提供服务，实现多个租户在互联网环境下使用同一套程序，且保证租户间的数据隔离。工业互联网平台多租户架构设计模式，重点关键技术是同一套程序下多个租户数据的隔离，实现数据的安全性，防止租户数据不经意或被他人恶意地获取和篡改。</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4.1.10</w:t>
      </w:r>
      <w:r>
        <w:rPr>
          <w:rFonts w:hint="eastAsia" w:ascii="仿宋_GB2312" w:hAnsi="仿宋_GB2312" w:eastAsia="仿宋_GB2312" w:cs="仿宋_GB2312"/>
          <w:sz w:val="24"/>
          <w:szCs w:val="24"/>
        </w:rPr>
        <w:t>工业大数据及人工智能</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大数据与人工智能平台是基于企业全信息集成平台与对象化工业数据库构建的大数据挖掘和场景化人工智能应用的组态开发环境。它根据标准化的装置、设备、产品和人员等全信息画像，基于大数据业务场景建模、训练实验、模型评估和运行发布流程，实现面向生产优化、质量溯源、安全管控方面的综合应用。通过机器视觉、人员定位、自然语言识别等技术融合应用，实现人员安全作业管控、非智能仪表的普适测量、危险区域或者密级区域防护等智能化场景应用。</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4.1.11</w:t>
      </w:r>
      <w:r>
        <w:rPr>
          <w:rFonts w:hint="eastAsia" w:ascii="仿宋_GB2312" w:hAnsi="仿宋_GB2312" w:eastAsia="仿宋_GB2312" w:cs="仿宋_GB2312"/>
          <w:sz w:val="24"/>
          <w:szCs w:val="24"/>
        </w:rPr>
        <w:t>移动应用平台</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业互联网平台系统同时包含移动应用子平台，是一个运行于智能设备上的移动应用平台。让所有关键应用在一台手机上展现，打破时间与空间的束缚，让用户可以充分利用会议、出差、在家等自由时间处理工作事宜，帮助用户实时掌握生产状态，随时随地高效处理事务。该平台主要支持：</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1）生产办公协同</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2）企业社交服务</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3）应用集成与管理</w:t>
      </w:r>
    </w:p>
    <w:p>
      <w:pPr>
        <w:kinsoku/>
        <w:wordWrap/>
        <w:topLinePunct w:val="0"/>
        <w:bidi w:val="0"/>
        <w:adjustRightInd w:val="0"/>
        <w:spacing w:line="360" w:lineRule="exact"/>
        <w:ind w:firstLine="480"/>
        <w:rPr>
          <w:rFonts w:hint="eastAsia" w:ascii="仿宋_GB2312" w:hAnsi="仿宋_GB2312" w:eastAsia="仿宋_GB2312" w:cs="仿宋_GB2312"/>
          <w:sz w:val="24"/>
          <w:szCs w:val="24"/>
          <w:lang w:val="zh-CN"/>
        </w:rPr>
      </w:pP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281" w:name="_Toc12148"/>
      <w:bookmarkStart w:id="282" w:name="_Toc81552861"/>
      <w:bookmarkStart w:id="283" w:name="_Toc21117"/>
      <w:bookmarkStart w:id="284" w:name="_Toc25707"/>
      <w:bookmarkStart w:id="285" w:name="_Toc21289"/>
      <w:bookmarkStart w:id="286" w:name="_Toc76630613"/>
      <w:r>
        <w:rPr>
          <w:rFonts w:hint="eastAsia" w:hAnsi="仿宋_GB2312" w:cs="仿宋_GB2312"/>
          <w:sz w:val="24"/>
          <w:szCs w:val="24"/>
          <w:lang w:val="en-US" w:eastAsia="zh-CN"/>
        </w:rPr>
        <w:t>4.2</w:t>
      </w:r>
      <w:r>
        <w:rPr>
          <w:rFonts w:hint="eastAsia" w:ascii="仿宋_GB2312" w:hAnsi="仿宋_GB2312" w:eastAsia="仿宋_GB2312" w:cs="仿宋_GB2312"/>
          <w:sz w:val="24"/>
          <w:szCs w:val="24"/>
        </w:rPr>
        <w:t>地理信息平台</w:t>
      </w:r>
      <w:bookmarkEnd w:id="281"/>
      <w:bookmarkEnd w:id="282"/>
      <w:bookmarkEnd w:id="283"/>
      <w:bookmarkEnd w:id="284"/>
      <w:bookmarkEnd w:id="285"/>
      <w:bookmarkEnd w:id="286"/>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lang w:val="zh-CN"/>
        </w:rPr>
      </w:pPr>
      <w:bookmarkStart w:id="287" w:name="_Toc2698"/>
      <w:bookmarkStart w:id="288" w:name="_Toc76630614"/>
      <w:bookmarkStart w:id="289" w:name="_Toc2861"/>
      <w:bookmarkStart w:id="290" w:name="_Toc81552862"/>
      <w:bookmarkStart w:id="291" w:name="_Toc16520"/>
      <w:bookmarkStart w:id="292" w:name="_Toc104"/>
      <w:r>
        <w:rPr>
          <w:rFonts w:hint="eastAsia" w:ascii="仿宋_GB2312" w:hAnsi="仿宋_GB2312" w:eastAsia="仿宋_GB2312" w:cs="仿宋_GB2312"/>
          <w:sz w:val="24"/>
          <w:szCs w:val="24"/>
          <w:lang w:val="en-US" w:eastAsia="zh-CN"/>
        </w:rPr>
        <w:t>4.2.1</w:t>
      </w:r>
      <w:r>
        <w:rPr>
          <w:rFonts w:hint="eastAsia" w:ascii="仿宋_GB2312" w:hAnsi="仿宋_GB2312" w:eastAsia="仿宋_GB2312" w:cs="仿宋_GB2312"/>
          <w:sz w:val="24"/>
          <w:szCs w:val="24"/>
          <w:lang w:val="zh-CN"/>
        </w:rPr>
        <w:t>基础服务平台</w:t>
      </w:r>
      <w:bookmarkEnd w:id="287"/>
      <w:bookmarkEnd w:id="288"/>
      <w:bookmarkEnd w:id="289"/>
      <w:bookmarkEnd w:id="290"/>
      <w:bookmarkEnd w:id="291"/>
      <w:bookmarkEnd w:id="292"/>
    </w:p>
    <w:p>
      <w:pPr>
        <w:kinsoku/>
        <w:wordWrap/>
        <w:topLinePunct w:val="0"/>
        <w:bidi w:val="0"/>
        <w:adjustRightInd w:val="0"/>
        <w:spacing w:line="360" w:lineRule="exact"/>
        <w:ind w:firstLine="480"/>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lang w:val="zh-CN"/>
        </w:rPr>
        <w:t>智慧化平</w:t>
      </w:r>
      <w:r>
        <w:rPr>
          <w:rFonts w:hint="eastAsia" w:ascii="仿宋_GB2312" w:hAnsi="仿宋_GB2312" w:eastAsia="仿宋_GB2312" w:cs="仿宋_GB2312"/>
          <w:sz w:val="24"/>
          <w:szCs w:val="24"/>
          <w:highlight w:val="none"/>
          <w:lang w:val="zh-CN"/>
        </w:rPr>
        <w:t>台是以GIS为基础的综合性系统，应用系统与GIS系统的集成程度较高，对GIS系统的应用要求高，为了保障园区智慧化平台应用系统的功能性、稳定性和响应速度，需配置一套GIS平台作为基础应用支撑平台，在此基础上进行GIS功能开发。</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lang w:val="zh-CN"/>
        </w:rPr>
      </w:pPr>
      <w:bookmarkStart w:id="293" w:name="_Toc81552863"/>
      <w:bookmarkStart w:id="294" w:name="_Toc28956"/>
      <w:bookmarkStart w:id="295" w:name="_Toc16514"/>
      <w:bookmarkStart w:id="296" w:name="_Toc23888"/>
      <w:bookmarkStart w:id="297" w:name="_Toc11837"/>
      <w:bookmarkStart w:id="298" w:name="_Toc76630616"/>
      <w:r>
        <w:rPr>
          <w:rFonts w:hint="eastAsia" w:ascii="仿宋_GB2312" w:hAnsi="仿宋_GB2312" w:eastAsia="仿宋_GB2312" w:cs="仿宋_GB2312"/>
          <w:sz w:val="24"/>
          <w:szCs w:val="24"/>
          <w:highlight w:val="none"/>
          <w:lang w:val="en-US" w:eastAsia="zh-CN"/>
        </w:rPr>
        <w:t>4.2.2</w:t>
      </w:r>
      <w:r>
        <w:rPr>
          <w:rFonts w:hint="eastAsia" w:ascii="仿宋_GB2312" w:hAnsi="仿宋_GB2312" w:eastAsia="仿宋_GB2312" w:cs="仿宋_GB2312"/>
          <w:sz w:val="24"/>
          <w:szCs w:val="24"/>
          <w:highlight w:val="none"/>
          <w:lang w:val="zh-CN"/>
        </w:rPr>
        <w:t>园区航拍图</w:t>
      </w:r>
      <w:bookmarkEnd w:id="293"/>
      <w:bookmarkEnd w:id="294"/>
      <w:bookmarkEnd w:id="295"/>
      <w:bookmarkEnd w:id="296"/>
      <w:bookmarkEnd w:id="297"/>
      <w:bookmarkEnd w:id="298"/>
    </w:p>
    <w:p>
      <w:pPr>
        <w:kinsoku/>
        <w:wordWrap/>
        <w:topLinePunct w:val="0"/>
        <w:bidi w:val="0"/>
        <w:adjustRightInd w:val="0"/>
        <w:spacing w:line="360" w:lineRule="exact"/>
        <w:ind w:firstLine="480"/>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highlight w:val="none"/>
          <w:lang w:val="zh-CN"/>
        </w:rPr>
        <w:t>采用</w:t>
      </w:r>
      <w:r>
        <w:rPr>
          <w:rFonts w:hint="eastAsia" w:ascii="仿宋_GB2312" w:hAnsi="仿宋_GB2312" w:eastAsia="仿宋_GB2312" w:cs="仿宋_GB2312"/>
          <w:sz w:val="24"/>
          <w:szCs w:val="24"/>
          <w:highlight w:val="none"/>
        </w:rPr>
        <w:t>规划局</w:t>
      </w:r>
      <w:r>
        <w:rPr>
          <w:rFonts w:hint="eastAsia" w:ascii="仿宋_GB2312" w:hAnsi="仿宋_GB2312" w:eastAsia="仿宋_GB2312" w:cs="仿宋_GB2312"/>
          <w:sz w:val="24"/>
          <w:szCs w:val="24"/>
          <w:highlight w:val="none"/>
          <w:lang w:val="zh-CN"/>
        </w:rPr>
        <w:t>提供的园区航拍图，航拍图应涵盖园区主要区域，精度达到1:500与园区矢量图进行套合，作为园区地理信息一张图主要地图源使用，采用本地访问的方式进行访问。</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lang w:val="zh-CN"/>
        </w:rPr>
      </w:pPr>
      <w:bookmarkStart w:id="299" w:name="_Toc81552864"/>
      <w:bookmarkStart w:id="300" w:name="_Toc5686"/>
      <w:bookmarkStart w:id="301" w:name="_Toc22125"/>
      <w:bookmarkStart w:id="302" w:name="_Toc11213"/>
      <w:bookmarkStart w:id="303" w:name="_Toc16521"/>
      <w:bookmarkStart w:id="304" w:name="_Toc76630617"/>
      <w:r>
        <w:rPr>
          <w:rFonts w:hint="eastAsia" w:ascii="仿宋_GB2312" w:hAnsi="仿宋_GB2312" w:eastAsia="仿宋_GB2312" w:cs="仿宋_GB2312"/>
          <w:sz w:val="24"/>
          <w:szCs w:val="24"/>
          <w:highlight w:val="none"/>
          <w:lang w:val="en-US" w:eastAsia="zh-CN"/>
        </w:rPr>
        <w:t>4.2.3</w:t>
      </w:r>
      <w:r>
        <w:rPr>
          <w:rFonts w:hint="eastAsia" w:ascii="仿宋_GB2312" w:hAnsi="仿宋_GB2312" w:eastAsia="仿宋_GB2312" w:cs="仿宋_GB2312"/>
          <w:sz w:val="24"/>
          <w:szCs w:val="24"/>
          <w:highlight w:val="none"/>
          <w:lang w:val="zh-CN"/>
        </w:rPr>
        <w:t>园区矢量图</w:t>
      </w:r>
      <w:bookmarkEnd w:id="299"/>
      <w:bookmarkEnd w:id="300"/>
      <w:bookmarkEnd w:id="301"/>
      <w:bookmarkEnd w:id="302"/>
      <w:bookmarkEnd w:id="303"/>
      <w:bookmarkEnd w:id="304"/>
    </w:p>
    <w:p>
      <w:pPr>
        <w:kinsoku/>
        <w:wordWrap/>
        <w:topLinePunct w:val="0"/>
        <w:bidi w:val="0"/>
        <w:adjustRightInd w:val="0"/>
        <w:spacing w:line="360" w:lineRule="exact"/>
        <w:ind w:firstLine="480"/>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highlight w:val="none"/>
          <w:lang w:val="zh-CN"/>
        </w:rPr>
        <w:t>采用园区矢量底图（涵盖园区主要区域），地图底图采用WGS84或CGCS2000坐标系，比例尺为1:100或1：500等大比例尺底图，作为地理信息一张图主要地图源使用，在矢量图中要分别有园区道路、电网、水网、河流、山川、地块线、地块面、党政机关、重点单位、居民区、疏散点、商贸企业、餐饮企业等要素，并可根据需要自行添加或维护相关要素。</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lang w:val="zh-CN"/>
        </w:rPr>
      </w:pPr>
      <w:bookmarkStart w:id="305" w:name="_Toc18875"/>
      <w:bookmarkStart w:id="306" w:name="_Toc7005"/>
      <w:bookmarkStart w:id="307" w:name="_Toc6963"/>
      <w:bookmarkStart w:id="308" w:name="_Toc81552865"/>
      <w:bookmarkStart w:id="309" w:name="_Toc3706"/>
      <w:bookmarkStart w:id="310" w:name="_Toc76630618"/>
      <w:bookmarkStart w:id="311" w:name="_Toc11529"/>
      <w:r>
        <w:rPr>
          <w:rFonts w:hint="eastAsia" w:ascii="仿宋_GB2312" w:hAnsi="仿宋_GB2312" w:eastAsia="仿宋_GB2312" w:cs="仿宋_GB2312"/>
          <w:sz w:val="24"/>
          <w:szCs w:val="24"/>
          <w:highlight w:val="none"/>
          <w:lang w:val="en-US" w:eastAsia="zh-CN"/>
        </w:rPr>
        <w:t>4.2.4</w:t>
      </w:r>
      <w:r>
        <w:rPr>
          <w:rFonts w:hint="eastAsia" w:ascii="仿宋_GB2312" w:hAnsi="仿宋_GB2312" w:eastAsia="仿宋_GB2312" w:cs="仿宋_GB2312"/>
          <w:sz w:val="24"/>
          <w:szCs w:val="24"/>
          <w:highlight w:val="none"/>
          <w:lang w:val="zh-CN"/>
        </w:rPr>
        <w:t>园区三维建模</w:t>
      </w:r>
      <w:bookmarkEnd w:id="305"/>
      <w:bookmarkEnd w:id="306"/>
      <w:bookmarkEnd w:id="307"/>
      <w:bookmarkEnd w:id="308"/>
      <w:bookmarkEnd w:id="309"/>
      <w:bookmarkEnd w:id="310"/>
      <w:bookmarkEnd w:id="311"/>
    </w:p>
    <w:p>
      <w:pPr>
        <w:kinsoku/>
        <w:wordWrap/>
        <w:topLinePunct w:val="0"/>
        <w:bidi w:val="0"/>
        <w:adjustRightInd w:val="0"/>
        <w:spacing w:line="360" w:lineRule="exact"/>
        <w:ind w:firstLine="480"/>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highlight w:val="none"/>
          <w:lang w:val="zh-CN"/>
        </w:rPr>
        <w:t>采用规划局提供的工业园区三维建模数据，包括园区地形地貌、企业建筑、生产装置以及地上（地下）管网，与其他地图源共同使用，进一步加强园区应急保障能力。</w:t>
      </w:r>
    </w:p>
    <w:p>
      <w:pPr>
        <w:kinsoku/>
        <w:wordWrap/>
        <w:topLinePunct w:val="0"/>
        <w:bidi w:val="0"/>
        <w:adjustRightInd w:val="0"/>
        <w:spacing w:line="360" w:lineRule="exact"/>
        <w:ind w:firstLine="480"/>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highlight w:val="none"/>
          <w:lang w:val="zh-CN"/>
        </w:rPr>
        <w:t>建模需要按照1:1 建模，需要真实精确表现建筑物、装置等的外观，在不影响建筑物、装置等真实性几何结构的基础上，部分非常精细的细部实体结构允许被忽略。</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lang w:val="zh-CN"/>
        </w:rPr>
      </w:pPr>
      <w:bookmarkStart w:id="312" w:name="_Toc76630619"/>
      <w:bookmarkStart w:id="313" w:name="_Toc24536"/>
      <w:bookmarkStart w:id="314" w:name="_Toc14549"/>
      <w:bookmarkStart w:id="315" w:name="_Toc2082"/>
      <w:bookmarkStart w:id="316" w:name="_Toc16989"/>
      <w:bookmarkStart w:id="317" w:name="_Toc81552866"/>
      <w:bookmarkStart w:id="318" w:name="_Toc25462"/>
      <w:r>
        <w:rPr>
          <w:rFonts w:hint="eastAsia" w:ascii="仿宋_GB2312" w:hAnsi="仿宋_GB2312" w:eastAsia="仿宋_GB2312" w:cs="仿宋_GB2312"/>
          <w:sz w:val="24"/>
          <w:szCs w:val="24"/>
          <w:highlight w:val="none"/>
          <w:lang w:val="en-US" w:eastAsia="zh-CN"/>
        </w:rPr>
        <w:t>4.2.5</w:t>
      </w:r>
      <w:r>
        <w:rPr>
          <w:rFonts w:hint="eastAsia" w:ascii="仿宋_GB2312" w:hAnsi="仿宋_GB2312" w:eastAsia="仿宋_GB2312" w:cs="仿宋_GB2312"/>
          <w:sz w:val="24"/>
          <w:szCs w:val="24"/>
          <w:highlight w:val="none"/>
          <w:lang w:val="zh-CN"/>
        </w:rPr>
        <w:t>园区三维实景</w:t>
      </w:r>
      <w:bookmarkEnd w:id="312"/>
      <w:bookmarkEnd w:id="313"/>
      <w:bookmarkEnd w:id="314"/>
      <w:bookmarkEnd w:id="315"/>
      <w:bookmarkEnd w:id="316"/>
      <w:bookmarkEnd w:id="317"/>
      <w:bookmarkEnd w:id="318"/>
    </w:p>
    <w:p>
      <w:pPr>
        <w:kinsoku/>
        <w:wordWrap/>
        <w:topLinePunct w:val="0"/>
        <w:bidi w:val="0"/>
        <w:adjustRightInd w:val="0"/>
        <w:spacing w:line="360" w:lineRule="exact"/>
        <w:ind w:firstLine="480"/>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highlight w:val="none"/>
          <w:lang w:val="zh-CN"/>
        </w:rPr>
        <w:t>对园区内主要道路、重点企业的重点生产装置、储罐区及周边，以及园区内其他重点目标进行实景采集、加工、入库。</w:t>
      </w:r>
      <w:bookmarkStart w:id="319" w:name="_Toc81552867"/>
    </w:p>
    <w:p>
      <w:pPr>
        <w:kinsoku/>
        <w:wordWrap/>
        <w:topLinePunct w:val="0"/>
        <w:bidi w:val="0"/>
        <w:adjustRightInd w:val="0"/>
        <w:spacing w:line="360" w:lineRule="exact"/>
        <w:rPr>
          <w:rFonts w:hint="eastAsia" w:ascii="仿宋_GB2312" w:hAnsi="仿宋_GB2312" w:eastAsia="仿宋_GB2312" w:cs="仿宋_GB2312"/>
          <w:b/>
          <w:bCs/>
          <w:kern w:val="2"/>
          <w:sz w:val="24"/>
          <w:szCs w:val="24"/>
          <w:highlight w:val="none"/>
          <w:lang w:val="en-US" w:eastAsia="zh-CN" w:bidi="ar-SA"/>
        </w:rPr>
      </w:pPr>
    </w:p>
    <w:p>
      <w:pPr>
        <w:kinsoku/>
        <w:wordWrap/>
        <w:topLinePunct w:val="0"/>
        <w:bidi w:val="0"/>
        <w:adjustRightInd w:val="0"/>
        <w:spacing w:line="360" w:lineRule="exact"/>
        <w:rPr>
          <w:rFonts w:hint="eastAsia" w:ascii="仿宋_GB2312" w:hAnsi="仿宋_GB2312" w:eastAsia="仿宋_GB2312" w:cs="仿宋_GB2312"/>
          <w:b/>
          <w:bCs/>
          <w:kern w:val="2"/>
          <w:sz w:val="24"/>
          <w:szCs w:val="24"/>
          <w:highlight w:val="none"/>
          <w:lang w:val="zh-CN" w:eastAsia="zh-CN" w:bidi="ar-SA"/>
        </w:rPr>
      </w:pPr>
      <w:r>
        <w:rPr>
          <w:rFonts w:hint="eastAsia" w:ascii="仿宋_GB2312" w:hAnsi="仿宋_GB2312" w:eastAsia="仿宋_GB2312" w:cs="仿宋_GB2312"/>
          <w:b/>
          <w:bCs/>
          <w:kern w:val="2"/>
          <w:sz w:val="24"/>
          <w:szCs w:val="24"/>
          <w:highlight w:val="none"/>
          <w:lang w:val="en-US" w:eastAsia="zh-CN" w:bidi="ar-SA"/>
        </w:rPr>
        <w:t>5.</w:t>
      </w:r>
      <w:r>
        <w:rPr>
          <w:rFonts w:hint="eastAsia" w:ascii="仿宋_GB2312" w:hAnsi="仿宋_GB2312" w:eastAsia="仿宋_GB2312" w:cs="仿宋_GB2312"/>
          <w:b/>
          <w:bCs/>
          <w:kern w:val="2"/>
          <w:sz w:val="24"/>
          <w:szCs w:val="24"/>
          <w:highlight w:val="none"/>
          <w:lang w:val="zh-CN" w:eastAsia="zh-CN" w:bidi="ar-SA"/>
        </w:rPr>
        <w:t>平台应用</w:t>
      </w:r>
      <w:bookmarkEnd w:id="269"/>
      <w:r>
        <w:rPr>
          <w:rFonts w:hint="eastAsia" w:ascii="仿宋_GB2312" w:hAnsi="仿宋_GB2312" w:eastAsia="仿宋_GB2312" w:cs="仿宋_GB2312"/>
          <w:b/>
          <w:bCs/>
          <w:kern w:val="2"/>
          <w:sz w:val="24"/>
          <w:szCs w:val="24"/>
          <w:highlight w:val="none"/>
          <w:lang w:val="zh-CN" w:eastAsia="zh-CN" w:bidi="ar-SA"/>
        </w:rPr>
        <w:t>系统设计</w:t>
      </w:r>
      <w:bookmarkEnd w:id="270"/>
      <w:bookmarkEnd w:id="271"/>
      <w:bookmarkEnd w:id="319"/>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20" w:name="_Toc76630630"/>
      <w:bookmarkStart w:id="321" w:name="_Toc81552868"/>
      <w:bookmarkStart w:id="322" w:name="_Toc14623"/>
      <w:bookmarkStart w:id="323" w:name="_Toc20633"/>
      <w:r>
        <w:rPr>
          <w:rFonts w:hint="eastAsia" w:hAnsi="仿宋_GB2312" w:cs="仿宋_GB2312"/>
          <w:sz w:val="24"/>
          <w:szCs w:val="24"/>
          <w:highlight w:val="none"/>
          <w:lang w:val="en-US" w:eastAsia="zh-CN"/>
        </w:rPr>
        <w:t>5.1</w:t>
      </w:r>
      <w:r>
        <w:rPr>
          <w:rFonts w:hint="eastAsia" w:ascii="仿宋_GB2312" w:hAnsi="仿宋_GB2312" w:eastAsia="仿宋_GB2312" w:cs="仿宋_GB2312"/>
          <w:sz w:val="24"/>
          <w:szCs w:val="24"/>
          <w:highlight w:val="none"/>
        </w:rPr>
        <w:t>园区驾驶舱</w:t>
      </w:r>
      <w:bookmarkEnd w:id="320"/>
      <w:bookmarkEnd w:id="321"/>
      <w:bookmarkEnd w:id="322"/>
      <w:bookmarkEnd w:id="323"/>
    </w:p>
    <w:p>
      <w:pPr>
        <w:shd w:val="clea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根据园区具体需求，制定园区运营数据分析驾驶舱，包含园区总貌、安全管理、应急管理、封闭管理、环保管理、能源管理等板块。</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24" w:name="_Toc314"/>
      <w:bookmarkStart w:id="325" w:name="_Toc81552869"/>
      <w:bookmarkStart w:id="326" w:name="_Toc12921"/>
      <w:bookmarkStart w:id="327" w:name="_Toc76630631"/>
      <w:r>
        <w:rPr>
          <w:rFonts w:hint="eastAsia" w:ascii="仿宋_GB2312" w:hAnsi="仿宋_GB2312" w:eastAsia="仿宋_GB2312" w:cs="仿宋_GB2312"/>
          <w:sz w:val="24"/>
          <w:szCs w:val="24"/>
          <w:highlight w:val="none"/>
          <w:lang w:val="en-US" w:eastAsia="zh-CN"/>
        </w:rPr>
        <w:t>5.1.1</w:t>
      </w:r>
      <w:r>
        <w:rPr>
          <w:rFonts w:hint="eastAsia" w:ascii="仿宋_GB2312" w:hAnsi="仿宋_GB2312" w:eastAsia="仿宋_GB2312" w:cs="仿宋_GB2312"/>
          <w:sz w:val="24"/>
          <w:szCs w:val="24"/>
          <w:highlight w:val="none"/>
        </w:rPr>
        <w:t>园区总貌</w:t>
      </w:r>
      <w:bookmarkEnd w:id="324"/>
      <w:bookmarkEnd w:id="325"/>
      <w:bookmarkEnd w:id="326"/>
      <w:bookmarkEnd w:id="327"/>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通过一张图显示园区基础概况，包含园区基本信息、机构、设施等数据，园区三维地图，入驻企业基本信息等。</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28" w:name="_Toc81552870"/>
      <w:bookmarkStart w:id="329" w:name="_Toc31897"/>
      <w:bookmarkStart w:id="330" w:name="_Toc10941"/>
      <w:bookmarkStart w:id="331" w:name="_Toc76630632"/>
      <w:r>
        <w:rPr>
          <w:rFonts w:hint="eastAsia" w:ascii="仿宋_GB2312" w:hAnsi="仿宋_GB2312" w:eastAsia="仿宋_GB2312" w:cs="仿宋_GB2312"/>
          <w:sz w:val="24"/>
          <w:szCs w:val="24"/>
          <w:highlight w:val="none"/>
          <w:lang w:val="en-US" w:eastAsia="zh-CN"/>
        </w:rPr>
        <w:t>5.1.2</w:t>
      </w:r>
      <w:r>
        <w:rPr>
          <w:rFonts w:hint="eastAsia" w:ascii="仿宋_GB2312" w:hAnsi="仿宋_GB2312" w:eastAsia="仿宋_GB2312" w:cs="仿宋_GB2312"/>
          <w:sz w:val="24"/>
          <w:szCs w:val="24"/>
          <w:highlight w:val="none"/>
        </w:rPr>
        <w:t>AR实景应用</w:t>
      </w:r>
      <w:bookmarkEnd w:id="328"/>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AR实景地图服务主要是从园区实景的视角来管理园区。基于AR实景地图服务客户端扩展人脸、卡口、BA三种设备标签，支持人脸抓拍数据查看、视频查看；支持过车数据查看、视频查看；支持BA设备数据查看。</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32" w:name="_Toc81552871"/>
      <w:r>
        <w:rPr>
          <w:rFonts w:hint="eastAsia" w:ascii="仿宋_GB2312" w:hAnsi="仿宋_GB2312" w:eastAsia="仿宋_GB2312" w:cs="仿宋_GB2312"/>
          <w:sz w:val="24"/>
          <w:szCs w:val="24"/>
          <w:highlight w:val="none"/>
          <w:lang w:val="en-US" w:eastAsia="zh-CN"/>
        </w:rPr>
        <w:t>5.1.3</w:t>
      </w:r>
      <w:r>
        <w:rPr>
          <w:rFonts w:hint="eastAsia" w:ascii="仿宋_GB2312" w:hAnsi="仿宋_GB2312" w:eastAsia="仿宋_GB2312" w:cs="仿宋_GB2312"/>
          <w:sz w:val="24"/>
          <w:szCs w:val="24"/>
          <w:highlight w:val="none"/>
        </w:rPr>
        <w:t>安全一张图</w:t>
      </w:r>
      <w:bookmarkEnd w:id="329"/>
      <w:bookmarkEnd w:id="330"/>
      <w:bookmarkEnd w:id="331"/>
      <w:bookmarkEnd w:id="332"/>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安全一张图，突出“两重点一重大”的安全区安全监管，通过安全一张图，可直观了解园区安全态势，便于决策部署，提升园区安全水平。数据模型前置预警，分色预警，分级处置、保障园区安全</w:t>
      </w:r>
    </w:p>
    <w:p>
      <w:pPr>
        <w:pStyle w:val="5"/>
        <w:numPr>
          <w:ilvl w:val="2"/>
          <w:numId w:val="0"/>
        </w:numPr>
        <w:tabs>
          <w:tab w:val="left" w:pos="420"/>
          <w:tab w:val="clear" w:pos="900"/>
        </w:tabs>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33" w:name="_Toc11231"/>
      <w:bookmarkStart w:id="334" w:name="_Toc81552872"/>
      <w:bookmarkStart w:id="335" w:name="_Toc1135"/>
      <w:bookmarkStart w:id="336" w:name="_Toc76630633"/>
      <w:r>
        <w:rPr>
          <w:rFonts w:hint="eastAsia" w:ascii="仿宋_GB2312" w:hAnsi="仿宋_GB2312" w:eastAsia="仿宋_GB2312" w:cs="仿宋_GB2312"/>
          <w:sz w:val="24"/>
          <w:szCs w:val="24"/>
          <w:highlight w:val="none"/>
          <w:lang w:val="en-US" w:eastAsia="zh-CN"/>
        </w:rPr>
        <w:t>5.1.4</w:t>
      </w:r>
      <w:r>
        <w:rPr>
          <w:rFonts w:hint="eastAsia" w:ascii="仿宋_GB2312" w:hAnsi="仿宋_GB2312" w:eastAsia="仿宋_GB2312" w:cs="仿宋_GB2312"/>
          <w:sz w:val="24"/>
          <w:szCs w:val="24"/>
          <w:highlight w:val="none"/>
        </w:rPr>
        <w:t>应急一张图</w:t>
      </w:r>
      <w:bookmarkEnd w:id="333"/>
      <w:bookmarkEnd w:id="334"/>
      <w:bookmarkEnd w:id="335"/>
      <w:bookmarkEnd w:id="336"/>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应急一张图，以 GIS 为核心，通过对事件应急中地理信、环境信息、事件态势信息、人员处置动态信息等关键要素的抽取，形成应急处置全貌，辅助领导掌握事件动态，进行精准指挥调度。</w:t>
      </w:r>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主要支持的功能如下：</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支持列表查看应急预案并可以查看；</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支持折线查看事故影响详情预测；</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基于 GIS 地图展示事发周围的应急物资、应急人员、摄像头及其环境敏感点并且在 GIS 图下方展示实时园区内的应急物资情况及应急人员数量等；</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支持折线图展示对重大危险源的分析；支持环形图展示当前全区内的风险分级情况；</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支持仪表盘和列表共同展示园区内的环境情况；</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支持实时展示周围的高空视频监控便于观察园区内的环境；</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支持列表展示应急处理流程并可以查看；</w:t>
      </w:r>
    </w:p>
    <w:p>
      <w:pPr>
        <w:pStyle w:val="934"/>
        <w:tabs>
          <w:tab w:val="clear" w:pos="240"/>
          <w:tab w:val="clear" w:pos="420"/>
        </w:tabs>
        <w:kinsoku/>
        <w:wordWrap/>
        <w:topLinePunct w:val="0"/>
        <w:bidi w:val="0"/>
        <w:adjustRightInd w:val="0"/>
        <w:spacing w:line="360" w:lineRule="exact"/>
        <w:ind w:left="0" w:firstLine="480" w:firstLineChars="200"/>
        <w:jc w:val="left"/>
        <w:textAlignment w:val="baseline"/>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支持柱状图展示周围有毒气体的监测。</w:t>
      </w:r>
    </w:p>
    <w:p>
      <w:pPr>
        <w:pStyle w:val="5"/>
        <w:numPr>
          <w:ilvl w:val="2"/>
          <w:numId w:val="0"/>
        </w:numPr>
        <w:tabs>
          <w:tab w:val="left" w:pos="420"/>
          <w:tab w:val="clear" w:pos="900"/>
        </w:tabs>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37" w:name="_Toc76630634"/>
      <w:bookmarkStart w:id="338" w:name="_Toc7002"/>
      <w:bookmarkStart w:id="339" w:name="_Toc9357"/>
      <w:bookmarkStart w:id="340" w:name="_Toc81552873"/>
      <w:r>
        <w:rPr>
          <w:rFonts w:hint="eastAsia" w:ascii="仿宋_GB2312" w:hAnsi="仿宋_GB2312" w:eastAsia="仿宋_GB2312" w:cs="仿宋_GB2312"/>
          <w:sz w:val="24"/>
          <w:szCs w:val="24"/>
          <w:highlight w:val="none"/>
          <w:lang w:val="en-US" w:eastAsia="zh-CN"/>
        </w:rPr>
        <w:t>5.1.5</w:t>
      </w:r>
      <w:r>
        <w:rPr>
          <w:rFonts w:hint="eastAsia" w:ascii="仿宋_GB2312" w:hAnsi="仿宋_GB2312" w:eastAsia="仿宋_GB2312" w:cs="仿宋_GB2312"/>
          <w:sz w:val="24"/>
          <w:szCs w:val="24"/>
          <w:highlight w:val="none"/>
        </w:rPr>
        <w:t>环保一张图</w:t>
      </w:r>
      <w:bookmarkEnd w:id="337"/>
      <w:bookmarkEnd w:id="338"/>
      <w:bookmarkEnd w:id="339"/>
      <w:bookmarkEnd w:id="340"/>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环保一张图的主要是功能是基于 GIS 地图，按照“点、面、域、空”四个层次进行全覆盖立体化感知和预警，实现精细化管理。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41" w:name="_Toc22707"/>
      <w:bookmarkStart w:id="342" w:name="_Toc13953"/>
      <w:bookmarkStart w:id="343" w:name="_Toc76630635"/>
      <w:bookmarkStart w:id="344" w:name="_Toc81552874"/>
      <w:r>
        <w:rPr>
          <w:rFonts w:hint="eastAsia" w:ascii="仿宋_GB2312" w:hAnsi="仿宋_GB2312" w:eastAsia="仿宋_GB2312" w:cs="仿宋_GB2312"/>
          <w:sz w:val="24"/>
          <w:szCs w:val="24"/>
          <w:highlight w:val="none"/>
          <w:lang w:val="en-US" w:eastAsia="zh-CN"/>
        </w:rPr>
        <w:t>5.1.6</w:t>
      </w:r>
      <w:r>
        <w:rPr>
          <w:rFonts w:hint="eastAsia" w:ascii="仿宋_GB2312" w:hAnsi="仿宋_GB2312" w:eastAsia="仿宋_GB2312" w:cs="仿宋_GB2312"/>
          <w:sz w:val="24"/>
          <w:szCs w:val="24"/>
          <w:highlight w:val="none"/>
        </w:rPr>
        <w:t>封闭管理一张图</w:t>
      </w:r>
      <w:bookmarkEnd w:id="341"/>
      <w:bookmarkEnd w:id="342"/>
      <w:bookmarkEnd w:id="343"/>
      <w:bookmarkEnd w:id="344"/>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封闭管理一张图，为园区企业、人员和车辆提供安全、高效、智能、生态的交通运输服务；为园区管理部门和相关企业提供及时、准确、全面和充分的信息支持和信息化决策支持。</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45" w:name="_Toc3239"/>
      <w:bookmarkStart w:id="346" w:name="_Toc81552875"/>
      <w:bookmarkStart w:id="347" w:name="_Toc8577"/>
      <w:bookmarkStart w:id="348" w:name="_Toc76630636"/>
      <w:r>
        <w:rPr>
          <w:rFonts w:hint="eastAsia" w:ascii="仿宋_GB2312" w:hAnsi="仿宋_GB2312" w:eastAsia="仿宋_GB2312" w:cs="仿宋_GB2312"/>
          <w:sz w:val="24"/>
          <w:szCs w:val="24"/>
          <w:highlight w:val="none"/>
          <w:lang w:val="en-US" w:eastAsia="zh-CN"/>
        </w:rPr>
        <w:t>5.1.7</w:t>
      </w:r>
      <w:r>
        <w:rPr>
          <w:rFonts w:hint="eastAsia" w:ascii="仿宋_GB2312" w:hAnsi="仿宋_GB2312" w:eastAsia="仿宋_GB2312" w:cs="仿宋_GB2312"/>
          <w:sz w:val="24"/>
          <w:szCs w:val="24"/>
          <w:highlight w:val="none"/>
        </w:rPr>
        <w:t>能源一张图</w:t>
      </w:r>
      <w:bookmarkEnd w:id="345"/>
      <w:bookmarkEnd w:id="346"/>
      <w:bookmarkEnd w:id="347"/>
      <w:bookmarkEnd w:id="348"/>
    </w:p>
    <w:p>
      <w:pPr>
        <w:shd w:val="clea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能源管理一张图，按照园区的能源消耗关系，形成园区能耗指标，实现能耗的可视化管理，为园区提供一个全面实时、可视化的能源监测决策分析平台。</w:t>
      </w:r>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49" w:name="_Toc22167"/>
      <w:bookmarkStart w:id="350" w:name="_Toc81552876"/>
      <w:bookmarkStart w:id="351" w:name="_Toc76630637"/>
      <w:bookmarkStart w:id="352" w:name="_Toc16072"/>
      <w:r>
        <w:rPr>
          <w:rFonts w:hint="eastAsia" w:hAnsi="仿宋_GB2312" w:cs="仿宋_GB2312"/>
          <w:sz w:val="24"/>
          <w:szCs w:val="24"/>
          <w:highlight w:val="none"/>
          <w:lang w:val="en-US" w:eastAsia="zh-CN"/>
        </w:rPr>
        <w:t>5.2</w:t>
      </w:r>
      <w:r>
        <w:rPr>
          <w:rFonts w:hint="eastAsia" w:ascii="仿宋_GB2312" w:hAnsi="仿宋_GB2312" w:eastAsia="仿宋_GB2312" w:cs="仿宋_GB2312"/>
          <w:sz w:val="24"/>
          <w:szCs w:val="24"/>
          <w:highlight w:val="none"/>
        </w:rPr>
        <w:t>园区画像</w:t>
      </w:r>
      <w:bookmarkEnd w:id="349"/>
      <w:bookmarkEnd w:id="350"/>
      <w:bookmarkEnd w:id="351"/>
      <w:bookmarkEnd w:id="352"/>
    </w:p>
    <w:p>
      <w:pPr>
        <w:shd w:val="clea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从园区基本信息、基础设施各个指标，以及企业基础、安全、环保、应急等多个维度的信息录入构建园区画像，实现对园区的多维度深度刻画。</w:t>
      </w:r>
    </w:p>
    <w:p>
      <w:pPr>
        <w:shd w:val="clea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主要功能：一企一档、园区档案、知识库、网格化管理。</w:t>
      </w:r>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53" w:name="_Toc10309"/>
      <w:bookmarkStart w:id="354" w:name="_Toc17656"/>
      <w:bookmarkStart w:id="355" w:name="_Toc81552881"/>
      <w:bookmarkStart w:id="356" w:name="_Toc76630644"/>
      <w:r>
        <w:rPr>
          <w:rFonts w:hint="eastAsia" w:hAnsi="仿宋_GB2312" w:cs="仿宋_GB2312"/>
          <w:sz w:val="24"/>
          <w:szCs w:val="24"/>
          <w:highlight w:val="none"/>
          <w:lang w:val="en-US" w:eastAsia="zh-CN"/>
        </w:rPr>
        <w:t>5.3</w:t>
      </w:r>
      <w:r>
        <w:rPr>
          <w:rFonts w:hint="eastAsia" w:ascii="仿宋_GB2312" w:hAnsi="仿宋_GB2312" w:eastAsia="仿宋_GB2312" w:cs="仿宋_GB2312"/>
          <w:sz w:val="24"/>
          <w:szCs w:val="24"/>
          <w:highlight w:val="none"/>
        </w:rPr>
        <w:t>安全监管</w:t>
      </w:r>
      <w:bookmarkEnd w:id="353"/>
      <w:bookmarkEnd w:id="354"/>
      <w:bookmarkEnd w:id="355"/>
      <w:bookmarkEnd w:id="356"/>
    </w:p>
    <w:p>
      <w:pPr>
        <w:shd w:val="clea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立足于园区日常安全生产，建立一套完善的安全生产监管系统，包含对重点监管的危化品、危化工艺和重大危险源的网络化、数字化监管，智慧安全子系统将实现基础数据采集与分析，结合数据模型前置预警，直观了解园区安全态势，针对不同风险与隐患进行分级处置，保障园区日常安全生产，降低生产事故发生率。</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57" w:name="_Toc76630645"/>
      <w:bookmarkStart w:id="358" w:name="_Toc81552882"/>
      <w:bookmarkStart w:id="359" w:name="_Toc29442"/>
      <w:bookmarkStart w:id="360" w:name="_Toc31371"/>
      <w:r>
        <w:rPr>
          <w:rFonts w:hint="eastAsia" w:ascii="仿宋_GB2312" w:hAnsi="仿宋_GB2312" w:eastAsia="仿宋_GB2312" w:cs="仿宋_GB2312"/>
          <w:sz w:val="24"/>
          <w:szCs w:val="24"/>
          <w:highlight w:val="none"/>
          <w:lang w:val="en-US" w:eastAsia="zh-CN"/>
        </w:rPr>
        <w:t>5.3.1</w:t>
      </w:r>
      <w:r>
        <w:rPr>
          <w:rFonts w:hint="eastAsia" w:ascii="仿宋_GB2312" w:hAnsi="仿宋_GB2312" w:eastAsia="仿宋_GB2312" w:cs="仿宋_GB2312"/>
          <w:sz w:val="24"/>
          <w:szCs w:val="24"/>
          <w:highlight w:val="none"/>
        </w:rPr>
        <w:t>风险分级管控</w:t>
      </w:r>
      <w:bookmarkEnd w:id="357"/>
      <w:bookmarkEnd w:id="358"/>
      <w:bookmarkEnd w:id="359"/>
      <w:bookmarkEnd w:id="360"/>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基于生产企业的基础信息、工艺信息、装置信息、管理信息等动态情况进行数据采集与分析，利用相应的专业风险分析模型，接照点（如重大危险源等）、线（如工艺装置等）、面（如工厂区域等）三维一体的风险分级管控思想，实现各类风险的科学辩识、量化分级和分级管理，增强对生产企业各类风险量化分析、态势分析、预测预警的综合管控能力。包含风险地图、辨识评估、风险防控、统计分析。</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61" w:name="_Toc76630646"/>
      <w:bookmarkStart w:id="362" w:name="_Toc14225"/>
      <w:bookmarkStart w:id="363" w:name="_Toc14910"/>
      <w:bookmarkStart w:id="364" w:name="_Toc81552883"/>
      <w:r>
        <w:rPr>
          <w:rFonts w:hint="eastAsia" w:ascii="仿宋_GB2312" w:hAnsi="仿宋_GB2312" w:eastAsia="仿宋_GB2312" w:cs="仿宋_GB2312"/>
          <w:sz w:val="24"/>
          <w:szCs w:val="24"/>
          <w:highlight w:val="none"/>
          <w:lang w:val="en-US" w:eastAsia="zh-CN"/>
        </w:rPr>
        <w:t>5.3.2</w:t>
      </w:r>
      <w:r>
        <w:rPr>
          <w:rFonts w:hint="eastAsia" w:ascii="仿宋_GB2312" w:hAnsi="仿宋_GB2312" w:eastAsia="仿宋_GB2312" w:cs="仿宋_GB2312"/>
          <w:sz w:val="24"/>
          <w:szCs w:val="24"/>
          <w:highlight w:val="none"/>
        </w:rPr>
        <w:t>风险监测预警</w:t>
      </w:r>
      <w:bookmarkEnd w:id="361"/>
      <w:bookmarkEnd w:id="362"/>
      <w:bookmarkEnd w:id="363"/>
      <w:bookmarkEnd w:id="364"/>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通过接入企业有毒可燃气体、重大危险源、重点监管工艺、重点区域视频、高空瞭望等实时监测数据、视频。包含重大危险源、重点监管工艺、重点监管危险化学品、重点区域视频、有毒可燃气体、管道泄漏和高空瞭望监测及报警管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65" w:name="_Toc19145"/>
      <w:bookmarkStart w:id="366" w:name="_Toc11842"/>
      <w:bookmarkStart w:id="367" w:name="_Toc81552884"/>
      <w:bookmarkStart w:id="368" w:name="_Toc76630647"/>
      <w:r>
        <w:rPr>
          <w:rFonts w:hint="eastAsia" w:ascii="仿宋_GB2312" w:hAnsi="仿宋_GB2312" w:eastAsia="仿宋_GB2312" w:cs="仿宋_GB2312"/>
          <w:sz w:val="24"/>
          <w:szCs w:val="24"/>
          <w:highlight w:val="none"/>
          <w:lang w:val="en-US" w:eastAsia="zh-CN"/>
        </w:rPr>
        <w:t>5.3.3</w:t>
      </w:r>
      <w:r>
        <w:rPr>
          <w:rFonts w:hint="eastAsia" w:ascii="仿宋_GB2312" w:hAnsi="仿宋_GB2312" w:eastAsia="仿宋_GB2312" w:cs="仿宋_GB2312"/>
          <w:sz w:val="24"/>
          <w:szCs w:val="24"/>
          <w:highlight w:val="none"/>
        </w:rPr>
        <w:t>隐患排查治理</w:t>
      </w:r>
      <w:bookmarkEnd w:id="365"/>
      <w:bookmarkEnd w:id="366"/>
      <w:bookmarkEnd w:id="367"/>
      <w:bookmarkEnd w:id="368"/>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隐患排查模块涵盖了政府端和企业端应用，企业端通过日常隐患自查自报等方式，让政府能够有效监管企业的隐患排查治理工作，为园区内隐患排查治理工作成效考核提供依据。实现了对安全隐患的记录、评估和分类处置，完整记录整改过程。主要功能包含隐患排查治理、隐患挂牌督办、整改通知单、隐患状态跟踪、隐患统计分析查询。</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369" w:name="_Toc76630649"/>
      <w:bookmarkStart w:id="370" w:name="_Toc81552885"/>
      <w:bookmarkStart w:id="371" w:name="_Toc17825"/>
      <w:bookmarkStart w:id="372" w:name="_Toc748"/>
      <w:r>
        <w:rPr>
          <w:rFonts w:hint="eastAsia" w:ascii="仿宋_GB2312" w:hAnsi="仿宋_GB2312" w:eastAsia="仿宋_GB2312" w:cs="仿宋_GB2312"/>
          <w:sz w:val="24"/>
          <w:szCs w:val="24"/>
          <w:highlight w:val="none"/>
          <w:lang w:val="en-US" w:eastAsia="zh-CN"/>
        </w:rPr>
        <w:t>5.3.4</w:t>
      </w:r>
      <w:r>
        <w:rPr>
          <w:rFonts w:hint="eastAsia" w:ascii="仿宋_GB2312" w:hAnsi="仿宋_GB2312" w:eastAsia="仿宋_GB2312" w:cs="仿宋_GB2312"/>
          <w:sz w:val="24"/>
          <w:szCs w:val="24"/>
          <w:highlight w:val="none"/>
        </w:rPr>
        <w:t>危险作业监管</w:t>
      </w:r>
      <w:bookmarkEnd w:id="369"/>
      <w:bookmarkEnd w:id="370"/>
      <w:bookmarkEnd w:id="371"/>
      <w:bookmarkEnd w:id="372"/>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highlight w:val="none"/>
        </w:rPr>
        <w:t>建立企业作业步骤SOP，辨识作业风险，自动过滤承包商人员资质信息，落实风险削减措施，验收作业成果，通过系统对作业流程严格把控；同时通过系统进行作业票风险辨识、措施实施、在线审批等过程，在作业票办理合规的同时提升办票效率</w:t>
      </w:r>
      <w:r>
        <w:rPr>
          <w:rFonts w:hint="eastAsia" w:ascii="仿宋_GB2312" w:hAnsi="仿宋_GB2312" w:eastAsia="仿宋_GB2312" w:cs="仿宋_GB2312"/>
          <w:sz w:val="24"/>
          <w:szCs w:val="24"/>
        </w:rPr>
        <w:t>。支持移动端上报、审批、验收。</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373" w:name="_Toc319"/>
      <w:bookmarkStart w:id="374" w:name="_Toc81552886"/>
      <w:bookmarkStart w:id="375" w:name="_Toc76630650"/>
      <w:bookmarkStart w:id="376" w:name="_Toc22643"/>
      <w:r>
        <w:rPr>
          <w:rFonts w:hint="eastAsia" w:ascii="仿宋_GB2312" w:hAnsi="仿宋_GB2312" w:eastAsia="仿宋_GB2312" w:cs="仿宋_GB2312"/>
          <w:sz w:val="24"/>
          <w:szCs w:val="24"/>
          <w:lang w:val="en-US" w:eastAsia="zh-CN"/>
        </w:rPr>
        <w:t>5.4</w:t>
      </w:r>
      <w:r>
        <w:rPr>
          <w:rFonts w:hint="eastAsia" w:ascii="仿宋_GB2312" w:hAnsi="仿宋_GB2312" w:eastAsia="仿宋_GB2312" w:cs="仿宋_GB2312"/>
          <w:sz w:val="24"/>
          <w:szCs w:val="24"/>
        </w:rPr>
        <w:t>应急指挥</w:t>
      </w:r>
      <w:bookmarkEnd w:id="373"/>
      <w:bookmarkEnd w:id="374"/>
      <w:bookmarkEnd w:id="375"/>
      <w:bookmarkEnd w:id="376"/>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应急指挥子系统，是化工园区在处理突发事件时最重要的辅助决策工具。为提升平台的可视化水平，需要将此模块与地理信息系统深度融合，应急相关数据都能通过 GIS 技术进行可视化展示。</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377" w:name="_Toc32519"/>
      <w:bookmarkStart w:id="378" w:name="_Toc76630651"/>
      <w:bookmarkStart w:id="379" w:name="_Toc12725"/>
      <w:bookmarkStart w:id="380" w:name="_Toc81552887"/>
      <w:r>
        <w:rPr>
          <w:rFonts w:hint="eastAsia" w:ascii="仿宋_GB2312" w:hAnsi="仿宋_GB2312" w:eastAsia="仿宋_GB2312" w:cs="仿宋_GB2312"/>
          <w:sz w:val="24"/>
          <w:szCs w:val="24"/>
          <w:lang w:val="en-US" w:eastAsia="zh-CN"/>
        </w:rPr>
        <w:t>5.4.1</w:t>
      </w:r>
      <w:r>
        <w:rPr>
          <w:rFonts w:hint="eastAsia" w:ascii="仿宋_GB2312" w:hAnsi="仿宋_GB2312" w:eastAsia="仿宋_GB2312" w:cs="仿宋_GB2312"/>
          <w:sz w:val="24"/>
          <w:szCs w:val="24"/>
        </w:rPr>
        <w:t>自然灾害</w:t>
      </w:r>
      <w:bookmarkEnd w:id="377"/>
      <w:bookmarkEnd w:id="378"/>
      <w:bookmarkEnd w:id="379"/>
      <w:bookmarkEnd w:id="380"/>
      <w:r>
        <w:rPr>
          <w:rFonts w:hint="eastAsia" w:ascii="仿宋_GB2312" w:hAnsi="仿宋_GB2312" w:eastAsia="仿宋_GB2312" w:cs="仿宋_GB2312"/>
          <w:sz w:val="24"/>
          <w:szCs w:val="24"/>
        </w:rPr>
        <w:t>预警分析</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自然灾害监测预警以当地气象部门数据为支撑，结合园区监控系统及数据发布系统，为园区提供气象服务及山洪、泥石流等自然灾害的应急管理。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381" w:name="_Toc27984"/>
      <w:bookmarkStart w:id="382" w:name="_Toc81552888"/>
      <w:bookmarkStart w:id="383" w:name="_Toc24226"/>
      <w:bookmarkStart w:id="384" w:name="_Toc76630652"/>
      <w:r>
        <w:rPr>
          <w:rFonts w:hint="eastAsia" w:ascii="仿宋_GB2312" w:hAnsi="仿宋_GB2312" w:eastAsia="仿宋_GB2312" w:cs="仿宋_GB2312"/>
          <w:sz w:val="24"/>
          <w:szCs w:val="24"/>
          <w:lang w:val="en-US" w:eastAsia="zh-CN"/>
        </w:rPr>
        <w:t>5.4.2</w:t>
      </w:r>
      <w:r>
        <w:rPr>
          <w:rFonts w:hint="eastAsia" w:ascii="仿宋_GB2312" w:hAnsi="仿宋_GB2312" w:eastAsia="仿宋_GB2312" w:cs="仿宋_GB2312"/>
          <w:sz w:val="24"/>
          <w:szCs w:val="24"/>
        </w:rPr>
        <w:t>应急资源动态</w:t>
      </w:r>
      <w:bookmarkEnd w:id="381"/>
      <w:bookmarkEnd w:id="382"/>
      <w:bookmarkEnd w:id="383"/>
      <w:bookmarkEnd w:id="384"/>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维护各类应急资源库中储备的各类应急物资基本信息，为应急事件处置流程提供基础数据支撑。在突发事件发生时，应急指挥人员通过GIS、图表等多种方式展现资源的地点、数量、特征、性能、状态等信息，迅速调集救援资源进行有效的救援。</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385" w:name="_Toc76630653"/>
      <w:bookmarkStart w:id="386" w:name="_Toc11961"/>
      <w:bookmarkStart w:id="387" w:name="_Toc81552889"/>
      <w:bookmarkStart w:id="388" w:name="_Toc6331"/>
      <w:r>
        <w:rPr>
          <w:rFonts w:hint="eastAsia" w:ascii="仿宋_GB2312" w:hAnsi="仿宋_GB2312" w:eastAsia="仿宋_GB2312" w:cs="仿宋_GB2312"/>
          <w:sz w:val="24"/>
          <w:szCs w:val="24"/>
          <w:lang w:val="en-US" w:eastAsia="zh-CN"/>
        </w:rPr>
        <w:t>5.4.3</w:t>
      </w:r>
      <w:r>
        <w:rPr>
          <w:rFonts w:hint="eastAsia" w:ascii="仿宋_GB2312" w:hAnsi="仿宋_GB2312" w:eastAsia="仿宋_GB2312" w:cs="仿宋_GB2312"/>
          <w:sz w:val="24"/>
          <w:szCs w:val="24"/>
        </w:rPr>
        <w:t>应急值守</w:t>
      </w:r>
      <w:bookmarkEnd w:id="385"/>
      <w:bookmarkEnd w:id="386"/>
      <w:bookmarkEnd w:id="387"/>
      <w:bookmarkEnd w:id="388"/>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在指挥中心进行24h值守，包含值班人员管理、排班换班和值班日志。值守，包含应急指挥中心值守以及医院值守。</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389" w:name="_Toc9958"/>
      <w:bookmarkStart w:id="390" w:name="_Toc81552890"/>
      <w:bookmarkStart w:id="391" w:name="_Toc15427"/>
      <w:bookmarkStart w:id="392" w:name="_Toc76630654"/>
      <w:r>
        <w:rPr>
          <w:rFonts w:hint="eastAsia" w:ascii="仿宋_GB2312" w:hAnsi="仿宋_GB2312" w:eastAsia="仿宋_GB2312" w:cs="仿宋_GB2312"/>
          <w:sz w:val="24"/>
          <w:szCs w:val="24"/>
          <w:lang w:val="en-US" w:eastAsia="zh-CN"/>
        </w:rPr>
        <w:t>5.4.4</w:t>
      </w:r>
      <w:r>
        <w:rPr>
          <w:rFonts w:hint="eastAsia" w:ascii="仿宋_GB2312" w:hAnsi="仿宋_GB2312" w:eastAsia="仿宋_GB2312" w:cs="仿宋_GB2312"/>
          <w:sz w:val="24"/>
          <w:szCs w:val="24"/>
        </w:rPr>
        <w:t>告警管理</w:t>
      </w:r>
      <w:bookmarkEnd w:id="389"/>
      <w:bookmarkEnd w:id="390"/>
      <w:bookmarkEnd w:id="391"/>
      <w:bookmarkEnd w:id="392"/>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集成物联网终端或视频监控等，系统提供平台告警功能。监测区域出现异常情况时，系统进行报警，为人员处理告警事件提供辅助决策，具体包含告警事件核实与处理。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393" w:name="_Toc81552891"/>
      <w:bookmarkStart w:id="394" w:name="_Toc12654"/>
      <w:bookmarkStart w:id="395" w:name="_Toc76630655"/>
      <w:bookmarkStart w:id="396" w:name="_Toc21252"/>
      <w:r>
        <w:rPr>
          <w:rFonts w:hint="eastAsia" w:ascii="仿宋_GB2312" w:hAnsi="仿宋_GB2312" w:eastAsia="仿宋_GB2312" w:cs="仿宋_GB2312"/>
          <w:sz w:val="24"/>
          <w:szCs w:val="24"/>
          <w:lang w:val="en-US" w:eastAsia="zh-CN"/>
        </w:rPr>
        <w:t>5.4.5</w:t>
      </w:r>
      <w:r>
        <w:rPr>
          <w:rFonts w:hint="eastAsia" w:ascii="仿宋_GB2312" w:hAnsi="仿宋_GB2312" w:eastAsia="仿宋_GB2312" w:cs="仿宋_GB2312"/>
          <w:sz w:val="24"/>
          <w:szCs w:val="24"/>
        </w:rPr>
        <w:t>事件管理</w:t>
      </w:r>
      <w:bookmarkEnd w:id="393"/>
      <w:bookmarkEnd w:id="394"/>
      <w:bookmarkEnd w:id="395"/>
      <w:bookmarkEnd w:id="396"/>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进行事件管理，事件管理模块主要包含有以下功能：事故上报、事故处置、事故跟踪和反馈。</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397" w:name="_Toc81552892"/>
      <w:bookmarkStart w:id="398" w:name="_Toc29550"/>
      <w:bookmarkStart w:id="399" w:name="_Toc76630656"/>
      <w:bookmarkStart w:id="400" w:name="_Toc29332"/>
      <w:r>
        <w:rPr>
          <w:rFonts w:hint="eastAsia" w:ascii="仿宋_GB2312" w:hAnsi="仿宋_GB2312" w:eastAsia="仿宋_GB2312" w:cs="仿宋_GB2312"/>
          <w:sz w:val="24"/>
          <w:szCs w:val="24"/>
          <w:lang w:val="en-US" w:eastAsia="zh-CN"/>
        </w:rPr>
        <w:t>5.4.6</w:t>
      </w:r>
      <w:r>
        <w:rPr>
          <w:rFonts w:hint="eastAsia" w:ascii="仿宋_GB2312" w:hAnsi="仿宋_GB2312" w:eastAsia="仿宋_GB2312" w:cs="仿宋_GB2312"/>
          <w:sz w:val="24"/>
          <w:szCs w:val="24"/>
        </w:rPr>
        <w:t>指挥调度</w:t>
      </w:r>
      <w:bookmarkEnd w:id="397"/>
      <w:bookmarkEnd w:id="398"/>
      <w:bookmarkEnd w:id="399"/>
      <w:bookmarkEnd w:id="400"/>
    </w:p>
    <w:p>
      <w:pPr>
        <w:pStyle w:val="60"/>
        <w:kinsoku/>
        <w:wordWrap/>
        <w:topLinePunct w:val="0"/>
        <w:bidi w:val="0"/>
        <w:spacing w:line="3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结合多媒体通信、高清视频等多种先进的技术，对园区内泄露、火灾、爆炸、暴雨等紧急事件进行管理，实现应急事件的全流程信息化管理。可提高应急防范、救援和保障能力，使化工园区应急管理模式从静态、时候管理向动态、实时监管模式的转变，满足园区日常值守与应急救援业务工作。</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01" w:name="_Toc17057"/>
      <w:bookmarkStart w:id="402" w:name="_Toc76630657"/>
      <w:bookmarkStart w:id="403" w:name="_Toc81552893"/>
      <w:bookmarkStart w:id="404" w:name="_Toc18074"/>
      <w:r>
        <w:rPr>
          <w:rFonts w:hint="eastAsia" w:ascii="仿宋_GB2312" w:hAnsi="仿宋_GB2312" w:eastAsia="仿宋_GB2312" w:cs="仿宋_GB2312"/>
          <w:sz w:val="24"/>
          <w:szCs w:val="24"/>
          <w:lang w:val="en-US" w:eastAsia="zh-CN"/>
        </w:rPr>
        <w:t>5.4.7</w:t>
      </w:r>
      <w:r>
        <w:rPr>
          <w:rFonts w:hint="eastAsia" w:ascii="仿宋_GB2312" w:hAnsi="仿宋_GB2312" w:eastAsia="仿宋_GB2312" w:cs="仿宋_GB2312"/>
          <w:sz w:val="24"/>
          <w:szCs w:val="24"/>
        </w:rPr>
        <w:t>结构化应急预案</w:t>
      </w:r>
      <w:bookmarkEnd w:id="401"/>
      <w:bookmarkEnd w:id="402"/>
      <w:bookmarkEnd w:id="403"/>
      <w:bookmarkEnd w:id="404"/>
      <w:r>
        <w:rPr>
          <w:rFonts w:hint="eastAsia" w:ascii="仿宋_GB2312" w:hAnsi="仿宋_GB2312" w:eastAsia="仿宋_GB2312" w:cs="仿宋_GB2312"/>
          <w:sz w:val="24"/>
          <w:szCs w:val="24"/>
        </w:rPr>
        <w:tab/>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结构化应急预案以对“事前准备、事发响应流程、事中应急处置、事后总结提升等过程的综合管理”为目标，通过对各级各类应急预案的数字化、结构化、图形化、流程化进行实现。</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05" w:name="_Toc76630658"/>
      <w:bookmarkStart w:id="406" w:name="_Toc30639"/>
      <w:bookmarkStart w:id="407" w:name="_Toc81552894"/>
      <w:bookmarkStart w:id="408" w:name="_Toc1986"/>
      <w:r>
        <w:rPr>
          <w:rFonts w:hint="eastAsia" w:ascii="仿宋_GB2312" w:hAnsi="仿宋_GB2312" w:eastAsia="仿宋_GB2312" w:cs="仿宋_GB2312"/>
          <w:sz w:val="24"/>
          <w:szCs w:val="24"/>
          <w:lang w:val="en-US" w:eastAsia="zh-CN"/>
        </w:rPr>
        <w:t>5.4.8</w:t>
      </w:r>
      <w:r>
        <w:rPr>
          <w:rFonts w:hint="eastAsia" w:ascii="仿宋_GB2312" w:hAnsi="仿宋_GB2312" w:eastAsia="仿宋_GB2312" w:cs="仿宋_GB2312"/>
          <w:sz w:val="24"/>
          <w:szCs w:val="24"/>
        </w:rPr>
        <w:t>应急演练</w:t>
      </w:r>
      <w:bookmarkEnd w:id="405"/>
      <w:bookmarkEnd w:id="406"/>
      <w:bookmarkEnd w:id="407"/>
      <w:bookmarkEnd w:id="408"/>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真实环境中的进行的实战演练，用于园区及企业的日常和专项演练场景；包括演练计划的制定、演练方案的管理、演练的实施、演练评估，相关单位根据演练方案对响应的演练过程进行指挥、调度，同时，系统对演练的过程形成文档，实现对演练的评估和总结。事故模拟处置培训。</w:t>
      </w:r>
    </w:p>
    <w:p>
      <w:pPr>
        <w:pStyle w:val="4"/>
        <w:numPr>
          <w:ilvl w:val="0"/>
          <w:numId w:val="0"/>
        </w:numPr>
        <w:shd w:val="clear" w:color="auto"/>
        <w:kinsoku/>
        <w:wordWrap/>
        <w:topLinePunct w:val="0"/>
        <w:bidi w:val="0"/>
        <w:spacing w:line="360" w:lineRule="exact"/>
        <w:ind w:leftChars="0"/>
        <w:rPr>
          <w:rFonts w:hint="eastAsia" w:hAnsi="仿宋_GB2312" w:cs="仿宋_GB2312"/>
          <w:sz w:val="24"/>
          <w:szCs w:val="24"/>
          <w:lang w:val="en-US" w:eastAsia="zh-CN"/>
        </w:rPr>
      </w:pPr>
      <w:bookmarkStart w:id="409" w:name="_Toc76630659"/>
      <w:bookmarkStart w:id="410" w:name="_Toc81552895"/>
      <w:bookmarkStart w:id="411" w:name="_Toc16820"/>
      <w:bookmarkStart w:id="412" w:name="_Toc5263"/>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rPr>
      </w:pPr>
      <w:r>
        <w:rPr>
          <w:rFonts w:hint="eastAsia" w:hAnsi="仿宋_GB2312" w:cs="仿宋_GB2312"/>
          <w:sz w:val="24"/>
          <w:szCs w:val="24"/>
          <w:lang w:val="en-US" w:eastAsia="zh-CN"/>
        </w:rPr>
        <w:t>5.5</w:t>
      </w:r>
      <w:r>
        <w:rPr>
          <w:rFonts w:hint="eastAsia" w:ascii="仿宋_GB2312" w:hAnsi="仿宋_GB2312" w:eastAsia="仿宋_GB2312" w:cs="仿宋_GB2312"/>
          <w:sz w:val="24"/>
          <w:szCs w:val="24"/>
        </w:rPr>
        <w:t>环境监管</w:t>
      </w:r>
      <w:bookmarkEnd w:id="409"/>
      <w:bookmarkEnd w:id="410"/>
      <w:bookmarkEnd w:id="411"/>
      <w:bookmarkEnd w:id="412"/>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通过物联网与互联网相联，基于GIS地图实现园区整体环境的全方位立体化感知，为开展后续环境监管和监督提供数据支撑，最终实现污染的精细化管理。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13" w:name="_Toc21328"/>
      <w:bookmarkStart w:id="414" w:name="_Toc81552896"/>
      <w:bookmarkStart w:id="415" w:name="_Toc18112"/>
      <w:bookmarkStart w:id="416" w:name="_Toc76630660"/>
      <w:r>
        <w:rPr>
          <w:rFonts w:hint="eastAsia" w:ascii="仿宋_GB2312" w:hAnsi="仿宋_GB2312" w:eastAsia="仿宋_GB2312" w:cs="仿宋_GB2312"/>
          <w:sz w:val="24"/>
          <w:szCs w:val="24"/>
          <w:lang w:val="en-US" w:eastAsia="zh-CN"/>
        </w:rPr>
        <w:t>5.5.1</w:t>
      </w:r>
      <w:r>
        <w:rPr>
          <w:rFonts w:hint="eastAsia" w:ascii="仿宋_GB2312" w:hAnsi="仿宋_GB2312" w:eastAsia="仿宋_GB2312" w:cs="仿宋_GB2312"/>
          <w:sz w:val="24"/>
          <w:szCs w:val="24"/>
        </w:rPr>
        <w:t>环境立体感知</w:t>
      </w:r>
      <w:bookmarkEnd w:id="413"/>
      <w:bookmarkEnd w:id="414"/>
      <w:bookmarkEnd w:id="415"/>
      <w:bookmarkEnd w:id="416"/>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通过在园区设立大气环境、水环境、VOC整体排放同时接入企业污染源监测监控，基于GIS地图实现园区整体环境的全方位立体化感知，设置超标报警值，可显示历史趋势，为开展后续环境监管和监督提供数据支撑，最终实现污染的精细化管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17" w:name="_Toc7917"/>
      <w:bookmarkStart w:id="418" w:name="_Toc30999"/>
      <w:bookmarkStart w:id="419" w:name="_Toc81552897"/>
      <w:bookmarkStart w:id="420" w:name="_Toc76630661"/>
      <w:r>
        <w:rPr>
          <w:rFonts w:hint="eastAsia" w:ascii="仿宋_GB2312" w:hAnsi="仿宋_GB2312" w:eastAsia="仿宋_GB2312" w:cs="仿宋_GB2312"/>
          <w:sz w:val="24"/>
          <w:szCs w:val="24"/>
          <w:lang w:val="en-US" w:eastAsia="zh-CN"/>
        </w:rPr>
        <w:t>5.5.2</w:t>
      </w:r>
      <w:r>
        <w:rPr>
          <w:rFonts w:hint="eastAsia" w:ascii="仿宋_GB2312" w:hAnsi="仿宋_GB2312" w:eastAsia="仿宋_GB2312" w:cs="仿宋_GB2312"/>
          <w:sz w:val="24"/>
          <w:szCs w:val="24"/>
        </w:rPr>
        <w:t>环保设备状态监测</w:t>
      </w:r>
      <w:bookmarkEnd w:id="417"/>
      <w:bookmarkEnd w:id="418"/>
      <w:bookmarkEnd w:id="419"/>
      <w:bookmarkEnd w:id="420"/>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针对园区内环保监测设备运行状态进行动态展示。</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21" w:name="_Toc16738"/>
      <w:bookmarkStart w:id="422" w:name="_Toc18849"/>
      <w:bookmarkStart w:id="423" w:name="_Toc76630663"/>
      <w:bookmarkStart w:id="424" w:name="_Toc81552898"/>
      <w:r>
        <w:rPr>
          <w:rFonts w:hint="eastAsia" w:ascii="仿宋_GB2312" w:hAnsi="仿宋_GB2312" w:eastAsia="仿宋_GB2312" w:cs="仿宋_GB2312"/>
          <w:sz w:val="24"/>
          <w:szCs w:val="24"/>
          <w:lang w:val="en-US" w:eastAsia="zh-CN"/>
        </w:rPr>
        <w:t>5.5.3</w:t>
      </w:r>
      <w:r>
        <w:rPr>
          <w:rFonts w:hint="eastAsia" w:ascii="仿宋_GB2312" w:hAnsi="仿宋_GB2312" w:eastAsia="仿宋_GB2312" w:cs="仿宋_GB2312"/>
          <w:sz w:val="24"/>
          <w:szCs w:val="24"/>
        </w:rPr>
        <w:t>环境监测预警</w:t>
      </w:r>
      <w:bookmarkEnd w:id="421"/>
      <w:bookmarkEnd w:id="422"/>
      <w:bookmarkEnd w:id="423"/>
      <w:bookmarkEnd w:id="424"/>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参照国家法律法规标准，结合地方园区监管特点以及行业经验等，为环保监测数据设置超标报警值，实现对实时监测数据与报警情况的管理。包含</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t>指标异常报警、视频联动预警、报警处置闭环。</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25" w:name="_Toc81552899"/>
      <w:bookmarkStart w:id="426" w:name="_Toc27934"/>
      <w:bookmarkStart w:id="427" w:name="_Toc28315"/>
      <w:bookmarkStart w:id="428" w:name="_Toc76630662"/>
      <w:bookmarkStart w:id="429" w:name="_Toc76630665"/>
      <w:bookmarkStart w:id="430" w:name="_Toc17222"/>
      <w:bookmarkStart w:id="431" w:name="_Toc23204"/>
      <w:r>
        <w:rPr>
          <w:rFonts w:hint="eastAsia" w:ascii="仿宋_GB2312" w:hAnsi="仿宋_GB2312" w:eastAsia="仿宋_GB2312" w:cs="仿宋_GB2312"/>
          <w:sz w:val="24"/>
          <w:szCs w:val="24"/>
          <w:lang w:val="en-US" w:eastAsia="zh-CN"/>
        </w:rPr>
        <w:t>5.5.4</w:t>
      </w:r>
      <w:r>
        <w:rPr>
          <w:rFonts w:hint="eastAsia" w:ascii="仿宋_GB2312" w:hAnsi="仿宋_GB2312" w:eastAsia="仿宋_GB2312" w:cs="仿宋_GB2312"/>
          <w:sz w:val="24"/>
          <w:szCs w:val="24"/>
        </w:rPr>
        <w:t>危废固废监管</w:t>
      </w:r>
      <w:bookmarkEnd w:id="425"/>
      <w:bookmarkEnd w:id="426"/>
      <w:bookmarkEnd w:id="427"/>
      <w:bookmarkEnd w:id="428"/>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通过录入危固废的基础信息、转移联单等数据，实现固废的产生、转移（运输）、存储、处理的全流程管理。</w:t>
      </w:r>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rPr>
      </w:pPr>
      <w:bookmarkStart w:id="432" w:name="_Toc81552900"/>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rPr>
      </w:pPr>
      <w:r>
        <w:rPr>
          <w:rFonts w:hint="eastAsia" w:hAnsi="仿宋_GB2312" w:cs="仿宋_GB2312"/>
          <w:sz w:val="24"/>
          <w:szCs w:val="24"/>
          <w:lang w:val="en-US" w:eastAsia="zh-CN"/>
        </w:rPr>
        <w:t>5.6</w:t>
      </w:r>
      <w:r>
        <w:rPr>
          <w:rFonts w:hint="eastAsia" w:ascii="仿宋_GB2312" w:hAnsi="仿宋_GB2312" w:eastAsia="仿宋_GB2312" w:cs="仿宋_GB2312"/>
          <w:sz w:val="24"/>
          <w:szCs w:val="24"/>
        </w:rPr>
        <w:t>封闭管理</w:t>
      </w:r>
      <w:bookmarkEnd w:id="429"/>
      <w:bookmarkEnd w:id="430"/>
      <w:bookmarkEnd w:id="431"/>
      <w:bookmarkEnd w:id="432"/>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旨在借助新一代信息技术，建成安全、高效、智能、绿色的园区环境，增强园区周界和卡口监控能力，改善园区应急处理与决策能力，提高园区安全管理水平和运行效率，为园区企业、人员和车辆提供安全、高效、智能、生态的交通运输服务；为园区管理部门和相关企业提供及时、准确、全面和充分的信息支持和信息化决策支持。</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33" w:name="_Toc70673575"/>
      <w:bookmarkStart w:id="434" w:name="_Toc81552901"/>
      <w:bookmarkStart w:id="435" w:name="_Toc26326"/>
      <w:bookmarkStart w:id="436" w:name="_Toc76630666"/>
      <w:bookmarkStart w:id="437" w:name="_Toc9402"/>
      <w:r>
        <w:rPr>
          <w:rFonts w:hint="eastAsia" w:ascii="仿宋_GB2312" w:hAnsi="仿宋_GB2312" w:eastAsia="仿宋_GB2312" w:cs="仿宋_GB2312"/>
          <w:sz w:val="24"/>
          <w:szCs w:val="24"/>
          <w:lang w:val="en-US" w:eastAsia="zh-CN"/>
        </w:rPr>
        <w:t>5.6.1</w:t>
      </w:r>
      <w:r>
        <w:rPr>
          <w:rFonts w:hint="eastAsia" w:ascii="仿宋_GB2312" w:hAnsi="仿宋_GB2312" w:eastAsia="仿宋_GB2312" w:cs="仿宋_GB2312"/>
          <w:sz w:val="24"/>
          <w:szCs w:val="24"/>
        </w:rPr>
        <w:t>出入管理</w:t>
      </w:r>
      <w:bookmarkEnd w:id="433"/>
      <w:bookmarkEnd w:id="434"/>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进入园区的车辆与人员进行监控与识别，园区管委会和企业员工可以在园区进行备案，访客若要进入园区需提前由所访问公司担保申请。对人员与车辆的基础信息进行管理，且能进行分级别、分权限和分区域的管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38" w:name="_Toc81552902"/>
      <w:bookmarkStart w:id="439" w:name="_Toc70673577"/>
      <w:r>
        <w:rPr>
          <w:rFonts w:hint="eastAsia" w:ascii="仿宋_GB2312" w:hAnsi="仿宋_GB2312" w:eastAsia="仿宋_GB2312" w:cs="仿宋_GB2312"/>
          <w:sz w:val="24"/>
          <w:szCs w:val="24"/>
          <w:lang w:val="en-US" w:eastAsia="zh-CN"/>
        </w:rPr>
        <w:t>5.6.2</w:t>
      </w:r>
      <w:r>
        <w:rPr>
          <w:rFonts w:hint="eastAsia" w:ascii="仿宋_GB2312" w:hAnsi="仿宋_GB2312" w:eastAsia="仿宋_GB2312" w:cs="仿宋_GB2312"/>
          <w:sz w:val="24"/>
          <w:szCs w:val="24"/>
        </w:rPr>
        <w:t>访客管理</w:t>
      </w:r>
      <w:bookmarkEnd w:id="438"/>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对周界异常报警进行监控和管理，以保证管理人员能及时了解报警区域的情况，快速的作出应对。</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40" w:name="_Toc81552903"/>
      <w:r>
        <w:rPr>
          <w:rFonts w:hint="eastAsia" w:ascii="仿宋_GB2312" w:hAnsi="仿宋_GB2312" w:eastAsia="仿宋_GB2312" w:cs="仿宋_GB2312"/>
          <w:sz w:val="24"/>
          <w:szCs w:val="24"/>
          <w:lang w:val="en-US" w:eastAsia="zh-CN"/>
        </w:rPr>
        <w:t>5.6.3</w:t>
      </w:r>
      <w:r>
        <w:rPr>
          <w:rFonts w:hint="eastAsia" w:ascii="仿宋_GB2312" w:hAnsi="仿宋_GB2312" w:eastAsia="仿宋_GB2312" w:cs="仿宋_GB2312"/>
          <w:sz w:val="24"/>
          <w:szCs w:val="24"/>
        </w:rPr>
        <w:t>危化品运输监管</w:t>
      </w:r>
      <w:bookmarkEnd w:id="439"/>
      <w:bookmarkEnd w:id="440"/>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主要对危化品车辆在园区内的运输监控管理，包括车辆审核、交通监控、道路卡口等情况。</w:t>
      </w:r>
    </w:p>
    <w:bookmarkEnd w:id="435"/>
    <w:bookmarkEnd w:id="436"/>
    <w:bookmarkEnd w:id="437"/>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rPr>
      </w:pPr>
      <w:bookmarkStart w:id="441" w:name="_Toc81552904"/>
      <w:bookmarkStart w:id="442" w:name="_Toc76630668"/>
      <w:bookmarkStart w:id="443" w:name="_Toc22294"/>
      <w:bookmarkStart w:id="444" w:name="_Toc4128"/>
      <w:r>
        <w:rPr>
          <w:rFonts w:hint="eastAsia" w:hAnsi="仿宋_GB2312" w:cs="仿宋_GB2312"/>
          <w:sz w:val="24"/>
          <w:szCs w:val="24"/>
          <w:lang w:val="en-US" w:eastAsia="zh-CN"/>
        </w:rPr>
        <w:t>5.7</w:t>
      </w:r>
      <w:r>
        <w:rPr>
          <w:rFonts w:hint="eastAsia" w:ascii="仿宋_GB2312" w:hAnsi="仿宋_GB2312" w:eastAsia="仿宋_GB2312" w:cs="仿宋_GB2312"/>
          <w:sz w:val="24"/>
          <w:szCs w:val="24"/>
        </w:rPr>
        <w:t>能源监管</w:t>
      </w:r>
      <w:bookmarkEnd w:id="441"/>
      <w:bookmarkEnd w:id="442"/>
      <w:bookmarkEnd w:id="443"/>
      <w:bookmarkEnd w:id="444"/>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对园区能源进行分类、分层、分区域等形式的精细化测量。包含能源数据采集、能源监控、能源统计等业务功能。</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45" w:name="_Toc3333"/>
      <w:bookmarkStart w:id="446" w:name="_Toc76630669"/>
      <w:bookmarkStart w:id="447" w:name="_Toc81552905"/>
      <w:bookmarkStart w:id="448" w:name="_Toc22001"/>
      <w:r>
        <w:rPr>
          <w:rFonts w:hint="eastAsia" w:ascii="仿宋_GB2312" w:hAnsi="仿宋_GB2312" w:eastAsia="仿宋_GB2312" w:cs="仿宋_GB2312"/>
          <w:sz w:val="24"/>
          <w:szCs w:val="24"/>
          <w:lang w:val="en-US" w:eastAsia="zh-CN"/>
        </w:rPr>
        <w:t>5.7.1</w:t>
      </w:r>
      <w:r>
        <w:rPr>
          <w:rFonts w:hint="eastAsia" w:ascii="仿宋_GB2312" w:hAnsi="仿宋_GB2312" w:eastAsia="仿宋_GB2312" w:cs="仿宋_GB2312"/>
          <w:sz w:val="24"/>
          <w:szCs w:val="24"/>
        </w:rPr>
        <w:t>能源数据采集</w:t>
      </w:r>
      <w:bookmarkEnd w:id="445"/>
      <w:bookmarkEnd w:id="446"/>
      <w:bookmarkEnd w:id="447"/>
      <w:bookmarkEnd w:id="448"/>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对接园区接综合能源智慧管理平台，接入园区水、气、电、冷、热、光储充等多形态能源数据。形成园区能源分类、分层、分区域等形式的精细化管理。</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49" w:name="_Toc3626"/>
      <w:bookmarkStart w:id="450" w:name="_Toc81552906"/>
      <w:bookmarkStart w:id="451" w:name="_Toc20626"/>
      <w:bookmarkStart w:id="452" w:name="_Toc76630670"/>
      <w:r>
        <w:rPr>
          <w:rFonts w:hint="eastAsia" w:ascii="仿宋_GB2312" w:hAnsi="仿宋_GB2312" w:eastAsia="仿宋_GB2312" w:cs="仿宋_GB2312"/>
          <w:sz w:val="24"/>
          <w:szCs w:val="24"/>
          <w:lang w:val="en-US" w:eastAsia="zh-CN"/>
        </w:rPr>
        <w:t>5.7.2</w:t>
      </w:r>
      <w:r>
        <w:rPr>
          <w:rFonts w:hint="eastAsia" w:ascii="仿宋_GB2312" w:hAnsi="仿宋_GB2312" w:eastAsia="仿宋_GB2312" w:cs="仿宋_GB2312"/>
          <w:sz w:val="24"/>
          <w:szCs w:val="24"/>
        </w:rPr>
        <w:t>能耗实时监测</w:t>
      </w:r>
      <w:bookmarkEnd w:id="449"/>
      <w:bookmarkEnd w:id="450"/>
      <w:bookmarkEnd w:id="451"/>
      <w:bookmarkEnd w:id="452"/>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通过绘制园区能源网络总图及水、电、天然气、蒸汽、压缩空气能源介质能流图，并配置报警信息，超限进行及时报警，能够真实的反映能源网络的平衡状态，支持损耗报警功能，其报警设定值由平台管理者自主设置。</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53" w:name="_Toc81552907"/>
      <w:bookmarkStart w:id="454" w:name="_Toc4353"/>
      <w:bookmarkStart w:id="455" w:name="_Toc19891"/>
      <w:bookmarkStart w:id="456" w:name="_Toc76630671"/>
      <w:r>
        <w:rPr>
          <w:rFonts w:hint="eastAsia" w:ascii="仿宋_GB2312" w:hAnsi="仿宋_GB2312" w:eastAsia="仿宋_GB2312" w:cs="仿宋_GB2312"/>
          <w:sz w:val="24"/>
          <w:szCs w:val="24"/>
          <w:lang w:val="en-US" w:eastAsia="zh-CN"/>
        </w:rPr>
        <w:t>5.7.3</w:t>
      </w:r>
      <w:r>
        <w:rPr>
          <w:rFonts w:hint="eastAsia" w:ascii="仿宋_GB2312" w:hAnsi="仿宋_GB2312" w:eastAsia="仿宋_GB2312" w:cs="仿宋_GB2312"/>
          <w:sz w:val="24"/>
          <w:szCs w:val="24"/>
        </w:rPr>
        <w:t>能源统计</w:t>
      </w:r>
      <w:bookmarkEnd w:id="453"/>
      <w:bookmarkEnd w:id="454"/>
      <w:bookmarkEnd w:id="455"/>
      <w:bookmarkEnd w:id="456"/>
    </w:p>
    <w:p>
      <w:pPr>
        <w:shd w:val="clea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实现园区级、企业级耗量统计报表；报表以日、月、季、年粒度进行，报表格式可自由配置；形成对比分析能源管理一张图。</w:t>
      </w:r>
    </w:p>
    <w:p>
      <w:pPr>
        <w:pStyle w:val="4"/>
        <w:numPr>
          <w:ilvl w:val="0"/>
          <w:numId w:val="0"/>
        </w:numPr>
        <w:shd w:val="clear" w:color="auto"/>
        <w:kinsoku/>
        <w:wordWrap/>
        <w:topLinePunct w:val="0"/>
        <w:bidi w:val="0"/>
        <w:spacing w:line="360" w:lineRule="exact"/>
        <w:ind w:leftChars="0"/>
        <w:rPr>
          <w:rFonts w:hint="eastAsia" w:hAnsi="仿宋_GB2312" w:cs="仿宋_GB2312"/>
          <w:sz w:val="24"/>
          <w:szCs w:val="24"/>
          <w:lang w:val="en-US" w:eastAsia="zh-CN"/>
        </w:rPr>
      </w:pPr>
      <w:bookmarkStart w:id="457" w:name="_Toc76630673"/>
      <w:bookmarkStart w:id="458" w:name="_Toc81552908"/>
      <w:bookmarkStart w:id="459" w:name="_Toc31761"/>
      <w:bookmarkStart w:id="460" w:name="_Toc270"/>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rPr>
      </w:pPr>
      <w:r>
        <w:rPr>
          <w:rFonts w:hint="eastAsia" w:hAnsi="仿宋_GB2312" w:cs="仿宋_GB2312"/>
          <w:sz w:val="24"/>
          <w:szCs w:val="24"/>
          <w:lang w:val="en-US" w:eastAsia="zh-CN"/>
        </w:rPr>
        <w:t>5.8</w:t>
      </w:r>
      <w:r>
        <w:rPr>
          <w:rFonts w:hint="eastAsia" w:ascii="仿宋_GB2312" w:hAnsi="仿宋_GB2312" w:eastAsia="仿宋_GB2312" w:cs="仿宋_GB2312"/>
          <w:sz w:val="24"/>
          <w:szCs w:val="24"/>
        </w:rPr>
        <w:t>移动应用</w:t>
      </w:r>
      <w:bookmarkEnd w:id="457"/>
      <w:bookmarkEnd w:id="458"/>
      <w:bookmarkEnd w:id="459"/>
      <w:bookmarkEnd w:id="460"/>
    </w:p>
    <w:p>
      <w:pPr>
        <w:shd w:val="clea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突发事件的突发性、紧急性、以及事态发展的不确定性使应急管理面临严重的“第一现场”信息，包括现场</w:t>
      </w:r>
      <w:r>
        <w:rPr>
          <w:rFonts w:hint="eastAsia" w:ascii="仿宋_GB2312" w:hAnsi="仿宋_GB2312" w:eastAsia="仿宋_GB2312" w:cs="仿宋_GB2312"/>
          <w:sz w:val="24"/>
          <w:szCs w:val="24"/>
          <w:highlight w:val="none"/>
        </w:rPr>
        <w:t>音视频匮乏、信息不对称所带来诸多的决策困境。在这个意义上，信息传递和处理成为制约突发事件应急管理能力和水平的关键要素，也成为突发事件应急处理系统中的核心内容。将移动应用集成到浙里办或浙政钉app上，不进行其他应用app的开发。</w:t>
      </w:r>
    </w:p>
    <w:p>
      <w:pPr>
        <w:kinsoku/>
        <w:wordWrap/>
        <w:topLinePunct w:val="0"/>
        <w:bidi w:val="0"/>
        <w:spacing w:line="360" w:lineRule="exact"/>
        <w:ind w:firstLine="480"/>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rPr>
        <w:t>实现以下业务功能：现场信息管理、事故信息管理、实时信息交互、基础资源检索、分角色分权限</w:t>
      </w:r>
      <w:r>
        <w:rPr>
          <w:rFonts w:hint="eastAsia" w:ascii="仿宋_GB2312" w:hAnsi="仿宋_GB2312" w:eastAsia="仿宋_GB2312" w:cs="仿宋_GB2312"/>
          <w:sz w:val="24"/>
          <w:szCs w:val="24"/>
          <w:highlight w:val="none"/>
          <w:lang w:eastAsia="zh-CN"/>
        </w:rPr>
        <w:t>。</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461" w:name="_Toc81552909"/>
      <w:bookmarkStart w:id="462" w:name="_Toc76630674"/>
      <w:bookmarkStart w:id="463" w:name="_Toc26127"/>
      <w:bookmarkStart w:id="464" w:name="_Toc14190"/>
      <w:r>
        <w:rPr>
          <w:rFonts w:hint="eastAsia" w:ascii="仿宋_GB2312" w:hAnsi="仿宋_GB2312" w:eastAsia="仿宋_GB2312" w:cs="仿宋_GB2312"/>
          <w:sz w:val="24"/>
          <w:szCs w:val="24"/>
          <w:highlight w:val="none"/>
          <w:lang w:val="en-US" w:eastAsia="zh-CN"/>
        </w:rPr>
        <w:t>5.8.1</w:t>
      </w:r>
      <w:r>
        <w:rPr>
          <w:rFonts w:hint="eastAsia" w:ascii="仿宋_GB2312" w:hAnsi="仿宋_GB2312" w:eastAsia="仿宋_GB2312" w:cs="仿宋_GB2312"/>
          <w:sz w:val="24"/>
          <w:szCs w:val="24"/>
          <w:highlight w:val="none"/>
        </w:rPr>
        <w:t>移动端基础服务</w:t>
      </w:r>
      <w:bookmarkEnd w:id="461"/>
      <w:bookmarkEnd w:id="462"/>
      <w:bookmarkEnd w:id="463"/>
      <w:bookmarkEnd w:id="464"/>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移动终端基础服务统一管理所有 APP 端并提供服务，为 APP 端提供信息交互服务、基础数据服务、一张图服务、视频管理服务、设备管理服务、安全管理服务、授权服务。</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465" w:name="_Toc32078"/>
      <w:bookmarkStart w:id="466" w:name="_Toc81552910"/>
      <w:bookmarkStart w:id="467" w:name="_Toc76630675"/>
      <w:bookmarkStart w:id="468" w:name="_Toc18340"/>
      <w:r>
        <w:rPr>
          <w:rFonts w:hint="eastAsia" w:ascii="仿宋_GB2312" w:hAnsi="仿宋_GB2312" w:eastAsia="仿宋_GB2312" w:cs="仿宋_GB2312"/>
          <w:sz w:val="24"/>
          <w:szCs w:val="24"/>
          <w:highlight w:val="none"/>
          <w:lang w:val="en-US" w:eastAsia="zh-CN"/>
        </w:rPr>
        <w:t>5.8.2</w:t>
      </w:r>
      <w:r>
        <w:rPr>
          <w:rFonts w:hint="eastAsia" w:ascii="仿宋_GB2312" w:hAnsi="仿宋_GB2312" w:eastAsia="仿宋_GB2312" w:cs="仿宋_GB2312"/>
          <w:sz w:val="24"/>
          <w:szCs w:val="24"/>
          <w:highlight w:val="none"/>
        </w:rPr>
        <w:t>应急人员应用</w:t>
      </w:r>
      <w:bookmarkEnd w:id="465"/>
      <w:bookmarkEnd w:id="466"/>
      <w:bookmarkEnd w:id="467"/>
      <w:bookmarkEnd w:id="468"/>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面向现场应急业务人员，包含应急队伍、医疗、消防等人员，基于安卓系统进行开发，主要提供事故信息报送、研判结果接收、采集信息分发、任务接收反馈、视频回传共享、通信录一键通、资源快速检索、现场应急一张图等功能。</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469" w:name="_Toc81552911"/>
      <w:bookmarkStart w:id="470" w:name="_Toc76630676"/>
      <w:bookmarkStart w:id="471" w:name="_Toc16775"/>
      <w:bookmarkStart w:id="472" w:name="_Toc20534"/>
      <w:r>
        <w:rPr>
          <w:rFonts w:hint="eastAsia" w:ascii="仿宋_GB2312" w:hAnsi="仿宋_GB2312" w:eastAsia="仿宋_GB2312" w:cs="仿宋_GB2312"/>
          <w:sz w:val="24"/>
          <w:szCs w:val="24"/>
          <w:highlight w:val="none"/>
          <w:lang w:val="en-US" w:eastAsia="zh-CN"/>
        </w:rPr>
        <w:t>5.8.3</w:t>
      </w:r>
      <w:r>
        <w:rPr>
          <w:rFonts w:hint="eastAsia" w:ascii="仿宋_GB2312" w:hAnsi="仿宋_GB2312" w:eastAsia="仿宋_GB2312" w:cs="仿宋_GB2312"/>
          <w:sz w:val="24"/>
          <w:szCs w:val="24"/>
          <w:highlight w:val="none"/>
        </w:rPr>
        <w:t>指挥人员应用</w:t>
      </w:r>
      <w:bookmarkEnd w:id="469"/>
      <w:bookmarkEnd w:id="470"/>
      <w:bookmarkEnd w:id="471"/>
      <w:bookmarkEnd w:id="472"/>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面向领导及事故指挥人员，基于安卓系统开发，主要提供事故信息调阅、任务指令调度、事故态势跟踪、视频图像调阅、通信录一键通、研判结果调阅、资源快速检索、现场应急一张图等功能。</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473" w:name="_Toc81552912"/>
      <w:bookmarkStart w:id="474" w:name="_Toc1178"/>
      <w:bookmarkStart w:id="475" w:name="_Toc18083"/>
      <w:bookmarkStart w:id="476" w:name="_Toc76630677"/>
      <w:r>
        <w:rPr>
          <w:rFonts w:hint="eastAsia" w:ascii="仿宋_GB2312" w:hAnsi="仿宋_GB2312" w:eastAsia="仿宋_GB2312" w:cs="仿宋_GB2312"/>
          <w:sz w:val="24"/>
          <w:szCs w:val="24"/>
          <w:highlight w:val="none"/>
          <w:lang w:val="en-US" w:eastAsia="zh-CN"/>
        </w:rPr>
        <w:t>5.8.4</w:t>
      </w:r>
      <w:r>
        <w:rPr>
          <w:rFonts w:hint="eastAsia" w:ascii="仿宋_GB2312" w:hAnsi="仿宋_GB2312" w:eastAsia="仿宋_GB2312" w:cs="仿宋_GB2312"/>
          <w:sz w:val="24"/>
          <w:szCs w:val="24"/>
          <w:highlight w:val="none"/>
        </w:rPr>
        <w:t>企业人员应用</w:t>
      </w:r>
      <w:bookmarkEnd w:id="473"/>
      <w:bookmarkEnd w:id="474"/>
      <w:bookmarkEnd w:id="475"/>
      <w:bookmarkEnd w:id="476"/>
    </w:p>
    <w:p>
      <w:pPr>
        <w:shd w:val="clea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面向企业人员，基于安卓系统开发，提供作业许可的填报审批、隐患自查的填报、隐患整改情况的填报、提交等工作。提供综合展示、风险管理、隐患管理、事故管理、教育培训管理、承包商管理、隐患管理、危险化学品管理、环保管理、重大危险源管理、法律法规及标准管理等功能查看和审批。</w:t>
      </w:r>
    </w:p>
    <w:p>
      <w:pPr>
        <w:pStyle w:val="4"/>
        <w:numPr>
          <w:ilvl w:val="0"/>
          <w:numId w:val="0"/>
        </w:numPr>
        <w:shd w:val="clear" w:color="auto"/>
        <w:kinsoku/>
        <w:wordWrap/>
        <w:topLinePunct w:val="0"/>
        <w:bidi w:val="0"/>
        <w:spacing w:line="360" w:lineRule="exact"/>
        <w:ind w:leftChars="0"/>
        <w:rPr>
          <w:rFonts w:hint="eastAsia" w:hAnsi="仿宋_GB2312" w:cs="仿宋_GB2312"/>
          <w:sz w:val="24"/>
          <w:szCs w:val="24"/>
          <w:highlight w:val="none"/>
          <w:lang w:val="en-US" w:eastAsia="zh-CN"/>
        </w:rPr>
      </w:pPr>
      <w:bookmarkStart w:id="477" w:name="_Toc19984"/>
      <w:bookmarkStart w:id="478" w:name="_Toc81552913"/>
      <w:bookmarkStart w:id="479" w:name="_Toc29675"/>
      <w:bookmarkStart w:id="480" w:name="_Toc32226"/>
    </w:p>
    <w:p>
      <w:pPr>
        <w:pStyle w:val="4"/>
        <w:numPr>
          <w:ilvl w:val="0"/>
          <w:numId w:val="0"/>
        </w:numPr>
        <w:shd w:val="clear" w:color="auto"/>
        <w:kinsoku/>
        <w:wordWrap/>
        <w:topLinePunct w:val="0"/>
        <w:bidi w:val="0"/>
        <w:spacing w:line="360" w:lineRule="exact"/>
        <w:ind w:leftChars="0"/>
        <w:rPr>
          <w:rFonts w:hint="eastAsia" w:ascii="仿宋_GB2312" w:hAnsi="仿宋_GB2312" w:eastAsia="仿宋_GB2312" w:cs="仿宋_GB2312"/>
          <w:sz w:val="24"/>
          <w:szCs w:val="24"/>
          <w:highlight w:val="none"/>
        </w:rPr>
      </w:pPr>
      <w:r>
        <w:rPr>
          <w:rFonts w:hint="eastAsia" w:hAnsi="仿宋_GB2312" w:cs="仿宋_GB2312"/>
          <w:sz w:val="24"/>
          <w:szCs w:val="24"/>
          <w:highlight w:val="none"/>
          <w:lang w:val="en-US" w:eastAsia="zh-CN"/>
        </w:rPr>
        <w:t>5.9</w:t>
      </w:r>
      <w:r>
        <w:rPr>
          <w:rFonts w:hint="eastAsia" w:ascii="仿宋_GB2312" w:hAnsi="仿宋_GB2312" w:eastAsia="仿宋_GB2312" w:cs="仿宋_GB2312"/>
          <w:sz w:val="24"/>
          <w:szCs w:val="24"/>
          <w:highlight w:val="none"/>
        </w:rPr>
        <w:t>企业数据</w:t>
      </w:r>
      <w:bookmarkEnd w:id="477"/>
      <w:r>
        <w:rPr>
          <w:rFonts w:hint="eastAsia" w:ascii="仿宋_GB2312" w:hAnsi="仿宋_GB2312" w:eastAsia="仿宋_GB2312" w:cs="仿宋_GB2312"/>
          <w:sz w:val="24"/>
          <w:szCs w:val="24"/>
          <w:highlight w:val="none"/>
        </w:rPr>
        <w:t>采集</w:t>
      </w:r>
      <w:bookmarkEnd w:id="478"/>
    </w:p>
    <w:p>
      <w:pPr>
        <w:shd w:val="clear"/>
        <w:kinsoku/>
        <w:wordWrap/>
        <w:topLinePunct w:val="0"/>
        <w:bidi w:val="0"/>
        <w:spacing w:line="360" w:lineRule="exact"/>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采集企业DCS数据、环保数据、监测类数据、关系数据库类等数据。拟接入以下企业：临安绿能环保发电有限公司、杭州临安引力外加剂有限公司、杭州天目山药业股份有限公司、杭州鑫富科技（亿帆医药）有限公司。</w:t>
      </w:r>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 企业安全生产数据：通过采用OPC接口，实时采集企业DCS两重点一重大数据、SIS系统报警数据、环保设施运行状态及数据。</w:t>
      </w:r>
    </w:p>
    <w:p>
      <w:pPr>
        <w:kinsoku/>
        <w:wordWrap/>
        <w:topLinePunct w:val="0"/>
        <w:bidi w:val="0"/>
        <w:spacing w:line="360" w:lineRule="exact"/>
        <w:ind w:firstLine="4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 管理数据：人员进出数据，含时间、人员、进出状态；关键危险源视频、企业全局高空瞭望、进出一、二道门门禁。</w:t>
      </w: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481" w:name="_Toc81552914"/>
      <w:r>
        <w:rPr>
          <w:rFonts w:hint="eastAsia" w:hAnsi="仿宋_GB2312" w:cs="仿宋_GB2312"/>
          <w:sz w:val="24"/>
          <w:szCs w:val="24"/>
          <w:highlight w:val="none"/>
          <w:lang w:val="en-US" w:eastAsia="zh-CN"/>
        </w:rPr>
        <w:t>5.10</w:t>
      </w:r>
      <w:r>
        <w:rPr>
          <w:rFonts w:hint="eastAsia" w:ascii="仿宋_GB2312" w:hAnsi="仿宋_GB2312" w:eastAsia="仿宋_GB2312" w:cs="仿宋_GB2312"/>
          <w:sz w:val="24"/>
          <w:szCs w:val="24"/>
          <w:highlight w:val="none"/>
        </w:rPr>
        <w:t>业务系统集成</w:t>
      </w:r>
      <w:bookmarkEnd w:id="479"/>
      <w:bookmarkEnd w:id="480"/>
      <w:bookmarkEnd w:id="481"/>
    </w:p>
    <w:p>
      <w:pPr>
        <w:pStyle w:val="936"/>
        <w:kinsoku/>
        <w:wordWrap/>
        <w:topLinePunct w:val="0"/>
        <w:bidi w:val="0"/>
        <w:spacing w:line="360" w:lineRule="exac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智慧园区数字化平台需集成现有应用系统数据，包含安全管理系统、环保管理系统、视频监控系统等。</w:t>
      </w: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highlight w:val="none"/>
        </w:rPr>
      </w:pPr>
      <w:bookmarkStart w:id="482" w:name="_Toc81552915"/>
      <w:r>
        <w:rPr>
          <w:rFonts w:hint="eastAsia" w:hAnsi="仿宋_GB2312" w:cs="仿宋_GB2312"/>
          <w:sz w:val="24"/>
          <w:szCs w:val="24"/>
          <w:highlight w:val="none"/>
          <w:lang w:val="en-US" w:eastAsia="zh-CN"/>
        </w:rPr>
        <w:t>5.11</w:t>
      </w:r>
      <w:r>
        <w:rPr>
          <w:rFonts w:hint="eastAsia" w:ascii="仿宋_GB2312" w:hAnsi="仿宋_GB2312" w:eastAsia="仿宋_GB2312" w:cs="仿宋_GB2312"/>
          <w:sz w:val="24"/>
          <w:szCs w:val="24"/>
          <w:highlight w:val="none"/>
        </w:rPr>
        <w:t>对外接口</w:t>
      </w:r>
      <w:bookmarkEnd w:id="482"/>
    </w:p>
    <w:bookmarkEnd w:id="272"/>
    <w:bookmarkEnd w:id="273"/>
    <w:bookmarkEnd w:id="274"/>
    <w:p>
      <w:pPr>
        <w:kinsoku/>
        <w:wordWrap/>
        <w:topLinePunct w:val="0"/>
        <w:bidi w:val="0"/>
        <w:spacing w:line="360" w:lineRule="exact"/>
        <w:ind w:firstLine="480"/>
        <w:rPr>
          <w:rFonts w:hint="eastAsia" w:ascii="仿宋_GB2312" w:hAnsi="仿宋_GB2312" w:eastAsia="仿宋_GB2312" w:cs="仿宋_GB2312"/>
          <w:sz w:val="24"/>
          <w:szCs w:val="24"/>
        </w:rPr>
      </w:pPr>
      <w:bookmarkStart w:id="483" w:name="_Toc13045"/>
      <w:bookmarkStart w:id="484" w:name="_Toc20492"/>
      <w:bookmarkStart w:id="485" w:name="_Toc76630678"/>
      <w:r>
        <w:rPr>
          <w:rFonts w:hint="eastAsia" w:ascii="仿宋_GB2312" w:hAnsi="仿宋_GB2312" w:eastAsia="仿宋_GB2312" w:cs="仿宋_GB2312"/>
          <w:sz w:val="24"/>
          <w:szCs w:val="24"/>
          <w:highlight w:val="none"/>
        </w:rPr>
        <w:t>系统平台建成后，可通过接口实现数据自动上传</w:t>
      </w:r>
      <w:r>
        <w:rPr>
          <w:rFonts w:hint="eastAsia" w:ascii="仿宋_GB2312" w:hAnsi="仿宋_GB2312" w:eastAsia="仿宋_GB2312" w:cs="仿宋_GB2312"/>
          <w:sz w:val="24"/>
          <w:szCs w:val="24"/>
        </w:rPr>
        <w:t>至浙江省化工大脑中或者第三方其他平台。平台提供了关系数据库SDK接口、信息访问API、APP开发组件、开发工具等。可实现与第三方系统无缝对接，也为第三方数据调取、访问提供了高带宽渠道，实现数据共享互联互通。</w:t>
      </w:r>
    </w:p>
    <w:p>
      <w:pPr>
        <w:pStyle w:val="4"/>
        <w:numPr>
          <w:ilvl w:val="0"/>
          <w:numId w:val="0"/>
        </w:numPr>
        <w:tabs>
          <w:tab w:val="left" w:pos="240"/>
          <w:tab w:val="clear" w:pos="432"/>
        </w:tabs>
        <w:kinsoku/>
        <w:wordWrap/>
        <w:topLinePunct w:val="0"/>
        <w:bidi w:val="0"/>
        <w:spacing w:line="360" w:lineRule="exact"/>
        <w:ind w:leftChars="0"/>
        <w:rPr>
          <w:rFonts w:hint="eastAsia" w:ascii="仿宋_GB2312" w:hAnsi="仿宋_GB2312" w:eastAsia="仿宋_GB2312" w:cs="仿宋_GB2312"/>
          <w:sz w:val="24"/>
          <w:szCs w:val="24"/>
        </w:rPr>
      </w:pPr>
      <w:r>
        <w:rPr>
          <w:rFonts w:hint="eastAsia" w:hAnsi="仿宋_GB2312" w:cs="仿宋_GB2312"/>
          <w:sz w:val="24"/>
          <w:szCs w:val="24"/>
          <w:lang w:val="en-US" w:eastAsia="zh-CN"/>
        </w:rPr>
        <w:t>5.12</w:t>
      </w:r>
      <w:r>
        <w:rPr>
          <w:rFonts w:hint="eastAsia" w:ascii="仿宋_GB2312" w:hAnsi="仿宋_GB2312" w:eastAsia="仿宋_GB2312" w:cs="仿宋_GB2312"/>
          <w:sz w:val="24"/>
          <w:szCs w:val="24"/>
        </w:rPr>
        <w:t>化工产业大脑接入要求</w:t>
      </w:r>
    </w:p>
    <w:p>
      <w:pPr>
        <w:pStyle w:val="531"/>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根据浙江省经济和信息化厅57号文件要求，为贯彻落实省委、省政府关于数字化改革的重要决策部署，以化工产业大脑建设为先行，开展数字经济产业大脑的建设。化工产业大脑基于“1+N”工业互联网平台搭建应用场景，通过与一体化智能化公共数据平台交换实现数据共享。化工园区（集聚区）智慧化数字化平台将作为重要应用场景纳入化工产业大脑建设范畴，向化工产业大脑输送各类管理运营数据，为产业大脑建设奠定良好基础。</w:t>
      </w:r>
    </w:p>
    <w:p>
      <w:pPr>
        <w:kinsoku/>
        <w:wordWrap/>
        <w:topLinePunct w:val="0"/>
        <w:bidi w:val="0"/>
        <w:spacing w:line="360" w:lineRule="exact"/>
        <w:ind w:firstLine="420" w:firstLineChars="175"/>
        <w:rPr>
          <w:rFonts w:hint="eastAsia" w:ascii="仿宋_GB2312" w:hAnsi="仿宋_GB2312" w:eastAsia="仿宋_GB2312" w:cs="仿宋_GB2312"/>
          <w:sz w:val="24"/>
          <w:szCs w:val="24"/>
        </w:rPr>
      </w:pPr>
    </w:p>
    <w:p>
      <w:pPr>
        <w:pStyle w:val="936"/>
        <w:kinsoku/>
        <w:wordWrap/>
        <w:topLinePunct w:val="0"/>
        <w:bidi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drawing>
          <wp:anchor distT="0" distB="0" distL="0" distR="0" simplePos="0" relativeHeight="251663360" behindDoc="0" locked="0" layoutInCell="1" allowOverlap="1">
            <wp:simplePos x="0" y="0"/>
            <wp:positionH relativeFrom="column">
              <wp:posOffset>228600</wp:posOffset>
            </wp:positionH>
            <wp:positionV relativeFrom="page">
              <wp:posOffset>1019175</wp:posOffset>
            </wp:positionV>
            <wp:extent cx="5198110" cy="2193290"/>
            <wp:effectExtent l="0" t="0" r="2540" b="16510"/>
            <wp:wrapTopAndBottom/>
            <wp:docPr id="2"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片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5198110" cy="2193290"/>
                    </a:xfrm>
                    <a:prstGeom prst="rect">
                      <a:avLst/>
                    </a:prstGeom>
                    <a:noFill/>
                    <a:ln>
                      <a:noFill/>
                    </a:ln>
                  </pic:spPr>
                </pic:pic>
              </a:graphicData>
            </a:graphic>
          </wp:anchor>
        </w:drawing>
      </w:r>
    </w:p>
    <w:p>
      <w:pPr>
        <w:pStyle w:val="5"/>
        <w:numPr>
          <w:ilvl w:val="2"/>
          <w:numId w:val="0"/>
        </w:numPr>
        <w:tabs>
          <w:tab w:val="left" w:pos="993"/>
          <w:tab w:val="clear" w:pos="900"/>
        </w:tabs>
        <w:kinsoku/>
        <w:wordWrap/>
        <w:topLinePunct w:val="0"/>
        <w:bidi w:val="0"/>
        <w:spacing w:line="360" w:lineRule="exact"/>
        <w:ind w:left="180"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5.12.1</w:t>
      </w:r>
      <w:r>
        <w:rPr>
          <w:rFonts w:hint="eastAsia" w:ascii="仿宋_GB2312" w:hAnsi="仿宋_GB2312" w:eastAsia="仿宋_GB2312" w:cs="仿宋_GB2312"/>
          <w:sz w:val="24"/>
          <w:szCs w:val="24"/>
        </w:rPr>
        <w:t>建设内容及对接要求</w:t>
      </w:r>
    </w:p>
    <w:p>
      <w:pPr>
        <w:pStyle w:val="531"/>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全省52家化工园区（集聚区）的智慧化数字化平台与化工产业大脑数据对接，保证化工产业大脑稳定运行。通过数字驱动，协同产业链、共享资源，对园区内工业大数据统一标准、统一管理。</w:t>
      </w:r>
    </w:p>
    <w:p>
      <w:pPr>
        <w:pStyle w:val="531"/>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本项目实施过程当中，要有与省化工产业大脑提供数据传输开发的工作量。完成与化工产业大脑对接接口开发工作，保证智慧园区平台与省化工产业大脑的数据互通。</w:t>
      </w:r>
    </w:p>
    <w:p>
      <w:pPr>
        <w:pStyle w:val="5"/>
        <w:numPr>
          <w:ilvl w:val="2"/>
          <w:numId w:val="0"/>
        </w:numPr>
        <w:tabs>
          <w:tab w:val="left" w:pos="993"/>
          <w:tab w:val="clear" w:pos="900"/>
        </w:tabs>
        <w:kinsoku/>
        <w:wordWrap/>
        <w:topLinePunct w:val="0"/>
        <w:bidi w:val="0"/>
        <w:spacing w:line="360" w:lineRule="exact"/>
        <w:ind w:left="180"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5.12.2</w:t>
      </w:r>
      <w:r>
        <w:rPr>
          <w:rFonts w:hint="eastAsia" w:ascii="仿宋_GB2312" w:hAnsi="仿宋_GB2312" w:eastAsia="仿宋_GB2312" w:cs="仿宋_GB2312"/>
          <w:sz w:val="24"/>
          <w:szCs w:val="24"/>
        </w:rPr>
        <w:t>化工产业大脑接入数据信息</w:t>
      </w:r>
    </w:p>
    <w:tbl>
      <w:tblPr>
        <w:tblStyle w:val="62"/>
        <w:tblW w:w="8233" w:type="dxa"/>
        <w:jc w:val="center"/>
        <w:tblLayout w:type="fixed"/>
        <w:tblCellMar>
          <w:top w:w="0" w:type="dxa"/>
          <w:left w:w="0" w:type="dxa"/>
          <w:bottom w:w="0" w:type="dxa"/>
          <w:right w:w="0" w:type="dxa"/>
        </w:tblCellMar>
      </w:tblPr>
      <w:tblGrid>
        <w:gridCol w:w="1153"/>
        <w:gridCol w:w="5748"/>
        <w:gridCol w:w="1332"/>
      </w:tblGrid>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序号</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名称</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备注</w:t>
            </w:r>
          </w:p>
        </w:tc>
      </w:tr>
      <w:tr>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园区事故表信息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2</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园区应急物资表信息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3</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园区应急资源表信息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4</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园区值班员表信息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5</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外部人员通讯录表信息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6</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园区产值/增加值表信息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7</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园区基本信息表信息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8</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园区产值表信息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9</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园区安全人员统计表信息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10</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园区企业信息表信息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11</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园区危化品信息表信息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12</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园区危险生产工艺表信息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13</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园区危险源表信息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14</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园区告警记录表表信息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15</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园区空气质量表信息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16</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园区水质量表信息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r>
        <w:tblPrEx>
          <w:tblCellMar>
            <w:top w:w="0" w:type="dxa"/>
            <w:left w:w="0" w:type="dxa"/>
            <w:bottom w:w="0" w:type="dxa"/>
            <w:right w:w="0" w:type="dxa"/>
          </w:tblCellMar>
        </w:tblPrEx>
        <w:trPr>
          <w:trHeight w:val="278" w:hRule="atLeast"/>
          <w:jc w:val="center"/>
        </w:trPr>
        <w:tc>
          <w:tcPr>
            <w:tcW w:w="1153"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17</w:t>
            </w:r>
          </w:p>
        </w:tc>
        <w:tc>
          <w:tcPr>
            <w:tcW w:w="5748"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widowControl/>
              <w:kinsoku/>
              <w:wordWrap/>
              <w:topLinePunct w:val="0"/>
              <w:bidi w:val="0"/>
              <w:spacing w:line="360" w:lineRule="exact"/>
              <w:ind w:firstLine="0" w:firstLineChars="0"/>
              <w:jc w:val="center"/>
              <w:textAlignment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kern w:val="0"/>
                <w:sz w:val="24"/>
                <w:szCs w:val="24"/>
              </w:rPr>
              <w:t>园区环境信息表信息</w:t>
            </w:r>
          </w:p>
        </w:tc>
        <w:tc>
          <w:tcPr>
            <w:tcW w:w="1332"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pPr>
              <w:kinsoku/>
              <w:wordWrap/>
              <w:topLinePunct w:val="0"/>
              <w:bidi w:val="0"/>
              <w:spacing w:line="360" w:lineRule="exact"/>
              <w:ind w:firstLine="0" w:firstLineChars="0"/>
              <w:jc w:val="center"/>
              <w:rPr>
                <w:rFonts w:hint="eastAsia" w:ascii="仿宋_GB2312" w:hAnsi="仿宋_GB2312" w:eastAsia="仿宋_GB2312" w:cs="仿宋_GB2312"/>
                <w:b/>
                <w:sz w:val="24"/>
                <w:szCs w:val="24"/>
              </w:rPr>
            </w:pPr>
          </w:p>
        </w:tc>
      </w:tr>
    </w:tbl>
    <w:p>
      <w:pPr>
        <w:pStyle w:val="3"/>
        <w:keepLines w:val="0"/>
        <w:pageBreakBefore/>
        <w:numPr>
          <w:ilvl w:val="0"/>
          <w:numId w:val="0"/>
        </w:numPr>
        <w:kinsoku/>
        <w:wordWrap/>
        <w:topLinePunct w:val="0"/>
        <w:bidi w:val="0"/>
        <w:adjustRightInd w:val="0"/>
        <w:spacing w:line="360" w:lineRule="exact"/>
        <w:ind w:leftChars="0"/>
        <w:jc w:val="left"/>
        <w:textAlignment w:val="baseline"/>
        <w:rPr>
          <w:rFonts w:hint="default" w:ascii="仿宋_GB2312" w:hAnsi="仿宋_GB2312" w:eastAsia="仿宋_GB2312" w:cs="仿宋_GB2312"/>
          <w:sz w:val="24"/>
          <w:szCs w:val="24"/>
          <w:lang w:val="en-US" w:eastAsia="zh-CN"/>
        </w:rPr>
      </w:pPr>
      <w:bookmarkStart w:id="486" w:name="_Toc81552916"/>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基础设施平台设计</w:t>
      </w:r>
      <w:bookmarkEnd w:id="486"/>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87" w:name="_Toc860"/>
      <w:bookmarkStart w:id="488" w:name="_Toc76630592"/>
      <w:bookmarkStart w:id="489" w:name="_Toc81552917"/>
      <w:bookmarkStart w:id="490" w:name="_Toc15161"/>
      <w:r>
        <w:rPr>
          <w:rFonts w:hint="eastAsia" w:hAnsi="仿宋_GB2312" w:cs="仿宋_GB2312"/>
          <w:sz w:val="24"/>
          <w:szCs w:val="24"/>
          <w:lang w:val="en-US" w:eastAsia="zh-CN"/>
        </w:rPr>
        <w:t>6.1</w:t>
      </w:r>
      <w:r>
        <w:rPr>
          <w:rFonts w:hint="eastAsia" w:ascii="仿宋_GB2312" w:hAnsi="仿宋_GB2312" w:eastAsia="仿宋_GB2312" w:cs="仿宋_GB2312"/>
          <w:sz w:val="24"/>
          <w:szCs w:val="24"/>
        </w:rPr>
        <w:t>应急指挥中心设计</w:t>
      </w:r>
      <w:bookmarkEnd w:id="487"/>
      <w:bookmarkEnd w:id="488"/>
      <w:bookmarkEnd w:id="489"/>
      <w:bookmarkEnd w:id="490"/>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91" w:name="_Toc14111"/>
      <w:bookmarkStart w:id="492" w:name="_Toc12145"/>
      <w:bookmarkStart w:id="493" w:name="_Toc5315"/>
      <w:bookmarkStart w:id="494" w:name="_Toc81552918"/>
      <w:bookmarkStart w:id="495" w:name="_Toc6176"/>
      <w:bookmarkStart w:id="496" w:name="_Toc2493"/>
      <w:r>
        <w:rPr>
          <w:rFonts w:hint="eastAsia" w:ascii="仿宋_GB2312" w:hAnsi="仿宋_GB2312" w:eastAsia="仿宋_GB2312" w:cs="仿宋_GB2312"/>
          <w:sz w:val="24"/>
          <w:szCs w:val="24"/>
          <w:lang w:val="en-US" w:eastAsia="zh-CN"/>
        </w:rPr>
        <w:t>6.1.1</w:t>
      </w:r>
      <w:r>
        <w:rPr>
          <w:rFonts w:hint="eastAsia" w:ascii="仿宋_GB2312" w:hAnsi="仿宋_GB2312" w:eastAsia="仿宋_GB2312" w:cs="仿宋_GB2312"/>
          <w:sz w:val="24"/>
          <w:szCs w:val="24"/>
        </w:rPr>
        <w:t>指挥大厅建设</w:t>
      </w:r>
      <w:bookmarkEnd w:id="491"/>
      <w:bookmarkEnd w:id="492"/>
      <w:bookmarkEnd w:id="493"/>
      <w:bookmarkEnd w:id="494"/>
      <w:bookmarkEnd w:id="495"/>
      <w:bookmarkEnd w:id="496"/>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drawing>
          <wp:anchor distT="0" distB="0" distL="114300" distR="114300" simplePos="0" relativeHeight="251664384" behindDoc="0" locked="0" layoutInCell="1" allowOverlap="1">
            <wp:simplePos x="0" y="0"/>
            <wp:positionH relativeFrom="column">
              <wp:posOffset>361950</wp:posOffset>
            </wp:positionH>
            <wp:positionV relativeFrom="paragraph">
              <wp:posOffset>715010</wp:posOffset>
            </wp:positionV>
            <wp:extent cx="5272405" cy="3848100"/>
            <wp:effectExtent l="0" t="0" r="4445" b="0"/>
            <wp:wrapTopAndBottom/>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27"/>
                    <a:stretch>
                      <a:fillRect/>
                    </a:stretch>
                  </pic:blipFill>
                  <pic:spPr>
                    <a:xfrm>
                      <a:off x="0" y="0"/>
                      <a:ext cx="5272405" cy="3848100"/>
                    </a:xfrm>
                    <a:prstGeom prst="rect">
                      <a:avLst/>
                    </a:prstGeom>
                    <a:noFill/>
                    <a:ln>
                      <a:noFill/>
                    </a:ln>
                  </pic:spPr>
                </pic:pic>
              </a:graphicData>
            </a:graphic>
          </wp:anchor>
        </w:drawing>
      </w:r>
      <w:r>
        <w:rPr>
          <w:rFonts w:hint="eastAsia" w:ascii="仿宋_GB2312" w:hAnsi="仿宋_GB2312" w:eastAsia="仿宋_GB2312" w:cs="仿宋_GB2312"/>
          <w:sz w:val="24"/>
          <w:szCs w:val="24"/>
        </w:rPr>
        <w:t>指挥大厅</w:t>
      </w:r>
      <w:r>
        <w:rPr>
          <w:rFonts w:hint="eastAsia" w:ascii="仿宋_GB2312" w:hAnsi="仿宋_GB2312" w:eastAsia="仿宋_GB2312" w:cs="仿宋_GB2312"/>
          <w:sz w:val="24"/>
          <w:szCs w:val="24"/>
          <w:lang w:val="zh-CN"/>
        </w:rPr>
        <w:t>建设内容包括大屏显示系统、会议</w:t>
      </w:r>
      <w:r>
        <w:rPr>
          <w:rFonts w:hint="eastAsia" w:ascii="仿宋_GB2312" w:hAnsi="仿宋_GB2312" w:eastAsia="仿宋_GB2312" w:cs="仿宋_GB2312"/>
          <w:sz w:val="24"/>
          <w:szCs w:val="24"/>
        </w:rPr>
        <w:t>系统</w:t>
      </w:r>
      <w:r>
        <w:rPr>
          <w:rFonts w:hint="eastAsia" w:ascii="仿宋_GB2312" w:hAnsi="仿宋_GB2312" w:eastAsia="仿宋_GB2312" w:cs="仿宋_GB2312"/>
          <w:sz w:val="24"/>
          <w:szCs w:val="24"/>
          <w:lang w:val="zh-CN"/>
        </w:rPr>
        <w:t>。</w:t>
      </w:r>
      <w:r>
        <w:rPr>
          <w:rFonts w:hint="eastAsia" w:ascii="仿宋_GB2312" w:hAnsi="仿宋_GB2312" w:eastAsia="仿宋_GB2312" w:cs="仿宋_GB2312"/>
          <w:sz w:val="24"/>
          <w:szCs w:val="24"/>
        </w:rPr>
        <w:t>指挥大厅设计图、参考图如下：</w:t>
      </w:r>
    </w:p>
    <w:p>
      <w:pPr>
        <w:kinsoku/>
        <w:wordWrap/>
        <w:topLinePunct w:val="0"/>
        <w:bidi w:val="0"/>
        <w:spacing w:line="360" w:lineRule="exact"/>
        <w:ind w:firstLine="0" w:firstLineChars="0"/>
        <w:rPr>
          <w:rFonts w:hint="eastAsia" w:ascii="仿宋_GB2312" w:hAnsi="仿宋_GB2312" w:eastAsia="仿宋_GB2312" w:cs="仿宋_GB2312"/>
          <w:sz w:val="24"/>
          <w:szCs w:val="24"/>
        </w:rPr>
      </w:pPr>
    </w:p>
    <w:p>
      <w:pPr>
        <w:pStyle w:val="18"/>
        <w:kinsoku/>
        <w:wordWrap/>
        <w:topLinePunct w:val="0"/>
        <w:bidi w:val="0"/>
        <w:spacing w:before="31" w:after="31" w:line="360" w:lineRule="exact"/>
        <w:ind w:firstLine="48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图 指挥中心设计图</w:t>
      </w:r>
    </w:p>
    <w:p>
      <w:pPr>
        <w:kinsoku/>
        <w:wordWrap/>
        <w:topLinePunct w:val="0"/>
        <w:bidi w:val="0"/>
        <w:spacing w:line="360" w:lineRule="exact"/>
        <w:ind w:firstLine="48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本次</w:t>
      </w:r>
      <w:r>
        <w:rPr>
          <w:rFonts w:hint="eastAsia" w:ascii="仿宋_GB2312" w:hAnsi="仿宋_GB2312" w:eastAsia="仿宋_GB2312" w:cs="仿宋_GB2312"/>
          <w:sz w:val="24"/>
          <w:szCs w:val="24"/>
        </w:rPr>
        <w:t>园区</w:t>
      </w:r>
      <w:r>
        <w:rPr>
          <w:rFonts w:hint="eastAsia" w:ascii="仿宋_GB2312" w:hAnsi="仿宋_GB2312" w:eastAsia="仿宋_GB2312" w:cs="仿宋_GB2312"/>
          <w:sz w:val="24"/>
          <w:szCs w:val="24"/>
          <w:lang w:val="zh-CN"/>
        </w:rPr>
        <w:t>指挥中心大屏显示系统组成主要由三大子系统构成：信号源子系统、控制子系统、LED显示屏子系统。除了三大子系统以外，根据具体应用情况还包括配电子系统、通讯传输子系统、视频编辑子系统等。</w:t>
      </w: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497" w:name="_Toc25506"/>
      <w:bookmarkStart w:id="498" w:name="_Toc20794"/>
      <w:bookmarkStart w:id="499" w:name="_Toc1224"/>
      <w:bookmarkStart w:id="500" w:name="_Toc81552919"/>
      <w:bookmarkStart w:id="501" w:name="_Toc25571"/>
      <w:bookmarkStart w:id="502" w:name="_Toc19423"/>
      <w:r>
        <w:rPr>
          <w:rFonts w:hint="eastAsia" w:ascii="仿宋_GB2312" w:hAnsi="仿宋_GB2312" w:eastAsia="仿宋_GB2312" w:cs="仿宋_GB2312"/>
          <w:sz w:val="24"/>
          <w:szCs w:val="24"/>
          <w:lang w:val="en-US" w:eastAsia="zh-CN"/>
        </w:rPr>
        <w:t>6.1.2</w:t>
      </w:r>
      <w:r>
        <w:rPr>
          <w:rFonts w:hint="eastAsia" w:ascii="仿宋_GB2312" w:hAnsi="仿宋_GB2312" w:eastAsia="仿宋_GB2312" w:cs="仿宋_GB2312"/>
          <w:sz w:val="24"/>
          <w:szCs w:val="24"/>
        </w:rPr>
        <w:t>研判室建设</w:t>
      </w:r>
      <w:bookmarkEnd w:id="497"/>
      <w:bookmarkEnd w:id="498"/>
      <w:bookmarkEnd w:id="499"/>
      <w:bookmarkEnd w:id="500"/>
      <w:bookmarkEnd w:id="501"/>
      <w:bookmarkEnd w:id="502"/>
    </w:p>
    <w:p>
      <w:pPr>
        <w:pStyle w:val="936"/>
        <w:kinsoku/>
        <w:wordWrap/>
        <w:topLinePunct w:val="0"/>
        <w:bidi w:val="0"/>
        <w:spacing w:line="36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研判室常态下作为会议室使用；非常态下作为应急会商、调度决策、专家与领导讨论以及指令下达的场所使用。</w:t>
      </w:r>
    </w:p>
    <w:p>
      <w:pPr>
        <w:pStyle w:val="936"/>
        <w:kinsoku/>
        <w:wordWrap/>
        <w:topLinePunct w:val="0"/>
        <w:bidi w:val="0"/>
        <w:spacing w:line="360" w:lineRule="exact"/>
        <w:rPr>
          <w:rFonts w:hint="eastAsia" w:ascii="仿宋_GB2312" w:hAnsi="仿宋_GB2312" w:eastAsia="仿宋_GB2312" w:cs="仿宋_GB2312"/>
          <w:sz w:val="24"/>
          <w:szCs w:val="24"/>
        </w:rPr>
      </w:pPr>
    </w:p>
    <w:p>
      <w:pPr>
        <w:pStyle w:val="5"/>
        <w:numPr>
          <w:ilvl w:val="2"/>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503" w:name="_Toc8801"/>
      <w:bookmarkStart w:id="504" w:name="_Toc18132"/>
      <w:bookmarkStart w:id="505" w:name="_Toc28867"/>
      <w:bookmarkStart w:id="506" w:name="_Toc81552920"/>
      <w:bookmarkStart w:id="507" w:name="_Toc20166"/>
      <w:bookmarkStart w:id="508" w:name="_Toc12381"/>
      <w:r>
        <w:rPr>
          <w:rFonts w:hint="eastAsia" w:ascii="仿宋_GB2312" w:hAnsi="仿宋_GB2312" w:eastAsia="仿宋_GB2312" w:cs="仿宋_GB2312"/>
          <w:sz w:val="24"/>
          <w:szCs w:val="24"/>
          <w:lang w:val="en-US" w:eastAsia="zh-CN"/>
        </w:rPr>
        <w:t>6.1.3</w:t>
      </w:r>
      <w:r>
        <w:rPr>
          <w:rFonts w:hint="eastAsia" w:ascii="仿宋_GB2312" w:hAnsi="仿宋_GB2312" w:eastAsia="仿宋_GB2312" w:cs="仿宋_GB2312"/>
          <w:sz w:val="24"/>
          <w:szCs w:val="24"/>
        </w:rPr>
        <w:t>设备间建设</w:t>
      </w:r>
      <w:bookmarkEnd w:id="503"/>
      <w:bookmarkEnd w:id="504"/>
      <w:bookmarkEnd w:id="505"/>
      <w:bookmarkEnd w:id="506"/>
      <w:bookmarkEnd w:id="507"/>
      <w:bookmarkEnd w:id="508"/>
    </w:p>
    <w:p>
      <w:pPr>
        <w:kinsoku/>
        <w:wordWrap/>
        <w:topLinePunct w:val="0"/>
        <w:bidi w:val="0"/>
        <w:spacing w:line="360" w:lineRule="exact"/>
        <w:ind w:firstLine="480"/>
        <w:rPr>
          <w:rFonts w:hint="eastAsia" w:ascii="仿宋_GB2312" w:hAnsi="仿宋_GB2312" w:eastAsia="仿宋_GB2312" w:cs="仿宋_GB2312"/>
          <w:sz w:val="24"/>
          <w:szCs w:val="24"/>
          <w:lang w:val="zh-CN"/>
        </w:rPr>
      </w:pPr>
      <w:bookmarkStart w:id="509" w:name="_Toc392165942"/>
      <w:bookmarkStart w:id="510" w:name="_Toc10554"/>
      <w:bookmarkStart w:id="511" w:name="_Toc392165941"/>
      <w:bookmarkStart w:id="512" w:name="_Toc550"/>
      <w:r>
        <w:rPr>
          <w:rFonts w:hint="eastAsia" w:ascii="仿宋_GB2312" w:hAnsi="仿宋_GB2312" w:eastAsia="仿宋_GB2312" w:cs="仿宋_GB2312"/>
          <w:sz w:val="24"/>
          <w:szCs w:val="24"/>
          <w:lang w:val="zh-CN"/>
        </w:rPr>
        <w:t>机房系统工程是基于计算机应用技术、现代通讯技术和自动化控制技术上的系统工程，在工程设计中采用先进、成熟、实用的技术，所采用的技术符合标准化、开放性的要求，并具有可扩展性和灵活性，以确保本工程的安全、可靠和实用，实现设备共享、数据共享、信息共享、应用共享，有效地利用在设备上的投资。</w:t>
      </w:r>
    </w:p>
    <w:bookmarkEnd w:id="509"/>
    <w:bookmarkEnd w:id="510"/>
    <w:p>
      <w:pPr>
        <w:kinsoku/>
        <w:wordWrap/>
        <w:topLinePunct w:val="0"/>
        <w:bidi w:val="0"/>
        <w:spacing w:line="360" w:lineRule="exact"/>
        <w:ind w:firstLine="48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机房是整个数据交换及上传的中心枢纽，本次园区机房实际建设需求内容如下：</w:t>
      </w:r>
    </w:p>
    <w:tbl>
      <w:tblPr>
        <w:tblStyle w:val="62"/>
        <w:tblW w:w="4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7"/>
        <w:gridCol w:w="34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237" w:type="dxa"/>
            <w:shd w:val="clear" w:color="auto" w:fill="D7D7D7" w:themeFill="background1" w:themeFillShade="D8"/>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序号</w:t>
            </w:r>
          </w:p>
        </w:tc>
        <w:tc>
          <w:tcPr>
            <w:tcW w:w="3423" w:type="dxa"/>
            <w:shd w:val="clear" w:color="auto" w:fill="D7D7D7" w:themeFill="background1" w:themeFillShade="D8"/>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机房建设系统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供配电工程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UPS不间断电源工程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精密空调系统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弱电工程—门禁控制系统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弱电工程—视频监控系统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消防工程—自动消防报警系统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消防工程—气体灭火系统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机房动力环境监控系统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9</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防雷系统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237" w:type="dxa"/>
            <w:vAlign w:val="center"/>
          </w:tcPr>
          <w:p>
            <w:pPr>
              <w:kinsoku/>
              <w:wordWrap/>
              <w:topLinePunct w:val="0"/>
              <w:bidi w:val="0"/>
              <w:adjustRightInd w:val="0"/>
              <w:snapToGrid w:val="0"/>
              <w:spacing w:line="360" w:lineRule="exact"/>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w:t>
            </w:r>
          </w:p>
        </w:tc>
        <w:tc>
          <w:tcPr>
            <w:tcW w:w="3423" w:type="dxa"/>
            <w:vAlign w:val="center"/>
          </w:tcPr>
          <w:p>
            <w:pPr>
              <w:kinsoku/>
              <w:wordWrap/>
              <w:topLinePunct w:val="0"/>
              <w:bidi w:val="0"/>
              <w:adjustRightInd w:val="0"/>
              <w:snapToGrid w:val="0"/>
              <w:spacing w:line="36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接地系统</w:t>
            </w:r>
          </w:p>
        </w:tc>
      </w:tr>
      <w:bookmarkEnd w:id="511"/>
      <w:bookmarkEnd w:id="512"/>
    </w:tbl>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513" w:name="_Toc76630620"/>
      <w:bookmarkStart w:id="514" w:name="_Toc17006"/>
      <w:bookmarkStart w:id="515" w:name="_Toc81552921"/>
      <w:bookmarkStart w:id="516" w:name="_Toc9660"/>
      <w:r>
        <w:rPr>
          <w:rFonts w:hint="eastAsia" w:hAnsi="仿宋_GB2312" w:cs="仿宋_GB2312"/>
          <w:sz w:val="24"/>
          <w:szCs w:val="24"/>
          <w:lang w:val="en-US" w:eastAsia="zh-CN"/>
        </w:rPr>
        <w:t>6.2</w:t>
      </w:r>
      <w:r>
        <w:rPr>
          <w:rFonts w:hint="eastAsia" w:ascii="仿宋_GB2312" w:hAnsi="仿宋_GB2312" w:eastAsia="仿宋_GB2312" w:cs="仿宋_GB2312"/>
          <w:sz w:val="24"/>
          <w:szCs w:val="24"/>
        </w:rPr>
        <w:t>融合通信</w:t>
      </w:r>
      <w:bookmarkEnd w:id="513"/>
      <w:r>
        <w:rPr>
          <w:rFonts w:hint="eastAsia" w:ascii="仿宋_GB2312" w:hAnsi="仿宋_GB2312" w:eastAsia="仿宋_GB2312" w:cs="仿宋_GB2312"/>
          <w:sz w:val="24"/>
          <w:szCs w:val="24"/>
        </w:rPr>
        <w:t>平台</w:t>
      </w:r>
      <w:bookmarkEnd w:id="514"/>
      <w:bookmarkEnd w:id="515"/>
      <w:bookmarkEnd w:id="516"/>
    </w:p>
    <w:p>
      <w:pPr>
        <w:kinsoku/>
        <w:wordWrap/>
        <w:topLinePunct w:val="0"/>
        <w:bidi w:val="0"/>
        <w:spacing w:line="360" w:lineRule="exact"/>
        <w:ind w:firstLine="48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融合通信平台能够实现各种渠道的接入，包括会商终端、视频监控、语音话机/手机、移动终端、单兵执法仪、短信系统、传真系统等，各种渠道接入后对上层可视指挥调度应用提供通信能力支撑，开放接口供上层应用进行音视频通信的控制。同时融合指挥平台提供向上接口，便于后续平台的对接。</w:t>
      </w:r>
      <w:bookmarkStart w:id="517" w:name="table_03A37523"/>
      <w:bookmarkEnd w:id="517"/>
      <w:bookmarkStart w:id="518" w:name="_Toc81552926"/>
    </w:p>
    <w:p>
      <w:pPr>
        <w:kinsoku/>
        <w:wordWrap/>
        <w:topLinePunct w:val="0"/>
        <w:bidi w:val="0"/>
        <w:spacing w:line="360" w:lineRule="exact"/>
        <w:ind w:firstLine="480"/>
        <w:rPr>
          <w:rFonts w:hint="eastAsia" w:ascii="仿宋_GB2312" w:hAnsi="仿宋_GB2312" w:eastAsia="仿宋_GB2312" w:cs="仿宋_GB2312"/>
          <w:sz w:val="24"/>
          <w:szCs w:val="24"/>
          <w:lang w:val="zh-CN"/>
        </w:rPr>
      </w:pPr>
    </w:p>
    <w:p>
      <w:pPr>
        <w:kinsoku/>
        <w:wordWrap/>
        <w:topLinePunct w:val="0"/>
        <w:bidi w:val="0"/>
        <w:spacing w:line="360" w:lineRule="exact"/>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7.园区公共设施建设</w:t>
      </w:r>
      <w:bookmarkEnd w:id="483"/>
      <w:bookmarkEnd w:id="484"/>
      <w:bookmarkEnd w:id="518"/>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519" w:name="_Toc81552927"/>
      <w:bookmarkStart w:id="520" w:name="_Toc29822"/>
      <w:bookmarkStart w:id="521" w:name="_Toc28865"/>
      <w:r>
        <w:rPr>
          <w:rFonts w:hint="eastAsia" w:hAnsi="仿宋_GB2312" w:cs="仿宋_GB2312"/>
          <w:sz w:val="24"/>
          <w:szCs w:val="24"/>
          <w:lang w:val="en-US" w:eastAsia="zh-CN"/>
        </w:rPr>
        <w:t>7.1</w:t>
      </w:r>
      <w:r>
        <w:rPr>
          <w:rFonts w:hint="eastAsia" w:ascii="仿宋_GB2312" w:hAnsi="仿宋_GB2312" w:eastAsia="仿宋_GB2312" w:cs="仿宋_GB2312"/>
          <w:sz w:val="24"/>
          <w:szCs w:val="24"/>
        </w:rPr>
        <w:t>监控布点</w:t>
      </w:r>
      <w:bookmarkEnd w:id="519"/>
      <w:bookmarkEnd w:id="520"/>
      <w:bookmarkEnd w:id="521"/>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本次规划建设一套看得清、预防早、处理快、易维护的监控系统个，结合当前主流云化技术及智能分析技术实现整个园区智慧化管理。将从以下方面进行建设：</w:t>
      </w:r>
    </w:p>
    <w:p>
      <w:pPr>
        <w:pStyle w:val="934"/>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高清全覆盖</w:t>
      </w:r>
    </w:p>
    <w:p>
      <w:pPr>
        <w:pStyle w:val="934"/>
        <w:tabs>
          <w:tab w:val="clear" w:pos="240"/>
        </w:tabs>
        <w:kinsoku/>
        <w:wordWrap/>
        <w:topLinePunct w:val="0"/>
        <w:bidi w:val="0"/>
        <w:spacing w:line="360" w:lineRule="exact"/>
        <w:ind w:left="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提升全网智能</w:t>
      </w:r>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系统建设采用易维护设备和高效的管理工具。在视频监控建设上采用云化架构设备，减少维护成本。</w:t>
      </w: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522" w:name="_Toc3970"/>
      <w:bookmarkStart w:id="523" w:name="_Toc18609"/>
      <w:bookmarkStart w:id="524" w:name="_Toc81552928"/>
      <w:r>
        <w:rPr>
          <w:rFonts w:hint="eastAsia" w:hAnsi="仿宋_GB2312" w:cs="仿宋_GB2312"/>
          <w:sz w:val="24"/>
          <w:szCs w:val="24"/>
          <w:lang w:val="en-US" w:eastAsia="zh-CN"/>
        </w:rPr>
        <w:t>7.2</w:t>
      </w:r>
      <w:r>
        <w:rPr>
          <w:rFonts w:hint="eastAsia" w:ascii="仿宋_GB2312" w:hAnsi="仿宋_GB2312" w:eastAsia="仿宋_GB2312" w:cs="仿宋_GB2312"/>
          <w:sz w:val="24"/>
          <w:szCs w:val="24"/>
        </w:rPr>
        <w:t>前端道路卡口</w:t>
      </w:r>
      <w:bookmarkEnd w:id="522"/>
      <w:bookmarkEnd w:id="523"/>
      <w:bookmarkEnd w:id="524"/>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在实时记录通行车辆图像的同时，系统可自动对车辆牌照进行识别，包括车牌号码、车牌颜色的识别。</w:t>
      </w: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525" w:name="_Toc15744"/>
      <w:bookmarkStart w:id="526" w:name="_Toc81552929"/>
      <w:bookmarkStart w:id="527" w:name="_Toc1099"/>
      <w:r>
        <w:rPr>
          <w:rFonts w:hint="eastAsia" w:hAnsi="仿宋_GB2312" w:cs="仿宋_GB2312"/>
          <w:sz w:val="24"/>
          <w:szCs w:val="24"/>
          <w:lang w:val="en-US" w:eastAsia="zh-CN"/>
        </w:rPr>
        <w:t>7.3</w:t>
      </w:r>
      <w:r>
        <w:rPr>
          <w:rFonts w:hint="eastAsia" w:ascii="仿宋_GB2312" w:hAnsi="仿宋_GB2312" w:eastAsia="仿宋_GB2312" w:cs="仿宋_GB2312"/>
          <w:sz w:val="24"/>
          <w:szCs w:val="24"/>
        </w:rPr>
        <w:t>高空瞭望</w:t>
      </w:r>
      <w:bookmarkEnd w:id="525"/>
      <w:bookmarkEnd w:id="526"/>
      <w:bookmarkEnd w:id="527"/>
    </w:p>
    <w:p>
      <w:pPr>
        <w:kinsoku/>
        <w:wordWrap/>
        <w:topLinePunct w:val="0"/>
        <w:bidi w:val="0"/>
        <w:spacing w:line="36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远程高空瞭望监控，对园区进行全方位立体化观察和分析， 值班人员可以根据报警信息，及时定点跟踪确认，第一时间调度处置。使用高清晰度摄像机和高速视频回传技术，可实现传统视频监控系统部署方式中难以解决的矛盾。</w:t>
      </w:r>
    </w:p>
    <w:p>
      <w:pPr>
        <w:pStyle w:val="4"/>
        <w:numPr>
          <w:ilvl w:val="0"/>
          <w:numId w:val="0"/>
        </w:numPr>
        <w:kinsoku/>
        <w:wordWrap/>
        <w:topLinePunct w:val="0"/>
        <w:bidi w:val="0"/>
        <w:spacing w:line="360" w:lineRule="exact"/>
        <w:ind w:leftChars="0"/>
        <w:rPr>
          <w:rFonts w:hint="eastAsia" w:ascii="仿宋_GB2312" w:hAnsi="仿宋_GB2312" w:eastAsia="仿宋_GB2312" w:cs="仿宋_GB2312"/>
          <w:sz w:val="24"/>
          <w:szCs w:val="24"/>
        </w:rPr>
      </w:pPr>
      <w:bookmarkStart w:id="528" w:name="_Toc81552930"/>
      <w:r>
        <w:rPr>
          <w:rFonts w:hint="eastAsia" w:hAnsi="仿宋_GB2312" w:cs="仿宋_GB2312"/>
          <w:sz w:val="24"/>
          <w:szCs w:val="24"/>
          <w:lang w:val="en-US" w:eastAsia="zh-CN"/>
        </w:rPr>
        <w:t>7.4</w:t>
      </w:r>
      <w:r>
        <w:rPr>
          <w:rFonts w:hint="eastAsia" w:ascii="仿宋_GB2312" w:hAnsi="仿宋_GB2312" w:eastAsia="仿宋_GB2312" w:cs="仿宋_GB2312"/>
          <w:sz w:val="24"/>
          <w:szCs w:val="24"/>
        </w:rPr>
        <w:t>企业安全网闸</w:t>
      </w:r>
      <w:bookmarkEnd w:id="528"/>
    </w:p>
    <w:p>
      <w:pPr>
        <w:kinsoku/>
        <w:wordWrap/>
        <w:topLinePunct w:val="0"/>
        <w:bidi w:val="0"/>
        <w:spacing w:line="360" w:lineRule="exact"/>
        <w:ind w:firstLine="48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企业安全网关可通过OPC数据服务接口采集DCS控制系统、PLC控制系统的实时数据，将数据上传给安全网关内机，通过安全网关的隔离模块将数据传输到外机，通过政府外网或者专网将数据上传给设备与数据管理服务器，实现化工园区工业企业的控制系统中的实时数据采集与上传。</w:t>
      </w:r>
      <w:bookmarkStart w:id="529" w:name="_Toc21407"/>
      <w:bookmarkStart w:id="530" w:name="_Toc7130"/>
      <w:bookmarkStart w:id="531" w:name="_Toc81552931"/>
    </w:p>
    <w:p>
      <w:pPr>
        <w:kinsoku/>
        <w:wordWrap/>
        <w:topLinePunct w:val="0"/>
        <w:bidi w:val="0"/>
        <w:spacing w:line="360" w:lineRule="exact"/>
        <w:jc w:val="left"/>
        <w:rPr>
          <w:rFonts w:hint="eastAsia" w:ascii="仿宋_GB2312" w:hAnsi="仿宋_GB2312" w:eastAsia="仿宋_GB2312" w:cs="仿宋_GB2312"/>
          <w:sz w:val="24"/>
          <w:szCs w:val="24"/>
        </w:rPr>
      </w:pPr>
    </w:p>
    <w:p>
      <w:pPr>
        <w:kinsoku/>
        <w:wordWrap/>
        <w:topLinePunct w:val="0"/>
        <w:bidi w:val="0"/>
        <w:spacing w:line="360" w:lineRule="exact"/>
        <w:jc w:val="left"/>
        <w:rPr>
          <w:rFonts w:hint="eastAsia" w:ascii="仿宋_GB2312" w:hAnsi="仿宋_GB2312" w:eastAsia="仿宋_GB2312" w:cs="仿宋_GB2312"/>
          <w:b/>
          <w:bCs/>
          <w:kern w:val="2"/>
          <w:sz w:val="24"/>
          <w:szCs w:val="24"/>
          <w:lang w:val="zh-CN" w:eastAsia="zh-CN" w:bidi="ar-SA"/>
        </w:rPr>
      </w:pPr>
      <w:r>
        <w:rPr>
          <w:rFonts w:hint="eastAsia" w:ascii="仿宋_GB2312" w:hAnsi="仿宋_GB2312" w:eastAsia="仿宋_GB2312" w:cs="仿宋_GB2312"/>
          <w:b/>
          <w:bCs/>
          <w:kern w:val="2"/>
          <w:sz w:val="24"/>
          <w:szCs w:val="24"/>
          <w:lang w:val="en-US" w:eastAsia="zh-CN" w:bidi="ar-SA"/>
        </w:rPr>
        <w:t>8.</w:t>
      </w:r>
      <w:r>
        <w:rPr>
          <w:rFonts w:hint="eastAsia" w:ascii="仿宋_GB2312" w:hAnsi="仿宋_GB2312" w:eastAsia="仿宋_GB2312" w:cs="仿宋_GB2312"/>
          <w:b/>
          <w:bCs/>
          <w:kern w:val="2"/>
          <w:sz w:val="24"/>
          <w:szCs w:val="24"/>
          <w:lang w:val="zh-CN" w:eastAsia="zh-CN" w:bidi="ar-SA"/>
        </w:rPr>
        <w:t>平台软硬件建设</w:t>
      </w:r>
      <w:bookmarkEnd w:id="485"/>
      <w:bookmarkEnd w:id="529"/>
      <w:bookmarkEnd w:id="530"/>
      <w:r>
        <w:rPr>
          <w:rFonts w:hint="eastAsia" w:ascii="仿宋_GB2312" w:hAnsi="仿宋_GB2312" w:eastAsia="仿宋_GB2312" w:cs="仿宋_GB2312"/>
          <w:b/>
          <w:bCs/>
          <w:kern w:val="2"/>
          <w:sz w:val="24"/>
          <w:szCs w:val="24"/>
          <w:lang w:val="zh-CN" w:eastAsia="zh-CN" w:bidi="ar-SA"/>
        </w:rPr>
        <w:t>清单</w:t>
      </w:r>
      <w:bookmarkEnd w:id="531"/>
    </w:p>
    <w:p>
      <w:pPr>
        <w:pStyle w:val="4"/>
        <w:numPr>
          <w:ilvl w:val="0"/>
          <w:numId w:val="0"/>
        </w:numPr>
        <w:ind w:leftChars="0"/>
        <w:rPr>
          <w:rFonts w:hint="eastAsia" w:ascii="仿宋_GB2312" w:hAnsi="仿宋_GB2312" w:eastAsia="仿宋_GB2312" w:cs="仿宋_GB2312"/>
          <w:b/>
          <w:bCs/>
          <w:kern w:val="2"/>
          <w:sz w:val="24"/>
          <w:szCs w:val="24"/>
          <w:lang w:val="zh-CN" w:eastAsia="zh-CN" w:bidi="ar-SA"/>
        </w:rPr>
      </w:pPr>
      <w:bookmarkStart w:id="532" w:name="_Toc81552932"/>
      <w:bookmarkStart w:id="533" w:name="_Toc13290"/>
      <w:bookmarkStart w:id="534" w:name="_Toc5147"/>
      <w:bookmarkStart w:id="535" w:name="_Toc67380801"/>
      <w:r>
        <w:rPr>
          <w:rFonts w:hint="eastAsia" w:ascii="仿宋_GB2312" w:hAnsi="仿宋_GB2312" w:eastAsia="仿宋_GB2312" w:cs="仿宋_GB2312"/>
          <w:b/>
          <w:bCs/>
          <w:kern w:val="2"/>
          <w:sz w:val="24"/>
          <w:szCs w:val="24"/>
          <w:lang w:val="en-US" w:eastAsia="zh-CN" w:bidi="ar-SA"/>
        </w:rPr>
        <w:t>8.1</w:t>
      </w:r>
      <w:r>
        <w:rPr>
          <w:rFonts w:hint="eastAsia" w:ascii="仿宋_GB2312" w:hAnsi="仿宋_GB2312" w:eastAsia="仿宋_GB2312" w:cs="仿宋_GB2312"/>
          <w:b/>
          <w:bCs/>
          <w:kern w:val="2"/>
          <w:sz w:val="24"/>
          <w:szCs w:val="24"/>
          <w:lang w:val="zh-CN" w:eastAsia="zh-CN" w:bidi="ar-SA"/>
        </w:rPr>
        <w:t>软件清单</w:t>
      </w:r>
      <w:bookmarkEnd w:id="532"/>
    </w:p>
    <w:p>
      <w:pPr>
        <w:ind w:firstLine="480"/>
        <w:jc w:val="center"/>
        <w:rPr>
          <w:rFonts w:ascii="宋体" w:hAnsi="宋体" w:cs="宋体"/>
        </w:rPr>
      </w:pPr>
      <w:r>
        <w:rPr>
          <w:rFonts w:hint="eastAsia" w:ascii="宋体" w:hAnsi="宋体" w:cs="宋体"/>
        </w:rPr>
        <w:t>表 平台软件清单</w:t>
      </w:r>
    </w:p>
    <w:tbl>
      <w:tblPr>
        <w:tblStyle w:val="62"/>
        <w:tblW w:w="5184" w:type="pct"/>
        <w:jc w:val="center"/>
        <w:tblLayout w:type="fixed"/>
        <w:tblCellMar>
          <w:top w:w="0" w:type="dxa"/>
          <w:left w:w="0" w:type="dxa"/>
          <w:bottom w:w="0" w:type="dxa"/>
          <w:right w:w="0" w:type="dxa"/>
        </w:tblCellMar>
      </w:tblPr>
      <w:tblGrid>
        <w:gridCol w:w="615"/>
        <w:gridCol w:w="1005"/>
        <w:gridCol w:w="1170"/>
        <w:gridCol w:w="5486"/>
        <w:gridCol w:w="435"/>
        <w:gridCol w:w="716"/>
      </w:tblGrid>
      <w:tr>
        <w:tblPrEx>
          <w:tblCellMar>
            <w:top w:w="0" w:type="dxa"/>
            <w:left w:w="0" w:type="dxa"/>
            <w:bottom w:w="0" w:type="dxa"/>
            <w:right w:w="0" w:type="dxa"/>
          </w:tblCellMar>
        </w:tblPrEx>
        <w:trPr>
          <w:trHeight w:val="400" w:hRule="atLeast"/>
          <w:jc w:val="center"/>
        </w:trPr>
        <w:tc>
          <w:tcPr>
            <w:tcW w:w="326" w:type="pct"/>
            <w:tcBorders>
              <w:top w:val="single" w:color="auto" w:sz="4" w:space="0"/>
              <w:left w:val="single" w:color="auto" w:sz="4" w:space="0"/>
              <w:bottom w:val="single" w:color="auto" w:sz="4" w:space="0"/>
              <w:right w:val="single" w:color="auto" w:sz="4" w:space="0"/>
            </w:tcBorders>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序号</w:t>
            </w:r>
          </w:p>
        </w:tc>
        <w:tc>
          <w:tcPr>
            <w:tcW w:w="1153" w:type="pct"/>
            <w:gridSpan w:val="2"/>
            <w:tcBorders>
              <w:top w:val="single" w:color="auto" w:sz="4" w:space="0"/>
              <w:left w:val="single" w:color="auto" w:sz="4" w:space="0"/>
              <w:bottom w:val="single" w:color="auto" w:sz="4" w:space="0"/>
              <w:right w:val="single" w:color="auto" w:sz="4" w:space="0"/>
            </w:tcBorders>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系统/功能模块名称</w:t>
            </w:r>
          </w:p>
        </w:tc>
        <w:tc>
          <w:tcPr>
            <w:tcW w:w="2909" w:type="pct"/>
            <w:tcBorders>
              <w:top w:val="single" w:color="auto" w:sz="4" w:space="0"/>
              <w:left w:val="single" w:color="auto" w:sz="4" w:space="0"/>
              <w:bottom w:val="single" w:color="auto" w:sz="4" w:space="0"/>
              <w:right w:val="single" w:color="auto" w:sz="4" w:space="0"/>
            </w:tcBorders>
            <w:shd w:val="clear" w:color="auto" w:fill="A6A6A6"/>
            <w:tcMar>
              <w:top w:w="10" w:type="dxa"/>
              <w:left w:w="10" w:type="dxa"/>
              <w:right w:w="10" w:type="dxa"/>
            </w:tcMar>
            <w:vAlign w:val="center"/>
          </w:tcPr>
          <w:p>
            <w:pPr>
              <w:widowControl/>
              <w:spacing w:line="0" w:lineRule="atLeast"/>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功能描述</w:t>
            </w:r>
          </w:p>
        </w:tc>
        <w:tc>
          <w:tcPr>
            <w:tcW w:w="230" w:type="pct"/>
            <w:tcBorders>
              <w:top w:val="single" w:color="auto" w:sz="4" w:space="0"/>
              <w:left w:val="single" w:color="auto" w:sz="4" w:space="0"/>
              <w:bottom w:val="single" w:color="auto" w:sz="4" w:space="0"/>
              <w:right w:val="single" w:color="auto" w:sz="4" w:space="0"/>
            </w:tcBorders>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数量</w:t>
            </w:r>
          </w:p>
        </w:tc>
        <w:tc>
          <w:tcPr>
            <w:tcW w:w="379" w:type="pct"/>
            <w:tcBorders>
              <w:top w:val="single" w:color="auto" w:sz="4" w:space="0"/>
              <w:left w:val="single" w:color="auto" w:sz="4" w:space="0"/>
              <w:bottom w:val="single" w:color="auto" w:sz="4" w:space="0"/>
              <w:right w:val="single" w:color="auto" w:sz="4" w:space="0"/>
            </w:tcBorders>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单位</w:t>
            </w:r>
          </w:p>
        </w:tc>
      </w:tr>
      <w:tr>
        <w:tblPrEx>
          <w:tblCellMar>
            <w:top w:w="0" w:type="dxa"/>
            <w:left w:w="0" w:type="dxa"/>
            <w:bottom w:w="0" w:type="dxa"/>
            <w:right w:w="0" w:type="dxa"/>
          </w:tblCellMar>
        </w:tblPrEx>
        <w:trPr>
          <w:trHeight w:val="400" w:hRule="atLeast"/>
          <w:jc w:val="center"/>
        </w:trPr>
        <w:tc>
          <w:tcPr>
            <w:tcW w:w="326"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153" w:type="pct"/>
            <w:gridSpan w:val="2"/>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工业互联网平台</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工业互联网平台包含边缘感知层、平台层和应用服务层。边缘感知层主要负责园区大数据平台的数据接入和边缘计算场景应用。平台层主要负责构建园区大数据平台，处理海量多元数据的接入，对元数据进行统一定义和重组织，提供数据存储、查询和应用服务。应用服务层主要面向园区运营过程中的各个职责人员使用的应用功能入口。</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153" w:type="pct"/>
            <w:gridSpan w:val="2"/>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地理信息平台</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sz w:val="18"/>
                <w:szCs w:val="18"/>
              </w:rPr>
              <w:t>对园区进行三维实景制作，支持场景数据的分图层管理，将场景地图分为地形、影像、路网、建筑、自定义图层等，用户可以根据需求操作图层的开启和隐藏。也可以支持按区域管理，通过分区支持对不同片区多层数据分别显示和管理。</w:t>
            </w:r>
            <w:r>
              <w:rPr>
                <w:rFonts w:hint="eastAsia" w:ascii="宋体" w:hAnsi="宋体" w:cs="宋体"/>
                <w:color w:val="000000"/>
                <w:sz w:val="18"/>
                <w:szCs w:val="18"/>
              </w:rPr>
              <w:br w:type="textWrapping"/>
            </w:r>
            <w:r>
              <w:rPr>
                <w:rFonts w:hint="eastAsia" w:ascii="宋体" w:hAnsi="宋体" w:cs="宋体"/>
                <w:color w:val="000000"/>
                <w:sz w:val="18"/>
                <w:szCs w:val="18"/>
              </w:rPr>
              <w:t>业务应用图层：支持监控点、卡口、社会监控点、单兵、车载、应急物资等资源图层在地图上显示或者隐藏。支持电子地图、矢量地图、影像图两种地图之间的切换，以及支持直接拖拉比例尺实现地图的缩放。</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3</w:t>
            </w:r>
          </w:p>
        </w:tc>
        <w:tc>
          <w:tcPr>
            <w:tcW w:w="533"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园区驾驶舱</w:t>
            </w: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园区总貌</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通过一张图显示园区基础概况，园区基本信息、机构、设施等数据，园区三维地图，入驻企业基本信息等。</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AR实景应用</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AR实景界面，集成多种标签控制，冷热源传感数据，实时人流统计，集成预警功能</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安全一张图</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园区的两重点一重大、风险隐患、人员分布、特殊危险作业许可等情况的呈现</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应急一张图</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应急物资、应急事件、危险源监控、环境监控、视频等融合到三维可视化平台,在地图上显示相关应急资源信息</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环保一张图</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对园区的整体环境情况及企业排放情况在地图上显示。</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封闭管理一张图</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今日园区进出人员车辆、园区进出状况、危化品运输状况、危化品停车场情况、道路卡口等封闭管理相关数据进行可视化展示</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能源一张图</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对园区管道、罐区、仓储及设备设施状况及能源利用情况以直观的方式展现</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4</w:t>
            </w:r>
          </w:p>
        </w:tc>
        <w:tc>
          <w:tcPr>
            <w:tcW w:w="533"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园区画像</w:t>
            </w: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一企一档</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建立一企一档，包含企业基础信息、企业安全生产信息管理、 企业安全生产证件照管理、企业安全生产证件照管理、企业安全现状评价管理、污染源信息、 特征污染物名录库等。</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园区档案</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通过录入园区基本信息、机构、设施等数据，实现园区信息的动态更新。</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知识库</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实现对配套服务相关政策法规的发布，包括各级政府的政策，并发布政府职能部门的法规和管理条例。存储行业相关的法律法规、标准规范，以及其它重要文件、MSDS库和典型事故案例库等安全基础信息。</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网格化管理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按照分级管理、属地管理、无缝对接、全面覆盖、责任到人的原则，推动监管服务关口前移，触角向下延伸，实行定人、定岗、定责，实现每个单元网格内都配备一名网格员，确保园区监管无死角、无盲区，形成“横到边、纵到底”环境监管责任体系。</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5</w:t>
            </w:r>
          </w:p>
        </w:tc>
        <w:tc>
          <w:tcPr>
            <w:tcW w:w="533"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安全监管</w:t>
            </w: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风险分级管控</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基于生产企业的基础信息、工艺信息、装置信息、管理信息等动态情况进行数据采集与分析，利用相应的专业风险分析模型，接照点（如重大危险源等）、线（如工艺装置等）、面（如工厂区域等）三维一体的风险分级管控思想，实现各类风险的科学辩识、量化分级和分级管理，增强对生产企业各类风险量化分析、态势分析、预测预警的综合管控能力。包含风险地图、辨识评估、风险防控、统计分析。</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风险监测预警</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包含风险源数据监测及报警管理。</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隐患排查治理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隐患排查模块涵盖了政府端和企业端应用，企业端通过日常隐患自查自报等方式，让政府能够有效监管企业的隐患排查治理工作，为园区内隐患排查治理工作成效考核提供依据。实现了对安全隐患的记录、评估和分类处置，完整记录整改过程。主要功能包含隐患排查治理、隐患挂牌督办、整改通知单、隐患状态跟踪、隐患统计分析查询。</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危险作业监管</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建立企业作业步骤SOP，辨识作业风险，自动过滤承包商人员资质信息，落实风险削减措施，验收作业成果，通过系统对作业流程严格把控；同时通过系统进行作业票风险辨识、措施实施、在线审批等过程，在作业票办理合规的同时提升办票效率。支持移动端上报、审批、验收。</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828" w:hRule="atLeast"/>
          <w:jc w:val="center"/>
        </w:trPr>
        <w:tc>
          <w:tcPr>
            <w:tcW w:w="326" w:type="pct"/>
            <w:vMerge w:val="restart"/>
            <w:tcBorders>
              <w:top w:val="single" w:color="auto" w:sz="4" w:space="0"/>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6</w:t>
            </w:r>
          </w:p>
        </w:tc>
        <w:tc>
          <w:tcPr>
            <w:tcW w:w="533" w:type="pct"/>
            <w:vMerge w:val="restart"/>
            <w:tcBorders>
              <w:top w:val="single" w:color="auto" w:sz="4" w:space="0"/>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0" w:firstLineChars="0"/>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应急指挥</w:t>
            </w:r>
          </w:p>
        </w:tc>
        <w:tc>
          <w:tcPr>
            <w:tcW w:w="620" w:type="pct"/>
            <w:tcBorders>
              <w:top w:val="single" w:color="auto" w:sz="4" w:space="0"/>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0" w:firstLineChars="0"/>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应急资源动态</w:t>
            </w:r>
          </w:p>
        </w:tc>
        <w:tc>
          <w:tcPr>
            <w:tcW w:w="2909" w:type="pct"/>
            <w:tcBorders>
              <w:top w:val="single" w:color="auto" w:sz="4" w:space="0"/>
              <w:left w:val="single" w:color="auto" w:sz="4" w:space="0"/>
              <w:right w:val="single" w:color="auto" w:sz="4" w:space="0"/>
            </w:tcBorders>
            <w:shd w:val="clear" w:color="auto" w:fill="auto"/>
            <w:tcMar>
              <w:top w:w="10" w:type="dxa"/>
              <w:left w:w="10" w:type="dxa"/>
              <w:right w:w="10" w:type="dxa"/>
            </w:tcMar>
            <w:vAlign w:val="center"/>
          </w:tcPr>
          <w:p>
            <w:pPr>
              <w:spacing w:line="0" w:lineRule="atLeast"/>
              <w:ind w:firstLine="0" w:firstLineChars="0"/>
              <w:jc w:val="left"/>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维护各类应急资源库中储备的各类应急物资基本信息，为应急事件处置流程提供基础数据支撑。在突发事件发生时，应急指挥人员通过GIS、图表等多种方式展现资源的地点、数量、特征、性能、状态等信息，迅速调集救援资源进行有效的救援。</w:t>
            </w:r>
          </w:p>
        </w:tc>
        <w:tc>
          <w:tcPr>
            <w:tcW w:w="230" w:type="pct"/>
            <w:tcBorders>
              <w:top w:val="single" w:color="auto" w:sz="4" w:space="0"/>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right w:val="single" w:color="auto" w:sz="4" w:space="0"/>
            </w:tcBorders>
            <w:shd w:val="clear" w:color="auto" w:fill="auto"/>
            <w:noWrap/>
            <w:tcMar>
              <w:top w:w="10" w:type="dxa"/>
              <w:left w:w="10" w:type="dxa"/>
              <w:right w:w="10" w:type="dxa"/>
            </w:tcMar>
            <w:vAlign w:val="center"/>
          </w:tcPr>
          <w:p>
            <w:pPr>
              <w:spacing w:line="240" w:lineRule="auto"/>
              <w:ind w:firstLine="36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应急值守</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在指挥中心进行24h值守，包含值班人员管理、排班换班和值班日志。</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告警管理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集成物联网终端或视频监控等，系统提供平台告警功能。监测区域出现异常情况时，系统进行报警，为人员处理告警事件提供辅助决策，具体包含告警事件核实与处理。</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自然灾害预警分析</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自然灾害监测预警以当地气象部门数据为支撑，结合园区监控系统及数据发布系统，为园区提供气象服务及山洪、泥石流等自然灾害的应急管理</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事件管理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进行事件管理，事件管理模块主要包含有以下功能：事故上报、事故处置、事故跟踪和反馈。</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指挥调度</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结合多媒体通信、高清视频等多种先进的技术，对园区内泄露、火灾、爆炸、暴雨等紧急事件进行管理，实现应急事件的全流程信息化管理。可提高应急防范、救援和保障能力，使化工园区应急管理模式从静态、时候管理向动态、实时监管模式的转变，满足园区日常值守与应急救援业务工作。</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left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结构化应急预案</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结构化应急预案以对“事前准备、事发响应流程、事中应急处置、事后总结提升等过程的综合管理”为目标，通过对各级各类应急预案的数字化、结构化、图形化、流程化进行实现。</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应急演练</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在真实环境中的进行的实战演练，包括演练计划的制定、演练方案的管理、演练的实施、演练评估，相关单位根据演练方案对响应的演练过程进行指挥、调度，同时，系统对演练的过程形成文档，实现对演练的评估和总结。事故模拟处置培训。</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7</w:t>
            </w:r>
          </w:p>
        </w:tc>
        <w:tc>
          <w:tcPr>
            <w:tcW w:w="533"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环境监管</w:t>
            </w: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环境立体感知</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通过在园区设立大气环境、水环境、VOC整体排放同时接入企业污染源监测监控，基于GIS地图实现园区整体环境的全方位立体化感知，设置超标报警值，可显示历史趋势，为开展后续环境监管和监督提供数据支撑，最终实现污染的精细化管理。</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环保设备状态监测</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针对园区内环保监测设备运行状态进行动态展示。</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环境监测预警</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参照国家法律法规标准，结合地方园区监管特点以及行业经验等，为环保监测数据设置超标报警值，实现对实时监测数据与报警情况的管理。包含 指标异常报警、视频联动预警、报警处置闭环。</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危废固废监管</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通过录入危固废的基础信息、转移联单等数据，实现固废的产生、转移（运输）、存储、处理的全流程管理。</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8</w:t>
            </w:r>
          </w:p>
        </w:tc>
        <w:tc>
          <w:tcPr>
            <w:tcW w:w="533"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封闭管理</w:t>
            </w: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出入管理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对进入园区的车辆与人员进行监控与识别，园区人员可以在园区进行备案，访客若要进入园区需提前由所访问企业担保申请。对人员与车辆的基础信息进行管理，且能进行分级别、分权限和分区域的管理。</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访客管理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对周界异常报警进行监控和管理，以保证管理人员能及时了解报警区域的情况，快速的作出应对。</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危化品运输管理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主要对危化品车辆在园区内的运输监控管理，包括车辆审核、交通监控、道路卡口等情况。</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9</w:t>
            </w:r>
          </w:p>
        </w:tc>
        <w:tc>
          <w:tcPr>
            <w:tcW w:w="533"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能源监管</w:t>
            </w: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能源数据采集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接园区接综合能源智慧管理平台，接入园区水、气、电、冷、热、光储充等多形态能源数据。对园区的各种能源介质与园区公辅工程进行实时采集与流程图实时监控，如变电容量、自来水供应能力、天然气供气能力等能耗情况，对园区能耗进行分析研判，对阀值进行预警，对于无法采集的数据进行企业报送。形成园区能源分类、分层、分区域等形式的精细化管理。</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能耗实时监测</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通过绘制园区能源网络总图及水、电、天然气、蒸汽、压缩空气能源介质能流图，并配置报警信息，超限进行及时报警，能够真实的反映能源网络的平衡状态，支持损耗报警功能，其报警设定值由平台管理者自主设置。监控各种能源介质数量值，对超标的情况给予实时报警。需要监视的能源介质系统包括水、电、天然气、蒸汽、压缩空气等。集成实时监视、历史数据归档、记录和查询、报警、等功能，实现集一般监控、报警分析、综合预测与分析于一体的能源管控一体化，从而达到能源集中管理、信息共享和节能降耗的目标。</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能源统计</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实现园区级、企业级耗量统计报表；报表以日、月、季、年粒度进行，报表格式可自由配置；形成对比分析能源管理一张图。</w:t>
            </w:r>
          </w:p>
        </w:tc>
        <w:tc>
          <w:tcPr>
            <w:tcW w:w="230"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r>
              <w:rPr>
                <w:rFonts w:ascii="宋体" w:hAnsi="宋体" w:cs="宋体"/>
                <w:color w:val="000000"/>
                <w:kern w:val="0"/>
                <w:sz w:val="18"/>
                <w:szCs w:val="18"/>
                <w:lang w:bidi="ar"/>
              </w:rPr>
              <w:t>0</w:t>
            </w:r>
          </w:p>
        </w:tc>
        <w:tc>
          <w:tcPr>
            <w:tcW w:w="533" w:type="pct"/>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移动应用</w:t>
            </w:r>
          </w:p>
        </w:tc>
        <w:tc>
          <w:tcPr>
            <w:tcW w:w="62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移动端基础服务</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统一管理所有 APP 端并提供服务，为 APP 端提供信息交互服务、基础数据服务、一张图服务、视频管理服务、设备管理服务、安全管理服务、授权服务。</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应急人员应用</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面向现场应急业务人员，基于安卓系统进行开发，主要提供事故信息报送、研判结果接收、采集信息分发、任务接收反馈、视频回传共享、通信录一键通、资源快速检索、现场应急一张图等功能。</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指挥人员应用</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面向领导及事故指挥人员，基于安卓系统开发，主要提供事故信息调阅、任务指令调度、事故态势跟踪、视频图像调阅、通信录一键通、研判结果调阅、资源快速检索、现场应急一张图等功能。</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533" w:type="pct"/>
            <w:vMerge w:val="continue"/>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62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企业人员应用</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面向企业人员，基于安卓系统开发，提供作业许可的填报审批、隐患自查的填报、隐患整改情况的填报、验收申请提交等工作。</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1</w:t>
            </w:r>
          </w:p>
        </w:tc>
        <w:tc>
          <w:tcPr>
            <w:tcW w:w="1153" w:type="pct"/>
            <w:gridSpan w:val="2"/>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企业数据采集</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采集企业DCS数据、环保数据、监测类数据、关系数据库类等数据。</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2</w:t>
            </w:r>
          </w:p>
        </w:tc>
        <w:tc>
          <w:tcPr>
            <w:tcW w:w="1153" w:type="pct"/>
            <w:gridSpan w:val="2"/>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业务系统集成</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对接区应急平台，获取相关数据。</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400" w:hRule="atLeast"/>
          <w:jc w:val="center"/>
        </w:trPr>
        <w:tc>
          <w:tcPr>
            <w:tcW w:w="326"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r>
              <w:rPr>
                <w:rFonts w:ascii="宋体" w:hAnsi="宋体" w:cs="宋体"/>
                <w:color w:val="000000"/>
                <w:kern w:val="0"/>
                <w:sz w:val="18"/>
                <w:szCs w:val="18"/>
                <w:lang w:bidi="ar"/>
              </w:rPr>
              <w:t>3</w:t>
            </w:r>
          </w:p>
        </w:tc>
        <w:tc>
          <w:tcPr>
            <w:tcW w:w="1153" w:type="pct"/>
            <w:gridSpan w:val="2"/>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化工产业大脑接入</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对接省化工大脑平台，按要求提供园区相关数据。</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CellMar>
            <w:top w:w="0" w:type="dxa"/>
            <w:left w:w="0" w:type="dxa"/>
            <w:bottom w:w="0" w:type="dxa"/>
            <w:right w:w="0" w:type="dxa"/>
          </w:tblCellMar>
        </w:tblPrEx>
        <w:trPr>
          <w:trHeight w:val="90" w:hRule="atLeast"/>
          <w:jc w:val="center"/>
        </w:trPr>
        <w:tc>
          <w:tcPr>
            <w:tcW w:w="326"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r>
              <w:rPr>
                <w:rFonts w:ascii="宋体" w:hAnsi="宋体" w:cs="宋体"/>
                <w:color w:val="000000"/>
                <w:kern w:val="0"/>
                <w:sz w:val="18"/>
                <w:szCs w:val="18"/>
                <w:lang w:bidi="ar"/>
              </w:rPr>
              <w:t>4</w:t>
            </w:r>
          </w:p>
        </w:tc>
        <w:tc>
          <w:tcPr>
            <w:tcW w:w="1153" w:type="pct"/>
            <w:gridSpan w:val="2"/>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textAlignment w:val="center"/>
              <w:rPr>
                <w:rFonts w:ascii="宋体" w:hAnsi="宋体" w:cs="宋体"/>
                <w:color w:val="000000"/>
                <w:sz w:val="18"/>
                <w:szCs w:val="18"/>
              </w:rPr>
            </w:pPr>
            <w:r>
              <w:rPr>
                <w:rFonts w:hint="eastAsia" w:ascii="宋体" w:hAnsi="宋体" w:cs="宋体"/>
                <w:color w:val="000000"/>
                <w:kern w:val="0"/>
                <w:sz w:val="18"/>
                <w:szCs w:val="18"/>
                <w:lang w:bidi="ar"/>
              </w:rPr>
              <w:t>三维GIS地图对接</w:t>
            </w:r>
          </w:p>
        </w:tc>
        <w:tc>
          <w:tcPr>
            <w:tcW w:w="2909" w:type="pc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spacing w:line="0" w:lineRule="atLeast"/>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对接规划局的三维GIS地图</w:t>
            </w:r>
          </w:p>
        </w:tc>
        <w:tc>
          <w:tcPr>
            <w:tcW w:w="230"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379" w:type="pct"/>
            <w:tcBorders>
              <w:top w:val="single" w:color="auto" w:sz="4" w:space="0"/>
              <w:left w:val="single" w:color="auto" w:sz="4" w:space="0"/>
              <w:bottom w:val="single" w:color="auto" w:sz="4" w:space="0"/>
              <w:right w:val="single" w:color="auto" w:sz="4" w:space="0"/>
            </w:tcBorders>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bookmarkEnd w:id="533"/>
      <w:bookmarkEnd w:id="534"/>
      <w:bookmarkEnd w:id="535"/>
    </w:tbl>
    <w:p>
      <w:pPr>
        <w:ind w:left="0" w:leftChars="0" w:firstLine="0" w:firstLineChars="0"/>
      </w:pPr>
    </w:p>
    <w:p>
      <w:pPr>
        <w:ind w:firstLine="480"/>
        <w:sectPr>
          <w:headerReference r:id="rId9" w:type="default"/>
          <w:footerReference r:id="rId10" w:type="default"/>
          <w:pgSz w:w="11906" w:h="16838"/>
          <w:pgMar w:top="680" w:right="1417" w:bottom="680" w:left="1417" w:header="851" w:footer="992" w:gutter="0"/>
          <w:pgNumType w:fmt="decimal"/>
          <w:cols w:space="720" w:num="1"/>
          <w:docGrid w:type="lines" w:linePitch="326" w:charSpace="0"/>
        </w:sectPr>
      </w:pPr>
    </w:p>
    <w:p>
      <w:pPr>
        <w:pStyle w:val="4"/>
        <w:numPr>
          <w:ilvl w:val="0"/>
          <w:numId w:val="0"/>
        </w:numPr>
        <w:ind w:leftChars="0"/>
        <w:rPr>
          <w:rFonts w:cs="宋体"/>
        </w:rPr>
      </w:pPr>
      <w:bookmarkStart w:id="536" w:name="_Toc81552933"/>
      <w:r>
        <w:rPr>
          <w:rFonts w:hint="eastAsia" w:cs="宋体"/>
          <w:lang w:val="en-US" w:eastAsia="zh-CN"/>
        </w:rPr>
        <w:t>8.2</w:t>
      </w:r>
      <w:r>
        <w:rPr>
          <w:rFonts w:hint="eastAsia" w:cs="宋体"/>
        </w:rPr>
        <w:t>硬件设备清单</w:t>
      </w:r>
      <w:bookmarkEnd w:id="536"/>
    </w:p>
    <w:p>
      <w:pPr>
        <w:ind w:firstLine="480"/>
        <w:jc w:val="center"/>
        <w:rPr>
          <w:rFonts w:ascii="宋体" w:hAnsi="宋体" w:cs="宋体"/>
          <w:szCs w:val="21"/>
        </w:rPr>
      </w:pPr>
      <w:r>
        <w:rPr>
          <w:rFonts w:hint="eastAsia" w:ascii="宋体" w:hAnsi="宋体" w:cs="宋体"/>
        </w:rPr>
        <w:t>表 硬件设备</w:t>
      </w:r>
      <w:r>
        <w:rPr>
          <w:rFonts w:hint="eastAsia" w:ascii="宋体" w:hAnsi="宋体" w:cs="宋体"/>
          <w:szCs w:val="21"/>
        </w:rPr>
        <w:t>清单</w:t>
      </w:r>
    </w:p>
    <w:tbl>
      <w:tblPr>
        <w:tblStyle w:val="62"/>
        <w:tblW w:w="14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116"/>
        <w:gridCol w:w="10774"/>
        <w:gridCol w:w="666"/>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指挥中心及研判室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序号</w:t>
            </w:r>
          </w:p>
        </w:tc>
        <w:tc>
          <w:tcPr>
            <w:tcW w:w="111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名称</w:t>
            </w:r>
          </w:p>
        </w:tc>
        <w:tc>
          <w:tcPr>
            <w:tcW w:w="10774"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功能描述</w:t>
            </w:r>
          </w:p>
        </w:tc>
        <w:tc>
          <w:tcPr>
            <w:tcW w:w="66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数量</w:t>
            </w:r>
          </w:p>
        </w:tc>
        <w:tc>
          <w:tcPr>
            <w:tcW w:w="801"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（一）视频显示系统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LED显示系统</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1.点间距≤1.668mm；</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2.设备需要提供3C证书；</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3.亮度均匀性：≥98%；亮度≥800cd/m²，0-100%任意可调； </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4.箱体间/模组间的相对错位值≤0.1mm，箱体间/模组间的拼缝与间隙≤0.1mm;</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5.采用前维护磁吸式结构,支持用户级模组前维护，可正面拆卸、安装灯板、接收卡、电源。支持模组、接收卡的带电维护、热插拔；</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6.模组、接收卡与主板采用接口硬连接设计，无排线，支持带电直接插拔，更换维修便捷；</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7.模组等低压器件多次带电热插拔测试后都能正常工作；</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8.单元箱体可以支持采用接收卡冗余热备份，自动转换，任意一接收卡出现故障而不影响产品正常显示</w:t>
            </w:r>
            <w:r>
              <w:rPr>
                <w:rFonts w:hint="eastAsia" w:ascii="宋体" w:hAnsi="宋体" w:cs="宋体"/>
                <w:kern w:val="0"/>
                <w:sz w:val="18"/>
                <w:szCs w:val="18"/>
                <w:highlight w:val="none"/>
              </w:rPr>
              <w:t>；</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9.支持通过配套软件0-100%多级调节，设置亮度定时调节，及通过亮度传感器自动调节（手动/自动/软件任意调节）支持HDR高动态范围图像技术显示；</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10.支持对图像清晰度、饱和度、色度调节、对比度、亮度进行综合式一键视觉修正，具备降噪、增强、运动补偿、色坐标色彩变换处理、钝化处理功能，支持HDR高动态范围图像技术显示。</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11.可以支持屏体多点测温：支持单个屏幕温度检测，针对大屏启动多点测温系统，均衡散热，防止局部温度过高造成色彩漂移</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12.显示屏具有防潮、防尘、防腐蚀、防虫、防燃烧、防静电、防电磁干扰等功能，并具有过流、短路、过压、欠压的保护和抗雷击、抗震抗风的功能</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13.产品箱体内的强电危险电压电路做好隔离绝缘保护处理，维修时不会接触到危险电压；</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14.产品在白平衡状态下点亮5分钟后的产品表面温度升幅≤10℃，点亮10分钟后其温度升幅≤20 ℃；</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rPr>
              <w:t>15.静音工作：在温度25℃、湿度40%RH 、大气压力100.2Kpa条件时，LED显示屏工作状态下要求距离产品四周的1m处最大噪声声压&lt;</w:t>
            </w:r>
            <w:r>
              <w:rPr>
                <w:rFonts w:hint="eastAsia" w:ascii="宋体" w:hAnsi="宋体" w:cs="宋体"/>
                <w:kern w:val="0"/>
                <w:sz w:val="18"/>
                <w:szCs w:val="18"/>
                <w:highlight w:val="none"/>
              </w:rPr>
              <w:t>2db；</w:t>
            </w:r>
          </w:p>
          <w:p>
            <w:pPr>
              <w:widowControl/>
              <w:spacing w:line="0" w:lineRule="atLeast"/>
              <w:ind w:firstLine="0" w:firstLineChars="0"/>
              <w:jc w:val="left"/>
              <w:rPr>
                <w:rFonts w:hint="eastAsia" w:ascii="宋体" w:hAnsi="宋体" w:cs="宋体" w:eastAsiaTheme="minorEastAsia"/>
                <w:kern w:val="0"/>
                <w:sz w:val="18"/>
                <w:szCs w:val="18"/>
                <w:highlight w:val="none"/>
                <w:lang w:val="en-US" w:eastAsia="zh-CN"/>
              </w:rPr>
            </w:pPr>
            <w:r>
              <w:rPr>
                <w:rFonts w:hint="eastAsia" w:ascii="宋体" w:hAnsi="宋体" w:cs="宋体"/>
                <w:kern w:val="0"/>
                <w:sz w:val="18"/>
                <w:szCs w:val="18"/>
                <w:highlight w:val="none"/>
              </w:rPr>
              <w:t>16.为保证显示屏亮度与色度不存在色差问题，LED显示屏厂家需具有LED高清小间距亮度与色度智能校正单元系统软件功能</w:t>
            </w:r>
            <w:r>
              <w:rPr>
                <w:rFonts w:hint="eastAsia" w:ascii="宋体" w:hAnsi="宋体" w:cs="宋体"/>
                <w:kern w:val="0"/>
                <w:sz w:val="18"/>
                <w:szCs w:val="18"/>
                <w:highlight w:val="none"/>
                <w:lang w:val="en-US" w:eastAsia="zh-CN"/>
              </w:rPr>
              <w:t>;</w:t>
            </w:r>
          </w:p>
          <w:p>
            <w:pPr>
              <w:widowControl/>
              <w:spacing w:line="0" w:lineRule="atLeast"/>
              <w:ind w:firstLine="0" w:firstLineChars="0"/>
              <w:jc w:val="left"/>
              <w:rPr>
                <w:rFonts w:ascii="宋体" w:hAnsi="宋体" w:cs="宋体"/>
                <w:sz w:val="18"/>
                <w:szCs w:val="18"/>
              </w:rPr>
            </w:pPr>
            <w:r>
              <w:rPr>
                <w:rFonts w:hint="eastAsia" w:ascii="宋体" w:hAnsi="宋体" w:cs="宋体"/>
                <w:kern w:val="0"/>
                <w:sz w:val="18"/>
                <w:szCs w:val="18"/>
                <w:highlight w:val="none"/>
              </w:rPr>
              <w:t xml:space="preserve">17.产品通过SGS标准的防火阻燃测试报告；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13.82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接收卡</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带载256x1024；输出:8xHUB320；RGB独立Gamma调节，mapping功能，配置文件一键还原，接收卡程序回读，小卡</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屏体结构制作安装</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6#槽钢和5#角铁</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包边</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80mm黑色拉丝不锈钢，外装饰包边满足LED高清显示屏的整体均匀平滑要求。</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拼接控制器（含软件）</w:t>
            </w:r>
          </w:p>
        </w:tc>
        <w:tc>
          <w:tcPr>
            <w:tcW w:w="10774" w:type="dxa"/>
            <w:shd w:val="clear" w:color="auto" w:fill="auto"/>
            <w:noWrap/>
            <w:vAlign w:val="center"/>
          </w:tcPr>
          <w:p>
            <w:pPr>
              <w:widowControl/>
              <w:spacing w:line="0" w:lineRule="atLeast"/>
              <w:jc w:val="left"/>
              <w:rPr>
                <w:rFonts w:ascii="宋体" w:hAnsi="宋体" w:cs="宋体"/>
                <w:color w:val="auto"/>
                <w:kern w:val="0"/>
                <w:sz w:val="18"/>
                <w:szCs w:val="18"/>
                <w:highlight w:val="none"/>
              </w:rPr>
            </w:pPr>
            <w:r>
              <w:rPr>
                <w:rFonts w:hint="eastAsia" w:ascii="宋体" w:hAnsi="宋体" w:cs="宋体"/>
                <w:kern w:val="0"/>
                <w:sz w:val="18"/>
                <w:szCs w:val="18"/>
              </w:rPr>
              <w:t>1、具有以多种不同LED矩形显示单元为基础的任意不规则拼接，具有每块LED显示单元自定义有效显示区。</w:t>
            </w:r>
            <w:r>
              <w:rPr>
                <w:rFonts w:hint="eastAsia" w:ascii="宋体" w:hAnsi="宋体" w:cs="宋体"/>
                <w:kern w:val="0"/>
                <w:sz w:val="18"/>
                <w:szCs w:val="18"/>
              </w:rPr>
              <w:br w:type="textWrapping"/>
            </w:r>
            <w:r>
              <w:rPr>
                <w:rFonts w:hint="eastAsia" w:ascii="宋体" w:hAnsi="宋体" w:cs="宋体"/>
                <w:kern w:val="0"/>
                <w:sz w:val="18"/>
                <w:szCs w:val="18"/>
              </w:rPr>
              <w:t>2、具有在</w:t>
            </w:r>
            <w:r>
              <w:rPr>
                <w:rFonts w:hint="eastAsia" w:ascii="宋体" w:hAnsi="宋体" w:cs="宋体"/>
                <w:color w:val="auto"/>
                <w:kern w:val="0"/>
                <w:sz w:val="18"/>
                <w:szCs w:val="18"/>
                <w:highlight w:val="none"/>
              </w:rPr>
              <w:t>任一输出通道打开多个窗口，显示图像内容。</w:t>
            </w:r>
            <w:r>
              <w:rPr>
                <w:rFonts w:hint="eastAsia" w:ascii="宋体" w:hAnsi="宋体" w:cs="宋体"/>
                <w:color w:val="auto"/>
                <w:kern w:val="0"/>
                <w:sz w:val="18"/>
                <w:szCs w:val="18"/>
                <w:highlight w:val="none"/>
              </w:rPr>
              <w:br w:type="textWrapping"/>
            </w:r>
            <w:r>
              <w:rPr>
                <w:rFonts w:hint="eastAsia" w:ascii="宋体" w:hAnsi="宋体" w:cs="宋体"/>
                <w:color w:val="auto"/>
                <w:kern w:val="0"/>
                <w:sz w:val="18"/>
                <w:szCs w:val="18"/>
                <w:highlight w:val="none"/>
              </w:rPr>
              <w:t>3、为提升信号显示效果，输入输出延迟低于2帧。</w:t>
            </w:r>
            <w:r>
              <w:rPr>
                <w:rFonts w:hint="eastAsia" w:ascii="宋体" w:hAnsi="宋体" w:cs="宋体"/>
                <w:color w:val="auto"/>
                <w:kern w:val="0"/>
                <w:sz w:val="18"/>
                <w:szCs w:val="18"/>
                <w:highlight w:val="none"/>
              </w:rPr>
              <w:br w:type="textWrapping"/>
            </w:r>
            <w:r>
              <w:rPr>
                <w:rFonts w:hint="eastAsia" w:ascii="宋体" w:hAnsi="宋体" w:cs="宋体"/>
                <w:color w:val="auto"/>
                <w:kern w:val="0"/>
                <w:sz w:val="18"/>
                <w:szCs w:val="18"/>
                <w:highlight w:val="none"/>
              </w:rPr>
              <w:t>3、具有已开窗窗口任意互相叠加。</w:t>
            </w:r>
          </w:p>
          <w:p>
            <w:pPr>
              <w:widowControl/>
              <w:spacing w:line="0" w:lineRule="atLeast"/>
              <w:ind w:firstLine="0" w:firstLineChars="0"/>
              <w:jc w:val="left"/>
              <w:rPr>
                <w:rFonts w:ascii="宋体" w:hAnsi="宋体" w:cs="宋体"/>
                <w:kern w:val="0"/>
                <w:sz w:val="18"/>
                <w:szCs w:val="18"/>
              </w:rPr>
            </w:pPr>
            <w:r>
              <w:rPr>
                <w:rFonts w:hint="eastAsia" w:ascii="宋体" w:hAnsi="宋体" w:cs="宋体"/>
                <w:color w:val="auto"/>
                <w:kern w:val="0"/>
                <w:sz w:val="18"/>
                <w:szCs w:val="18"/>
                <w:highlight w:val="none"/>
              </w:rPr>
              <w:t>4、具有窗口在多个输出通道共同显示区域内的位置任意移动。</w:t>
            </w:r>
            <w:r>
              <w:rPr>
                <w:rFonts w:hint="eastAsia" w:ascii="宋体" w:hAnsi="宋体" w:cs="宋体"/>
                <w:color w:val="auto"/>
                <w:kern w:val="0"/>
                <w:sz w:val="18"/>
                <w:szCs w:val="18"/>
                <w:highlight w:val="none"/>
              </w:rPr>
              <w:br w:type="textWrapping"/>
            </w:r>
            <w:r>
              <w:rPr>
                <w:rFonts w:hint="eastAsia" w:ascii="宋体" w:hAnsi="宋体" w:cs="宋体"/>
                <w:color w:val="auto"/>
                <w:kern w:val="0"/>
                <w:sz w:val="18"/>
                <w:szCs w:val="18"/>
                <w:highlight w:val="none"/>
              </w:rPr>
              <w:t>5、具有窗口大小改变，具有比例任意调整。</w:t>
            </w:r>
            <w:r>
              <w:rPr>
                <w:rFonts w:hint="eastAsia" w:ascii="宋体" w:hAnsi="宋体" w:cs="宋体"/>
                <w:color w:val="auto"/>
                <w:kern w:val="0"/>
                <w:sz w:val="18"/>
                <w:szCs w:val="18"/>
                <w:highlight w:val="none"/>
              </w:rPr>
              <w:br w:type="textWrapping"/>
            </w:r>
            <w:r>
              <w:rPr>
                <w:rFonts w:hint="eastAsia" w:ascii="宋体" w:hAnsi="宋体" w:cs="宋体"/>
                <w:color w:val="auto"/>
                <w:kern w:val="0"/>
                <w:sz w:val="18"/>
                <w:szCs w:val="18"/>
                <w:highlight w:val="none"/>
              </w:rPr>
              <w:t>6、图像信号无压缩、无失真传输。</w:t>
            </w:r>
            <w:r>
              <w:rPr>
                <w:rFonts w:hint="eastAsia" w:ascii="宋体" w:hAnsi="宋体" w:cs="宋体"/>
                <w:kern w:val="0"/>
                <w:sz w:val="18"/>
                <w:szCs w:val="18"/>
              </w:rPr>
              <w:br w:type="textWrapping"/>
            </w:r>
            <w:r>
              <w:rPr>
                <w:rFonts w:hint="eastAsia" w:ascii="宋体" w:hAnsi="宋体" w:cs="宋体"/>
                <w:kern w:val="0"/>
                <w:sz w:val="18"/>
                <w:szCs w:val="18"/>
              </w:rPr>
              <w:t>7、具有整墙画面拼接同步显示功能，快速移动画面无撕裂、错位现象。</w:t>
            </w:r>
            <w:r>
              <w:rPr>
                <w:rFonts w:hint="eastAsia" w:ascii="宋体" w:hAnsi="宋体" w:cs="宋体"/>
                <w:kern w:val="0"/>
                <w:sz w:val="18"/>
                <w:szCs w:val="18"/>
              </w:rPr>
              <w:br w:type="textWrapping"/>
            </w:r>
            <w:r>
              <w:rPr>
                <w:rFonts w:hint="eastAsia" w:ascii="宋体" w:hAnsi="宋体" w:cs="宋体"/>
                <w:kern w:val="0"/>
                <w:sz w:val="18"/>
                <w:szCs w:val="18"/>
              </w:rPr>
              <w:t>8、具有图像无缝切换功能，图像切换无黑场现象，切换时间&lt;20ms。</w:t>
            </w:r>
            <w:r>
              <w:rPr>
                <w:rFonts w:hint="eastAsia" w:ascii="宋体" w:hAnsi="宋体" w:cs="宋体"/>
                <w:kern w:val="0"/>
                <w:sz w:val="18"/>
                <w:szCs w:val="18"/>
              </w:rPr>
              <w:br w:type="textWrapping"/>
            </w:r>
            <w:r>
              <w:rPr>
                <w:rFonts w:hint="eastAsia" w:ascii="宋体" w:hAnsi="宋体" w:cs="宋体"/>
                <w:kern w:val="0"/>
                <w:sz w:val="18"/>
                <w:szCs w:val="18"/>
              </w:rPr>
              <w:t>9、开机时间≤10s（启动电源至输出最终画面的时间间隔）</w:t>
            </w:r>
            <w:r>
              <w:rPr>
                <w:rFonts w:hint="eastAsia" w:ascii="宋体" w:hAnsi="宋体" w:cs="宋体"/>
                <w:kern w:val="0"/>
                <w:sz w:val="18"/>
                <w:szCs w:val="18"/>
              </w:rPr>
              <w:br w:type="textWrapping"/>
            </w:r>
            <w:r>
              <w:rPr>
                <w:rFonts w:hint="eastAsia" w:ascii="宋体" w:hAnsi="宋体" w:cs="宋体"/>
                <w:kern w:val="0"/>
                <w:sz w:val="18"/>
                <w:szCs w:val="18"/>
              </w:rPr>
              <w:t>10、最大单机背板带宽不小于900Gbps，单路信号带宽不少于3Gbps</w:t>
            </w:r>
            <w:r>
              <w:rPr>
                <w:rFonts w:hint="eastAsia" w:ascii="宋体" w:hAnsi="宋体" w:cs="宋体"/>
                <w:kern w:val="0"/>
                <w:sz w:val="18"/>
                <w:szCs w:val="18"/>
              </w:rPr>
              <w:br w:type="textWrapping"/>
            </w:r>
            <w:r>
              <w:rPr>
                <w:rFonts w:hint="eastAsia" w:ascii="宋体" w:hAnsi="宋体" w:cs="宋体"/>
                <w:kern w:val="0"/>
                <w:sz w:val="18"/>
                <w:szCs w:val="18"/>
              </w:rPr>
              <w:t>11、具有8路HDMI或路DVI输入，4路DVI输出。</w:t>
            </w:r>
            <w:r>
              <w:rPr>
                <w:rFonts w:hint="eastAsia" w:ascii="宋体" w:hAnsi="宋体" w:cs="宋体"/>
                <w:kern w:val="0"/>
                <w:sz w:val="18"/>
                <w:szCs w:val="18"/>
              </w:rPr>
              <w:br w:type="textWrapping"/>
            </w:r>
            <w:r>
              <w:rPr>
                <w:rFonts w:hint="eastAsia" w:ascii="宋体" w:hAnsi="宋体" w:cs="宋体"/>
                <w:kern w:val="0"/>
                <w:sz w:val="18"/>
                <w:szCs w:val="18"/>
              </w:rPr>
              <w:t>12、具有信号源、操作视频信号实时预览监看，拼接布局实时预览。</w:t>
            </w:r>
            <w:r>
              <w:rPr>
                <w:rFonts w:hint="eastAsia" w:ascii="宋体" w:hAnsi="宋体" w:cs="宋体"/>
                <w:kern w:val="0"/>
                <w:sz w:val="18"/>
                <w:szCs w:val="18"/>
              </w:rPr>
              <w:br w:type="textWrapping"/>
            </w:r>
            <w:r>
              <w:rPr>
                <w:rFonts w:hint="eastAsia" w:ascii="宋体" w:hAnsi="宋体" w:cs="宋体"/>
                <w:kern w:val="0"/>
                <w:sz w:val="18"/>
                <w:szCs w:val="18"/>
              </w:rPr>
              <w:t>13、具有输出通道测试，可输出不少于7种测试色及网格图像，对显示设备进行测试。</w:t>
            </w:r>
            <w:r>
              <w:rPr>
                <w:rFonts w:hint="eastAsia" w:ascii="宋体" w:hAnsi="宋体" w:cs="宋体"/>
                <w:kern w:val="0"/>
                <w:sz w:val="18"/>
                <w:szCs w:val="18"/>
              </w:rPr>
              <w:br w:type="textWrapping"/>
            </w:r>
            <w:r>
              <w:rPr>
                <w:rFonts w:hint="eastAsia" w:ascii="宋体" w:hAnsi="宋体" w:cs="宋体"/>
                <w:kern w:val="0"/>
                <w:sz w:val="18"/>
                <w:szCs w:val="18"/>
              </w:rPr>
              <w:t>14、具有RRTA分辨率实时全兼容技术。</w:t>
            </w:r>
            <w:r>
              <w:rPr>
                <w:rFonts w:hint="eastAsia" w:ascii="宋体" w:hAnsi="宋体" w:cs="宋体"/>
                <w:kern w:val="0"/>
                <w:sz w:val="18"/>
                <w:szCs w:val="18"/>
              </w:rPr>
              <w:br w:type="textWrapping"/>
            </w:r>
            <w:r>
              <w:rPr>
                <w:rFonts w:hint="eastAsia" w:ascii="宋体" w:hAnsi="宋体" w:cs="宋体"/>
                <w:kern w:val="0"/>
                <w:sz w:val="18"/>
                <w:szCs w:val="18"/>
              </w:rPr>
              <w:t>15、平均无故障时间 &gt;90000小时</w:t>
            </w:r>
            <w:r>
              <w:rPr>
                <w:rFonts w:hint="eastAsia" w:ascii="宋体" w:hAnsi="宋体" w:cs="宋体"/>
                <w:kern w:val="0"/>
                <w:sz w:val="18"/>
                <w:szCs w:val="18"/>
              </w:rPr>
              <w:br w:type="textWrapping"/>
            </w:r>
            <w:r>
              <w:rPr>
                <w:rFonts w:hint="eastAsia" w:ascii="宋体" w:hAnsi="宋体" w:cs="宋体"/>
                <w:kern w:val="0"/>
                <w:sz w:val="18"/>
                <w:szCs w:val="18"/>
              </w:rPr>
              <w:t>16、单台设备功耗小于500W。</w:t>
            </w:r>
            <w:r>
              <w:rPr>
                <w:rFonts w:hint="eastAsia" w:ascii="宋体" w:hAnsi="宋体" w:cs="宋体"/>
                <w:kern w:val="0"/>
                <w:sz w:val="18"/>
                <w:szCs w:val="18"/>
              </w:rPr>
              <w:br w:type="textWrapping"/>
            </w:r>
            <w:r>
              <w:rPr>
                <w:rFonts w:hint="eastAsia" w:ascii="宋体" w:hAnsi="宋体" w:cs="宋体"/>
                <w:kern w:val="0"/>
                <w:sz w:val="18"/>
                <w:szCs w:val="18"/>
              </w:rPr>
              <w:t>17、通过自主可控、高安全等级的可信操作系统中标麒麟操作系统认证</w:t>
            </w:r>
            <w:r>
              <w:rPr>
                <w:rFonts w:hint="eastAsia" w:ascii="宋体" w:hAnsi="宋体" w:cs="宋体"/>
                <w:kern w:val="0"/>
                <w:sz w:val="18"/>
                <w:szCs w:val="18"/>
                <w:lang w:eastAsia="zh-CN"/>
              </w:rPr>
              <w:t>；</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配电柜</w:t>
            </w:r>
          </w:p>
        </w:tc>
        <w:tc>
          <w:tcPr>
            <w:tcW w:w="10774" w:type="dxa"/>
            <w:shd w:val="clear" w:color="auto" w:fill="auto"/>
            <w:noWrap/>
            <w:vAlign w:val="center"/>
          </w:tcPr>
          <w:p>
            <w:pPr>
              <w:widowControl/>
              <w:numPr>
                <w:ilvl w:val="0"/>
                <w:numId w:val="16"/>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类型：10KW配电柜</w:t>
            </w:r>
            <w:r>
              <w:rPr>
                <w:rFonts w:hint="eastAsia" w:ascii="宋体" w:hAnsi="宋体" w:cs="宋体"/>
                <w:kern w:val="0"/>
                <w:sz w:val="18"/>
                <w:szCs w:val="18"/>
              </w:rPr>
              <w:br w:type="textWrapping"/>
            </w:r>
            <w:r>
              <w:rPr>
                <w:rFonts w:hint="eastAsia" w:ascii="宋体" w:hAnsi="宋体" w:cs="宋体"/>
                <w:kern w:val="0"/>
                <w:sz w:val="18"/>
                <w:szCs w:val="18"/>
              </w:rPr>
              <w:t>2</w:t>
            </w:r>
            <w:r>
              <w:rPr>
                <w:rFonts w:ascii="宋体" w:hAnsi="宋体" w:cs="宋体"/>
                <w:kern w:val="0"/>
                <w:sz w:val="18"/>
                <w:szCs w:val="18"/>
              </w:rPr>
              <w:t>、</w:t>
            </w:r>
            <w:r>
              <w:rPr>
                <w:rFonts w:hint="eastAsia" w:ascii="宋体" w:hAnsi="宋体" w:cs="宋体"/>
                <w:kern w:val="0"/>
                <w:sz w:val="18"/>
                <w:szCs w:val="18"/>
              </w:rPr>
              <w:t>控制：PLC控制器，网络远程控制</w:t>
            </w:r>
            <w:r>
              <w:rPr>
                <w:rFonts w:hint="eastAsia" w:ascii="宋体" w:hAnsi="宋体" w:cs="宋体"/>
                <w:kern w:val="0"/>
                <w:sz w:val="18"/>
                <w:szCs w:val="18"/>
              </w:rPr>
              <w:br w:type="textWrapping"/>
            </w:r>
            <w:r>
              <w:rPr>
                <w:rFonts w:hint="eastAsia" w:ascii="宋体" w:hAnsi="宋体" w:cs="宋体"/>
                <w:kern w:val="0"/>
                <w:sz w:val="18"/>
                <w:szCs w:val="18"/>
              </w:rPr>
              <w:t>3</w:t>
            </w:r>
            <w:r>
              <w:rPr>
                <w:rFonts w:ascii="宋体" w:hAnsi="宋体" w:cs="宋体"/>
                <w:kern w:val="0"/>
                <w:sz w:val="18"/>
                <w:szCs w:val="18"/>
              </w:rPr>
              <w:t>、</w:t>
            </w:r>
            <w:r>
              <w:rPr>
                <w:rFonts w:hint="eastAsia" w:ascii="宋体" w:hAnsi="宋体" w:cs="宋体"/>
                <w:kern w:val="0"/>
                <w:sz w:val="18"/>
                <w:szCs w:val="18"/>
              </w:rPr>
              <w:t>元器件：断路器，接触器</w:t>
            </w:r>
            <w:r>
              <w:rPr>
                <w:rFonts w:hint="eastAsia" w:ascii="宋体" w:hAnsi="宋体" w:cs="宋体"/>
                <w:kern w:val="0"/>
                <w:sz w:val="18"/>
                <w:szCs w:val="18"/>
              </w:rPr>
              <w:br w:type="textWrapping"/>
            </w:r>
            <w:r>
              <w:rPr>
                <w:rFonts w:hint="eastAsia" w:ascii="宋体" w:hAnsi="宋体" w:cs="宋体"/>
                <w:kern w:val="0"/>
                <w:sz w:val="18"/>
                <w:szCs w:val="18"/>
              </w:rPr>
              <w:t>4</w:t>
            </w:r>
            <w:r>
              <w:rPr>
                <w:rFonts w:ascii="宋体" w:hAnsi="宋体" w:cs="宋体"/>
                <w:kern w:val="0"/>
                <w:sz w:val="18"/>
                <w:szCs w:val="18"/>
              </w:rPr>
              <w:t>、</w:t>
            </w:r>
            <w:r>
              <w:rPr>
                <w:rFonts w:hint="eastAsia" w:ascii="宋体" w:hAnsi="宋体" w:cs="宋体"/>
                <w:kern w:val="0"/>
                <w:sz w:val="18"/>
                <w:szCs w:val="18"/>
              </w:rPr>
              <w:t>输入电压：380V</w:t>
            </w:r>
            <w:r>
              <w:rPr>
                <w:rFonts w:hint="eastAsia" w:ascii="宋体" w:hAnsi="宋体" w:cs="宋体"/>
                <w:kern w:val="0"/>
                <w:sz w:val="18"/>
                <w:szCs w:val="18"/>
              </w:rPr>
              <w:br w:type="textWrapping"/>
            </w:r>
            <w:r>
              <w:rPr>
                <w:rFonts w:hint="eastAsia" w:ascii="宋体" w:hAnsi="宋体" w:cs="宋体"/>
                <w:kern w:val="0"/>
                <w:sz w:val="18"/>
                <w:szCs w:val="18"/>
              </w:rPr>
              <w:t>5</w:t>
            </w:r>
            <w:r>
              <w:rPr>
                <w:rFonts w:ascii="宋体" w:hAnsi="宋体" w:cs="宋体"/>
                <w:kern w:val="0"/>
                <w:sz w:val="18"/>
                <w:szCs w:val="18"/>
              </w:rPr>
              <w:t>、</w:t>
            </w:r>
            <w:r>
              <w:rPr>
                <w:rFonts w:hint="eastAsia" w:ascii="宋体" w:hAnsi="宋体" w:cs="宋体"/>
                <w:kern w:val="0"/>
                <w:sz w:val="18"/>
                <w:szCs w:val="18"/>
              </w:rPr>
              <w:t>输出电压：220V</w:t>
            </w:r>
            <w:r>
              <w:rPr>
                <w:rFonts w:hint="eastAsia" w:ascii="宋体" w:hAnsi="宋体" w:cs="宋体"/>
                <w:kern w:val="0"/>
                <w:sz w:val="18"/>
                <w:szCs w:val="18"/>
              </w:rPr>
              <w:br w:type="textWrapping"/>
            </w:r>
            <w:r>
              <w:rPr>
                <w:rFonts w:hint="eastAsia" w:ascii="宋体" w:hAnsi="宋体" w:cs="宋体"/>
                <w:kern w:val="0"/>
                <w:sz w:val="18"/>
                <w:szCs w:val="18"/>
              </w:rPr>
              <w:t>6</w:t>
            </w:r>
            <w:r>
              <w:rPr>
                <w:rFonts w:ascii="宋体" w:hAnsi="宋体" w:cs="宋体"/>
                <w:kern w:val="0"/>
                <w:sz w:val="18"/>
                <w:szCs w:val="18"/>
              </w:rPr>
              <w:t>、</w:t>
            </w:r>
            <w:r>
              <w:rPr>
                <w:rFonts w:hint="eastAsia" w:ascii="宋体" w:hAnsi="宋体" w:cs="宋体"/>
                <w:kern w:val="0"/>
                <w:sz w:val="18"/>
                <w:szCs w:val="18"/>
              </w:rPr>
              <w:t>输出回路：3个单向</w:t>
            </w:r>
            <w:r>
              <w:rPr>
                <w:rFonts w:hint="eastAsia" w:ascii="宋体" w:hAnsi="宋体" w:cs="宋体"/>
                <w:kern w:val="0"/>
                <w:sz w:val="18"/>
                <w:szCs w:val="18"/>
              </w:rPr>
              <w:br w:type="textWrapping"/>
            </w:r>
            <w:r>
              <w:rPr>
                <w:rFonts w:hint="eastAsia" w:ascii="宋体" w:hAnsi="宋体" w:cs="宋体"/>
                <w:kern w:val="0"/>
                <w:sz w:val="18"/>
                <w:szCs w:val="18"/>
              </w:rPr>
              <w:t>7</w:t>
            </w:r>
            <w:r>
              <w:rPr>
                <w:rFonts w:ascii="宋体" w:hAnsi="宋体" w:cs="宋体"/>
                <w:kern w:val="0"/>
                <w:sz w:val="18"/>
                <w:szCs w:val="18"/>
              </w:rPr>
              <w:t>、</w:t>
            </w:r>
            <w:r>
              <w:rPr>
                <w:rFonts w:hint="eastAsia" w:ascii="宋体" w:hAnsi="宋体" w:cs="宋体"/>
                <w:kern w:val="0"/>
                <w:sz w:val="18"/>
                <w:szCs w:val="18"/>
              </w:rPr>
              <w:t xml:space="preserve">尺寸：450*600*200                                       </w:t>
            </w:r>
          </w:p>
          <w:p>
            <w:pPr>
              <w:widowControl/>
              <w:spacing w:line="0" w:lineRule="atLeast"/>
              <w:ind w:firstLine="0" w:firstLineChars="0"/>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峰值电流影响，分路供电，时序控制。防护功能：具有防静电、抗震动、防电磁干扰、抗雷击等功能，具有电源过压、过流、断电保护、分布上电措施，具有实时监控温度、故障报警功能。</w:t>
            </w:r>
            <w:r>
              <w:rPr>
                <w:rFonts w:hint="eastAsia" w:ascii="宋体" w:hAnsi="宋体" w:cs="宋体"/>
                <w:kern w:val="0"/>
                <w:sz w:val="18"/>
                <w:szCs w:val="18"/>
              </w:rPr>
              <w:br w:type="textWrapping"/>
            </w:r>
            <w:r>
              <w:rPr>
                <w:rFonts w:ascii="宋体" w:hAnsi="宋体" w:cs="宋体"/>
                <w:kern w:val="0"/>
                <w:sz w:val="18"/>
                <w:szCs w:val="18"/>
              </w:rPr>
              <w:t>9、</w:t>
            </w:r>
            <w:r>
              <w:rPr>
                <w:rFonts w:hint="eastAsia" w:ascii="宋体" w:hAnsi="宋体" w:cs="宋体"/>
                <w:kern w:val="0"/>
                <w:sz w:val="18"/>
                <w:szCs w:val="18"/>
              </w:rPr>
              <w:t>支持PLC控制，支持接入到集中控制系统，提供接入方式与控制协议，支持大屏设备通断电控制。</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大屏专用线缆</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满足现场使用需求的专用线缆（高清线缆、数据排线等）</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操作台</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六联操作台（含椅子）</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操作电脑</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 I5-9500/8G/1T+256GSSD/DVDRW/2G独显/DOS/21.5WLED/15L机箱</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高配操作电脑</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color w:val="000000" w:themeColor="text1"/>
                <w:kern w:val="0"/>
                <w:sz w:val="18"/>
                <w:szCs w:val="18"/>
                <w14:textFill>
                  <w14:solidFill>
                    <w14:schemeClr w14:val="tx1"/>
                  </w14:solidFill>
                </w14:textFill>
              </w:rPr>
              <w:t xml:space="preserve">i7-11700F/16G/512G/1660S 6G独显/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显示器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34寸IPS/4K/带鱼屏21:9/75HZ/DP/HDMI/升降旋转</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（二）扩音系统</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（二）扩音系统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一拖二无线主机</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1.拥有两通道接收信号,每通道200个信道可选，UHF频段传输信号，频率范围：500MHz-900MHz；</w:t>
            </w:r>
            <w:r>
              <w:rPr>
                <w:rFonts w:hint="eastAsia" w:ascii="宋体" w:hAnsi="宋体" w:cs="宋体"/>
                <w:kern w:val="0"/>
                <w:sz w:val="18"/>
                <w:szCs w:val="18"/>
              </w:rPr>
              <w:br w:type="textWrapping"/>
            </w:r>
            <w:r>
              <w:rPr>
                <w:rFonts w:hint="eastAsia" w:ascii="宋体" w:hAnsi="宋体" w:cs="宋体"/>
                <w:kern w:val="0"/>
                <w:sz w:val="18"/>
                <w:szCs w:val="18"/>
              </w:rPr>
              <w:t>2.实现同一发射可在两个通道400个信道中互通互用，采用红外自动对频技术，锁相环频率合成振荡方式；</w:t>
            </w:r>
            <w:r>
              <w:rPr>
                <w:rFonts w:hint="eastAsia" w:ascii="宋体" w:hAnsi="宋体" w:cs="宋体"/>
                <w:kern w:val="0"/>
                <w:sz w:val="18"/>
                <w:szCs w:val="18"/>
              </w:rPr>
              <w:br w:type="textWrapping"/>
            </w:r>
            <w:r>
              <w:rPr>
                <w:rFonts w:hint="eastAsia" w:ascii="宋体" w:hAnsi="宋体" w:cs="宋体"/>
                <w:kern w:val="0"/>
                <w:sz w:val="18"/>
                <w:szCs w:val="18"/>
              </w:rPr>
              <w:t>3.设置2条橡胶接收天线，增强接收的信号，设有2个独立SQ电位器、2个平衡输出和1个混合非平衡输出；</w:t>
            </w:r>
            <w:r>
              <w:rPr>
                <w:rFonts w:hint="eastAsia" w:ascii="宋体" w:hAnsi="宋体" w:cs="宋体"/>
                <w:kern w:val="0"/>
                <w:sz w:val="18"/>
                <w:szCs w:val="18"/>
              </w:rPr>
              <w:br w:type="textWrapping"/>
            </w:r>
            <w:r>
              <w:rPr>
                <w:rFonts w:hint="eastAsia" w:ascii="宋体" w:hAnsi="宋体" w:cs="宋体"/>
                <w:kern w:val="0"/>
                <w:sz w:val="18"/>
                <w:szCs w:val="18"/>
              </w:rPr>
              <w:t>4.同一场合可供40套机同时使用，即可同时使用40台接收机和80个发射器，每通道设有独立窗口；</w:t>
            </w:r>
            <w:r>
              <w:rPr>
                <w:rFonts w:hint="eastAsia" w:ascii="宋体" w:hAnsi="宋体" w:cs="宋体"/>
                <w:kern w:val="0"/>
                <w:sz w:val="18"/>
                <w:szCs w:val="18"/>
              </w:rPr>
              <w:br w:type="textWrapping"/>
            </w:r>
            <w:r>
              <w:rPr>
                <w:rFonts w:hint="eastAsia" w:ascii="宋体" w:hAnsi="宋体" w:cs="宋体"/>
                <w:kern w:val="0"/>
                <w:sz w:val="18"/>
                <w:szCs w:val="18"/>
              </w:rPr>
              <w:t>5.各通道配备独立的音量调节旋钮、红外对频信号灯、一键对频按键、频率前后调节按键、通道电源开关按键；</w:t>
            </w:r>
            <w:r>
              <w:rPr>
                <w:rFonts w:hint="eastAsia" w:ascii="宋体" w:hAnsi="宋体" w:cs="宋体"/>
                <w:kern w:val="0"/>
                <w:sz w:val="18"/>
                <w:szCs w:val="18"/>
              </w:rPr>
              <w:br w:type="textWrapping"/>
            </w:r>
            <w:r>
              <w:rPr>
                <w:rFonts w:hint="eastAsia" w:ascii="宋体" w:hAnsi="宋体" w:cs="宋体"/>
                <w:kern w:val="0"/>
                <w:sz w:val="18"/>
                <w:szCs w:val="18"/>
              </w:rPr>
              <w:t>6.振荡方式:锁相环频率合成，频率范围：UHF500MHz～900MHz，频率稳定性：±0.001%，最大频率偏：±50KHz；</w:t>
            </w:r>
            <w:r>
              <w:rPr>
                <w:rFonts w:hint="eastAsia" w:ascii="宋体" w:hAnsi="宋体" w:cs="宋体"/>
                <w:kern w:val="0"/>
                <w:sz w:val="18"/>
                <w:szCs w:val="18"/>
              </w:rPr>
              <w:br w:type="textWrapping"/>
            </w:r>
            <w:r>
              <w:rPr>
                <w:rFonts w:hint="eastAsia" w:ascii="宋体" w:hAnsi="宋体" w:cs="宋体"/>
                <w:kern w:val="0"/>
                <w:sz w:val="18"/>
                <w:szCs w:val="18"/>
              </w:rPr>
              <w:t xml:space="preserve">7.FM调制方式，信噪比&gt;105dB，失真度&lt;0.5%@1KHz，灵敏度1.2/UV @S/N=12dB，音频输出：独立0～400mV、混合0～300mV；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无线手持话筒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1.载波频率：UHF 500MHz～900MHz，频率稳定度：±25KHz，信噪比：&gt;105dB；</w:t>
            </w:r>
            <w:r>
              <w:rPr>
                <w:rFonts w:hint="eastAsia" w:ascii="宋体" w:hAnsi="宋体" w:cs="宋体"/>
                <w:kern w:val="0"/>
                <w:sz w:val="18"/>
                <w:szCs w:val="18"/>
              </w:rPr>
              <w:br w:type="textWrapping"/>
            </w:r>
            <w:r>
              <w:rPr>
                <w:rFonts w:hint="eastAsia" w:ascii="宋体" w:hAnsi="宋体" w:cs="宋体"/>
                <w:kern w:val="0"/>
                <w:sz w:val="18"/>
                <w:szCs w:val="18"/>
              </w:rPr>
              <w:t>2.邻频干扰比：&gt;80dB，动态范围：≥100dB，类型：动圈式，单一指向性；</w:t>
            </w:r>
            <w:r>
              <w:rPr>
                <w:rFonts w:hint="eastAsia" w:ascii="宋体" w:hAnsi="宋体" w:cs="宋体"/>
                <w:kern w:val="0"/>
                <w:sz w:val="18"/>
                <w:szCs w:val="18"/>
              </w:rPr>
              <w:br w:type="textWrapping"/>
            </w:r>
            <w:r>
              <w:rPr>
                <w:rFonts w:hint="eastAsia" w:ascii="宋体" w:hAnsi="宋体" w:cs="宋体"/>
                <w:kern w:val="0"/>
                <w:sz w:val="18"/>
                <w:szCs w:val="18"/>
              </w:rPr>
              <w:t>3.频率响应：40Hz～20KHz，话筒灵敏度：-45±2dB@1KHz，话筒耗电量：100mA。</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无线头戴话筒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1.载波频率：UHF 500MHz～900MHz，频率稳定度：±25KHz，信噪比：&gt;105dB；</w:t>
            </w:r>
            <w:r>
              <w:rPr>
                <w:rFonts w:hint="eastAsia" w:ascii="宋体" w:hAnsi="宋体" w:cs="宋体"/>
                <w:kern w:val="0"/>
                <w:sz w:val="18"/>
                <w:szCs w:val="18"/>
              </w:rPr>
              <w:br w:type="textWrapping"/>
            </w:r>
            <w:r>
              <w:rPr>
                <w:rFonts w:hint="eastAsia" w:ascii="宋体" w:hAnsi="宋体" w:cs="宋体"/>
                <w:kern w:val="0"/>
                <w:sz w:val="18"/>
                <w:szCs w:val="18"/>
              </w:rPr>
              <w:t>2.邻频干扰比：&gt;80dB，动态范围：≥100dB，类型：电容式，单一指向性；</w:t>
            </w:r>
            <w:r>
              <w:rPr>
                <w:rFonts w:hint="eastAsia" w:ascii="宋体" w:hAnsi="宋体" w:cs="宋体"/>
                <w:kern w:val="0"/>
                <w:sz w:val="18"/>
                <w:szCs w:val="18"/>
              </w:rPr>
              <w:br w:type="textWrapping"/>
            </w:r>
            <w:r>
              <w:rPr>
                <w:rFonts w:hint="eastAsia" w:ascii="宋体" w:hAnsi="宋体" w:cs="宋体"/>
                <w:kern w:val="0"/>
                <w:sz w:val="18"/>
                <w:szCs w:val="18"/>
              </w:rPr>
              <w:t>3.频率响应：40Hz～20KHz，话筒灵敏度：-45±2dB@1KHz，内置锂电池3.7V，话筒耗电量：100mA。</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6.5寸全频扬声器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1.高密度纤维板全频扬声器</w:t>
            </w:r>
            <w:r>
              <w:rPr>
                <w:rFonts w:hint="eastAsia" w:ascii="宋体" w:hAnsi="宋体" w:cs="宋体"/>
                <w:kern w:val="0"/>
                <w:sz w:val="18"/>
                <w:szCs w:val="18"/>
              </w:rPr>
              <w:br w:type="textWrapping"/>
            </w:r>
            <w:r>
              <w:rPr>
                <w:rFonts w:hint="eastAsia" w:ascii="宋体" w:hAnsi="宋体" w:cs="宋体"/>
                <w:kern w:val="0"/>
                <w:sz w:val="18"/>
                <w:szCs w:val="18"/>
              </w:rPr>
              <w:t>2.单元组成：LF：1*6.5"低音单元/HF：2*3"高音单元</w:t>
            </w:r>
            <w:r>
              <w:rPr>
                <w:rFonts w:hint="eastAsia" w:ascii="宋体" w:hAnsi="宋体" w:cs="宋体"/>
                <w:kern w:val="0"/>
                <w:sz w:val="18"/>
                <w:szCs w:val="18"/>
              </w:rPr>
              <w:br w:type="textWrapping"/>
            </w:r>
            <w:r>
              <w:rPr>
                <w:rFonts w:hint="eastAsia" w:ascii="宋体" w:hAnsi="宋体" w:cs="宋体"/>
                <w:kern w:val="0"/>
                <w:sz w:val="18"/>
                <w:szCs w:val="18"/>
              </w:rPr>
              <w:t>3.额定功率：150W/8Ω</w:t>
            </w:r>
            <w:r>
              <w:rPr>
                <w:rFonts w:hint="eastAsia" w:ascii="宋体" w:hAnsi="宋体" w:cs="宋体"/>
                <w:kern w:val="0"/>
                <w:sz w:val="18"/>
                <w:szCs w:val="18"/>
              </w:rPr>
              <w:br w:type="textWrapping"/>
            </w:r>
            <w:r>
              <w:rPr>
                <w:rFonts w:hint="eastAsia" w:ascii="宋体" w:hAnsi="宋体" w:cs="宋体"/>
                <w:kern w:val="0"/>
                <w:sz w:val="18"/>
                <w:szCs w:val="18"/>
              </w:rPr>
              <w:t>4.覆盖角度：90°水平*90°垂直</w:t>
            </w:r>
            <w:r>
              <w:rPr>
                <w:rFonts w:hint="eastAsia" w:ascii="宋体" w:hAnsi="宋体" w:cs="宋体"/>
                <w:kern w:val="0"/>
                <w:sz w:val="18"/>
                <w:szCs w:val="18"/>
              </w:rPr>
              <w:br w:type="textWrapping"/>
            </w:r>
            <w:r>
              <w:rPr>
                <w:rFonts w:hint="eastAsia" w:ascii="宋体" w:hAnsi="宋体" w:cs="宋体"/>
                <w:kern w:val="0"/>
                <w:sz w:val="18"/>
                <w:szCs w:val="18"/>
              </w:rPr>
              <w:t>5.频率范围：100Hz-19KHz</w:t>
            </w:r>
            <w:r>
              <w:rPr>
                <w:rFonts w:hint="eastAsia" w:ascii="宋体" w:hAnsi="宋体" w:cs="宋体"/>
                <w:kern w:val="0"/>
                <w:sz w:val="18"/>
                <w:szCs w:val="18"/>
              </w:rPr>
              <w:br w:type="textWrapping"/>
            </w:r>
            <w:r>
              <w:rPr>
                <w:rFonts w:hint="eastAsia" w:ascii="宋体" w:hAnsi="宋体" w:cs="宋体"/>
                <w:kern w:val="0"/>
                <w:sz w:val="18"/>
                <w:szCs w:val="18"/>
              </w:rPr>
              <w:t>6.灵敏度(1m/1W)：95dB</w:t>
            </w:r>
            <w:r>
              <w:rPr>
                <w:rFonts w:hint="eastAsia" w:ascii="宋体" w:hAnsi="宋体" w:cs="宋体"/>
                <w:kern w:val="0"/>
                <w:sz w:val="18"/>
                <w:szCs w:val="18"/>
              </w:rPr>
              <w:br w:type="textWrapping"/>
            </w:r>
            <w:r>
              <w:rPr>
                <w:rFonts w:hint="eastAsia" w:ascii="宋体" w:hAnsi="宋体" w:cs="宋体"/>
                <w:kern w:val="0"/>
                <w:sz w:val="18"/>
                <w:szCs w:val="18"/>
              </w:rPr>
              <w:t>7.最大声压级：120dB</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ascii="宋体" w:hAnsi="宋体" w:cs="宋体"/>
                <w:kern w:val="0"/>
                <w:sz w:val="18"/>
                <w:szCs w:val="18"/>
              </w:rPr>
              <w:t>16</w:t>
            </w:r>
            <w:r>
              <w:rPr>
                <w:rFonts w:hint="eastAsia" w:ascii="宋体" w:hAnsi="宋体" w:cs="宋体"/>
                <w:kern w:val="0"/>
                <w:sz w:val="18"/>
                <w:szCs w:val="18"/>
              </w:rPr>
              <w:t>路调音台</w:t>
            </w:r>
          </w:p>
        </w:tc>
        <w:tc>
          <w:tcPr>
            <w:tcW w:w="10774" w:type="dxa"/>
            <w:shd w:val="clear" w:color="auto" w:fill="auto"/>
            <w:noWrap/>
            <w:vAlign w:val="center"/>
          </w:tcPr>
          <w:p>
            <w:pPr>
              <w:widowControl/>
              <w:spacing w:line="0" w:lineRule="atLeast"/>
              <w:ind w:firstLine="0" w:firstLineChars="0"/>
              <w:jc w:val="left"/>
              <w:rPr>
                <w:rFonts w:ascii="宋体" w:hAnsi="宋体"/>
                <w:color w:val="000000"/>
                <w:sz w:val="18"/>
                <w:szCs w:val="18"/>
              </w:rPr>
            </w:pPr>
            <w:r>
              <w:rPr>
                <w:rFonts w:ascii="宋体" w:hAnsi="宋体"/>
                <w:color w:val="000000"/>
                <w:sz w:val="18"/>
                <w:szCs w:val="18"/>
              </w:rPr>
              <w:t>1.</w:t>
            </w:r>
            <w:r>
              <w:rPr>
                <w:rFonts w:hint="eastAsia" w:ascii="宋体" w:hAnsi="宋体"/>
                <w:color w:val="000000"/>
                <w:sz w:val="18"/>
                <w:szCs w:val="18"/>
              </w:rPr>
              <w:t>10个话筒 / 16个线路输入 (8个单声道 + 4个立体声)</w:t>
            </w:r>
            <w:r>
              <w:rPr>
                <w:rFonts w:hint="eastAsia" w:ascii="宋体" w:hAnsi="宋体"/>
                <w:color w:val="000000"/>
                <w:sz w:val="18"/>
                <w:szCs w:val="18"/>
              </w:rPr>
              <w:br w:type="textWrapping"/>
            </w:r>
            <w:r>
              <w:rPr>
                <w:rFonts w:ascii="宋体" w:hAnsi="宋体"/>
                <w:color w:val="000000"/>
                <w:sz w:val="18"/>
                <w:szCs w:val="18"/>
              </w:rPr>
              <w:t>2.</w:t>
            </w:r>
            <w:r>
              <w:rPr>
                <w:rFonts w:hint="eastAsia" w:ascii="宋体" w:hAnsi="宋体"/>
                <w:color w:val="000000"/>
                <w:sz w:val="18"/>
                <w:szCs w:val="18"/>
              </w:rPr>
              <w:t>4编组母线 + 1立体声母线</w:t>
            </w:r>
            <w:r>
              <w:rPr>
                <w:rFonts w:hint="eastAsia" w:ascii="宋体" w:hAnsi="宋体"/>
                <w:color w:val="000000"/>
                <w:sz w:val="18"/>
                <w:szCs w:val="18"/>
              </w:rPr>
              <w:br w:type="textWrapping"/>
            </w:r>
            <w:r>
              <w:rPr>
                <w:rFonts w:ascii="宋体" w:hAnsi="宋体"/>
                <w:color w:val="000000"/>
                <w:sz w:val="18"/>
                <w:szCs w:val="18"/>
              </w:rPr>
              <w:t>3.</w:t>
            </w:r>
            <w:r>
              <w:rPr>
                <w:rFonts w:hint="eastAsia" w:ascii="宋体" w:hAnsi="宋体"/>
                <w:color w:val="000000"/>
                <w:sz w:val="18"/>
                <w:szCs w:val="18"/>
              </w:rPr>
              <w:t>4 AUX (包括FX)</w:t>
            </w:r>
            <w:r>
              <w:rPr>
                <w:rFonts w:hint="eastAsia" w:ascii="宋体" w:hAnsi="宋体"/>
                <w:color w:val="000000"/>
                <w:sz w:val="18"/>
                <w:szCs w:val="18"/>
              </w:rPr>
              <w:br w:type="textWrapping"/>
            </w:r>
            <w:r>
              <w:rPr>
                <w:rFonts w:ascii="宋体" w:hAnsi="宋体"/>
                <w:color w:val="000000"/>
                <w:sz w:val="18"/>
                <w:szCs w:val="18"/>
              </w:rPr>
              <w:t>4.</w:t>
            </w:r>
            <w:r>
              <w:rPr>
                <w:rFonts w:hint="eastAsia" w:ascii="宋体" w:hAnsi="宋体"/>
                <w:color w:val="000000"/>
                <w:sz w:val="18"/>
                <w:szCs w:val="18"/>
              </w:rPr>
              <w:t>“D-PRE”话放，带有倒向晶体管电路</w:t>
            </w:r>
          </w:p>
          <w:p>
            <w:pPr>
              <w:widowControl/>
              <w:spacing w:line="0" w:lineRule="atLeast"/>
              <w:ind w:firstLine="0" w:firstLineChars="0"/>
              <w:jc w:val="left"/>
              <w:rPr>
                <w:rFonts w:ascii="宋体" w:hAnsi="宋体"/>
                <w:color w:val="000000"/>
                <w:kern w:val="0"/>
                <w:sz w:val="18"/>
                <w:szCs w:val="18"/>
              </w:rPr>
            </w:pPr>
            <w:r>
              <w:rPr>
                <w:rFonts w:ascii="宋体" w:hAnsi="宋体"/>
                <w:color w:val="000000"/>
                <w:sz w:val="18"/>
                <w:szCs w:val="18"/>
              </w:rPr>
              <w:t>5.</w:t>
            </w:r>
            <w:r>
              <w:rPr>
                <w:rFonts w:hint="eastAsia" w:ascii="宋体" w:hAnsi="宋体"/>
                <w:color w:val="000000"/>
                <w:sz w:val="18"/>
                <w:szCs w:val="18"/>
              </w:rPr>
              <w:t>单旋钮压缩器</w:t>
            </w:r>
            <w:r>
              <w:rPr>
                <w:rFonts w:hint="eastAsia" w:ascii="宋体" w:hAnsi="宋体"/>
                <w:color w:val="000000"/>
                <w:sz w:val="18"/>
                <w:szCs w:val="18"/>
              </w:rPr>
              <w:br w:type="textWrapping"/>
            </w:r>
            <w:r>
              <w:rPr>
                <w:rFonts w:ascii="宋体" w:hAnsi="宋体"/>
                <w:color w:val="000000"/>
                <w:sz w:val="18"/>
                <w:szCs w:val="18"/>
              </w:rPr>
              <w:t>6.</w:t>
            </w:r>
            <w:r>
              <w:rPr>
                <w:rFonts w:hint="eastAsia" w:ascii="宋体" w:hAnsi="宋体"/>
                <w:color w:val="000000"/>
                <w:sz w:val="18"/>
                <w:szCs w:val="18"/>
              </w:rPr>
              <w:t>单声道输入通道上的PAD开关</w:t>
            </w:r>
            <w:r>
              <w:rPr>
                <w:rFonts w:hint="eastAsia" w:ascii="宋体" w:hAnsi="宋体"/>
                <w:color w:val="000000"/>
                <w:sz w:val="18"/>
                <w:szCs w:val="18"/>
              </w:rPr>
              <w:br w:type="textWrapping"/>
            </w:r>
            <w:r>
              <w:rPr>
                <w:rFonts w:ascii="宋体" w:hAnsi="宋体"/>
                <w:color w:val="000000"/>
                <w:sz w:val="18"/>
                <w:szCs w:val="18"/>
              </w:rPr>
              <w:t>7.</w:t>
            </w:r>
            <w:r>
              <w:rPr>
                <w:rFonts w:hint="eastAsia" w:ascii="宋体" w:hAnsi="宋体"/>
                <w:color w:val="000000"/>
                <w:sz w:val="18"/>
                <w:szCs w:val="18"/>
              </w:rPr>
              <w:t>+48V幻象供电</w:t>
            </w:r>
            <w:r>
              <w:rPr>
                <w:rFonts w:hint="eastAsia" w:ascii="宋体" w:hAnsi="宋体"/>
                <w:color w:val="000000"/>
                <w:sz w:val="18"/>
                <w:szCs w:val="18"/>
              </w:rPr>
              <w:br w:type="textWrapping"/>
            </w:r>
            <w:r>
              <w:rPr>
                <w:rFonts w:ascii="宋体" w:hAnsi="宋体"/>
                <w:color w:val="000000"/>
                <w:sz w:val="18"/>
                <w:szCs w:val="18"/>
              </w:rPr>
              <w:t>8.</w:t>
            </w:r>
            <w:r>
              <w:rPr>
                <w:rFonts w:hint="eastAsia" w:ascii="宋体" w:hAnsi="宋体"/>
                <w:color w:val="000000"/>
                <w:sz w:val="18"/>
                <w:szCs w:val="18"/>
              </w:rPr>
              <w:t>XLR平衡输出</w:t>
            </w:r>
            <w:r>
              <w:rPr>
                <w:rFonts w:hint="eastAsia" w:ascii="宋体" w:hAnsi="宋体"/>
                <w:color w:val="000000"/>
                <w:sz w:val="18"/>
                <w:szCs w:val="18"/>
              </w:rPr>
              <w:br w:type="textWrapping"/>
            </w:r>
            <w:r>
              <w:rPr>
                <w:rFonts w:ascii="宋体" w:hAnsi="宋体"/>
                <w:color w:val="000000"/>
                <w:sz w:val="18"/>
                <w:szCs w:val="18"/>
              </w:rPr>
              <w:t>9.</w:t>
            </w:r>
            <w:r>
              <w:rPr>
                <w:rFonts w:hint="eastAsia" w:ascii="宋体" w:hAnsi="宋体"/>
                <w:color w:val="000000"/>
                <w:sz w:val="18"/>
                <w:szCs w:val="18"/>
              </w:rPr>
              <w:t>世界通用的内部全局供电</w:t>
            </w:r>
            <w:r>
              <w:rPr>
                <w:rFonts w:hint="eastAsia" w:ascii="宋体" w:hAnsi="宋体"/>
                <w:color w:val="000000"/>
                <w:sz w:val="18"/>
                <w:szCs w:val="18"/>
              </w:rPr>
              <w:br w:type="textWrapping"/>
            </w:r>
            <w:r>
              <w:rPr>
                <w:rFonts w:ascii="宋体" w:hAnsi="宋体"/>
                <w:color w:val="000000"/>
                <w:sz w:val="18"/>
                <w:szCs w:val="18"/>
              </w:rPr>
              <w:t>10.</w:t>
            </w:r>
            <w:r>
              <w:rPr>
                <w:rFonts w:hint="eastAsia" w:ascii="宋体" w:hAnsi="宋体"/>
                <w:color w:val="000000"/>
                <w:sz w:val="18"/>
                <w:szCs w:val="18"/>
              </w:rPr>
              <w:t>包含机柜安装套件</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功率放大器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1.输出功率：2*200W/8Ω，2*350W/4Ω，2*380W/2Ω；</w:t>
            </w:r>
            <w:r>
              <w:rPr>
                <w:rFonts w:hint="eastAsia" w:ascii="宋体" w:hAnsi="宋体" w:cs="宋体"/>
                <w:kern w:val="0"/>
                <w:sz w:val="18"/>
                <w:szCs w:val="18"/>
              </w:rPr>
              <w:br w:type="textWrapping"/>
            </w:r>
            <w:r>
              <w:rPr>
                <w:rFonts w:hint="eastAsia" w:ascii="宋体" w:hAnsi="宋体" w:cs="宋体"/>
                <w:kern w:val="0"/>
                <w:sz w:val="18"/>
                <w:szCs w:val="18"/>
              </w:rPr>
              <w:t>2.信号输入：6.3mmTRS平衡插座</w:t>
            </w:r>
            <w:r>
              <w:rPr>
                <w:rFonts w:hint="eastAsia" w:ascii="宋体" w:hAnsi="宋体" w:cs="宋体"/>
                <w:kern w:val="0"/>
                <w:sz w:val="18"/>
                <w:szCs w:val="18"/>
              </w:rPr>
              <w:br w:type="textWrapping"/>
            </w:r>
            <w:r>
              <w:rPr>
                <w:rFonts w:hint="eastAsia" w:ascii="宋体" w:hAnsi="宋体" w:cs="宋体"/>
                <w:kern w:val="0"/>
                <w:sz w:val="18"/>
                <w:szCs w:val="18"/>
              </w:rPr>
              <w:t>3.信噪比：103dB</w:t>
            </w:r>
            <w:r>
              <w:rPr>
                <w:rFonts w:hint="eastAsia" w:ascii="宋体" w:hAnsi="宋体" w:cs="宋体"/>
                <w:kern w:val="0"/>
                <w:sz w:val="18"/>
                <w:szCs w:val="18"/>
              </w:rPr>
              <w:br w:type="textWrapping"/>
            </w:r>
            <w:r>
              <w:rPr>
                <w:rFonts w:hint="eastAsia" w:ascii="宋体" w:hAnsi="宋体" w:cs="宋体"/>
                <w:kern w:val="0"/>
                <w:sz w:val="18"/>
                <w:szCs w:val="18"/>
              </w:rPr>
              <w:t>4.失真：&lt;0.05%@8Ω1KHz</w:t>
            </w:r>
            <w:r>
              <w:rPr>
                <w:rFonts w:hint="eastAsia" w:ascii="宋体" w:hAnsi="宋体" w:cs="宋体"/>
                <w:kern w:val="0"/>
                <w:sz w:val="18"/>
                <w:szCs w:val="18"/>
              </w:rPr>
              <w:br w:type="textWrapping"/>
            </w:r>
            <w:r>
              <w:rPr>
                <w:rFonts w:hint="eastAsia" w:ascii="宋体" w:hAnsi="宋体" w:cs="宋体"/>
                <w:kern w:val="0"/>
                <w:sz w:val="18"/>
                <w:szCs w:val="18"/>
              </w:rPr>
              <w:t>5.输入阻抗：20KΩ</w:t>
            </w:r>
            <w:r>
              <w:rPr>
                <w:rFonts w:hint="eastAsia" w:ascii="宋体" w:hAnsi="宋体" w:cs="宋体"/>
                <w:kern w:val="0"/>
                <w:sz w:val="18"/>
                <w:szCs w:val="18"/>
              </w:rPr>
              <w:br w:type="textWrapping"/>
            </w:r>
            <w:r>
              <w:rPr>
                <w:rFonts w:hint="eastAsia" w:ascii="宋体" w:hAnsi="宋体" w:cs="宋体"/>
                <w:kern w:val="0"/>
                <w:sz w:val="18"/>
                <w:szCs w:val="18"/>
              </w:rPr>
              <w:t>6.频响范围：35Hz—20KHz</w:t>
            </w:r>
            <w:r>
              <w:rPr>
                <w:rFonts w:hint="eastAsia" w:ascii="宋体" w:hAnsi="宋体" w:cs="宋体"/>
                <w:kern w:val="0"/>
                <w:sz w:val="18"/>
                <w:szCs w:val="18"/>
              </w:rPr>
              <w:br w:type="textWrapping"/>
            </w:r>
            <w:r>
              <w:rPr>
                <w:rFonts w:hint="eastAsia" w:ascii="宋体" w:hAnsi="宋体" w:cs="宋体"/>
                <w:kern w:val="0"/>
                <w:sz w:val="18"/>
                <w:szCs w:val="18"/>
              </w:rPr>
              <w:t>7.阻尼系数:&gt;400@8ohm</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8路时序器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1.采用2寸彩色液晶智能显示窗，实时显示当前电压、日期时间、通道开关状态；</w:t>
            </w:r>
            <w:r>
              <w:rPr>
                <w:rFonts w:hint="eastAsia" w:ascii="宋体" w:hAnsi="宋体" w:cs="宋体"/>
                <w:kern w:val="0"/>
                <w:sz w:val="18"/>
                <w:szCs w:val="18"/>
              </w:rPr>
              <w:br w:type="textWrapping"/>
            </w:r>
            <w:r>
              <w:rPr>
                <w:rFonts w:hint="eastAsia" w:ascii="宋体" w:hAnsi="宋体" w:cs="宋体"/>
                <w:kern w:val="0"/>
                <w:sz w:val="18"/>
                <w:szCs w:val="18"/>
              </w:rPr>
              <w:t>2.定时开关机功能，内置时钟芯片，可根据日期时间设定，无需人为操作；</w:t>
            </w:r>
            <w:r>
              <w:rPr>
                <w:rFonts w:hint="eastAsia" w:ascii="宋体" w:hAnsi="宋体" w:cs="宋体"/>
                <w:kern w:val="0"/>
                <w:sz w:val="18"/>
                <w:szCs w:val="18"/>
              </w:rPr>
              <w:br w:type="textWrapping"/>
            </w:r>
            <w:r>
              <w:rPr>
                <w:rFonts w:hint="eastAsia" w:ascii="宋体" w:hAnsi="宋体" w:cs="宋体"/>
                <w:kern w:val="0"/>
                <w:sz w:val="18"/>
                <w:szCs w:val="18"/>
              </w:rPr>
              <w:t>3.采用8路通道输出，每路延时开启和关闭时间可自由设置；</w:t>
            </w:r>
            <w:r>
              <w:rPr>
                <w:rFonts w:hint="eastAsia" w:ascii="宋体" w:hAnsi="宋体" w:cs="宋体"/>
                <w:kern w:val="0"/>
                <w:sz w:val="18"/>
                <w:szCs w:val="18"/>
              </w:rPr>
              <w:br w:type="textWrapping"/>
            </w:r>
            <w:r>
              <w:rPr>
                <w:rFonts w:hint="eastAsia" w:ascii="宋体" w:hAnsi="宋体" w:cs="宋体"/>
                <w:kern w:val="0"/>
                <w:sz w:val="18"/>
                <w:szCs w:val="18"/>
              </w:rPr>
              <w:t>4.10组设备开关场景数据保存/调用，场景管理应用简单便捷；</w:t>
            </w:r>
            <w:r>
              <w:rPr>
                <w:rFonts w:hint="eastAsia" w:ascii="宋体" w:hAnsi="宋体" w:cs="宋体"/>
                <w:kern w:val="0"/>
                <w:sz w:val="18"/>
                <w:szCs w:val="18"/>
              </w:rPr>
              <w:br w:type="textWrapping"/>
            </w:r>
            <w:r>
              <w:rPr>
                <w:rFonts w:hint="eastAsia" w:ascii="宋体" w:hAnsi="宋体" w:cs="宋体"/>
                <w:kern w:val="0"/>
                <w:sz w:val="18"/>
                <w:szCs w:val="18"/>
              </w:rPr>
              <w:t>5.欠压、超压检测及报警功能，总功率7200W，单路最大功率2860W；</w:t>
            </w:r>
            <w:r>
              <w:rPr>
                <w:rFonts w:hint="eastAsia" w:ascii="宋体" w:hAnsi="宋体" w:cs="宋体"/>
                <w:kern w:val="0"/>
                <w:sz w:val="18"/>
                <w:szCs w:val="18"/>
              </w:rPr>
              <w:br w:type="textWrapping"/>
            </w:r>
            <w:r>
              <w:rPr>
                <w:rFonts w:hint="eastAsia" w:ascii="宋体" w:hAnsi="宋体" w:cs="宋体"/>
                <w:kern w:val="0"/>
                <w:sz w:val="18"/>
                <w:szCs w:val="18"/>
              </w:rPr>
              <w:t>6.支持多台设备级联控制,级联状态可自动检测及设置，配置RS232接口；</w:t>
            </w:r>
            <w:r>
              <w:rPr>
                <w:rFonts w:hint="eastAsia" w:ascii="宋体" w:hAnsi="宋体" w:cs="宋体"/>
                <w:kern w:val="0"/>
                <w:sz w:val="18"/>
                <w:szCs w:val="18"/>
              </w:rPr>
              <w:br w:type="textWrapping"/>
            </w:r>
            <w:r>
              <w:rPr>
                <w:rFonts w:hint="eastAsia" w:ascii="宋体" w:hAnsi="宋体" w:cs="宋体"/>
                <w:kern w:val="0"/>
                <w:sz w:val="18"/>
                <w:szCs w:val="18"/>
              </w:rPr>
              <w:t>7.每台设备自带设备编码ID检测和设置，支持面板Lock锁定功能。</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（三）辅材</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（三）辅材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机柜</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19寸标准机柜600*1000*2000，19寸标准机柜，前后网孔门，前后双开。</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多媒体桌插</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多媒体桌插（含VGA、HDMI、音频、强电模块）</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壁挂音响支架</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壁挂音响支架</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音视频线材</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音视频接头</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（四）研判室</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（四）研判室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86寸智能会议平板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w:t>
            </w:r>
            <w:r>
              <w:rPr>
                <w:rFonts w:hint="eastAsia" w:ascii="宋体" w:hAnsi="宋体" w:cs="宋体"/>
                <w:kern w:val="0"/>
                <w:sz w:val="18"/>
                <w:szCs w:val="18"/>
              </w:rPr>
              <w:t>超高清显示屏 ，2mm超顺滑防眩钢化玻璃，高精度主动电容触控技术，内置4800W HDR 摄像头， 6阵列数字麦克风；</w:t>
            </w:r>
            <w:r>
              <w:rPr>
                <w:rFonts w:hint="eastAsia" w:ascii="宋体" w:hAnsi="宋体" w:cs="宋体"/>
                <w:kern w:val="0"/>
                <w:sz w:val="18"/>
                <w:szCs w:val="18"/>
              </w:rPr>
              <w:br w:type="textWrapping"/>
            </w:r>
            <w:r>
              <w:rPr>
                <w:rFonts w:ascii="宋体" w:hAnsi="宋体" w:cs="宋体"/>
                <w:kern w:val="0"/>
                <w:sz w:val="18"/>
                <w:szCs w:val="18"/>
              </w:rPr>
              <w:t>2、</w:t>
            </w:r>
            <w:r>
              <w:rPr>
                <w:rFonts w:hint="eastAsia" w:ascii="宋体" w:hAnsi="宋体" w:cs="宋体"/>
                <w:kern w:val="0"/>
                <w:sz w:val="18"/>
                <w:szCs w:val="18"/>
              </w:rPr>
              <w:t>1 路 Type C，2 路前置 USB3.0，行业首创缝隙发声，系统可选配超薄插拔式 Android 模块、PC 模块</w:t>
            </w:r>
            <w:r>
              <w:rPr>
                <w:rFonts w:ascii="宋体" w:hAnsi="宋体" w:cs="宋体"/>
                <w:kern w:val="0"/>
                <w:sz w:val="18"/>
                <w:szCs w:val="18"/>
              </w:rPr>
              <w:t>；</w:t>
            </w:r>
            <w:r>
              <w:rPr>
                <w:rFonts w:ascii="宋体" w:hAnsi="宋体" w:cs="宋体"/>
                <w:kern w:val="0"/>
                <w:sz w:val="18"/>
                <w:szCs w:val="18"/>
              </w:rPr>
              <w:br w:type="textWrapping"/>
            </w:r>
            <w:r>
              <w:rPr>
                <w:rFonts w:ascii="宋体" w:hAnsi="宋体" w:cs="宋体"/>
                <w:kern w:val="0"/>
                <w:sz w:val="18"/>
                <w:szCs w:val="18"/>
              </w:rPr>
              <w:t>3、</w:t>
            </w:r>
            <w:r>
              <w:rPr>
                <w:rFonts w:hint="eastAsia" w:ascii="宋体" w:hAnsi="宋体" w:cs="宋体"/>
                <w:kern w:val="0"/>
                <w:sz w:val="18"/>
                <w:szCs w:val="18"/>
              </w:rPr>
              <w:t>输入端子：≥1路USB2.0；≥1路HDMI IN；≥1路Type-C；≥1路RS232；≥1路TOUCH，输出端子：≥1路 AUDIO OUT</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书写笔</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智能笔；无线打开/关闭白板，无线打开/关闭批注，上下翻页功能；所有版本均可选配使用</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无线传屏</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无线传屏；将电脑桌面无线投射到会议平板屏幕上，并实现双向控制，所有版本均可选配使用</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2.4G无线会议主机</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1.采用高性能的32位工业级嵌入式处理器，主频高800MHz，256M内存，系统稳定性强，数字化处理和传输技术；</w:t>
            </w:r>
            <w:r>
              <w:rPr>
                <w:rFonts w:hint="eastAsia" w:ascii="宋体" w:hAnsi="宋体" w:cs="宋体"/>
                <w:kern w:val="0"/>
                <w:sz w:val="18"/>
                <w:szCs w:val="18"/>
              </w:rPr>
              <w:br w:type="textWrapping"/>
            </w:r>
            <w:r>
              <w:rPr>
                <w:rFonts w:hint="eastAsia" w:ascii="宋体" w:hAnsi="宋体" w:cs="宋体"/>
                <w:kern w:val="0"/>
                <w:sz w:val="18"/>
                <w:szCs w:val="18"/>
              </w:rPr>
              <w:t>2.内置环境噪音消除器(AEC)，可有效消除本地噪声，内置数字均衡电路，可大幅提升会场声压级，内置自适应反馈抑器(AFC)，可有效防止啸叫；</w:t>
            </w:r>
            <w:r>
              <w:rPr>
                <w:rFonts w:hint="eastAsia" w:ascii="宋体" w:hAnsi="宋体" w:cs="宋体"/>
                <w:kern w:val="0"/>
                <w:sz w:val="18"/>
                <w:szCs w:val="18"/>
              </w:rPr>
              <w:br w:type="textWrapping"/>
            </w:r>
            <w:r>
              <w:rPr>
                <w:rFonts w:hint="eastAsia" w:ascii="宋体" w:hAnsi="宋体" w:cs="宋体"/>
                <w:kern w:val="0"/>
                <w:sz w:val="18"/>
                <w:szCs w:val="18"/>
              </w:rPr>
              <w:t>3.采用ID寻址，可自定义编号，开机自动检测主机与单元在线清单，可实时监控系统运行情况；</w:t>
            </w:r>
            <w:r>
              <w:rPr>
                <w:rFonts w:hint="eastAsia" w:ascii="宋体" w:hAnsi="宋体" w:cs="宋体"/>
                <w:kern w:val="0"/>
                <w:sz w:val="18"/>
                <w:szCs w:val="18"/>
              </w:rPr>
              <w:br w:type="textWrapping"/>
            </w:r>
            <w:r>
              <w:rPr>
                <w:rFonts w:hint="eastAsia" w:ascii="宋体" w:hAnsi="宋体" w:cs="宋体"/>
                <w:kern w:val="0"/>
                <w:sz w:val="18"/>
                <w:szCs w:val="18"/>
              </w:rPr>
              <w:t>4.采用4.3寸全彩触摸屏，具备中、英文双语信息显示，具有系统导航显示和集中控制双重功能;</w:t>
            </w:r>
            <w:r>
              <w:rPr>
                <w:rFonts w:hint="eastAsia" w:ascii="宋体" w:hAnsi="宋体" w:cs="宋体"/>
                <w:kern w:val="0"/>
                <w:sz w:val="18"/>
                <w:szCs w:val="18"/>
              </w:rPr>
              <w:br w:type="textWrapping"/>
            </w:r>
            <w:r>
              <w:rPr>
                <w:rFonts w:hint="eastAsia" w:ascii="宋体" w:hAnsi="宋体" w:cs="宋体"/>
                <w:kern w:val="0"/>
                <w:sz w:val="18"/>
                <w:szCs w:val="18"/>
              </w:rPr>
              <w:t>5.内置8进4出高清视频矩阵，单机可同时接入8个摄像头实现摄像自动跟踪功能，具有摄像联动画面冻结功能（持SONY VISICA、PELCO-D/P、BO1协议及RS-485/RS-232控制）;</w:t>
            </w:r>
            <w:r>
              <w:rPr>
                <w:rFonts w:hint="eastAsia" w:ascii="宋体" w:hAnsi="宋体" w:cs="宋体"/>
                <w:kern w:val="0"/>
                <w:sz w:val="18"/>
                <w:szCs w:val="18"/>
              </w:rPr>
              <w:br w:type="textWrapping"/>
            </w:r>
            <w:r>
              <w:rPr>
                <w:rFonts w:hint="eastAsia" w:ascii="宋体" w:hAnsi="宋体" w:cs="宋体"/>
                <w:kern w:val="0"/>
                <w:sz w:val="18"/>
                <w:szCs w:val="18"/>
              </w:rPr>
              <w:t>6.主机可以集中调节会议单元的输出增益，并可设定设置音频调节锁定，主机与电脑用TCP/IP连接方式，主机与主机之间采用超五类网线连接；</w:t>
            </w:r>
            <w:r>
              <w:rPr>
                <w:rFonts w:hint="eastAsia" w:ascii="宋体" w:hAnsi="宋体" w:cs="宋体"/>
                <w:kern w:val="0"/>
                <w:sz w:val="18"/>
                <w:szCs w:val="18"/>
              </w:rPr>
              <w:br w:type="textWrapping"/>
            </w:r>
            <w:r>
              <w:rPr>
                <w:rFonts w:hint="eastAsia" w:ascii="宋体" w:hAnsi="宋体" w:cs="宋体"/>
                <w:kern w:val="0"/>
                <w:sz w:val="18"/>
                <w:szCs w:val="18"/>
              </w:rPr>
              <w:t>7.可实现会议系统的远程控制，远程诊断和升级，系统可通过中控系统、会议管理软件进行集中控制管理，具有多种方式的会议室合并/拆分功能；</w:t>
            </w:r>
            <w:r>
              <w:rPr>
                <w:rFonts w:hint="eastAsia" w:ascii="宋体" w:hAnsi="宋体" w:cs="宋体"/>
                <w:kern w:val="0"/>
                <w:sz w:val="18"/>
                <w:szCs w:val="18"/>
              </w:rPr>
              <w:br w:type="textWrapping"/>
            </w:r>
            <w:r>
              <w:rPr>
                <w:rFonts w:hint="eastAsia" w:ascii="宋体" w:hAnsi="宋体" w:cs="宋体"/>
                <w:kern w:val="0"/>
                <w:sz w:val="18"/>
                <w:szCs w:val="18"/>
              </w:rPr>
              <w:t>8.通过无线收发器进行语音数据交互，采用2.4G全数字跳频（DSSS）调制通讯技术，ISM频段，确保音频延时少于5.5mS；</w:t>
            </w:r>
            <w:r>
              <w:rPr>
                <w:rFonts w:hint="eastAsia" w:ascii="宋体" w:hAnsi="宋体" w:cs="宋体"/>
                <w:kern w:val="0"/>
                <w:sz w:val="18"/>
                <w:szCs w:val="18"/>
              </w:rPr>
              <w:br w:type="textWrapping"/>
            </w:r>
            <w:r>
              <w:rPr>
                <w:rFonts w:hint="eastAsia" w:ascii="宋体" w:hAnsi="宋体" w:cs="宋体"/>
                <w:kern w:val="0"/>
                <w:sz w:val="18"/>
                <w:szCs w:val="18"/>
              </w:rPr>
              <w:t>9.具有RCA和卡依音频输入接口，具有多组音频通道输出，具备数量限制、先进先出、发言申请的工作模式，发言人数可设置为1至6台，执行主席不受限制；</w:t>
            </w:r>
            <w:r>
              <w:rPr>
                <w:rFonts w:hint="eastAsia" w:ascii="宋体" w:hAnsi="宋体" w:cs="宋体"/>
                <w:kern w:val="0"/>
                <w:sz w:val="18"/>
                <w:szCs w:val="18"/>
              </w:rPr>
              <w:br w:type="textWrapping"/>
            </w:r>
            <w:r>
              <w:rPr>
                <w:rFonts w:hint="eastAsia" w:ascii="宋体" w:hAnsi="宋体" w:cs="宋体"/>
                <w:kern w:val="0"/>
                <w:sz w:val="18"/>
                <w:szCs w:val="18"/>
              </w:rPr>
              <w:t>10.配合电话耦合器可以进行远程电话会议，配合网络会议软件及视频会议终端，可实现远程视频会议；</w:t>
            </w:r>
            <w:r>
              <w:rPr>
                <w:rFonts w:hint="eastAsia" w:ascii="宋体" w:hAnsi="宋体" w:cs="宋体"/>
                <w:kern w:val="0"/>
                <w:sz w:val="18"/>
                <w:szCs w:val="18"/>
              </w:rPr>
              <w:br w:type="textWrapping"/>
            </w:r>
            <w:r>
              <w:rPr>
                <w:rFonts w:hint="eastAsia" w:ascii="宋体" w:hAnsi="宋体" w:cs="宋体"/>
                <w:kern w:val="0"/>
                <w:sz w:val="18"/>
                <w:szCs w:val="18"/>
              </w:rPr>
              <w:t>11.内置AC100V-240V国际通用电源及稳压系统，自动切换，保证电压在不稳定的情况下安全、稳定使用。</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2.4G无线信号基站</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1.通过采用128位AES Rijndael加密技术的安全无线通信来连接会议主机及单元；</w:t>
            </w:r>
            <w:r>
              <w:rPr>
                <w:rFonts w:hint="eastAsia" w:ascii="宋体" w:hAnsi="宋体" w:cs="宋体"/>
                <w:kern w:val="0"/>
                <w:sz w:val="18"/>
                <w:szCs w:val="18"/>
              </w:rPr>
              <w:br w:type="textWrapping"/>
            </w:r>
            <w:r>
              <w:rPr>
                <w:rFonts w:hint="eastAsia" w:ascii="宋体" w:hAnsi="宋体" w:cs="宋体"/>
                <w:kern w:val="0"/>
                <w:sz w:val="18"/>
                <w:szCs w:val="18"/>
              </w:rPr>
              <w:t>2.内置无线音频传输协议，共存机制允许单元避免干扰或被其他2.4 GHz无线系统干扰；</w:t>
            </w:r>
            <w:r>
              <w:rPr>
                <w:rFonts w:hint="eastAsia" w:ascii="宋体" w:hAnsi="宋体" w:cs="宋体"/>
                <w:kern w:val="0"/>
                <w:sz w:val="18"/>
                <w:szCs w:val="18"/>
              </w:rPr>
              <w:br w:type="textWrapping"/>
            </w:r>
            <w:r>
              <w:rPr>
                <w:rFonts w:hint="eastAsia" w:ascii="宋体" w:hAnsi="宋体" w:cs="宋体"/>
                <w:kern w:val="0"/>
                <w:sz w:val="18"/>
                <w:szCs w:val="18"/>
              </w:rPr>
              <w:t>3.自适应跳频，前向误差校正与重传机制，具有错误隐蔽的特性；</w:t>
            </w:r>
            <w:r>
              <w:rPr>
                <w:rFonts w:hint="eastAsia" w:ascii="宋体" w:hAnsi="宋体" w:cs="宋体"/>
                <w:kern w:val="0"/>
                <w:sz w:val="18"/>
                <w:szCs w:val="18"/>
              </w:rPr>
              <w:br w:type="textWrapping"/>
            </w:r>
            <w:r>
              <w:rPr>
                <w:rFonts w:hint="eastAsia" w:ascii="宋体" w:hAnsi="宋体" w:cs="宋体"/>
                <w:kern w:val="0"/>
                <w:sz w:val="18"/>
                <w:szCs w:val="18"/>
              </w:rPr>
              <w:t>4.采用2.4GHz频段中的三个不重叠载波之一，辐射直径高达50米；</w:t>
            </w:r>
            <w:r>
              <w:rPr>
                <w:rFonts w:hint="eastAsia" w:ascii="宋体" w:hAnsi="宋体" w:cs="宋体"/>
                <w:kern w:val="0"/>
                <w:sz w:val="18"/>
                <w:szCs w:val="18"/>
              </w:rPr>
              <w:br w:type="textWrapping"/>
            </w:r>
            <w:r>
              <w:rPr>
                <w:rFonts w:hint="eastAsia" w:ascii="宋体" w:hAnsi="宋体" w:cs="宋体"/>
                <w:kern w:val="0"/>
                <w:sz w:val="18"/>
                <w:szCs w:val="18"/>
              </w:rPr>
              <w:t>5.支持多台基站级联，增强信号接受范围，可自动拦截未经主机授权的无线会议设备；</w:t>
            </w:r>
            <w:r>
              <w:rPr>
                <w:rFonts w:hint="eastAsia" w:ascii="宋体" w:hAnsi="宋体" w:cs="宋体"/>
                <w:kern w:val="0"/>
                <w:sz w:val="18"/>
                <w:szCs w:val="18"/>
              </w:rPr>
              <w:br w:type="textWrapping"/>
            </w:r>
            <w:r>
              <w:rPr>
                <w:rFonts w:hint="eastAsia" w:ascii="宋体" w:hAnsi="宋体" w:cs="宋体"/>
                <w:kern w:val="0"/>
                <w:sz w:val="18"/>
                <w:szCs w:val="18"/>
              </w:rPr>
              <w:t>6.采用6芯会议专用线和网线两种连接方式，布线安装更加方便快捷。</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2.4G方杆主席单元</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1.采用全数字会议技术，3.5寸TFT彩色触控显示屏，(显示发言时间、发言计时、万年历等)，主席单元具有优先发言及控制功能；</w:t>
            </w:r>
            <w:r>
              <w:rPr>
                <w:rFonts w:hint="eastAsia" w:ascii="宋体" w:hAnsi="宋体" w:cs="宋体"/>
                <w:kern w:val="0"/>
                <w:sz w:val="18"/>
                <w:szCs w:val="18"/>
              </w:rPr>
              <w:br w:type="textWrapping"/>
            </w:r>
            <w:r>
              <w:rPr>
                <w:rFonts w:hint="eastAsia" w:ascii="宋体" w:hAnsi="宋体" w:cs="宋体"/>
                <w:kern w:val="0"/>
                <w:sz w:val="18"/>
                <w:szCs w:val="18"/>
              </w:rPr>
              <w:t>2.采用全铝合金底座、一体成型枪式短话筒杆，并采用声干涉原理，有极好的超指向性能，具有发言讨论、摄像跟踪会议功能；</w:t>
            </w:r>
            <w:r>
              <w:rPr>
                <w:rFonts w:hint="eastAsia" w:ascii="宋体" w:hAnsi="宋体" w:cs="宋体"/>
                <w:kern w:val="0"/>
                <w:sz w:val="18"/>
                <w:szCs w:val="18"/>
              </w:rPr>
              <w:br w:type="textWrapping"/>
            </w:r>
            <w:r>
              <w:rPr>
                <w:rFonts w:hint="eastAsia" w:ascii="宋体" w:hAnsi="宋体" w:cs="宋体"/>
                <w:kern w:val="0"/>
                <w:sz w:val="18"/>
                <w:szCs w:val="18"/>
              </w:rPr>
              <w:t>3.采用2.4G全数字跳频（DSSS）调制通讯技术，ISM频段，通过无线收发器进行语音数据交互，确保音频延时少于5.5mS；</w:t>
            </w:r>
            <w:r>
              <w:rPr>
                <w:rFonts w:hint="eastAsia" w:ascii="宋体" w:hAnsi="宋体" w:cs="宋体"/>
                <w:kern w:val="0"/>
                <w:sz w:val="18"/>
                <w:szCs w:val="18"/>
              </w:rPr>
              <w:br w:type="textWrapping"/>
            </w:r>
            <w:r>
              <w:rPr>
                <w:rFonts w:hint="eastAsia" w:ascii="宋体" w:hAnsi="宋体" w:cs="宋体"/>
                <w:kern w:val="0"/>
                <w:sz w:val="18"/>
                <w:szCs w:val="18"/>
              </w:rPr>
              <w:t>4.ISM频段，会议进行中如有干扰频率系统自动切换优质频段,可与WiFi完全共存，具备超强的抗干扰性；</w:t>
            </w:r>
            <w:r>
              <w:rPr>
                <w:rFonts w:hint="eastAsia" w:ascii="宋体" w:hAnsi="宋体" w:cs="宋体"/>
                <w:kern w:val="0"/>
                <w:sz w:val="18"/>
                <w:szCs w:val="18"/>
              </w:rPr>
              <w:br w:type="textWrapping"/>
            </w:r>
            <w:r>
              <w:rPr>
                <w:rFonts w:hint="eastAsia" w:ascii="宋体" w:hAnsi="宋体" w:cs="宋体"/>
                <w:kern w:val="0"/>
                <w:sz w:val="18"/>
                <w:szCs w:val="18"/>
              </w:rPr>
              <w:t>5.采用128位AES Rijndael和48位PIN码加密保护，防止窃听和非授权访问，确保会议的私密性；</w:t>
            </w:r>
            <w:r>
              <w:rPr>
                <w:rFonts w:hint="eastAsia" w:ascii="宋体" w:hAnsi="宋体" w:cs="宋体"/>
                <w:kern w:val="0"/>
                <w:sz w:val="18"/>
                <w:szCs w:val="18"/>
              </w:rPr>
              <w:br w:type="textWrapping"/>
            </w:r>
            <w:r>
              <w:rPr>
                <w:rFonts w:hint="eastAsia" w:ascii="宋体" w:hAnsi="宋体" w:cs="宋体"/>
                <w:kern w:val="0"/>
                <w:sz w:val="18"/>
                <w:szCs w:val="18"/>
              </w:rPr>
              <w:t>6.超强的抗干扰能力，来电绝不产生“滋滋”声，确保会场内设备不受手机、蓝牙、无线电、WiFi等信号干扰；</w:t>
            </w:r>
            <w:r>
              <w:rPr>
                <w:rFonts w:hint="eastAsia" w:ascii="宋体" w:hAnsi="宋体" w:cs="宋体"/>
                <w:kern w:val="0"/>
                <w:sz w:val="18"/>
                <w:szCs w:val="18"/>
              </w:rPr>
              <w:br w:type="textWrapping"/>
            </w:r>
            <w:r>
              <w:rPr>
                <w:rFonts w:hint="eastAsia" w:ascii="宋体" w:hAnsi="宋体" w:cs="宋体"/>
                <w:kern w:val="0"/>
                <w:sz w:val="18"/>
                <w:szCs w:val="18"/>
              </w:rPr>
              <w:t>7.采用可拆式大容量锂电池，低功耗设计，可连续发言40个小时，待机续航时间可达160个小时；</w:t>
            </w:r>
            <w:r>
              <w:rPr>
                <w:rFonts w:hint="eastAsia" w:ascii="宋体" w:hAnsi="宋体" w:cs="宋体"/>
                <w:kern w:val="0"/>
                <w:sz w:val="18"/>
                <w:szCs w:val="18"/>
              </w:rPr>
              <w:br w:type="textWrapping"/>
            </w:r>
            <w:r>
              <w:rPr>
                <w:rFonts w:hint="eastAsia" w:ascii="宋体" w:hAnsi="宋体" w:cs="宋体"/>
                <w:kern w:val="0"/>
                <w:sz w:val="18"/>
                <w:szCs w:val="18"/>
              </w:rPr>
              <w:t>8.驻极体超心形指向性麦克风，带声频启动功能，有极好的超指向性能，具有发言讨论、摄像跟踪、会议服务（茶水、纸笔、服务员）等会议功能；</w:t>
            </w:r>
            <w:r>
              <w:rPr>
                <w:rFonts w:hint="eastAsia" w:ascii="宋体" w:hAnsi="宋体" w:cs="宋体"/>
                <w:kern w:val="0"/>
                <w:sz w:val="18"/>
                <w:szCs w:val="18"/>
              </w:rPr>
              <w:br w:type="textWrapping"/>
            </w:r>
            <w:r>
              <w:rPr>
                <w:rFonts w:hint="eastAsia" w:ascii="宋体" w:hAnsi="宋体" w:cs="宋体"/>
                <w:kern w:val="0"/>
                <w:sz w:val="18"/>
                <w:szCs w:val="18"/>
              </w:rPr>
              <w:t>9.单元为无源设备，由会议主机提供24V电源，单路可连接25台会议单元，单元之间具备线路带电“热插拔”功能；</w:t>
            </w:r>
            <w:r>
              <w:rPr>
                <w:rFonts w:hint="eastAsia" w:ascii="宋体" w:hAnsi="宋体" w:cs="宋体"/>
                <w:kern w:val="0"/>
                <w:sz w:val="18"/>
                <w:szCs w:val="18"/>
              </w:rPr>
              <w:br w:type="textWrapping"/>
            </w:r>
            <w:r>
              <w:rPr>
                <w:rFonts w:hint="eastAsia" w:ascii="宋体" w:hAnsi="宋体" w:cs="宋体"/>
                <w:kern w:val="0"/>
                <w:sz w:val="18"/>
                <w:szCs w:val="18"/>
              </w:rPr>
              <w:t>10.话筒杆带有指示灯，频率响应可达40Hz-20KHz接近CD音质效果，系统采用ID寻址方式，会议管理软件或会议主机对单元自定义ID编号。</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2.4G方杆代表单元</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1.采用全数字会议技术，3.5寸TFT彩色触控显示屏，(显示发言时间、发言计时、万年历等)；</w:t>
            </w:r>
            <w:r>
              <w:rPr>
                <w:rFonts w:hint="eastAsia" w:ascii="宋体" w:hAnsi="宋体" w:cs="宋体"/>
                <w:kern w:val="0"/>
                <w:sz w:val="18"/>
                <w:szCs w:val="18"/>
              </w:rPr>
              <w:br w:type="textWrapping"/>
            </w:r>
            <w:r>
              <w:rPr>
                <w:rFonts w:hint="eastAsia" w:ascii="宋体" w:hAnsi="宋体" w:cs="宋体"/>
                <w:kern w:val="0"/>
                <w:sz w:val="18"/>
                <w:szCs w:val="18"/>
              </w:rPr>
              <w:t>2.采用全铝合金底座、一体成型枪式短话筒杆，并采用声干涉原理，有极好的超指向性能，具有发言讨论、摄像跟踪会议功能；</w:t>
            </w:r>
            <w:r>
              <w:rPr>
                <w:rFonts w:hint="eastAsia" w:ascii="宋体" w:hAnsi="宋体" w:cs="宋体"/>
                <w:kern w:val="0"/>
                <w:sz w:val="18"/>
                <w:szCs w:val="18"/>
              </w:rPr>
              <w:br w:type="textWrapping"/>
            </w:r>
            <w:r>
              <w:rPr>
                <w:rFonts w:hint="eastAsia" w:ascii="宋体" w:hAnsi="宋体" w:cs="宋体"/>
                <w:kern w:val="0"/>
                <w:sz w:val="18"/>
                <w:szCs w:val="18"/>
              </w:rPr>
              <w:t>3.采用2.4G全数字跳频（DSSS）调制通讯技术，ISM频段，通过无线收发器进行语音数据交互，确保音频延时少于5.5mS；</w:t>
            </w:r>
            <w:r>
              <w:rPr>
                <w:rFonts w:hint="eastAsia" w:ascii="宋体" w:hAnsi="宋体" w:cs="宋体"/>
                <w:kern w:val="0"/>
                <w:sz w:val="18"/>
                <w:szCs w:val="18"/>
              </w:rPr>
              <w:br w:type="textWrapping"/>
            </w:r>
            <w:r>
              <w:rPr>
                <w:rFonts w:hint="eastAsia" w:ascii="宋体" w:hAnsi="宋体" w:cs="宋体"/>
                <w:kern w:val="0"/>
                <w:sz w:val="18"/>
                <w:szCs w:val="18"/>
              </w:rPr>
              <w:t>4.ISM频段，会议进行中如有干扰频率系统自动切换优质频段,可与WiFi完全共存，具备超强的抗干扰性；</w:t>
            </w:r>
            <w:r>
              <w:rPr>
                <w:rFonts w:hint="eastAsia" w:ascii="宋体" w:hAnsi="宋体" w:cs="宋体"/>
                <w:kern w:val="0"/>
                <w:sz w:val="18"/>
                <w:szCs w:val="18"/>
              </w:rPr>
              <w:br w:type="textWrapping"/>
            </w:r>
            <w:r>
              <w:rPr>
                <w:rFonts w:hint="eastAsia" w:ascii="宋体" w:hAnsi="宋体" w:cs="宋体"/>
                <w:kern w:val="0"/>
                <w:sz w:val="18"/>
                <w:szCs w:val="18"/>
              </w:rPr>
              <w:t>5.采用128位AES Rijndael和48位PIN码加密保护，防止窃听和非授权访问，确保会议的私密性；</w:t>
            </w:r>
            <w:r>
              <w:rPr>
                <w:rFonts w:hint="eastAsia" w:ascii="宋体" w:hAnsi="宋体" w:cs="宋体"/>
                <w:kern w:val="0"/>
                <w:sz w:val="18"/>
                <w:szCs w:val="18"/>
              </w:rPr>
              <w:br w:type="textWrapping"/>
            </w:r>
            <w:r>
              <w:rPr>
                <w:rFonts w:hint="eastAsia" w:ascii="宋体" w:hAnsi="宋体" w:cs="宋体"/>
                <w:kern w:val="0"/>
                <w:sz w:val="18"/>
                <w:szCs w:val="18"/>
              </w:rPr>
              <w:t>6.超强的抗干扰能力，来电绝不产生“滋滋”声，确保会场内设备不受手机、蓝牙、无线电、WiFi等信号干扰；</w:t>
            </w:r>
            <w:r>
              <w:rPr>
                <w:rFonts w:hint="eastAsia" w:ascii="宋体" w:hAnsi="宋体" w:cs="宋体"/>
                <w:kern w:val="0"/>
                <w:sz w:val="18"/>
                <w:szCs w:val="18"/>
              </w:rPr>
              <w:br w:type="textWrapping"/>
            </w:r>
            <w:r>
              <w:rPr>
                <w:rFonts w:hint="eastAsia" w:ascii="宋体" w:hAnsi="宋体" w:cs="宋体"/>
                <w:kern w:val="0"/>
                <w:sz w:val="18"/>
                <w:szCs w:val="18"/>
              </w:rPr>
              <w:t>7.采用可拆式大容量锂电池，低功耗设计，可连续发言40个小时，待机续航时间可达160个小时；</w:t>
            </w:r>
            <w:r>
              <w:rPr>
                <w:rFonts w:hint="eastAsia" w:ascii="宋体" w:hAnsi="宋体" w:cs="宋体"/>
                <w:kern w:val="0"/>
                <w:sz w:val="18"/>
                <w:szCs w:val="18"/>
              </w:rPr>
              <w:br w:type="textWrapping"/>
            </w:r>
            <w:r>
              <w:rPr>
                <w:rFonts w:hint="eastAsia" w:ascii="宋体" w:hAnsi="宋体" w:cs="宋体"/>
                <w:kern w:val="0"/>
                <w:sz w:val="18"/>
                <w:szCs w:val="18"/>
              </w:rPr>
              <w:t>8.驻极体超心形指向性麦克风，带声频启动功能，有极好的超指向性能，具有发言讨论、摄像跟踪、会议服务（茶水、纸笔、服务员）等会议功能；</w:t>
            </w:r>
            <w:r>
              <w:rPr>
                <w:rFonts w:hint="eastAsia" w:ascii="宋体" w:hAnsi="宋体" w:cs="宋体"/>
                <w:kern w:val="0"/>
                <w:sz w:val="18"/>
                <w:szCs w:val="18"/>
              </w:rPr>
              <w:br w:type="textWrapping"/>
            </w:r>
            <w:r>
              <w:rPr>
                <w:rFonts w:hint="eastAsia" w:ascii="宋体" w:hAnsi="宋体" w:cs="宋体"/>
                <w:kern w:val="0"/>
                <w:sz w:val="18"/>
                <w:szCs w:val="18"/>
              </w:rPr>
              <w:t>9.单元为无源设备，由会议主机提供24V电源，单路可连接25台会议单元，单元之间具备线路带电“热插拔”功能；</w:t>
            </w:r>
            <w:r>
              <w:rPr>
                <w:rFonts w:hint="eastAsia" w:ascii="宋体" w:hAnsi="宋体" w:cs="宋体"/>
                <w:kern w:val="0"/>
                <w:sz w:val="18"/>
                <w:szCs w:val="18"/>
              </w:rPr>
              <w:br w:type="textWrapping"/>
            </w:r>
            <w:r>
              <w:rPr>
                <w:rFonts w:hint="eastAsia" w:ascii="宋体" w:hAnsi="宋体" w:cs="宋体"/>
                <w:kern w:val="0"/>
                <w:sz w:val="18"/>
                <w:szCs w:val="18"/>
              </w:rPr>
              <w:t>10.话筒杆带有指示灯，频率响应可达40Hz-20KHz接近CD音质效果，系统采用ID寻址方式，会议管理软件或会议主机对单元自定义ID编号。</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智能充电箱</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1.专用2.4G无线会议系统充电箱，可USB对锂电池进行充电；</w:t>
            </w:r>
            <w:r>
              <w:rPr>
                <w:rFonts w:hint="eastAsia" w:ascii="宋体" w:hAnsi="宋体" w:cs="宋体"/>
                <w:kern w:val="0"/>
                <w:sz w:val="18"/>
                <w:szCs w:val="18"/>
              </w:rPr>
              <w:br w:type="textWrapping"/>
            </w:r>
            <w:r>
              <w:rPr>
                <w:rFonts w:hint="eastAsia" w:ascii="宋体" w:hAnsi="宋体" w:cs="宋体"/>
                <w:kern w:val="0"/>
                <w:sz w:val="18"/>
                <w:szCs w:val="18"/>
              </w:rPr>
              <w:t>2.可同时充电十台单元，充满电六个小时左右；</w:t>
            </w:r>
            <w:r>
              <w:rPr>
                <w:rFonts w:hint="eastAsia" w:ascii="宋体" w:hAnsi="宋体" w:cs="宋体"/>
                <w:kern w:val="0"/>
                <w:sz w:val="18"/>
                <w:szCs w:val="18"/>
              </w:rPr>
              <w:br w:type="textWrapping"/>
            </w:r>
            <w:r>
              <w:rPr>
                <w:rFonts w:hint="eastAsia" w:ascii="宋体" w:hAnsi="宋体" w:cs="宋体"/>
                <w:kern w:val="0"/>
                <w:sz w:val="18"/>
                <w:szCs w:val="18"/>
              </w:rPr>
              <w:t>3.内置过载保护电路，内置漏电保护装置，确保安全性；</w:t>
            </w:r>
            <w:r>
              <w:rPr>
                <w:rFonts w:hint="eastAsia" w:ascii="宋体" w:hAnsi="宋体" w:cs="宋体"/>
                <w:kern w:val="0"/>
                <w:sz w:val="18"/>
                <w:szCs w:val="18"/>
              </w:rPr>
              <w:br w:type="textWrapping"/>
            </w:r>
            <w:r>
              <w:rPr>
                <w:rFonts w:hint="eastAsia" w:ascii="宋体" w:hAnsi="宋体" w:cs="宋体"/>
                <w:kern w:val="0"/>
                <w:sz w:val="18"/>
                <w:szCs w:val="18"/>
              </w:rPr>
              <w:t>4.采用环路电源连接器，允许以串行方式连接最大数量的充电器，以便从同一主电源插座中共享电源。</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6.5寸全频扬声器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1.高密度纤维板全频扬声器</w:t>
            </w:r>
            <w:r>
              <w:rPr>
                <w:rFonts w:hint="eastAsia" w:ascii="宋体" w:hAnsi="宋体" w:cs="宋体"/>
                <w:kern w:val="0"/>
                <w:sz w:val="18"/>
                <w:szCs w:val="18"/>
              </w:rPr>
              <w:br w:type="textWrapping"/>
            </w:r>
            <w:r>
              <w:rPr>
                <w:rFonts w:hint="eastAsia" w:ascii="宋体" w:hAnsi="宋体" w:cs="宋体"/>
                <w:kern w:val="0"/>
                <w:sz w:val="18"/>
                <w:szCs w:val="18"/>
              </w:rPr>
              <w:t>2.单元组成：LF：1*6.5"低音单元/HF：2*3"高音单元</w:t>
            </w:r>
            <w:r>
              <w:rPr>
                <w:rFonts w:hint="eastAsia" w:ascii="宋体" w:hAnsi="宋体" w:cs="宋体"/>
                <w:kern w:val="0"/>
                <w:sz w:val="18"/>
                <w:szCs w:val="18"/>
              </w:rPr>
              <w:br w:type="textWrapping"/>
            </w:r>
            <w:r>
              <w:rPr>
                <w:rFonts w:hint="eastAsia" w:ascii="宋体" w:hAnsi="宋体" w:cs="宋体"/>
                <w:kern w:val="0"/>
                <w:sz w:val="18"/>
                <w:szCs w:val="18"/>
              </w:rPr>
              <w:t>3.额定功率：150W/8Ω</w:t>
            </w:r>
            <w:r>
              <w:rPr>
                <w:rFonts w:hint="eastAsia" w:ascii="宋体" w:hAnsi="宋体" w:cs="宋体"/>
                <w:kern w:val="0"/>
                <w:sz w:val="18"/>
                <w:szCs w:val="18"/>
              </w:rPr>
              <w:br w:type="textWrapping"/>
            </w:r>
            <w:r>
              <w:rPr>
                <w:rFonts w:hint="eastAsia" w:ascii="宋体" w:hAnsi="宋体" w:cs="宋体"/>
                <w:kern w:val="0"/>
                <w:sz w:val="18"/>
                <w:szCs w:val="18"/>
              </w:rPr>
              <w:t>4.覆盖角度：90°水平*90°垂直</w:t>
            </w:r>
            <w:r>
              <w:rPr>
                <w:rFonts w:hint="eastAsia" w:ascii="宋体" w:hAnsi="宋体" w:cs="宋体"/>
                <w:kern w:val="0"/>
                <w:sz w:val="18"/>
                <w:szCs w:val="18"/>
              </w:rPr>
              <w:br w:type="textWrapping"/>
            </w:r>
            <w:r>
              <w:rPr>
                <w:rFonts w:hint="eastAsia" w:ascii="宋体" w:hAnsi="宋体" w:cs="宋体"/>
                <w:kern w:val="0"/>
                <w:sz w:val="18"/>
                <w:szCs w:val="18"/>
              </w:rPr>
              <w:t>5.频率范围：100Hz-19KHz</w:t>
            </w:r>
            <w:r>
              <w:rPr>
                <w:rFonts w:hint="eastAsia" w:ascii="宋体" w:hAnsi="宋体" w:cs="宋体"/>
                <w:kern w:val="0"/>
                <w:sz w:val="18"/>
                <w:szCs w:val="18"/>
              </w:rPr>
              <w:br w:type="textWrapping"/>
            </w:r>
            <w:r>
              <w:rPr>
                <w:rFonts w:hint="eastAsia" w:ascii="宋体" w:hAnsi="宋体" w:cs="宋体"/>
                <w:kern w:val="0"/>
                <w:sz w:val="18"/>
                <w:szCs w:val="18"/>
              </w:rPr>
              <w:t>6.灵敏度(1m/1W)：95dB</w:t>
            </w:r>
            <w:r>
              <w:rPr>
                <w:rFonts w:hint="eastAsia" w:ascii="宋体" w:hAnsi="宋体" w:cs="宋体"/>
                <w:kern w:val="0"/>
                <w:sz w:val="18"/>
                <w:szCs w:val="18"/>
              </w:rPr>
              <w:br w:type="textWrapping"/>
            </w:r>
            <w:r>
              <w:rPr>
                <w:rFonts w:hint="eastAsia" w:ascii="宋体" w:hAnsi="宋体" w:cs="宋体"/>
                <w:kern w:val="0"/>
                <w:sz w:val="18"/>
                <w:szCs w:val="18"/>
              </w:rPr>
              <w:t>7.最大声压级：120dB</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壁挂音响支架</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壁挂音响支架</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功率放大器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1.输出功率：2*200W/8Ω，2*350W/4Ω，2*380W/2Ω；</w:t>
            </w:r>
            <w:r>
              <w:rPr>
                <w:rFonts w:hint="eastAsia" w:ascii="宋体" w:hAnsi="宋体" w:cs="宋体"/>
                <w:kern w:val="0"/>
                <w:sz w:val="18"/>
                <w:szCs w:val="18"/>
              </w:rPr>
              <w:br w:type="textWrapping"/>
            </w:r>
            <w:r>
              <w:rPr>
                <w:rFonts w:hint="eastAsia" w:ascii="宋体" w:hAnsi="宋体" w:cs="宋体"/>
                <w:kern w:val="0"/>
                <w:sz w:val="18"/>
                <w:szCs w:val="18"/>
              </w:rPr>
              <w:t>2.信号输入：6.3mmTRS平衡插座</w:t>
            </w:r>
            <w:r>
              <w:rPr>
                <w:rFonts w:hint="eastAsia" w:ascii="宋体" w:hAnsi="宋体" w:cs="宋体"/>
                <w:kern w:val="0"/>
                <w:sz w:val="18"/>
                <w:szCs w:val="18"/>
              </w:rPr>
              <w:br w:type="textWrapping"/>
            </w:r>
            <w:r>
              <w:rPr>
                <w:rFonts w:hint="eastAsia" w:ascii="宋体" w:hAnsi="宋体" w:cs="宋体"/>
                <w:kern w:val="0"/>
                <w:sz w:val="18"/>
                <w:szCs w:val="18"/>
              </w:rPr>
              <w:t>3.信噪比：103dB</w:t>
            </w:r>
            <w:r>
              <w:rPr>
                <w:rFonts w:hint="eastAsia" w:ascii="宋体" w:hAnsi="宋体" w:cs="宋体"/>
                <w:kern w:val="0"/>
                <w:sz w:val="18"/>
                <w:szCs w:val="18"/>
              </w:rPr>
              <w:br w:type="textWrapping"/>
            </w:r>
            <w:r>
              <w:rPr>
                <w:rFonts w:hint="eastAsia" w:ascii="宋体" w:hAnsi="宋体" w:cs="宋体"/>
                <w:kern w:val="0"/>
                <w:sz w:val="18"/>
                <w:szCs w:val="18"/>
              </w:rPr>
              <w:t>4.失真：&lt;0.05%@8Ω1KHz</w:t>
            </w:r>
            <w:r>
              <w:rPr>
                <w:rFonts w:hint="eastAsia" w:ascii="宋体" w:hAnsi="宋体" w:cs="宋体"/>
                <w:kern w:val="0"/>
                <w:sz w:val="18"/>
                <w:szCs w:val="18"/>
              </w:rPr>
              <w:br w:type="textWrapping"/>
            </w:r>
            <w:r>
              <w:rPr>
                <w:rFonts w:hint="eastAsia" w:ascii="宋体" w:hAnsi="宋体" w:cs="宋体"/>
                <w:kern w:val="0"/>
                <w:sz w:val="18"/>
                <w:szCs w:val="18"/>
              </w:rPr>
              <w:t>5.输入阻抗：20KΩ</w:t>
            </w:r>
            <w:r>
              <w:rPr>
                <w:rFonts w:hint="eastAsia" w:ascii="宋体" w:hAnsi="宋体" w:cs="宋体"/>
                <w:kern w:val="0"/>
                <w:sz w:val="18"/>
                <w:szCs w:val="18"/>
              </w:rPr>
              <w:br w:type="textWrapping"/>
            </w:r>
            <w:r>
              <w:rPr>
                <w:rFonts w:hint="eastAsia" w:ascii="宋体" w:hAnsi="宋体" w:cs="宋体"/>
                <w:kern w:val="0"/>
                <w:sz w:val="18"/>
                <w:szCs w:val="18"/>
              </w:rPr>
              <w:t>6.频响范围：35Hz—20KHz</w:t>
            </w:r>
            <w:r>
              <w:rPr>
                <w:rFonts w:hint="eastAsia" w:ascii="宋体" w:hAnsi="宋体" w:cs="宋体"/>
                <w:kern w:val="0"/>
                <w:sz w:val="18"/>
                <w:szCs w:val="18"/>
              </w:rPr>
              <w:br w:type="textWrapping"/>
            </w:r>
            <w:r>
              <w:rPr>
                <w:rFonts w:hint="eastAsia" w:ascii="宋体" w:hAnsi="宋体" w:cs="宋体"/>
                <w:kern w:val="0"/>
                <w:sz w:val="18"/>
                <w:szCs w:val="18"/>
              </w:rPr>
              <w:t>7.阻尼系数:&gt;400@8ohm</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机房系统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（一）UPS供配电系统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序号</w:t>
            </w:r>
          </w:p>
        </w:tc>
        <w:tc>
          <w:tcPr>
            <w:tcW w:w="1116" w:type="dxa"/>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名称</w:t>
            </w:r>
          </w:p>
        </w:tc>
        <w:tc>
          <w:tcPr>
            <w:tcW w:w="10774"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功能描述</w:t>
            </w:r>
          </w:p>
        </w:tc>
        <w:tc>
          <w:tcPr>
            <w:tcW w:w="66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数量</w:t>
            </w:r>
          </w:p>
        </w:tc>
        <w:tc>
          <w:tcPr>
            <w:tcW w:w="801"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UPS主机</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1.UPS主机:30KVA三进三出在线式采用全正面维护。</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2.为了满足现场设备维护要求，UPS主机必须标配维护旁路开关，同时，为了配电安全，不得选用隔离开关，必须采用断路器。</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3.UPS应具备智能发电机管理功能：当前端市电停电，可由UPS发送指令启动发电机。</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4.输入电压范围：单相输入电压80V～280V ，输入电压宽，适应恶劣电网环境。</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5.绿色环保，输入功率因数&gt;0.99，输入谐波电流：&lt;3%。</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6.电池电压：±15～±20节可调，直流电压±180～±240V 、电池可调范围大，现场配置灵活。</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7.整机效率：满载＞96%，半载＞96%。</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8.带载能力强：输出PF=1，输出端可带更多负载。</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9.输出同步： 支持输出母线同步功能、具备输出双母线功能，现场应用灵活。</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10.输出THDV：≤3%（线性负载。</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11.中文触摸液晶屏，具有触控LCD+LED指示的操作界面，实时记录工作状态和运行信息，管理更加直观；操作界面要求配备手动开关机按钮，确保在触摸屏失效时依然可以开关机操作。</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12.主机近端标配EPO按钮，同时具备远程干接点接口，灵活使用，确保现场紧急状况下能够快速断电，保护设备安全。</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13.自老化功能：具备自老化功能，有效解决现场调试及老化的负载问题，减少投资。</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14.变频器功能 ：具备变频功能，在50Hz（或60Hz）电网里获得60Hz（或50Hz）的输出。</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10.</w:t>
            </w:r>
            <w:r>
              <w:rPr>
                <w:rFonts w:hint="eastAsia" w:ascii="宋体" w:hAnsi="宋体" w:cs="宋体"/>
                <w:kern w:val="0"/>
                <w:sz w:val="18"/>
                <w:szCs w:val="18"/>
                <w:highlight w:val="none"/>
                <w:lang w:eastAsia="zh-CN"/>
              </w:rPr>
              <w:t>承诺</w:t>
            </w:r>
            <w:r>
              <w:rPr>
                <w:rFonts w:hint="eastAsia" w:ascii="宋体" w:hAnsi="宋体" w:cs="宋体"/>
                <w:kern w:val="0"/>
                <w:sz w:val="18"/>
                <w:szCs w:val="18"/>
                <w:highlight w:val="none"/>
                <w:lang w:val="en-US" w:eastAsia="zh-CN"/>
              </w:rPr>
              <w:t>提供</w:t>
            </w:r>
            <w:r>
              <w:rPr>
                <w:rFonts w:hint="eastAsia" w:ascii="宋体" w:hAnsi="宋体" w:cs="宋体"/>
                <w:kern w:val="0"/>
                <w:sz w:val="18"/>
                <w:szCs w:val="18"/>
                <w:highlight w:val="none"/>
              </w:rPr>
              <w:t>原厂商针对本项目产品的3年的7*24的免费上门保修服务</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蓄电池（含电池间连线，电池箱到配电柜线缆及所有镀锌铜鼻子）</w:t>
            </w:r>
          </w:p>
        </w:tc>
        <w:tc>
          <w:tcPr>
            <w:tcW w:w="10774" w:type="dxa"/>
            <w:shd w:val="clear" w:color="auto" w:fill="auto"/>
            <w:noWrap/>
            <w:vAlign w:val="center"/>
          </w:tcPr>
          <w:p>
            <w:pPr>
              <w:widowControl/>
              <w:numPr>
                <w:ilvl w:val="0"/>
                <w:numId w:val="17"/>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12V100AH阀控密封式铅酸免维护蓄电池，</w:t>
            </w:r>
          </w:p>
          <w:p>
            <w:pPr>
              <w:widowControl/>
              <w:numPr>
                <w:ilvl w:val="0"/>
                <w:numId w:val="17"/>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采用优质的AGM隔板和高灵敏度的安全阀，</w:t>
            </w:r>
          </w:p>
          <w:p>
            <w:pPr>
              <w:widowControl/>
              <w:numPr>
                <w:ilvl w:val="0"/>
                <w:numId w:val="17"/>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铅钙锡多元特种合金铸造板栅，贫液式设计，阴极吸收式原理，有效地抑制氢气的析出，减少使用过程中电解液的损耗，</w:t>
            </w:r>
          </w:p>
          <w:p>
            <w:pPr>
              <w:widowControl/>
              <w:numPr>
                <w:ilvl w:val="0"/>
                <w:numId w:val="17"/>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电池寿命期间无需补加电解液维护。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电池架（空气开关需换施耐德）</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每个放置 16个电池</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机柜</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42U服务器机柜（600*800*2000）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防雷接地系统</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静电释放、铜排30*3</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电池开关箱</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可容乃20节电池</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UPS间配电柜</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含断路器、微型断路器、防雷器、智能电量仪、电流互感仪、信号灯、熔断器、铜芯线等辅材</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主电缆</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满足现场使用需求</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200</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电源线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RVV3*2.5</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800</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（二）精密空调</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（二）精密空调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7.5KW单相精密空调（恒温恒湿）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1、功率容量：空调总制冷量≥7.5kw，精密空调显冷量≥6.9kw。显热比≥90%，加湿量3KW，加热量3KG/H，系统室内循环风量不小于2000立方米/小时，因为机房空间有限尺寸不大于（宽520*深420*高1750)。</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2、能效比：产品应高效节能，整机能效比≥</w:t>
            </w:r>
            <w:r>
              <w:rPr>
                <w:rFonts w:hint="eastAsia" w:ascii="宋体" w:hAnsi="宋体" w:cs="宋体"/>
                <w:kern w:val="0"/>
                <w:sz w:val="18"/>
                <w:szCs w:val="18"/>
                <w:highlight w:val="none"/>
              </w:rPr>
              <w:t>3.1。</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3、运行寿命要求：24小时365天不间断运行设计，设计寿命10年</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4、空调需要极强的电源适应能力，满足电压适应范围380±15%，具备缺相保护、提示和告警功能。</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5、空调需要维护方便：100%全正面维护；主要部件可拆卸维护。</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6、空调采用高效后倾离心直联风机，具备风压调整范围宽的特点，且不需皮带传动，无需例行维护及更换皮带。</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7、根据国家强制性3C认证要求，20KW及以下空调必须采用远红外加湿。 </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8、空调采用正温度系数电子再热器，热量温度负反馈调节，实现温度电流双保护；插拔更换，维护简单。</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9、空调蒸发器表面采用亲水膜涂层工艺，提高换热效率，减少绝热损失；室外风机采用变频无极调速，可根据室外温度变化变频无极调节风机转速，节能、降噪、寿命长；室外机采用金属叶片，可靠性更强，可长期运行而不变形。</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10、空调需标准配置RS485监控接口，支持Modbus和YD/T1363.3双通讯协议，可现场选择协议类型。</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解体组装搬运费</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空调安装</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挡水坝100（宽）*100（高），排水管PVC32</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制冷剂</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R22</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室外机支架</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铜管</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含25米铜管，管路法兰，外机电源线、信号线，保温材料，进排水系统、安装就位、调试等</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附材</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氧气氮气液化气发泡减震垫</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（三）机房气体灭火系统</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（三）机房气体灭火系统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报警及气体灭火控制盘</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JB-QB-TS128/TS-MH-5001</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紧急启停按钮</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TS-QT-5201</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声光报警器</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TS-SG-2101N</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底座</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TS-DZ-1401</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温感</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JTW-ZOM-TS1002</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烟感</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JTY-GM-TS1001</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编码器</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TS-BM-9504</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输入输出模块</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TS-RC-2205</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放气指示灯</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TS-PS-5101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线管</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G20 （jdg）</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100</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11</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导线</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ZR-RVS2×1.5MM2</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（四）灭火系统</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（四）灭火系统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柜式七氟丙烷装置</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GQQ40/2.5</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药剂</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HFC-227ea</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23</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公斤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灭火系统标识牌</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紧急启停标牌</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泄压口</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压力传感300*300mm</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安装调试费</w:t>
            </w:r>
          </w:p>
        </w:tc>
        <w:tc>
          <w:tcPr>
            <w:tcW w:w="10774"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（五）门禁系统</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（五）门禁系统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双门磁力锁</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最大拉力：280kg(600Lbs)*2静态直线拉力； </w:t>
            </w:r>
            <w:r>
              <w:rPr>
                <w:rFonts w:hint="eastAsia" w:ascii="宋体" w:hAnsi="宋体" w:cs="宋体"/>
                <w:kern w:val="0"/>
                <w:sz w:val="18"/>
                <w:szCs w:val="18"/>
              </w:rPr>
              <w:br w:type="textWrapping"/>
            </w:r>
            <w:r>
              <w:rPr>
                <w:rFonts w:hint="eastAsia" w:ascii="宋体" w:hAnsi="宋体" w:cs="宋体"/>
                <w:kern w:val="0"/>
                <w:sz w:val="18"/>
                <w:szCs w:val="18"/>
              </w:rPr>
              <w:t xml:space="preserve">支持锁状态反馈，门磁输出； </w:t>
            </w:r>
            <w:r>
              <w:rPr>
                <w:rFonts w:hint="eastAsia" w:ascii="宋体" w:hAnsi="宋体" w:cs="宋体"/>
                <w:kern w:val="0"/>
                <w:sz w:val="18"/>
                <w:szCs w:val="18"/>
              </w:rPr>
              <w:br w:type="textWrapping"/>
            </w:r>
            <w:r>
              <w:rPr>
                <w:rFonts w:hint="eastAsia" w:ascii="宋体" w:hAnsi="宋体" w:cs="宋体"/>
                <w:kern w:val="0"/>
                <w:sz w:val="18"/>
                <w:szCs w:val="18"/>
              </w:rPr>
              <w:t xml:space="preserve">断电开锁； </w:t>
            </w:r>
            <w:r>
              <w:rPr>
                <w:rFonts w:hint="eastAsia" w:ascii="宋体" w:hAnsi="宋体" w:cs="宋体"/>
                <w:kern w:val="0"/>
                <w:sz w:val="18"/>
                <w:szCs w:val="18"/>
              </w:rPr>
              <w:br w:type="textWrapping"/>
            </w:r>
            <w:r>
              <w:rPr>
                <w:rFonts w:hint="eastAsia" w:ascii="宋体" w:hAnsi="宋体" w:cs="宋体"/>
                <w:kern w:val="0"/>
                <w:sz w:val="18"/>
                <w:szCs w:val="18"/>
              </w:rPr>
              <w:t>具有电锁状态指示灯；</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rPr>
                <w:rFonts w:ascii="宋体" w:hAnsi="宋体" w:cs="宋体"/>
                <w:kern w:val="0"/>
                <w:sz w:val="18"/>
                <w:szCs w:val="18"/>
              </w:rPr>
            </w:pPr>
            <w:r>
              <w:rPr>
                <w:rFonts w:hint="eastAsia" w:ascii="宋体" w:hAnsi="宋体" w:cs="宋体"/>
                <w:kern w:val="0"/>
                <w:sz w:val="18"/>
                <w:szCs w:val="18"/>
              </w:rPr>
              <w:t>磁力锁配件</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350KG防水磁力锁LZ支架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人脸门禁一体机</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1、设备外观：采用7英寸LCD触摸显示屏，200万像素双目摄像头，面部识别距离0.2-3m，支持照片视频防假；</w:t>
            </w:r>
            <w:r>
              <w:rPr>
                <w:rFonts w:hint="eastAsia" w:ascii="宋体" w:hAnsi="宋体" w:cs="宋体"/>
                <w:kern w:val="0"/>
                <w:sz w:val="18"/>
                <w:szCs w:val="18"/>
              </w:rPr>
              <w:br w:type="textWrapping"/>
            </w:r>
            <w:r>
              <w:rPr>
                <w:rFonts w:hint="eastAsia" w:ascii="宋体" w:hAnsi="宋体" w:cs="宋体"/>
                <w:kern w:val="0"/>
                <w:sz w:val="18"/>
                <w:szCs w:val="18"/>
              </w:rPr>
              <w:t>2、设备容量：支持5000张人脸白名单，1：N人脸比对时间＜0.2S/人，支持5000枚指纹，6000张卡片，50000条记录；</w:t>
            </w:r>
            <w:r>
              <w:rPr>
                <w:rFonts w:hint="eastAsia" w:ascii="宋体" w:hAnsi="宋体" w:cs="宋体"/>
                <w:kern w:val="0"/>
                <w:sz w:val="18"/>
                <w:szCs w:val="18"/>
              </w:rPr>
              <w:br w:type="textWrapping"/>
            </w:r>
            <w:r>
              <w:rPr>
                <w:rFonts w:hint="eastAsia" w:ascii="宋体" w:hAnsi="宋体" w:cs="宋体"/>
                <w:kern w:val="0"/>
                <w:sz w:val="18"/>
                <w:szCs w:val="18"/>
              </w:rPr>
              <w:t>3、认证方式：支持人脸、刷卡、指纹、密码（超级密码）及其组合的认证方式；可读取Mifare卡（IC卡）卡号、CPU序列号、身份证序列号；</w:t>
            </w:r>
            <w:r>
              <w:rPr>
                <w:rFonts w:hint="eastAsia" w:ascii="宋体" w:hAnsi="宋体" w:cs="宋体"/>
                <w:kern w:val="0"/>
                <w:sz w:val="18"/>
                <w:szCs w:val="18"/>
              </w:rPr>
              <w:br w:type="textWrapping"/>
            </w:r>
            <w:r>
              <w:rPr>
                <w:rFonts w:hint="eastAsia" w:ascii="宋体" w:hAnsi="宋体" w:cs="宋体"/>
                <w:kern w:val="0"/>
                <w:sz w:val="18"/>
                <w:szCs w:val="18"/>
              </w:rPr>
              <w:t>4、通讯方式：上行通讯为TCP/IP，支持Ehome跨公网传输；支持外接RS485，Wiegand副读卡器（不支持外接指纹读卡器）；基线支持标准韦根34/26；</w:t>
            </w:r>
            <w:r>
              <w:rPr>
                <w:rFonts w:hint="eastAsia" w:ascii="宋体" w:hAnsi="宋体" w:cs="宋体"/>
                <w:kern w:val="0"/>
                <w:sz w:val="18"/>
                <w:szCs w:val="18"/>
              </w:rPr>
              <w:br w:type="textWrapping"/>
            </w:r>
            <w:r>
              <w:rPr>
                <w:rFonts w:hint="eastAsia" w:ascii="宋体" w:hAnsi="宋体" w:cs="宋体"/>
                <w:kern w:val="0"/>
                <w:sz w:val="18"/>
                <w:szCs w:val="18"/>
              </w:rPr>
              <w:t>5、视频对讲：支持与云眸、4200客户端、主副室内分机、管理机的视频对讲功能；支持远程视频预览功能，可以通过RTSP协议输出视频码流，编码格式H.264；</w:t>
            </w:r>
            <w:r>
              <w:rPr>
                <w:rFonts w:hint="eastAsia" w:ascii="宋体" w:hAnsi="宋体" w:cs="宋体"/>
                <w:kern w:val="0"/>
                <w:sz w:val="18"/>
                <w:szCs w:val="18"/>
              </w:rPr>
              <w:br w:type="textWrapping"/>
            </w:r>
            <w:r>
              <w:rPr>
                <w:rFonts w:hint="eastAsia" w:ascii="宋体" w:hAnsi="宋体" w:cs="宋体"/>
                <w:kern w:val="0"/>
                <w:sz w:val="18"/>
                <w:szCs w:val="18"/>
              </w:rPr>
              <w:t>6、输入接口：LAN*1、RS485*1、wiegand * 1、USB*1、门磁*1、报警输入*2、防拆*1、开门按钮*1；</w:t>
            </w:r>
            <w:r>
              <w:rPr>
                <w:rFonts w:hint="eastAsia" w:ascii="宋体" w:hAnsi="宋体" w:cs="宋体"/>
                <w:kern w:val="0"/>
                <w:sz w:val="18"/>
                <w:szCs w:val="18"/>
              </w:rPr>
              <w:br w:type="textWrapping"/>
            </w:r>
            <w:r>
              <w:rPr>
                <w:rFonts w:hint="eastAsia" w:ascii="宋体" w:hAnsi="宋体" w:cs="宋体"/>
                <w:kern w:val="0"/>
                <w:sz w:val="18"/>
                <w:szCs w:val="18"/>
              </w:rPr>
              <w:t>7、输出接口：电锁*1个，报警输出*1个；</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rPr>
                <w:rFonts w:ascii="宋体" w:hAnsi="宋体" w:cs="宋体"/>
                <w:kern w:val="0"/>
                <w:sz w:val="18"/>
                <w:szCs w:val="18"/>
              </w:rPr>
            </w:pPr>
            <w:r>
              <w:rPr>
                <w:rFonts w:hint="eastAsia" w:ascii="宋体" w:hAnsi="宋体" w:cs="宋体"/>
                <w:kern w:val="0"/>
                <w:sz w:val="18"/>
                <w:szCs w:val="18"/>
              </w:rPr>
              <w:t>开门按钮</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结构：塑料面板； </w:t>
            </w:r>
            <w:r>
              <w:rPr>
                <w:rFonts w:hint="eastAsia" w:ascii="宋体" w:hAnsi="宋体" w:cs="宋体"/>
                <w:kern w:val="0"/>
                <w:sz w:val="18"/>
                <w:szCs w:val="18"/>
              </w:rPr>
              <w:br w:type="textWrapping"/>
            </w:r>
            <w:r>
              <w:rPr>
                <w:rFonts w:hint="eastAsia" w:ascii="宋体" w:hAnsi="宋体" w:cs="宋体"/>
                <w:kern w:val="0"/>
                <w:sz w:val="18"/>
                <w:szCs w:val="18"/>
              </w:rPr>
              <w:t xml:space="preserve">性能：最大耐电流1.25A，电压250V； </w:t>
            </w:r>
            <w:r>
              <w:rPr>
                <w:rFonts w:hint="eastAsia" w:ascii="宋体" w:hAnsi="宋体" w:cs="宋体"/>
                <w:kern w:val="0"/>
                <w:sz w:val="18"/>
                <w:szCs w:val="18"/>
              </w:rPr>
              <w:br w:type="textWrapping"/>
            </w:r>
            <w:r>
              <w:rPr>
                <w:rFonts w:hint="eastAsia" w:ascii="宋体" w:hAnsi="宋体" w:cs="宋体"/>
                <w:kern w:val="0"/>
                <w:sz w:val="18"/>
                <w:szCs w:val="18"/>
              </w:rPr>
              <w:t xml:space="preserve">输出：常开； </w:t>
            </w:r>
            <w:r>
              <w:rPr>
                <w:rFonts w:hint="eastAsia" w:ascii="宋体" w:hAnsi="宋体" w:cs="宋体"/>
                <w:kern w:val="0"/>
                <w:sz w:val="18"/>
                <w:szCs w:val="18"/>
              </w:rPr>
              <w:br w:type="textWrapping"/>
            </w:r>
            <w:r>
              <w:rPr>
                <w:rFonts w:hint="eastAsia" w:ascii="宋体" w:hAnsi="宋体" w:cs="宋体"/>
                <w:kern w:val="0"/>
                <w:sz w:val="18"/>
                <w:szCs w:val="18"/>
              </w:rPr>
              <w:t xml:space="preserve">类型：适合埋入式电器盒使用； </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（六）监控系统</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（六）监控系统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400W像素半球摄像机</w:t>
            </w:r>
          </w:p>
        </w:tc>
        <w:tc>
          <w:tcPr>
            <w:tcW w:w="10774" w:type="dxa"/>
            <w:shd w:val="clear" w:color="auto" w:fill="auto"/>
            <w:noWrap/>
            <w:vAlign w:val="center"/>
          </w:tcPr>
          <w:p>
            <w:pPr>
              <w:widowControl/>
              <w:numPr>
                <w:ilvl w:val="0"/>
                <w:numId w:val="18"/>
              </w:numPr>
              <w:spacing w:line="0" w:lineRule="atLeast"/>
              <w:ind w:left="0" w:firstLine="0" w:firstLineChars="0"/>
              <w:rPr>
                <w:rFonts w:ascii="宋体" w:hAnsi="宋体" w:cs="宋体"/>
                <w:kern w:val="0"/>
                <w:sz w:val="18"/>
                <w:szCs w:val="18"/>
              </w:rPr>
            </w:pPr>
            <w:r>
              <w:rPr>
                <w:rFonts w:hint="eastAsia" w:ascii="宋体" w:hAnsi="宋体" w:cs="宋体"/>
                <w:kern w:val="0"/>
                <w:sz w:val="18"/>
                <w:szCs w:val="18"/>
              </w:rPr>
              <w:t>400万1/3”CMOS ICR日夜型半球型网络摄像机；</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支持H.265及/H.264/ MJPEG编码</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最小照度：不低于0.07Lux @(F1.2,AGC ON) ,0 Lux with IR；0.19 Lux @(F2.0,AGC ON), 0 Lux with IR；</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快门：不低于1/3秒至1/100,000秒；</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镜头：不低于4mm, 水平视场角:不低于78°(2.8mm,6mm,8mm可选)；</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调整角度 水平:0°~360°;垂直:0°~ 75°;旋转:0°~360°；</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宽动态范围：不低于120dB；</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帧率：不低于50Hz: 25fps(2560×1440, 2048×1536, 1920×1080, 1280×720)；</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感兴趣区域 ROI支持三码流分别设置不低于1个固定区域；</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存储功能 NAS(NFS,SMB/CIFS均支持)；</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智能报警 越界侦测,区域入侵侦测,场景变更侦测,人脸侦测,虚焦侦测,物品遗留侦测,物品拾取侦测,非法停车侦测,人员聚集侦测,徘侦测,快速移动侦测,进入区域侦测,离开区域侦测；</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支持智能后检索，配合NVR支持事件的二次检索分析；</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工作温度和湿度 -30℃~60℃,湿度小于95%(无凝结)；</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电源供应 DC12V±25% / PoE(802.3af)；</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功耗 5.5W MAX（ICR切换瞬间7.5W MAX）；</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红外照射距离不低于 EXIR 20-30米；</w:t>
            </w:r>
          </w:p>
          <w:p>
            <w:pPr>
              <w:widowControl/>
              <w:numPr>
                <w:ilvl w:val="0"/>
                <w:numId w:val="1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防护等级不低于 IP67</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（七）机房环境监控系统</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（七）机房环境监控系统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UPS监测通信转换模块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RS232-RS485自由转换设备，传输速率:1200-115.2k（bps）</w:t>
            </w:r>
            <w:r>
              <w:rPr>
                <w:rFonts w:hint="eastAsia" w:ascii="宋体" w:hAnsi="宋体" w:cs="宋体"/>
                <w:kern w:val="0"/>
                <w:sz w:val="18"/>
                <w:szCs w:val="18"/>
              </w:rPr>
              <w:br w:type="textWrapping"/>
            </w:r>
            <w:r>
              <w:rPr>
                <w:rFonts w:hint="eastAsia" w:ascii="宋体" w:hAnsi="宋体" w:cs="宋体"/>
                <w:kern w:val="0"/>
                <w:sz w:val="18"/>
                <w:szCs w:val="18"/>
              </w:rPr>
              <w:t>电源功耗：1.5W，工作温度：0-70℃</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精密空调监测通信转换模块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RS232-RS485自由转换设备，传输速率:1200-115.2k（bps）</w:t>
            </w:r>
            <w:r>
              <w:rPr>
                <w:rFonts w:hint="eastAsia" w:ascii="宋体" w:hAnsi="宋体" w:cs="宋体"/>
                <w:kern w:val="0"/>
                <w:sz w:val="18"/>
                <w:szCs w:val="18"/>
              </w:rPr>
              <w:br w:type="textWrapping"/>
            </w:r>
            <w:r>
              <w:rPr>
                <w:rFonts w:hint="eastAsia" w:ascii="宋体" w:hAnsi="宋体" w:cs="宋体"/>
                <w:kern w:val="0"/>
                <w:sz w:val="18"/>
                <w:szCs w:val="18"/>
              </w:rPr>
              <w:t>电源功耗：1.5W，工作温度：0-70℃，</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供配电监测：</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智能电量仪</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测量三相电流，三相电压，有功功率，无功功率，功率因素，频率 精度0.5级，标准RS485通讯，自带液晶显示屏。</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开关状态监测模块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通讯接口：RS485(默认产品地址为FF)，波 特 率：2400/4800/9600/19200 (默认为9600bp)，地址范围：0—255（默认产品地址为255），供电电源：12VDC 1A，开关量转换输入：110VAC—240VAC，输入通道：8路</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温湿度传感器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LCD显示 实时显示温度、湿度，温度范围 -20℃～60℃，湿度范围 0～100%RH，温度误差 &lt;±0.3℃，湿度误差 &lt;±3%RH，通信接口 RS485</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漏水监测漏水控制器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漏液检测时输出ON/OFF可拔码开关选，静态电流：&lt;100mA，告警电流：&lt;140mA，工作环境：-10 ~ 55°C，10~98%RH，短路时阻抗&lt;50Ω</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5米感应绳</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检测绳长度5米，探测度密：全线程</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蓄电池监测：</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单体检测模块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测量范围及精度 组压：20～600V，±(0.5%+0.2V)，单体电压：1.5～2.5V，±(0.1%+1mV)9～15V，±(0.1%+10mV)，单体电池内阻：100～65535uΩ±(2%+30uΩ)，分辨率：3 uΩ）</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11</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电流模块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500A</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12</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信号转换模块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组压：20～800V，±(0.5%+0.2V)；单体电压：1.5～2.5V，±(0.1%+1mV)、9～15V，±(0.1%+10mV)；带RS485及10/100M 网络口；19英寸机柜或电池架上固定安装</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13</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短信报警模块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全网通短信告警模块</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14</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微信报警系统</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推送微信报警信息</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15</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多功能嵌入式控制器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以太网口数量：1个，速率：10/100 M自适应 MDI/MDIX，电磁隔离保护：内建1.5 KV，串口数量8个RS422/485二合一界面串口，RJ45接口，每个串口带有15KVESD保护，220V交流电输入，19英寸标准机架安装</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16</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监控主机</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CPU：四核3.2G，内存：8GB DDR3，硬盘：1TB，支持2个3.5”硬盘支架，USB：6个USB2.0接口，串口：4个RS-232串口、2个RS-232/485串口，网口：2个千兆RJ-45电口，音频：1组音频输入输出接口，键盘/鼠标：1个PS2键盘鼠标接口，并口：1个LPT接口，显示：1个标准VGA接口，支持最大分辨率1920x1200，支持热插拔，扩展：提供2个32-bit PCI扩展插槽，WIN 7专业版操作系统，标准 2U 机架式安装</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17</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物联网监控管理软件</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机房监控管理系统由远程管理中心、管理中心平台、子系统服务器、被监控的设备信号组成。采用“分布式”结构设计监控系统，满足全天24小时不间断运行。</w:t>
            </w:r>
            <w:r>
              <w:rPr>
                <w:rFonts w:hint="eastAsia" w:ascii="宋体" w:hAnsi="宋体" w:cs="宋体"/>
                <w:kern w:val="0"/>
                <w:sz w:val="18"/>
                <w:szCs w:val="18"/>
              </w:rPr>
              <w:br w:type="textWrapping"/>
            </w:r>
            <w:r>
              <w:rPr>
                <w:rFonts w:hint="eastAsia" w:ascii="宋体" w:hAnsi="宋体" w:cs="宋体"/>
                <w:kern w:val="0"/>
                <w:sz w:val="18"/>
                <w:szCs w:val="18"/>
              </w:rPr>
              <w:t>1：系统需实现对机房内的动力环境、资产、消防系统统一监视。</w:t>
            </w:r>
            <w:r>
              <w:rPr>
                <w:rFonts w:hint="eastAsia" w:ascii="宋体" w:hAnsi="宋体" w:cs="宋体"/>
                <w:kern w:val="0"/>
                <w:sz w:val="18"/>
                <w:szCs w:val="18"/>
              </w:rPr>
              <w:br w:type="textWrapping"/>
            </w:r>
            <w:r>
              <w:rPr>
                <w:rFonts w:hint="eastAsia" w:ascii="宋体" w:hAnsi="宋体" w:cs="宋体"/>
                <w:kern w:val="0"/>
                <w:sz w:val="18"/>
                <w:szCs w:val="18"/>
              </w:rPr>
              <w:t>2：系统同步集成各子系统服务器的页面、关键数据和报警信息，并在其平台上进行统计信息、报表展示、数据存储、对外报警等功能。</w:t>
            </w:r>
            <w:r>
              <w:rPr>
                <w:rFonts w:hint="eastAsia" w:ascii="宋体" w:hAnsi="宋体" w:cs="宋体"/>
                <w:kern w:val="0"/>
                <w:sz w:val="18"/>
                <w:szCs w:val="18"/>
              </w:rPr>
              <w:br w:type="textWrapping"/>
            </w:r>
            <w:r>
              <w:rPr>
                <w:rFonts w:hint="eastAsia" w:ascii="宋体" w:hAnsi="宋体" w:cs="宋体"/>
                <w:kern w:val="0"/>
                <w:sz w:val="18"/>
                <w:szCs w:val="18"/>
              </w:rPr>
              <w:t>3：系统应提供大楼-楼层-机房视图、专业的供配电拓扑图、定制化大屏展示图；</w:t>
            </w:r>
            <w:r>
              <w:rPr>
                <w:rFonts w:hint="eastAsia" w:ascii="宋体" w:hAnsi="宋体" w:cs="宋体"/>
                <w:kern w:val="0"/>
                <w:sz w:val="18"/>
                <w:szCs w:val="18"/>
              </w:rPr>
              <w:br w:type="textWrapping"/>
            </w:r>
            <w:r>
              <w:rPr>
                <w:rFonts w:hint="eastAsia" w:ascii="宋体" w:hAnsi="宋体" w:cs="宋体"/>
                <w:kern w:val="0"/>
                <w:sz w:val="18"/>
                <w:szCs w:val="18"/>
              </w:rPr>
              <w:t>4：系统具备强大的监控管理能力，提供设备监控、资产管理、容量管理、三维仿真视图管理、告警管理、能效管理等功能；</w:t>
            </w:r>
            <w:r>
              <w:rPr>
                <w:rFonts w:hint="eastAsia" w:ascii="宋体" w:hAnsi="宋体" w:cs="宋体"/>
                <w:kern w:val="0"/>
                <w:sz w:val="18"/>
                <w:szCs w:val="18"/>
              </w:rPr>
              <w:br w:type="textWrapping"/>
            </w:r>
            <w:r>
              <w:rPr>
                <w:rFonts w:hint="eastAsia" w:ascii="宋体" w:hAnsi="宋体" w:cs="宋体"/>
                <w:kern w:val="0"/>
                <w:sz w:val="18"/>
                <w:szCs w:val="18"/>
              </w:rPr>
              <w:t>5：系统采用WINDOWS操作系统，数据库采用My SQL或SQL SERVER，系统支持C/S和B/S架构。</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18</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远程管理软件</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远程IE浏览功能</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计算机网络</w:t>
            </w:r>
          </w:p>
        </w:tc>
        <w:tc>
          <w:tcPr>
            <w:tcW w:w="12241" w:type="dxa"/>
            <w:gridSpan w:val="3"/>
            <w:shd w:val="clear" w:color="auto" w:fill="auto"/>
            <w:noWrap/>
            <w:vAlign w:val="center"/>
          </w:tcPr>
          <w:p>
            <w:pPr>
              <w:widowControl/>
              <w:spacing w:line="0" w:lineRule="atLeast"/>
              <w:ind w:firstLine="0" w:firstLineChars="0"/>
              <w:jc w:val="center"/>
            </w:pPr>
            <w:r>
              <w:rPr>
                <w:rFonts w:hint="eastAsia" w:ascii="宋体" w:hAnsi="宋体" w:cs="宋体"/>
                <w:b/>
                <w:bCs/>
                <w:kern w:val="0"/>
                <w:sz w:val="18"/>
                <w:szCs w:val="18"/>
              </w:rPr>
              <w:t>计算机网络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（一）出口防火墙</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（一）出口防火墙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序号</w:t>
            </w:r>
          </w:p>
        </w:tc>
        <w:tc>
          <w:tcPr>
            <w:tcW w:w="1116" w:type="dxa"/>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名称</w:t>
            </w:r>
          </w:p>
        </w:tc>
        <w:tc>
          <w:tcPr>
            <w:tcW w:w="10774"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功能描述</w:t>
            </w:r>
          </w:p>
        </w:tc>
        <w:tc>
          <w:tcPr>
            <w:tcW w:w="66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数量</w:t>
            </w:r>
          </w:p>
        </w:tc>
        <w:tc>
          <w:tcPr>
            <w:tcW w:w="801"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下一代防火墙</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rPr>
              <w:t>1、产品由专用</w:t>
            </w:r>
            <w:r>
              <w:rPr>
                <w:rFonts w:hint="eastAsia" w:ascii="宋体" w:hAnsi="宋体" w:cs="宋体"/>
                <w:kern w:val="0"/>
                <w:sz w:val="18"/>
                <w:szCs w:val="18"/>
                <w:highlight w:val="none"/>
              </w:rPr>
              <w:t>的硬件平台、安全操作系统及功能软件构成。设备采用自主知识产权的专用安全操作系统，采用多核多平台并行架构，非MIPS架构；</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2、为保障产品运行的安全</w:t>
            </w:r>
            <w:r>
              <w:rPr>
                <w:rFonts w:hint="eastAsia" w:ascii="宋体" w:hAnsi="宋体" w:cs="宋体"/>
                <w:kern w:val="0"/>
                <w:sz w:val="18"/>
                <w:szCs w:val="18"/>
              </w:rPr>
              <w:t>及稳定性，要求产品设计、开发、生产及售后服务符合TL9000-H-S-V相关标准要求；提供第三方权威证明材料。</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3、要求为标准1U架构，配备6个千兆电口，4个SFP插槽；配备IPSEC VPN模块；防火墙吞吐≥3.2G，并发连接≥150万，每秒新建连接≥1.8万，IPSec吞吐≥80M，SSL吞吐≥220M；配备 3年原厂维保服务；</w:t>
            </w:r>
          </w:p>
          <w:p>
            <w:pPr>
              <w:widowControl/>
              <w:spacing w:line="0" w:lineRule="atLeast"/>
              <w:ind w:firstLine="0" w:firstLineChars="0"/>
              <w:jc w:val="left"/>
              <w:rPr>
                <w:rFonts w:hint="eastAsia" w:ascii="宋体" w:hAnsi="宋体" w:cs="宋体" w:eastAsiaTheme="minorEastAsia"/>
                <w:kern w:val="0"/>
                <w:sz w:val="18"/>
                <w:szCs w:val="18"/>
                <w:lang w:eastAsia="zh-CN"/>
              </w:rPr>
            </w:pPr>
            <w:r>
              <w:rPr>
                <w:rFonts w:hint="eastAsia" w:ascii="宋体" w:hAnsi="宋体" w:cs="宋体"/>
                <w:kern w:val="0"/>
                <w:sz w:val="18"/>
                <w:szCs w:val="18"/>
              </w:rPr>
              <w:t>4、要求支持防火墙芯片硬件加速技术，实现硬件资源充分利用，保障设备处理效率</w:t>
            </w:r>
            <w:r>
              <w:rPr>
                <w:rFonts w:hint="eastAsia" w:ascii="宋体" w:hAnsi="宋体" w:cs="宋体"/>
                <w:kern w:val="0"/>
                <w:sz w:val="18"/>
                <w:szCs w:val="18"/>
                <w:lang w:eastAsia="zh-CN"/>
              </w:rPr>
              <w:t>；</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5、支持静态路由、PBR与多播路由，并支持ECMP、WCMP等路由均衡方式，能够根据预设探测条件实现动态的链路切换；支持RIPv1/2、OSPF、BGP等多种动态路由协议；</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6、支持ISL与802.1Q的TRUNK链路封装和解封，并支持VLAN-VPN功能；（提供截图证明）</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7、具有接口联动特性，使同一联动组内所有物理接口状态变化同步</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8、支持链路聚合，支持至少10种以上的聚合负载算法；（提供截图证明）</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9、能够基于访问控制策略进行最大并发连接数限制，支持策略冲突检查功能</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10、支持网络应用自学习并且能够根据自学习结果生成相关安全策略（提供截图证明）</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11、支持免客户端方式实现跨越路由（或其他三层设备）进行IP/MAC绑定功能（提供截图证明）；</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12、内网认证客户端支持一次性口令认证（OTP）、本地认证、证书认证和免客户端方式认证，同时支持RADIUS、LDAP、TACACS、SECURID等第三方外部认证设置</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13、支持用户口令复杂度设置、口令长度设置、密码过期时间设置与首次登陆口令修改设置，并能够以短信与邮件方式进行密码找回（提供截图证明）；</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14、规则库包括溢出攻击类、 RPC攻击类、WEBCGI攻击类、拒绝服务类、木马类、其它类、蠕虫类、扫描类、网络访问类、HTTP攻击类、系统漏洞类11大类攻击类型，规则数量大于5500条，并支持自定义攻击检测规则</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15、为适应不同网络及应用环境，引擎检测模式可选择智能检测或深度检测，数据处理模式可选择应用优先或安全优先</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rPr>
              <w:t>16、支持异常行为检测，内置统计智能学习算法，对特定地址对象建立监控策略，基于新建、并发、流量等数据与上一周期记录值进行比较判定是否异常，如果存在异常则报警；</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17、支持P2P（下载、音频、视频）、即时通讯、语音电话、网上银行、电子商务、财经软件、网络游戏、社交网络、网页应用（视频、音频、网盘、web邮箱等等）、远程控制、数据库等多种类型主流应用识别和控制（提供功能截图证明）；</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18、支持用户服务器的负载均衡，保证用户关键服务的有效性；</w:t>
            </w:r>
          </w:p>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19、防火墙在链路高数据量情况下，可以实现防火墙网络地址转换动态负载均衡；</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20、支持AS、AA、连接保护等多种设备高可用机制并支集群部署；</w:t>
            </w:r>
          </w:p>
          <w:p>
            <w:pPr>
              <w:widowControl/>
              <w:spacing w:line="0" w:lineRule="atLeast"/>
              <w:ind w:firstLine="0" w:firstLineChars="0"/>
              <w:jc w:val="left"/>
              <w:rPr>
                <w:rFonts w:hint="eastAsia" w:ascii="宋体" w:hAnsi="宋体" w:cs="宋体" w:eastAsiaTheme="minorEastAsia"/>
                <w:kern w:val="0"/>
                <w:sz w:val="18"/>
                <w:szCs w:val="18"/>
                <w:lang w:eastAsia="zh-CN"/>
              </w:rPr>
            </w:pPr>
            <w:r>
              <w:rPr>
                <w:rFonts w:hint="eastAsia" w:ascii="宋体" w:hAnsi="宋体" w:cs="宋体"/>
                <w:kern w:val="0"/>
                <w:sz w:val="18"/>
                <w:szCs w:val="18"/>
              </w:rPr>
              <w:t>21、可在发生系统故障时，实现系统自动修复</w:t>
            </w:r>
            <w:r>
              <w:rPr>
                <w:rFonts w:hint="eastAsia" w:ascii="宋体" w:hAnsi="宋体" w:cs="宋体"/>
                <w:kern w:val="0"/>
                <w:sz w:val="18"/>
                <w:szCs w:val="18"/>
                <w:lang w:eastAsia="zh-CN"/>
              </w:rPr>
              <w:t>；</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22、要求系统管理员能够通过“用户名＋口令”方式认证进行登录管理；</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23、要求具有配置文件自动定时上传到指定外部服务器功能；（要求截图）</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日志审计</w:t>
            </w:r>
          </w:p>
        </w:tc>
        <w:tc>
          <w:tcPr>
            <w:tcW w:w="10774" w:type="dxa"/>
            <w:shd w:val="clear" w:color="auto" w:fill="auto"/>
            <w:noWrap/>
            <w:vAlign w:val="center"/>
          </w:tcPr>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1U机架式设备；数据存储容量4T；配备7个千兆电口，无业务接口数量授权限制；包含日志收集、存储、查询、统计分析等功能。配备50个日志源授权。</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综合处理均值：5000EPS</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数据存储能力：支持大数据存储；压缩加密存储，压缩比不低于10:1；日志存储不低于10000条/M</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支持BT级数据交互式多条件查询,上亿级数据查询结果返回延时小于10s（提供界面截图）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通过web方式对本系统实现管理；支持SSL加密模式传输；</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为保障产品运行的安全及稳定性，要求产品设计、开发、生产及售后服务符合</w:t>
            </w:r>
            <w:r>
              <w:rPr>
                <w:rFonts w:ascii="宋体" w:hAnsi="宋体" w:cs="宋体"/>
                <w:kern w:val="0"/>
                <w:sz w:val="18"/>
                <w:szCs w:val="18"/>
              </w:rPr>
              <w:t>TL9000-H-S-V相关标准要求；</w:t>
            </w:r>
            <w:r>
              <w:rPr>
                <w:rFonts w:hint="eastAsia" w:ascii="宋体" w:hAnsi="宋体" w:cs="宋体"/>
                <w:kern w:val="0"/>
                <w:sz w:val="18"/>
                <w:szCs w:val="18"/>
              </w:rPr>
              <w:t>提供第三方权威证明材料。</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支持市面主流安全设备、网络设备、中间件、服务器、数据库、操作系统等不少于26类300种日志对象的日志数据采集。</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支持主动、被动相结合的数据采集方式；支持支持Telnet、Syslog、SNMP Trap、Netflow、JDBC、SSH、WMI、FTP等进行数据采集；支持通过Agent采集日志数据。</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支持标准化日志描述语言快速扩展兼容特殊日志</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支持日志数据采集实时展示（提供截图证明）</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支持控制被采集设备的日志流量速度（提供截图证明）</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支持日志归一化处理，将不同设备所产生的不同格式的难以理解的日志数据进行统一格式化处理，提炼出有用信息清晰、明确的展示给管理者</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支持将日志按照类型等方式进行分类</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支持对所管理设备的日志原始数据完整存储</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采用基于具有自主知识产权的非关系型大数据存储架构，支持数据本地集中存储、网络存储以及大数据存储</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支持海量原始日志加密压缩存储，压缩比不低于10:1</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海量数据加密存储，防篡改</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支持根据设备重要程度设置独立的数据存储策略（提供界面截图）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支持自定义存储位置，支持磁盘阵列、SAN、NAS等外部高性能存储</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支持存储空间图像化、动态监控，超过阀值进行告警。支持从存储空间、存储时间多维度进行动态监控。</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支持数据自动、手动备份。</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系统内置常见安全事件关联分析规则（提供界面截图）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支持基于策略的多日志源海量日志实时关联分析，发现安全事件实时告警。</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提供可视化关联分析规则编辑视图，可根据实际业务编辑关联分析规则（提供界面截图）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«符合关于对象的事件响应机制，获取与对象关联的策略，根据获得的策略从而对响应对象决策，提供国家权威机构证明。</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支持安全告警概况、安全告警趋势以及实时安全事件的统一展示，实时告警可根据级别、规则类型等进行分类（提供界面截图）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支持根据时间类型、级别、规则类型、规则名称、时间范围、事件名、设备IP、源IP、目的IP、源端口、目的端口和传输协议等方式快速检索安全事件告警，检索结果支持Excel等格式导出</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支持基于时间轴展示数据分布，能够通过时间轴进行查询分析（提供截图证明）</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支持邮件、声音、短信、命令行等多种告警方式</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可以针对不同类型、不同种类以及不同安全级别的安全事件制定不同的告警方式。</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内置不少于500种报表模板（提供界面截图）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百亿级数据报表查看显示时间小于20秒</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支持自定义报表</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支持PDF、word、execl等方式导出报表</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支持实时报表、计划报表</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支持实时日志查看，提供实时更新的最近的2000条日志信息，管理员可以进行监视、刷新、清零等基本监视条件管理。</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支持多条件组合查询；支持原始日志全文检索；查询结果可将归一化日志和原始日志同屏对比显示；</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支持等于、不等于、大于、小于、正则表达式等查询条件；支持为不同类型日志设置不同的查询条件和显示条件；</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支持在查询结果页面上直接下钻二次查询，快速定位关键日志，还可以返回上次查询条件；查询结果支持分页显示；支持查询结果导出；支持外部备份文件导入进行查询。</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支持查询结果快速统计，可自定义统计规则（提供界面截图）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通过日志趋势图，管理员可以查看指定时间段的日志数量</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管理员可以对日志源进行查看、添加、编辑、删除以及启\禁用的操作；支持手动添加日志源、导入日志源</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支持为资产指定类型、名称、IP地址、IP地址归属、操作系统类型、主机名、收集节点、收集方式、以及日志源启停状态等属性信息</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支持自动生成日志源拓扑图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支持基于拓扑图的日志源相关数据信息快速查看（提供界面截图）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支持按照角色对日志源的综合管理权限进行授权（提供界面截图）</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支持黑白名单制定，被添加到黑名单列表中的IP地址主动发送的日志将被忽略。</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支持用户按角色管理，支持三权分立；支持非法用户设备访问控制策略；</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系统具有防恶意暴力破解账号与口令功能；口令错误次数可设置，超过错误次数锁定，锁定时间可设置。</w:t>
            </w:r>
          </w:p>
          <w:p>
            <w:pPr>
              <w:widowControl/>
              <w:numPr>
                <w:ilvl w:val="0"/>
                <w:numId w:val="1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系统配置信息支持备份导入；支持自定义数据采集端口；</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（二）核心交换机</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（二）核心交换机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LS-7503E-M</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 xml:space="preserve"> 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电源模块300W</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 xml:space="preserve"> 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7503E-M专用主控</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交换路由引擎模块 ,24端口千兆以太网光接口(SFP,LC)+4端口万兆以太网光接口(SFP+,LC)(SC)</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 xml:space="preserve"> 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7503E-M业务板卡</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24端口千兆以太网电接口（</w:t>
            </w:r>
            <w:r>
              <w:rPr>
                <w:rFonts w:ascii="宋体" w:hAnsi="宋体" w:cs="Arial"/>
                <w:kern w:val="0"/>
                <w:sz w:val="18"/>
                <w:szCs w:val="18"/>
              </w:rPr>
              <w:t>RJ45</w:t>
            </w:r>
            <w:r>
              <w:rPr>
                <w:rFonts w:hint="eastAsia" w:ascii="宋体" w:hAnsi="宋体" w:cs="宋体"/>
                <w:kern w:val="0"/>
                <w:sz w:val="18"/>
                <w:szCs w:val="18"/>
              </w:rPr>
              <w:t>）</w:t>
            </w:r>
            <w:r>
              <w:rPr>
                <w:rFonts w:ascii="宋体" w:hAnsi="宋体" w:cs="Arial"/>
                <w:kern w:val="0"/>
                <w:sz w:val="18"/>
                <w:szCs w:val="18"/>
              </w:rPr>
              <w:t>+20</w:t>
            </w:r>
            <w:r>
              <w:rPr>
                <w:rFonts w:hint="eastAsia" w:ascii="宋体" w:hAnsi="宋体" w:cs="宋体"/>
                <w:kern w:val="0"/>
                <w:sz w:val="18"/>
                <w:szCs w:val="18"/>
              </w:rPr>
              <w:t>端口以太网光接口（</w:t>
            </w:r>
            <w:r>
              <w:rPr>
                <w:rFonts w:ascii="宋体" w:hAnsi="宋体" w:cs="Arial"/>
                <w:kern w:val="0"/>
                <w:sz w:val="18"/>
                <w:szCs w:val="18"/>
              </w:rPr>
              <w:t>SFP,LC</w:t>
            </w:r>
            <w:r>
              <w:rPr>
                <w:rFonts w:hint="eastAsia" w:ascii="宋体" w:hAnsi="宋体" w:cs="宋体"/>
                <w:kern w:val="0"/>
                <w:sz w:val="18"/>
                <w:szCs w:val="18"/>
              </w:rPr>
              <w:t>）＋</w:t>
            </w:r>
            <w:r>
              <w:rPr>
                <w:rFonts w:ascii="宋体" w:hAnsi="宋体" w:cs="Arial"/>
                <w:kern w:val="0"/>
                <w:sz w:val="18"/>
                <w:szCs w:val="18"/>
              </w:rPr>
              <w:t>4</w:t>
            </w:r>
            <w:r>
              <w:rPr>
                <w:rFonts w:hint="eastAsia" w:ascii="宋体" w:hAnsi="宋体" w:cs="宋体"/>
                <w:kern w:val="0"/>
                <w:sz w:val="18"/>
                <w:szCs w:val="18"/>
              </w:rPr>
              <w:t>端口万兆以太网光接口模块</w:t>
            </w:r>
            <w:r>
              <w:rPr>
                <w:rFonts w:ascii="宋体" w:hAnsi="宋体" w:cs="Arial"/>
                <w:kern w:val="0"/>
                <w:sz w:val="18"/>
                <w:szCs w:val="18"/>
              </w:rPr>
              <w:t xml:space="preserve"> (SFP+,LC)</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万兆多模光模块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16</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万兆多模光纤跳线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多模OM4 10米</w:t>
            </w:r>
          </w:p>
        </w:tc>
        <w:tc>
          <w:tcPr>
            <w:tcW w:w="666"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（三）终端防病毒系统</w:t>
            </w:r>
          </w:p>
        </w:tc>
        <w:tc>
          <w:tcPr>
            <w:tcW w:w="12241" w:type="dxa"/>
            <w:gridSpan w:val="3"/>
            <w:shd w:val="clear" w:color="auto" w:fill="auto"/>
            <w:noWrap/>
            <w:vAlign w:val="center"/>
          </w:tcPr>
          <w:p>
            <w:pPr>
              <w:widowControl/>
              <w:spacing w:line="0" w:lineRule="atLeast"/>
              <w:ind w:firstLine="0" w:firstLineChars="0"/>
              <w:jc w:val="left"/>
            </w:pPr>
            <w:r>
              <w:rPr>
                <w:rFonts w:hint="eastAsia" w:ascii="宋体" w:hAnsi="宋体" w:cs="宋体"/>
                <w:b/>
                <w:bCs/>
                <w:kern w:val="0"/>
                <w:sz w:val="18"/>
                <w:szCs w:val="18"/>
              </w:rPr>
              <w:t>（三）终端防病毒系统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系统控制中心软件-Windows版</w:t>
            </w:r>
          </w:p>
        </w:tc>
        <w:tc>
          <w:tcPr>
            <w:tcW w:w="10774" w:type="dxa"/>
            <w:shd w:val="clear" w:color="auto" w:fill="auto"/>
            <w:noWrap/>
            <w:vAlign w:val="center"/>
          </w:tcPr>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配置4个Windows Server客户端防护许可；提供原厂商三年规则库升级许可；</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系统支持全中文界面，B/S架构。管理员只需通过浏览器登录控制中心，即可对系统进行管理。</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客户端至少支持WindowsXP、Windows 7、Windows 8、Windows 10等32位/64位终端操作系统，支持Windows2003、Windows2008、Windows2012、Windows2012、Windows2016、Windows2019等32位/64位服务器操作系统。同时需支持Linux操作系统以及中标麒麟、银河麒麟等国产操作系统。（提供截图）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支持虚拟机、主流虚拟化终端环境</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客户端安装后至多占用50M硬盘资源，病毒库3M大小，日常内存占用不到50M，有效节省PC/Server资源；</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支持级联部署及管理，可实时查看下级终端威胁及在线情况，上级可对下级灵活分配授权</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为保障系统运行的可靠性与稳定性，要求信息安全设备、系统软件的开发、生产符合TL9000-HSV R5.0/5.0标准，提供相关证明；</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控制中心支持实时显示客户端的状态及终端基本信息，包括客户端连接状态、服务状态；终端机器名称、IP地址、MAC地址、操作系统、显卡信息、内存大小、当前版本信息和物理位置等信息，支持终端信息导出。</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对终端进行分组及批量分组，支持对终端进行单/多标签标记，控制中心支持全网/以分组、标签为单位/指定某些客户端定制操作，即时/定时实现客户端病毒查杀、显示通知、关机、重启、升级等操作，并对以上操作配置详情，客户端执行情况跟踪，实现控制中心对客户端的操作监控。（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支持客户端主动升级及平台即时/定时推送升级。</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平台支持客户端升级包上传及配置http(s)/ftp 远端同步方式，更新客户端升级包 ，可以根据不同网络环境提供在线获取和隔离网获取相应工具。</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产品具备漏洞集中修复，强制修复；可以通过报表形式展示全网补丁情况，分为高危补丁、功能更新等，并展示以做补丁和未做补丁的信息。</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控制中心支持全网/以分组、标签为单位/指定某些客户端定制策略，支持指定客户端策略锁定。（提供截图）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定制策略包括病毒防御（文件实时监控、恶意行为监控、U盘保护、下载保护、邮件监控）、系统防御（系统加固、软件安装拦截、浏览器保护）、网络防御（黑客入侵拦截、对外攻击检测、恶意网站拦截、IP协议控制、IP黑名单）等。（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支持策略无限定时间定制，终端开机启动策略生效，支持设置客户端与控制中心的通讯时间间隔,支持自定义白名单，可设置路径、哈希，实现信任文件过滤。</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支持远程控制，通过管理中心实现对客户端的远程运维。</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设备监控,可以对主机的以下设备进行启用禁用操作：光驱、打印机、调制解调器、网络适配器、图形图像设备、通讯端口、红外设备、蓝牙设备、1394控制器、PCMCIA卡、便携设备、USB设备，对光驱可设置是否允许刻录权限，对USB设备可设置例外项，添加USB硬件ID和设备信息，USB设备类包括光驱、打印机、调制解调器、通讯端口、图形图像设备，USB设备子类包括音频、图像、打印、大容量存储、智能卡、视频等。（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对移动存储设备采用标签式注册管理，可以区分内外部介质使用，定义禁用、启用只读、启用（只读_运行）和启用读写、启用（读写_运行）五种操作，按照文件类型审计在移动存储介质上文件操作记录，并可设置例外USB设备。</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支持系统账号、软件监控策略。可在用户进行创建、修改、删除时进行报警提示。</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支持进程监控，可定义进程黑、白名单，支持进程路径、HASH、版本、内容匹配，可忽略已签名程序，白名单指定进程可设置自保护、启动退出报警，黑名单中的进程可自动中止。（提供截图）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支持终端网络准入控制策略，提供802.1x和防火墙联动两种准入方式。（提供截图）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支持服务监控策略，采用黑白名单方式控制系统服务启用或禁用，可根据服务名称、显示名称、路径进行匹配，并设置是否报警。</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支持文件分发，可指定下发时间、下发后的处理方式（只接收、接收后运行）。</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支持外联监控策略。支持http、telnet、ping三种方式检测终端违规外联行为，可设定检测周期、外联检测地址、违规处理方式（不处理、重启、断网、提示）。</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支持文档跟踪策略，可按照不同文件、压缩包类型跟踪文档内到外、外到内、外到外、内到内等流转方向，并可跟踪文档包括拷贝、压缩、解压缩、修改、删除、重命名、移动等操作。</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支持文档防泄漏功能，针对终端存储的word、pdf、ppt、Excel、rtf、文本文件等进行全盘关键字检查，对含有指定关键字的文档进行禁止发送、禁止拷贝等管控，同时将文档违规信息上报。</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支持超级管理员预置及自定义权限角色，支持多管理员管理，同权限管理员共享数据。</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支持控制中心访问控制，包含WEB访问控制定制超时时间、登录重试次数、IP锁定时长及解锁，IP访问控制指定具体IP可访问控制中心。</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支持管理员操作，日志记录追踪；支持控制中心-客户端交互操作，日志记录追踪，便于问题定位。</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支持定制磁盘管理规则，对审计、系统、终端、告警等日志即时或定期清理，实现磁盘瘦身。</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支持终端防卸载、防退出功能，管理员能够统一设置防卸载密码，防止终端用户随意脱离保护。（提供截图）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至少支持对终端内部文件进行全盘扫描、快速扫描，自定义扫描三种扫描能力。</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支持基于行为的检测和防护技术，支持对已知病毒、未知病毒的查杀能力，包括但不限于：木马病毒、变形病毒、勒索病毒、加壳病毒、宏病毒、注册表病毒、内存或服务类病毒等。</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支持对压缩文件内的恶意文件扫描，包括但不限于对Arj、bzip2、Lzh、Tar、Zip、Rar等压缩文件格式类型查杀防护</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支持扫描和清除各种广告软件、恶意插件、隐蔽软件、黑客工具、风险程序等。</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终端支持路径白名单，添加到信任区的文件扫描自动跳过信任目录，不作检测。</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支持病毒自动隔离备份功能，客户端能自动将病毒文件隔离到本地隔离区，同时支持恢复隔离文件。支持本地查杀缓存，提高查杀速度</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支持扫描压缩文件大小设定、不扫描指定扩展名文件，提高扫描效率，降低资源占用。</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支持基于虚拟沙盒的高效的本地反病毒引擎， 实现极高的本地查杀能力</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支持对webshell后门进行扫描检测 , webshell后门库数量大于100000。（提供截图）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要求对流行病毒的检测能力必须超过98%的检出率，小于0.1%的误报率。</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支持虚拟补丁功能，针对网络数据流的深层分析，检测入站流量并保护应用程序免受攻击，有效阻止勒索病毒等高危威胁的入侵。（提供截图）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支持内容拦截主动防御，当文件被执行、修改、访问时，反病毒引擎对相应文件进行扫描，如扫描到威胁则阻断用户对该恶意威胁的触碰并根据需要进行隔离操作。</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支持规则拦截主动防御，程序执行时，规则拦截层开始生效，并根据基础防护或自定义防护规则，对程序产生的违例动作进行拦截。（提供截图）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支持行为拦截主动防御，当发现威胁时，行为拦截层阻止威胁进程及关联进程、线程的执行，并尽可能地回滚已经产生的潜在风险，实现病毒行为监控，软件安装拦截。（提供截图）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支持内容过滤主动防御，解决网络数据包的安全威胁问题，基于内容过滤的防火墙，实现木马 盗号、钓鱼仿冒、虚假欺诈等各类潜在风险网站的拦截及潜在黑客攻击等恶意入侵行为拦截。（提供截图）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全方位主机防护，包括防止指定文件项目被篡改、破坏或恶意创建，防止指定注册表项被恶意篡改，监控针对系统的敏感动作，拦截高风险动作，防止指定命令行被恶意利用，实时保护系统重要进程，对顽固留下病毒进行智能拦截等，出现破坏行为，根据策略定制进行自动阻止或自动允许或弹窗提示。（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支持U盘扫描修复功能，主动对 U 盘中的文件进行扫描，对U 盘传播类恶意软件常见恶意修改操作进行修复，防止病毒通过U盘在终端传播有效保护终端不受病毒侵扰。</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支持下载保护功能，在下载过程中对文件进行检测，发现恶意程序立即弹窗阻止，并记录安全日志。防止病毒通过网络传播。</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支持IP黑名单能力，设为黑名单的IP将无法访问被策略保护的主机。</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支持终端对外攻击检测，根据网络攻击检测，自动阻止或记录攻击行为，避免用户的利益受到损害。</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«支持根据相似关系构建僵尸群落，进行分析，发现僵尸网络间的内在关系，更有效的跟踪和研究僵尸网络背后的黑客组织的行为模式，提供第三方证明文件。</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支持终端防火墙功能，支持包括但不限于通过协议（TCP、UDP、ICMP、IGMP、GGP、PUP、IDP、ND、ESP、AH、RDP、GRE、SKIP、RAW），端口号，IP地址、进出口方向等控制规则对终端进行防护，从网络层保护终端安全。</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支持基于SMTP/POP3协议的邮件监控，防止病毒通过邮件在终端传播，有效保护终端不受病毒侵扰。</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支持对终端内文件、邮件、网页一体化实时监控，防止病毒、木马、恶意程序等各途径传播运行；</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丰富扩展工具，有效管理文件、桌面、IE的右键菜单；强制删除或彻底粉碎文件；轻松管理开机启动项目；扫描修复系统漏洞；全面清理系统垃圾文件；拦截程序的各类骚扰弹出；管理网络流量情况等，实现终端最优状态设置。</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支持统计分析客户端上报的威胁日志，包含终端/部门/责任人危险排行统计、防御类型分布统计、病毒类型分布统计、病毒排行统计、病毒趋势统计等，支持图表显示。</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支持报表内容、周期、推送、输出格式定制，内容设定模板任意组合包含终端/部门/责任人危险排行统计、防御类型分布统计、病毒类型分布统计、病毒排行统计、病毒趋势统计等统计情景及威胁Top10、Top20、Top30排行；周期设定任意组合日、周、月周期，定时生成报表；推送设定任意接收报表人员。（提供截图）</w:t>
            </w:r>
          </w:p>
          <w:p>
            <w:pPr>
              <w:widowControl/>
              <w:numPr>
                <w:ilvl w:val="0"/>
                <w:numId w:val="20"/>
              </w:numPr>
              <w:spacing w:line="0" w:lineRule="atLeast"/>
              <w:ind w:left="0" w:firstLine="0" w:firstLineChars="0"/>
              <w:jc w:val="left"/>
              <w:rPr>
                <w:rFonts w:ascii="宋体" w:hAnsi="宋体" w:cs="宋体"/>
                <w:sz w:val="18"/>
                <w:szCs w:val="18"/>
              </w:rPr>
            </w:pPr>
            <w:r>
              <w:rPr>
                <w:rFonts w:hint="eastAsia" w:ascii="宋体" w:hAnsi="宋体" w:cs="宋体"/>
                <w:sz w:val="18"/>
                <w:szCs w:val="18"/>
              </w:rPr>
              <w:t>多管理员可定制专属报表，数据隔离，报表仅对自己可见及管理，支持立即生成报表模板预置时段或自定义时段报表。</w:t>
            </w:r>
          </w:p>
          <w:p>
            <w:pPr>
              <w:widowControl/>
              <w:numPr>
                <w:ilvl w:val="0"/>
                <w:numId w:val="20"/>
              </w:numPr>
              <w:spacing w:line="0" w:lineRule="atLeast"/>
              <w:ind w:left="0" w:firstLine="0" w:firstLineChars="0"/>
              <w:jc w:val="left"/>
              <w:rPr>
                <w:rFonts w:ascii="宋体" w:hAnsi="宋体" w:cs="宋体"/>
                <w:kern w:val="0"/>
                <w:sz w:val="18"/>
                <w:szCs w:val="18"/>
              </w:rPr>
            </w:pPr>
            <w:r>
              <w:rPr>
                <w:rFonts w:hint="eastAsia" w:ascii="宋体" w:hAnsi="宋体" w:cs="宋体"/>
                <w:sz w:val="18"/>
                <w:szCs w:val="18"/>
              </w:rPr>
              <w:t>支持对客户端上报的安全日志进行审计、告警，可预置字段及自定义字段过滤详细日志，快速定位终端安全状况；定制符合企业敏感程度的告警规则，达到告警阈值，产生告警日志并定制推送，保证告警及时性。（提供截图）</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防病毒+补丁管理+运维管控windows</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防病毒功能+补丁+运维管控功能，支持Windows XP/VISTA/WIN7/WIN8/WIN10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年/套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防病毒+补丁管理+运维管控Linux</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提供一年防病毒功能+补丁功能+运维管控的升级维保服务。</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点/3年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融合通讯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序号</w:t>
            </w:r>
          </w:p>
        </w:tc>
        <w:tc>
          <w:tcPr>
            <w:tcW w:w="1116" w:type="dxa"/>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名称</w:t>
            </w:r>
          </w:p>
        </w:tc>
        <w:tc>
          <w:tcPr>
            <w:tcW w:w="10774"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功能描述</w:t>
            </w:r>
          </w:p>
        </w:tc>
        <w:tc>
          <w:tcPr>
            <w:tcW w:w="66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数量</w:t>
            </w:r>
          </w:p>
        </w:tc>
        <w:tc>
          <w:tcPr>
            <w:tcW w:w="801"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融合指挥调度系统</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cs="宋体" w:asciiTheme="minorEastAsia" w:hAnsiTheme="minorEastAsia" w:eastAsiaTheme="minorEastAsia"/>
                <w:kern w:val="0"/>
                <w:sz w:val="18"/>
                <w:szCs w:val="18"/>
              </w:rPr>
              <w:t>1、19英寸机架式服务器，不低于8G内存，8核，1T硬盘，便于统一上架部署；</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2、支持32路并发通信，不少于100调度用户注册，100个IM用户注册；</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3、内置人员综合管理、语音调度业务、视频会议业务、即时消息业务、集群对讲业务、视频调度业务、在线地图业务等多媒体业务的能力，满足用户综合管理和指挥调度的业务需求。</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4、语音调度业务：支持单呼、语音会议、对讲等基本语音调度功能。</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5、支持H.264视频编解码协议，支持G.711 u、G.71</w:t>
            </w:r>
            <w:r>
              <w:rPr>
                <w:rFonts w:hint="eastAsia" w:cs="宋体" w:asciiTheme="minorEastAsia" w:hAnsiTheme="minorEastAsia" w:eastAsiaTheme="minorEastAsia"/>
                <w:color w:val="auto"/>
                <w:kern w:val="0"/>
                <w:sz w:val="18"/>
                <w:szCs w:val="18"/>
                <w:highlight w:val="none"/>
              </w:rPr>
              <w:t>1 a、G.722、iLBC等语音编解码协议</w:t>
            </w:r>
            <w:r>
              <w:rPr>
                <w:rFonts w:hint="eastAsia" w:cs="宋体" w:asciiTheme="minorEastAsia" w:hAnsiTheme="minorEastAsia" w:eastAsiaTheme="minorEastAsia"/>
                <w:color w:val="auto"/>
                <w:kern w:val="0"/>
                <w:sz w:val="18"/>
                <w:szCs w:val="18"/>
                <w:highlight w:val="none"/>
              </w:rPr>
              <w:br w:type="textWrapping"/>
            </w:r>
            <w:r>
              <w:rPr>
                <w:rFonts w:hint="eastAsia" w:cs="宋体" w:asciiTheme="minorEastAsia" w:hAnsiTheme="minorEastAsia" w:eastAsiaTheme="minorEastAsia"/>
                <w:color w:val="auto"/>
                <w:kern w:val="0"/>
                <w:sz w:val="18"/>
                <w:szCs w:val="18"/>
                <w:highlight w:val="none"/>
              </w:rPr>
              <w:t>6、支持账号权限设置功能，支持对账号进行优先级的设置；</w:t>
            </w:r>
            <w:r>
              <w:rPr>
                <w:rFonts w:hint="eastAsia" w:cs="宋体" w:asciiTheme="minorEastAsia" w:hAnsiTheme="minorEastAsia" w:eastAsiaTheme="minorEastAsia"/>
                <w:color w:val="auto"/>
                <w:kern w:val="0"/>
                <w:sz w:val="18"/>
                <w:szCs w:val="18"/>
                <w:highlight w:val="none"/>
              </w:rPr>
              <w:br w:type="textWrapping"/>
            </w:r>
            <w:r>
              <w:rPr>
                <w:rFonts w:hint="eastAsia" w:cs="宋体" w:asciiTheme="minorEastAsia" w:hAnsiTheme="minorEastAsia" w:eastAsiaTheme="minorEastAsia"/>
                <w:color w:val="auto"/>
                <w:kern w:val="0"/>
                <w:sz w:val="18"/>
                <w:szCs w:val="18"/>
                <w:highlight w:val="none"/>
              </w:rPr>
              <w:t>7、支持对群组权限功能设置，支持对对讲组进行优先级的设置；</w:t>
            </w:r>
            <w:r>
              <w:rPr>
                <w:rFonts w:hint="eastAsia" w:cs="宋体" w:asciiTheme="minorEastAsia" w:hAnsiTheme="minorEastAsia" w:eastAsiaTheme="minorEastAsia"/>
                <w:color w:val="auto"/>
                <w:kern w:val="0"/>
                <w:sz w:val="18"/>
                <w:szCs w:val="18"/>
                <w:highlight w:val="none"/>
              </w:rPr>
              <w:br w:type="textWrapping"/>
            </w:r>
            <w:r>
              <w:rPr>
                <w:rFonts w:hint="eastAsia" w:cs="宋体" w:asciiTheme="minorEastAsia" w:hAnsiTheme="minorEastAsia" w:eastAsiaTheme="minorEastAsia"/>
                <w:color w:val="auto"/>
                <w:kern w:val="0"/>
                <w:sz w:val="18"/>
                <w:szCs w:val="18"/>
                <w:highlight w:val="none"/>
              </w:rPr>
              <w:t>8、支持对APP进行统一升级的服务功能：通过在调度系统中上传软件安装包，前端APP进行自动升级；</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9、集群对讲业务：要求支持基于4G/5G/WIFI的群组对讲业务，支持智能单兵终端、智能车载终端、安卓手机、传统对讲电台/手台的混合编组对讲。</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10、提供多种接口方式，支持 websocket、http、MQ， 为平台软件推送消息可以实现通讯录同步、音视频呼叫、呼叫记录、会议、广播、点击呼叫、视频会商控制等二次开发功能。</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1</w:t>
            </w:r>
            <w:r>
              <w:rPr>
                <w:rFonts w:hint="eastAsia" w:cs="宋体" w:asciiTheme="minorEastAsia" w:hAnsiTheme="minorEastAsia"/>
                <w:kern w:val="0"/>
                <w:sz w:val="18"/>
                <w:szCs w:val="18"/>
                <w:lang w:val="en-US" w:eastAsia="zh-CN"/>
              </w:rPr>
              <w:t>1</w:t>
            </w:r>
            <w:r>
              <w:rPr>
                <w:rFonts w:hint="eastAsia" w:cs="宋体" w:asciiTheme="minorEastAsia" w:hAnsiTheme="minorEastAsia" w:eastAsiaTheme="minorEastAsia"/>
                <w:kern w:val="0"/>
                <w:sz w:val="18"/>
                <w:szCs w:val="18"/>
              </w:rPr>
              <w:t>、兼容自主可控国产化操作系统</w:t>
            </w:r>
            <w:r>
              <w:rPr>
                <w:rFonts w:hint="eastAsia" w:cs="宋体" w:asciiTheme="minorEastAsia" w:hAnsiTheme="minorEastAsia"/>
                <w:kern w:val="0"/>
                <w:sz w:val="18"/>
                <w:szCs w:val="18"/>
                <w:lang w:eastAsia="zh-CN"/>
              </w:rPr>
              <w:t>；</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1</w:t>
            </w:r>
            <w:r>
              <w:rPr>
                <w:rFonts w:hint="eastAsia" w:cs="宋体" w:asciiTheme="minorEastAsia" w:hAnsiTheme="minorEastAsia"/>
                <w:kern w:val="0"/>
                <w:sz w:val="18"/>
                <w:szCs w:val="18"/>
                <w:lang w:val="en-US" w:eastAsia="zh-CN"/>
              </w:rPr>
              <w:t>2</w:t>
            </w:r>
            <w:r>
              <w:rPr>
                <w:rFonts w:hint="eastAsia" w:cs="宋体" w:asciiTheme="minorEastAsia" w:hAnsiTheme="minorEastAsia" w:eastAsiaTheme="minorEastAsia"/>
                <w:kern w:val="0"/>
                <w:sz w:val="18"/>
                <w:szCs w:val="18"/>
              </w:rPr>
              <w:t>、兼容自主可控国产化数据库。</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音视频录制系统</w:t>
            </w:r>
          </w:p>
        </w:tc>
        <w:tc>
          <w:tcPr>
            <w:tcW w:w="10774" w:type="dxa"/>
            <w:shd w:val="clear" w:color="auto" w:fill="auto"/>
            <w:noWrap/>
            <w:vAlign w:val="center"/>
          </w:tcPr>
          <w:p>
            <w:pPr>
              <w:widowControl/>
              <w:spacing w:line="0" w:lineRule="atLeast"/>
              <w:ind w:firstLine="0" w:firstLineChars="0"/>
              <w:jc w:val="left"/>
              <w:rPr>
                <w:rFonts w:cs="宋体" w:asciiTheme="minorEastAsia" w:hAnsiTheme="minorEastAsia" w:eastAsiaTheme="minorEastAsia"/>
                <w:kern w:val="0"/>
                <w:sz w:val="18"/>
                <w:szCs w:val="18"/>
                <w:highlight w:val="none"/>
              </w:rPr>
            </w:pPr>
            <w:r>
              <w:rPr>
                <w:rFonts w:hint="eastAsia" w:cs="宋体" w:asciiTheme="minorEastAsia" w:hAnsiTheme="minorEastAsia" w:eastAsiaTheme="minorEastAsia"/>
                <w:kern w:val="0"/>
                <w:sz w:val="18"/>
                <w:szCs w:val="18"/>
                <w:highlight w:val="none"/>
              </w:rPr>
              <w:t>1、19英寸机架式服务器，不低于8G内存，8核，1T硬盘，便于统一上架部署；</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2、支持最大32路并发音频通话录制、4路并发视频录制</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4、服务器选择多媒体录制服务器，实现音频、视频、图片的集中录制管理；</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5、支持G.711 u、G.711 a、G.729 a音频编码格式的音频录制</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6、支持H.264、H.265视频编码格式的视频录制</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7、录制的话音质量清晰、视频图像质量清晰</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8、报表显示开始时间，结束时间，时长，主叫号码和被叫号码</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9、记录时长只受存储设备容量的限制</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10、录像文件格式和原始视频流相同</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11、基于WEB的录音录像文件管理方式</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 xml:space="preserve">12、支持FTP转存或下载转存到其他存储位置 </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13、调度系统同一品牌；</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视频融合模块</w:t>
            </w:r>
          </w:p>
        </w:tc>
        <w:tc>
          <w:tcPr>
            <w:tcW w:w="10774" w:type="dxa"/>
            <w:shd w:val="clear" w:color="auto" w:fill="auto"/>
            <w:noWrap/>
            <w:vAlign w:val="center"/>
          </w:tcPr>
          <w:p>
            <w:pPr>
              <w:widowControl/>
              <w:spacing w:line="0" w:lineRule="atLeast"/>
              <w:ind w:firstLine="0" w:firstLineChars="0"/>
              <w:jc w:val="left"/>
              <w:rPr>
                <w:rFonts w:cs="宋体" w:asciiTheme="minorEastAsia" w:hAnsiTheme="minorEastAsia" w:eastAsiaTheme="minorEastAsia"/>
                <w:kern w:val="0"/>
                <w:sz w:val="18"/>
                <w:szCs w:val="18"/>
                <w:highlight w:val="none"/>
              </w:rPr>
            </w:pPr>
            <w:r>
              <w:rPr>
                <w:rFonts w:hint="eastAsia" w:cs="宋体" w:asciiTheme="minorEastAsia" w:hAnsiTheme="minorEastAsia" w:eastAsiaTheme="minorEastAsia"/>
                <w:kern w:val="0"/>
                <w:sz w:val="18"/>
                <w:szCs w:val="18"/>
                <w:highlight w:val="none"/>
              </w:rPr>
              <w:t>1、支持最大接入5000个监控探头，支持最大32路视频直播，支持最大32路视频监控并发调度；</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2、视频编解码：H.265/H.264/H.264 High Profile等；</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3、音频编解码：G.711/G.722/ G.726/OPUS/ILBC；</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4、交互协议：GB/T-28181；</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5、支持SIP协议输出；</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6、视频分辨率：CIF、D1、720、1080;</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7、支持对接NVR/监控平台/监控探头；</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8、支持国标GB28181协议对接监控平台</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9、支持将H.265视频流转码成H.264视频流</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10、和调度系统同一品牌；</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综合接入网关</w:t>
            </w:r>
          </w:p>
        </w:tc>
        <w:tc>
          <w:tcPr>
            <w:tcW w:w="10774" w:type="dxa"/>
            <w:shd w:val="clear" w:color="auto" w:fill="auto"/>
            <w:noWrap/>
            <w:vAlign w:val="center"/>
          </w:tcPr>
          <w:p>
            <w:pPr>
              <w:widowControl/>
              <w:spacing w:line="0" w:lineRule="atLeast"/>
              <w:ind w:firstLine="0" w:firstLineChars="0"/>
              <w:jc w:val="left"/>
              <w:rPr>
                <w:rFonts w:cs="宋体" w:asciiTheme="minorEastAsia" w:hAnsiTheme="minorEastAsia" w:eastAsiaTheme="minorEastAsia"/>
                <w:kern w:val="0"/>
                <w:sz w:val="18"/>
                <w:szCs w:val="18"/>
                <w:highlight w:val="none"/>
              </w:rPr>
            </w:pPr>
            <w:r>
              <w:rPr>
                <w:rFonts w:hint="eastAsia" w:cs="宋体" w:asciiTheme="minorEastAsia" w:hAnsiTheme="minorEastAsia" w:eastAsiaTheme="minorEastAsia"/>
                <w:kern w:val="0"/>
                <w:sz w:val="18"/>
                <w:szCs w:val="18"/>
                <w:highlight w:val="none"/>
              </w:rPr>
              <w:t>1、1U机架式设备</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2、最大支持1000个分机和200个并发呼叫</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3、提供4个业务板插槽，可混插FXS、FXO和E1/T业务1板</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4、FXS业务板：8×FXS/个，最多可插4个</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5、FXO业务板：8×FXO/个，最多可插4个</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6、4S4O业务板：4×FXS+4×FXO/个，最多可插4个</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7、DTU业务板: 4×E1/T1/个，最多可插4个</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8、灵活高效的路由策略，基于时间/号码前缀等多种策略</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 xml:space="preserve">9、支持多级IVR语音，帮助企业构建个性化语音导航 </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10、支持电话会议/视频通话/语音信箱/录音/监听等</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11、友好的Web用户管理界面，提供多种管理方式</w:t>
            </w:r>
            <w:r>
              <w:rPr>
                <w:rFonts w:hint="eastAsia" w:cs="宋体" w:asciiTheme="minorEastAsia" w:hAnsiTheme="minorEastAsia" w:eastAsiaTheme="minorEastAsia"/>
                <w:kern w:val="0"/>
                <w:sz w:val="18"/>
                <w:szCs w:val="18"/>
                <w:highlight w:val="none"/>
              </w:rPr>
              <w:br w:type="textWrapping"/>
            </w:r>
            <w:r>
              <w:rPr>
                <w:rFonts w:hint="eastAsia" w:cs="宋体" w:asciiTheme="minorEastAsia" w:hAnsiTheme="minorEastAsia" w:eastAsiaTheme="minorEastAsia"/>
                <w:kern w:val="0"/>
                <w:sz w:val="18"/>
                <w:szCs w:val="18"/>
                <w:highlight w:val="none"/>
              </w:rPr>
              <w:t>12、和调度系统同一品牌；</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音频接入网关</w:t>
            </w:r>
          </w:p>
        </w:tc>
        <w:tc>
          <w:tcPr>
            <w:tcW w:w="10774" w:type="dxa"/>
            <w:shd w:val="clear" w:color="auto" w:fill="auto"/>
            <w:noWrap/>
            <w:vAlign w:val="center"/>
          </w:tcPr>
          <w:p>
            <w:pPr>
              <w:widowControl/>
              <w:spacing w:line="0" w:lineRule="atLeast"/>
              <w:ind w:firstLine="0" w:firstLineChars="0"/>
              <w:jc w:val="left"/>
              <w:rPr>
                <w:rFonts w:cs="宋体" w:asciiTheme="minorEastAsia" w:hAnsiTheme="minorEastAsia" w:eastAsiaTheme="minorEastAsia"/>
                <w:kern w:val="0"/>
                <w:sz w:val="18"/>
                <w:szCs w:val="18"/>
              </w:rPr>
            </w:pPr>
            <w:r>
              <w:rPr>
                <w:rFonts w:hint="eastAsia" w:ascii="宋体" w:hAnsi="宋体" w:cs="宋体"/>
                <w:kern w:val="0"/>
                <w:sz w:val="18"/>
                <w:szCs w:val="18"/>
              </w:rPr>
              <w:t>2路音频输入、输出，支持SIP协议，支持G.711，G.729，G.723编码；TS 10Ω  平衡  0dBu      6.35mm二芯插头音频输入接口；1U高, 19英寸宽度机架。</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集群接入网关</w:t>
            </w:r>
          </w:p>
        </w:tc>
        <w:tc>
          <w:tcPr>
            <w:tcW w:w="10774" w:type="dxa"/>
            <w:shd w:val="clear" w:color="auto" w:fill="auto"/>
            <w:noWrap/>
            <w:vAlign w:val="center"/>
          </w:tcPr>
          <w:p>
            <w:pPr>
              <w:widowControl/>
              <w:spacing w:line="0" w:lineRule="atLeast"/>
              <w:ind w:firstLine="0" w:firstLineChars="0"/>
              <w:jc w:val="left"/>
              <w:rPr>
                <w:rFonts w:cs="宋体" w:asciiTheme="minorEastAsia" w:hAnsiTheme="minorEastAsia" w:eastAsiaTheme="minorEastAsia"/>
                <w:kern w:val="0"/>
                <w:sz w:val="18"/>
                <w:szCs w:val="18"/>
              </w:rPr>
            </w:pPr>
            <w:r>
              <w:rPr>
                <w:rFonts w:hint="eastAsia" w:ascii="宋体" w:hAnsi="宋体" w:cs="宋体"/>
                <w:kern w:val="0"/>
                <w:sz w:val="18"/>
                <w:szCs w:val="18"/>
              </w:rPr>
              <w:t>最大支持4路PTT。支持PTT、COR、自适应VOX、舒适噪音生成(CNG)、支持MAP27协议。专业航空插头，1U高, 19英寸宽度机架。需要用户提供对接电台和电台电源，提供电台型号和针脚定义。本期配置4路集群接口。</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PC调度软件</w:t>
            </w:r>
          </w:p>
        </w:tc>
        <w:tc>
          <w:tcPr>
            <w:tcW w:w="10774" w:type="dxa"/>
            <w:shd w:val="clear" w:color="auto" w:fill="auto"/>
            <w:noWrap/>
            <w:vAlign w:val="center"/>
          </w:tcPr>
          <w:p>
            <w:pPr>
              <w:widowControl/>
              <w:numPr>
                <w:ilvl w:val="0"/>
                <w:numId w:val="21"/>
              </w:numPr>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调度台软件支持语音调度功能、集群调度、视频调度功能、视频会商功能、即时通信功能、GIS调度功能。</w:t>
            </w:r>
            <w:r>
              <w:rPr>
                <w:rFonts w:hint="eastAsia" w:ascii="宋体" w:hAnsi="宋体" w:cs="宋体"/>
                <w:kern w:val="0"/>
                <w:sz w:val="18"/>
                <w:szCs w:val="18"/>
              </w:rPr>
              <w:br w:type="textWrapping"/>
            </w:r>
            <w:r>
              <w:rPr>
                <w:rFonts w:ascii="宋体" w:hAnsi="宋体" w:cs="宋体"/>
                <w:kern w:val="0"/>
                <w:sz w:val="18"/>
                <w:szCs w:val="18"/>
              </w:rPr>
              <w:t>2</w:t>
            </w:r>
            <w:r>
              <w:rPr>
                <w:rFonts w:hint="eastAsia" w:ascii="宋体" w:hAnsi="宋体" w:cs="宋体"/>
                <w:kern w:val="0"/>
                <w:sz w:val="18"/>
                <w:szCs w:val="18"/>
              </w:rPr>
              <w:t>、语音调度功能：通信录集中管理，成员图形化定义，语音单呼、固定组电话会议、临时组电话会议，固定组广播、临时组广播、多路来电排队等；</w:t>
            </w:r>
            <w:r>
              <w:rPr>
                <w:rFonts w:hint="eastAsia" w:ascii="宋体" w:hAnsi="宋体" w:cs="宋体"/>
                <w:kern w:val="0"/>
                <w:sz w:val="18"/>
                <w:szCs w:val="18"/>
              </w:rPr>
              <w:br w:type="textWrapping"/>
            </w:r>
            <w:r>
              <w:rPr>
                <w:rFonts w:ascii="宋体" w:hAnsi="宋体" w:cs="宋体"/>
                <w:kern w:val="0"/>
                <w:sz w:val="18"/>
                <w:szCs w:val="18"/>
              </w:rPr>
              <w:t>3</w:t>
            </w:r>
            <w:r>
              <w:rPr>
                <w:rFonts w:hint="eastAsia" w:ascii="宋体" w:hAnsi="宋体" w:cs="宋体"/>
                <w:kern w:val="0"/>
                <w:sz w:val="18"/>
                <w:szCs w:val="18"/>
              </w:rPr>
              <w:t>、视频调度功能：可集中调度监控终端、可视话机、手机终端、4G单兵终端、智能车载终端、网络视频等各种视频设备回传的图像在一个界面显示；可实现视频图像的分发功能；</w:t>
            </w:r>
            <w:r>
              <w:rPr>
                <w:rFonts w:hint="eastAsia" w:ascii="宋体" w:hAnsi="宋体" w:cs="宋体"/>
                <w:kern w:val="0"/>
                <w:sz w:val="18"/>
                <w:szCs w:val="18"/>
              </w:rPr>
              <w:br w:type="textWrapping"/>
            </w:r>
            <w:r>
              <w:rPr>
                <w:rFonts w:ascii="宋体" w:hAnsi="宋体" w:cs="宋体"/>
                <w:kern w:val="0"/>
                <w:sz w:val="18"/>
                <w:szCs w:val="18"/>
              </w:rPr>
              <w:t>4</w:t>
            </w:r>
            <w:r>
              <w:rPr>
                <w:rFonts w:hint="eastAsia" w:ascii="宋体" w:hAnsi="宋体" w:cs="宋体"/>
                <w:kern w:val="0"/>
                <w:sz w:val="18"/>
                <w:szCs w:val="18"/>
              </w:rPr>
              <w:t>、视频会商功能：可召集调度台用户、移动终端用户、可视话机用户、监控终端、网络视频资源、IP电话等各种音视频设备参加视频会议，并支持会商控制功能；</w:t>
            </w:r>
            <w:r>
              <w:rPr>
                <w:rFonts w:hint="eastAsia" w:ascii="宋体" w:hAnsi="宋体" w:cs="宋体"/>
                <w:kern w:val="0"/>
                <w:sz w:val="18"/>
                <w:szCs w:val="18"/>
              </w:rPr>
              <w:br w:type="textWrapping"/>
            </w:r>
            <w:r>
              <w:rPr>
                <w:rFonts w:ascii="宋体" w:hAnsi="宋体" w:cs="宋体"/>
                <w:kern w:val="0"/>
                <w:sz w:val="18"/>
                <w:szCs w:val="18"/>
              </w:rPr>
              <w:t>5</w:t>
            </w:r>
            <w:r>
              <w:rPr>
                <w:rFonts w:hint="eastAsia" w:ascii="宋体" w:hAnsi="宋体" w:cs="宋体"/>
                <w:kern w:val="0"/>
                <w:sz w:val="18"/>
                <w:szCs w:val="18"/>
              </w:rPr>
              <w:t>、集群对讲调度功能：调度台应支持集群调度功能，可实现和4G对讲终端/常规对讲系统的半双工对讲通信，支持对讲组切换功能；</w:t>
            </w:r>
            <w:r>
              <w:rPr>
                <w:rFonts w:hint="eastAsia" w:ascii="宋体" w:hAnsi="宋体" w:cs="宋体"/>
                <w:kern w:val="0"/>
                <w:sz w:val="18"/>
                <w:szCs w:val="18"/>
              </w:rPr>
              <w:br w:type="textWrapping"/>
            </w:r>
            <w:r>
              <w:rPr>
                <w:rFonts w:ascii="宋体" w:hAnsi="宋体" w:cs="宋体"/>
                <w:kern w:val="0"/>
                <w:sz w:val="18"/>
                <w:szCs w:val="18"/>
              </w:rPr>
              <w:t>6</w:t>
            </w:r>
            <w:r>
              <w:rPr>
                <w:rFonts w:hint="eastAsia" w:ascii="宋体" w:hAnsi="宋体" w:cs="宋体"/>
                <w:kern w:val="0"/>
                <w:sz w:val="18"/>
                <w:szCs w:val="18"/>
              </w:rPr>
              <w:t>、会议控制功能：一键发起预制会议、会议邀请、禁言、踢人、会议室状态监控等；</w:t>
            </w:r>
            <w:r>
              <w:rPr>
                <w:rFonts w:hint="eastAsia" w:ascii="宋体" w:hAnsi="宋体" w:cs="宋体"/>
                <w:kern w:val="0"/>
                <w:sz w:val="18"/>
                <w:szCs w:val="18"/>
              </w:rPr>
              <w:br w:type="textWrapping"/>
            </w:r>
            <w:r>
              <w:rPr>
                <w:rFonts w:ascii="宋体" w:hAnsi="宋体" w:cs="宋体"/>
                <w:kern w:val="0"/>
                <w:sz w:val="18"/>
                <w:szCs w:val="18"/>
              </w:rPr>
              <w:t>7</w:t>
            </w:r>
            <w:r>
              <w:rPr>
                <w:rFonts w:hint="eastAsia" w:ascii="宋体" w:hAnsi="宋体" w:cs="宋体"/>
                <w:kern w:val="0"/>
                <w:sz w:val="18"/>
                <w:szCs w:val="18"/>
              </w:rPr>
              <w:t>、调度控制台软件基于浏览器访问</w:t>
            </w:r>
            <w:r>
              <w:rPr>
                <w:rFonts w:hint="eastAsia" w:ascii="宋体" w:hAnsi="宋体" w:cs="宋体"/>
                <w:kern w:val="0"/>
                <w:sz w:val="18"/>
                <w:szCs w:val="18"/>
                <w:lang w:eastAsia="zh-CN"/>
              </w:rPr>
              <w:t>；</w:t>
            </w:r>
            <w:r>
              <w:rPr>
                <w:rFonts w:hint="eastAsia" w:ascii="宋体" w:hAnsi="宋体" w:cs="宋体"/>
                <w:kern w:val="0"/>
                <w:sz w:val="18"/>
                <w:szCs w:val="18"/>
              </w:rPr>
              <w:br w:type="textWrapping"/>
            </w:r>
            <w:r>
              <w:rPr>
                <w:rFonts w:ascii="宋体" w:hAnsi="宋体" w:cs="宋体"/>
                <w:kern w:val="0"/>
                <w:sz w:val="18"/>
                <w:szCs w:val="18"/>
              </w:rPr>
              <w:t>8</w:t>
            </w:r>
            <w:r>
              <w:rPr>
                <w:rFonts w:hint="eastAsia" w:ascii="宋体" w:hAnsi="宋体" w:cs="宋体"/>
                <w:kern w:val="0"/>
                <w:sz w:val="18"/>
                <w:szCs w:val="18"/>
              </w:rPr>
              <w:t>、调度控制台软件支持视频会商功能，支持会控，视频会商支持直播流入会；支持会议直播流推送到微信；</w:t>
            </w:r>
          </w:p>
          <w:p>
            <w:pPr>
              <w:widowControl/>
              <w:numPr>
                <w:ilvl w:val="0"/>
                <w:numId w:val="0"/>
              </w:numPr>
              <w:spacing w:line="0" w:lineRule="atLeast"/>
              <w:jc w:val="left"/>
              <w:rPr>
                <w:rFonts w:cs="宋体" w:asciiTheme="minorEastAsia" w:hAnsiTheme="minorEastAsia" w:eastAsiaTheme="minorEastAsia"/>
                <w:kern w:val="0"/>
                <w:sz w:val="18"/>
                <w:szCs w:val="18"/>
              </w:rPr>
            </w:pPr>
            <w:r>
              <w:rPr>
                <w:rFonts w:ascii="宋体" w:hAnsi="宋体" w:cs="宋体"/>
                <w:kern w:val="0"/>
                <w:sz w:val="18"/>
                <w:szCs w:val="18"/>
              </w:rPr>
              <w:t>9</w:t>
            </w:r>
            <w:r>
              <w:rPr>
                <w:rFonts w:hint="eastAsia" w:ascii="宋体" w:hAnsi="宋体" w:cs="宋体"/>
                <w:kern w:val="0"/>
                <w:sz w:val="18"/>
                <w:szCs w:val="18"/>
              </w:rPr>
              <w:t>、与调度系统为同一品牌。</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移动手持应用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提供SDK开发包供第三方APP调用，实现音视频通话、多方会议功能；提供调用开发接口，第三方可通过调用单兵APP，实现多媒体消息、音视频通话、多方会议等功能。</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IP调度话机</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cs="宋体" w:asciiTheme="minorEastAsia" w:hAnsiTheme="minorEastAsia" w:eastAsiaTheme="minorEastAsia"/>
                <w:kern w:val="0"/>
                <w:sz w:val="18"/>
                <w:szCs w:val="18"/>
              </w:rPr>
              <w:t>1、屏幕：320x240像素LCD彩色背光屏（2.8英寸彩屏）</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2、支持3条SIP线路；</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3、2个千兆网口；</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4、耳机接口：RJ9接口，标准耳机线序</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5、支持POE供电；</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6、支持宽带语音编码: G.722、OPUS、OPUS_WB、AMR、</w:t>
            </w:r>
            <w:r>
              <w:rPr>
                <w:rFonts w:hint="eastAsia" w:cs="宋体" w:asciiTheme="minorEastAsia" w:hAnsiTheme="minorEastAsia" w:eastAsiaTheme="minorEastAsia"/>
                <w:kern w:val="0"/>
                <w:sz w:val="18"/>
                <w:szCs w:val="18"/>
              </w:rPr>
              <w:br w:type="textWrapping"/>
            </w:r>
            <w:r>
              <w:rPr>
                <w:rFonts w:hint="eastAsia" w:cs="宋体" w:asciiTheme="minorEastAsia" w:hAnsiTheme="minorEastAsia" w:eastAsiaTheme="minorEastAsia"/>
                <w:kern w:val="0"/>
                <w:sz w:val="18"/>
                <w:szCs w:val="18"/>
              </w:rPr>
              <w:t>7、支持窄带语音编码: PCMA, PCMU, G.729, G.723_53, G.723_63, G.726_24、G.726_32、G.726_40、iLBC_13_3、iLBC_15_2</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技术服务费</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运费、安装调试、培训、3年软硬件质保，总价</w:t>
            </w:r>
            <w:r>
              <w:rPr>
                <w:rFonts w:ascii="宋体" w:hAnsi="宋体" w:cs="宋体"/>
                <w:kern w:val="0"/>
                <w:sz w:val="18"/>
                <w:szCs w:val="18"/>
              </w:rPr>
              <w:t>24%费用</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应急广播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序号</w:t>
            </w:r>
          </w:p>
        </w:tc>
        <w:tc>
          <w:tcPr>
            <w:tcW w:w="1116" w:type="dxa"/>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名称</w:t>
            </w:r>
          </w:p>
        </w:tc>
        <w:tc>
          <w:tcPr>
            <w:tcW w:w="10774"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功能描述</w:t>
            </w:r>
          </w:p>
        </w:tc>
        <w:tc>
          <w:tcPr>
            <w:tcW w:w="66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数量</w:t>
            </w:r>
          </w:p>
        </w:tc>
        <w:tc>
          <w:tcPr>
            <w:tcW w:w="801"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IP网络广播服务器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1、屏幕尺寸：15 寸 TFT LCD 分辨率 1024*768，300 亮度，</w:t>
            </w:r>
            <w:r>
              <w:rPr>
                <w:rFonts w:hint="eastAsia" w:ascii="宋体" w:hAnsi="宋体" w:cs="宋体"/>
                <w:kern w:val="0"/>
                <w:sz w:val="18"/>
                <w:szCs w:val="18"/>
              </w:rPr>
              <w:br w:type="textWrapping"/>
            </w:r>
            <w:r>
              <w:rPr>
                <w:rFonts w:hint="eastAsia" w:ascii="宋体" w:hAnsi="宋体" w:cs="宋体"/>
                <w:kern w:val="0"/>
                <w:sz w:val="18"/>
                <w:szCs w:val="18"/>
              </w:rPr>
              <w:t>2、软件操作平台:兼容 Windows 7/Windows Server 2008 R2 或以上版本，兼容 Ubuntu Linux 16.04 或以上版本</w:t>
            </w:r>
            <w:r>
              <w:rPr>
                <w:rFonts w:hint="eastAsia" w:ascii="宋体" w:hAnsi="宋体" w:cs="宋体"/>
                <w:kern w:val="0"/>
                <w:sz w:val="18"/>
                <w:szCs w:val="18"/>
              </w:rPr>
              <w:br w:type="textWrapping"/>
            </w:r>
            <w:r>
              <w:rPr>
                <w:rFonts w:hint="eastAsia" w:ascii="宋体" w:hAnsi="宋体" w:cs="宋体"/>
                <w:kern w:val="0"/>
                <w:sz w:val="18"/>
                <w:szCs w:val="18"/>
              </w:rPr>
              <w:t>3、输入电源：AC220V\50Hz</w:t>
            </w:r>
            <w:r>
              <w:rPr>
                <w:rFonts w:hint="eastAsia" w:ascii="宋体" w:hAnsi="宋体" w:cs="宋体"/>
                <w:kern w:val="0"/>
                <w:sz w:val="18"/>
                <w:szCs w:val="18"/>
              </w:rPr>
              <w:br w:type="textWrapping"/>
            </w:r>
            <w:r>
              <w:rPr>
                <w:rFonts w:hint="eastAsia" w:ascii="宋体" w:hAnsi="宋体" w:cs="宋体"/>
                <w:kern w:val="0"/>
                <w:sz w:val="18"/>
                <w:szCs w:val="18"/>
              </w:rPr>
              <w:t>4、CPU： i5 处理器，4G/8G内存，120G 固态硬盘</w:t>
            </w:r>
            <w:r>
              <w:rPr>
                <w:rFonts w:hint="eastAsia" w:ascii="宋体" w:hAnsi="宋体" w:cs="宋体"/>
                <w:kern w:val="0"/>
                <w:sz w:val="18"/>
                <w:szCs w:val="18"/>
              </w:rPr>
              <w:br w:type="textWrapping"/>
            </w:r>
            <w:r>
              <w:rPr>
                <w:rFonts w:hint="eastAsia" w:ascii="宋体" w:hAnsi="宋体" w:cs="宋体"/>
                <w:kern w:val="0"/>
                <w:sz w:val="18"/>
                <w:szCs w:val="18"/>
              </w:rPr>
              <w:t>5、音频输入电平：0dBV</w:t>
            </w:r>
            <w:r>
              <w:rPr>
                <w:rFonts w:hint="eastAsia" w:ascii="宋体" w:hAnsi="宋体" w:cs="宋体"/>
                <w:kern w:val="0"/>
                <w:sz w:val="18"/>
                <w:szCs w:val="18"/>
              </w:rPr>
              <w:br w:type="textWrapping"/>
            </w:r>
            <w:r>
              <w:rPr>
                <w:rFonts w:hint="eastAsia" w:ascii="宋体" w:hAnsi="宋体" w:cs="宋体"/>
                <w:kern w:val="0"/>
                <w:sz w:val="18"/>
                <w:szCs w:val="18"/>
              </w:rPr>
              <w:t>6、2×串口；2×USB 3.0</w:t>
            </w:r>
            <w:r>
              <w:rPr>
                <w:rFonts w:hint="eastAsia" w:ascii="宋体" w:hAnsi="宋体" w:cs="宋体"/>
                <w:kern w:val="0"/>
                <w:sz w:val="18"/>
                <w:szCs w:val="18"/>
              </w:rPr>
              <w:br w:type="textWrapping"/>
            </w:r>
            <w:r>
              <w:rPr>
                <w:rFonts w:hint="eastAsia" w:ascii="宋体" w:hAnsi="宋体" w:cs="宋体"/>
                <w:kern w:val="0"/>
                <w:sz w:val="18"/>
                <w:szCs w:val="18"/>
              </w:rPr>
              <w:t>7、主板：英特尔工业主板Intel</w:t>
            </w:r>
            <w:r>
              <w:rPr>
                <w:rFonts w:hint="eastAsia" w:ascii="宋体" w:hAnsi="宋体" w:cs="宋体"/>
                <w:kern w:val="0"/>
                <w:sz w:val="18"/>
                <w:szCs w:val="18"/>
              </w:rPr>
              <w:br w:type="textWrapping"/>
            </w:r>
            <w:r>
              <w:rPr>
                <w:rFonts w:hint="eastAsia" w:ascii="宋体" w:hAnsi="宋体" w:cs="宋体"/>
                <w:kern w:val="0"/>
                <w:sz w:val="18"/>
                <w:szCs w:val="18"/>
              </w:rPr>
              <w:t>8、集成 千兆网卡，集成声卡，300W 电源，预 装 WIN 7 64 位系统，配工业抽拉键盘 鼠标</w:t>
            </w:r>
            <w:r>
              <w:rPr>
                <w:rFonts w:hint="eastAsia" w:ascii="宋体" w:hAnsi="宋体" w:cs="宋体"/>
                <w:kern w:val="0"/>
                <w:sz w:val="18"/>
                <w:szCs w:val="18"/>
              </w:rPr>
              <w:br w:type="textWrapping"/>
            </w:r>
            <w:r>
              <w:rPr>
                <w:rFonts w:hint="eastAsia" w:ascii="宋体" w:hAnsi="宋体" w:cs="宋体"/>
                <w:kern w:val="0"/>
                <w:sz w:val="18"/>
                <w:szCs w:val="18"/>
              </w:rPr>
              <w:t>9、工作环境：5℃～60℃</w:t>
            </w:r>
            <w:r>
              <w:rPr>
                <w:rFonts w:hint="eastAsia" w:ascii="宋体" w:hAnsi="宋体" w:cs="宋体"/>
                <w:kern w:val="0"/>
                <w:sz w:val="18"/>
                <w:szCs w:val="18"/>
              </w:rPr>
              <w:br w:type="textWrapping"/>
            </w:r>
            <w:r>
              <w:rPr>
                <w:rFonts w:hint="eastAsia" w:ascii="宋体" w:hAnsi="宋体" w:cs="宋体"/>
                <w:kern w:val="0"/>
                <w:sz w:val="18"/>
                <w:szCs w:val="18"/>
              </w:rPr>
              <w:t>10、环境湿度：相对湿度，20%～80%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IP网络广播服务器软件</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IP网络广播、对讲系统控制软件，是系统的核心部件，是广播系统数据交换、系统运行和功能操作的综合管理平台，集成了定时任务、消防报警、文件广播、外部采播、对讲录音、监控联动、无线遥控等软件模块。</w:t>
            </w:r>
            <w:r>
              <w:rPr>
                <w:rFonts w:hint="eastAsia" w:ascii="宋体" w:hAnsi="宋体" w:cs="宋体"/>
                <w:kern w:val="0"/>
                <w:sz w:val="18"/>
                <w:szCs w:val="18"/>
              </w:rPr>
              <w:br w:type="textWrapping"/>
            </w:r>
            <w:r>
              <w:rPr>
                <w:rFonts w:hint="eastAsia" w:ascii="宋体" w:hAnsi="宋体" w:cs="宋体"/>
                <w:kern w:val="0"/>
                <w:sz w:val="18"/>
                <w:szCs w:val="18"/>
              </w:rPr>
              <w:t>2、可运行在普通电脑以及IP网络广播工控机上。</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IP话筒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1、桌面式设计，自带7英寸电容触摸屏控制，人性化操作界面，显示清晰，触感灵敏，无操作时进入休眠、低功耗省电状态；</w:t>
            </w:r>
            <w:r>
              <w:rPr>
                <w:rFonts w:hint="eastAsia" w:ascii="宋体" w:hAnsi="宋体" w:cs="宋体"/>
                <w:kern w:val="0"/>
                <w:sz w:val="18"/>
                <w:szCs w:val="18"/>
              </w:rPr>
              <w:br w:type="textWrapping"/>
            </w:r>
            <w:r>
              <w:rPr>
                <w:rFonts w:hint="eastAsia" w:ascii="宋体" w:hAnsi="宋体" w:cs="宋体"/>
                <w:kern w:val="0"/>
                <w:sz w:val="18"/>
                <w:szCs w:val="18"/>
              </w:rPr>
              <w:t>2、采用嵌入式计算机技术和DSP音频处理技术设计，采用高速工业级芯片，启动时间小于1s；</w:t>
            </w:r>
            <w:r>
              <w:rPr>
                <w:rFonts w:hint="eastAsia" w:ascii="宋体" w:hAnsi="宋体" w:cs="宋体"/>
                <w:kern w:val="0"/>
                <w:sz w:val="18"/>
                <w:szCs w:val="18"/>
              </w:rPr>
              <w:br w:type="textWrapping"/>
            </w:r>
            <w:r>
              <w:rPr>
                <w:rFonts w:hint="eastAsia" w:ascii="宋体" w:hAnsi="宋体" w:cs="宋体"/>
                <w:kern w:val="0"/>
                <w:sz w:val="18"/>
                <w:szCs w:val="18"/>
              </w:rPr>
              <w:t>3、支持呼叫分区及多个分区，呼叫全区广播，支持直接操作呼叫或对讲任意终端；</w:t>
            </w:r>
            <w:r>
              <w:rPr>
                <w:rFonts w:hint="eastAsia" w:ascii="宋体" w:hAnsi="宋体" w:cs="宋体"/>
                <w:kern w:val="0"/>
                <w:sz w:val="18"/>
                <w:szCs w:val="18"/>
              </w:rPr>
              <w:br w:type="textWrapping"/>
            </w:r>
            <w:r>
              <w:rPr>
                <w:rFonts w:hint="eastAsia" w:ascii="宋体" w:hAnsi="宋体" w:cs="宋体"/>
                <w:kern w:val="0"/>
                <w:sz w:val="18"/>
                <w:szCs w:val="18"/>
              </w:rPr>
              <w:t>4、支持全双工双向对讲功能，自带网络回声消除模块，IP终端之间实现两两双向对讲，网络延时低于40ms，同时具备网络回声啸叫抑制功能；</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网络消防采集器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1、2U标准机箱设计，铝合金面板，美观实用；</w:t>
            </w:r>
            <w:r>
              <w:rPr>
                <w:rFonts w:hint="eastAsia" w:ascii="宋体" w:hAnsi="宋体" w:cs="宋体"/>
                <w:kern w:val="0"/>
                <w:sz w:val="18"/>
                <w:szCs w:val="18"/>
              </w:rPr>
              <w:br w:type="textWrapping"/>
            </w:r>
            <w:r>
              <w:rPr>
                <w:rFonts w:hint="eastAsia" w:ascii="宋体" w:hAnsi="宋体" w:cs="宋体"/>
                <w:kern w:val="0"/>
                <w:sz w:val="18"/>
                <w:szCs w:val="18"/>
              </w:rPr>
              <w:t>2、标配1个10/100M RJ45网络交换机接口，支持局域网与广域网；</w:t>
            </w:r>
            <w:r>
              <w:rPr>
                <w:rFonts w:hint="eastAsia" w:ascii="宋体" w:hAnsi="宋体" w:cs="宋体"/>
                <w:kern w:val="0"/>
                <w:sz w:val="18"/>
                <w:szCs w:val="18"/>
              </w:rPr>
              <w:br w:type="textWrapping"/>
            </w:r>
            <w:r>
              <w:rPr>
                <w:rFonts w:hint="eastAsia" w:ascii="宋体" w:hAnsi="宋体" w:cs="宋体"/>
                <w:kern w:val="0"/>
                <w:sz w:val="18"/>
                <w:szCs w:val="18"/>
              </w:rPr>
              <w:t>3、支持16路消防报警信号接入，接入方式可设为两种：短路与12V-24V信号；</w:t>
            </w:r>
            <w:r>
              <w:rPr>
                <w:rFonts w:hint="eastAsia" w:ascii="宋体" w:hAnsi="宋体" w:cs="宋体"/>
                <w:kern w:val="0"/>
                <w:sz w:val="18"/>
                <w:szCs w:val="18"/>
              </w:rPr>
              <w:br w:type="textWrapping"/>
            </w:r>
            <w:r>
              <w:rPr>
                <w:rFonts w:hint="eastAsia" w:ascii="宋体" w:hAnsi="宋体" w:cs="宋体"/>
                <w:kern w:val="0"/>
                <w:sz w:val="18"/>
                <w:szCs w:val="18"/>
              </w:rPr>
              <w:t>4、系统可支持多台IP网络消防采集器同时接入，用户可根据自己的需求任意扩展；</w:t>
            </w:r>
            <w:r>
              <w:rPr>
                <w:rFonts w:hint="eastAsia" w:ascii="宋体" w:hAnsi="宋体" w:cs="宋体"/>
                <w:kern w:val="0"/>
                <w:sz w:val="18"/>
                <w:szCs w:val="18"/>
              </w:rPr>
              <w:br w:type="textWrapping"/>
            </w:r>
            <w:r>
              <w:rPr>
                <w:rFonts w:hint="eastAsia" w:ascii="宋体" w:hAnsi="宋体" w:cs="宋体"/>
                <w:kern w:val="0"/>
                <w:sz w:val="18"/>
                <w:szCs w:val="18"/>
              </w:rPr>
              <w:t>5、自动发送报警信息到服务器，执行播放任务，可任意设置进行邻层报警、全区报警；</w:t>
            </w:r>
            <w:r>
              <w:rPr>
                <w:rFonts w:hint="eastAsia" w:ascii="宋体" w:hAnsi="宋体" w:cs="宋体"/>
                <w:kern w:val="0"/>
                <w:sz w:val="18"/>
                <w:szCs w:val="18"/>
              </w:rPr>
              <w:br w:type="textWrapping"/>
            </w:r>
            <w:r>
              <w:rPr>
                <w:rFonts w:hint="eastAsia" w:ascii="宋体" w:hAnsi="宋体" w:cs="宋体"/>
                <w:kern w:val="0"/>
                <w:sz w:val="18"/>
                <w:szCs w:val="18"/>
              </w:rPr>
              <w:t>6、带有一个紧急预警按钮，当有紧急突发事件时，按下此按钮就及时启动广播预警；</w:t>
            </w:r>
            <w:r>
              <w:rPr>
                <w:rFonts w:hint="eastAsia" w:ascii="宋体" w:hAnsi="宋体" w:cs="宋体"/>
                <w:kern w:val="0"/>
                <w:sz w:val="18"/>
                <w:szCs w:val="18"/>
              </w:rPr>
              <w:br w:type="textWrapping"/>
            </w:r>
            <w:r>
              <w:rPr>
                <w:rFonts w:hint="eastAsia" w:ascii="宋体" w:hAnsi="宋体" w:cs="宋体"/>
                <w:kern w:val="0"/>
                <w:sz w:val="18"/>
                <w:szCs w:val="18"/>
              </w:rPr>
              <w:t>7、带有一个报警取消按钮，当报警结束时，或误报时可及时中断广播预警；</w:t>
            </w:r>
            <w:r>
              <w:rPr>
                <w:rFonts w:hint="eastAsia" w:ascii="宋体" w:hAnsi="宋体" w:cs="宋体"/>
                <w:kern w:val="0"/>
                <w:sz w:val="18"/>
                <w:szCs w:val="18"/>
              </w:rPr>
              <w:br w:type="textWrapping"/>
            </w:r>
            <w:r>
              <w:rPr>
                <w:rFonts w:hint="eastAsia" w:ascii="宋体" w:hAnsi="宋体" w:cs="宋体"/>
                <w:kern w:val="0"/>
                <w:sz w:val="18"/>
                <w:szCs w:val="18"/>
              </w:rPr>
              <w:t>8、面板设有16路电平指示灯显示工作状态，当那个区域出现报警时，相对应的指示灯就会闪亮；</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IP网路终端解码器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1、2U标准机箱设计，铝合金面板，美观实用；</w:t>
            </w:r>
            <w:r>
              <w:rPr>
                <w:rFonts w:hint="eastAsia" w:ascii="宋体" w:hAnsi="宋体" w:cs="宋体"/>
                <w:kern w:val="0"/>
                <w:sz w:val="18"/>
                <w:szCs w:val="18"/>
              </w:rPr>
              <w:br w:type="textWrapping"/>
            </w:r>
            <w:r>
              <w:rPr>
                <w:rFonts w:hint="eastAsia" w:ascii="宋体" w:hAnsi="宋体" w:cs="宋体"/>
                <w:kern w:val="0"/>
                <w:sz w:val="18"/>
                <w:szCs w:val="18"/>
              </w:rPr>
              <w:t>2、标配1个10/100M RJ45网络交换机接口，支持局域网与广域网；</w:t>
            </w:r>
            <w:r>
              <w:rPr>
                <w:rFonts w:hint="eastAsia" w:ascii="宋体" w:hAnsi="宋体" w:cs="宋体"/>
                <w:kern w:val="0"/>
                <w:sz w:val="18"/>
                <w:szCs w:val="18"/>
              </w:rPr>
              <w:br w:type="textWrapping"/>
            </w:r>
            <w:r>
              <w:rPr>
                <w:rFonts w:hint="eastAsia" w:ascii="宋体" w:hAnsi="宋体" w:cs="宋体"/>
                <w:kern w:val="0"/>
                <w:sz w:val="18"/>
                <w:szCs w:val="18"/>
              </w:rPr>
              <w:t>3、设备采用工业级双核处理芯片（ARM+DSP），启动时间小于1S；</w:t>
            </w:r>
            <w:r>
              <w:rPr>
                <w:rFonts w:hint="eastAsia" w:ascii="宋体" w:hAnsi="宋体" w:cs="宋体"/>
                <w:kern w:val="0"/>
                <w:sz w:val="18"/>
                <w:szCs w:val="18"/>
              </w:rPr>
              <w:br w:type="textWrapping"/>
            </w:r>
            <w:r>
              <w:rPr>
                <w:rFonts w:hint="eastAsia" w:ascii="宋体" w:hAnsi="宋体" w:cs="宋体"/>
                <w:kern w:val="0"/>
                <w:sz w:val="18"/>
                <w:szCs w:val="18"/>
              </w:rPr>
              <w:t>4、自带4.3英寸电容触摸屏控制，人性化操作界面，显示清晰，触感灵敏，无操作时进入休眠、低功耗省电状态；</w:t>
            </w:r>
            <w:r>
              <w:rPr>
                <w:rFonts w:hint="eastAsia" w:ascii="宋体" w:hAnsi="宋体" w:cs="宋体"/>
                <w:kern w:val="0"/>
                <w:sz w:val="18"/>
                <w:szCs w:val="18"/>
              </w:rPr>
              <w:br w:type="textWrapping"/>
            </w:r>
            <w:r>
              <w:rPr>
                <w:rFonts w:hint="eastAsia" w:ascii="宋体" w:hAnsi="宋体" w:cs="宋体"/>
                <w:kern w:val="0"/>
                <w:sz w:val="18"/>
                <w:szCs w:val="18"/>
              </w:rPr>
              <w:t>5、内置MP3解码模块，能显示歌曲名称，支持上一曲、下一曲、播放、暂停、停止、单曲循环、全部循环等播放功能，便于操作控制；</w:t>
            </w:r>
            <w:r>
              <w:rPr>
                <w:rFonts w:hint="eastAsia" w:ascii="宋体" w:hAnsi="宋体" w:cs="宋体"/>
                <w:kern w:val="0"/>
                <w:sz w:val="18"/>
                <w:szCs w:val="18"/>
              </w:rPr>
              <w:br w:type="textWrapping"/>
            </w:r>
            <w:r>
              <w:rPr>
                <w:rFonts w:hint="eastAsia" w:ascii="宋体" w:hAnsi="宋体" w:cs="宋体"/>
                <w:kern w:val="0"/>
                <w:sz w:val="18"/>
                <w:szCs w:val="18"/>
              </w:rPr>
              <w:t>6、内置网络IP解码模块可实时播网络音乐及呼叫功能，采集播放和呼叫功的网络延时时间小于30mS；</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纯后级功率放大器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1、采用先进高效功率放大电路，足功率输出，超强负责能力，工艺简洁美观；</w:t>
            </w:r>
            <w:r>
              <w:rPr>
                <w:rFonts w:hint="eastAsia" w:ascii="宋体" w:hAnsi="宋体" w:cs="宋体"/>
                <w:kern w:val="0"/>
                <w:sz w:val="18"/>
                <w:szCs w:val="18"/>
              </w:rPr>
              <w:br w:type="textWrapping"/>
            </w:r>
            <w:r>
              <w:rPr>
                <w:rFonts w:hint="eastAsia" w:ascii="宋体" w:hAnsi="宋体" w:cs="宋体"/>
                <w:kern w:val="0"/>
                <w:sz w:val="18"/>
                <w:szCs w:val="18"/>
              </w:rPr>
              <w:t>2、音频输入采用6.35话筒接口与DY卡龙母接口供选择，（输入灵敏为775mv/10K）音量大小可以调节；</w:t>
            </w:r>
            <w:r>
              <w:rPr>
                <w:rFonts w:hint="eastAsia" w:ascii="宋体" w:hAnsi="宋体" w:cs="宋体"/>
                <w:kern w:val="0"/>
                <w:sz w:val="18"/>
                <w:szCs w:val="18"/>
              </w:rPr>
              <w:br w:type="textWrapping"/>
            </w:r>
            <w:r>
              <w:rPr>
                <w:rFonts w:hint="eastAsia" w:ascii="宋体" w:hAnsi="宋体" w:cs="宋体"/>
                <w:kern w:val="0"/>
                <w:sz w:val="18"/>
                <w:szCs w:val="18"/>
              </w:rPr>
              <w:t>3、设有一路信号跟随放大线路做为辅助输出，直接可以连接下一台后级功放；</w:t>
            </w:r>
            <w:r>
              <w:rPr>
                <w:rFonts w:hint="eastAsia" w:ascii="宋体" w:hAnsi="宋体" w:cs="宋体"/>
                <w:kern w:val="0"/>
                <w:sz w:val="18"/>
                <w:szCs w:val="18"/>
              </w:rPr>
              <w:br w:type="textWrapping"/>
            </w:r>
            <w:r>
              <w:rPr>
                <w:rFonts w:hint="eastAsia" w:ascii="宋体" w:hAnsi="宋体" w:cs="宋体"/>
                <w:kern w:val="0"/>
                <w:sz w:val="18"/>
                <w:szCs w:val="18"/>
              </w:rPr>
              <w:t>4、功率输出设有70V/100V定压输出，及4-16Ω定阻输出；</w:t>
            </w:r>
            <w:r>
              <w:rPr>
                <w:rFonts w:hint="eastAsia" w:ascii="宋体" w:hAnsi="宋体" w:cs="宋体"/>
                <w:kern w:val="0"/>
                <w:sz w:val="18"/>
                <w:szCs w:val="18"/>
              </w:rPr>
              <w:br w:type="textWrapping"/>
            </w:r>
            <w:r>
              <w:rPr>
                <w:rFonts w:hint="eastAsia" w:ascii="宋体" w:hAnsi="宋体" w:cs="宋体"/>
                <w:kern w:val="0"/>
                <w:sz w:val="18"/>
                <w:szCs w:val="18"/>
              </w:rPr>
              <w:t>5、输出频响范围为100~16KHz；</w:t>
            </w:r>
            <w:r>
              <w:rPr>
                <w:rFonts w:hint="eastAsia" w:ascii="宋体" w:hAnsi="宋体" w:cs="宋体"/>
                <w:kern w:val="0"/>
                <w:sz w:val="18"/>
                <w:szCs w:val="18"/>
              </w:rPr>
              <w:br w:type="textWrapping"/>
            </w:r>
            <w:r>
              <w:rPr>
                <w:rFonts w:hint="eastAsia" w:ascii="宋体" w:hAnsi="宋体" w:cs="宋体"/>
                <w:kern w:val="0"/>
                <w:sz w:val="18"/>
                <w:szCs w:val="18"/>
              </w:rPr>
              <w:t>6、设备设有异常工作保护警告功能，当输入信号过大、负载过重、温度过高、线路短路时，对应的指示灯提示，有极高的可靠性；</w:t>
            </w:r>
            <w:r>
              <w:rPr>
                <w:rFonts w:hint="eastAsia" w:ascii="宋体" w:hAnsi="宋体" w:cs="宋体"/>
                <w:kern w:val="0"/>
                <w:sz w:val="18"/>
                <w:szCs w:val="18"/>
              </w:rPr>
              <w:br w:type="textWrapping"/>
            </w:r>
            <w:r>
              <w:rPr>
                <w:rFonts w:hint="eastAsia" w:ascii="宋体" w:hAnsi="宋体" w:cs="宋体"/>
                <w:kern w:val="0"/>
                <w:sz w:val="18"/>
                <w:szCs w:val="18"/>
              </w:rPr>
              <w:t>7、3U标准机箱设计，铝合金面板，美观实用。</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防爆号角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1、音频电压：AC70V / AC110V / AC120V</w:t>
            </w:r>
            <w:r>
              <w:rPr>
                <w:rFonts w:hint="eastAsia" w:ascii="宋体" w:hAnsi="宋体" w:cs="宋体"/>
                <w:kern w:val="0"/>
                <w:sz w:val="18"/>
                <w:szCs w:val="18"/>
              </w:rPr>
              <w:br w:type="textWrapping"/>
            </w:r>
            <w:r>
              <w:rPr>
                <w:rFonts w:hint="eastAsia" w:ascii="宋体" w:hAnsi="宋体" w:cs="宋体"/>
                <w:kern w:val="0"/>
                <w:sz w:val="18"/>
                <w:szCs w:val="18"/>
              </w:rPr>
              <w:t>2、输出功率：5W / 15W / 25W</w:t>
            </w:r>
            <w:r>
              <w:rPr>
                <w:rFonts w:hint="eastAsia" w:ascii="宋体" w:hAnsi="宋体" w:cs="宋体"/>
                <w:kern w:val="0"/>
                <w:sz w:val="18"/>
                <w:szCs w:val="18"/>
              </w:rPr>
              <w:br w:type="textWrapping"/>
            </w:r>
            <w:r>
              <w:rPr>
                <w:rFonts w:hint="eastAsia" w:ascii="宋体" w:hAnsi="宋体" w:cs="宋体"/>
                <w:kern w:val="0"/>
                <w:sz w:val="18"/>
                <w:szCs w:val="18"/>
              </w:rPr>
              <w:t>3、负载阻抗：8Ω / 16Ω / 16Ω</w:t>
            </w:r>
            <w:r>
              <w:rPr>
                <w:rFonts w:hint="eastAsia" w:ascii="宋体" w:hAnsi="宋体" w:cs="宋体"/>
                <w:kern w:val="0"/>
                <w:sz w:val="18"/>
                <w:szCs w:val="18"/>
              </w:rPr>
              <w:br w:type="textWrapping"/>
            </w:r>
            <w:r>
              <w:rPr>
                <w:rFonts w:hint="eastAsia" w:ascii="宋体" w:hAnsi="宋体" w:cs="宋体"/>
                <w:kern w:val="0"/>
                <w:sz w:val="18"/>
                <w:szCs w:val="18"/>
              </w:rPr>
              <w:t>4、声响强度：100dB(5W)</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right"/>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技术服务费</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运费、安装调试、培训、3年软硬件质保，</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园区公共设施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（一）园区北区监控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序号</w:t>
            </w:r>
          </w:p>
        </w:tc>
        <w:tc>
          <w:tcPr>
            <w:tcW w:w="111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名称</w:t>
            </w:r>
          </w:p>
        </w:tc>
        <w:tc>
          <w:tcPr>
            <w:tcW w:w="10774"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功能描述</w:t>
            </w:r>
          </w:p>
        </w:tc>
        <w:tc>
          <w:tcPr>
            <w:tcW w:w="66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数量</w:t>
            </w:r>
          </w:p>
        </w:tc>
        <w:tc>
          <w:tcPr>
            <w:tcW w:w="801"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存储服务器</w:t>
            </w:r>
          </w:p>
        </w:tc>
        <w:tc>
          <w:tcPr>
            <w:tcW w:w="10774" w:type="dxa"/>
            <w:shd w:val="clear" w:color="auto" w:fill="auto"/>
            <w:noWrap/>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U标准机架式IP存储/X86架构/嵌入式软硬件设计/全插拔模块化无线缆设计（可选配冗余电源）/128路H.265、H.264混合接入/512M接入/512M存储/512M转发/24盘位/1个eSATA/Raid/2个HDMI、1个VGA，HDMI双4K异源输出（可选配触摸屏）/20路1080P或5路4K H.265、H.264混合解码/报警16进8出/4个千兆网口/1个USB2.0，2个USB3.0/Smart 2.0/整机热备/VQD视频质量诊断/SMD（普通IPC区域入侵、越界侦测检测）</w:t>
            </w:r>
            <w:r>
              <w:rPr>
                <w:rFonts w:hint="eastAsia" w:ascii="宋体" w:hAnsi="宋体" w:cs="宋体"/>
                <w:kern w:val="0"/>
                <w:sz w:val="18"/>
                <w:szCs w:val="18"/>
              </w:rPr>
              <w:br w:type="textWrapping"/>
            </w:r>
            <w:r>
              <w:rPr>
                <w:rFonts w:hint="eastAsia" w:ascii="宋体" w:hAnsi="宋体" w:cs="宋体"/>
                <w:kern w:val="0"/>
                <w:sz w:val="18"/>
                <w:szCs w:val="18"/>
              </w:rPr>
              <w:t>选配扩展板可增加的接口：报警32进16出/4个千兆光口/8个RS-485串行接口</w:t>
            </w:r>
          </w:p>
        </w:tc>
        <w:tc>
          <w:tcPr>
            <w:tcW w:w="666" w:type="dxa"/>
            <w:shd w:val="clear" w:color="auto" w:fill="auto"/>
            <w:vAlign w:val="center"/>
          </w:tcPr>
          <w:p>
            <w:pPr>
              <w:widowControl/>
              <w:spacing w:line="0" w:lineRule="atLeast"/>
              <w:ind w:firstLine="0" w:firstLineChars="0"/>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监控级硬盘</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4TB/64MB(6Gb/秒 NCQ)/5900RPM/SATA3</w:t>
            </w:r>
          </w:p>
        </w:tc>
        <w:tc>
          <w:tcPr>
            <w:tcW w:w="666" w:type="dxa"/>
            <w:shd w:val="clear" w:color="auto" w:fill="auto"/>
            <w:vAlign w:val="center"/>
          </w:tcPr>
          <w:p>
            <w:pPr>
              <w:widowControl/>
              <w:spacing w:line="0" w:lineRule="atLeast"/>
              <w:ind w:firstLine="0" w:firstLineChars="0"/>
              <w:jc w:val="center"/>
              <w:rPr>
                <w:rFonts w:ascii="宋体" w:hAnsi="宋体" w:cs="宋体"/>
                <w:color w:val="000000"/>
                <w:kern w:val="0"/>
                <w:sz w:val="18"/>
                <w:szCs w:val="18"/>
              </w:rPr>
            </w:pPr>
            <w:r>
              <w:rPr>
                <w:rFonts w:hint="eastAsia" w:ascii="宋体" w:hAnsi="宋体" w:cs="宋体"/>
                <w:color w:val="000000"/>
                <w:kern w:val="0"/>
                <w:sz w:val="18"/>
                <w:szCs w:val="18"/>
              </w:rPr>
              <w:t>41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安防综合管理平台</w:t>
            </w:r>
          </w:p>
        </w:tc>
        <w:tc>
          <w:tcPr>
            <w:tcW w:w="10774" w:type="dxa"/>
            <w:shd w:val="clear" w:color="auto" w:fill="auto"/>
            <w:noWrap/>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该平台是“集成化”、“智能化”的综合安防管理平台，通过接入</w:t>
            </w:r>
            <w:r>
              <w:rPr>
                <w:rFonts w:hint="eastAsia" w:ascii="宋体" w:hAnsi="宋体" w:cs="宋体"/>
                <w:kern w:val="0"/>
                <w:sz w:val="18"/>
                <w:szCs w:val="18"/>
              </w:rPr>
              <w:br w:type="textWrapping"/>
            </w:r>
            <w:r>
              <w:rPr>
                <w:rFonts w:hint="eastAsia" w:ascii="宋体" w:hAnsi="宋体" w:cs="宋体"/>
                <w:kern w:val="0"/>
                <w:sz w:val="18"/>
                <w:szCs w:val="18"/>
              </w:rPr>
              <w:t>视频监控、一卡通、停车场、报警检测等系统的设备，获取边缘节点数据，实现安防信息化集成与联动；以电子地图为载体，</w:t>
            </w:r>
            <w:r>
              <w:rPr>
                <w:rFonts w:hint="eastAsia" w:ascii="宋体" w:hAnsi="宋体" w:cs="宋体"/>
                <w:kern w:val="0"/>
                <w:sz w:val="18"/>
                <w:szCs w:val="18"/>
              </w:rPr>
              <w:br w:type="textWrapping"/>
            </w:r>
            <w:r>
              <w:rPr>
                <w:rFonts w:hint="eastAsia" w:ascii="宋体" w:hAnsi="宋体" w:cs="宋体"/>
                <w:kern w:val="0"/>
                <w:sz w:val="18"/>
                <w:szCs w:val="18"/>
              </w:rPr>
              <w:t>融合各系统能力实现丰富的智能应用；平台界面设计人性化，采用B/S管理、C/S操作模式、APP辅助；</w:t>
            </w:r>
            <w:r>
              <w:rPr>
                <w:rFonts w:hint="eastAsia" w:ascii="宋体" w:hAnsi="宋体" w:cs="宋体"/>
                <w:kern w:val="0"/>
                <w:sz w:val="18"/>
                <w:szCs w:val="18"/>
              </w:rPr>
              <w:br w:type="textWrapping"/>
            </w:r>
            <w:r>
              <w:rPr>
                <w:rFonts w:hint="eastAsia" w:ascii="宋体" w:hAnsi="宋体" w:cs="宋体"/>
                <w:kern w:val="0"/>
                <w:sz w:val="18"/>
                <w:szCs w:val="18"/>
              </w:rPr>
              <w:t>4114(10核2.2GHz)×1/32G DDR4/1TB 7.2K  SATA×2/SAS_HBA/1GbE×2/Win Svr 2016 简中标版/550W(1+1)/2U/16DIMM</w:t>
            </w:r>
          </w:p>
        </w:tc>
        <w:tc>
          <w:tcPr>
            <w:tcW w:w="666" w:type="dxa"/>
            <w:shd w:val="clear" w:color="auto" w:fill="auto"/>
            <w:vAlign w:val="center"/>
          </w:tcPr>
          <w:p>
            <w:pPr>
              <w:widowControl/>
              <w:spacing w:line="0" w:lineRule="atLeast"/>
              <w:ind w:firstLine="0" w:firstLineChars="0"/>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801" w:type="dxa"/>
            <w:shd w:val="clear" w:color="auto" w:fill="auto"/>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AR鹰眼全景摄像机</w:t>
            </w:r>
          </w:p>
        </w:tc>
        <w:tc>
          <w:tcPr>
            <w:tcW w:w="10774" w:type="dxa"/>
            <w:shd w:val="clear" w:color="auto" w:fill="auto"/>
            <w:noWrap/>
          </w:tcPr>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内置3个GPU芯片，可输出1路主视频图像（由8个画面拼接 而成）和1路辅视频图像，具有1个RJ45网络接口、1个CVBS 模拟视频输出接口、2路音频输入、2路音频输出、7路报警 输入、3路报警输出、1个电源返送接口、2个RS232接口、 1个RS485接口、1个复位按钮、1个SD卡槽和1个光口。 主视频靶面尺寸为1/1.7英寸、辅视频靶面尺寸为1/1.2英 寸，样机采用AC220V转DC36V电源适配器供电。</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镜头靶面尺寸均为1/1.8英寸</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主视频图像（拼接后）：水平视场角：180°；垂直视场角：80</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主视频图像：最大为4096×1800；辅视频抓拍图片分辨率：最大为2560×1440，辅视频水平中心分辨力不小于1500TVL</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辅视频图像支持光学变倍最大为40倍，数字变倍最大为16倍</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全景画面可显示感兴趣区域人数统计值及全局人数统计值，可设置人数报警，布防时间段及高度可设</w:t>
            </w:r>
            <w:r>
              <w:rPr>
                <w:rFonts w:hint="eastAsia" w:ascii="宋体" w:hAnsi="宋体" w:cs="宋体"/>
                <w:kern w:val="0"/>
                <w:sz w:val="18"/>
                <w:szCs w:val="18"/>
                <w:highlight w:val="none"/>
                <w:lang w:eastAsia="zh-CN"/>
              </w:rPr>
              <w:t>；</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辅视频图像红外夜视距离可识别距600m处的人体轮廓，具有防红外过曝设置、红外灯控制功能，且根据被摄物的距离自动调节红外光功率密度</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可在视频画面上添加标签</w:t>
            </w:r>
            <w:r>
              <w:rPr>
                <w:rFonts w:hint="eastAsia" w:ascii="宋体" w:hAnsi="宋体" w:cs="宋体"/>
                <w:kern w:val="0"/>
                <w:sz w:val="18"/>
                <w:szCs w:val="18"/>
                <w:highlight w:val="none"/>
                <w:lang w:eastAsia="zh-CN"/>
              </w:rPr>
              <w:t>；</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信噪比检验≥65dB</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highlight w:val="none"/>
              </w:rPr>
              <w:t>照度适应范围不小于</w:t>
            </w:r>
            <w:r>
              <w:rPr>
                <w:rFonts w:hint="eastAsia" w:ascii="宋体" w:hAnsi="宋体" w:cs="宋体"/>
                <w:kern w:val="0"/>
                <w:sz w:val="18"/>
                <w:szCs w:val="18"/>
              </w:rPr>
              <w:t>140dB</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最大亮度鉴别等级不小于11级（RJ45输出）</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应具有宽动态能力，其宽动态能力综合评价得分应≥140；动态范围不小于120dB</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辅视频画面支持水平手控最大速度不小于900°/s，水平手控最小速度不大于0.01°/s</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支持2路音频输入、2路音频输出、7路报警输入、3路报警输出</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具有1个RJ45网络接口、1个CVBS模拟视频输出接口、1个光纤接口、2个RS232接口、1个RS485接口、1个复位按钮、1个SD卡槽、1个DC12V输出接口。</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支持白平衡、自动增益控制、感兴趣区域（ROI）、电子快门、背光补偿、强光抑制、图像参数(亮度、对比度、饱和度、锐度、gamma)设置、自动维护功能等功能</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在正常工作时断开网络，可将抓拍图片存储至内置SD中，当网络恢复后，再将这些图片上传至指定的FTP服务器</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辅视频画面支持垂直-35°～90°自动翻转，支持水平360°连续旋转</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可在主视频图像中叠加辅视频图像进行显示</w:t>
            </w:r>
          </w:p>
          <w:p>
            <w:pPr>
              <w:widowControl/>
              <w:numPr>
                <w:ilvl w:val="0"/>
                <w:numId w:val="22"/>
              </w:numPr>
              <w:spacing w:line="0" w:lineRule="atLeast"/>
              <w:ind w:left="0" w:firstLine="0" w:firstLineChars="0"/>
              <w:jc w:val="left"/>
              <w:rPr>
                <w:highlight w:val="none"/>
              </w:rPr>
            </w:pPr>
            <w:r>
              <w:rPr>
                <w:rFonts w:hint="eastAsia" w:ascii="宋体" w:hAnsi="宋体" w:cs="宋体"/>
                <w:kern w:val="0"/>
                <w:sz w:val="18"/>
                <w:szCs w:val="18"/>
              </w:rPr>
              <w:t>应</w:t>
            </w:r>
            <w:r>
              <w:rPr>
                <w:rFonts w:hint="eastAsia" w:ascii="宋体" w:hAnsi="宋体" w:cs="宋体"/>
                <w:kern w:val="0"/>
                <w:sz w:val="18"/>
                <w:szCs w:val="18"/>
                <w:highlight w:val="none"/>
              </w:rPr>
              <w:t>具有预置位，存预置位和调预置位功能应正常</w:t>
            </w:r>
            <w:r>
              <w:rPr>
                <w:rFonts w:hint="eastAsia" w:ascii="宋体" w:hAnsi="宋体" w:cs="宋体"/>
                <w:kern w:val="0"/>
                <w:sz w:val="18"/>
                <w:szCs w:val="18"/>
                <w:highlight w:val="none"/>
                <w:lang w:eastAsia="zh-CN"/>
              </w:rPr>
              <w:t>；</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具有流光检测功能，可选择开启/关闭，在环 境照度低于50lx时，开启流光功能后，可清 晰分辨静态物体和运动速度较慢的目标，提升 检测目标准确率（公安部检测报告体现）</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自带防水透气膜，内部水气可通过防水透 气膜排出，外部的水气无法进入</w:t>
            </w:r>
            <w:r>
              <w:rPr>
                <w:rFonts w:hint="eastAsia" w:ascii="宋体" w:hAnsi="宋体" w:cs="宋体"/>
                <w:kern w:val="0"/>
                <w:sz w:val="18"/>
                <w:szCs w:val="18"/>
                <w:highlight w:val="none"/>
                <w:lang w:eastAsia="zh-CN"/>
              </w:rPr>
              <w:t>；</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设备支持自动标定、自动拼接功能</w:t>
            </w:r>
            <w:r>
              <w:rPr>
                <w:rFonts w:hint="eastAsia" w:ascii="宋体" w:hAnsi="宋体" w:cs="宋体"/>
                <w:kern w:val="0"/>
                <w:sz w:val="18"/>
                <w:szCs w:val="18"/>
                <w:highlight w:val="none"/>
                <w:lang w:eastAsia="zh-CN"/>
              </w:rPr>
              <w:t>；</w:t>
            </w:r>
          </w:p>
          <w:p>
            <w:pPr>
              <w:widowControl/>
              <w:numPr>
                <w:ilvl w:val="0"/>
                <w:numId w:val="22"/>
              </w:numPr>
              <w:spacing w:line="0" w:lineRule="atLeast"/>
              <w:ind w:left="0"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开启车辆拥堵检测功能后，当设置区域内的 车辆滞留时间和数量同时超过设定值时，IE 浏览器应给出报警提示并联动录像和抓拍</w:t>
            </w:r>
            <w:r>
              <w:rPr>
                <w:rFonts w:hint="eastAsia" w:ascii="宋体" w:hAnsi="宋体" w:cs="宋体"/>
                <w:kern w:val="0"/>
                <w:sz w:val="18"/>
                <w:szCs w:val="18"/>
                <w:highlight w:val="none"/>
                <w:lang w:eastAsia="zh-CN"/>
              </w:rPr>
              <w:t>；</w:t>
            </w:r>
          </w:p>
          <w:p>
            <w:pPr>
              <w:widowControl/>
              <w:numPr>
                <w:ilvl w:val="0"/>
                <w:numId w:val="22"/>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highlight w:val="none"/>
              </w:rPr>
              <w:t>具有智能风控除雾功能，可去除样机内部湿气、 雾气</w:t>
            </w:r>
            <w:r>
              <w:rPr>
                <w:rFonts w:hint="eastAsia" w:ascii="宋体" w:hAnsi="宋体" w:cs="宋体"/>
                <w:kern w:val="0"/>
                <w:sz w:val="18"/>
                <w:szCs w:val="18"/>
                <w:highlight w:val="none"/>
                <w:lang w:eastAsia="zh-CN"/>
              </w:rPr>
              <w:t>；</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热成像双光谱中载云台</w:t>
            </w:r>
          </w:p>
        </w:tc>
        <w:tc>
          <w:tcPr>
            <w:tcW w:w="10774" w:type="dxa"/>
            <w:shd w:val="clear" w:color="auto" w:fill="auto"/>
            <w:noWrap/>
          </w:tcPr>
          <w:p>
            <w:pPr>
              <w:widowControl/>
              <w:numPr>
                <w:ilvl w:val="0"/>
                <w:numId w:val="23"/>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观测型热成像双光谱网络云台摄像机、最大图像尺寸：384 ×288</w:t>
            </w:r>
          </w:p>
          <w:p>
            <w:pPr>
              <w:widowControl/>
              <w:numPr>
                <w:ilvl w:val="0"/>
                <w:numId w:val="23"/>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热成像镜头焦距：75mm、人员最远报警距离（以1.8米*0.5米为准）:750m</w:t>
            </w:r>
          </w:p>
          <w:p>
            <w:pPr>
              <w:widowControl/>
              <w:numPr>
                <w:ilvl w:val="0"/>
                <w:numId w:val="23"/>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车辆最远报警距离（以4米*1.4米为准）:2250m、船只最远报警距离（以10米*5米为准）:2250m、火点最远探测距离（以2米*2米为准）:4500m、烟雾最远探测距离（以5米*5米为准）:8km</w:t>
            </w:r>
          </w:p>
          <w:p>
            <w:pPr>
              <w:widowControl/>
              <w:numPr>
                <w:ilvl w:val="0"/>
                <w:numId w:val="23"/>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视场角：4.98°× 3.74°、可见光镜头：6-336 mm</w:t>
            </w:r>
          </w:p>
          <w:p>
            <w:pPr>
              <w:widowControl/>
              <w:numPr>
                <w:ilvl w:val="0"/>
                <w:numId w:val="23"/>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可见光最大图像分辨率：2688 × 1520，400万、支持800米激光补光</w:t>
            </w:r>
          </w:p>
          <w:p>
            <w:pPr>
              <w:widowControl/>
              <w:numPr>
                <w:ilvl w:val="0"/>
                <w:numId w:val="23"/>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水平方向360°连续旋转，垂直方向-90°～40°、电源：AC 24 V&amp;amp; DC 36 V&amp;amp; DC 48 V</w:t>
            </w:r>
          </w:p>
          <w:p>
            <w:pPr>
              <w:widowControl/>
              <w:numPr>
                <w:ilvl w:val="0"/>
                <w:numId w:val="23"/>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功率：工作功耗≤70 W，最大功耗≤130 W、工作温度和湿度：-40 ℃~65 ℃，湿度小于90%、防护等级：IP66</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室外网络全彩枪机</w:t>
            </w:r>
          </w:p>
        </w:tc>
        <w:tc>
          <w:tcPr>
            <w:tcW w:w="10774" w:type="dxa"/>
            <w:shd w:val="clear" w:color="auto" w:fill="auto"/>
            <w:noWrap/>
          </w:tcPr>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产品功能 红外灯，日夜转换，宽动态，数字降噪</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产品外形 枪式</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成像色彩 彩色</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硬件性能：成像器件 1/2.7英寸Progressive Scan CMOS、有效像素 500万、镜头参数 定焦：4mm</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水平视场角：80.2°，垂直视场角：58.2°，对角线视场角：106.2°、镜头尺寸接口：M12、光圈类型：手动/固定光圈</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最低照度 0.005Lux@（F1.2，AGC ON），0 Lux with IR、电子快门 1/3秒至1/100000秒</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音频/视频：分辨率 2560×1920、压缩格式 视频压缩：主码流H.265/H.264，子码流：H.265/H.264/MJPEG、音频压</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G.711ulaw/G.711alaw/G.722.1/G.726/MP2L2/PCM、视频帧率 主码流：20fps、子码流：25fps</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压缩码率 视频压缩：32Kbps-8Mbps、音频压缩：64 Kbps(G.711)/16 Kbps(G.722.1)/16 Kbps(G.726)/32~192 Kbps(MP2L2)</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接口参数</w:t>
            </w:r>
            <w:r>
              <w:rPr>
                <w:rFonts w:ascii="宋体" w:hAnsi="宋体" w:cs="宋体"/>
                <w:kern w:val="0"/>
                <w:sz w:val="18"/>
                <w:szCs w:val="18"/>
              </w:rPr>
              <w:t xml:space="preserve"> </w:t>
            </w:r>
            <w:r>
              <w:rPr>
                <w:rFonts w:hint="eastAsia" w:ascii="宋体" w:hAnsi="宋体" w:cs="宋体"/>
                <w:kern w:val="0"/>
                <w:sz w:val="18"/>
                <w:szCs w:val="18"/>
              </w:rPr>
              <w:t>音频输入 1个内置麦克风和1个内置扬声器，1路输入（Line in）、音频输出 1路输出（Line out）、报警输入 1路输入、报警输出 1路输出（报警输出最大支持DC24V/AC24V，1A）、网络接口 1个10Base-T/100Base-TX(RJ-45)</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其它参数</w:t>
            </w:r>
            <w:r>
              <w:rPr>
                <w:rFonts w:ascii="宋体" w:hAnsi="宋体" w:cs="宋体"/>
                <w:kern w:val="0"/>
                <w:sz w:val="18"/>
                <w:szCs w:val="18"/>
              </w:rPr>
              <w:t xml:space="preserve"> </w:t>
            </w:r>
            <w:r>
              <w:rPr>
                <w:rFonts w:hint="eastAsia" w:ascii="宋体" w:hAnsi="宋体" w:cs="宋体"/>
                <w:kern w:val="0"/>
                <w:sz w:val="18"/>
                <w:szCs w:val="18"/>
              </w:rPr>
              <w:t>网络协议 TCP/IP，ICMP，HTTP，FTP，DHCP，DNS，DDNS，RTP，RTSP，RTCP，NTP，UPnP，SMTP，IGMP，QoS，IPv6，UDP，Bonjour，SSL/TLS</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防护等级 IP66、电源电压 DC 12V±25%，PoE（802.3af）、电源功率 9W MAX，PoE：10.5W Max</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环境温度 -30-60℃、环境湿度 ＜95%（无凝结）</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其他性能 宽动态：120dB</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日夜切换模式：ICR红外滤片式</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日夜转换模式：白天、夜晚、自动、定时切换</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图像增强：背光补偿，强光抑制，3D数字降噪</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图像设置：饱和度，亮度，对比度，锐度，AGC，白平衡通过客户端或者浏览器可调</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Smart事件：越界侦测，区域入侵侦测</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人脸抓拍：支持</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联动方式：上传NAS/SD卡/FTP，邮件，上传中心，录像，抓图，报警输出，声音报警，闪光</w:t>
            </w:r>
          </w:p>
          <w:p>
            <w:pPr>
              <w:widowControl/>
              <w:numPr>
                <w:ilvl w:val="0"/>
                <w:numId w:val="24"/>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报警</w:t>
            </w:r>
            <w:r>
              <w:rPr>
                <w:rFonts w:ascii="宋体" w:hAnsi="宋体" w:cs="宋体"/>
                <w:kern w:val="0"/>
                <w:sz w:val="18"/>
                <w:szCs w:val="18"/>
              </w:rPr>
              <w:t xml:space="preserve"> </w:t>
            </w:r>
            <w:r>
              <w:rPr>
                <w:rFonts w:hint="eastAsia" w:ascii="宋体" w:hAnsi="宋体" w:cs="宋体"/>
                <w:kern w:val="0"/>
                <w:sz w:val="18"/>
                <w:szCs w:val="18"/>
              </w:rPr>
              <w:t>通用功能：心跳，镜像，密码保护，水印，IP地址过滤，flash日志，像素计数器，视频遮盖、恢复出厂设置：支持RESET 按键，客户端或浏览器恢复、最远补光距离：50m、波长范围：850nm</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ascii="宋体" w:hAnsi="宋体" w:cs="宋体"/>
                <w:kern w:val="0"/>
                <w:sz w:val="18"/>
                <w:szCs w:val="18"/>
              </w:rPr>
              <w:t>21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道路卡口监控摄像机</w:t>
            </w:r>
          </w:p>
        </w:tc>
        <w:tc>
          <w:tcPr>
            <w:tcW w:w="10774" w:type="dxa"/>
            <w:shd w:val="clear" w:color="auto" w:fill="auto"/>
            <w:noWrap/>
            <w:vAlign w:val="center"/>
          </w:tcPr>
          <w:p>
            <w:pPr>
              <w:widowControl/>
              <w:numPr>
                <w:ilvl w:val="0"/>
                <w:numId w:val="25"/>
              </w:numPr>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包含摄像机(带内置偏振镜)、高清镜头、室外防护罩、内置补光灯、摄像机内置偏振镜、风扇、电源适配器、安装万向节等</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像素：500W</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传感器类型：2/3” Global shutter CMOS(*2)</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功耗：20W MAX</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防护等级：IP65</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工作温度：温度-30℃~70℃</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电源：100VAC～240VAC；频率：48Hz～52Hz</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工作湿度：湿度5%~95%@40℃,无凝结</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摄像机参数配置功能：曝光速度、AGC控制、白平衡方式控制等</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接口</w:t>
            </w:r>
            <w:r>
              <w:rPr>
                <w:rFonts w:hint="eastAsia" w:ascii="宋体" w:hAnsi="宋体" w:cs="宋体"/>
                <w:kern w:val="0"/>
                <w:sz w:val="18"/>
                <w:szCs w:val="18"/>
                <w:lang w:eastAsia="zh-CN"/>
              </w:rPr>
              <w:t>；</w:t>
            </w:r>
            <w:r>
              <w:rPr>
                <w:rFonts w:hint="eastAsia" w:ascii="宋体" w:hAnsi="宋体" w:cs="宋体"/>
                <w:kern w:val="0"/>
                <w:sz w:val="18"/>
                <w:szCs w:val="18"/>
              </w:rPr>
              <w:t>镜头规格：25mm</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触发输出：7路F+F-输出接口,可作为补光灯同步输出控制</w:t>
            </w:r>
            <w:r>
              <w:rPr>
                <w:rFonts w:hint="eastAsia" w:ascii="宋体" w:hAnsi="宋体" w:cs="宋体"/>
                <w:kern w:val="0"/>
                <w:sz w:val="18"/>
                <w:szCs w:val="18"/>
              </w:rPr>
              <w:br w:type="textWrapping"/>
            </w:r>
            <w:r>
              <w:rPr>
                <w:rFonts w:hint="eastAsia" w:ascii="宋体" w:hAnsi="宋体" w:cs="宋体"/>
                <w:kern w:val="0"/>
                <w:sz w:val="18"/>
                <w:szCs w:val="18"/>
              </w:rPr>
              <w:t>通讯接口：4个RS-485接口,1个RS-232接口,2个RJ45 10M/100M/1000M自适应以太网口</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抓拍功能</w:t>
            </w:r>
            <w:r>
              <w:rPr>
                <w:rFonts w:hint="eastAsia" w:ascii="宋体" w:hAnsi="宋体" w:cs="宋体"/>
                <w:kern w:val="0"/>
                <w:sz w:val="18"/>
                <w:szCs w:val="18"/>
                <w:lang w:eastAsia="zh-CN"/>
              </w:rPr>
              <w:t>；</w:t>
            </w:r>
            <w:r>
              <w:rPr>
                <w:rFonts w:hint="eastAsia" w:ascii="宋体" w:hAnsi="宋体" w:cs="宋体"/>
                <w:kern w:val="0"/>
                <w:sz w:val="18"/>
                <w:szCs w:val="18"/>
              </w:rPr>
              <w:t>图片分辨率：2448(H)*2048(V)图片格式：JPEG</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智能功能</w:t>
            </w:r>
            <w:r>
              <w:rPr>
                <w:rFonts w:hint="eastAsia" w:ascii="宋体" w:hAnsi="宋体" w:cs="宋体"/>
                <w:kern w:val="0"/>
                <w:sz w:val="18"/>
                <w:szCs w:val="18"/>
                <w:lang w:eastAsia="zh-CN"/>
              </w:rPr>
              <w:t>；</w:t>
            </w:r>
            <w:r>
              <w:rPr>
                <w:rFonts w:hint="eastAsia" w:ascii="宋体" w:hAnsi="宋体" w:cs="宋体"/>
                <w:kern w:val="0"/>
                <w:sz w:val="18"/>
                <w:szCs w:val="18"/>
              </w:rPr>
              <w:t>智能识别：目标检测：机动车抓拍，违章检测：压线、逆行、车辆特征检测：车牌识别、车型识别、车身颜色识别、车辆品牌、车辆子品牌</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设备外形</w:t>
            </w:r>
            <w:r>
              <w:rPr>
                <w:rFonts w:hint="eastAsia" w:ascii="宋体" w:hAnsi="宋体" w:cs="宋体"/>
                <w:kern w:val="0"/>
                <w:sz w:val="18"/>
                <w:szCs w:val="18"/>
                <w:lang w:eastAsia="zh-CN"/>
              </w:rPr>
              <w:t>；</w:t>
            </w:r>
            <w:r>
              <w:rPr>
                <w:rFonts w:hint="eastAsia" w:ascii="宋体" w:hAnsi="宋体" w:cs="宋体"/>
                <w:kern w:val="0"/>
                <w:sz w:val="18"/>
                <w:szCs w:val="18"/>
              </w:rPr>
              <w:t>内部组件：防尘、防水面板、LED补光灯</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功能特性</w:t>
            </w:r>
            <w:r>
              <w:rPr>
                <w:rFonts w:hint="eastAsia" w:ascii="宋体" w:hAnsi="宋体" w:cs="宋体"/>
                <w:kern w:val="0"/>
                <w:sz w:val="18"/>
                <w:szCs w:val="18"/>
                <w:lang w:eastAsia="zh-CN"/>
              </w:rPr>
              <w:t>；</w:t>
            </w:r>
            <w:r>
              <w:rPr>
                <w:rFonts w:hint="eastAsia" w:ascii="宋体" w:hAnsi="宋体" w:cs="宋体"/>
                <w:kern w:val="0"/>
                <w:sz w:val="18"/>
                <w:szCs w:val="18"/>
              </w:rPr>
              <w:t>压缩输出码率：32 Kbps~16 Mbps</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帧率：25fps</w:t>
            </w:r>
            <w:r>
              <w:rPr>
                <w:rFonts w:hint="eastAsia" w:ascii="宋体" w:hAnsi="宋体" w:cs="宋体"/>
                <w:kern w:val="0"/>
                <w:sz w:val="18"/>
                <w:szCs w:val="18"/>
                <w:lang w:eastAsia="zh-CN"/>
              </w:rPr>
              <w:t>；</w:t>
            </w:r>
            <w:r>
              <w:rPr>
                <w:rFonts w:hint="eastAsia" w:ascii="宋体" w:hAnsi="宋体" w:cs="宋体"/>
                <w:kern w:val="0"/>
                <w:sz w:val="18"/>
                <w:szCs w:val="18"/>
              </w:rPr>
              <w:t>支持协议：ISAPI ,GB28181，海康SDK</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视频分辨率：2448(H)*2048(V)</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存储功能：TF;USB</w:t>
            </w:r>
          </w:p>
          <w:p>
            <w:pPr>
              <w:widowControl/>
              <w:numPr>
                <w:ilvl w:val="0"/>
                <w:numId w:val="25"/>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视频压缩标准：H.264;H.265;MJPEG</w:t>
            </w:r>
            <w:r>
              <w:rPr>
                <w:rFonts w:hint="eastAsia" w:ascii="宋体" w:hAnsi="宋体" w:cs="宋体"/>
                <w:kern w:val="0"/>
                <w:sz w:val="18"/>
                <w:szCs w:val="18"/>
              </w:rPr>
              <w:br w:type="textWrapping"/>
            </w:r>
            <w:r>
              <w:rPr>
                <w:rFonts w:hint="eastAsia" w:ascii="宋体" w:hAnsi="宋体" w:cs="宋体"/>
                <w:kern w:val="0"/>
                <w:sz w:val="18"/>
                <w:szCs w:val="18"/>
              </w:rPr>
              <w:t>终端接入：支持</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网络红外球</w:t>
            </w:r>
          </w:p>
        </w:tc>
        <w:tc>
          <w:tcPr>
            <w:tcW w:w="10774" w:type="dxa"/>
            <w:shd w:val="clear" w:color="auto" w:fill="auto"/>
            <w:noWrap/>
            <w:vAlign w:val="center"/>
          </w:tcPr>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【400万像素星光级9寸红外网络高清高速智能球机】</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具备人脸、人体抓拍并关联输出功能，支持手动人脸抓拍、多场景轮巡抓拍、远距离卡口抓拍模式；</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支持人脸人体车辆同时抓拍，人脸人体关联输出，并实现对人脸、人体、车辆结构化属性特征信息提取</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支持深度学习算法，提升Smart功能和跟踪功能，并支持去误报和目标分类</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支持区域入侵侦测、越界侦测、移动侦测等智能侦测功能</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支持手动跟踪、全景跟踪、事件跟踪，并支持多场景巡航跟踪</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支持车牌捕获及检索、混行检测、多场景巡航检测、云存储服务功能</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独创的鹰视智能聚焦算法，实现对运动物体的快速聚焦捕获支持自动雨刷：主动感应下雨，下雨主动启动雨刷图像传感器:1/1.8＂ progressive scan CMOS</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最低照度:彩色：0.0005Lux @ (F1.2，AGC ON)；黑白：0.0001Lux @ (F1.2，AGC ON)；0 Lux with IR</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分辨率及帧率:主码流  50Hz:50fps(2560×1440);60Hz:60fps(2560×1440)</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视频压缩:H.265/H.264/MJPEG</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红外照射距离:250米</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焦距:3.05~224mm，73倍光学变倍</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Smart图像增强:120dB超宽动态、光学透雾、强光抑制、电子防抖、Smart IR</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水平及垂直范围:水平360°；垂直-25°-90°（自动翻转）</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水平速度:水平键控速度：0.1°-210°/s,速度可设;水平预置点速度：280°/s</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垂直速度:垂直键控速度：0.1°-150°/s,速度可设;垂直预置点速度：250°/s</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电源接口:DC36v</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 xml:space="preserve">网络接口:RJ45网口，自适应10M/100M网络数据 </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音频输入/输出:1路音频输入；1路音频输出</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报警输入/输出:7路报警输入；2路报警输出</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具有RS485控制接口</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SD卡接口:内置Micro SD卡插槽，支持Micro SD(即TF卡)/ Micro SDHC/ Micro SDXC卡（最大支持256G）</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功耗:Max.80W</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工作温度和湿度:-40℃-70℃；湿度小于95%</w:t>
            </w:r>
          </w:p>
          <w:p>
            <w:pPr>
              <w:widowControl/>
              <w:numPr>
                <w:ilvl w:val="0"/>
                <w:numId w:val="26"/>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防护等级:IP66</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铁塔租赁</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铁塔租赁</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链路</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链路</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（二）园区南区监控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序号</w:t>
            </w:r>
          </w:p>
        </w:tc>
        <w:tc>
          <w:tcPr>
            <w:tcW w:w="111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名称</w:t>
            </w:r>
          </w:p>
        </w:tc>
        <w:tc>
          <w:tcPr>
            <w:tcW w:w="10774"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功能描述</w:t>
            </w:r>
          </w:p>
        </w:tc>
        <w:tc>
          <w:tcPr>
            <w:tcW w:w="666"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数量</w:t>
            </w:r>
          </w:p>
        </w:tc>
        <w:tc>
          <w:tcPr>
            <w:tcW w:w="801" w:type="dxa"/>
            <w:shd w:val="clear" w:color="auto" w:fill="auto"/>
            <w:noWrap/>
            <w:vAlign w:val="center"/>
          </w:tcPr>
          <w:p>
            <w:pPr>
              <w:widowControl/>
              <w:spacing w:line="0" w:lineRule="atLeast"/>
              <w:ind w:firstLine="0" w:firstLineChars="0"/>
              <w:jc w:val="center"/>
              <w:rPr>
                <w:rFonts w:ascii="宋体" w:hAnsi="宋体" w:cs="宋体"/>
                <w:b/>
                <w:bCs/>
                <w:kern w:val="0"/>
                <w:sz w:val="18"/>
                <w:szCs w:val="18"/>
              </w:rPr>
            </w:pPr>
            <w:r>
              <w:rPr>
                <w:rFonts w:hint="eastAsia" w:ascii="宋体" w:hAnsi="宋体" w:cs="宋体"/>
                <w:b/>
                <w:bCs/>
                <w:kern w:val="0"/>
                <w:sz w:val="18"/>
                <w:szCs w:val="1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室外网络全彩枪机</w:t>
            </w:r>
          </w:p>
        </w:tc>
        <w:tc>
          <w:tcPr>
            <w:tcW w:w="10774" w:type="dxa"/>
            <w:shd w:val="clear" w:color="auto" w:fill="auto"/>
            <w:noWrap/>
          </w:tcPr>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产品功能 红外灯，日夜转换，宽动态，数字降噪</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产品外形 枪式</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成像色彩 彩色</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硬件性能：成像器件 1/2.7英寸Progressive Scan CMOS、有效像素 500万、镜头参数 定焦：4mm</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水平视场角：80.2°，垂直视场角：58.2°，对角线视场角：106.2°、镜头尺寸接口：M12、光圈类型：手动/固定光圈</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最低照度 0.005Lux@（F1.2，AGC ON），0 Lux with IR、电子快门 1/3秒至1/100000秒</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音频/视频：分辨率 2560×1920、压缩格式 视频压缩：主码流H.265/H.264，子码流：H.265/H.264/MJPEG、音频压</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G.711ulaw/G.711alaw/G.722.1/G.726/MP2L2/PCM、视频帧率 主码流：20fps、子码流：25fps</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压缩码率 视频压缩：32Kbps-8Mbps、音频压缩：64 Kbps(G.711)/16 Kbps(G.722.1)/16 Kbps(G.726)/32~192 Kbps(MP2L2)</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接口参数</w:t>
            </w:r>
            <w:r>
              <w:rPr>
                <w:rFonts w:ascii="宋体" w:hAnsi="宋体" w:cs="宋体"/>
                <w:kern w:val="0"/>
                <w:sz w:val="18"/>
                <w:szCs w:val="18"/>
              </w:rPr>
              <w:t xml:space="preserve"> </w:t>
            </w:r>
            <w:r>
              <w:rPr>
                <w:rFonts w:hint="eastAsia" w:ascii="宋体" w:hAnsi="宋体" w:cs="宋体"/>
                <w:kern w:val="0"/>
                <w:sz w:val="18"/>
                <w:szCs w:val="18"/>
              </w:rPr>
              <w:t>音频输入 1个内置麦克风和1个内置扬声器，1路输入（Line in）、音频输出 1路输出（Line out）、报警输入 1路输入、报警输出 1路输出（报警输出最大支持DC24V/AC24V，1A）、网络接口 1个10Base-T/100Base-TX(RJ-45)</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其它参数</w:t>
            </w:r>
            <w:r>
              <w:rPr>
                <w:rFonts w:ascii="宋体" w:hAnsi="宋体" w:cs="宋体"/>
                <w:kern w:val="0"/>
                <w:sz w:val="18"/>
                <w:szCs w:val="18"/>
              </w:rPr>
              <w:t xml:space="preserve"> </w:t>
            </w:r>
            <w:r>
              <w:rPr>
                <w:rFonts w:hint="eastAsia" w:ascii="宋体" w:hAnsi="宋体" w:cs="宋体"/>
                <w:kern w:val="0"/>
                <w:sz w:val="18"/>
                <w:szCs w:val="18"/>
              </w:rPr>
              <w:t>网络协议 TCP/IP，ICMP，HTTP，FTP，DHCP，DNS，DDNS，RTP，RTSP，RTCP，NTP，UPnP，SMTP，IGMP，QoS，IPv6，UDP，Bonjour，SSL/TLS</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防护等级 IP66、电源电压 DC 12V±25%，PoE（802.3af）、电源功率 9W MAX，PoE：10.5W Max</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环境温度 -30-60℃、环境湿度 ＜95%（无凝结）</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其他性能 宽动态：120dB</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日夜切换模式：ICR红外滤片式</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日夜转换模式：白天、夜晚、自动、定时切换</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图像增强：背光补偿，强光抑制，3D数字降噪</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图像设置：饱和度，亮度，对比度，锐度，AGC，白平衡通过客户端或者浏览器可调</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Smart事件：越界侦测，区域入侵侦测</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人脸抓拍：支持</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联动方式：上传NAS/SD卡/FTP，邮件，上传中心，录像，抓图，报警输出，声音报警，闪光</w:t>
            </w:r>
          </w:p>
          <w:p>
            <w:pPr>
              <w:widowControl/>
              <w:numPr>
                <w:ilvl w:val="0"/>
                <w:numId w:val="27"/>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报警</w:t>
            </w:r>
            <w:r>
              <w:rPr>
                <w:rFonts w:ascii="宋体" w:hAnsi="宋体" w:cs="宋体"/>
                <w:kern w:val="0"/>
                <w:sz w:val="18"/>
                <w:szCs w:val="18"/>
              </w:rPr>
              <w:t xml:space="preserve"> </w:t>
            </w:r>
            <w:r>
              <w:rPr>
                <w:rFonts w:hint="eastAsia" w:ascii="宋体" w:hAnsi="宋体" w:cs="宋体"/>
                <w:kern w:val="0"/>
                <w:sz w:val="18"/>
                <w:szCs w:val="18"/>
              </w:rPr>
              <w:t>通用功能：心跳，镜像，密码保护，水印，IP地址过滤，flash日志，像素计数器，视频遮盖、恢复出厂设置：支持RESET 按键，客户端或浏览器恢复、最远补光距离：50m、波长范围：850nm</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ascii="宋体" w:hAnsi="宋体" w:cs="宋体"/>
                <w:kern w:val="0"/>
                <w:sz w:val="18"/>
                <w:szCs w:val="18"/>
              </w:rPr>
              <w:t>12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highlight w:val="none"/>
              </w:rPr>
            </w:pPr>
            <w:r>
              <w:rPr>
                <w:rFonts w:hint="eastAsia" w:ascii="宋体" w:hAnsi="宋体" w:cs="宋体"/>
                <w:kern w:val="0"/>
                <w:sz w:val="18"/>
                <w:szCs w:val="18"/>
                <w:highlight w:val="none"/>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highlight w:val="none"/>
              </w:rPr>
            </w:pPr>
            <w:r>
              <w:rPr>
                <w:rFonts w:hint="eastAsia" w:ascii="宋体" w:hAnsi="宋体" w:cs="宋体"/>
                <w:kern w:val="0"/>
                <w:sz w:val="18"/>
                <w:szCs w:val="18"/>
                <w:highlight w:val="none"/>
              </w:rPr>
              <w:t>道路卡口监控摄像机</w:t>
            </w:r>
          </w:p>
        </w:tc>
        <w:tc>
          <w:tcPr>
            <w:tcW w:w="10774" w:type="dxa"/>
            <w:shd w:val="clear" w:color="auto" w:fill="auto"/>
            <w:noWrap/>
            <w:vAlign w:val="center"/>
          </w:tcPr>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1、包含摄像机(带内置偏振镜)、高清镜头、室外防护罩、内置补光灯、摄像机内置偏振镜、风扇、电源适配器、安装万向节等</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2、像素：500W</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3、传感器类型：2/3” Global shutter CMOS(*2)</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4、功耗：20W MAX</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5、防护等级：IP65</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6、工作温度：温度-30℃~70℃</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7、电源：100VAC～240VAC；频率：48Hz～52Hz</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8、工作湿度：湿度5%~95%@40℃,无凝结</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9、摄像机参数配置功能：曝光速度、AGC控制、白平衡方式控制等</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10、接口；镜头规格：25mm</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11、触发输出：7路F+F-输出接口,可作为补光灯同步输出控制</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通讯接口：4个RS-485接口,1个RS-232接口,2个RJ45 10M/100M/1000M自适应以太网口</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12、抓拍功能；图片分辨率：2448(H)*2048(V)图片格式：JPEG</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13、智能功能；智能识别：目标检测：机动车抓拍，违章检测：压线、逆行、车辆特征检测：车牌识别、车型识别、车身颜色识别、车辆品牌、车辆子品牌</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14、设备外形；内部组件：防尘、防水面板、LED补光灯</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15、功能特性；压缩输出码率：32 Kbps~16 Mbps</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16、帧率：25fps；支持协议：ISAPI ,GB28181，海康SDK</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17、视频分辨率：2448(H)*2048(V)</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18、存储功能：TF;USB</w:t>
            </w:r>
          </w:p>
          <w:p>
            <w:pPr>
              <w:widowControl/>
              <w:spacing w:line="0" w:lineRule="atLeast"/>
              <w:ind w:firstLine="0" w:firstLineChars="0"/>
              <w:jc w:val="left"/>
              <w:rPr>
                <w:rFonts w:hint="eastAsia" w:ascii="宋体" w:hAnsi="宋体" w:cs="宋体"/>
                <w:kern w:val="0"/>
                <w:sz w:val="18"/>
                <w:szCs w:val="18"/>
              </w:rPr>
            </w:pPr>
            <w:r>
              <w:rPr>
                <w:rFonts w:hint="eastAsia" w:ascii="宋体" w:hAnsi="宋体" w:cs="宋体"/>
                <w:kern w:val="0"/>
                <w:sz w:val="18"/>
                <w:szCs w:val="18"/>
              </w:rPr>
              <w:t>视频压缩标准：H.264;H.265;MJPEG</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终端接入：支持</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（三）园区出入口控制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抓拍显示一体机（４米杆）</w:t>
            </w:r>
          </w:p>
        </w:tc>
        <w:tc>
          <w:tcPr>
            <w:tcW w:w="10774" w:type="dxa"/>
            <w:shd w:val="clear" w:color="auto" w:fill="auto"/>
            <w:noWrap/>
            <w:vAlign w:val="center"/>
          </w:tcPr>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高度集成：快速道闸、智能抓拍机、补光灯、LED屏、防砸雷达、求助按钮、语音播报、语音对讲于一体</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快速通行：集成行星齿轮道闸，传动效率高，性能稳定，快速抬杆慢速落杆，实现快速通行</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高清晰：400万像素高清摄像机，最大分辨率可达2688*1520，帧率高达25fps；</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低照度效果：1/3"逐行扫描CMOS，成像效果好，0.022Lux低照度监控效果，夜间看的更清；</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显示屏：LCD版：21.5英寸LCD屏，可支持无牌车扫码进出、支持二维码显示、支持图片视频广告播放</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LED版：支持四行四字双色LED屏，显示内容可灵活配置</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补光灯：内置9颗高亮LED灯，智能补光技术，支持时控和光控</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调试方便：采用3.1-6mm电动变焦镜头，支持软件自动调焦，调试更加方便，场景适应性更广；</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车牌识别种类：支持识别的号牌类型包括大（小）型汽车、使领馆汽车、警用汽车、教练汽车、新能源汽车、军车等；2019式武警牌等国标车牌；</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车辆结构化：支持车型识别，车标识别，车身颜色识别，子品牌检测</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黑白名单控制：支持黑、白名单的导入及对比，可直接联动道闸开闸，支持脱机运行；</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多种触发模式：支持视频触发、线圈触发、雷达触发等多种触发模式；捕获率高，纯视频识别，纯视频抓拍时可捕获无车牌，捕获率99.9%以上</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防跟车模式：支持视频防跟车、雷达/线圈防跟车两种模式，对于连续过车的场景，可实现跟车不落杆，有效解决拥堵问题；</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防护等级：机箱表面采用抗紫外线静电喷塑工艺，不起皮，不褪色，防尘防水等级符合室外设备IP54级别要求；</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易安装维护：一体化结构设计，布线简单，调试方便。一站式安装维护，缩短施工周期达1/3以上</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防跟车模式：支持视频防跟车、雷达/线圈防跟车两种模式，对于连续过车的场景，可实现跟车不落杆，有效解决拥堵问题；</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摄像机：传感器类型：1/3" Progressive Scan CMOS、最低照度：彩色0.022lx (F2.0,AGC ON)、黑白0.011lx(F2.0,AGC ON)</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快门：1/30秒至1/100,000秒、镜头：3.1~6mm电动变焦镜头、自动光圈：DC驱动、ICR切换：支持、日夜转换模式：ICR红外滤片式</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数字降噪：3D数字降噪</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压缩标准：视频压缩标准：H.264/H.265/MJPEG、视频压缩码率：32 Kbps~16M bps</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图像：图像格式：JPEG、最大图像尺寸：2688*1520、帧率：25fps(2688*1520)、图像设置：饱和度,亮度,对比度,白平衡,增益,3D降噪通过软件可调</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网络功能：存储功能：支持内置TF、支持协议：TCP/IP,HTTP,DHCP,DNS,RTP,RTSP,NTP,支持FTP上传图片</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通用功能：心跳,密码保护,NTP校时</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抓拍功能</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图片格式：采用JPEG编码,图片质量可设</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智能识别：车牌识别、车型识别、车标识别、车辆子品牌，车身颜色识别</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补光灯控制：补光灯自动光控、时控可选；</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接口：通讯接口：1 个RJ45 10M/100M 自适应以太网口，1个RS-232接口</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补光灯：内置9颗LED补光灯</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外部接口：3路触发输入；2路继电器输出，支持道闸开、关、停内存卡插槽：1个TF卡插槽，可选配TF卡，最大支持容量64G</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一般规范：工作温度和湿度：-20℃~70℃,湿度小于90%(无凝结)、电源供应：AC100V~240V、功耗：22W MAX、防护等级：IP54</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道闸参数：杆子类型：直杆、运行噪音：≤65dB、遥控距离：40米内、杆子长度：4米、道闸方向：右向、运行速度：1.5s、2s、2.5s</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机箱材质：2mm冷轧钢板、寿命：500W次</w:t>
            </w:r>
          </w:p>
          <w:p>
            <w:pPr>
              <w:widowControl/>
              <w:numPr>
                <w:ilvl w:val="0"/>
                <w:numId w:val="28"/>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显示屏参数：显示分辨率 ：分辨率1080P、显示亮度： 最大1000cd/m2、屏幕类型： LED</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出入口控制终端</w:t>
            </w:r>
          </w:p>
        </w:tc>
        <w:tc>
          <w:tcPr>
            <w:tcW w:w="10774" w:type="dxa"/>
            <w:shd w:val="clear" w:color="auto" w:fill="auto"/>
            <w:noWrap/>
            <w:vAlign w:val="center"/>
          </w:tcPr>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【出入口控制终端】【固态硬盘】【含单机版PMS管理软件】【预装正版WIN10】</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内存：4GB</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标配128G SSD</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指示灯：电源指示灯/运行指示灯</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显示器分辨率：1920×1080</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电源：DC12V/5A适配器</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机械特性： 黑色铝型材外壳、无风扇热设计，保证机器稳定运行。</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功耗：峰值60W，平均35W</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工作环境：工作环境温度:0 ℃～40 ℃；、工作湿度10%～95%</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功能特性：含出入口管理软件，无风扇设计，集成交换机、485接口、报警4进4出、视频HDMI接口，22寸1080p显示屏，配置键鼠套件</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存储功能：支持对车辆出入记录的本地存储：≥80万辆通行车辆信息 和 20万辆的过车通行图片 ；</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收费和非收费模式都最大支持4个车道</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收费模式：4个车道可全为4个收费出口（但是仅为【1个】【人工收费】出口，【3个】【自动收费】出口，自动收费出口即不能现金收费，只能搭配其他设备进行微信、支付宝、刷卡收费）</w:t>
            </w:r>
          </w:p>
          <w:p>
            <w:pPr>
              <w:widowControl/>
              <w:numPr>
                <w:ilvl w:val="0"/>
                <w:numId w:val="29"/>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非收费模式：0进4出，1进3出，2进2出，3进一出，4进0出。</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多用于前端出入口岗亭，选用终端管理模式时配置，最大支持5台终端级联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出入口视频单元（灰金色， 辅助补拍）</w:t>
            </w:r>
          </w:p>
        </w:tc>
        <w:tc>
          <w:tcPr>
            <w:tcW w:w="10774" w:type="dxa"/>
            <w:shd w:val="clear" w:color="auto" w:fill="auto"/>
            <w:noWrap/>
            <w:vAlign w:val="center"/>
          </w:tcPr>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【400万智能抓拍显示一体机】【视频触发】【LCD显示屏】</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高清晰：400万像素高清摄像机，最大分辨率可达2688*1520，帧率高达25fps；</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低照度效果：1/3"逐行扫描CMOS，成像效果好，低照度监控效果，夜间看的更清；</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集成度高：集摄像机、LCD显示屏、LED补光灯、镜头、拾音器、喇叭功放于一体，有效节省施工布线成本；</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显示屏：LCD版：21.5英寸LCD屏，可支持无牌车扫码进出、支持二维码显示、支持图片视频广告播放</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LED版：支持四行四字双色LED屏，显示内容可灵活配置</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补光灯：内置9颗高亮LED灯，智能补光技术，支持时控和光控</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镜头：支持3.1~6mm电动变焦镜头，场景适应性更广</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车牌识别种类：支持识别的号牌类型包括大（小）型汽车、使领馆汽车、警用汽车、教练汽车、新能源汽车、军车等；2019式武警牌等国标车牌</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车辆结构化：支持车型识别，车标识别，车身颜色识别，子品牌检测</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黑白名单控制：支持黑、白名单的导入及对比，可直接联动道闸开闸，支持脱机运行；</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多种触发模式：支持视频触发、线圈触发、雷达触发等多种触发模式；捕获率高，纯视频识别，纯视频抓拍时可捕获无车牌，捕率99.9%以上</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防跟车模式：支持视频防跟车、雷达/线圈防跟车两种模式，对于连续过车的场景，可实现跟车不落杆，有效解决拥堵问题；</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防护等级：机箱表面采用抗紫外线静电喷塑工艺，不起皮，不褪色，防尘防水等级符合室外设备IP54级别要求；</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简易施工：安装调试方便：一体化结构设计，布线简单，调试方便，一站式安装，一体化维护，施工周期可缩短1/3摄像机</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最低照度：彩色0.022Lux@(F1.2,AGC ON)、黑白0.011Lux @(F1.2,AGC ON)</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快门：1/30秒至1/100,000秒、传感器类型：1/1.3" Progressive Scan CMOS、自动光圈：DC驱动</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ICR切换：支持、镜头：3.1~6mm电动变焦、日夜转换模式：ICR红外滤片式、数字降噪：3D数字降噪</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压缩标准：视频压缩标准：H.264/H.265/MJPEG、视频压缩码率：32 Kbps~16M bps</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图像：帧率：25fps(2688*1520)、图像设置：饱和度,亮度,对比度,白平衡,增益,3D降噪通过软件可调</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图像格式：JPEG、最大图像尺寸：2688*1520</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网络功能：存储功能：支持内置TF</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通用功能：心跳,密码保护,NTP校时</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支持协议：TCP/IP,HTTP,DHCP,DNS,RTP,RTSP,NTP,支持FTP上传图片</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抓拍功能：智能识别：车牌识别、车型识别、车标识别、车辆子品牌，车身颜色识别</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补光灯控制：补光灯自动光控、时控可选；</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图片格式：采用JPEG编码,图片质量可设</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接口：通讯接口：1 个RJ45 10M/100M自适应以太网口 ,1个 RS-485 接口，1个232接口、外部接口：3路触发输入，其中1路IO触发输入、2路报警输入；2路继电器输出，支持道闸开</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内存卡插槽：1个TF卡插槽，可选配TF卡，最大支持容量64G</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音频输出：1路音频输出</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补光灯：内置9颗LED补光灯</w:t>
            </w:r>
          </w:p>
          <w:p>
            <w:pPr>
              <w:widowControl/>
              <w:numPr>
                <w:ilvl w:val="0"/>
                <w:numId w:val="30"/>
              </w:numPr>
              <w:spacing w:line="0" w:lineRule="atLeast"/>
              <w:ind w:left="0" w:firstLine="0" w:firstLineChars="0"/>
              <w:jc w:val="left"/>
              <w:rPr>
                <w:rFonts w:ascii="宋体" w:hAnsi="宋体" w:cs="宋体"/>
                <w:kern w:val="0"/>
                <w:sz w:val="18"/>
                <w:szCs w:val="18"/>
              </w:rPr>
            </w:pPr>
            <w:r>
              <w:rPr>
                <w:rFonts w:hint="eastAsia" w:ascii="宋体" w:hAnsi="宋体" w:cs="宋体"/>
                <w:kern w:val="0"/>
                <w:sz w:val="18"/>
                <w:szCs w:val="18"/>
              </w:rPr>
              <w:t>一般规范：防护等级：IP54、工作温度和湿度：-20℃~70℃,湿度小于90%(无凝结)、电源供应：AC100V~240V、功耗：22W MAX</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显示屏参数</w:t>
            </w:r>
            <w:r>
              <w:rPr>
                <w:rFonts w:ascii="宋体" w:hAnsi="宋体" w:cs="宋体"/>
                <w:kern w:val="0"/>
                <w:sz w:val="18"/>
                <w:szCs w:val="18"/>
              </w:rPr>
              <w:t xml:space="preserve"> </w:t>
            </w:r>
            <w:r>
              <w:rPr>
                <w:rFonts w:hint="eastAsia" w:ascii="宋体" w:hAnsi="宋体" w:cs="宋体"/>
                <w:kern w:val="0"/>
                <w:sz w:val="18"/>
                <w:szCs w:val="18"/>
              </w:rPr>
              <w:t>屏幕类型：LCD</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地感线圈(选配)</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0.75mm²，绞合导体，镀锡铜，绝缘蓝色PVC外被，1捆线圈50米。</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安全岛</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规格：长3米*宽0.6米*高0.3米</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（四）北区综合管线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光电转换器 </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24光2电口 光电转换器 </w:t>
            </w:r>
          </w:p>
        </w:tc>
        <w:tc>
          <w:tcPr>
            <w:tcW w:w="666" w:type="dxa"/>
            <w:shd w:val="clear" w:color="auto" w:fill="auto"/>
            <w:noWrap/>
            <w:vAlign w:val="center"/>
          </w:tcPr>
          <w:p>
            <w:pPr>
              <w:widowControl/>
              <w:spacing w:line="0" w:lineRule="atLeast"/>
              <w:ind w:firstLine="0" w:firstLineChars="0"/>
              <w:jc w:val="center"/>
              <w:rPr>
                <w:rFonts w:ascii="宋体" w:hAnsi="宋体" w:cs="宋体"/>
                <w:color w:val="000000"/>
                <w:kern w:val="0"/>
                <w:sz w:val="18"/>
                <w:szCs w:val="18"/>
              </w:rPr>
            </w:pPr>
            <w:r>
              <w:rPr>
                <w:rFonts w:hint="eastAsia" w:ascii="宋体" w:hAnsi="宋体"/>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千兆单模单纤SFP光模块SC口（A、B端）</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光纤收发器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千兆SFP收发器LC光电转换器</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摄像机立杆</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高度:3米 镀锌管   管直径：114转76   厚度：2.0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摄像机立杆</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5米八角杆 横杆3米  镀锌管   管直径：150转100   厚度：3.5</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立杆基础</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500*500*500开挖浇筑</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立杆基础</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500*500*800开挖浇筑</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手孔井</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根据室外网络设备箱要求开挖手孔井，浇筑基础</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室外设备箱</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300*250*160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室外网络设备箱</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1000*600*600 固定安装于手孔井上方</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网络电源防雷器</w:t>
            </w:r>
          </w:p>
        </w:tc>
        <w:tc>
          <w:tcPr>
            <w:tcW w:w="10774" w:type="dxa"/>
            <w:shd w:val="clear" w:color="auto" w:fill="auto"/>
            <w:noWrap/>
            <w:vAlign w:val="center"/>
          </w:tcPr>
          <w:p>
            <w:pPr>
              <w:widowControl/>
              <w:numPr>
                <w:ilvl w:val="0"/>
                <w:numId w:val="31"/>
              </w:numPr>
              <w:spacing w:line="0" w:lineRule="atLeast"/>
              <w:ind w:firstLine="0" w:firstLineChars="0"/>
              <w:jc w:val="left"/>
              <w:rPr>
                <w:rFonts w:hint="eastAsia" w:ascii="宋体" w:hAnsi="宋体" w:cs="宋体"/>
                <w:kern w:val="0"/>
                <w:sz w:val="18"/>
                <w:szCs w:val="18"/>
                <w:highlight w:val="none"/>
              </w:rPr>
            </w:pPr>
            <w:r>
              <w:rPr>
                <w:rFonts w:hint="eastAsia" w:ascii="宋体" w:hAnsi="宋体" w:cs="宋体"/>
                <w:kern w:val="0"/>
                <w:sz w:val="18"/>
                <w:szCs w:val="18"/>
                <w:highlight w:val="none"/>
              </w:rPr>
              <w:t xml:space="preserve">网络/电源  两端口 SPD类别 组合型 电源电涌保护特性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额定电压  Un 220V AC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最大持续运行电压 Uc 275V AC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保护水平 Up(8/20μs) 1200V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额定负载电流 IL 2A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响应时间 ≦25ns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标称放电电流In(8/20μs) 5kA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最大放电电流 Imax(8/20μs) 10kA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网络信号电涌保护特性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最大持续运行电压Uc 8V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保护水平 Upx-x(1.2/50μs) 150V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标称放电电流 In(8/20μs) 1.5KA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标称放电电流 Imax(8/20μs) 3KA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传输速率 100Mbps </w:t>
            </w:r>
          </w:p>
          <w:p>
            <w:pPr>
              <w:widowControl/>
              <w:numPr>
                <w:ilvl w:val="0"/>
                <w:numId w:val="31"/>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响应时间 ≦1ns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插入损耗 &lt;0.5dB</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24芯单模室外铠甲光纤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4000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4芯单模室外铠甲光纤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16250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光纤终端盒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4口光纤终端盒</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光纤终端盒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24口光纤终终盒</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耦合器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SC-SC</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148</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尾纤</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单模SC尾纤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148</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跳线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单模SC-SC尾纤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148</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光纤熔接</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148</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低烟无卤阻燃六类4对非屏蔽双绞线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无氧铜导体，成品线缆上导体的断裂伸长率≥15％</w:t>
            </w:r>
            <w:r>
              <w:rPr>
                <w:rFonts w:hint="eastAsia" w:ascii="宋体" w:hAnsi="宋体" w:cs="宋体"/>
                <w:kern w:val="0"/>
                <w:sz w:val="18"/>
                <w:szCs w:val="18"/>
              </w:rPr>
              <w:br w:type="textWrapping"/>
            </w:r>
            <w:r>
              <w:rPr>
                <w:rFonts w:hint="eastAsia" w:ascii="宋体" w:hAnsi="宋体" w:cs="宋体"/>
                <w:kern w:val="0"/>
                <w:sz w:val="18"/>
                <w:szCs w:val="18"/>
              </w:rPr>
              <w:t>绝缘材料采用高密度聚乙烯--HDPE。线缆绝缘的最大外径不大于1.3mm。</w:t>
            </w:r>
            <w:r>
              <w:rPr>
                <w:rFonts w:hint="eastAsia" w:ascii="宋体" w:hAnsi="宋体" w:cs="宋体"/>
                <w:kern w:val="0"/>
                <w:sz w:val="18"/>
                <w:szCs w:val="18"/>
              </w:rPr>
              <w:br w:type="textWrapping"/>
            </w:r>
            <w:r>
              <w:rPr>
                <w:rFonts w:hint="eastAsia" w:ascii="宋体" w:hAnsi="宋体" w:cs="宋体"/>
                <w:kern w:val="0"/>
                <w:sz w:val="18"/>
                <w:szCs w:val="18"/>
              </w:rPr>
              <w:t> 线缆成品中心要采用十字骨架把每一对绞线分隔</w:t>
            </w:r>
            <w:r>
              <w:rPr>
                <w:rFonts w:hint="eastAsia" w:ascii="宋体" w:hAnsi="宋体" w:cs="宋体"/>
                <w:kern w:val="0"/>
                <w:sz w:val="18"/>
                <w:szCs w:val="18"/>
              </w:rPr>
              <w:br w:type="textWrapping"/>
            </w:r>
            <w:r>
              <w:rPr>
                <w:rFonts w:hint="eastAsia" w:ascii="宋体" w:hAnsi="宋体" w:cs="宋体"/>
                <w:kern w:val="0"/>
                <w:sz w:val="18"/>
                <w:szCs w:val="18"/>
              </w:rPr>
              <w:t>护套材料采用聚氯乙烯材料—LSZH低烟无卤阻燃，线缆最大外径不大于7.5mm。</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700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水晶头</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RJ45水晶头</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3</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电缆线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三芯 电缆线  RVV3*2.5</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导轨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国标铁1.0MM厚C45导轨U型TH35MM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1150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导轨式电源模块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DR75w开关电源12v</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导轨式空开模块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2P 10A 空开</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25</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管材</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PE 32mm 穿线管</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10000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绿化开挖</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开挖及复原</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600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硬化路面开挖</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道路切割及复原</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600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沥青道路开挖</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道路切割及复原</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600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防雷器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额定电压220VAC/5VDC,最大持续工作电压Un：220V/6V，短路电流IN(8/20):10KA/1KA，保护线路：1，2，3，6，接口类型：接地端子/RJ45，</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室外落地机箱</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2mm以上优质不锈钢板，采取底部进线设计，箱体防护等级应能达到IP66防护等级。机箱和立杆统一接地，每个监控点做一套独立接地系统，要求接地电阻≤10</w:t>
            </w:r>
            <w:r>
              <w:rPr>
                <w:rFonts w:ascii="宋体" w:hAnsi="宋体" w:cs="Calibri"/>
                <w:kern w:val="0"/>
                <w:sz w:val="18"/>
                <w:szCs w:val="18"/>
              </w:rPr>
              <w:t>Ω</w:t>
            </w:r>
            <w:r>
              <w:rPr>
                <w:rFonts w:hint="eastAsia" w:ascii="宋体" w:hAnsi="宋体" w:cs="宋体"/>
                <w:kern w:val="0"/>
                <w:sz w:val="18"/>
                <w:szCs w:val="18"/>
              </w:rPr>
              <w:t>。选用的前端设备具有抗风、抗震、防雷、防雨、防尘、防盐雾、防锈蚀、防变形的功能。能满足工作环境温度：-10℃～80℃。电磁干扰≤126dB时也能保持正常工作。含空开及插座。</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超五类线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安普国标超五类线</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150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电源线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中策电源线、国标RVV3*4.0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PE管</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中财国标PE管</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辅材</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胶布扎带等辅材</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4137" w:type="dxa"/>
            <w:gridSpan w:val="5"/>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（五）南区综合管线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光电转换器 </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24光2电口 光电转换器 </w:t>
            </w:r>
          </w:p>
        </w:tc>
        <w:tc>
          <w:tcPr>
            <w:tcW w:w="666" w:type="dxa"/>
            <w:shd w:val="clear" w:color="auto" w:fill="auto"/>
            <w:noWrap/>
            <w:vAlign w:val="center"/>
          </w:tcPr>
          <w:p>
            <w:pPr>
              <w:widowControl/>
              <w:spacing w:line="0" w:lineRule="atLeast"/>
              <w:ind w:firstLine="0" w:firstLineChars="0"/>
              <w:jc w:val="center"/>
              <w:rPr>
                <w:rFonts w:ascii="宋体" w:hAnsi="宋体" w:cs="宋体"/>
                <w:color w:val="000000"/>
                <w:kern w:val="0"/>
                <w:sz w:val="18"/>
                <w:szCs w:val="18"/>
              </w:rPr>
            </w:pPr>
            <w:r>
              <w:rPr>
                <w:rFonts w:hint="eastAsia" w:ascii="宋体" w:hAnsi="宋体"/>
                <w:color w:val="000000"/>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color w:val="000000"/>
                <w:kern w:val="0"/>
                <w:sz w:val="18"/>
                <w:szCs w:val="18"/>
              </w:rPr>
            </w:pPr>
            <w:r>
              <w:rPr>
                <w:rFonts w:hint="eastAsia" w:ascii="宋体" w:hAnsi="宋体" w:cs="宋体"/>
                <w:color w:val="000000"/>
                <w:kern w:val="0"/>
                <w:sz w:val="18"/>
                <w:szCs w:val="18"/>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千兆单模单纤SFP光模块SC口（A、B端）</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光纤收发器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千兆SFP收发器LC光电转换器</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摄像机立杆</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高度:3米 镀锌管   管直径：114转76   厚度：2.0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摄像机立杆</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5米八角杆 横杆3米  镀锌管   管直径：150转100   厚度：3.5</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立杆基础</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500*500*500开挖浇筑</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立杆基础</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500*500*800开挖浇筑</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手孔井</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根据室外网络设备箱要求开挖手孔井，浇筑基础</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室外设备箱</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300*250*160</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室外网络设备箱</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1000*600*600 固定安装于手孔井上方</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2</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网络电源防雷器</w:t>
            </w:r>
          </w:p>
        </w:tc>
        <w:tc>
          <w:tcPr>
            <w:tcW w:w="10774" w:type="dxa"/>
            <w:shd w:val="clear" w:color="auto" w:fill="auto"/>
            <w:noWrap/>
            <w:vAlign w:val="center"/>
          </w:tcPr>
          <w:p>
            <w:pPr>
              <w:widowControl/>
              <w:numPr>
                <w:ilvl w:val="0"/>
                <w:numId w:val="32"/>
              </w:numPr>
              <w:spacing w:line="0" w:lineRule="atLeast"/>
              <w:ind w:firstLine="0" w:firstLineChars="0"/>
              <w:jc w:val="left"/>
              <w:rPr>
                <w:rFonts w:hint="eastAsia" w:ascii="宋体" w:hAnsi="宋体" w:cs="宋体"/>
                <w:kern w:val="0"/>
                <w:sz w:val="18"/>
                <w:szCs w:val="18"/>
                <w:highlight w:val="none"/>
              </w:rPr>
            </w:pPr>
            <w:r>
              <w:rPr>
                <w:rFonts w:hint="eastAsia" w:ascii="宋体" w:hAnsi="宋体" w:cs="宋体"/>
                <w:kern w:val="0"/>
                <w:sz w:val="18"/>
                <w:szCs w:val="18"/>
                <w:highlight w:val="none"/>
              </w:rPr>
              <w:t xml:space="preserve">网络/电源  两端口 SPD类别 组合型 电源电涌保护特性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额定电压  Un 220V AC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最大持续运行电压 Uc 275V AC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保护水平 Up(8/20μs) 1200V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额定负载电流 IL 2A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响应时间 ≦25ns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标称放电电流In(8/20μs) 5kA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最大放电电流 Imax(8/20μs) 10kA 网络信号电涌保护特性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最大持续运行电压Uc 8V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保护水平 Upx-x(1.2/50μs) 150V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标称放电电流 In(8/20μs) 1.5KA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标称放电电流 Imax(8/20μs) 3KA </w:t>
            </w:r>
          </w:p>
          <w:p>
            <w:pPr>
              <w:widowControl/>
              <w:numPr>
                <w:ilvl w:val="0"/>
                <w:numId w:val="32"/>
              </w:numPr>
              <w:spacing w:line="0" w:lineRule="atLeast"/>
              <w:ind w:firstLine="0" w:firstLineChars="0"/>
              <w:jc w:val="left"/>
              <w:rPr>
                <w:rFonts w:ascii="宋体" w:hAnsi="宋体" w:cs="宋体"/>
                <w:kern w:val="0"/>
                <w:sz w:val="18"/>
                <w:szCs w:val="18"/>
              </w:rPr>
            </w:pPr>
            <w:r>
              <w:rPr>
                <w:rFonts w:hint="eastAsia" w:ascii="宋体" w:hAnsi="宋体" w:cs="宋体"/>
                <w:kern w:val="0"/>
                <w:sz w:val="18"/>
                <w:szCs w:val="18"/>
                <w:highlight w:val="none"/>
              </w:rPr>
              <w:t xml:space="preserve">传输速率 100Mbps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 xml:space="preserve">响应时间 ≦1ns </w:t>
            </w:r>
            <w:r>
              <w:rPr>
                <w:rFonts w:hint="eastAsia" w:ascii="宋体" w:hAnsi="宋体" w:cs="宋体"/>
                <w:kern w:val="0"/>
                <w:sz w:val="18"/>
                <w:szCs w:val="18"/>
                <w:highlight w:val="none"/>
                <w:lang w:eastAsia="zh-CN"/>
              </w:rPr>
              <w:t>；</w:t>
            </w:r>
            <w:r>
              <w:rPr>
                <w:rFonts w:hint="eastAsia" w:ascii="宋体" w:hAnsi="宋体" w:cs="宋体"/>
                <w:kern w:val="0"/>
                <w:sz w:val="18"/>
                <w:szCs w:val="18"/>
                <w:highlight w:val="none"/>
              </w:rPr>
              <w:t>插入损耗 &lt;0.5dB</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24芯单模室外铠甲光纤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4芯单模室外铠甲光纤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16250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光纤终端盒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4口光纤终端盒</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光纤终端盒</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24口光纤终终盒</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耦合器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SC-SC</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尾纤</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单模SC尾纤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跳线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单模SC-SC尾纤</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19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光纤熔接</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20</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低烟无卤阻燃六类4对非屏蔽双绞线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无氧铜导体，成品线缆上导体的断裂伸长率≥15％</w:t>
            </w:r>
            <w:r>
              <w:rPr>
                <w:rFonts w:hint="eastAsia" w:ascii="宋体" w:hAnsi="宋体" w:cs="宋体"/>
                <w:kern w:val="0"/>
                <w:sz w:val="18"/>
                <w:szCs w:val="18"/>
              </w:rPr>
              <w:br w:type="textWrapping"/>
            </w:r>
            <w:r>
              <w:rPr>
                <w:rFonts w:hint="eastAsia" w:ascii="宋体" w:hAnsi="宋体" w:cs="宋体"/>
                <w:kern w:val="0"/>
                <w:sz w:val="18"/>
                <w:szCs w:val="18"/>
              </w:rPr>
              <w:t>绝缘材料采用高密度聚乙烯--HDPE。线缆绝缘的最大外径不大于1.3mm。</w:t>
            </w:r>
            <w:r>
              <w:rPr>
                <w:rFonts w:hint="eastAsia" w:ascii="宋体" w:hAnsi="宋体" w:cs="宋体"/>
                <w:kern w:val="0"/>
                <w:sz w:val="18"/>
                <w:szCs w:val="18"/>
              </w:rPr>
              <w:br w:type="textWrapping"/>
            </w:r>
            <w:r>
              <w:rPr>
                <w:rFonts w:hint="eastAsia" w:ascii="宋体" w:hAnsi="宋体" w:cs="宋体"/>
                <w:kern w:val="0"/>
                <w:sz w:val="18"/>
                <w:szCs w:val="18"/>
              </w:rPr>
              <w:t> 线缆成品中心要采用十字骨架把每一对绞线分隔</w:t>
            </w:r>
            <w:r>
              <w:rPr>
                <w:rFonts w:hint="eastAsia" w:ascii="宋体" w:hAnsi="宋体" w:cs="宋体"/>
                <w:kern w:val="0"/>
                <w:sz w:val="18"/>
                <w:szCs w:val="18"/>
              </w:rPr>
              <w:br w:type="textWrapping"/>
            </w:r>
            <w:r>
              <w:rPr>
                <w:rFonts w:hint="eastAsia" w:ascii="宋体" w:hAnsi="宋体" w:cs="宋体"/>
                <w:kern w:val="0"/>
                <w:sz w:val="18"/>
                <w:szCs w:val="18"/>
              </w:rPr>
              <w:t>护套材料采用聚氯乙烯材料—LSZH低烟无卤阻燃，线缆最大外径不大于7.5mm。</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21</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水晶头</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CAT6 RJ45水晶头</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3</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22</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电缆线</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三芯 电缆线  RVV3*2.5</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23</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导轨</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 xml:space="preserve">国标铁1.0MM厚C45导轨U型TH35MM </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1150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24</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导轨式电源模块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DR75w开关电源12v</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25</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导轨式空开模块</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2P 10A 空开</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14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26</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管材</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PE 32mm 穿线管</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8000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27</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绿化开挖</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开挖及复原</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600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28</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硬化路面开挖</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道路切割及复原</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600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80"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29</w:t>
            </w:r>
          </w:p>
        </w:tc>
        <w:tc>
          <w:tcPr>
            <w:tcW w:w="1116"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沥青道路开挖</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道路切割及复原</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sz w:val="18"/>
                <w:szCs w:val="18"/>
              </w:rPr>
              <w:t>600</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896" w:type="dxa"/>
            <w:gridSpan w:val="2"/>
            <w:shd w:val="clear" w:color="auto" w:fill="auto"/>
            <w:noWrap/>
            <w:vAlign w:val="center"/>
          </w:tcPr>
          <w:p>
            <w:pPr>
              <w:widowControl/>
              <w:spacing w:line="0" w:lineRule="atLeast"/>
              <w:ind w:firstLine="0" w:firstLineChars="0"/>
              <w:jc w:val="left"/>
              <w:rPr>
                <w:rFonts w:ascii="宋体" w:hAnsi="宋体" w:cs="宋体"/>
                <w:b/>
                <w:bCs/>
                <w:kern w:val="0"/>
                <w:sz w:val="18"/>
                <w:szCs w:val="18"/>
              </w:rPr>
            </w:pPr>
            <w:r>
              <w:rPr>
                <w:rFonts w:hint="eastAsia" w:ascii="宋体" w:hAnsi="宋体" w:cs="宋体"/>
                <w:b/>
                <w:bCs/>
                <w:kern w:val="0"/>
                <w:sz w:val="18"/>
                <w:szCs w:val="18"/>
              </w:rPr>
              <w:t>（六）企业数据接入安全网闸</w:t>
            </w:r>
          </w:p>
        </w:tc>
        <w:tc>
          <w:tcPr>
            <w:tcW w:w="10774" w:type="dxa"/>
            <w:shd w:val="clear" w:color="auto" w:fill="auto"/>
            <w:noWrap/>
            <w:vAlign w:val="center"/>
          </w:tcPr>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1、产品采用“2+2+1”（即双服务器+双隔离主机系统+物理隔离数据通道控制系统）体系结构；具备数据通道控制系统证书；通过嵌入式数据通道控制系统隔离外部网络，而不是采用DMA、SCSI、网卡等方式实现；采用特有控制逻辑和专用通讯协议完全控制数据的实时交换，确保可信网络（域）和非可信网络（域）之间任何连接的断开，彻底阻断TCP/IP协议及其他网络协议。</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2、4U镀锌钢板、黑色、带加固提手、19英寸机柜上架设计机箱、200W工控电源，支持可扩展热插拔冗余电源。</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3、隔离部件：内网机：3个10/100/1000M BASE-T接口（包含1个HA口），2个USB接口， 1个console接口；外网机：3个10/100/1000M BASE-T接口（包含1个HA口），2个USB接口， 1个console接口</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4、内网主机：intel 2.0Ghz 四核处理器板载2个千兆电口、4个USB接口、2个RS232串口、2个RS485串口(可选RS422串口)、1个VGA、1个HDMI、8G内存,128G SSD；</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5、外网主机：intel 2.0Ghz 四核处理器板载2个千兆电口、4个USB接口、2个RS232串口、2个RS485串口(可选RS422串口)、1个VGA、1个HDMI、8G内存,128G SSD；</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6、性能：吞吐量≥90Mbps；最大并发连接数≥30,000；MTBF≥50,000小时；系统延时&lt; 1ms；</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7、系统监控：带液晶屏，液晶菜单可显示内外网机IP地址、CPU使用率和内存使用率等整机信息，面板可操控整机复位、关机，具有设备异常（如网络IP冲突、通讯异常等）监测报警功能；</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8、视频交换：支持SCTP、H.323、H.248等主流视频协议转发，音视频同时传输；支持基于动态端口传输的流媒体视频应用；</w:t>
            </w:r>
            <w:r>
              <w:rPr>
                <w:rFonts w:hint="eastAsia" w:ascii="宋体" w:hAnsi="宋体" w:cs="宋体"/>
                <w:kern w:val="0"/>
                <w:sz w:val="18"/>
                <w:szCs w:val="18"/>
                <w:lang w:val="zh-CN"/>
              </w:rPr>
              <w:t>支持视频管理服务器数据转发，视频管理服务器通道建立。</w:t>
            </w:r>
          </w:p>
          <w:p>
            <w:pPr>
              <w:widowControl/>
              <w:spacing w:line="0" w:lineRule="atLeast"/>
              <w:ind w:firstLine="0" w:firstLineChars="0"/>
              <w:jc w:val="left"/>
              <w:rPr>
                <w:rFonts w:ascii="宋体" w:hAnsi="宋体" w:cs="宋体"/>
                <w:kern w:val="0"/>
                <w:sz w:val="18"/>
                <w:szCs w:val="18"/>
              </w:rPr>
            </w:pPr>
            <w:r>
              <w:rPr>
                <w:rFonts w:hint="eastAsia" w:ascii="宋体" w:hAnsi="宋体" w:cs="宋体"/>
                <w:kern w:val="0"/>
                <w:sz w:val="18"/>
                <w:szCs w:val="18"/>
              </w:rPr>
              <w:t>9、安全通道：支持映射模式、网关模式、网桥模式，管理员可依据实际网络状况进行相应的部署；支持网络地址转换功能，具备源地址转换功能，支持虚拟IP技术，可对外部隐藏内网真实地址。</w:t>
            </w:r>
          </w:p>
        </w:tc>
        <w:tc>
          <w:tcPr>
            <w:tcW w:w="666"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4</w:t>
            </w:r>
          </w:p>
        </w:tc>
        <w:tc>
          <w:tcPr>
            <w:tcW w:w="801" w:type="dxa"/>
            <w:shd w:val="clear" w:color="auto" w:fill="auto"/>
            <w:noWrap/>
            <w:vAlign w:val="center"/>
          </w:tcPr>
          <w:p>
            <w:pPr>
              <w:widowControl/>
              <w:spacing w:line="0" w:lineRule="atLeast"/>
              <w:ind w:firstLine="0" w:firstLineChars="0"/>
              <w:jc w:val="center"/>
              <w:rPr>
                <w:rFonts w:ascii="宋体" w:hAnsi="宋体" w:cs="宋体"/>
                <w:kern w:val="0"/>
                <w:sz w:val="18"/>
                <w:szCs w:val="18"/>
              </w:rPr>
            </w:pPr>
            <w:r>
              <w:rPr>
                <w:rFonts w:hint="eastAsia" w:ascii="宋体" w:hAnsi="宋体" w:cs="宋体"/>
                <w:kern w:val="0"/>
                <w:sz w:val="18"/>
                <w:szCs w:val="18"/>
              </w:rPr>
              <w:t>台</w:t>
            </w:r>
          </w:p>
        </w:tc>
      </w:tr>
    </w:tbl>
    <w:p>
      <w:pPr>
        <w:pStyle w:val="4"/>
        <w:numPr>
          <w:ilvl w:val="0"/>
          <w:numId w:val="0"/>
        </w:numPr>
        <w:ind w:leftChars="0"/>
        <w:rPr>
          <w:rFonts w:cs="宋体"/>
        </w:rPr>
      </w:pPr>
      <w:bookmarkStart w:id="537" w:name="_Toc81552934"/>
      <w:r>
        <w:rPr>
          <w:rFonts w:hint="eastAsia" w:cs="宋体"/>
          <w:lang w:val="en-US" w:eastAsia="zh-CN"/>
        </w:rPr>
        <w:t>8.3</w:t>
      </w:r>
      <w:r>
        <w:rPr>
          <w:rFonts w:hint="eastAsia" w:cs="宋体"/>
        </w:rPr>
        <w:t>云资源和安全资源</w:t>
      </w:r>
      <w:bookmarkEnd w:id="537"/>
    </w:p>
    <w:p>
      <w:pPr>
        <w:ind w:firstLine="480"/>
        <w:jc w:val="center"/>
        <w:rPr>
          <w:rFonts w:ascii="宋体" w:hAnsi="宋体" w:cs="宋体"/>
          <w:szCs w:val="21"/>
        </w:rPr>
      </w:pPr>
      <w:r>
        <w:rPr>
          <w:rFonts w:hint="eastAsia" w:ascii="宋体" w:hAnsi="宋体" w:cs="宋体"/>
        </w:rPr>
        <w:t>表 云资源和安全资源</w:t>
      </w:r>
      <w:r>
        <w:rPr>
          <w:rFonts w:hint="eastAsia" w:ascii="宋体" w:hAnsi="宋体" w:cs="宋体"/>
          <w:szCs w:val="21"/>
        </w:rPr>
        <w:t>清单</w:t>
      </w:r>
    </w:p>
    <w:tbl>
      <w:tblPr>
        <w:tblStyle w:val="62"/>
        <w:tblW w:w="139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26"/>
        <w:gridCol w:w="2016"/>
        <w:gridCol w:w="2835"/>
        <w:gridCol w:w="5874"/>
        <w:gridCol w:w="1157"/>
        <w:gridCol w:w="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1126" w:type="dxa"/>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序号</w:t>
            </w:r>
          </w:p>
        </w:tc>
        <w:tc>
          <w:tcPr>
            <w:tcW w:w="2016" w:type="dxa"/>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类别</w:t>
            </w:r>
          </w:p>
        </w:tc>
        <w:tc>
          <w:tcPr>
            <w:tcW w:w="2835" w:type="dxa"/>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设备名称</w:t>
            </w:r>
          </w:p>
        </w:tc>
        <w:tc>
          <w:tcPr>
            <w:tcW w:w="5874" w:type="dxa"/>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技术参数</w:t>
            </w:r>
          </w:p>
        </w:tc>
        <w:tc>
          <w:tcPr>
            <w:tcW w:w="1157" w:type="dxa"/>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数量</w:t>
            </w:r>
          </w:p>
        </w:tc>
        <w:tc>
          <w:tcPr>
            <w:tcW w:w="970" w:type="dxa"/>
            <w:shd w:val="clear" w:color="auto" w:fill="A6A6A6"/>
            <w:tcMar>
              <w:top w:w="10" w:type="dxa"/>
              <w:left w:w="10" w:type="dxa"/>
              <w:right w:w="10" w:type="dxa"/>
            </w:tcMar>
            <w:vAlign w:val="center"/>
          </w:tcPr>
          <w:p>
            <w:pPr>
              <w:widowControl/>
              <w:spacing w:line="240" w:lineRule="auto"/>
              <w:ind w:firstLine="0" w:firstLineChars="0"/>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1126" w:type="dxa"/>
            <w:vMerge w:val="restart"/>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2016" w:type="dxa"/>
            <w:vMerge w:val="restart"/>
            <w:shd w:val="clear" w:color="auto" w:fill="auto"/>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云资源</w:t>
            </w:r>
          </w:p>
        </w:tc>
        <w:tc>
          <w:tcPr>
            <w:tcW w:w="2835" w:type="dxa"/>
            <w:shd w:val="clear" w:color="auto" w:fill="auto"/>
            <w:noWrap/>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supOS服务器</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16核CPU、64 G内存、600 G硬盘、</w:t>
            </w:r>
            <w:r>
              <w:rPr>
                <w:rStyle w:val="163"/>
                <w:rFonts w:hint="default"/>
                <w:lang w:bidi="ar"/>
              </w:rPr>
              <w:t>Ubuntu 12.04 64位系统</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0" w:hRule="atLeast"/>
        </w:trPr>
        <w:tc>
          <w:tcPr>
            <w:tcW w:w="1126" w:type="dxa"/>
            <w:vMerge w:val="continue"/>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016" w:type="dxa"/>
            <w:vMerge w:val="continue"/>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835" w:type="dxa"/>
            <w:shd w:val="clear" w:color="auto" w:fill="auto"/>
            <w:noWrap/>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supLink服务器</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8核CPU、32 G内存、600 G硬盘、Ubuntu 12.04 64位系统</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0" w:hRule="atLeast"/>
        </w:trPr>
        <w:tc>
          <w:tcPr>
            <w:tcW w:w="1126" w:type="dxa"/>
            <w:vMerge w:val="continue"/>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016" w:type="dxa"/>
            <w:vMerge w:val="continue"/>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835" w:type="dxa"/>
            <w:shd w:val="clear" w:color="auto" w:fill="auto"/>
            <w:noWrap/>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数据库服务器</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8 核CPU、16 G内存、600 G硬盘、CentOS 7.0及以上系统</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0" w:hRule="atLeast"/>
        </w:trPr>
        <w:tc>
          <w:tcPr>
            <w:tcW w:w="1126" w:type="dxa"/>
            <w:vMerge w:val="continue"/>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016" w:type="dxa"/>
            <w:vMerge w:val="continue"/>
            <w:shd w:val="clear" w:color="auto" w:fill="auto"/>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835" w:type="dxa"/>
            <w:shd w:val="clear" w:color="auto" w:fill="auto"/>
            <w:noWrap/>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Web服务器</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8核CPU、16 G内存、600 G硬盘、Windows Server 2018 64位中文版系统</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 w:hRule="atLeast"/>
        </w:trPr>
        <w:tc>
          <w:tcPr>
            <w:tcW w:w="1126" w:type="dxa"/>
            <w:vMerge w:val="restart"/>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2016" w:type="dxa"/>
            <w:vMerge w:val="restart"/>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安全资源</w:t>
            </w:r>
          </w:p>
        </w:tc>
        <w:tc>
          <w:tcPr>
            <w:tcW w:w="2835"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堡垒机服务</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堡垒机服务</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1126" w:type="dxa"/>
            <w:vMerge w:val="continue"/>
            <w:shd w:val="clear" w:color="auto" w:fill="auto"/>
            <w:noWrap/>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016" w:type="dxa"/>
            <w:vMerge w:val="continue"/>
            <w:shd w:val="clear" w:color="auto" w:fill="auto"/>
            <w:noWrap/>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835"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云WAF</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保护域名授权上限8个，新建</w:t>
            </w:r>
            <w:r>
              <w:rPr>
                <w:rStyle w:val="701"/>
                <w:rFonts w:hint="eastAsia" w:ascii="宋体" w:hAnsi="宋体" w:cs="宋体"/>
                <w:lang w:bidi="ar"/>
              </w:rPr>
              <w:t>5000</w:t>
            </w:r>
            <w:r>
              <w:rPr>
                <w:rStyle w:val="797"/>
                <w:rFonts w:hint="default"/>
                <w:lang w:bidi="ar"/>
              </w:rPr>
              <w:t>，并发</w:t>
            </w:r>
            <w:r>
              <w:rPr>
                <w:rStyle w:val="701"/>
                <w:rFonts w:hint="eastAsia" w:ascii="宋体" w:hAnsi="宋体" w:cs="宋体"/>
                <w:lang w:bidi="ar"/>
              </w:rPr>
              <w:t>50000</w:t>
            </w:r>
            <w:r>
              <w:rPr>
                <w:rStyle w:val="797"/>
                <w:rFonts w:hint="default"/>
                <w:lang w:bidi="ar"/>
              </w:rPr>
              <w:t>，防护流量</w:t>
            </w:r>
            <w:r>
              <w:rPr>
                <w:rStyle w:val="701"/>
                <w:rFonts w:hint="eastAsia" w:ascii="宋体" w:hAnsi="宋体" w:cs="宋体"/>
                <w:lang w:bidi="ar"/>
              </w:rPr>
              <w:t>50Mbps</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 w:hRule="atLeast"/>
        </w:trPr>
        <w:tc>
          <w:tcPr>
            <w:tcW w:w="1126" w:type="dxa"/>
            <w:vMerge w:val="continue"/>
            <w:shd w:val="clear" w:color="auto" w:fill="auto"/>
            <w:noWrap/>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016" w:type="dxa"/>
            <w:vMerge w:val="continue"/>
            <w:shd w:val="clear" w:color="auto" w:fill="auto"/>
            <w:noWrap/>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835"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云日志审计</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最多支持</w:t>
            </w:r>
            <w:r>
              <w:rPr>
                <w:rStyle w:val="701"/>
                <w:rFonts w:hint="eastAsia" w:ascii="宋体" w:hAnsi="宋体" w:cs="宋体"/>
                <w:lang w:bidi="ar"/>
              </w:rPr>
              <w:t>5</w:t>
            </w:r>
            <w:r>
              <w:rPr>
                <w:rStyle w:val="797"/>
                <w:rFonts w:hint="default"/>
                <w:lang w:bidi="ar"/>
              </w:rPr>
              <w:t>个日志源</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8" w:hRule="atLeast"/>
        </w:trPr>
        <w:tc>
          <w:tcPr>
            <w:tcW w:w="1126" w:type="dxa"/>
            <w:vMerge w:val="continue"/>
            <w:shd w:val="clear" w:color="auto" w:fill="auto"/>
            <w:noWrap/>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016" w:type="dxa"/>
            <w:vMerge w:val="continue"/>
            <w:shd w:val="clear" w:color="auto" w:fill="auto"/>
            <w:noWrap/>
            <w:tcMar>
              <w:top w:w="10" w:type="dxa"/>
              <w:left w:w="10" w:type="dxa"/>
              <w:right w:w="10" w:type="dxa"/>
            </w:tcMar>
            <w:vAlign w:val="center"/>
          </w:tcPr>
          <w:p>
            <w:pPr>
              <w:spacing w:line="240" w:lineRule="auto"/>
              <w:ind w:firstLine="360"/>
              <w:jc w:val="center"/>
              <w:rPr>
                <w:rFonts w:ascii="宋体" w:hAnsi="宋体" w:cs="宋体"/>
                <w:color w:val="000000"/>
                <w:sz w:val="18"/>
                <w:szCs w:val="18"/>
              </w:rPr>
            </w:pPr>
          </w:p>
        </w:tc>
        <w:tc>
          <w:tcPr>
            <w:tcW w:w="2835"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云数据库审计</w:t>
            </w:r>
          </w:p>
        </w:tc>
        <w:tc>
          <w:tcPr>
            <w:tcW w:w="5874" w:type="dxa"/>
            <w:shd w:val="clear" w:color="auto" w:fill="auto"/>
            <w:tcMar>
              <w:top w:w="10" w:type="dxa"/>
              <w:left w:w="10" w:type="dxa"/>
              <w:right w:w="10" w:type="dxa"/>
            </w:tcMar>
            <w:vAlign w:val="center"/>
          </w:tcPr>
          <w:p>
            <w:pPr>
              <w:widowControl/>
              <w:spacing w:line="240" w:lineRule="auto"/>
              <w:ind w:firstLine="0" w:firstLineChars="0"/>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最多可提供</w:t>
            </w:r>
            <w:r>
              <w:rPr>
                <w:rStyle w:val="701"/>
                <w:rFonts w:hint="eastAsia" w:ascii="宋体" w:hAnsi="宋体" w:cs="宋体"/>
                <w:lang w:bidi="ar"/>
              </w:rPr>
              <w:t>2</w:t>
            </w:r>
            <w:r>
              <w:rPr>
                <w:rStyle w:val="797"/>
                <w:rFonts w:hint="default"/>
                <w:lang w:bidi="ar"/>
              </w:rPr>
              <w:t>个数据库实例审计，纯数据库流量上限：100Mbs，峰值事务处理能</w:t>
            </w:r>
            <w:r>
              <w:rPr>
                <w:rStyle w:val="701"/>
                <w:rFonts w:hint="eastAsia" w:ascii="宋体" w:hAnsi="宋体" w:cs="宋体"/>
                <w:lang w:bidi="ar"/>
              </w:rPr>
              <w:t>:10000(</w:t>
            </w:r>
            <w:r>
              <w:rPr>
                <w:rStyle w:val="797"/>
                <w:rFonts w:hint="default"/>
                <w:lang w:bidi="ar"/>
              </w:rPr>
              <w:t>条</w:t>
            </w:r>
            <w:r>
              <w:rPr>
                <w:rStyle w:val="701"/>
                <w:rFonts w:hint="eastAsia" w:ascii="宋体" w:hAnsi="宋体" w:cs="宋体"/>
                <w:lang w:bidi="ar"/>
              </w:rPr>
              <w:t>/</w:t>
            </w:r>
            <w:r>
              <w:rPr>
                <w:rStyle w:val="797"/>
                <w:rFonts w:hint="default"/>
                <w:lang w:bidi="ar"/>
              </w:rPr>
              <w:t>秒</w:t>
            </w:r>
            <w:r>
              <w:rPr>
                <w:rStyle w:val="701"/>
                <w:rFonts w:hint="eastAsia" w:ascii="宋体" w:hAnsi="宋体" w:cs="宋体"/>
                <w:lang w:bidi="ar"/>
              </w:rPr>
              <w:t>)</w:t>
            </w:r>
            <w:r>
              <w:rPr>
                <w:rStyle w:val="797"/>
                <w:rFonts w:hint="default"/>
                <w:lang w:bidi="ar"/>
              </w:rPr>
              <w:t>，日志数量存储：4亿条 含软件基本模块</w:t>
            </w:r>
          </w:p>
        </w:tc>
        <w:tc>
          <w:tcPr>
            <w:tcW w:w="1157"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70" w:type="dxa"/>
            <w:shd w:val="clear" w:color="auto" w:fill="auto"/>
            <w:noWrap/>
            <w:tcMar>
              <w:top w:w="10" w:type="dxa"/>
              <w:left w:w="10" w:type="dxa"/>
              <w:right w:w="10" w:type="dxa"/>
            </w:tcMar>
            <w:vAlign w:val="center"/>
          </w:tcPr>
          <w:p>
            <w:pPr>
              <w:widowControl/>
              <w:spacing w:line="240" w:lineRule="auto"/>
              <w:ind w:firstLine="0" w:firstLineChars="0"/>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r>
    </w:tbl>
    <w:p>
      <w:pPr>
        <w:pStyle w:val="27"/>
        <w:ind w:right="1680"/>
        <w:rPr>
          <w:rFonts w:ascii="宋体" w:hAnsi="宋体" w:cs="宋体"/>
        </w:rPr>
        <w:sectPr>
          <w:pgSz w:w="16838" w:h="11906" w:orient="landscape"/>
          <w:pgMar w:top="1800" w:right="1440" w:bottom="1800" w:left="1440" w:header="851" w:footer="992" w:gutter="0"/>
          <w:pgNumType w:fmt="decimal"/>
          <w:cols w:space="720" w:num="1"/>
          <w:docGrid w:type="lines" w:linePitch="326" w:charSpace="0"/>
        </w:sectPr>
      </w:pPr>
    </w:p>
    <w:p>
      <w:pPr>
        <w:pStyle w:val="4"/>
        <w:numPr>
          <w:ilvl w:val="0"/>
          <w:numId w:val="0"/>
        </w:numPr>
        <w:ind w:leftChars="0"/>
        <w:rPr>
          <w:rFonts w:cs="宋体"/>
        </w:rPr>
      </w:pPr>
      <w:bookmarkStart w:id="538" w:name="_Toc81552935"/>
      <w:bookmarkStart w:id="539" w:name="_Toc19288"/>
      <w:bookmarkStart w:id="540" w:name="_Toc71811583"/>
      <w:bookmarkStart w:id="541" w:name="_Toc12730"/>
      <w:bookmarkStart w:id="542" w:name="_Toc15032"/>
      <w:bookmarkStart w:id="543" w:name="_Toc76630716"/>
      <w:r>
        <w:rPr>
          <w:rFonts w:hint="eastAsia" w:cs="宋体"/>
          <w:lang w:val="en-US" w:eastAsia="zh-CN"/>
        </w:rPr>
        <w:t>8.4</w:t>
      </w:r>
      <w:r>
        <w:rPr>
          <w:rFonts w:hint="eastAsia" w:cs="宋体"/>
        </w:rPr>
        <w:t>复用IRS组件清单</w:t>
      </w:r>
      <w:bookmarkEnd w:id="538"/>
    </w:p>
    <w:p>
      <w:pPr>
        <w:ind w:firstLine="480"/>
        <w:jc w:val="center"/>
        <w:rPr>
          <w:rFonts w:ascii="宋体" w:hAnsi="宋体" w:cs="宋体"/>
        </w:rPr>
      </w:pPr>
      <w:r>
        <w:rPr>
          <w:rFonts w:hint="eastAsia" w:ascii="宋体" w:hAnsi="宋体" w:cs="宋体"/>
        </w:rPr>
        <w:t>表 复用IRS组件清单</w:t>
      </w:r>
    </w:p>
    <w:tbl>
      <w:tblPr>
        <w:tblStyle w:val="63"/>
        <w:tblW w:w="243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0"/>
        <w:gridCol w:w="1700"/>
        <w:gridCol w:w="2979"/>
        <w:gridCol w:w="11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96" w:type="pct"/>
            <w:shd w:val="clear" w:color="auto" w:fill="BEBEBE" w:themeFill="background1" w:themeFillShade="BF"/>
            <w:vAlign w:val="center"/>
          </w:tcPr>
          <w:p>
            <w:pPr>
              <w:spacing w:line="0" w:lineRule="atLeast"/>
              <w:ind w:firstLine="0" w:firstLineChars="0"/>
              <w:jc w:val="center"/>
              <w:rPr>
                <w:rFonts w:ascii="宋体" w:hAnsi="宋体"/>
                <w:b/>
                <w:bCs/>
                <w:sz w:val="18"/>
                <w:szCs w:val="18"/>
              </w:rPr>
            </w:pPr>
            <w:r>
              <w:rPr>
                <w:rFonts w:hint="eastAsia" w:ascii="宋体" w:hAnsi="宋体"/>
                <w:b/>
                <w:bCs/>
                <w:sz w:val="18"/>
                <w:szCs w:val="18"/>
              </w:rPr>
              <w:t>序号</w:t>
            </w:r>
          </w:p>
        </w:tc>
        <w:tc>
          <w:tcPr>
            <w:tcW w:w="1230" w:type="pct"/>
            <w:shd w:val="clear" w:color="auto" w:fill="BEBEBE" w:themeFill="background1" w:themeFillShade="BF"/>
            <w:vAlign w:val="center"/>
          </w:tcPr>
          <w:p>
            <w:pPr>
              <w:spacing w:line="0" w:lineRule="atLeast"/>
              <w:ind w:firstLine="0" w:firstLineChars="0"/>
              <w:jc w:val="center"/>
              <w:rPr>
                <w:rFonts w:ascii="宋体" w:hAnsi="宋体"/>
                <w:b/>
                <w:bCs/>
                <w:sz w:val="18"/>
                <w:szCs w:val="18"/>
              </w:rPr>
            </w:pPr>
            <w:r>
              <w:rPr>
                <w:rFonts w:hint="eastAsia" w:ascii="宋体" w:hAnsi="宋体"/>
                <w:b/>
                <w:bCs/>
                <w:sz w:val="18"/>
                <w:szCs w:val="18"/>
              </w:rPr>
              <w:t>组件名称</w:t>
            </w:r>
          </w:p>
        </w:tc>
        <w:tc>
          <w:tcPr>
            <w:tcW w:w="2155" w:type="pct"/>
            <w:shd w:val="clear" w:color="auto" w:fill="BEBEBE" w:themeFill="background1" w:themeFillShade="BF"/>
            <w:vAlign w:val="center"/>
          </w:tcPr>
          <w:p>
            <w:pPr>
              <w:spacing w:line="0" w:lineRule="atLeast"/>
              <w:ind w:firstLine="0" w:firstLineChars="0"/>
              <w:jc w:val="center"/>
              <w:rPr>
                <w:rFonts w:ascii="宋体" w:hAnsi="宋体"/>
                <w:b/>
                <w:bCs/>
                <w:sz w:val="18"/>
                <w:szCs w:val="18"/>
              </w:rPr>
            </w:pPr>
            <w:r>
              <w:rPr>
                <w:rFonts w:hint="eastAsia" w:ascii="宋体" w:hAnsi="宋体"/>
                <w:b/>
                <w:bCs/>
                <w:sz w:val="18"/>
                <w:szCs w:val="18"/>
              </w:rPr>
              <w:t>建设部门</w:t>
            </w:r>
          </w:p>
        </w:tc>
        <w:tc>
          <w:tcPr>
            <w:tcW w:w="819" w:type="pct"/>
            <w:shd w:val="clear" w:color="auto" w:fill="BEBEBE" w:themeFill="background1" w:themeFillShade="BF"/>
            <w:vAlign w:val="center"/>
          </w:tcPr>
          <w:p>
            <w:pPr>
              <w:spacing w:line="0" w:lineRule="atLeast"/>
              <w:ind w:firstLine="0" w:firstLineChars="0"/>
              <w:jc w:val="center"/>
              <w:rPr>
                <w:rFonts w:ascii="宋体" w:hAnsi="宋体"/>
                <w:b/>
                <w:bCs/>
                <w:sz w:val="18"/>
                <w:szCs w:val="18"/>
              </w:rPr>
            </w:pPr>
            <w:r>
              <w:rPr>
                <w:rFonts w:hint="eastAsia" w:ascii="宋体" w:hAnsi="宋体"/>
                <w:b/>
                <w:bCs/>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796" w:type="pct"/>
            <w:vAlign w:val="center"/>
          </w:tcPr>
          <w:p>
            <w:pPr>
              <w:spacing w:line="0" w:lineRule="atLeast"/>
              <w:ind w:firstLine="0" w:firstLineChars="0"/>
              <w:jc w:val="center"/>
              <w:rPr>
                <w:rFonts w:ascii="宋体" w:hAnsi="宋体"/>
                <w:sz w:val="18"/>
                <w:szCs w:val="18"/>
              </w:rPr>
            </w:pPr>
            <w:r>
              <w:rPr>
                <w:rFonts w:hint="eastAsia" w:ascii="宋体" w:hAnsi="宋体"/>
                <w:sz w:val="18"/>
                <w:szCs w:val="18"/>
              </w:rPr>
              <w:t>1</w:t>
            </w:r>
          </w:p>
        </w:tc>
        <w:tc>
          <w:tcPr>
            <w:tcW w:w="1230" w:type="pct"/>
            <w:vAlign w:val="center"/>
          </w:tcPr>
          <w:p>
            <w:pPr>
              <w:spacing w:line="0" w:lineRule="atLeast"/>
              <w:ind w:firstLine="0" w:firstLineChars="0"/>
              <w:jc w:val="center"/>
              <w:rPr>
                <w:rFonts w:ascii="宋体" w:hAnsi="宋体"/>
                <w:sz w:val="18"/>
                <w:szCs w:val="18"/>
              </w:rPr>
            </w:pPr>
            <w:r>
              <w:rPr>
                <w:rFonts w:ascii="宋体" w:hAnsi="宋体" w:cs="Calibri"/>
                <w:kern w:val="0"/>
                <w:sz w:val="18"/>
                <w:szCs w:val="18"/>
              </w:rPr>
              <w:t>短信通</w:t>
            </w:r>
          </w:p>
        </w:tc>
        <w:tc>
          <w:tcPr>
            <w:tcW w:w="2155" w:type="pct"/>
            <w:vAlign w:val="center"/>
          </w:tcPr>
          <w:p>
            <w:pPr>
              <w:spacing w:line="0" w:lineRule="atLeast"/>
              <w:ind w:firstLine="0" w:firstLineChars="0"/>
              <w:jc w:val="center"/>
              <w:rPr>
                <w:rFonts w:ascii="宋体" w:hAnsi="宋体"/>
                <w:sz w:val="18"/>
                <w:szCs w:val="18"/>
              </w:rPr>
            </w:pPr>
            <w:r>
              <w:rPr>
                <w:rFonts w:ascii="宋体" w:hAnsi="宋体" w:cs="Calibri"/>
                <w:kern w:val="0"/>
                <w:sz w:val="18"/>
                <w:szCs w:val="18"/>
              </w:rPr>
              <w:t>杭州市-杭州市数据资源管理局</w:t>
            </w:r>
          </w:p>
        </w:tc>
        <w:tc>
          <w:tcPr>
            <w:tcW w:w="819" w:type="pct"/>
            <w:vAlign w:val="center"/>
          </w:tcPr>
          <w:p>
            <w:pPr>
              <w:spacing w:line="0" w:lineRule="atLeast"/>
              <w:ind w:firstLine="0" w:firstLineChars="0"/>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796" w:type="pct"/>
            <w:vAlign w:val="center"/>
          </w:tcPr>
          <w:p>
            <w:pPr>
              <w:spacing w:line="0" w:lineRule="atLeast"/>
              <w:ind w:firstLine="0" w:firstLineChars="0"/>
              <w:jc w:val="center"/>
              <w:rPr>
                <w:rFonts w:ascii="宋体" w:hAnsi="宋体"/>
                <w:sz w:val="18"/>
                <w:szCs w:val="18"/>
              </w:rPr>
            </w:pPr>
            <w:r>
              <w:rPr>
                <w:rFonts w:hint="eastAsia" w:ascii="宋体" w:hAnsi="宋体"/>
                <w:sz w:val="18"/>
                <w:szCs w:val="18"/>
              </w:rPr>
              <w:t>2</w:t>
            </w:r>
          </w:p>
        </w:tc>
        <w:tc>
          <w:tcPr>
            <w:tcW w:w="1230" w:type="pct"/>
            <w:vAlign w:val="center"/>
          </w:tcPr>
          <w:p>
            <w:pPr>
              <w:spacing w:line="0" w:lineRule="atLeast"/>
              <w:ind w:firstLine="0" w:firstLineChars="0"/>
              <w:jc w:val="center"/>
              <w:rPr>
                <w:rFonts w:ascii="宋体" w:hAnsi="宋体"/>
                <w:sz w:val="18"/>
                <w:szCs w:val="18"/>
              </w:rPr>
            </w:pPr>
            <w:r>
              <w:rPr>
                <w:rFonts w:ascii="宋体" w:hAnsi="宋体" w:cs="Calibri"/>
                <w:kern w:val="0"/>
                <w:sz w:val="18"/>
                <w:szCs w:val="18"/>
              </w:rPr>
              <w:t>天气预报预警</w:t>
            </w:r>
          </w:p>
        </w:tc>
        <w:tc>
          <w:tcPr>
            <w:tcW w:w="2155" w:type="pct"/>
            <w:vAlign w:val="center"/>
          </w:tcPr>
          <w:p>
            <w:pPr>
              <w:spacing w:line="0" w:lineRule="atLeast"/>
              <w:ind w:firstLine="0" w:firstLineChars="0"/>
              <w:jc w:val="center"/>
              <w:rPr>
                <w:rFonts w:ascii="宋体" w:hAnsi="宋体"/>
                <w:sz w:val="18"/>
                <w:szCs w:val="18"/>
              </w:rPr>
            </w:pPr>
            <w:r>
              <w:rPr>
                <w:rFonts w:ascii="宋体" w:hAnsi="宋体" w:cs="Calibri"/>
                <w:kern w:val="0"/>
                <w:sz w:val="18"/>
                <w:szCs w:val="18"/>
              </w:rPr>
              <w:t>杭州市-杭州市数据资源局</w:t>
            </w:r>
          </w:p>
        </w:tc>
        <w:tc>
          <w:tcPr>
            <w:tcW w:w="819" w:type="pct"/>
            <w:vAlign w:val="center"/>
          </w:tcPr>
          <w:p>
            <w:pPr>
              <w:spacing w:line="0" w:lineRule="atLeast"/>
              <w:ind w:firstLine="0" w:firstLineChars="0"/>
              <w:jc w:val="center"/>
              <w:rPr>
                <w:rFonts w:ascii="宋体" w:hAnsi="宋体"/>
                <w:sz w:val="18"/>
                <w:szCs w:val="18"/>
              </w:rPr>
            </w:pPr>
          </w:p>
        </w:tc>
      </w:tr>
    </w:tbl>
    <w:p>
      <w:pPr>
        <w:ind w:firstLine="480"/>
      </w:pPr>
    </w:p>
    <w:p>
      <w:pPr>
        <w:pStyle w:val="4"/>
        <w:numPr>
          <w:ilvl w:val="0"/>
          <w:numId w:val="0"/>
        </w:numPr>
        <w:ind w:leftChars="0"/>
        <w:rPr>
          <w:rFonts w:cs="宋体"/>
        </w:rPr>
      </w:pPr>
      <w:bookmarkStart w:id="544" w:name="_Toc81552936"/>
      <w:r>
        <w:rPr>
          <w:rFonts w:hint="eastAsia" w:cs="宋体"/>
          <w:lang w:val="en-US" w:eastAsia="zh-CN"/>
        </w:rPr>
        <w:t>8.5</w:t>
      </w:r>
      <w:r>
        <w:rPr>
          <w:rFonts w:hint="eastAsia" w:cs="宋体"/>
        </w:rPr>
        <w:t>杭州市一体化智能化公共数据平台共享清单</w:t>
      </w:r>
      <w:bookmarkEnd w:id="544"/>
    </w:p>
    <w:p>
      <w:pPr>
        <w:ind w:firstLine="480"/>
        <w:jc w:val="center"/>
      </w:pPr>
      <w:r>
        <w:rPr>
          <w:rFonts w:hint="eastAsia"/>
        </w:rPr>
        <w:t>表 杭州市一体化智能化公共数据平台共享清单</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2551"/>
        <w:gridCol w:w="1418"/>
        <w:gridCol w:w="2693"/>
        <w:gridCol w:w="1418"/>
        <w:gridCol w:w="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shd w:val="clear" w:color="auto" w:fill="BEBEBE" w:themeFill="background1" w:themeFillShade="BF"/>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序号</w:t>
            </w:r>
          </w:p>
        </w:tc>
        <w:tc>
          <w:tcPr>
            <w:tcW w:w="2551" w:type="dxa"/>
            <w:shd w:val="clear" w:color="auto" w:fill="BEBEBE" w:themeFill="background1" w:themeFillShade="BF"/>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数据资源名称</w:t>
            </w:r>
          </w:p>
        </w:tc>
        <w:tc>
          <w:tcPr>
            <w:tcW w:w="1418" w:type="dxa"/>
            <w:shd w:val="clear" w:color="auto" w:fill="BEBEBE" w:themeFill="background1" w:themeFillShade="BF"/>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资源类型</w:t>
            </w:r>
          </w:p>
        </w:tc>
        <w:tc>
          <w:tcPr>
            <w:tcW w:w="2693" w:type="dxa"/>
            <w:shd w:val="clear" w:color="auto" w:fill="BEBEBE" w:themeFill="background1" w:themeFillShade="BF"/>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提供部门</w:t>
            </w:r>
          </w:p>
        </w:tc>
        <w:tc>
          <w:tcPr>
            <w:tcW w:w="1418" w:type="dxa"/>
            <w:shd w:val="clear" w:color="auto" w:fill="BEBEBE" w:themeFill="background1" w:themeFillShade="BF"/>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共享类型</w:t>
            </w:r>
          </w:p>
        </w:tc>
        <w:tc>
          <w:tcPr>
            <w:tcW w:w="708" w:type="dxa"/>
            <w:shd w:val="clear" w:color="auto" w:fill="BEBEBE" w:themeFill="background1" w:themeFillShade="BF"/>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1</w:t>
            </w:r>
          </w:p>
        </w:tc>
        <w:tc>
          <w:tcPr>
            <w:tcW w:w="2551"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临安区应急管理平台</w:t>
            </w:r>
          </w:p>
        </w:tc>
        <w:tc>
          <w:tcPr>
            <w:tcW w:w="1418"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服务资源</w:t>
            </w:r>
          </w:p>
        </w:tc>
        <w:tc>
          <w:tcPr>
            <w:tcW w:w="2693"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杭州市临安区应急管理局</w:t>
            </w:r>
          </w:p>
        </w:tc>
        <w:tc>
          <w:tcPr>
            <w:tcW w:w="1418"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08" w:type="dxa"/>
            <w:vAlign w:val="center"/>
          </w:tcPr>
          <w:p>
            <w:pPr>
              <w:spacing w:line="240" w:lineRule="auto"/>
              <w:ind w:firstLine="0" w:firstLineChars="0"/>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2</w:t>
            </w:r>
          </w:p>
        </w:tc>
        <w:tc>
          <w:tcPr>
            <w:tcW w:w="2551"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临安区环境资源管理平台</w:t>
            </w:r>
          </w:p>
        </w:tc>
        <w:tc>
          <w:tcPr>
            <w:tcW w:w="1418"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服务资源</w:t>
            </w:r>
          </w:p>
        </w:tc>
        <w:tc>
          <w:tcPr>
            <w:tcW w:w="2693"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杭州市生态环境局临安分局</w:t>
            </w:r>
          </w:p>
        </w:tc>
        <w:tc>
          <w:tcPr>
            <w:tcW w:w="1418" w:type="dxa"/>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08" w:type="dxa"/>
            <w:vAlign w:val="center"/>
          </w:tcPr>
          <w:p>
            <w:pPr>
              <w:spacing w:line="240" w:lineRule="auto"/>
              <w:ind w:firstLine="0" w:firstLineChars="0"/>
              <w:jc w:val="center"/>
              <w:rPr>
                <w:rFonts w:ascii="宋体" w:hAnsi="宋体"/>
                <w:sz w:val="18"/>
                <w:szCs w:val="18"/>
              </w:rPr>
            </w:pPr>
          </w:p>
        </w:tc>
      </w:tr>
    </w:tbl>
    <w:p>
      <w:pPr>
        <w:ind w:firstLine="480"/>
      </w:pPr>
    </w:p>
    <w:p>
      <w:pPr>
        <w:pStyle w:val="4"/>
        <w:numPr>
          <w:ilvl w:val="0"/>
          <w:numId w:val="0"/>
        </w:numPr>
        <w:ind w:leftChars="0"/>
        <w:rPr>
          <w:rFonts w:cs="宋体"/>
        </w:rPr>
      </w:pPr>
      <w:bookmarkStart w:id="545" w:name="_Toc81552937"/>
      <w:r>
        <w:rPr>
          <w:rFonts w:hint="eastAsia" w:cs="宋体"/>
          <w:lang w:val="en-US" w:eastAsia="zh-CN"/>
        </w:rPr>
        <w:t>8.6</w:t>
      </w:r>
      <w:r>
        <w:rPr>
          <w:rFonts w:hint="eastAsia" w:cs="宋体"/>
        </w:rPr>
        <w:t>系统数据资源目录清单</w:t>
      </w:r>
      <w:bookmarkEnd w:id="545"/>
    </w:p>
    <w:p>
      <w:pPr>
        <w:ind w:firstLine="480"/>
        <w:jc w:val="center"/>
      </w:pPr>
      <w:r>
        <w:rPr>
          <w:rFonts w:hint="eastAsia"/>
        </w:rPr>
        <w:t>表 系统数据资源目录清单</w:t>
      </w:r>
    </w:p>
    <w:tbl>
      <w:tblPr>
        <w:tblStyle w:val="62"/>
        <w:tblW w:w="4464"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424"/>
        <w:gridCol w:w="1559"/>
        <w:gridCol w:w="1986"/>
        <w:gridCol w:w="2835"/>
        <w:gridCol w:w="1843"/>
        <w:gridCol w:w="18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tblHeader/>
          <w:jc w:val="center"/>
        </w:trPr>
        <w:tc>
          <w:tcPr>
            <w:tcW w:w="971" w:type="pct"/>
            <w:tcBorders>
              <w:tl2br w:val="nil"/>
              <w:tr2bl w:val="nil"/>
            </w:tcBorders>
            <w:shd w:val="clear" w:color="auto" w:fill="BEBEBE" w:themeFill="background1" w:themeFillShade="BF"/>
            <w:tcMar>
              <w:top w:w="15" w:type="dxa"/>
              <w:left w:w="15" w:type="dxa"/>
              <w:right w:w="15" w:type="dxa"/>
            </w:tcMar>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系统名称</w:t>
            </w:r>
          </w:p>
        </w:tc>
        <w:tc>
          <w:tcPr>
            <w:tcW w:w="624" w:type="pct"/>
            <w:tcBorders>
              <w:tl2br w:val="nil"/>
              <w:tr2bl w:val="nil"/>
            </w:tcBorders>
            <w:shd w:val="clear" w:color="auto" w:fill="BEBEBE" w:themeFill="background1" w:themeFillShade="BF"/>
            <w:tcMar>
              <w:top w:w="15" w:type="dxa"/>
              <w:left w:w="15" w:type="dxa"/>
              <w:right w:w="15" w:type="dxa"/>
            </w:tcMar>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所属部门</w:t>
            </w:r>
          </w:p>
        </w:tc>
        <w:tc>
          <w:tcPr>
            <w:tcW w:w="795" w:type="pct"/>
            <w:tcBorders>
              <w:tl2br w:val="nil"/>
              <w:tr2bl w:val="nil"/>
            </w:tcBorders>
            <w:shd w:val="clear" w:color="auto" w:fill="BEBEBE" w:themeFill="background1" w:themeFillShade="BF"/>
            <w:tcMar>
              <w:top w:w="15" w:type="dxa"/>
              <w:left w:w="15" w:type="dxa"/>
              <w:right w:w="15" w:type="dxa"/>
            </w:tcMar>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数据资源名称</w:t>
            </w:r>
          </w:p>
        </w:tc>
        <w:tc>
          <w:tcPr>
            <w:tcW w:w="1135" w:type="pct"/>
            <w:tcBorders>
              <w:tl2br w:val="nil"/>
              <w:tr2bl w:val="nil"/>
            </w:tcBorders>
            <w:shd w:val="clear" w:color="auto" w:fill="BEBEBE" w:themeFill="background1" w:themeFillShade="BF"/>
            <w:tcMar>
              <w:top w:w="15" w:type="dxa"/>
              <w:left w:w="15" w:type="dxa"/>
              <w:right w:w="15" w:type="dxa"/>
            </w:tcMar>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字段名称</w:t>
            </w:r>
          </w:p>
        </w:tc>
        <w:tc>
          <w:tcPr>
            <w:tcW w:w="738" w:type="pct"/>
            <w:tcBorders>
              <w:tl2br w:val="nil"/>
              <w:tr2bl w:val="nil"/>
            </w:tcBorders>
            <w:shd w:val="clear" w:color="auto" w:fill="BEBEBE" w:themeFill="background1" w:themeFillShade="BF"/>
            <w:tcMar>
              <w:top w:w="15" w:type="dxa"/>
              <w:left w:w="15" w:type="dxa"/>
              <w:right w:w="15" w:type="dxa"/>
            </w:tcMar>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共享属性</w:t>
            </w:r>
          </w:p>
        </w:tc>
        <w:tc>
          <w:tcPr>
            <w:tcW w:w="737" w:type="pct"/>
            <w:tcBorders>
              <w:tl2br w:val="nil"/>
              <w:tr2bl w:val="nil"/>
            </w:tcBorders>
            <w:shd w:val="clear" w:color="auto" w:fill="BEBEBE" w:themeFill="background1" w:themeFillShade="BF"/>
            <w:tcMar>
              <w:top w:w="15" w:type="dxa"/>
              <w:left w:w="15" w:type="dxa"/>
              <w:right w:w="15" w:type="dxa"/>
            </w:tcMar>
            <w:vAlign w:val="center"/>
          </w:tcPr>
          <w:p>
            <w:pPr>
              <w:spacing w:line="240" w:lineRule="auto"/>
              <w:ind w:firstLine="0" w:firstLineChars="0"/>
              <w:jc w:val="center"/>
              <w:rPr>
                <w:rFonts w:ascii="宋体" w:hAnsi="宋体"/>
                <w:b/>
                <w:bCs/>
                <w:sz w:val="18"/>
                <w:szCs w:val="18"/>
              </w:rPr>
            </w:pPr>
            <w:r>
              <w:rPr>
                <w:rFonts w:hint="eastAsia" w:ascii="宋体" w:hAnsi="宋体"/>
                <w:b/>
                <w:bCs/>
                <w:sz w:val="18"/>
                <w:szCs w:val="18"/>
              </w:rPr>
              <w:t>开放属性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临安区应急管理平台</w:t>
            </w:r>
          </w:p>
        </w:tc>
        <w:tc>
          <w:tcPr>
            <w:tcW w:w="624"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区应急</w:t>
            </w:r>
          </w:p>
        </w:tc>
        <w:tc>
          <w:tcPr>
            <w:tcW w:w="795"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危险源信息</w:t>
            </w: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危险源名称</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危险源关联信息</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危险源采集数值</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危险源采集时间</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临安区应急管理平台</w:t>
            </w:r>
          </w:p>
        </w:tc>
        <w:tc>
          <w:tcPr>
            <w:tcW w:w="624"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区应急</w:t>
            </w:r>
          </w:p>
        </w:tc>
        <w:tc>
          <w:tcPr>
            <w:tcW w:w="795"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应急物资</w:t>
            </w: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应急物资名称</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应急物资单位</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应急物资数量</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临安区环境资源管理平台</w:t>
            </w:r>
          </w:p>
        </w:tc>
        <w:tc>
          <w:tcPr>
            <w:tcW w:w="624"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区环保</w:t>
            </w:r>
          </w:p>
        </w:tc>
        <w:tc>
          <w:tcPr>
            <w:tcW w:w="795"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大气监测</w:t>
            </w: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大气监测点名称</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left="480"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left="480" w:firstLine="0" w:firstLineChars="0"/>
              <w:jc w:val="center"/>
              <w:rPr>
                <w:rFonts w:ascii="宋体" w:hAnsi="宋体"/>
                <w:sz w:val="18"/>
                <w:szCs w:val="18"/>
              </w:rPr>
            </w:pPr>
          </w:p>
        </w:tc>
        <w:tc>
          <w:tcPr>
            <w:tcW w:w="1135" w:type="pc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大气监测点关联信息</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left="480"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left="480" w:firstLine="0" w:firstLineChars="0"/>
              <w:jc w:val="center"/>
              <w:rPr>
                <w:rFonts w:ascii="宋体" w:hAnsi="宋体"/>
                <w:sz w:val="18"/>
                <w:szCs w:val="18"/>
              </w:rPr>
            </w:pPr>
          </w:p>
        </w:tc>
        <w:tc>
          <w:tcPr>
            <w:tcW w:w="1135"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大气监测点采集时间</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left="480"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left="480" w:firstLine="0" w:firstLineChars="0"/>
              <w:jc w:val="center"/>
              <w:rPr>
                <w:rFonts w:ascii="宋体" w:hAnsi="宋体"/>
                <w:sz w:val="18"/>
                <w:szCs w:val="18"/>
              </w:rPr>
            </w:pPr>
          </w:p>
        </w:tc>
        <w:tc>
          <w:tcPr>
            <w:tcW w:w="1135"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大气监测点采集数值</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临安区环境资源管理平台</w:t>
            </w:r>
          </w:p>
        </w:tc>
        <w:tc>
          <w:tcPr>
            <w:tcW w:w="624"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区环保</w:t>
            </w:r>
          </w:p>
        </w:tc>
        <w:tc>
          <w:tcPr>
            <w:tcW w:w="795" w:type="pct"/>
            <w:vMerge w:val="restart"/>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水监测</w:t>
            </w:r>
          </w:p>
        </w:tc>
        <w:tc>
          <w:tcPr>
            <w:tcW w:w="1135"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水监测点名称</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水监测点关联信息</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水监测点采集时间</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jc w:val="center"/>
        </w:trPr>
        <w:tc>
          <w:tcPr>
            <w:tcW w:w="971"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624"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795" w:type="pct"/>
            <w:vMerge w:val="continue"/>
            <w:tcBorders>
              <w:tl2br w:val="nil"/>
              <w:tr2bl w:val="nil"/>
            </w:tcBorders>
            <w:tcMar>
              <w:top w:w="15" w:type="dxa"/>
              <w:left w:w="15" w:type="dxa"/>
              <w:right w:w="15" w:type="dxa"/>
            </w:tcMar>
            <w:vAlign w:val="center"/>
          </w:tcPr>
          <w:p>
            <w:pPr>
              <w:spacing w:line="240" w:lineRule="auto"/>
              <w:ind w:firstLine="0" w:firstLineChars="0"/>
              <w:jc w:val="center"/>
              <w:rPr>
                <w:rFonts w:ascii="宋体" w:hAnsi="宋体"/>
                <w:sz w:val="18"/>
                <w:szCs w:val="18"/>
              </w:rPr>
            </w:pPr>
          </w:p>
        </w:tc>
        <w:tc>
          <w:tcPr>
            <w:tcW w:w="1135"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水监测点采集数值</w:t>
            </w:r>
          </w:p>
        </w:tc>
        <w:tc>
          <w:tcPr>
            <w:tcW w:w="738"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申请共享</w:t>
            </w:r>
          </w:p>
        </w:tc>
        <w:tc>
          <w:tcPr>
            <w:tcW w:w="737" w:type="pct"/>
            <w:tcBorders>
              <w:tl2br w:val="nil"/>
              <w:tr2bl w:val="nil"/>
            </w:tcBorders>
            <w:noWrap/>
            <w:tcMar>
              <w:top w:w="15" w:type="dxa"/>
              <w:left w:w="15" w:type="dxa"/>
              <w:right w:w="15" w:type="dxa"/>
            </w:tcMar>
            <w:vAlign w:val="center"/>
          </w:tcPr>
          <w:p>
            <w:pPr>
              <w:spacing w:line="240" w:lineRule="auto"/>
              <w:ind w:firstLine="0" w:firstLineChars="0"/>
              <w:jc w:val="center"/>
              <w:rPr>
                <w:rFonts w:ascii="宋体" w:hAnsi="宋体"/>
                <w:sz w:val="18"/>
                <w:szCs w:val="18"/>
              </w:rPr>
            </w:pPr>
            <w:r>
              <w:rPr>
                <w:rFonts w:hint="eastAsia" w:ascii="宋体" w:hAnsi="宋体"/>
                <w:sz w:val="18"/>
                <w:szCs w:val="18"/>
              </w:rPr>
              <w:t>无条件开放</w:t>
            </w:r>
          </w:p>
        </w:tc>
      </w:tr>
    </w:tbl>
    <w:p>
      <w:pPr>
        <w:ind w:firstLine="480"/>
      </w:pPr>
    </w:p>
    <w:p>
      <w:pPr>
        <w:ind w:firstLine="480"/>
      </w:pPr>
    </w:p>
    <w:p>
      <w:pPr>
        <w:ind w:firstLine="480"/>
        <w:sectPr>
          <w:pgSz w:w="16838" w:h="11906" w:orient="landscape"/>
          <w:pgMar w:top="1800" w:right="1440" w:bottom="1800" w:left="1440" w:header="851" w:footer="992" w:gutter="0"/>
          <w:pgNumType w:fmt="decimal"/>
          <w:cols w:space="720" w:num="1"/>
          <w:docGrid w:type="lines" w:linePitch="326" w:charSpace="0"/>
        </w:sectPr>
      </w:pPr>
    </w:p>
    <w:bookmarkEnd w:id="539"/>
    <w:bookmarkEnd w:id="540"/>
    <w:bookmarkEnd w:id="541"/>
    <w:bookmarkEnd w:id="542"/>
    <w:bookmarkEnd w:id="543"/>
    <w:p>
      <w:pPr>
        <w:pStyle w:val="3"/>
        <w:numPr>
          <w:ilvl w:val="0"/>
          <w:numId w:val="0"/>
        </w:numPr>
        <w:tabs>
          <w:tab w:val="left" w:pos="420"/>
          <w:tab w:val="clear" w:pos="432"/>
        </w:tabs>
        <w:ind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9.</w:t>
      </w:r>
      <w:r>
        <w:rPr>
          <w:rFonts w:hint="eastAsia" w:ascii="仿宋_GB2312" w:hAnsi="仿宋_GB2312" w:eastAsia="仿宋_GB2312" w:cs="仿宋_GB2312"/>
          <w:sz w:val="24"/>
          <w:szCs w:val="24"/>
        </w:rPr>
        <w:t>商务需求</w:t>
      </w:r>
    </w:p>
    <w:tbl>
      <w:tblPr>
        <w:tblStyle w:val="62"/>
        <w:tblW w:w="89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8"/>
        <w:gridCol w:w="775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tblHeader/>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b/>
                <w:sz w:val="24"/>
                <w:szCs w:val="24"/>
              </w:rPr>
            </w:pPr>
            <w:bookmarkStart w:id="546" w:name="_Hlk71364814"/>
            <w:r>
              <w:rPr>
                <w:rFonts w:hint="eastAsia" w:ascii="仿宋_GB2312" w:hAnsi="仿宋_GB2312" w:eastAsia="仿宋_GB2312" w:cs="仿宋_GB2312"/>
                <w:b/>
                <w:sz w:val="24"/>
                <w:szCs w:val="24"/>
              </w:rPr>
              <w:t>项目</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招标商务要求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工期要求</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zh-CN"/>
              </w:rPr>
              <w:t>本项目工期</w:t>
            </w:r>
            <w:r>
              <w:rPr>
                <w:rFonts w:hint="eastAsia" w:ascii="仿宋_GB2312" w:hAnsi="仿宋_GB2312" w:eastAsia="仿宋_GB2312" w:cs="仿宋_GB2312"/>
                <w:color w:val="auto"/>
                <w:sz w:val="24"/>
                <w:szCs w:val="24"/>
                <w:lang w:val="zh-CN"/>
              </w:rPr>
              <w:t>从合同签订之日起</w:t>
            </w:r>
            <w:r>
              <w:rPr>
                <w:rFonts w:hint="eastAsia" w:ascii="仿宋_GB2312" w:hAnsi="仿宋_GB2312" w:eastAsia="仿宋_GB2312" w:cs="仿宋_GB2312"/>
                <w:color w:val="auto"/>
                <w:sz w:val="24"/>
                <w:szCs w:val="24"/>
              </w:rPr>
              <w:t>16</w:t>
            </w:r>
            <w:r>
              <w:rPr>
                <w:rFonts w:hint="eastAsia" w:ascii="仿宋_GB2312" w:hAnsi="仿宋_GB2312" w:eastAsia="仿宋_GB2312" w:cs="仿宋_GB2312"/>
                <w:color w:val="auto"/>
                <w:sz w:val="24"/>
                <w:szCs w:val="24"/>
                <w:lang w:val="zh-CN"/>
              </w:rPr>
              <w:t>个月内完成项目建设并具备试运行条件。</w:t>
            </w:r>
            <w:r>
              <w:rPr>
                <w:rFonts w:hint="eastAsia" w:ascii="仿宋_GB2312" w:hAnsi="仿宋_GB2312" w:eastAsia="仿宋_GB2312" w:cs="仿宋_GB2312"/>
                <w:color w:val="auto"/>
                <w:sz w:val="24"/>
                <w:szCs w:val="24"/>
              </w:rPr>
              <w:t>具体分为两个阶段：</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第一步：工期4个月，主要完成应用软件开发上线、企业数据对接、应急平台系统对接、化工产业大脑对接、三维GIS地图对接、指挥中心及研判室建设、机房建设、计算机网络搭建、融合通讯建设、应急广播建设及北区公共设施建设，并完成项目初步验收工作。</w:t>
            </w:r>
          </w:p>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zh-CN"/>
              </w:rPr>
              <w:t>第二步：工期12个月，根据园区建设规划进度及园区内企业清退、新建等，逐步完成南区公共设施内容建设，完成项目终验工作。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项目组织及实施要求</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1）中标</w:t>
            </w:r>
            <w:r>
              <w:rPr>
                <w:rFonts w:hint="eastAsia" w:ascii="仿宋_GB2312" w:hAnsi="仿宋_GB2312" w:eastAsia="仿宋_GB2312" w:cs="仿宋_GB2312"/>
                <w:sz w:val="24"/>
                <w:szCs w:val="24"/>
                <w:highlight w:val="none"/>
                <w:shd w:val="clear"/>
                <w:lang w:val="zh-CN"/>
              </w:rPr>
              <w:t>人中标后需</w:t>
            </w:r>
            <w:r>
              <w:rPr>
                <w:rFonts w:hint="eastAsia" w:ascii="仿宋_GB2312" w:hAnsi="仿宋_GB2312" w:eastAsia="仿宋_GB2312" w:cs="仿宋_GB2312"/>
                <w:sz w:val="24"/>
                <w:szCs w:val="24"/>
                <w:lang w:val="zh-CN"/>
              </w:rPr>
              <w:t>要在5个工作日内成立工作团队，并指定一名专职的项目经理，负责项目协调和调度工作。除项目经理外，项目组须配备专职的技术负责人，并按照项目实施的要求，配置相应的项目管理、系统设计、开发、测试、集成、培训、质量保证等人员。</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2）本项目实施阶段要求项目经理在项目建设各阶段在现场开展相关工作。</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3）参与此项目的技术人员具有承担过相同类型项目的经验，能够与用户进行良好的沟通，掌握相关领域的相关基础知识，具备相关产品集成、应用和开发的能力。</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4）中标人在项目合同签订后，需组织相关实施人员在该项目招标需求的基础上进行深入调研，编制需求规格说明书。需求规格说明经采购人、中标人确认后作为项目验收的依据。</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5）要求中标人在各阶段及时提供相应的项目管理文档、开发类文档及实施类文档，以便采购人及时了解项目进展情况。</w:t>
            </w:r>
          </w:p>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zh-CN"/>
              </w:rPr>
              <w:t>6）对上述安排投标人应列出详细实施方案，包括但不限于项目管理计划、项目进度计划、项目验收计划、项目组织结构（人员姓名、经验、学历和在本项目中的职责分工等，项目小组成员须提供社保证明等）。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安装、测试及系统集成要求</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1）该项目涉及到系统的应用集成，应用系统要求按统一的数据采集标准进行数据采集。需要高标准进行整体规划，确保系统的稳定性、安全性、灵活性和扩展性。</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2）负责本项目范围内应用软件的现场安装部署、集成、测试和调试，保证系统功能、性能要求的实现，提供售后服务。同时负责对应用于该项目的原有软硬件设备的系统集成。在安装、配置和测试、调试过程中，中标人应对最终用户技术人员所提出的技术问题，给予满意的答复。</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3）要求有完整的安装和配置程序，具有详细的系统安装配置说明手册、用户使用说明书和系统维护说明书。系统实际安装与操作必须与说明书描述一致。</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4）要求具有完整的系统测试计划，包括根据用户需求编写的，遍及系统95%以上功能、性能的测试用例，合理的测试方案和测试方法。要求保留完整的测试报告。</w:t>
            </w:r>
          </w:p>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zh-CN"/>
              </w:rPr>
              <w:t>5）项目实施过程中，如果牵涉到与第三方产品集成工作，</w:t>
            </w:r>
            <w:r>
              <w:rPr>
                <w:rFonts w:hint="eastAsia" w:ascii="仿宋_GB2312" w:hAnsi="仿宋_GB2312" w:eastAsia="仿宋_GB2312" w:cs="仿宋_GB2312"/>
                <w:sz w:val="24"/>
                <w:szCs w:val="24"/>
              </w:rPr>
              <w:t>采购人应全力协调第三方系统厂家配合中标人完成系统集成工作。</w:t>
            </w:r>
          </w:p>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w:t>
            </w:r>
            <w:r>
              <w:rPr>
                <w:rFonts w:hint="eastAsia" w:ascii="仿宋_GB2312" w:hAnsi="仿宋_GB2312" w:eastAsia="仿宋_GB2312" w:cs="仿宋_GB2312"/>
                <w:sz w:val="24"/>
                <w:szCs w:val="24"/>
                <w:lang w:val="zh-CN"/>
              </w:rPr>
              <w:t>）中标人负责解决系统集成中全部技术问题，对采购人项目建设中碰到的其他技术问题，有责任和义务提供咨询和帮助并协助解决。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质保期</w:t>
            </w:r>
          </w:p>
        </w:tc>
        <w:tc>
          <w:tcPr>
            <w:tcW w:w="775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本项目质保期3年（包括本项目所有软件及硬件），质保期内产生的相关费用采购人不再另行支付费用。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付款条件</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合同签订后</w:t>
            </w:r>
            <w:r>
              <w:rPr>
                <w:rFonts w:hint="eastAsia" w:ascii="仿宋_GB2312" w:hAnsi="仿宋_GB2312" w:eastAsia="仿宋_GB2312" w:cs="仿宋_GB2312"/>
                <w:sz w:val="24"/>
                <w:szCs w:val="24"/>
              </w:rPr>
              <w:t>5天内</w:t>
            </w:r>
            <w:r>
              <w:rPr>
                <w:rFonts w:hint="eastAsia" w:ascii="仿宋_GB2312" w:hAnsi="仿宋_GB2312" w:eastAsia="仿宋_GB2312" w:cs="仿宋_GB2312"/>
                <w:sz w:val="24"/>
                <w:szCs w:val="24"/>
                <w:lang w:val="zh-CN"/>
              </w:rPr>
              <w:t>支付</w:t>
            </w:r>
            <w:r>
              <w:rPr>
                <w:rFonts w:hint="eastAsia" w:ascii="仿宋_GB2312" w:hAnsi="仿宋_GB2312" w:eastAsia="仿宋_GB2312" w:cs="仿宋_GB2312"/>
                <w:sz w:val="24"/>
                <w:szCs w:val="24"/>
              </w:rPr>
              <w:t>应支付建设费用</w:t>
            </w:r>
            <w:r>
              <w:rPr>
                <w:rFonts w:hint="eastAsia" w:ascii="仿宋_GB2312" w:hAnsi="仿宋_GB2312" w:eastAsia="仿宋_GB2312" w:cs="仿宋_GB2312"/>
                <w:sz w:val="24"/>
                <w:szCs w:val="24"/>
                <w:lang w:val="zh-CN"/>
              </w:rPr>
              <w:t>的</w:t>
            </w:r>
            <w:r>
              <w:rPr>
                <w:rFonts w:hint="eastAsia" w:ascii="仿宋_GB2312" w:hAnsi="仿宋_GB2312" w:eastAsia="仿宋_GB2312" w:cs="仿宋_GB2312"/>
                <w:sz w:val="24"/>
                <w:szCs w:val="24"/>
              </w:rPr>
              <w:t>30</w:t>
            </w:r>
            <w:r>
              <w:rPr>
                <w:rFonts w:hint="eastAsia" w:ascii="仿宋_GB2312" w:hAnsi="仿宋_GB2312" w:eastAsia="仿宋_GB2312" w:cs="仿宋_GB2312"/>
                <w:sz w:val="24"/>
                <w:szCs w:val="24"/>
                <w:lang w:val="zh-CN"/>
              </w:rPr>
              <w:t>%，作为项目</w:t>
            </w:r>
            <w:r>
              <w:rPr>
                <w:rFonts w:hint="eastAsia" w:ascii="仿宋_GB2312" w:hAnsi="仿宋_GB2312" w:eastAsia="仿宋_GB2312" w:cs="仿宋_GB2312"/>
                <w:sz w:val="24"/>
                <w:szCs w:val="24"/>
              </w:rPr>
              <w:t>预付款。</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项目</w:t>
            </w:r>
            <w:r>
              <w:rPr>
                <w:rFonts w:hint="eastAsia" w:ascii="仿宋_GB2312" w:hAnsi="仿宋_GB2312" w:eastAsia="仿宋_GB2312" w:cs="仿宋_GB2312"/>
                <w:sz w:val="24"/>
                <w:szCs w:val="24"/>
              </w:rPr>
              <w:t>完成与产业大脑对接(平台数据上传产业大脑，接入率达30%以上)</w:t>
            </w:r>
            <w:r>
              <w:rPr>
                <w:rFonts w:hint="eastAsia" w:ascii="仿宋_GB2312" w:hAnsi="仿宋_GB2312" w:eastAsia="仿宋_GB2312" w:cs="仿宋_GB2312"/>
                <w:sz w:val="24"/>
                <w:szCs w:val="24"/>
                <w:lang w:val="zh-CN"/>
              </w:rPr>
              <w:t>后</w:t>
            </w:r>
            <w:r>
              <w:rPr>
                <w:rFonts w:hint="eastAsia" w:ascii="仿宋_GB2312" w:hAnsi="仿宋_GB2312" w:eastAsia="仿宋_GB2312" w:cs="仿宋_GB2312"/>
                <w:sz w:val="24"/>
                <w:szCs w:val="24"/>
              </w:rPr>
              <w:t>5天</w:t>
            </w:r>
            <w:r>
              <w:rPr>
                <w:rFonts w:hint="eastAsia" w:ascii="仿宋_GB2312" w:hAnsi="仿宋_GB2312" w:eastAsia="仿宋_GB2312" w:cs="仿宋_GB2312"/>
                <w:sz w:val="24"/>
                <w:szCs w:val="24"/>
                <w:lang w:val="zh-CN"/>
              </w:rPr>
              <w:t>内支付</w:t>
            </w:r>
            <w:r>
              <w:rPr>
                <w:rFonts w:hint="eastAsia" w:ascii="仿宋_GB2312" w:hAnsi="仿宋_GB2312" w:eastAsia="仿宋_GB2312" w:cs="仿宋_GB2312"/>
                <w:sz w:val="24"/>
                <w:szCs w:val="24"/>
              </w:rPr>
              <w:t>应支付建设费用</w:t>
            </w:r>
            <w:r>
              <w:rPr>
                <w:rFonts w:hint="eastAsia" w:ascii="仿宋_GB2312" w:hAnsi="仿宋_GB2312" w:eastAsia="仿宋_GB2312" w:cs="仿宋_GB2312"/>
                <w:sz w:val="24"/>
                <w:szCs w:val="24"/>
                <w:lang w:val="zh-CN"/>
              </w:rPr>
              <w:t>的</w:t>
            </w: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zh-CN"/>
              </w:rPr>
              <w:t>0%。</w:t>
            </w:r>
          </w:p>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项目完成软件平台开发部署、北区硬件基础设施建设后，进行初验，初验合格后5天内应支付建设费用的30%。</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rPr>
              <w:t>项目整体完成验收后5天内支付应支付建设费用</w:t>
            </w:r>
            <w:r>
              <w:rPr>
                <w:rFonts w:hint="eastAsia" w:ascii="仿宋_GB2312" w:hAnsi="仿宋_GB2312" w:eastAsia="仿宋_GB2312" w:cs="仿宋_GB2312"/>
                <w:sz w:val="24"/>
                <w:szCs w:val="24"/>
                <w:lang w:val="zh-CN"/>
              </w:rPr>
              <w:t>的</w:t>
            </w:r>
            <w:r>
              <w:rPr>
                <w:rFonts w:hint="eastAsia" w:ascii="仿宋_GB2312" w:hAnsi="仿宋_GB2312" w:eastAsia="仿宋_GB2312" w:cs="仿宋_GB2312"/>
                <w:sz w:val="24"/>
                <w:szCs w:val="24"/>
              </w:rPr>
              <w:t>15</w:t>
            </w:r>
            <w:r>
              <w:rPr>
                <w:rFonts w:hint="eastAsia" w:ascii="仿宋_GB2312" w:hAnsi="仿宋_GB2312" w:eastAsia="仿宋_GB2312" w:cs="仿宋_GB2312"/>
                <w:sz w:val="24"/>
                <w:szCs w:val="24"/>
                <w:lang w:val="zh-CN"/>
              </w:rPr>
              <w:t>%。</w:t>
            </w:r>
          </w:p>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质保满3年后5天内支付建设费用的5%</w:t>
            </w:r>
          </w:p>
          <w:p>
            <w:pPr>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在每次付款前，中标人应向采购人出具增值税发票，否则采购人有权拒绝付款。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验收</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项目的验收包括</w:t>
            </w:r>
            <w:r>
              <w:rPr>
                <w:rFonts w:hint="eastAsia" w:ascii="仿宋_GB2312" w:hAnsi="仿宋_GB2312" w:eastAsia="仿宋_GB2312" w:cs="仿宋_GB2312"/>
                <w:sz w:val="24"/>
                <w:szCs w:val="24"/>
              </w:rPr>
              <w:t>初验</w:t>
            </w:r>
            <w:r>
              <w:rPr>
                <w:rFonts w:hint="eastAsia" w:ascii="仿宋_GB2312" w:hAnsi="仿宋_GB2312" w:eastAsia="仿宋_GB2312" w:cs="仿宋_GB2312"/>
                <w:sz w:val="24"/>
                <w:szCs w:val="24"/>
                <w:lang w:val="zh-CN"/>
              </w:rPr>
              <w:t>和终验。</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1）</w:t>
            </w:r>
            <w:r>
              <w:rPr>
                <w:rFonts w:hint="eastAsia" w:ascii="仿宋_GB2312" w:hAnsi="仿宋_GB2312" w:eastAsia="仿宋_GB2312" w:cs="仿宋_GB2312"/>
                <w:sz w:val="24"/>
                <w:szCs w:val="24"/>
              </w:rPr>
              <w:t>初验</w:t>
            </w:r>
            <w:r>
              <w:rPr>
                <w:rFonts w:hint="eastAsia" w:ascii="仿宋_GB2312" w:hAnsi="仿宋_GB2312" w:eastAsia="仿宋_GB2312" w:cs="仿宋_GB2312"/>
                <w:sz w:val="24"/>
                <w:szCs w:val="24"/>
                <w:lang w:val="zh-CN"/>
              </w:rPr>
              <w:t>：</w:t>
            </w:r>
            <w:r>
              <w:rPr>
                <w:rFonts w:hint="eastAsia" w:ascii="仿宋_GB2312" w:hAnsi="仿宋_GB2312" w:eastAsia="仿宋_GB2312" w:cs="仿宋_GB2312"/>
                <w:sz w:val="24"/>
                <w:szCs w:val="24"/>
              </w:rPr>
              <w:t>中标人</w:t>
            </w:r>
            <w:r>
              <w:rPr>
                <w:rFonts w:hint="eastAsia" w:ascii="仿宋_GB2312" w:hAnsi="仿宋_GB2312" w:eastAsia="仿宋_GB2312" w:cs="仿宋_GB2312"/>
                <w:sz w:val="24"/>
                <w:szCs w:val="24"/>
                <w:lang w:val="zh-CN"/>
              </w:rPr>
              <w:t>完成应用软件开发上线、企业数据对接、应急平台系统对接、化工产业大脑对接、三维GIS地图对接、指挥中心及研判室建设、机房建设、计算机网络搭建、融合通讯建设、应急广播建设及北区公共设施建设</w:t>
            </w:r>
            <w:r>
              <w:rPr>
                <w:rFonts w:hint="eastAsia" w:ascii="仿宋_GB2312" w:hAnsi="仿宋_GB2312" w:eastAsia="仿宋_GB2312" w:cs="仿宋_GB2312"/>
                <w:sz w:val="24"/>
                <w:szCs w:val="24"/>
              </w:rPr>
              <w:t>后</w:t>
            </w:r>
            <w:r>
              <w:rPr>
                <w:rFonts w:hint="eastAsia" w:ascii="仿宋_GB2312" w:hAnsi="仿宋_GB2312" w:eastAsia="仿宋_GB2312" w:cs="仿宋_GB2312"/>
                <w:sz w:val="24"/>
                <w:szCs w:val="24"/>
                <w:lang w:val="zh-CN"/>
              </w:rPr>
              <w:t>，</w:t>
            </w:r>
            <w:r>
              <w:rPr>
                <w:rFonts w:hint="eastAsia" w:ascii="仿宋_GB2312" w:hAnsi="仿宋_GB2312" w:eastAsia="仿宋_GB2312" w:cs="仿宋_GB2312"/>
                <w:sz w:val="24"/>
                <w:szCs w:val="24"/>
              </w:rPr>
              <w:t>中标人向采购人提出初验申请，采购组织相关单位进行系统的初验。系统初验通过，进入试运行阶段。</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2）验收：系统通过试运行后，中标方向</w:t>
            </w:r>
            <w:r>
              <w:rPr>
                <w:rFonts w:hint="eastAsia" w:ascii="仿宋_GB2312" w:hAnsi="仿宋_GB2312" w:eastAsia="仿宋_GB2312" w:cs="仿宋_GB2312"/>
                <w:sz w:val="24"/>
                <w:szCs w:val="24"/>
              </w:rPr>
              <w:t>采购人</w:t>
            </w:r>
            <w:r>
              <w:rPr>
                <w:rFonts w:hint="eastAsia" w:ascii="仿宋_GB2312" w:hAnsi="仿宋_GB2312" w:eastAsia="仿宋_GB2312" w:cs="仿宋_GB2312"/>
                <w:sz w:val="24"/>
                <w:szCs w:val="24"/>
                <w:lang w:val="zh-CN"/>
              </w:rPr>
              <w:t>提出申请，</w:t>
            </w:r>
            <w:r>
              <w:rPr>
                <w:rFonts w:hint="eastAsia" w:ascii="仿宋_GB2312" w:hAnsi="仿宋_GB2312" w:eastAsia="仿宋_GB2312" w:cs="仿宋_GB2312"/>
                <w:sz w:val="24"/>
                <w:szCs w:val="24"/>
              </w:rPr>
              <w:t>采购人</w:t>
            </w:r>
            <w:r>
              <w:rPr>
                <w:rFonts w:hint="eastAsia" w:ascii="仿宋_GB2312" w:hAnsi="仿宋_GB2312" w:eastAsia="仿宋_GB2312" w:cs="仿宋_GB2312"/>
                <w:sz w:val="24"/>
                <w:szCs w:val="24"/>
                <w:lang w:val="zh-CN"/>
              </w:rPr>
              <w:t>组织相关单位进行系统的验收。系统验收通过，进入正式运行阶段。系统终验收合格的条件必须至少满足以下三个要求：已提供了合同要求的全部设备、软件和资料；试运行时性能满足合同要求；测试和试运行验收时出现的问题已被解决。</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3）验收前由采购人负责组织本项目的软件测评和等保测评二级。</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84"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交付要求</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中标人应按照招标文件所约定的内容和时间进行交付；按照计算机软件工程规范国家标准分阶段交付应用系统的文档，所交付的文档与文件应该是电子版式及纸质形式。交付的文档包括（但不限于）：需求规格说明书、数据库设计说明书、项目测试方案、项目测试报告、用户操作手册、总结报告及采购人认为需要的其他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培训</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1）投标人负责对采购人相关人员的使用、维护等培训。应派遣优秀的培训人员，采用现代化的培训手段安排培训课程。</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2）培训人员均应具备授课经验，应负责教会采购人相关人员掌握培训课程的内容，提供如何使用技术资料的指导，并解答其在培训过程中提出的有关问题。</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3）投标人应随其投标文件提出一份初步培训计划，来保证采购人系统使用人员在合同规定时间节点前操作水平达到熟练。正式的培训计划将经双方协商后确定。</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4）培训的费用应包含在合同价格中，这些费用包括培训人员的工资、教材和手册，以及采购人相关人员所需的培训用品等。</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5）参加培训的人员、时间、地点由双方另行商定。</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6）投标人根据需求调查、分析、设计、开发的实际情况，不仅要编写出各种层次的使用说明书，还应有一般用户强化训练的培训教材。</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7）投标人负责采购人业务人员能够独立业务操作的应用培训。</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8）投标人负责采购人系统管理员专业知识和开发工具的使用培训，以便他们能熟练地对系统进行维护和管理。包括完成安装、调试、检查测试、维护、查找及排除故障等。</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9）培训内容：系统的使用和维护；数据库部署和维护。</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10）培训方式：应采用集中与分层培训，集中培训能使学员了解系统结构及功能，了解各模块之间的数据关系，掌握其相关查询方法以及报表的生成方式；分层培训主要针对各业务部门进行培训，使学员能够了解其自身相关业务模块的功能使用以及数据流向，熟练操作各功能模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78"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售后服务</w:t>
            </w:r>
          </w:p>
        </w:tc>
        <w:tc>
          <w:tcPr>
            <w:tcW w:w="7753"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zh-CN"/>
              </w:rPr>
              <w:t>1</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zh-CN"/>
              </w:rPr>
              <w:t>质量保证期内，在接到系统故障通知后，中标人必须在</w:t>
            </w:r>
            <w:r>
              <w:rPr>
                <w:rFonts w:hint="eastAsia" w:ascii="仿宋_GB2312" w:hAnsi="仿宋_GB2312" w:eastAsia="仿宋_GB2312" w:cs="仿宋_GB2312"/>
                <w:sz w:val="24"/>
                <w:szCs w:val="24"/>
              </w:rPr>
              <w:t>2小时</w:t>
            </w:r>
            <w:r>
              <w:rPr>
                <w:rFonts w:hint="eastAsia" w:ascii="仿宋_GB2312" w:hAnsi="仿宋_GB2312" w:eastAsia="仿宋_GB2312" w:cs="仿宋_GB2312"/>
                <w:sz w:val="24"/>
                <w:szCs w:val="24"/>
                <w:lang w:val="zh-CN"/>
              </w:rPr>
              <w:t>内响应。对于影响平台系统正常运行的严重故障，中标人工程师及其它相关技术人员必须在接到故障通知后</w:t>
            </w:r>
            <w:r>
              <w:rPr>
                <w:rFonts w:hint="eastAsia" w:ascii="仿宋_GB2312" w:hAnsi="仿宋_GB2312" w:eastAsia="仿宋_GB2312" w:cs="仿宋_GB2312"/>
                <w:sz w:val="24"/>
                <w:szCs w:val="24"/>
              </w:rPr>
              <w:t>4</w:t>
            </w:r>
            <w:r>
              <w:rPr>
                <w:rFonts w:hint="eastAsia" w:ascii="仿宋_GB2312" w:hAnsi="仿宋_GB2312" w:eastAsia="仿宋_GB2312" w:cs="仿宋_GB2312"/>
                <w:sz w:val="24"/>
                <w:szCs w:val="24"/>
                <w:lang w:val="zh-CN"/>
              </w:rPr>
              <w:t>小时内赶到现场，查找原因，提出解决方案，并工作直至故障修妥，完全恢复正常服务为止，一般要求保证系统在8小时之内修复，并需要提供确保承诺实现的措施。项目质量保证期内中标单位未能按要求提供服务的，</w:t>
            </w:r>
            <w:r>
              <w:rPr>
                <w:rFonts w:hint="eastAsia" w:ascii="仿宋_GB2312" w:hAnsi="仿宋_GB2312" w:eastAsia="仿宋_GB2312" w:cs="仿宋_GB2312"/>
                <w:sz w:val="24"/>
                <w:szCs w:val="24"/>
              </w:rPr>
              <w:t>采购人有权不予支付尾款</w:t>
            </w:r>
            <w:r>
              <w:rPr>
                <w:rFonts w:hint="eastAsia" w:ascii="仿宋_GB2312" w:hAnsi="仿宋_GB2312" w:eastAsia="仿宋_GB2312" w:cs="仿宋_GB2312"/>
                <w:sz w:val="24"/>
                <w:szCs w:val="24"/>
                <w:lang w:val="zh-CN"/>
              </w:rPr>
              <w:t>。</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2）为保证平台系统正常、安全地运行，技术支持力量和优良的服务是系统正常、安全运行的保障。投标人应据此制定系统详细的技术支持与服务方案，包括服务内容、服务方式、服务响应时间、应急措施及组织结构等。</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rPr>
              <w:t>3</w:t>
            </w:r>
            <w:r>
              <w:rPr>
                <w:rFonts w:hint="eastAsia" w:ascii="仿宋_GB2312" w:hAnsi="仿宋_GB2312" w:eastAsia="仿宋_GB2312" w:cs="仿宋_GB2312"/>
                <w:sz w:val="24"/>
                <w:szCs w:val="24"/>
                <w:lang w:val="zh-CN"/>
              </w:rPr>
              <w:t>）系统质保期内故障率不得超过5天，如达不到要求，每超过一天，质保期相应延长5天。质保期内因系统本身缺陷造成各种故障应由中标单位免费技术服务和维修。</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rPr>
              <w:t>4</w:t>
            </w:r>
            <w:r>
              <w:rPr>
                <w:rFonts w:hint="eastAsia" w:ascii="仿宋_GB2312" w:hAnsi="仿宋_GB2312" w:eastAsia="仿宋_GB2312" w:cs="仿宋_GB2312"/>
                <w:sz w:val="24"/>
                <w:szCs w:val="24"/>
                <w:lang w:val="zh-CN"/>
              </w:rPr>
              <w:t>）在质量保证期结束前，须由中标单位工程师和采购人代表进行一次全面检查，任何缺陷必须由中标单位负责修改。在修改之后，中标单位应将缺陷原因、修改内容、完成修改及恢复正常的时间和日期等报告给采购人。</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rPr>
              <w:t>5</w:t>
            </w:r>
            <w:r>
              <w:rPr>
                <w:rFonts w:hint="eastAsia" w:ascii="仿宋_GB2312" w:hAnsi="仿宋_GB2312" w:eastAsia="仿宋_GB2312" w:cs="仿宋_GB2312"/>
                <w:sz w:val="24"/>
                <w:szCs w:val="24"/>
                <w:lang w:val="zh-CN"/>
              </w:rPr>
              <w:t>）质量保证期结束后，中标单位应保证以优惠价格优先对采购人进行系统技术支持和维护。</w:t>
            </w:r>
          </w:p>
          <w:p>
            <w:pPr>
              <w:snapToGrid w:val="0"/>
              <w:spacing w:line="240" w:lineRule="auto"/>
              <w:ind w:firstLine="0" w:firstLineChars="0"/>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7）中标人应提供电话免费咨询服务。</w:t>
            </w:r>
          </w:p>
          <w:p>
            <w:pPr>
              <w:snapToGrid w:val="0"/>
              <w:spacing w:line="240" w:lineRule="auto"/>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w:t>
            </w:r>
            <w:r>
              <w:rPr>
                <w:rFonts w:hint="eastAsia" w:ascii="仿宋_GB2312" w:hAnsi="仿宋_GB2312" w:eastAsia="仿宋_GB2312" w:cs="仿宋_GB2312"/>
                <w:sz w:val="24"/>
                <w:szCs w:val="24"/>
                <w:lang w:val="zh-CN"/>
              </w:rPr>
              <w:t>中标人</w:t>
            </w:r>
            <w:r>
              <w:rPr>
                <w:rFonts w:hint="eastAsia" w:ascii="仿宋_GB2312" w:hAnsi="仿宋_GB2312" w:eastAsia="仿宋_GB2312" w:cs="仿宋_GB2312"/>
                <w:sz w:val="24"/>
                <w:szCs w:val="24"/>
              </w:rPr>
              <w:t>未按投标时的售后服务承诺履约的，采购人不予支付尾款。</w:t>
            </w:r>
          </w:p>
        </w:tc>
      </w:tr>
      <w:bookmarkEnd w:id="546"/>
    </w:tbl>
    <w:p>
      <w:pPr>
        <w:autoSpaceDE w:val="0"/>
        <w:autoSpaceDN w:val="0"/>
        <w:adjustRightInd w:val="0"/>
        <w:spacing w:line="360" w:lineRule="auto"/>
        <w:rPr>
          <w:rFonts w:hint="eastAsia" w:ascii="仿宋_GB2312" w:hAnsi="仿宋_GB2312" w:eastAsia="仿宋_GB2312" w:cs="仿宋_GB2312"/>
          <w:kern w:val="0"/>
          <w:sz w:val="24"/>
          <w:szCs w:val="24"/>
        </w:rPr>
      </w:pPr>
    </w:p>
    <w:p>
      <w:pPr>
        <w:adjustRightInd w:val="0"/>
        <w:snapToGrid w:val="0"/>
        <w:spacing w:line="360" w:lineRule="auto"/>
        <w:ind w:firstLine="480" w:firstLineChars="200"/>
        <w:rPr>
          <w:rFonts w:hint="eastAsia" w:ascii="仿宋_GB2312" w:hAnsi="仿宋_GB2312" w:eastAsia="仿宋_GB2312" w:cs="仿宋_GB2312"/>
          <w:snapToGrid w:val="0"/>
          <w:kern w:val="0"/>
          <w:sz w:val="24"/>
          <w:szCs w:val="24"/>
        </w:rPr>
      </w:pPr>
    </w:p>
    <w:p>
      <w:pPr>
        <w:adjustRightInd w:val="0"/>
        <w:snapToGrid w:val="0"/>
        <w:spacing w:line="360" w:lineRule="auto"/>
        <w:ind w:firstLine="480" w:firstLineChars="200"/>
        <w:rPr>
          <w:rFonts w:ascii="仿宋_GB2312" w:hAnsi="仿宋" w:eastAsia="仿宋_GB2312" w:cs="Times New Roman"/>
          <w:sz w:val="24"/>
          <w:szCs w:val="24"/>
        </w:rPr>
      </w:pPr>
    </w:p>
    <w:p>
      <w:pPr>
        <w:adjustRightInd w:val="0"/>
        <w:snapToGrid w:val="0"/>
        <w:spacing w:line="460" w:lineRule="exact"/>
        <w:ind w:firstLine="480" w:firstLineChars="200"/>
        <w:rPr>
          <w:rFonts w:ascii="仿宋_GB2312" w:hAnsi="宋体" w:eastAsia="仿宋_GB2312" w:cs="Arial"/>
          <w:snapToGrid w:val="0"/>
          <w:kern w:val="0"/>
          <w:sz w:val="24"/>
          <w:szCs w:val="24"/>
        </w:rPr>
      </w:pPr>
    </w:p>
    <w:p>
      <w:pPr>
        <w:widowControl/>
        <w:jc w:val="center"/>
        <w:rPr>
          <w:rFonts w:ascii="仿宋_GB2312" w:hAnsi="仿宋" w:eastAsia="仿宋_GB2312" w:cs="仿宋_GB2312"/>
          <w:b/>
          <w:sz w:val="36"/>
          <w:szCs w:val="36"/>
        </w:rPr>
      </w:pPr>
      <w:r>
        <w:rPr>
          <w:rFonts w:ascii="仿宋_GB2312" w:hAnsi="仿宋" w:eastAsia="仿宋_GB2312" w:cs="仿宋_GB2312"/>
          <w:b/>
          <w:sz w:val="36"/>
          <w:szCs w:val="36"/>
        </w:rPr>
        <w:br w:type="page"/>
      </w:r>
      <w:r>
        <w:rPr>
          <w:rFonts w:hint="eastAsia" w:ascii="仿宋_GB2312" w:hAnsi="仿宋" w:eastAsia="仿宋_GB2312" w:cs="仿宋_GB2312"/>
          <w:b/>
          <w:sz w:val="36"/>
          <w:szCs w:val="36"/>
        </w:rPr>
        <w:t xml:space="preserve">第四部分   </w:t>
      </w:r>
      <w:bookmarkStart w:id="547" w:name="_Toc184312138"/>
      <w:bookmarkEnd w:id="547"/>
      <w:bookmarkStart w:id="548" w:name="_Toc184314441"/>
      <w:bookmarkEnd w:id="548"/>
      <w:bookmarkStart w:id="549" w:name="_Toc184313258"/>
      <w:bookmarkEnd w:id="549"/>
      <w:bookmarkStart w:id="550" w:name="_Toc184308062"/>
      <w:bookmarkEnd w:id="550"/>
      <w:bookmarkStart w:id="551" w:name="_Toc184310317"/>
      <w:bookmarkEnd w:id="551"/>
      <w:bookmarkStart w:id="552" w:name="_Toc184313285"/>
      <w:bookmarkEnd w:id="552"/>
      <w:bookmarkStart w:id="553" w:name="_Toc184310309"/>
      <w:bookmarkEnd w:id="553"/>
      <w:bookmarkStart w:id="554" w:name="_Toc184308076"/>
      <w:bookmarkEnd w:id="554"/>
      <w:bookmarkStart w:id="555" w:name="_Toc184312134"/>
      <w:bookmarkEnd w:id="555"/>
      <w:bookmarkStart w:id="556" w:name="_Toc184313240"/>
      <w:bookmarkEnd w:id="556"/>
      <w:bookmarkStart w:id="557" w:name="_Toc184310298"/>
      <w:bookmarkEnd w:id="557"/>
      <w:bookmarkStart w:id="558" w:name="_Toc184312129"/>
      <w:bookmarkEnd w:id="558"/>
      <w:bookmarkStart w:id="559" w:name="_Toc184314415"/>
      <w:bookmarkEnd w:id="559"/>
      <w:bookmarkStart w:id="560" w:name="_Toc184310331"/>
      <w:bookmarkEnd w:id="560"/>
      <w:bookmarkStart w:id="561" w:name="_Toc184314479"/>
      <w:bookmarkEnd w:id="561"/>
      <w:bookmarkStart w:id="562" w:name="_Toc184313295"/>
      <w:bookmarkEnd w:id="562"/>
      <w:bookmarkStart w:id="563" w:name="_Toc184308043"/>
      <w:bookmarkEnd w:id="563"/>
      <w:bookmarkStart w:id="564" w:name="_Toc184310291"/>
      <w:bookmarkEnd w:id="564"/>
      <w:bookmarkStart w:id="565" w:name="_Toc184310343"/>
      <w:bookmarkEnd w:id="565"/>
      <w:bookmarkStart w:id="566" w:name="_Toc184314481"/>
      <w:bookmarkEnd w:id="566"/>
      <w:bookmarkStart w:id="567" w:name="_Toc184314434"/>
      <w:bookmarkEnd w:id="567"/>
      <w:bookmarkStart w:id="568" w:name="_Toc184312089"/>
      <w:bookmarkEnd w:id="568"/>
      <w:bookmarkStart w:id="569" w:name="_Toc184308060"/>
      <w:bookmarkEnd w:id="569"/>
      <w:bookmarkStart w:id="570" w:name="_Toc184308074"/>
      <w:bookmarkEnd w:id="570"/>
      <w:bookmarkStart w:id="571" w:name="_Toc184312110"/>
      <w:bookmarkEnd w:id="571"/>
      <w:bookmarkStart w:id="572" w:name="_Toc184310295"/>
      <w:bookmarkEnd w:id="572"/>
      <w:bookmarkStart w:id="573" w:name="_Toc184310277"/>
      <w:bookmarkEnd w:id="573"/>
      <w:bookmarkStart w:id="574" w:name="_Toc184308100"/>
      <w:bookmarkEnd w:id="574"/>
      <w:bookmarkStart w:id="575" w:name="_Toc184312070"/>
      <w:bookmarkEnd w:id="575"/>
      <w:bookmarkStart w:id="576" w:name="_Toc184314453"/>
      <w:bookmarkEnd w:id="576"/>
      <w:bookmarkStart w:id="577" w:name="_Toc184314454"/>
      <w:bookmarkEnd w:id="577"/>
      <w:bookmarkStart w:id="578" w:name="_Toc184314472"/>
      <w:bookmarkEnd w:id="578"/>
      <w:bookmarkStart w:id="579" w:name="_Toc184314457"/>
      <w:bookmarkEnd w:id="579"/>
      <w:bookmarkStart w:id="580" w:name="_Toc184308102"/>
      <w:bookmarkEnd w:id="580"/>
      <w:bookmarkStart w:id="581" w:name="_Toc184313299"/>
      <w:bookmarkEnd w:id="581"/>
      <w:bookmarkStart w:id="582" w:name="_Toc184314470"/>
      <w:bookmarkEnd w:id="582"/>
      <w:bookmarkStart w:id="583" w:name="_Toc184308038"/>
      <w:bookmarkEnd w:id="583"/>
      <w:bookmarkStart w:id="584" w:name="_Toc184314469"/>
      <w:bookmarkEnd w:id="584"/>
      <w:bookmarkStart w:id="585" w:name="_Toc184308090"/>
      <w:bookmarkEnd w:id="585"/>
      <w:bookmarkStart w:id="586" w:name="_Toc184314456"/>
      <w:bookmarkEnd w:id="586"/>
      <w:bookmarkStart w:id="587" w:name="_Toc184310287"/>
      <w:bookmarkEnd w:id="587"/>
      <w:bookmarkStart w:id="588" w:name="_Toc184313286"/>
      <w:bookmarkEnd w:id="588"/>
      <w:bookmarkStart w:id="589" w:name="_Toc184312098"/>
      <w:bookmarkEnd w:id="589"/>
      <w:bookmarkStart w:id="590" w:name="_Toc184314421"/>
      <w:bookmarkEnd w:id="590"/>
      <w:bookmarkStart w:id="591" w:name="_Toc184312084"/>
      <w:bookmarkEnd w:id="591"/>
      <w:bookmarkStart w:id="592" w:name="_Toc184308064"/>
      <w:bookmarkEnd w:id="592"/>
      <w:bookmarkStart w:id="593" w:name="_Toc184312086"/>
      <w:bookmarkEnd w:id="593"/>
      <w:bookmarkStart w:id="594" w:name="_Toc184308091"/>
      <w:bookmarkEnd w:id="594"/>
      <w:bookmarkStart w:id="595" w:name="_Toc184314473"/>
      <w:bookmarkEnd w:id="595"/>
      <w:bookmarkStart w:id="596" w:name="_Toc184310297"/>
      <w:bookmarkEnd w:id="596"/>
      <w:bookmarkStart w:id="597" w:name="_Toc184313260"/>
      <w:bookmarkEnd w:id="597"/>
      <w:bookmarkStart w:id="598" w:name="_Toc184314437"/>
      <w:bookmarkEnd w:id="598"/>
      <w:bookmarkStart w:id="599" w:name="_Toc184310274"/>
      <w:bookmarkEnd w:id="599"/>
      <w:bookmarkStart w:id="600" w:name="_Toc184308046"/>
      <w:bookmarkEnd w:id="600"/>
      <w:bookmarkStart w:id="601" w:name="_Toc184310315"/>
      <w:bookmarkEnd w:id="601"/>
      <w:bookmarkStart w:id="602" w:name="_Toc184313278"/>
      <w:bookmarkEnd w:id="602"/>
      <w:bookmarkStart w:id="603" w:name="_Toc184308094"/>
      <w:bookmarkEnd w:id="603"/>
      <w:bookmarkStart w:id="604" w:name="_Toc184313265"/>
      <w:bookmarkEnd w:id="604"/>
      <w:bookmarkStart w:id="605" w:name="_Toc184310282"/>
      <w:bookmarkEnd w:id="605"/>
      <w:bookmarkStart w:id="606" w:name="_Toc184313244"/>
      <w:bookmarkEnd w:id="606"/>
      <w:bookmarkStart w:id="607" w:name="_Toc184310285"/>
      <w:bookmarkEnd w:id="607"/>
      <w:bookmarkStart w:id="608" w:name="_Toc184308036"/>
      <w:bookmarkEnd w:id="608"/>
      <w:bookmarkStart w:id="609" w:name="_Toc184314451"/>
      <w:bookmarkEnd w:id="609"/>
      <w:bookmarkStart w:id="610" w:name="_Toc184314420"/>
      <w:bookmarkEnd w:id="610"/>
      <w:bookmarkStart w:id="611" w:name="_Toc184312073"/>
      <w:bookmarkEnd w:id="611"/>
      <w:bookmarkStart w:id="612" w:name="_Toc184313255"/>
      <w:bookmarkEnd w:id="612"/>
      <w:bookmarkStart w:id="613" w:name="_Toc184312122"/>
      <w:bookmarkEnd w:id="613"/>
      <w:bookmarkStart w:id="614" w:name="_Toc184310272"/>
      <w:bookmarkEnd w:id="614"/>
      <w:bookmarkStart w:id="615" w:name="_Toc184312115"/>
      <w:bookmarkEnd w:id="615"/>
      <w:bookmarkStart w:id="616" w:name="_Toc184313288"/>
      <w:bookmarkEnd w:id="616"/>
      <w:bookmarkStart w:id="617" w:name="_Toc184313251"/>
      <w:bookmarkEnd w:id="617"/>
      <w:bookmarkStart w:id="618" w:name="_Toc184308039"/>
      <w:bookmarkEnd w:id="618"/>
      <w:bookmarkStart w:id="619" w:name="_Toc184313267"/>
      <w:bookmarkEnd w:id="619"/>
      <w:bookmarkStart w:id="620" w:name="_Toc184314477"/>
      <w:bookmarkEnd w:id="620"/>
      <w:bookmarkStart w:id="621" w:name="_Toc184312130"/>
      <w:bookmarkEnd w:id="621"/>
      <w:bookmarkStart w:id="622" w:name="_Toc184314462"/>
      <w:bookmarkEnd w:id="622"/>
      <w:bookmarkStart w:id="623" w:name="_Toc184314435"/>
      <w:bookmarkEnd w:id="623"/>
      <w:bookmarkStart w:id="624" w:name="_Toc184314465"/>
      <w:bookmarkEnd w:id="624"/>
      <w:bookmarkStart w:id="625" w:name="_Toc184308051"/>
      <w:bookmarkEnd w:id="625"/>
      <w:bookmarkStart w:id="626" w:name="_Toc184308049"/>
      <w:bookmarkEnd w:id="626"/>
      <w:bookmarkStart w:id="627" w:name="_Toc184313304"/>
      <w:bookmarkEnd w:id="627"/>
      <w:bookmarkStart w:id="628" w:name="_Toc184313238"/>
      <w:bookmarkEnd w:id="628"/>
      <w:bookmarkStart w:id="629" w:name="_Toc184314446"/>
      <w:bookmarkEnd w:id="629"/>
      <w:bookmarkStart w:id="630" w:name="_Toc184312069"/>
      <w:bookmarkEnd w:id="630"/>
      <w:bookmarkStart w:id="631" w:name="_Toc184312116"/>
      <w:bookmarkEnd w:id="631"/>
      <w:bookmarkStart w:id="632" w:name="_Toc184308085"/>
      <w:bookmarkEnd w:id="632"/>
      <w:bookmarkStart w:id="633" w:name="_Toc184310294"/>
      <w:bookmarkEnd w:id="633"/>
      <w:bookmarkStart w:id="634" w:name="_Toc184308070"/>
      <w:bookmarkEnd w:id="634"/>
      <w:bookmarkStart w:id="635" w:name="_Toc184313269"/>
      <w:bookmarkEnd w:id="635"/>
      <w:bookmarkStart w:id="636" w:name="_Toc184310330"/>
      <w:bookmarkEnd w:id="636"/>
      <w:bookmarkStart w:id="637" w:name="_Toc184308057"/>
      <w:bookmarkEnd w:id="637"/>
      <w:bookmarkStart w:id="638" w:name="_Toc184312117"/>
      <w:bookmarkEnd w:id="638"/>
      <w:bookmarkStart w:id="639" w:name="_Toc184312121"/>
      <w:bookmarkEnd w:id="639"/>
      <w:bookmarkStart w:id="640" w:name="_Toc184313309"/>
      <w:bookmarkEnd w:id="640"/>
      <w:bookmarkStart w:id="641" w:name="_Toc184310275"/>
      <w:bookmarkEnd w:id="641"/>
      <w:bookmarkStart w:id="642" w:name="_Toc184308093"/>
      <w:bookmarkEnd w:id="642"/>
      <w:bookmarkStart w:id="643" w:name="_Toc184313296"/>
      <w:bookmarkEnd w:id="643"/>
      <w:bookmarkStart w:id="644" w:name="_Toc184308103"/>
      <w:bookmarkEnd w:id="644"/>
      <w:bookmarkStart w:id="645" w:name="_Toc184308082"/>
      <w:bookmarkEnd w:id="645"/>
      <w:bookmarkStart w:id="646" w:name="_Toc184313246"/>
      <w:bookmarkEnd w:id="646"/>
      <w:bookmarkStart w:id="647" w:name="_Toc184308073"/>
      <w:bookmarkEnd w:id="647"/>
      <w:bookmarkStart w:id="648" w:name="_Toc184314417"/>
      <w:bookmarkEnd w:id="648"/>
      <w:bookmarkStart w:id="649" w:name="_Toc184312106"/>
      <w:bookmarkEnd w:id="649"/>
      <w:bookmarkStart w:id="650" w:name="_Toc184310318"/>
      <w:bookmarkEnd w:id="650"/>
      <w:bookmarkStart w:id="651" w:name="_Toc184308050"/>
      <w:bookmarkEnd w:id="651"/>
      <w:bookmarkStart w:id="652" w:name="_Toc184314448"/>
      <w:bookmarkEnd w:id="652"/>
      <w:bookmarkStart w:id="653" w:name="_Toc184313274"/>
      <w:bookmarkEnd w:id="653"/>
      <w:bookmarkStart w:id="654" w:name="_Toc184312067"/>
      <w:bookmarkEnd w:id="654"/>
      <w:bookmarkStart w:id="655" w:name="_Toc184308081"/>
      <w:bookmarkEnd w:id="655"/>
      <w:bookmarkStart w:id="656" w:name="_Toc184310308"/>
      <w:bookmarkEnd w:id="656"/>
      <w:bookmarkStart w:id="657" w:name="_Toc184314445"/>
      <w:bookmarkEnd w:id="657"/>
      <w:bookmarkStart w:id="658" w:name="_Toc184312133"/>
      <w:bookmarkEnd w:id="658"/>
      <w:bookmarkStart w:id="659" w:name="_Toc184308047"/>
      <w:bookmarkEnd w:id="659"/>
      <w:bookmarkStart w:id="660" w:name="_Toc184308096"/>
      <w:bookmarkEnd w:id="660"/>
      <w:bookmarkStart w:id="661" w:name="_Toc184310325"/>
      <w:bookmarkEnd w:id="661"/>
      <w:bookmarkStart w:id="662" w:name="_Toc184314433"/>
      <w:bookmarkEnd w:id="662"/>
      <w:bookmarkStart w:id="663" w:name="_Toc184313268"/>
      <w:bookmarkEnd w:id="663"/>
      <w:bookmarkStart w:id="664" w:name="_Toc184310335"/>
      <w:bookmarkEnd w:id="664"/>
      <w:bookmarkStart w:id="665" w:name="_Toc184308055"/>
      <w:bookmarkEnd w:id="665"/>
      <w:bookmarkStart w:id="666" w:name="_Toc184310333"/>
      <w:bookmarkEnd w:id="666"/>
      <w:bookmarkStart w:id="667" w:name="_Toc184314438"/>
      <w:bookmarkEnd w:id="667"/>
      <w:bookmarkStart w:id="668" w:name="_Toc184314440"/>
      <w:bookmarkEnd w:id="668"/>
      <w:bookmarkStart w:id="669" w:name="_Toc184314460"/>
      <w:bookmarkEnd w:id="669"/>
      <w:bookmarkStart w:id="670" w:name="_Toc184310289"/>
      <w:bookmarkEnd w:id="670"/>
      <w:bookmarkStart w:id="671" w:name="_Toc184313292"/>
      <w:bookmarkEnd w:id="671"/>
      <w:bookmarkStart w:id="672" w:name="_Toc184313289"/>
      <w:bookmarkEnd w:id="672"/>
      <w:bookmarkStart w:id="673" w:name="_Toc184312124"/>
      <w:bookmarkEnd w:id="673"/>
      <w:bookmarkStart w:id="674" w:name="_Toc184313279"/>
      <w:bookmarkEnd w:id="674"/>
      <w:bookmarkStart w:id="675" w:name="_Toc184310339"/>
      <w:bookmarkEnd w:id="675"/>
      <w:bookmarkStart w:id="676" w:name="_Toc184308101"/>
      <w:bookmarkEnd w:id="676"/>
      <w:bookmarkStart w:id="677" w:name="_Toc184313239"/>
      <w:bookmarkEnd w:id="677"/>
      <w:bookmarkStart w:id="678" w:name="_Toc184308106"/>
      <w:bookmarkEnd w:id="678"/>
      <w:bookmarkStart w:id="679" w:name="_Toc184314419"/>
      <w:bookmarkEnd w:id="679"/>
      <w:bookmarkStart w:id="680" w:name="_Toc184313261"/>
      <w:bookmarkEnd w:id="680"/>
      <w:bookmarkStart w:id="681" w:name="_Toc184313302"/>
      <w:bookmarkEnd w:id="681"/>
      <w:bookmarkStart w:id="682" w:name="_Toc184314439"/>
      <w:bookmarkEnd w:id="682"/>
      <w:bookmarkStart w:id="683" w:name="_Toc184310319"/>
      <w:bookmarkEnd w:id="683"/>
      <w:bookmarkStart w:id="684" w:name="_Toc184314458"/>
      <w:bookmarkEnd w:id="684"/>
      <w:bookmarkStart w:id="685" w:name="_Toc184310337"/>
      <w:bookmarkEnd w:id="685"/>
      <w:bookmarkStart w:id="686" w:name="_Toc184310299"/>
      <w:bookmarkEnd w:id="686"/>
      <w:bookmarkStart w:id="687" w:name="_Toc184312088"/>
      <w:bookmarkEnd w:id="687"/>
      <w:bookmarkStart w:id="688" w:name="_Toc184308067"/>
      <w:bookmarkEnd w:id="688"/>
      <w:bookmarkStart w:id="689" w:name="_Toc184313262"/>
      <w:bookmarkEnd w:id="689"/>
      <w:bookmarkStart w:id="690" w:name="_Toc184312112"/>
      <w:bookmarkEnd w:id="690"/>
      <w:bookmarkStart w:id="691" w:name="_Toc184313272"/>
      <w:bookmarkEnd w:id="691"/>
      <w:bookmarkStart w:id="692" w:name="_Toc184312113"/>
      <w:bookmarkEnd w:id="692"/>
      <w:bookmarkStart w:id="693" w:name="_Toc184308059"/>
      <w:bookmarkEnd w:id="693"/>
      <w:bookmarkStart w:id="694" w:name="_Toc184312135"/>
      <w:bookmarkEnd w:id="694"/>
      <w:bookmarkStart w:id="695" w:name="_Toc184314461"/>
      <w:bookmarkEnd w:id="695"/>
      <w:bookmarkStart w:id="696" w:name="_Toc184308072"/>
      <w:bookmarkEnd w:id="696"/>
      <w:bookmarkStart w:id="697" w:name="_Toc184310300"/>
      <w:bookmarkEnd w:id="697"/>
      <w:bookmarkStart w:id="698" w:name="_Toc184313297"/>
      <w:bookmarkEnd w:id="698"/>
      <w:bookmarkStart w:id="699" w:name="_Toc184308044"/>
      <w:bookmarkEnd w:id="699"/>
      <w:bookmarkStart w:id="700" w:name="_Toc184312126"/>
      <w:bookmarkEnd w:id="700"/>
      <w:bookmarkStart w:id="701" w:name="_Toc184313301"/>
      <w:bookmarkEnd w:id="701"/>
      <w:bookmarkStart w:id="702" w:name="_Toc184313306"/>
      <w:bookmarkEnd w:id="702"/>
      <w:bookmarkStart w:id="703" w:name="_Toc184314413"/>
      <w:bookmarkEnd w:id="703"/>
      <w:bookmarkStart w:id="704" w:name="_Toc184310332"/>
      <w:bookmarkEnd w:id="704"/>
      <w:bookmarkStart w:id="705" w:name="_Toc184312093"/>
      <w:bookmarkEnd w:id="705"/>
      <w:bookmarkStart w:id="706" w:name="_Toc184313300"/>
      <w:bookmarkEnd w:id="706"/>
      <w:bookmarkStart w:id="707" w:name="_Toc184314478"/>
      <w:bookmarkEnd w:id="707"/>
      <w:bookmarkStart w:id="708" w:name="_Toc184312099"/>
      <w:bookmarkEnd w:id="708"/>
      <w:bookmarkStart w:id="709" w:name="_Toc184313257"/>
      <w:bookmarkEnd w:id="709"/>
      <w:bookmarkStart w:id="710" w:name="_Toc184310336"/>
      <w:bookmarkEnd w:id="710"/>
      <w:bookmarkStart w:id="711" w:name="_Toc184313291"/>
      <w:bookmarkEnd w:id="711"/>
      <w:bookmarkStart w:id="712" w:name="_Toc184308105"/>
      <w:bookmarkEnd w:id="712"/>
      <w:bookmarkStart w:id="713" w:name="_Toc184313242"/>
      <w:bookmarkEnd w:id="713"/>
      <w:bookmarkStart w:id="714" w:name="_Toc184312100"/>
      <w:bookmarkEnd w:id="714"/>
      <w:bookmarkStart w:id="715" w:name="_Toc184312107"/>
      <w:bookmarkEnd w:id="715"/>
      <w:bookmarkStart w:id="716" w:name="_Toc184312078"/>
      <w:bookmarkEnd w:id="716"/>
      <w:bookmarkStart w:id="717" w:name="_Toc184314482"/>
      <w:bookmarkEnd w:id="717"/>
      <w:bookmarkStart w:id="718" w:name="_Toc184308066"/>
      <w:bookmarkEnd w:id="718"/>
      <w:bookmarkStart w:id="719" w:name="_Toc184310281"/>
      <w:bookmarkEnd w:id="719"/>
      <w:bookmarkStart w:id="720" w:name="_Toc184312082"/>
      <w:bookmarkEnd w:id="720"/>
      <w:bookmarkStart w:id="721" w:name="_Toc184308107"/>
      <w:bookmarkEnd w:id="721"/>
      <w:bookmarkStart w:id="722" w:name="_Toc184312074"/>
      <w:bookmarkEnd w:id="722"/>
      <w:bookmarkStart w:id="723" w:name="_Toc184312087"/>
      <w:bookmarkEnd w:id="723"/>
      <w:bookmarkStart w:id="724" w:name="_Toc184310324"/>
      <w:bookmarkEnd w:id="724"/>
      <w:bookmarkStart w:id="725" w:name="_Toc184314467"/>
      <w:bookmarkEnd w:id="725"/>
      <w:bookmarkStart w:id="726" w:name="_Toc184312077"/>
      <w:bookmarkEnd w:id="726"/>
      <w:bookmarkStart w:id="727" w:name="_Toc184310307"/>
      <w:bookmarkEnd w:id="727"/>
      <w:bookmarkStart w:id="728" w:name="_Toc184313259"/>
      <w:bookmarkEnd w:id="728"/>
      <w:bookmarkStart w:id="729" w:name="_Toc184308086"/>
      <w:bookmarkEnd w:id="729"/>
      <w:bookmarkStart w:id="730" w:name="_Toc184314468"/>
      <w:bookmarkEnd w:id="730"/>
      <w:bookmarkStart w:id="731" w:name="_Toc184313307"/>
      <w:bookmarkEnd w:id="731"/>
      <w:bookmarkStart w:id="732" w:name="_Toc184308099"/>
      <w:bookmarkEnd w:id="732"/>
      <w:bookmarkStart w:id="733" w:name="_Toc184308080"/>
      <w:bookmarkEnd w:id="733"/>
      <w:bookmarkStart w:id="734" w:name="_Toc184310306"/>
      <w:bookmarkEnd w:id="734"/>
      <w:bookmarkStart w:id="735" w:name="_Toc184314432"/>
      <w:bookmarkEnd w:id="735"/>
      <w:bookmarkStart w:id="736" w:name="_Toc184308104"/>
      <w:bookmarkEnd w:id="736"/>
      <w:bookmarkStart w:id="737" w:name="_Toc184310296"/>
      <w:bookmarkEnd w:id="737"/>
      <w:bookmarkStart w:id="738" w:name="_Toc184310322"/>
      <w:bookmarkEnd w:id="738"/>
      <w:bookmarkStart w:id="739" w:name="_Toc184313245"/>
      <w:bookmarkEnd w:id="739"/>
      <w:bookmarkStart w:id="740" w:name="_Toc184312096"/>
      <w:bookmarkEnd w:id="740"/>
      <w:bookmarkStart w:id="741" w:name="_Toc184312101"/>
      <w:bookmarkEnd w:id="741"/>
      <w:bookmarkStart w:id="742" w:name="_Toc184310288"/>
      <w:bookmarkEnd w:id="742"/>
      <w:bookmarkStart w:id="743" w:name="_Toc184312095"/>
      <w:bookmarkEnd w:id="743"/>
      <w:bookmarkStart w:id="744" w:name="_Toc184308071"/>
      <w:bookmarkEnd w:id="744"/>
      <w:bookmarkStart w:id="745" w:name="_Toc184310320"/>
      <w:bookmarkEnd w:id="745"/>
      <w:bookmarkStart w:id="746" w:name="_Toc184310338"/>
      <w:bookmarkEnd w:id="746"/>
      <w:bookmarkStart w:id="747" w:name="_Toc184313305"/>
      <w:bookmarkEnd w:id="747"/>
      <w:bookmarkStart w:id="748" w:name="_Toc184308063"/>
      <w:bookmarkEnd w:id="748"/>
      <w:bookmarkStart w:id="749" w:name="_Toc184313270"/>
      <w:bookmarkEnd w:id="749"/>
      <w:bookmarkStart w:id="750" w:name="_Toc184314416"/>
      <w:bookmarkEnd w:id="750"/>
      <w:bookmarkStart w:id="751" w:name="_Toc184314443"/>
      <w:bookmarkEnd w:id="751"/>
      <w:bookmarkStart w:id="752" w:name="_Toc184308068"/>
      <w:bookmarkEnd w:id="752"/>
      <w:bookmarkStart w:id="753" w:name="_Toc184312132"/>
      <w:bookmarkEnd w:id="753"/>
      <w:bookmarkStart w:id="754" w:name="_Toc184313249"/>
      <w:bookmarkEnd w:id="754"/>
      <w:bookmarkStart w:id="755" w:name="_Toc184312119"/>
      <w:bookmarkEnd w:id="755"/>
      <w:bookmarkStart w:id="756" w:name="_Toc184310314"/>
      <w:bookmarkEnd w:id="756"/>
      <w:bookmarkStart w:id="757" w:name="_Toc184312139"/>
      <w:bookmarkEnd w:id="757"/>
      <w:bookmarkStart w:id="758" w:name="_Toc184312120"/>
      <w:bookmarkEnd w:id="758"/>
      <w:bookmarkStart w:id="759" w:name="_Toc184308108"/>
      <w:bookmarkEnd w:id="759"/>
      <w:bookmarkStart w:id="760" w:name="_Toc184308054"/>
      <w:bookmarkEnd w:id="760"/>
      <w:bookmarkStart w:id="761" w:name="_Toc184312118"/>
      <w:bookmarkEnd w:id="761"/>
      <w:bookmarkStart w:id="762" w:name="_Toc184308088"/>
      <w:bookmarkEnd w:id="762"/>
      <w:bookmarkStart w:id="763" w:name="_Toc184312094"/>
      <w:bookmarkEnd w:id="763"/>
      <w:bookmarkStart w:id="764" w:name="_Toc184313247"/>
      <w:bookmarkEnd w:id="764"/>
      <w:bookmarkStart w:id="765" w:name="_Toc184313273"/>
      <w:bookmarkEnd w:id="765"/>
      <w:bookmarkStart w:id="766" w:name="_Toc184313293"/>
      <w:bookmarkEnd w:id="766"/>
      <w:bookmarkStart w:id="767" w:name="_Toc184314422"/>
      <w:bookmarkEnd w:id="767"/>
      <w:bookmarkStart w:id="768" w:name="_Toc184310273"/>
      <w:bookmarkEnd w:id="768"/>
      <w:bookmarkStart w:id="769" w:name="_Toc184314471"/>
      <w:bookmarkEnd w:id="769"/>
      <w:bookmarkStart w:id="770" w:name="_Toc184310290"/>
      <w:bookmarkEnd w:id="770"/>
      <w:bookmarkStart w:id="771" w:name="_Toc184312108"/>
      <w:bookmarkEnd w:id="771"/>
      <w:bookmarkStart w:id="772" w:name="_Toc184314427"/>
      <w:bookmarkEnd w:id="772"/>
      <w:bookmarkStart w:id="773" w:name="_Toc184312125"/>
      <w:bookmarkEnd w:id="773"/>
      <w:bookmarkStart w:id="774" w:name="_Toc184310292"/>
      <w:bookmarkEnd w:id="774"/>
      <w:bookmarkStart w:id="775" w:name="_Toc184310280"/>
      <w:bookmarkEnd w:id="775"/>
      <w:bookmarkStart w:id="776" w:name="_Toc184314431"/>
      <w:bookmarkEnd w:id="776"/>
      <w:bookmarkStart w:id="777" w:name="_Toc184313275"/>
      <w:bookmarkEnd w:id="777"/>
      <w:bookmarkStart w:id="778" w:name="_Toc184310279"/>
      <w:bookmarkEnd w:id="778"/>
      <w:bookmarkStart w:id="779" w:name="_Toc184314450"/>
      <w:bookmarkEnd w:id="779"/>
      <w:bookmarkStart w:id="780" w:name="_Toc184313243"/>
      <w:bookmarkEnd w:id="780"/>
      <w:bookmarkStart w:id="781" w:name="_Toc184314475"/>
      <w:bookmarkEnd w:id="781"/>
      <w:bookmarkStart w:id="782" w:name="_Toc184312105"/>
      <w:bookmarkEnd w:id="782"/>
      <w:bookmarkStart w:id="783" w:name="_Toc184313282"/>
      <w:bookmarkEnd w:id="783"/>
      <w:bookmarkStart w:id="784" w:name="_Toc184308052"/>
      <w:bookmarkEnd w:id="784"/>
      <w:bookmarkStart w:id="785" w:name="_Toc184314444"/>
      <w:bookmarkEnd w:id="785"/>
      <w:bookmarkStart w:id="786" w:name="_Toc184308092"/>
      <w:bookmarkEnd w:id="786"/>
      <w:bookmarkStart w:id="787" w:name="_Toc184310342"/>
      <w:bookmarkEnd w:id="787"/>
      <w:bookmarkStart w:id="788" w:name="_Toc184310286"/>
      <w:bookmarkEnd w:id="788"/>
      <w:bookmarkStart w:id="789" w:name="_Toc184313253"/>
      <w:bookmarkEnd w:id="789"/>
      <w:bookmarkStart w:id="790" w:name="_Toc184308061"/>
      <w:bookmarkEnd w:id="790"/>
      <w:bookmarkStart w:id="791" w:name="_Toc184314425"/>
      <w:bookmarkEnd w:id="791"/>
      <w:bookmarkStart w:id="792" w:name="_Toc184313303"/>
      <w:bookmarkEnd w:id="792"/>
      <w:bookmarkStart w:id="793" w:name="_Toc184308048"/>
      <w:bookmarkEnd w:id="793"/>
      <w:bookmarkStart w:id="794" w:name="_Toc184314463"/>
      <w:bookmarkEnd w:id="794"/>
      <w:bookmarkStart w:id="795" w:name="_Toc184310340"/>
      <w:bookmarkEnd w:id="795"/>
      <w:bookmarkStart w:id="796" w:name="_Toc184313308"/>
      <w:bookmarkEnd w:id="796"/>
      <w:bookmarkStart w:id="797" w:name="_Toc184314436"/>
      <w:bookmarkEnd w:id="797"/>
      <w:bookmarkStart w:id="798" w:name="_Toc184308065"/>
      <w:bookmarkEnd w:id="798"/>
      <w:bookmarkStart w:id="799" w:name="_Toc184313290"/>
      <w:bookmarkEnd w:id="799"/>
      <w:bookmarkStart w:id="800" w:name="_Toc184310323"/>
      <w:bookmarkEnd w:id="800"/>
      <w:bookmarkStart w:id="801" w:name="_Toc184314455"/>
      <w:bookmarkEnd w:id="801"/>
      <w:bookmarkStart w:id="802" w:name="_Toc184310341"/>
      <w:bookmarkEnd w:id="802"/>
      <w:bookmarkStart w:id="803" w:name="_Toc184313250"/>
      <w:bookmarkEnd w:id="803"/>
      <w:bookmarkStart w:id="804" w:name="_Toc184314424"/>
      <w:bookmarkEnd w:id="804"/>
      <w:bookmarkStart w:id="805" w:name="_Toc184314474"/>
      <w:bookmarkEnd w:id="805"/>
      <w:bookmarkStart w:id="806" w:name="_Toc184314452"/>
      <w:bookmarkEnd w:id="806"/>
      <w:bookmarkStart w:id="807" w:name="_Toc184313287"/>
      <w:bookmarkEnd w:id="807"/>
      <w:bookmarkStart w:id="808" w:name="_Toc184308083"/>
      <w:bookmarkEnd w:id="808"/>
      <w:bookmarkStart w:id="809" w:name="_Toc184313276"/>
      <w:bookmarkEnd w:id="809"/>
      <w:bookmarkStart w:id="810" w:name="_Toc184313294"/>
      <w:bookmarkEnd w:id="810"/>
      <w:bookmarkStart w:id="811" w:name="_Toc184314466"/>
      <w:bookmarkEnd w:id="811"/>
      <w:bookmarkStart w:id="812" w:name="_Toc184310313"/>
      <w:bookmarkEnd w:id="812"/>
      <w:bookmarkStart w:id="813" w:name="_Toc184308053"/>
      <w:bookmarkEnd w:id="813"/>
      <w:bookmarkStart w:id="814" w:name="_Toc184312102"/>
      <w:bookmarkEnd w:id="814"/>
      <w:bookmarkStart w:id="815" w:name="_Toc184310327"/>
      <w:bookmarkEnd w:id="815"/>
      <w:bookmarkStart w:id="816" w:name="_Toc184314412"/>
      <w:bookmarkEnd w:id="816"/>
      <w:bookmarkStart w:id="817" w:name="_Toc184308056"/>
      <w:bookmarkEnd w:id="817"/>
      <w:bookmarkStart w:id="818" w:name="_Toc184310284"/>
      <w:bookmarkEnd w:id="818"/>
      <w:bookmarkStart w:id="819" w:name="_Toc184310276"/>
      <w:bookmarkEnd w:id="819"/>
      <w:bookmarkStart w:id="820" w:name="_Toc184310311"/>
      <w:bookmarkEnd w:id="820"/>
      <w:bookmarkStart w:id="821" w:name="_Toc184312085"/>
      <w:bookmarkEnd w:id="821"/>
      <w:bookmarkStart w:id="822" w:name="_Toc184313263"/>
      <w:bookmarkEnd w:id="822"/>
      <w:bookmarkStart w:id="823" w:name="_Toc184314429"/>
      <w:bookmarkEnd w:id="823"/>
      <w:bookmarkStart w:id="824" w:name="_Toc184308087"/>
      <w:bookmarkEnd w:id="824"/>
      <w:bookmarkStart w:id="825" w:name="_Toc184312075"/>
      <w:bookmarkEnd w:id="825"/>
      <w:bookmarkStart w:id="826" w:name="_Toc184314464"/>
      <w:bookmarkEnd w:id="826"/>
      <w:bookmarkStart w:id="827" w:name="_Toc184312080"/>
      <w:bookmarkEnd w:id="827"/>
      <w:bookmarkStart w:id="828" w:name="_Toc184310321"/>
      <w:bookmarkEnd w:id="828"/>
      <w:bookmarkStart w:id="829" w:name="_Toc184310334"/>
      <w:bookmarkEnd w:id="829"/>
      <w:bookmarkStart w:id="830" w:name="_Toc184314476"/>
      <w:bookmarkEnd w:id="830"/>
      <w:bookmarkStart w:id="831" w:name="_Toc184314410"/>
      <w:bookmarkEnd w:id="831"/>
      <w:bookmarkStart w:id="832" w:name="_Toc184312079"/>
      <w:bookmarkEnd w:id="832"/>
      <w:bookmarkStart w:id="833" w:name="_Toc184312092"/>
      <w:bookmarkEnd w:id="833"/>
      <w:bookmarkStart w:id="834" w:name="_Toc184310283"/>
      <w:bookmarkEnd w:id="834"/>
      <w:bookmarkStart w:id="835" w:name="_Toc184313277"/>
      <w:bookmarkEnd w:id="835"/>
      <w:bookmarkStart w:id="836" w:name="_Toc184314459"/>
      <w:bookmarkEnd w:id="836"/>
      <w:bookmarkStart w:id="837" w:name="_Toc184314411"/>
      <w:bookmarkEnd w:id="837"/>
      <w:bookmarkStart w:id="838" w:name="_Toc184312081"/>
      <w:bookmarkEnd w:id="838"/>
      <w:bookmarkStart w:id="839" w:name="_Toc184312104"/>
      <w:bookmarkEnd w:id="839"/>
      <w:bookmarkStart w:id="840" w:name="_Toc184310304"/>
      <w:bookmarkEnd w:id="840"/>
      <w:bookmarkStart w:id="841" w:name="_Toc184312136"/>
      <w:bookmarkEnd w:id="841"/>
      <w:bookmarkStart w:id="842" w:name="_Toc184312128"/>
      <w:bookmarkEnd w:id="842"/>
      <w:bookmarkStart w:id="843" w:name="_Toc184310303"/>
      <w:bookmarkEnd w:id="843"/>
      <w:bookmarkStart w:id="844" w:name="_Toc184312103"/>
      <w:bookmarkEnd w:id="844"/>
      <w:bookmarkStart w:id="845" w:name="_Toc184310305"/>
      <w:bookmarkEnd w:id="845"/>
      <w:bookmarkStart w:id="846" w:name="_Toc184312071"/>
      <w:bookmarkEnd w:id="846"/>
      <w:bookmarkStart w:id="847" w:name="_Toc184310344"/>
      <w:bookmarkEnd w:id="847"/>
      <w:bookmarkStart w:id="848" w:name="_Toc184313283"/>
      <w:bookmarkEnd w:id="848"/>
      <w:bookmarkStart w:id="849" w:name="_Toc184308037"/>
      <w:bookmarkEnd w:id="849"/>
      <w:bookmarkStart w:id="850" w:name="_Toc184313281"/>
      <w:bookmarkEnd w:id="850"/>
      <w:bookmarkStart w:id="851" w:name="_Toc184313256"/>
      <w:bookmarkEnd w:id="851"/>
      <w:bookmarkStart w:id="852" w:name="_Toc184308058"/>
      <w:bookmarkEnd w:id="852"/>
      <w:bookmarkStart w:id="853" w:name="_Toc184310293"/>
      <w:bookmarkEnd w:id="853"/>
      <w:bookmarkStart w:id="854" w:name="_Toc184313280"/>
      <w:bookmarkEnd w:id="854"/>
      <w:bookmarkStart w:id="855" w:name="_Toc184310302"/>
      <w:bookmarkEnd w:id="855"/>
      <w:bookmarkStart w:id="856" w:name="_Toc184312123"/>
      <w:bookmarkEnd w:id="856"/>
      <w:bookmarkStart w:id="857" w:name="_Toc184312091"/>
      <w:bookmarkEnd w:id="857"/>
      <w:bookmarkStart w:id="858" w:name="_Toc184310328"/>
      <w:bookmarkEnd w:id="858"/>
      <w:bookmarkStart w:id="859" w:name="_Toc184314428"/>
      <w:bookmarkEnd w:id="859"/>
      <w:bookmarkStart w:id="860" w:name="_Toc184308045"/>
      <w:bookmarkEnd w:id="860"/>
      <w:bookmarkStart w:id="861" w:name="_Toc184313248"/>
      <w:bookmarkEnd w:id="861"/>
      <w:bookmarkStart w:id="862" w:name="_Toc184308097"/>
      <w:bookmarkEnd w:id="862"/>
      <w:bookmarkStart w:id="863" w:name="_Toc184310316"/>
      <w:bookmarkEnd w:id="863"/>
      <w:bookmarkStart w:id="864" w:name="_Toc184312137"/>
      <w:bookmarkEnd w:id="864"/>
      <w:bookmarkStart w:id="865" w:name="_Toc184308084"/>
      <w:bookmarkEnd w:id="865"/>
      <w:bookmarkStart w:id="866" w:name="_Toc184312127"/>
      <w:bookmarkEnd w:id="866"/>
      <w:bookmarkStart w:id="867" w:name="_Toc184314423"/>
      <w:bookmarkEnd w:id="867"/>
      <w:bookmarkStart w:id="868" w:name="_Toc184313266"/>
      <w:bookmarkEnd w:id="868"/>
      <w:bookmarkStart w:id="869" w:name="_Toc184314480"/>
      <w:bookmarkEnd w:id="869"/>
      <w:bookmarkStart w:id="870" w:name="_Toc184312114"/>
      <w:bookmarkEnd w:id="870"/>
      <w:bookmarkStart w:id="871" w:name="_Toc184308079"/>
      <w:bookmarkEnd w:id="871"/>
      <w:bookmarkStart w:id="872" w:name="_Toc184308077"/>
      <w:bookmarkEnd w:id="872"/>
      <w:bookmarkStart w:id="873" w:name="_Toc184314430"/>
      <w:bookmarkEnd w:id="873"/>
      <w:bookmarkStart w:id="874" w:name="_Toc184313284"/>
      <w:bookmarkEnd w:id="874"/>
      <w:bookmarkStart w:id="875" w:name="_Toc184312083"/>
      <w:bookmarkEnd w:id="875"/>
      <w:bookmarkStart w:id="876" w:name="_Toc184312068"/>
      <w:bookmarkEnd w:id="876"/>
      <w:bookmarkStart w:id="877" w:name="_Toc184312111"/>
      <w:bookmarkEnd w:id="877"/>
      <w:bookmarkStart w:id="878" w:name="_Toc184308040"/>
      <w:bookmarkEnd w:id="878"/>
      <w:bookmarkStart w:id="879" w:name="_Toc184308078"/>
      <w:bookmarkEnd w:id="879"/>
      <w:bookmarkStart w:id="880" w:name="_Toc184313252"/>
      <w:bookmarkEnd w:id="880"/>
      <w:bookmarkStart w:id="881" w:name="_Toc184312097"/>
      <w:bookmarkEnd w:id="881"/>
      <w:bookmarkStart w:id="882" w:name="_Toc184313264"/>
      <w:bookmarkEnd w:id="882"/>
      <w:bookmarkStart w:id="883" w:name="_Toc184314426"/>
      <w:bookmarkEnd w:id="883"/>
      <w:bookmarkStart w:id="884" w:name="_Toc184312090"/>
      <w:bookmarkEnd w:id="884"/>
      <w:bookmarkStart w:id="885" w:name="_Toc184313271"/>
      <w:bookmarkEnd w:id="885"/>
      <w:bookmarkStart w:id="886" w:name="_Toc184308069"/>
      <w:bookmarkEnd w:id="886"/>
      <w:bookmarkStart w:id="887" w:name="_Toc184312109"/>
      <w:bookmarkEnd w:id="887"/>
      <w:bookmarkStart w:id="888" w:name="_Toc184310326"/>
      <w:bookmarkEnd w:id="888"/>
      <w:bookmarkStart w:id="889" w:name="_Toc184310310"/>
      <w:bookmarkEnd w:id="889"/>
      <w:bookmarkStart w:id="890" w:name="_Toc184313310"/>
      <w:bookmarkEnd w:id="890"/>
      <w:bookmarkStart w:id="891" w:name="_Toc184314447"/>
      <w:bookmarkEnd w:id="891"/>
      <w:bookmarkStart w:id="892" w:name="_Toc184313241"/>
      <w:bookmarkEnd w:id="892"/>
      <w:bookmarkStart w:id="893" w:name="_Toc184310329"/>
      <w:bookmarkEnd w:id="893"/>
      <w:bookmarkStart w:id="894" w:name="_Toc184314449"/>
      <w:bookmarkEnd w:id="894"/>
      <w:bookmarkStart w:id="895" w:name="_Toc184308075"/>
      <w:bookmarkEnd w:id="895"/>
      <w:bookmarkStart w:id="896" w:name="_Toc184308095"/>
      <w:bookmarkEnd w:id="896"/>
      <w:bookmarkStart w:id="897" w:name="_Toc184312076"/>
      <w:bookmarkEnd w:id="897"/>
      <w:bookmarkStart w:id="898" w:name="_Toc184310312"/>
      <w:bookmarkEnd w:id="898"/>
      <w:bookmarkStart w:id="899" w:name="_Toc184314442"/>
      <w:bookmarkEnd w:id="899"/>
      <w:bookmarkStart w:id="900" w:name="_Toc184314414"/>
      <w:bookmarkEnd w:id="900"/>
      <w:bookmarkStart w:id="901" w:name="_Toc184313298"/>
      <w:bookmarkEnd w:id="901"/>
      <w:bookmarkStart w:id="902" w:name="_Toc184312072"/>
      <w:bookmarkEnd w:id="902"/>
      <w:bookmarkStart w:id="903" w:name="_Toc184308089"/>
      <w:bookmarkEnd w:id="903"/>
      <w:bookmarkStart w:id="904" w:name="_Toc184310278"/>
      <w:bookmarkEnd w:id="904"/>
      <w:bookmarkStart w:id="905" w:name="_Toc184308042"/>
      <w:bookmarkEnd w:id="905"/>
      <w:bookmarkStart w:id="906" w:name="_Toc184310301"/>
      <w:bookmarkEnd w:id="906"/>
      <w:bookmarkStart w:id="907" w:name="_Toc184312131"/>
      <w:bookmarkEnd w:id="907"/>
      <w:bookmarkStart w:id="908" w:name="_Toc184308041"/>
      <w:bookmarkEnd w:id="908"/>
      <w:bookmarkStart w:id="909" w:name="_Toc184314418"/>
      <w:bookmarkEnd w:id="909"/>
      <w:bookmarkStart w:id="910" w:name="_Toc184313254"/>
      <w:bookmarkEnd w:id="910"/>
      <w:bookmarkStart w:id="911" w:name="_Toc184308098"/>
      <w:bookmarkEnd w:id="911"/>
      <w:r>
        <w:rPr>
          <w:rFonts w:hint="eastAsia" w:ascii="仿宋_GB2312" w:hAnsi="仿宋" w:eastAsia="仿宋_GB2312" w:cs="仿宋_GB2312"/>
          <w:b/>
          <w:sz w:val="36"/>
          <w:szCs w:val="36"/>
        </w:rPr>
        <w:t>评标方法及评分标准</w:t>
      </w:r>
    </w:p>
    <w:p>
      <w:pPr>
        <w:adjustRightInd w:val="0"/>
        <w:snapToGrid w:val="0"/>
        <w:spacing w:line="360" w:lineRule="auto"/>
        <w:jc w:val="center"/>
        <w:rPr>
          <w:rFonts w:ascii="仿宋_GB2312" w:hAnsi="仿宋" w:eastAsia="仿宋_GB2312" w:cs="Times New Roman"/>
          <w:b/>
          <w:sz w:val="28"/>
          <w:szCs w:val="28"/>
        </w:rPr>
      </w:pPr>
      <w:r>
        <w:rPr>
          <w:rFonts w:hint="eastAsia" w:ascii="仿宋_GB2312" w:hAnsi="仿宋" w:eastAsia="仿宋_GB2312" w:cs="仿宋_GB2312"/>
          <w:b/>
          <w:sz w:val="32"/>
          <w:szCs w:val="24"/>
        </w:rPr>
        <w:t>一、评标方法</w:t>
      </w:r>
    </w:p>
    <w:p>
      <w:pPr>
        <w:spacing w:line="360" w:lineRule="auto"/>
        <w:rPr>
          <w:rFonts w:ascii="仿宋_GB2312" w:hAnsi="仿宋" w:eastAsia="仿宋_GB2312" w:cs="Arial"/>
          <w:kern w:val="0"/>
          <w:sz w:val="24"/>
          <w:szCs w:val="24"/>
        </w:rPr>
      </w:pPr>
      <w:r>
        <w:rPr>
          <w:rFonts w:hint="eastAsia" w:ascii="仿宋_GB2312" w:hAnsi="仿宋" w:eastAsia="仿宋_GB2312" w:cs="Arial"/>
          <w:b/>
          <w:kern w:val="0"/>
          <w:sz w:val="24"/>
          <w:szCs w:val="24"/>
        </w:rPr>
        <w:t>1.综合评分法。</w:t>
      </w:r>
      <w:r>
        <w:rPr>
          <w:rFonts w:hint="eastAsia" w:ascii="仿宋_GB2312" w:hAnsi="仿宋" w:eastAsia="仿宋_GB2312" w:cs="Arial"/>
          <w:kern w:val="0"/>
          <w:sz w:val="24"/>
          <w:szCs w:val="24"/>
        </w:rPr>
        <w:t>综合评分法，是指投标文件满足招标文件全部实质性要求，且按照评审因素的量化指标评审得分最高的投标人为中标候选人的评标方法。</w:t>
      </w:r>
    </w:p>
    <w:p>
      <w:pPr>
        <w:spacing w:line="360" w:lineRule="auto"/>
        <w:rPr>
          <w:rFonts w:ascii="仿宋_GB2312" w:hAnsi="仿宋" w:eastAsia="仿宋_GB2312" w:cs="Arial"/>
          <w:kern w:val="0"/>
          <w:sz w:val="24"/>
          <w:szCs w:val="24"/>
        </w:rPr>
      </w:pPr>
    </w:p>
    <w:p>
      <w:pPr>
        <w:adjustRightInd w:val="0"/>
        <w:snapToGrid w:val="0"/>
        <w:spacing w:line="360" w:lineRule="auto"/>
        <w:ind w:left="120" w:leftChars="57" w:firstLine="422" w:firstLineChars="150"/>
        <w:jc w:val="center"/>
        <w:rPr>
          <w:rFonts w:ascii="仿宋_GB2312" w:hAnsi="仿宋" w:eastAsia="仿宋_GB2312" w:cs="仿宋_GB2312"/>
          <w:b/>
          <w:sz w:val="32"/>
          <w:szCs w:val="24"/>
        </w:rPr>
      </w:pPr>
      <w:r>
        <w:rPr>
          <w:rFonts w:hint="eastAsia" w:ascii="仿宋_GB2312" w:hAnsi="仿宋" w:eastAsia="仿宋_GB2312" w:cs="Times New Roman"/>
          <w:b/>
          <w:sz w:val="28"/>
          <w:szCs w:val="28"/>
        </w:rPr>
        <w:t xml:space="preserve">   </w:t>
      </w:r>
      <w:r>
        <w:rPr>
          <w:rFonts w:hint="eastAsia" w:ascii="仿宋_GB2312" w:hAnsi="仿宋" w:eastAsia="仿宋_GB2312" w:cs="仿宋_GB2312"/>
          <w:b/>
          <w:sz w:val="32"/>
          <w:szCs w:val="24"/>
        </w:rPr>
        <w:t>二、评标委员会的组成</w:t>
      </w:r>
    </w:p>
    <w:p>
      <w:pPr>
        <w:adjustRightInd w:val="0"/>
        <w:snapToGrid w:val="0"/>
        <w:spacing w:line="360" w:lineRule="auto"/>
        <w:rPr>
          <w:rFonts w:ascii="仿宋_GB2312" w:hAnsi="仿宋" w:eastAsia="仿宋_GB2312" w:cs="Arial"/>
          <w:kern w:val="0"/>
          <w:sz w:val="24"/>
          <w:szCs w:val="24"/>
        </w:rPr>
      </w:pPr>
      <w:r>
        <w:rPr>
          <w:rFonts w:hint="eastAsia" w:ascii="仿宋_GB2312" w:hAnsi="仿宋" w:eastAsia="仿宋_GB2312" w:cs="Arial"/>
          <w:b/>
          <w:kern w:val="0"/>
          <w:sz w:val="24"/>
          <w:szCs w:val="24"/>
        </w:rPr>
        <w:t>2.评标委员会的组成。</w:t>
      </w:r>
      <w:r>
        <w:rPr>
          <w:rFonts w:hint="eastAsia" w:ascii="仿宋_GB2312" w:hAnsi="仿宋" w:eastAsia="仿宋_GB2312" w:cs="Arial"/>
          <w:kern w:val="0"/>
          <w:sz w:val="24"/>
          <w:szCs w:val="24"/>
        </w:rPr>
        <w:t>评标委员会由采购人代表和评审专家组成，成员人数为5人以上单数，其中评审专家不少于成员总数的三分之二。</w:t>
      </w:r>
    </w:p>
    <w:p>
      <w:pPr>
        <w:adjustRightInd w:val="0"/>
        <w:spacing w:line="360" w:lineRule="auto"/>
        <w:rPr>
          <w:rFonts w:ascii="仿宋_GB2312" w:hAnsi="仿宋" w:eastAsia="仿宋_GB2312" w:cs="Arial"/>
          <w:kern w:val="0"/>
          <w:sz w:val="24"/>
        </w:rPr>
      </w:pPr>
      <w:r>
        <w:rPr>
          <w:rFonts w:hint="eastAsia" w:ascii="仿宋_GB2312" w:hAnsi="仿宋" w:eastAsia="仿宋_GB2312" w:cs="Arial"/>
          <w:b/>
          <w:kern w:val="0"/>
          <w:sz w:val="24"/>
        </w:rPr>
        <w:t>3.评</w:t>
      </w:r>
      <w:r>
        <w:rPr>
          <w:rFonts w:hint="eastAsia" w:ascii="仿宋_GB2312" w:hAnsi="仿宋" w:eastAsia="仿宋_GB2312" w:cs="Arial"/>
          <w:b/>
          <w:kern w:val="0"/>
          <w:sz w:val="24"/>
          <w:szCs w:val="24"/>
        </w:rPr>
        <w:t>标委员会的组成人员的回避。</w:t>
      </w:r>
      <w:r>
        <w:rPr>
          <w:rFonts w:hint="eastAsia" w:ascii="仿宋_GB2312" w:hAnsi="仿宋" w:eastAsia="仿宋_GB2312" w:cs="Arial"/>
          <w:kern w:val="0"/>
          <w:sz w:val="24"/>
        </w:rPr>
        <w:t>在政府采购活动中，评标委员会的组成人员与供应商有下列利害关系之一的，应当回避：</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3.1参加采购活动前3年内与供应商存在劳动关系；</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3.2参加采购活动前3年内担任供应商的董事、监事；</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3.3参加采购活动前3年内是供应商的控股股东或者实际控制人；</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3.4与供应商的法定代表人或者负责人有夫妻、直系血亲、三代以内旁系血亲或者近姻亲关系；</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3.5与供应商有其他可能影响政府采购活动公平、公正进行的关系。</w:t>
      </w:r>
    </w:p>
    <w:p>
      <w:pPr>
        <w:adjustRightInd w:val="0"/>
        <w:snapToGrid w:val="0"/>
        <w:spacing w:line="360" w:lineRule="auto"/>
        <w:ind w:left="120" w:leftChars="57" w:firstLine="482" w:firstLineChars="150"/>
        <w:jc w:val="center"/>
        <w:rPr>
          <w:rFonts w:ascii="仿宋_GB2312" w:hAnsi="仿宋" w:eastAsia="仿宋_GB2312" w:cs="Times New Roman"/>
          <w:b/>
          <w:sz w:val="32"/>
          <w:szCs w:val="32"/>
        </w:rPr>
      </w:pPr>
    </w:p>
    <w:p>
      <w:pPr>
        <w:adjustRightInd w:val="0"/>
        <w:snapToGrid w:val="0"/>
        <w:spacing w:line="360" w:lineRule="auto"/>
        <w:ind w:left="120" w:leftChars="57" w:firstLine="482" w:firstLineChars="150"/>
        <w:jc w:val="center"/>
        <w:rPr>
          <w:rFonts w:ascii="仿宋_GB2312" w:hAnsi="仿宋" w:eastAsia="仿宋_GB2312" w:cs="Times New Roman"/>
          <w:b/>
          <w:sz w:val="32"/>
          <w:szCs w:val="32"/>
        </w:rPr>
      </w:pPr>
      <w:r>
        <w:rPr>
          <w:rFonts w:hint="eastAsia" w:ascii="仿宋_GB2312" w:hAnsi="仿宋" w:eastAsia="仿宋_GB2312" w:cs="Times New Roman"/>
          <w:b/>
          <w:sz w:val="32"/>
          <w:szCs w:val="32"/>
        </w:rPr>
        <w:t>　</w:t>
      </w:r>
      <w:r>
        <w:rPr>
          <w:rFonts w:hint="eastAsia" w:ascii="仿宋_GB2312" w:hAnsi="仿宋" w:eastAsia="仿宋_GB2312" w:cs="仿宋_GB2312"/>
          <w:b/>
          <w:sz w:val="32"/>
          <w:szCs w:val="24"/>
        </w:rPr>
        <w:t>　三、评标委员会的职责</w:t>
      </w:r>
    </w:p>
    <w:p>
      <w:pPr>
        <w:adjustRightInd w:val="0"/>
        <w:spacing w:line="360" w:lineRule="auto"/>
        <w:rPr>
          <w:rFonts w:ascii="仿宋_GB2312" w:hAnsi="仿宋" w:eastAsia="仿宋_GB2312" w:cs="Arial"/>
          <w:b/>
          <w:kern w:val="0"/>
          <w:sz w:val="24"/>
          <w:szCs w:val="24"/>
        </w:rPr>
      </w:pPr>
      <w:r>
        <w:rPr>
          <w:rFonts w:hint="eastAsia" w:ascii="仿宋_GB2312" w:hAnsi="仿宋" w:eastAsia="仿宋_GB2312" w:cs="Arial"/>
          <w:b/>
          <w:kern w:val="0"/>
          <w:sz w:val="24"/>
          <w:szCs w:val="24"/>
        </w:rPr>
        <w:t>4.评标委员会负责具体评标事务，并独立履行下列职责：</w:t>
      </w:r>
    </w:p>
    <w:p>
      <w:pPr>
        <w:adjustRightInd w:val="0"/>
        <w:spacing w:line="360" w:lineRule="auto"/>
        <w:ind w:firstLine="480" w:firstLineChars="200"/>
        <w:rPr>
          <w:rFonts w:ascii="仿宋_GB2312" w:hAnsi="仿宋" w:eastAsia="仿宋_GB2312" w:cs="Arial"/>
          <w:kern w:val="0"/>
          <w:sz w:val="24"/>
        </w:rPr>
      </w:pPr>
      <w:r>
        <w:rPr>
          <w:rFonts w:hint="eastAsia" w:ascii="仿宋_GB2312" w:hAnsi="仿宋" w:eastAsia="仿宋_GB2312" w:cs="Arial"/>
          <w:kern w:val="0"/>
          <w:sz w:val="24"/>
        </w:rPr>
        <w:t>4.1审查、评价投标文件是否符合招标文件的商务、技术等实质性要求；</w:t>
      </w:r>
    </w:p>
    <w:p>
      <w:pPr>
        <w:adjustRightInd w:val="0"/>
        <w:spacing w:line="360" w:lineRule="auto"/>
        <w:ind w:firstLine="480" w:firstLineChars="200"/>
        <w:rPr>
          <w:rFonts w:ascii="仿宋_GB2312" w:hAnsi="仿宋" w:eastAsia="仿宋_GB2312" w:cs="Arial"/>
          <w:kern w:val="0"/>
          <w:sz w:val="24"/>
        </w:rPr>
      </w:pPr>
      <w:r>
        <w:rPr>
          <w:rFonts w:hint="eastAsia" w:ascii="仿宋_GB2312" w:hAnsi="仿宋" w:eastAsia="仿宋_GB2312" w:cs="Arial"/>
          <w:kern w:val="0"/>
          <w:sz w:val="24"/>
        </w:rPr>
        <w:t>4.2要求投标人对投标文件有关事项作出澄清或者说明；</w:t>
      </w:r>
    </w:p>
    <w:p>
      <w:pPr>
        <w:adjustRightInd w:val="0"/>
        <w:spacing w:line="360" w:lineRule="auto"/>
        <w:ind w:firstLine="480" w:firstLineChars="200"/>
        <w:rPr>
          <w:rFonts w:ascii="仿宋_GB2312" w:hAnsi="仿宋" w:eastAsia="仿宋_GB2312" w:cs="Arial"/>
          <w:kern w:val="0"/>
          <w:sz w:val="24"/>
        </w:rPr>
      </w:pPr>
      <w:r>
        <w:rPr>
          <w:rFonts w:hint="eastAsia" w:ascii="仿宋_GB2312" w:hAnsi="仿宋" w:eastAsia="仿宋_GB2312" w:cs="Arial"/>
          <w:kern w:val="0"/>
          <w:sz w:val="24"/>
        </w:rPr>
        <w:t>4.3对投标文件进行比较和评价；</w:t>
      </w:r>
    </w:p>
    <w:p>
      <w:pPr>
        <w:adjustRightInd w:val="0"/>
        <w:spacing w:line="360" w:lineRule="auto"/>
        <w:ind w:firstLine="480" w:firstLineChars="200"/>
        <w:rPr>
          <w:rFonts w:ascii="仿宋_GB2312" w:hAnsi="仿宋" w:eastAsia="仿宋_GB2312" w:cs="Arial"/>
          <w:kern w:val="0"/>
          <w:sz w:val="24"/>
        </w:rPr>
      </w:pPr>
      <w:r>
        <w:rPr>
          <w:rFonts w:hint="eastAsia" w:ascii="仿宋_GB2312" w:hAnsi="仿宋" w:eastAsia="仿宋_GB2312" w:cs="Arial"/>
          <w:kern w:val="0"/>
          <w:sz w:val="24"/>
        </w:rPr>
        <w:t>4.4确定中标候选人名单，以及根据采购人委托直接确定中标人；</w:t>
      </w:r>
    </w:p>
    <w:p>
      <w:pPr>
        <w:adjustRightInd w:val="0"/>
        <w:spacing w:line="360" w:lineRule="auto"/>
        <w:ind w:firstLine="480" w:firstLineChars="200"/>
        <w:rPr>
          <w:rFonts w:ascii="仿宋_GB2312" w:hAnsi="仿宋" w:eastAsia="仿宋_GB2312" w:cs="Arial"/>
          <w:kern w:val="0"/>
          <w:sz w:val="24"/>
        </w:rPr>
      </w:pPr>
      <w:r>
        <w:rPr>
          <w:rFonts w:hint="eastAsia" w:ascii="仿宋_GB2312" w:hAnsi="仿宋" w:eastAsia="仿宋_GB2312" w:cs="Arial"/>
          <w:kern w:val="0"/>
          <w:sz w:val="24"/>
        </w:rPr>
        <w:t>4.5向采购人、采购机构或者有关部门报告评标中发现的违法行为；</w:t>
      </w:r>
    </w:p>
    <w:p>
      <w:pPr>
        <w:adjustRightInd w:val="0"/>
        <w:spacing w:line="360" w:lineRule="auto"/>
        <w:ind w:firstLine="480" w:firstLineChars="200"/>
        <w:rPr>
          <w:rFonts w:ascii="仿宋_GB2312" w:hAnsi="仿宋" w:eastAsia="仿宋_GB2312" w:cs="Arial"/>
          <w:kern w:val="0"/>
          <w:sz w:val="24"/>
        </w:rPr>
      </w:pPr>
      <w:r>
        <w:rPr>
          <w:rFonts w:hint="eastAsia" w:ascii="仿宋_GB2312" w:hAnsi="仿宋" w:eastAsia="仿宋_GB2312" w:cs="Arial"/>
          <w:kern w:val="0"/>
          <w:sz w:val="24"/>
        </w:rPr>
        <w:t>4.6法律、法规、规章、招标文件等规定的其它事项。</w:t>
      </w:r>
    </w:p>
    <w:p>
      <w:pPr>
        <w:adjustRightInd w:val="0"/>
        <w:spacing w:line="360" w:lineRule="auto"/>
        <w:rPr>
          <w:rFonts w:ascii="仿宋_GB2312" w:hAnsi="仿宋" w:eastAsia="仿宋_GB2312" w:cs="Arial"/>
          <w:b/>
          <w:kern w:val="0"/>
          <w:sz w:val="24"/>
          <w:szCs w:val="24"/>
        </w:rPr>
      </w:pPr>
      <w:r>
        <w:rPr>
          <w:rFonts w:hint="eastAsia" w:ascii="仿宋_GB2312" w:hAnsi="仿宋" w:eastAsia="仿宋_GB2312" w:cs="Arial"/>
          <w:b/>
          <w:kern w:val="0"/>
          <w:sz w:val="24"/>
          <w:szCs w:val="24"/>
        </w:rPr>
        <w:t>5.评标委员会及其成员不得有下列行为：</w:t>
      </w:r>
    </w:p>
    <w:p>
      <w:pPr>
        <w:adjustRightInd w:val="0"/>
        <w:spacing w:line="360" w:lineRule="auto"/>
        <w:ind w:firstLine="240" w:firstLineChars="100"/>
        <w:rPr>
          <w:rFonts w:ascii="仿宋_GB2312" w:hAnsi="仿宋" w:eastAsia="仿宋_GB2312" w:cs="Arial"/>
          <w:kern w:val="0"/>
          <w:sz w:val="24"/>
        </w:rPr>
      </w:pPr>
      <w:r>
        <w:rPr>
          <w:rFonts w:hint="eastAsia" w:ascii="仿宋_GB2312" w:hAnsi="仿宋" w:eastAsia="仿宋_GB2312" w:cs="Arial"/>
          <w:kern w:val="0"/>
          <w:sz w:val="24"/>
        </w:rPr>
        <w:t>　5.1确定参与评标至评标结束前私自接触投标人；</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5.2接受投标人提出的与投标文件不一致的澄清或者说明，《政府采购货物和服务招标投标管理办法》（财政部令第87号）第五十一条规定的情形除外；</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5.3违反评标纪律发表倾向性意见或者征询采购人的倾向性意见；</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5.4对需要专业判断的主观评审因素协商评分；</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5.5在评标过程中擅离职守，影响评标程序正常进行的；</w:t>
      </w:r>
    </w:p>
    <w:p>
      <w:pPr>
        <w:adjustRightInd w:val="0"/>
        <w:spacing w:line="360" w:lineRule="auto"/>
        <w:ind w:firstLine="240" w:firstLineChars="100"/>
        <w:rPr>
          <w:rFonts w:ascii="仿宋_GB2312" w:hAnsi="仿宋" w:eastAsia="仿宋_GB2312" w:cs="Arial"/>
          <w:kern w:val="0"/>
          <w:sz w:val="24"/>
        </w:rPr>
      </w:pPr>
      <w:r>
        <w:rPr>
          <w:rFonts w:hint="eastAsia" w:ascii="仿宋_GB2312" w:hAnsi="仿宋" w:eastAsia="仿宋_GB2312" w:cs="Arial"/>
          <w:kern w:val="0"/>
          <w:sz w:val="24"/>
        </w:rPr>
        <w:t>5.6记录、复制或者带走任何评标资料；</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5.7其他不遵守评标纪律的行为。</w:t>
      </w:r>
    </w:p>
    <w:p>
      <w:pPr>
        <w:adjustRightInd w:val="0"/>
        <w:spacing w:line="360" w:lineRule="auto"/>
        <w:rPr>
          <w:rFonts w:ascii="仿宋_GB2312" w:hAnsi="仿宋" w:eastAsia="仿宋_GB2312" w:cs="Arial"/>
          <w:kern w:val="0"/>
          <w:sz w:val="24"/>
        </w:rPr>
      </w:pPr>
      <w:r>
        <w:rPr>
          <w:rFonts w:hint="eastAsia" w:ascii="仿宋_GB2312" w:hAnsi="仿宋" w:eastAsia="仿宋_GB2312" w:cs="Arial"/>
          <w:kern w:val="0"/>
          <w:sz w:val="24"/>
        </w:rPr>
        <w:t>　　评标委员会成员有5.1-5.</w:t>
      </w:r>
      <w:r>
        <w:rPr>
          <w:rFonts w:hint="eastAsia" w:ascii="仿宋_GB2312" w:hAnsi="仿宋" w:eastAsia="仿宋_GB2312" w:cs="Arial"/>
          <w:kern w:val="0"/>
          <w:sz w:val="24"/>
          <w:lang w:val="en-US" w:eastAsia="zh-CN"/>
        </w:rPr>
        <w:t>7</w:t>
      </w:r>
      <w:r>
        <w:rPr>
          <w:rFonts w:hint="eastAsia" w:ascii="仿宋_GB2312" w:hAnsi="仿宋" w:eastAsia="仿宋_GB2312" w:cs="Arial"/>
          <w:kern w:val="0"/>
          <w:sz w:val="24"/>
        </w:rPr>
        <w:t>行为之一的，其评审意见无效，并不得获取评审劳务报酬和报销异地评审差旅费。</w:t>
      </w:r>
    </w:p>
    <w:p>
      <w:pPr>
        <w:adjustRightInd w:val="0"/>
        <w:spacing w:line="360" w:lineRule="auto"/>
        <w:rPr>
          <w:rFonts w:ascii="仿宋_GB2312" w:hAnsi="仿宋" w:eastAsia="仿宋_GB2312" w:cs="Arial"/>
          <w:kern w:val="0"/>
          <w:sz w:val="24"/>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r>
        <w:rPr>
          <w:rFonts w:hint="eastAsia" w:ascii="仿宋_GB2312" w:hAnsi="仿宋" w:eastAsia="仿宋_GB2312" w:cs="仿宋_GB2312"/>
          <w:b/>
          <w:sz w:val="32"/>
          <w:szCs w:val="24"/>
        </w:rPr>
        <w:t>四、评审程序</w:t>
      </w:r>
    </w:p>
    <w:p>
      <w:pPr>
        <w:adjustRightInd w:val="0"/>
        <w:spacing w:line="360" w:lineRule="auto"/>
        <w:rPr>
          <w:rFonts w:ascii="仿宋_GB2312" w:hAnsi="仿宋" w:eastAsia="仿宋_GB2312" w:cs="Arial"/>
          <w:kern w:val="0"/>
          <w:sz w:val="24"/>
          <w:szCs w:val="24"/>
        </w:rPr>
      </w:pPr>
      <w:r>
        <w:rPr>
          <w:rFonts w:hint="eastAsia" w:ascii="仿宋_GB2312" w:hAnsi="仿宋" w:eastAsia="仿宋_GB2312" w:cs="Arial"/>
          <w:b/>
          <w:kern w:val="0"/>
          <w:sz w:val="24"/>
          <w:szCs w:val="24"/>
        </w:rPr>
        <w:t xml:space="preserve">6.符合性审查。 </w:t>
      </w:r>
      <w:r>
        <w:rPr>
          <w:rFonts w:hint="eastAsia" w:ascii="仿宋_GB2312" w:hAnsi="仿宋" w:eastAsia="仿宋_GB2312" w:cs="Arial"/>
          <w:kern w:val="0"/>
          <w:sz w:val="24"/>
          <w:szCs w:val="24"/>
        </w:rPr>
        <w:t>评标委员会应当对符合资格的投标人的投标文件进行符合性审查，以确定其是否满足招标文件的实质性要求。符合投标无效情形的，投标无效。</w:t>
      </w:r>
    </w:p>
    <w:p>
      <w:pPr>
        <w:adjustRightInd w:val="0"/>
        <w:spacing w:line="360" w:lineRule="auto"/>
        <w:rPr>
          <w:rFonts w:hint="eastAsia" w:ascii="仿宋_GB2312" w:hAnsi="仿宋" w:eastAsia="仿宋_GB2312" w:cs="Arial"/>
          <w:b/>
          <w:kern w:val="0"/>
          <w:sz w:val="24"/>
          <w:szCs w:val="24"/>
        </w:rPr>
      </w:pPr>
      <w:r>
        <w:rPr>
          <w:rFonts w:hint="eastAsia" w:ascii="仿宋_GB2312" w:hAnsi="仿宋" w:eastAsia="仿宋_GB2312" w:cs="Arial"/>
          <w:b/>
          <w:kern w:val="0"/>
          <w:sz w:val="24"/>
          <w:szCs w:val="24"/>
        </w:rPr>
        <w:t>7.投标人澄清、说明或者补正。</w:t>
      </w:r>
    </w:p>
    <w:p>
      <w:pPr>
        <w:adjustRightInd w:val="0"/>
        <w:spacing w:line="360" w:lineRule="auto"/>
        <w:rPr>
          <w:rFonts w:hint="eastAsia" w:ascii="仿宋_GB2312" w:hAnsi="仿宋" w:eastAsia="仿宋_GB2312" w:cs="Arial"/>
          <w:kern w:val="0"/>
          <w:sz w:val="24"/>
          <w:szCs w:val="24"/>
        </w:rPr>
      </w:pPr>
      <w:r>
        <w:rPr>
          <w:rFonts w:hint="eastAsia" w:ascii="仿宋_GB2312" w:hAnsi="仿宋" w:eastAsia="仿宋_GB2312" w:cs="Arial"/>
          <w:b/>
          <w:kern w:val="0"/>
          <w:sz w:val="24"/>
          <w:szCs w:val="24"/>
          <w:lang w:val="en-US" w:eastAsia="zh-CN"/>
        </w:rPr>
        <w:t>7.1</w:t>
      </w:r>
      <w:r>
        <w:rPr>
          <w:rFonts w:hint="eastAsia" w:ascii="仿宋_GB2312" w:hAnsi="仿宋" w:eastAsia="仿宋_GB2312" w:cs="Arial"/>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adjustRightInd w:val="0"/>
        <w:spacing w:line="360" w:lineRule="auto"/>
        <w:rPr>
          <w:rFonts w:ascii="仿宋_GB2312" w:hAnsi="仿宋" w:eastAsia="仿宋_GB2312" w:cs="Arial"/>
          <w:kern w:val="0"/>
          <w:sz w:val="24"/>
          <w:szCs w:val="24"/>
        </w:rPr>
      </w:pPr>
      <w:r>
        <w:rPr>
          <w:rFonts w:hint="eastAsia" w:ascii="仿宋_GB2312" w:hAnsi="仿宋" w:eastAsia="仿宋_GB2312" w:cs="Arial"/>
          <w:b/>
          <w:bCs/>
          <w:kern w:val="0"/>
          <w:sz w:val="24"/>
          <w:szCs w:val="24"/>
          <w:lang w:val="en-US" w:eastAsia="zh-CN"/>
        </w:rPr>
        <w:t>7.2投标人在投标文件中无需提供成本测算表，评标委员会认为其最终报价明显低于市场平均价格，存在异常低价的嫌疑时，要求投标供应商进行澄清时，需按附件要求提供成本测算表，按此进行成本的测算及澄清，并附上相应文字说明。</w:t>
      </w:r>
    </w:p>
    <w:p>
      <w:pPr>
        <w:adjustRightInd w:val="0"/>
        <w:spacing w:line="360" w:lineRule="auto"/>
        <w:rPr>
          <w:rFonts w:ascii="仿宋_GB2312" w:hAnsi="仿宋" w:eastAsia="仿宋_GB2312" w:cs="Arial"/>
          <w:kern w:val="0"/>
          <w:sz w:val="24"/>
          <w:szCs w:val="24"/>
        </w:rPr>
      </w:pPr>
      <w:r>
        <w:rPr>
          <w:rFonts w:hint="eastAsia" w:ascii="仿宋_GB2312" w:hAnsi="仿宋" w:eastAsia="仿宋_GB2312" w:cs="Arial"/>
          <w:b/>
          <w:kern w:val="0"/>
          <w:sz w:val="24"/>
          <w:szCs w:val="24"/>
        </w:rPr>
        <w:t>8. 比较与评价。</w:t>
      </w:r>
      <w:r>
        <w:rPr>
          <w:rFonts w:hint="eastAsia" w:ascii="仿宋_GB2312" w:hAnsi="仿宋" w:eastAsia="仿宋_GB2312" w:cs="Arial"/>
          <w:kern w:val="0"/>
          <w:sz w:val="24"/>
          <w:szCs w:val="24"/>
        </w:rPr>
        <w:t>评标委员会应当按照评标标准，对符合性审查合格的投标文件进行商务和技术评估，综合比较与评价。</w:t>
      </w:r>
    </w:p>
    <w:p>
      <w:pPr>
        <w:adjustRightInd w:val="0"/>
        <w:spacing w:line="360" w:lineRule="auto"/>
        <w:rPr>
          <w:rFonts w:ascii="仿宋_GB2312" w:hAnsi="仿宋" w:eastAsia="仿宋_GB2312" w:cs="Arial"/>
          <w:kern w:val="0"/>
          <w:sz w:val="24"/>
          <w:szCs w:val="24"/>
        </w:rPr>
      </w:pPr>
      <w:r>
        <w:rPr>
          <w:rFonts w:hint="eastAsia" w:ascii="仿宋_GB2312" w:hAnsi="仿宋" w:eastAsia="仿宋_GB2312" w:cs="Arial"/>
          <w:b/>
          <w:kern w:val="0"/>
          <w:sz w:val="24"/>
          <w:szCs w:val="24"/>
        </w:rPr>
        <w:t>9. 汇总（商务技术得分情况）。</w:t>
      </w:r>
      <w:r>
        <w:rPr>
          <w:rFonts w:hint="eastAsia" w:ascii="仿宋_GB2312" w:hAnsi="仿宋" w:eastAsia="仿宋_GB2312" w:cs="Arial"/>
          <w:kern w:val="0"/>
          <w:sz w:val="24"/>
          <w:szCs w:val="24"/>
        </w:rPr>
        <w:t>评标委员会各成员应当独立对每个投标人的商务和技术文件进行评价，并汇总商务技术得分情况。</w:t>
      </w:r>
    </w:p>
    <w:p>
      <w:pPr>
        <w:adjustRightInd w:val="0"/>
        <w:spacing w:line="360" w:lineRule="auto"/>
        <w:rPr>
          <w:rFonts w:ascii="仿宋_GB2312" w:hAnsi="仿宋" w:eastAsia="仿宋_GB2312" w:cs="Arial"/>
          <w:kern w:val="0"/>
          <w:sz w:val="24"/>
          <w:szCs w:val="24"/>
        </w:rPr>
      </w:pPr>
      <w:r>
        <w:rPr>
          <w:rFonts w:hint="eastAsia" w:ascii="仿宋_GB2312" w:hAnsi="仿宋" w:eastAsia="仿宋_GB2312" w:cs="Arial"/>
          <w:b/>
          <w:kern w:val="0"/>
          <w:sz w:val="24"/>
          <w:szCs w:val="24"/>
        </w:rPr>
        <w:t>10. 报价审核。</w:t>
      </w:r>
      <w:r>
        <w:rPr>
          <w:rFonts w:hint="eastAsia" w:ascii="仿宋_GB2312" w:hAnsi="仿宋" w:eastAsia="仿宋_GB2312" w:cs="Arial"/>
          <w:kern w:val="0"/>
          <w:sz w:val="24"/>
          <w:szCs w:val="24"/>
        </w:rPr>
        <w:t>对经商务和技术评审符合采购需求的投标人的报价的合理性、准确性等进行审查核实。</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10.1评标委员会认为投标人的报价明显低于其他通过符合性审查投标人的报价，有可能影响产品质量或者不能诚信履约的，应当要求其在合理的时间内提供书面说明，必要时提交相关证明材料。</w:t>
      </w:r>
      <w:r>
        <w:rPr>
          <w:rFonts w:hint="eastAsia" w:ascii="仿宋_GB2312" w:hAnsi="仿宋" w:eastAsia="仿宋_GB2312" w:cs="Arial"/>
          <w:b/>
          <w:bCs/>
          <w:kern w:val="0"/>
          <w:sz w:val="24"/>
          <w:szCs w:val="24"/>
          <w:lang w:val="en-US" w:eastAsia="zh-CN"/>
        </w:rPr>
        <w:t>投标人在投标文件中无需提供成本测算表，评标委员会认为其最终报价明显低于市场平均价格，存在异常低价的嫌疑时，要求投标供应商进行澄清时，需按附件要求提供成本测算表，按此进行成本的测算及澄清，并附上相应文字说明。</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10.2根据财政部发布的《政府采购促进中小企业发展管理办法》规定，</w:t>
      </w:r>
      <w:r>
        <w:rPr>
          <w:rFonts w:ascii="仿宋_GB2312" w:hAnsi="仿宋" w:eastAsia="仿宋_GB2312" w:cs="Arial"/>
          <w:kern w:val="0"/>
          <w:sz w:val="24"/>
          <w:szCs w:val="24"/>
        </w:rPr>
        <w:t>对于经主管预算单位统筹后未预留份额专门面向中小企业采购的采购项目，以及预留份额项目中的非预留部分采购包，</w:t>
      </w:r>
      <w:r>
        <w:rPr>
          <w:rFonts w:hint="eastAsia" w:ascii="仿宋_GB2312" w:hAnsi="仿宋" w:eastAsia="仿宋_GB2312" w:cs="Arial"/>
          <w:kern w:val="0"/>
          <w:sz w:val="24"/>
          <w:szCs w:val="24"/>
        </w:rPr>
        <w:t>对小微企业报价给予一定的扣除，用扣除后的价格参与评审。</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10.3投标价格的修正原则。投标文件报价出现前后不一致的，按照下列规定修正：</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10.3.1投标文件中开标一览表(报价表)内容与投标文件中相应内容不一致的，以开标一览表(报价表)为准;</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10.3.2大写金额和小写金额不一致的，以大写金额为准;</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10.3.3单价金额小数点或者百分比有明显错位的，以开标一览表的总价为准，并修改单价;</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10.3.4总价金额与按单价汇总金额不一致的，以单价金额计算结果为准。</w:t>
      </w:r>
    </w:p>
    <w:p>
      <w:pPr>
        <w:adjustRightInd w:val="0"/>
        <w:spacing w:line="360" w:lineRule="auto"/>
        <w:ind w:firstLine="480" w:firstLineChars="200"/>
        <w:rPr>
          <w:rFonts w:ascii="仿宋_GB2312" w:hAnsi="仿宋" w:eastAsia="仿宋_GB2312" w:cs="Arial"/>
          <w:kern w:val="0"/>
          <w:sz w:val="24"/>
          <w:szCs w:val="24"/>
        </w:rPr>
      </w:pPr>
      <w:r>
        <w:rPr>
          <w:rFonts w:hint="eastAsia" w:ascii="仿宋_GB2312" w:hAnsi="仿宋" w:eastAsia="仿宋_GB2312" w:cs="Arial"/>
          <w:kern w:val="0"/>
          <w:sz w:val="24"/>
          <w:szCs w:val="24"/>
        </w:rPr>
        <w:t>10.3.5同时出现两种以上不一致的，按照前款规定的顺序修正。修正后的报价按照财政部第87号令 《政府采购货物和服务招标投标管理办法》第五十一条第二款的规定经投标人确认后产生约束力。</w:t>
      </w:r>
    </w:p>
    <w:p>
      <w:pPr>
        <w:adjustRightInd w:val="0"/>
        <w:spacing w:line="360" w:lineRule="auto"/>
        <w:ind w:firstLine="480" w:firstLineChars="200"/>
        <w:rPr>
          <w:rFonts w:ascii="仿宋_GB2312" w:hAnsi="仿宋" w:eastAsia="仿宋_GB2312" w:cs="仿宋_GB2312"/>
          <w:b/>
          <w:bCs/>
          <w:sz w:val="24"/>
          <w:szCs w:val="24"/>
        </w:rPr>
      </w:pPr>
      <w:r>
        <w:rPr>
          <w:rFonts w:hint="eastAsia" w:ascii="仿宋_GB2312" w:hAnsi="仿宋" w:eastAsia="仿宋_GB2312" w:cs="仿宋_GB2312"/>
          <w:bCs/>
          <w:sz w:val="24"/>
          <w:szCs w:val="24"/>
        </w:rPr>
        <w:t>▲</w:t>
      </w:r>
      <w:r>
        <w:rPr>
          <w:rFonts w:hint="eastAsia" w:ascii="仿宋_GB2312" w:hAnsi="仿宋" w:eastAsia="仿宋_GB2312" w:cs="仿宋_GB2312"/>
          <w:b/>
          <w:bCs/>
          <w:sz w:val="24"/>
          <w:szCs w:val="24"/>
        </w:rPr>
        <w:t>投标人对根据修正原则修正后的报价不确认的，投标无效。</w:t>
      </w:r>
    </w:p>
    <w:p>
      <w:pPr>
        <w:adjustRightInd w:val="0"/>
        <w:spacing w:line="360" w:lineRule="auto"/>
        <w:rPr>
          <w:rFonts w:ascii="仿宋_GB2312" w:hAnsi="仿宋" w:eastAsia="仿宋_GB2312" w:cs="Arial"/>
          <w:kern w:val="0"/>
          <w:sz w:val="24"/>
          <w:szCs w:val="24"/>
        </w:rPr>
      </w:pPr>
      <w:r>
        <w:rPr>
          <w:rFonts w:hint="eastAsia" w:ascii="仿宋_GB2312" w:hAnsi="仿宋" w:eastAsia="仿宋_GB2312" w:cs="Arial"/>
          <w:b/>
          <w:kern w:val="0"/>
          <w:sz w:val="24"/>
          <w:szCs w:val="24"/>
        </w:rPr>
        <w:t>11.汇总得分。</w:t>
      </w:r>
      <w:r>
        <w:rPr>
          <w:rFonts w:hint="eastAsia" w:ascii="仿宋_GB2312" w:hAnsi="仿宋" w:eastAsia="仿宋_GB2312" w:cs="Arial"/>
          <w:kern w:val="0"/>
          <w:sz w:val="24"/>
          <w:szCs w:val="24"/>
        </w:rPr>
        <w:t>评标委员会各成员应当独立对每个投标人的投标文件进行评价，并汇总每个投标人的得分。</w:t>
      </w:r>
    </w:p>
    <w:p>
      <w:pPr>
        <w:adjustRightInd w:val="0"/>
        <w:spacing w:line="360" w:lineRule="auto"/>
        <w:rPr>
          <w:rFonts w:ascii="仿宋_GB2312" w:hAnsi="仿宋" w:eastAsia="仿宋_GB2312" w:cs="Arial"/>
          <w:b/>
          <w:kern w:val="0"/>
          <w:sz w:val="24"/>
          <w:szCs w:val="24"/>
        </w:rPr>
      </w:pPr>
      <w:r>
        <w:rPr>
          <w:rFonts w:hint="eastAsia" w:ascii="仿宋_GB2312" w:hAnsi="仿宋" w:eastAsia="仿宋_GB2312" w:cs="Arial"/>
          <w:b/>
          <w:kern w:val="0"/>
          <w:sz w:val="24"/>
          <w:szCs w:val="24"/>
        </w:rPr>
        <w:t>12.顺序排列与中标候选推荐。</w:t>
      </w:r>
    </w:p>
    <w:p>
      <w:pPr>
        <w:adjustRightInd w:val="0"/>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12.1评标结果按评审后得分由高到低顺序排列。得分相同的，按投标报价由低到高顺序排列。得分且投标报价相同的并列。得分最高的投标人为排名第一的中标候选人。</w:t>
      </w:r>
    </w:p>
    <w:p>
      <w:pPr>
        <w:adjustRightInd w:val="0"/>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12.2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adjustRightInd w:val="0"/>
        <w:spacing w:after="120" w:line="360" w:lineRule="auto"/>
        <w:rPr>
          <w:rFonts w:ascii="仿宋_GB2312" w:hAnsi="仿宋" w:eastAsia="仿宋_GB2312" w:cs="仿宋_GB2312"/>
          <w:b/>
          <w:sz w:val="24"/>
          <w:szCs w:val="21"/>
        </w:rPr>
      </w:pPr>
      <w:r>
        <w:rPr>
          <w:rFonts w:hint="eastAsia" w:ascii="仿宋_GB2312" w:hAnsi="仿宋" w:eastAsia="仿宋_GB2312" w:cs="仿宋_GB2312"/>
          <w:b/>
          <w:sz w:val="24"/>
          <w:szCs w:val="21"/>
        </w:rPr>
        <w:t>13.投标无效。有下列情况之一的，投标无效：</w:t>
      </w:r>
    </w:p>
    <w:p>
      <w:pPr>
        <w:adjustRightInd w:val="0"/>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13.1单位负责人为同一人或者存在直接控股、管理关系的不同供应商参加同一合同项下的政府采购活动的（均无效）；</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1"/>
        </w:rPr>
        <w:t>13.2为采购项目提供整体设计、规范编制或者项目管理、监理、检测等服务的供应商再参加该采购项</w:t>
      </w:r>
      <w:r>
        <w:rPr>
          <w:rFonts w:hint="eastAsia" w:ascii="仿宋_GB2312" w:hAnsi="仿宋" w:eastAsia="仿宋_GB2312" w:cs="仿宋_GB2312"/>
          <w:sz w:val="24"/>
          <w:szCs w:val="24"/>
        </w:rPr>
        <w:t xml:space="preserve">目的其他采购活动的； </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13.3</w:t>
      </w:r>
      <w:r>
        <w:rPr>
          <w:rFonts w:hint="eastAsia" w:ascii="仿宋_GB2312" w:hAnsi="仿宋" w:eastAsia="仿宋_GB2312" w:cs="仿宋_GB2312"/>
          <w:sz w:val="24"/>
          <w:szCs w:val="24"/>
        </w:rPr>
        <w:t>投标人不具备招标文件中规定的资格要求的（投标人未提供有效的资格证明文件的，视为投标人不具备招标文件中规定的资格要求）；</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13.4</w:t>
      </w:r>
      <w:r>
        <w:rPr>
          <w:rFonts w:hint="eastAsia" w:ascii="仿宋_GB2312" w:hAnsi="仿宋" w:eastAsia="仿宋_GB2312" w:cs="仿宋_GB2312"/>
          <w:sz w:val="24"/>
          <w:szCs w:val="24"/>
        </w:rPr>
        <w:t>如以联合体形式参加政府采购活动的，联合体协议不符合招标文件规定的联合体协议要求的；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13.5</w:t>
      </w:r>
      <w:r>
        <w:rPr>
          <w:rFonts w:hint="eastAsia" w:ascii="仿宋_GB2312" w:hAnsi="仿宋" w:eastAsia="仿宋_GB2312" w:cs="仿宋_GB2312"/>
          <w:sz w:val="24"/>
          <w:szCs w:val="24"/>
        </w:rPr>
        <w:t>投标文件未按规定的格式编制的；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13.6</w:t>
      </w:r>
      <w:r>
        <w:rPr>
          <w:rFonts w:hint="eastAsia" w:ascii="仿宋_GB2312" w:hAnsi="仿宋" w:eastAsia="仿宋_GB2312" w:cs="仿宋_GB2312"/>
          <w:sz w:val="24"/>
          <w:szCs w:val="24"/>
        </w:rPr>
        <w:t>投标文件未按招标文件的澄清、修改的内容编制，又不符合实质性要求的；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13.7</w:t>
      </w:r>
      <w:r>
        <w:rPr>
          <w:rFonts w:hint="eastAsia" w:ascii="仿宋_GB2312" w:hAnsi="仿宋" w:eastAsia="仿宋_GB2312" w:cs="仿宋_GB2312"/>
          <w:sz w:val="24"/>
          <w:szCs w:val="24"/>
        </w:rPr>
        <w:t>投标文件组成漏项，内容不全或内容字迹模糊辨认不清的；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13.8</w:t>
      </w:r>
      <w:r>
        <w:rPr>
          <w:rFonts w:hint="eastAsia" w:ascii="仿宋_GB2312" w:hAnsi="仿宋" w:eastAsia="仿宋_GB2312" w:cs="仿宋_GB2312"/>
          <w:sz w:val="24"/>
          <w:szCs w:val="24"/>
        </w:rPr>
        <w:t>投标文件中法人授权书所载内容与本项目内容有异的；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13.9</w:t>
      </w:r>
      <w:r>
        <w:rPr>
          <w:rFonts w:hint="eastAsia" w:ascii="仿宋_GB2312" w:hAnsi="仿宋" w:eastAsia="仿宋_GB2312" w:cs="仿宋_GB2312"/>
          <w:sz w:val="24"/>
          <w:szCs w:val="24"/>
        </w:rPr>
        <w:t>投标文件未按照招标文件要求签署、盖章的；</w:t>
      </w:r>
    </w:p>
    <w:p>
      <w:pPr>
        <w:adjustRightInd w:val="0"/>
        <w:spacing w:line="360" w:lineRule="auto"/>
        <w:ind w:firstLine="480" w:firstLineChars="200"/>
        <w:rPr>
          <w:rFonts w:ascii="仿宋_GB2312" w:hAnsi="仿宋" w:eastAsia="仿宋_GB2312" w:cs="Times New Roman"/>
          <w:b/>
          <w:sz w:val="24"/>
          <w:szCs w:val="24"/>
        </w:rPr>
      </w:pPr>
      <w:r>
        <w:rPr>
          <w:rFonts w:hint="eastAsia" w:ascii="仿宋_GB2312" w:hAnsi="仿宋" w:eastAsia="仿宋_GB2312" w:cs="Times New Roman"/>
          <w:sz w:val="24"/>
          <w:szCs w:val="24"/>
        </w:rPr>
        <w:t>13.10</w:t>
      </w:r>
      <w:r>
        <w:rPr>
          <w:rFonts w:hint="eastAsia" w:ascii="仿宋_GB2312" w:hAnsi="仿宋" w:eastAsia="仿宋_GB2312" w:cs="仿宋_GB2312"/>
          <w:sz w:val="24"/>
          <w:szCs w:val="24"/>
        </w:rPr>
        <w:t>采购人拟采购的产品属于政府强制采购的节能产品品目清单范围的，投标人未按招标文件要求提供国家确定的认证机构出具的、处于有效期之内的节能产品认证证书的；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13.11</w:t>
      </w:r>
      <w:r>
        <w:rPr>
          <w:rFonts w:hint="eastAsia" w:ascii="仿宋_GB2312" w:hAnsi="仿宋" w:eastAsia="仿宋_GB2312" w:cs="仿宋_GB2312"/>
          <w:sz w:val="24"/>
          <w:szCs w:val="24"/>
        </w:rPr>
        <w:t>投标文件含有采购人不能接受的附加条件的；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13.12</w:t>
      </w:r>
      <w:r>
        <w:rPr>
          <w:rFonts w:hint="eastAsia" w:ascii="仿宋_GB2312" w:hAnsi="仿宋" w:eastAsia="仿宋_GB2312" w:cs="仿宋_GB2312"/>
          <w:sz w:val="24"/>
          <w:szCs w:val="24"/>
        </w:rPr>
        <w:t>投标文件中承诺的投标有效期少于招标文件中载明的投标有效期的；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13.13</w:t>
      </w:r>
      <w:r>
        <w:rPr>
          <w:rFonts w:hint="eastAsia" w:ascii="仿宋_GB2312" w:hAnsi="仿宋" w:eastAsia="仿宋_GB2312" w:cs="仿宋_GB2312"/>
          <w:sz w:val="24"/>
          <w:szCs w:val="24"/>
        </w:rPr>
        <w:t>投标人所投内容不符合采购需求中实质性要求的；</w:t>
      </w:r>
    </w:p>
    <w:p>
      <w:pPr>
        <w:adjustRightInd w:val="0"/>
        <w:snapToGrid w:val="0"/>
        <w:spacing w:line="360" w:lineRule="auto"/>
        <w:jc w:val="left"/>
        <w:rPr>
          <w:rFonts w:ascii="仿宋_GB2312" w:hAnsi="仿宋" w:eastAsia="仿宋_GB2312" w:cs="仿宋_GB2312"/>
          <w:sz w:val="24"/>
          <w:szCs w:val="24"/>
        </w:rPr>
      </w:pPr>
      <w:r>
        <w:rPr>
          <w:rFonts w:hint="eastAsia" w:ascii="仿宋_GB2312" w:hAnsi="仿宋" w:eastAsia="仿宋_GB2312" w:cs="仿宋_GB2312"/>
          <w:sz w:val="24"/>
          <w:szCs w:val="24"/>
        </w:rPr>
        <w:t xml:space="preserve">    </w:t>
      </w:r>
      <w:r>
        <w:rPr>
          <w:rFonts w:hint="eastAsia" w:ascii="仿宋_GB2312" w:hAnsi="仿宋" w:eastAsia="仿宋_GB2312" w:cs="Times New Roman"/>
          <w:sz w:val="24"/>
          <w:szCs w:val="24"/>
        </w:rPr>
        <w:t>13.14</w:t>
      </w:r>
      <w:r>
        <w:rPr>
          <w:rFonts w:hint="eastAsia" w:ascii="仿宋_GB2312" w:hAnsi="仿宋" w:eastAsia="仿宋_GB2312" w:cs="仿宋_GB2312"/>
          <w:sz w:val="24"/>
          <w:szCs w:val="24"/>
        </w:rPr>
        <w:t>投标文件出现不是唯一的、有选择性投标报价的;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13.15</w:t>
      </w:r>
      <w:r>
        <w:rPr>
          <w:rFonts w:hint="eastAsia" w:ascii="仿宋_GB2312" w:hAnsi="仿宋" w:eastAsia="仿宋_GB2312" w:cs="仿宋_GB2312"/>
          <w:sz w:val="24"/>
          <w:szCs w:val="24"/>
        </w:rPr>
        <w:t>投标报价高于本项目采购预算或者最高限价的;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13.16</w:t>
      </w:r>
      <w:r>
        <w:rPr>
          <w:rFonts w:hint="eastAsia" w:ascii="仿宋_GB2312" w:hAnsi="仿宋" w:eastAsia="仿宋_GB2312" w:cs="仿宋_GB2312"/>
          <w:sz w:val="24"/>
          <w:szCs w:val="24"/>
        </w:rPr>
        <w:t>报价明显低于其他通过符合性审查投标人的报价，有可能影响产品质量或者不能诚信履约的，未能按要求提供书面说明或者提交相关证明材料，不能证明其报价合理性的;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13.17</w:t>
      </w:r>
      <w:r>
        <w:rPr>
          <w:rFonts w:hint="eastAsia" w:ascii="仿宋_GB2312" w:hAnsi="仿宋" w:eastAsia="仿宋_GB2312" w:cs="仿宋_GB2312"/>
          <w:sz w:val="24"/>
          <w:szCs w:val="24"/>
        </w:rPr>
        <w:t>《投标（开标）一览表》填写不完整或字迹不能辨认或有漏项的；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13.18</w:t>
      </w:r>
      <w:r>
        <w:rPr>
          <w:rFonts w:hint="eastAsia" w:ascii="仿宋_GB2312" w:hAnsi="仿宋" w:eastAsia="仿宋_GB2312" w:cs="仿宋_GB2312"/>
          <w:sz w:val="24"/>
          <w:szCs w:val="24"/>
        </w:rPr>
        <w:t>投标人对根据修正原则修正后的报价不确认的；</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13.19</w:t>
      </w:r>
      <w:r>
        <w:rPr>
          <w:rFonts w:hint="eastAsia" w:ascii="仿宋_GB2312" w:hAnsi="仿宋" w:eastAsia="仿宋_GB2312" w:cs="仿宋_GB2312"/>
          <w:sz w:val="24"/>
          <w:szCs w:val="24"/>
        </w:rPr>
        <w:t>投标人提供虚假材料投标的（包括但不限于以下情节）；</w:t>
      </w:r>
    </w:p>
    <w:p>
      <w:pPr>
        <w:adjustRightInd w:val="0"/>
        <w:spacing w:line="360" w:lineRule="auto"/>
        <w:ind w:firstLine="720" w:firstLineChars="300"/>
        <w:rPr>
          <w:rFonts w:ascii="仿宋_GB2312" w:hAnsi="仿宋" w:eastAsia="仿宋_GB2312" w:cs="仿宋_GB2312"/>
          <w:sz w:val="24"/>
          <w:szCs w:val="24"/>
        </w:rPr>
      </w:pPr>
      <w:r>
        <w:rPr>
          <w:rFonts w:hint="eastAsia" w:ascii="仿宋_GB2312" w:hAnsi="仿宋" w:eastAsia="仿宋_GB2312" w:cs="Times New Roman"/>
          <w:sz w:val="24"/>
          <w:szCs w:val="24"/>
        </w:rPr>
        <w:t>13.19.1</w:t>
      </w:r>
      <w:r>
        <w:rPr>
          <w:rFonts w:hint="eastAsia" w:ascii="仿宋_GB2312" w:hAnsi="仿宋" w:eastAsia="仿宋_GB2312" w:cs="仿宋_GB2312"/>
          <w:sz w:val="24"/>
          <w:szCs w:val="24"/>
        </w:rPr>
        <w:t>使用伪造、变造的许可证件；</w:t>
      </w:r>
      <w:r>
        <w:rPr>
          <w:rFonts w:hint="eastAsia" w:ascii="仿宋_GB2312" w:hAnsi="仿宋" w:eastAsia="仿宋_GB2312" w:cs="仿宋_GB2312"/>
          <w:sz w:val="24"/>
          <w:szCs w:val="24"/>
        </w:rPr>
        <w:br w:type="textWrapping"/>
      </w:r>
      <w:r>
        <w:rPr>
          <w:rFonts w:hint="eastAsia" w:ascii="宋体" w:hAnsi="宋体" w:eastAsia="宋体" w:cs="宋体"/>
          <w:sz w:val="24"/>
          <w:szCs w:val="24"/>
        </w:rPr>
        <w:t>  </w:t>
      </w:r>
      <w:r>
        <w:rPr>
          <w:rFonts w:hint="eastAsia" w:ascii="仿宋_GB2312" w:hAnsi="仿宋" w:eastAsia="仿宋_GB2312" w:cs="仿宋_GB2312"/>
          <w:sz w:val="24"/>
          <w:szCs w:val="24"/>
        </w:rPr>
        <w:t xml:space="preserve"> </w:t>
      </w:r>
      <w:r>
        <w:rPr>
          <w:rFonts w:hint="eastAsia" w:ascii="仿宋_GB2312" w:hAnsi="仿宋" w:eastAsia="仿宋_GB2312" w:cs="Times New Roman"/>
          <w:sz w:val="24"/>
          <w:szCs w:val="24"/>
        </w:rPr>
        <w:t xml:space="preserve"> 13.19.2</w:t>
      </w:r>
      <w:r>
        <w:rPr>
          <w:rFonts w:hint="eastAsia" w:ascii="仿宋_GB2312" w:hAnsi="仿宋" w:eastAsia="仿宋_GB2312" w:cs="仿宋_GB2312"/>
          <w:sz w:val="24"/>
          <w:szCs w:val="24"/>
        </w:rPr>
        <w:t>提供虚假的财务状况或者业绩；</w:t>
      </w:r>
      <w:r>
        <w:rPr>
          <w:rFonts w:hint="eastAsia" w:ascii="仿宋_GB2312" w:hAnsi="仿宋" w:eastAsia="仿宋_GB2312" w:cs="仿宋_GB2312"/>
          <w:sz w:val="24"/>
          <w:szCs w:val="24"/>
        </w:rPr>
        <w:br w:type="textWrapping"/>
      </w:r>
      <w:r>
        <w:rPr>
          <w:rFonts w:hint="eastAsia" w:ascii="宋体" w:hAnsi="宋体" w:eastAsia="宋体" w:cs="宋体"/>
          <w:sz w:val="24"/>
          <w:szCs w:val="24"/>
        </w:rPr>
        <w:t>  </w:t>
      </w:r>
      <w:r>
        <w:rPr>
          <w:rFonts w:hint="eastAsia" w:ascii="仿宋_GB2312" w:hAnsi="仿宋" w:eastAsia="仿宋_GB2312" w:cs="仿宋_GB2312"/>
          <w:sz w:val="24"/>
          <w:szCs w:val="24"/>
        </w:rPr>
        <w:t xml:space="preserve"> </w:t>
      </w:r>
      <w:r>
        <w:rPr>
          <w:rFonts w:hint="eastAsia" w:ascii="仿宋_GB2312" w:hAnsi="仿宋" w:eastAsia="仿宋_GB2312" w:cs="Times New Roman"/>
          <w:sz w:val="24"/>
          <w:szCs w:val="24"/>
        </w:rPr>
        <w:t xml:space="preserve"> 13.19.3</w:t>
      </w:r>
      <w:r>
        <w:rPr>
          <w:rFonts w:hint="eastAsia" w:ascii="仿宋_GB2312" w:hAnsi="仿宋" w:eastAsia="仿宋_GB2312" w:cs="仿宋_GB2312"/>
          <w:sz w:val="24"/>
          <w:szCs w:val="24"/>
        </w:rPr>
        <w:t>提供虚假的项目负责人或者主要技术人员简历、劳动关系证明；</w:t>
      </w:r>
      <w:r>
        <w:rPr>
          <w:rFonts w:hint="eastAsia" w:ascii="仿宋_GB2312" w:hAnsi="仿宋" w:eastAsia="仿宋_GB2312" w:cs="仿宋_GB2312"/>
          <w:sz w:val="24"/>
          <w:szCs w:val="24"/>
        </w:rPr>
        <w:br w:type="textWrapping"/>
      </w:r>
      <w:r>
        <w:rPr>
          <w:rFonts w:hint="eastAsia" w:ascii="宋体" w:hAnsi="宋体" w:eastAsia="宋体" w:cs="宋体"/>
          <w:sz w:val="24"/>
          <w:szCs w:val="24"/>
        </w:rPr>
        <w:t>  </w:t>
      </w:r>
      <w:r>
        <w:rPr>
          <w:rFonts w:hint="eastAsia" w:ascii="仿宋_GB2312" w:hAnsi="仿宋" w:eastAsia="仿宋_GB2312" w:cs="仿宋_GB2312"/>
          <w:sz w:val="24"/>
          <w:szCs w:val="24"/>
        </w:rPr>
        <w:t xml:space="preserve"> </w:t>
      </w:r>
      <w:r>
        <w:rPr>
          <w:rFonts w:hint="eastAsia" w:ascii="仿宋_GB2312" w:hAnsi="仿宋" w:eastAsia="仿宋_GB2312" w:cs="Times New Roman"/>
          <w:sz w:val="24"/>
          <w:szCs w:val="24"/>
        </w:rPr>
        <w:t xml:space="preserve"> 13.19.4</w:t>
      </w:r>
      <w:r>
        <w:rPr>
          <w:rFonts w:hint="eastAsia" w:ascii="仿宋_GB2312" w:hAnsi="仿宋" w:eastAsia="仿宋_GB2312" w:cs="仿宋_GB2312"/>
          <w:sz w:val="24"/>
          <w:szCs w:val="24"/>
        </w:rPr>
        <w:t>提供虚假的信用状况；</w:t>
      </w:r>
      <w:r>
        <w:rPr>
          <w:rFonts w:hint="eastAsia" w:ascii="仿宋_GB2312" w:hAnsi="仿宋" w:eastAsia="仿宋_GB2312" w:cs="仿宋_GB2312"/>
          <w:sz w:val="24"/>
          <w:szCs w:val="24"/>
        </w:rPr>
        <w:br w:type="textWrapping"/>
      </w:r>
      <w:r>
        <w:rPr>
          <w:rFonts w:hint="eastAsia" w:ascii="宋体" w:hAnsi="宋体" w:eastAsia="宋体" w:cs="宋体"/>
          <w:sz w:val="24"/>
          <w:szCs w:val="24"/>
        </w:rPr>
        <w:t> </w:t>
      </w:r>
      <w:r>
        <w:rPr>
          <w:rFonts w:hint="eastAsia" w:ascii="仿宋_GB2312" w:hAnsi="仿宋" w:eastAsia="仿宋_GB2312" w:cs="仿宋_GB2312"/>
          <w:sz w:val="24"/>
          <w:szCs w:val="24"/>
        </w:rPr>
        <w:t xml:space="preserve">   </w:t>
      </w:r>
      <w:r>
        <w:rPr>
          <w:rFonts w:hint="eastAsia" w:ascii="仿宋_GB2312" w:hAnsi="仿宋" w:eastAsia="仿宋_GB2312" w:cs="Times New Roman"/>
          <w:sz w:val="24"/>
          <w:szCs w:val="24"/>
        </w:rPr>
        <w:t xml:space="preserve"> 13.19.5</w:t>
      </w:r>
      <w:r>
        <w:rPr>
          <w:rFonts w:hint="eastAsia" w:ascii="仿宋_GB2312" w:hAnsi="仿宋" w:eastAsia="仿宋_GB2312" w:cs="仿宋_GB2312"/>
          <w:sz w:val="24"/>
          <w:szCs w:val="24"/>
        </w:rPr>
        <w:t>其他弄虚作假的行为。</w:t>
      </w:r>
      <w:r>
        <w:rPr>
          <w:rFonts w:hint="eastAsia" w:ascii="仿宋_GB2312" w:hAnsi="仿宋" w:eastAsia="仿宋_GB2312" w:cs="仿宋_GB2312"/>
          <w:sz w:val="24"/>
          <w:szCs w:val="24"/>
        </w:rPr>
        <w:br w:type="textWrapping"/>
      </w:r>
      <w:r>
        <w:rPr>
          <w:rFonts w:hint="eastAsia" w:ascii="仿宋_GB2312" w:hAnsi="仿宋" w:eastAsia="仿宋_GB2312" w:cs="Times New Roman"/>
          <w:sz w:val="24"/>
          <w:szCs w:val="24"/>
        </w:rPr>
        <w:t xml:space="preserve">    13.20</w:t>
      </w:r>
      <w:r>
        <w:rPr>
          <w:rFonts w:hint="eastAsia" w:ascii="仿宋_GB2312" w:hAnsi="仿宋" w:eastAsia="仿宋_GB2312" w:cs="仿宋_GB2312"/>
          <w:sz w:val="24"/>
          <w:szCs w:val="24"/>
        </w:rPr>
        <w:t>投标人有恶意串通、妨碍其他投标人的竞争行为、损害采购人或者其他投标人的合法权益情形的；有下列情形之一的，属于或视为恶意串通，其投标无效：</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13.20.1</w:t>
      </w:r>
      <w:r>
        <w:rPr>
          <w:rFonts w:hint="eastAsia" w:ascii="仿宋_GB2312" w:hAnsi="仿宋" w:eastAsia="仿宋_GB2312" w:cs="仿宋_GB2312"/>
          <w:sz w:val="24"/>
          <w:szCs w:val="24"/>
        </w:rPr>
        <w:t>供应商直接或者间接从采购人或者采购机构处获得其他供应商的相关情况并修改其投标文件或者响应文件；</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13.20.2</w:t>
      </w:r>
      <w:r>
        <w:rPr>
          <w:rFonts w:hint="eastAsia" w:ascii="仿宋_GB2312" w:hAnsi="仿宋" w:eastAsia="仿宋_GB2312" w:cs="仿宋_GB2312"/>
          <w:sz w:val="24"/>
          <w:szCs w:val="24"/>
        </w:rPr>
        <w:t>供应商按照采购人或者采购机构的授意撤换、修改投标文件或者响应文件；</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13.20.3</w:t>
      </w:r>
      <w:r>
        <w:rPr>
          <w:rFonts w:hint="eastAsia" w:ascii="仿宋_GB2312" w:hAnsi="仿宋" w:eastAsia="仿宋_GB2312" w:cs="仿宋_GB2312"/>
          <w:sz w:val="24"/>
          <w:szCs w:val="24"/>
        </w:rPr>
        <w:t>供应商之间协商报价、技术方案等投标文件或者响应文件的实质性内容；</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13.20.4</w:t>
      </w:r>
      <w:r>
        <w:rPr>
          <w:rFonts w:hint="eastAsia" w:ascii="仿宋_GB2312" w:hAnsi="仿宋" w:eastAsia="仿宋_GB2312" w:cs="仿宋_GB2312"/>
          <w:sz w:val="24"/>
          <w:szCs w:val="24"/>
        </w:rPr>
        <w:t>属于同一集团、协会、商会等组织成员的供应商按照该组织要求协同参加政府采购活动；</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13.20.5</w:t>
      </w:r>
      <w:r>
        <w:rPr>
          <w:rFonts w:hint="eastAsia" w:ascii="仿宋_GB2312" w:hAnsi="仿宋" w:eastAsia="仿宋_GB2312" w:cs="仿宋_GB2312"/>
          <w:sz w:val="24"/>
          <w:szCs w:val="24"/>
        </w:rPr>
        <w:t>供应商之间事先约定由某一特定供应商中标、成交；</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13.20.6</w:t>
      </w:r>
      <w:r>
        <w:rPr>
          <w:rFonts w:hint="eastAsia" w:ascii="仿宋_GB2312" w:hAnsi="仿宋" w:eastAsia="仿宋_GB2312" w:cs="仿宋_GB2312"/>
          <w:sz w:val="24"/>
          <w:szCs w:val="24"/>
        </w:rPr>
        <w:t>供应商之间商定部分供应商放弃参加政府采购活动或者放弃中标、成交；</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13.20.7</w:t>
      </w:r>
      <w:r>
        <w:rPr>
          <w:rFonts w:hint="eastAsia" w:ascii="仿宋_GB2312" w:hAnsi="仿宋" w:eastAsia="仿宋_GB2312" w:cs="仿宋_GB2312"/>
          <w:sz w:val="24"/>
          <w:szCs w:val="24"/>
        </w:rPr>
        <w:t>供应商与采购人或者采购机构之间、供应商相互之间，为谋求特定供应商中标、成交或者排斥其他供应商的其他串通行为。</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13.20.8</w:t>
      </w:r>
      <w:r>
        <w:rPr>
          <w:rFonts w:hint="eastAsia" w:ascii="仿宋_GB2312" w:hAnsi="仿宋" w:eastAsia="仿宋_GB2312" w:cs="仿宋_GB2312"/>
          <w:sz w:val="24"/>
          <w:szCs w:val="24"/>
        </w:rPr>
        <w:t>不同投标人的投标文件由同一单位或者个人编制；</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13.20.9</w:t>
      </w:r>
      <w:r>
        <w:rPr>
          <w:rFonts w:hint="eastAsia" w:ascii="仿宋_GB2312" w:hAnsi="仿宋" w:eastAsia="仿宋_GB2312" w:cs="仿宋_GB2312"/>
          <w:sz w:val="24"/>
          <w:szCs w:val="24"/>
        </w:rPr>
        <w:t>不同投标人委托同一单位或者个人办理投标事宜；</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13.20.10</w:t>
      </w:r>
      <w:r>
        <w:rPr>
          <w:rFonts w:hint="eastAsia" w:ascii="仿宋_GB2312" w:hAnsi="仿宋" w:eastAsia="仿宋_GB2312" w:cs="仿宋_GB2312"/>
          <w:sz w:val="24"/>
          <w:szCs w:val="24"/>
        </w:rPr>
        <w:t>不同投标人的投标文件载明的项目管理成员或者联系人员为同一人；</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13.20.11</w:t>
      </w:r>
      <w:r>
        <w:rPr>
          <w:rFonts w:hint="eastAsia" w:ascii="仿宋_GB2312" w:hAnsi="仿宋" w:eastAsia="仿宋_GB2312" w:cs="仿宋_GB2312"/>
          <w:sz w:val="24"/>
          <w:szCs w:val="24"/>
        </w:rPr>
        <w:t>不同投标人的投标文件异常一致或者投标报价呈规律性差异；</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13.20.12</w:t>
      </w:r>
      <w:r>
        <w:rPr>
          <w:rFonts w:hint="eastAsia" w:ascii="仿宋_GB2312" w:hAnsi="仿宋" w:eastAsia="仿宋_GB2312" w:cs="仿宋_GB2312"/>
          <w:sz w:val="24"/>
          <w:szCs w:val="24"/>
        </w:rPr>
        <w:t>不同投标人的投标文件相互混装；</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13.21</w:t>
      </w:r>
      <w:r>
        <w:rPr>
          <w:rFonts w:hint="eastAsia" w:ascii="仿宋_GB2312" w:hAnsi="仿宋" w:eastAsia="仿宋_GB2312" w:cs="仿宋_GB2312"/>
          <w:sz w:val="24"/>
          <w:szCs w:val="24"/>
        </w:rPr>
        <w:t>投标人仅提交备份投标文件，没有在电子交易平台传输递交投标文件的，投标无效；</w:t>
      </w:r>
    </w:p>
    <w:p>
      <w:pPr>
        <w:adjustRightIn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Times New Roman"/>
          <w:sz w:val="24"/>
          <w:szCs w:val="24"/>
        </w:rPr>
        <w:t>13.22</w:t>
      </w:r>
      <w:r>
        <w:rPr>
          <w:rFonts w:hint="eastAsia" w:ascii="仿宋_GB2312" w:hAnsi="仿宋" w:eastAsia="仿宋_GB2312" w:cs="仿宋_GB2312"/>
          <w:sz w:val="24"/>
          <w:szCs w:val="24"/>
        </w:rPr>
        <w:t>法律、法规、规章（适用本市的）及省级以上规范性文件（适用本市的）规定的其他无效情形。</w:t>
      </w:r>
    </w:p>
    <w:p>
      <w:pPr>
        <w:adjustRightInd w:val="0"/>
        <w:spacing w:line="360" w:lineRule="auto"/>
        <w:ind w:firstLine="240" w:firstLineChars="100"/>
        <w:rPr>
          <w:rFonts w:ascii="仿宋_GB2312" w:hAnsi="仿宋" w:eastAsia="仿宋_GB2312" w:cs="仿宋_GB2312"/>
          <w:sz w:val="24"/>
          <w:szCs w:val="21"/>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r>
        <w:rPr>
          <w:rFonts w:hint="eastAsia" w:ascii="仿宋_GB2312" w:hAnsi="仿宋" w:eastAsia="仿宋_GB2312" w:cs="仿宋_GB2312"/>
          <w:b/>
          <w:sz w:val="32"/>
          <w:szCs w:val="24"/>
        </w:rPr>
        <w:t xml:space="preserve">五、评标报告。 </w:t>
      </w:r>
    </w:p>
    <w:p>
      <w:pPr>
        <w:adjustRightInd w:val="0"/>
        <w:spacing w:line="360" w:lineRule="auto"/>
        <w:rPr>
          <w:rFonts w:ascii="仿宋_GB2312" w:hAnsi="仿宋" w:eastAsia="仿宋_GB2312" w:cs="仿宋_GB2312"/>
          <w:sz w:val="24"/>
          <w:szCs w:val="24"/>
        </w:rPr>
      </w:pPr>
      <w:r>
        <w:rPr>
          <w:rFonts w:hint="eastAsia" w:ascii="仿宋_GB2312" w:hAnsi="仿宋" w:eastAsia="仿宋_GB2312" w:cs="仿宋_GB2312"/>
          <w:b/>
          <w:sz w:val="24"/>
          <w:szCs w:val="24"/>
        </w:rPr>
        <w:t>14. 评标报告与推荐中标候选人。</w:t>
      </w:r>
      <w:r>
        <w:rPr>
          <w:rFonts w:hint="eastAsia" w:ascii="仿宋_GB2312" w:hAnsi="仿宋" w:eastAsia="仿宋_GB2312" w:cs="仿宋_GB2312"/>
          <w:sz w:val="24"/>
          <w:szCs w:val="24"/>
        </w:rPr>
        <w:t>评标委员会根据原始评标记录和评标结果编写评标报告，并通过电子交易平台向采购人、采购机构提交。</w:t>
      </w:r>
    </w:p>
    <w:p>
      <w:pPr>
        <w:widowControl/>
        <w:spacing w:before="100" w:beforeAutospacing="1" w:after="100" w:afterAutospacing="1" w:line="360" w:lineRule="auto"/>
        <w:jc w:val="left"/>
        <w:rPr>
          <w:rFonts w:ascii="仿宋_GB2312" w:hAnsi="仿宋" w:eastAsia="仿宋_GB2312" w:cs="仿宋_GB2312"/>
          <w:sz w:val="24"/>
          <w:szCs w:val="24"/>
        </w:rPr>
      </w:pPr>
      <w:r>
        <w:rPr>
          <w:rFonts w:hint="eastAsia" w:ascii="仿宋_GB2312" w:hAnsi="仿宋" w:eastAsia="仿宋_GB2312" w:cs="仿宋_GB2312"/>
          <w:b/>
          <w:sz w:val="24"/>
          <w:szCs w:val="24"/>
        </w:rPr>
        <w:t>15. 评标争议事项处理。</w:t>
      </w:r>
      <w:r>
        <w:rPr>
          <w:rFonts w:hint="eastAsia" w:ascii="仿宋_GB2312" w:hAnsi="仿宋" w:eastAsia="仿宋_GB2312" w:cs="仿宋_GB2312"/>
          <w:sz w:val="24"/>
          <w:szCs w:val="24"/>
        </w:rPr>
        <w:t>评标委员会成员对需要共同认定的事项存在争议的，应当按照少数服从多数的原则作出结论。持不同意见的评标委员会成员应当在评标报告上签署不同意见及理由，否则视为同意评标报告。</w:t>
      </w:r>
    </w:p>
    <w:p>
      <w:pPr>
        <w:widowControl/>
        <w:spacing w:before="100" w:beforeAutospacing="1" w:after="100" w:afterAutospacing="1" w:line="360" w:lineRule="auto"/>
        <w:jc w:val="left"/>
        <w:rPr>
          <w:rFonts w:ascii="仿宋_GB2312" w:hAnsi="ˎ̥" w:eastAsia="仿宋_GB2312" w:cs="宋体"/>
          <w:kern w:val="0"/>
          <w:sz w:val="24"/>
          <w:szCs w:val="24"/>
        </w:rPr>
      </w:pPr>
      <w:r>
        <w:rPr>
          <w:rFonts w:hint="eastAsia" w:ascii="仿宋_GB2312" w:hAnsi="仿宋" w:eastAsia="仿宋_GB2312" w:cs="仿宋_GB2312"/>
          <w:sz w:val="24"/>
          <w:szCs w:val="24"/>
        </w:rPr>
        <w:t xml:space="preserve">                    </w:t>
      </w:r>
    </w:p>
    <w:p>
      <w:pPr>
        <w:widowControl/>
        <w:spacing w:before="100" w:beforeAutospacing="1" w:after="100" w:afterAutospacing="1" w:line="360" w:lineRule="auto"/>
        <w:jc w:val="center"/>
        <w:rPr>
          <w:rFonts w:ascii="仿宋_GB2312" w:hAnsi="仿宋" w:eastAsia="仿宋_GB2312" w:cs="仿宋_GB2312"/>
          <w:b/>
          <w:sz w:val="32"/>
          <w:szCs w:val="24"/>
        </w:rPr>
      </w:pPr>
      <w:r>
        <w:rPr>
          <w:rFonts w:hint="eastAsia" w:ascii="仿宋_GB2312" w:hAnsi="仿宋" w:eastAsia="仿宋_GB2312" w:cs="仿宋_GB2312"/>
          <w:b/>
          <w:sz w:val="32"/>
          <w:szCs w:val="24"/>
        </w:rPr>
        <w:t>六、 废标</w:t>
      </w:r>
    </w:p>
    <w:p>
      <w:pPr>
        <w:adjustRightInd w:val="0"/>
        <w:snapToGrid w:val="0"/>
        <w:spacing w:after="120" w:line="360" w:lineRule="auto"/>
        <w:rPr>
          <w:rFonts w:ascii="仿宋_GB2312" w:hAnsi="仿宋" w:eastAsia="仿宋_GB2312" w:cs="仿宋_GB2312"/>
          <w:sz w:val="24"/>
          <w:szCs w:val="24"/>
        </w:rPr>
      </w:pPr>
      <w:r>
        <w:rPr>
          <w:rFonts w:hint="eastAsia" w:ascii="仿宋_GB2312" w:hAnsi="仿宋" w:eastAsia="仿宋_GB2312" w:cs="仿宋_GB2312"/>
          <w:b/>
          <w:sz w:val="24"/>
          <w:szCs w:val="24"/>
        </w:rPr>
        <w:t>16.废标。</w:t>
      </w:r>
      <w:r>
        <w:rPr>
          <w:rFonts w:hint="eastAsia" w:ascii="仿宋_GB2312" w:hAnsi="仿宋" w:eastAsia="仿宋_GB2312" w:cs="仿宋_GB2312"/>
          <w:sz w:val="24"/>
          <w:szCs w:val="24"/>
        </w:rPr>
        <w:t>根据《中华人民共和国政府采购法》第三十六条之规定，在采购中，出现下列情形之一的，应予废标：</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16.1符合专业条件的供应商或者对招标文件作实质响应的供应商不足3家的；</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16.2出现影响采购公正的违法、违规行为的；</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16.3投标人的报价均超过了采购预算，采购人不能支付的；</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16.4因重大变故，采购任务取消的。</w:t>
      </w:r>
    </w:p>
    <w:p>
      <w:pPr>
        <w:adjustRightInd w:val="0"/>
        <w:snapToGrid w:val="0"/>
        <w:spacing w:after="120" w:line="360" w:lineRule="auto"/>
        <w:ind w:left="420" w:leftChars="200"/>
        <w:rPr>
          <w:rFonts w:ascii="仿宋_GB2312" w:hAnsi="仿宋" w:eastAsia="仿宋_GB2312" w:cs="仿宋_GB2312"/>
          <w:sz w:val="24"/>
          <w:szCs w:val="24"/>
        </w:rPr>
      </w:pPr>
      <w:r>
        <w:rPr>
          <w:rFonts w:hint="eastAsia" w:ascii="仿宋_GB2312" w:hAnsi="仿宋" w:eastAsia="仿宋_GB2312" w:cs="仿宋_GB2312"/>
          <w:sz w:val="24"/>
          <w:szCs w:val="24"/>
        </w:rPr>
        <w:t>废标后，采购机构应当将废标理由通知所有投标人。</w:t>
      </w:r>
    </w:p>
    <w:p>
      <w:pPr>
        <w:adjustRightInd w:val="0"/>
        <w:snapToGrid w:val="0"/>
        <w:spacing w:after="120" w:line="360" w:lineRule="auto"/>
        <w:ind w:left="420" w:leftChars="200"/>
        <w:rPr>
          <w:rFonts w:ascii="仿宋_GB2312" w:hAnsi="仿宋" w:eastAsia="仿宋_GB2312" w:cs="仿宋_GB2312"/>
          <w:szCs w:val="24"/>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r>
        <w:rPr>
          <w:rFonts w:hint="eastAsia" w:ascii="仿宋_GB2312" w:hAnsi="仿宋" w:eastAsia="仿宋_GB2312" w:cs="仿宋_GB2312"/>
          <w:b/>
          <w:sz w:val="32"/>
          <w:szCs w:val="24"/>
        </w:rPr>
        <w:t>七、 重新组织采购</w:t>
      </w:r>
    </w:p>
    <w:p>
      <w:pPr>
        <w:adjustRightInd w:val="0"/>
        <w:snapToGrid w:val="0"/>
        <w:spacing w:after="120" w:line="360" w:lineRule="auto"/>
        <w:rPr>
          <w:rFonts w:ascii="仿宋_GB2312" w:hAnsi="仿宋" w:eastAsia="仿宋_GB2312" w:cs="仿宋_GB2312"/>
          <w:sz w:val="24"/>
          <w:szCs w:val="24"/>
        </w:rPr>
      </w:pPr>
      <w:r>
        <w:rPr>
          <w:rFonts w:hint="eastAsia" w:ascii="仿宋_GB2312" w:hAnsi="仿宋" w:eastAsia="仿宋_GB2312" w:cs="仿宋_GB2312"/>
          <w:b/>
          <w:sz w:val="24"/>
          <w:szCs w:val="24"/>
        </w:rPr>
        <w:t>17.修改招标文件，重新组织采购活动。</w:t>
      </w:r>
      <w:r>
        <w:rPr>
          <w:rFonts w:hint="eastAsia" w:ascii="仿宋_GB2312" w:hAnsi="仿宋" w:eastAsia="仿宋_GB2312" w:cs="仿宋_GB2312"/>
          <w:sz w:val="24"/>
          <w:szCs w:val="24"/>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adjustRightInd w:val="0"/>
        <w:snapToGrid w:val="0"/>
        <w:spacing w:after="120" w:line="360" w:lineRule="auto"/>
        <w:rPr>
          <w:rFonts w:ascii="仿宋_GB2312" w:hAnsi="仿宋" w:eastAsia="仿宋_GB2312" w:cs="仿宋_GB2312"/>
          <w:sz w:val="24"/>
          <w:szCs w:val="24"/>
        </w:rPr>
      </w:pPr>
      <w:r>
        <w:rPr>
          <w:rFonts w:hint="eastAsia" w:ascii="仿宋_GB2312" w:hAnsi="Helvetica" w:eastAsia="仿宋_GB2312" w:cs="Helvetica"/>
          <w:b/>
          <w:kern w:val="0"/>
          <w:sz w:val="24"/>
          <w:szCs w:val="24"/>
        </w:rPr>
        <w:t>18.重新开展采购。</w:t>
      </w:r>
      <w:r>
        <w:rPr>
          <w:rFonts w:hint="eastAsia" w:ascii="仿宋_GB2312" w:hAnsi="仿宋" w:eastAsia="仿宋_GB2312" w:cs="仿宋_GB2312"/>
          <w:sz w:val="24"/>
          <w:szCs w:val="24"/>
        </w:rPr>
        <w:t>有政府采购法第七十一条、第七十二条规定的违法行为之一，影响或者可能影响中标、成交结果的，依照下列规定处理：</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18.1未确定中标或者中标人的，终止本次政府采购活动，重新开展政府采购活动。</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18.2已确定中标或者中标人但尚未签订政府采购合同的，中标或者成交结果无效，从合格的中标或者成交候选人中另行确定中标或者中标人；没有合格的中标或者成交候选人的，重新开展政府采购活动。</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18.3政府采购合同已签订但尚未履行的，撤销合同，从合格的中标或者成交候选人中另行确定中标或者中标人；没有合格的中标或者成交候选人的，重新开展政府采购活动。</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18.4政府采购合同已经履行，给采购人、供应商造成损失的，由责任人承担赔偿责任。</w:t>
      </w:r>
    </w:p>
    <w:p>
      <w:pPr>
        <w:adjustRightInd w:val="0"/>
        <w:snapToGrid w:val="0"/>
        <w:spacing w:after="120"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18.5政府采购当事人有其他违反政府采购法或者本条例规定的行为，经改正后仍然影响或者可能影响中标、成交结果或者依法被认定为中标、成交无效的，依照18.1-18.4规定处理。</w:t>
      </w:r>
    </w:p>
    <w:p>
      <w:pPr>
        <w:adjustRightInd w:val="0"/>
        <w:snapToGrid w:val="0"/>
        <w:spacing w:after="120" w:line="360" w:lineRule="auto"/>
        <w:ind w:left="420" w:leftChars="200"/>
        <w:rPr>
          <w:rFonts w:ascii="仿宋_GB2312" w:hAnsi="仿宋" w:eastAsia="仿宋_GB2312" w:cs="仿宋_GB2312"/>
          <w:szCs w:val="24"/>
        </w:rPr>
      </w:pPr>
    </w:p>
    <w:p>
      <w:pPr>
        <w:adjustRightInd w:val="0"/>
        <w:snapToGrid w:val="0"/>
        <w:spacing w:after="120" w:line="360" w:lineRule="auto"/>
        <w:ind w:left="420" w:leftChars="200"/>
        <w:rPr>
          <w:rFonts w:ascii="仿宋_GB2312" w:hAnsi="仿宋" w:eastAsia="仿宋_GB2312" w:cs="仿宋_GB2312"/>
          <w:szCs w:val="24"/>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r>
        <w:rPr>
          <w:rFonts w:hint="eastAsia" w:ascii="仿宋_GB2312" w:hAnsi="仿宋" w:eastAsia="仿宋_GB2312" w:cs="仿宋_GB2312"/>
          <w:b/>
          <w:sz w:val="32"/>
          <w:szCs w:val="24"/>
        </w:rPr>
        <w:t>八、评审过程的保密与录像</w:t>
      </w:r>
    </w:p>
    <w:p>
      <w:pPr>
        <w:widowControl/>
        <w:adjustRightInd w:val="0"/>
        <w:spacing w:line="360" w:lineRule="auto"/>
        <w:rPr>
          <w:rFonts w:ascii="仿宋_GB2312" w:hAnsi="仿宋" w:eastAsia="仿宋_GB2312" w:cs="仿宋_GB2312"/>
          <w:sz w:val="24"/>
          <w:szCs w:val="24"/>
        </w:rPr>
      </w:pPr>
      <w:r>
        <w:rPr>
          <w:rFonts w:hint="eastAsia" w:ascii="仿宋_GB2312" w:hAnsi="仿宋" w:eastAsia="仿宋_GB2312" w:cs="仿宋_GB2312"/>
          <w:b/>
          <w:sz w:val="24"/>
          <w:szCs w:val="24"/>
        </w:rPr>
        <w:t>19.保密。</w:t>
      </w:r>
      <w:r>
        <w:rPr>
          <w:rFonts w:hint="eastAsia" w:ascii="仿宋_GB2312" w:hAnsi="仿宋" w:eastAsia="仿宋_GB2312" w:cs="仿宋_GB2312"/>
          <w:sz w:val="24"/>
          <w:szCs w:val="24"/>
        </w:rPr>
        <w:t>评审活动在严格保密的情况下进行。评审过程中凡是与采购响应文件评审和比较、中标中标人推荐等评审有关的情况，以及涉及国家秘密和商业秘密等信息，评审委员会成员、采购人和采购机构工作人员、相关监督人员等与评审有关的人员应当予以保密。</w:t>
      </w:r>
    </w:p>
    <w:p>
      <w:pPr>
        <w:widowControl/>
        <w:adjustRightInd w:val="0"/>
        <w:spacing w:line="360" w:lineRule="auto"/>
        <w:rPr>
          <w:rFonts w:ascii="仿宋_GB2312" w:hAnsi="仿宋" w:eastAsia="仿宋_GB2312" w:cs="仿宋_GB2312"/>
          <w:sz w:val="24"/>
          <w:szCs w:val="24"/>
        </w:rPr>
      </w:pPr>
      <w:r>
        <w:rPr>
          <w:rFonts w:hint="eastAsia" w:ascii="仿宋_GB2312" w:hAnsi="仿宋" w:eastAsia="仿宋_GB2312" w:cs="仿宋_GB2312"/>
          <w:b/>
          <w:sz w:val="24"/>
          <w:szCs w:val="24"/>
        </w:rPr>
        <w:t>20.录音录像。</w:t>
      </w:r>
      <w:r>
        <w:rPr>
          <w:rFonts w:hint="eastAsia" w:ascii="仿宋_GB2312" w:hAnsi="仿宋" w:eastAsia="仿宋_GB2312" w:cs="仿宋_GB2312"/>
          <w:sz w:val="24"/>
          <w:szCs w:val="24"/>
        </w:rPr>
        <w:t>采购机构对评审工作现场进行全过程录音录像，录音录像资料作为采购项目文件随其他文件一并存档。</w:t>
      </w: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p>
    <w:p>
      <w:pPr>
        <w:adjustRightInd w:val="0"/>
        <w:snapToGrid w:val="0"/>
        <w:spacing w:line="360" w:lineRule="auto"/>
        <w:ind w:left="120" w:leftChars="57" w:firstLine="482" w:firstLineChars="150"/>
        <w:jc w:val="center"/>
        <w:rPr>
          <w:rFonts w:ascii="仿宋_GB2312" w:hAnsi="仿宋" w:eastAsia="仿宋_GB2312" w:cs="仿宋_GB2312"/>
          <w:b/>
          <w:sz w:val="32"/>
          <w:szCs w:val="24"/>
        </w:rPr>
      </w:pPr>
      <w:r>
        <w:rPr>
          <w:rFonts w:hint="eastAsia" w:ascii="仿宋_GB2312" w:hAnsi="仿宋" w:eastAsia="仿宋_GB2312" w:cs="仿宋_GB2312"/>
          <w:b/>
          <w:sz w:val="32"/>
          <w:szCs w:val="24"/>
        </w:rPr>
        <w:t>九、具体评标标准</w:t>
      </w:r>
    </w:p>
    <w:p>
      <w:pPr>
        <w:autoSpaceDE w:val="0"/>
        <w:autoSpaceDN w:val="0"/>
        <w:adjustRightInd w:val="0"/>
        <w:spacing w:line="460" w:lineRule="exact"/>
        <w:ind w:firstLine="482" w:firstLineChars="200"/>
        <w:rPr>
          <w:rFonts w:ascii="仿宋_GB2312" w:hAnsi="宋体" w:eastAsia="仿宋_GB2312" w:cs="Times New Roman"/>
          <w:sz w:val="24"/>
          <w:szCs w:val="24"/>
        </w:rPr>
      </w:pPr>
      <w:r>
        <w:rPr>
          <w:rFonts w:hint="eastAsia" w:ascii="仿宋_GB2312" w:hAnsi="宋体" w:eastAsia="仿宋_GB2312" w:cs="Times New Roman"/>
          <w:b/>
          <w:sz w:val="24"/>
          <w:szCs w:val="24"/>
        </w:rPr>
        <w:t>一、本项目采用综合评分法</w:t>
      </w:r>
      <w:r>
        <w:rPr>
          <w:rFonts w:hint="eastAsia" w:ascii="仿宋_GB2312" w:hAnsi="宋体" w:eastAsia="仿宋_GB2312" w:cs="Times New Roman"/>
          <w:sz w:val="24"/>
          <w:szCs w:val="24"/>
        </w:rPr>
        <w:t>，评标委员会将对各投标人的投标报价、</w:t>
      </w:r>
      <w:r>
        <w:rPr>
          <w:rFonts w:hint="eastAsia" w:ascii="仿宋_GB2312" w:hAnsi="宋体" w:eastAsia="仿宋_GB2312" w:cs="Times New Roman"/>
          <w:bCs/>
          <w:sz w:val="24"/>
          <w:szCs w:val="24"/>
        </w:rPr>
        <w:t>技术和服务方案</w:t>
      </w:r>
      <w:r>
        <w:rPr>
          <w:rFonts w:hint="eastAsia" w:ascii="仿宋_GB2312" w:hAnsi="宋体" w:eastAsia="仿宋_GB2312" w:cs="Times New Roman"/>
          <w:sz w:val="24"/>
          <w:szCs w:val="24"/>
        </w:rPr>
        <w:t>、投标人提供的资质和业绩情况等方面进行综合评审，评标委员会各成员应当独立对每个有效投标人的投标文件进行评价、打分。经统计，得出各投标人的最终评审分,按最终评审分由高到低顺序排列。得分相同的，按投标报价由低到高顺序排列，</w:t>
      </w:r>
      <w:r>
        <w:rPr>
          <w:rFonts w:hint="eastAsia" w:ascii="仿宋_GB2312" w:hAnsi="仿宋" w:eastAsia="仿宋_GB2312" w:cs="仿宋_GB2312"/>
          <w:sz w:val="24"/>
          <w:szCs w:val="21"/>
        </w:rPr>
        <w:t>得分且投标报价相同的并列</w:t>
      </w:r>
      <w:r>
        <w:rPr>
          <w:rFonts w:hint="eastAsia" w:ascii="仿宋_GB2312" w:hAnsi="宋体" w:eastAsia="仿宋_GB2312" w:cs="Times New Roman"/>
          <w:sz w:val="24"/>
          <w:szCs w:val="24"/>
        </w:rPr>
        <w:t xml:space="preserve">，并形成评标意见。 </w:t>
      </w:r>
    </w:p>
    <w:p>
      <w:pPr>
        <w:adjustRightInd w:val="0"/>
        <w:spacing w:line="460" w:lineRule="exact"/>
        <w:ind w:left="105" w:leftChars="50" w:firstLine="427" w:firstLineChars="178"/>
        <w:rPr>
          <w:rFonts w:ascii="仿宋_GB2312" w:hAnsi="宋体" w:eastAsia="仿宋_GB2312" w:cs="Times New Roman"/>
          <w:b/>
          <w:sz w:val="24"/>
          <w:szCs w:val="24"/>
        </w:rPr>
      </w:pPr>
      <w:r>
        <w:rPr>
          <w:rFonts w:hint="eastAsia" w:ascii="仿宋_GB2312" w:hAnsi="宋体" w:eastAsia="仿宋_GB2312" w:cs="Times New Roman"/>
          <w:sz w:val="24"/>
          <w:szCs w:val="24"/>
        </w:rPr>
        <w:t>各投标人的综合得分为：投标价格得分+</w:t>
      </w:r>
      <w:r>
        <w:rPr>
          <w:rFonts w:hint="eastAsia" w:ascii="仿宋_GB2312" w:hAnsi="宋体" w:eastAsia="仿宋_GB2312" w:cs="Times New Roman"/>
          <w:bCs/>
          <w:sz w:val="24"/>
          <w:szCs w:val="24"/>
        </w:rPr>
        <w:t>技术和服务方案</w:t>
      </w:r>
      <w:r>
        <w:rPr>
          <w:rFonts w:hint="eastAsia" w:ascii="仿宋_GB2312" w:hAnsi="宋体" w:eastAsia="仿宋_GB2312" w:cs="Times New Roman"/>
          <w:sz w:val="24"/>
          <w:szCs w:val="24"/>
        </w:rPr>
        <w:t>得分+投标人的资质和业绩情况得分之和，</w:t>
      </w:r>
      <w:r>
        <w:rPr>
          <w:rFonts w:hint="eastAsia" w:ascii="仿宋_GB2312" w:hAnsi="宋体" w:eastAsia="仿宋_GB2312" w:cs="Times New Roman"/>
          <w:b/>
          <w:sz w:val="24"/>
          <w:szCs w:val="24"/>
        </w:rPr>
        <w:t>总和为</w:t>
      </w:r>
      <w:r>
        <w:rPr>
          <w:rFonts w:hint="eastAsia" w:ascii="仿宋_GB2312" w:hAnsi="宋体" w:eastAsia="仿宋_GB2312" w:cs="Times New Roman"/>
          <w:b/>
          <w:sz w:val="24"/>
          <w:szCs w:val="24"/>
          <w:u w:val="single"/>
        </w:rPr>
        <w:t>100</w:t>
      </w:r>
      <w:r>
        <w:rPr>
          <w:rFonts w:hint="eastAsia" w:ascii="仿宋_GB2312" w:hAnsi="宋体" w:eastAsia="仿宋_GB2312" w:cs="Times New Roman"/>
          <w:b/>
          <w:sz w:val="24"/>
          <w:szCs w:val="24"/>
        </w:rPr>
        <w:t>分</w:t>
      </w:r>
      <w:r>
        <w:rPr>
          <w:rFonts w:hint="eastAsia" w:ascii="仿宋_GB2312" w:hAnsi="宋体" w:eastAsia="仿宋_GB2312" w:cs="Times New Roman"/>
          <w:sz w:val="24"/>
          <w:szCs w:val="24"/>
        </w:rPr>
        <w:t>，其中：</w:t>
      </w:r>
      <w:r>
        <w:rPr>
          <w:rFonts w:hint="eastAsia" w:ascii="仿宋_GB2312" w:hAnsi="仿宋" w:eastAsia="仿宋_GB2312" w:cs="Times New Roman"/>
          <w:b/>
          <w:sz w:val="24"/>
          <w:szCs w:val="24"/>
        </w:rPr>
        <w:t>投标价格得分</w:t>
      </w:r>
      <w:r>
        <w:rPr>
          <w:rFonts w:hint="eastAsia" w:ascii="仿宋_GB2312" w:hAnsi="仿宋" w:eastAsia="仿宋_GB2312" w:cs="Times New Roman"/>
          <w:b/>
          <w:sz w:val="24"/>
          <w:szCs w:val="24"/>
          <w:u w:val="single"/>
          <w:lang w:val="en-US" w:eastAsia="zh-CN"/>
        </w:rPr>
        <w:t>20</w:t>
      </w:r>
      <w:r>
        <w:rPr>
          <w:rFonts w:hint="eastAsia" w:ascii="仿宋_GB2312" w:hAnsi="仿宋" w:eastAsia="仿宋_GB2312" w:cs="Times New Roman"/>
          <w:b/>
          <w:sz w:val="24"/>
          <w:szCs w:val="24"/>
        </w:rPr>
        <w:t>分，</w:t>
      </w:r>
      <w:r>
        <w:rPr>
          <w:rFonts w:hint="eastAsia" w:ascii="仿宋_GB2312" w:hAnsi="仿宋" w:eastAsia="仿宋_GB2312" w:cs="Times New Roman"/>
          <w:b/>
          <w:bCs/>
          <w:sz w:val="24"/>
          <w:szCs w:val="24"/>
        </w:rPr>
        <w:t>技术和服务方案得分</w:t>
      </w:r>
      <w:r>
        <w:rPr>
          <w:rFonts w:hint="eastAsia" w:ascii="仿宋_GB2312" w:hAnsi="仿宋" w:eastAsia="仿宋_GB2312" w:cs="Times New Roman"/>
          <w:b/>
          <w:sz w:val="24"/>
          <w:szCs w:val="24"/>
          <w:u w:val="single"/>
          <w:lang w:val="en-US" w:eastAsia="zh-CN"/>
        </w:rPr>
        <w:t>72</w:t>
      </w:r>
      <w:r>
        <w:rPr>
          <w:rFonts w:hint="eastAsia" w:ascii="仿宋_GB2312" w:hAnsi="仿宋" w:eastAsia="仿宋_GB2312" w:cs="Times New Roman"/>
          <w:b/>
          <w:sz w:val="24"/>
          <w:szCs w:val="24"/>
        </w:rPr>
        <w:t>分，投标人的资质和业绩情况得分</w:t>
      </w:r>
      <w:r>
        <w:rPr>
          <w:rFonts w:hint="eastAsia" w:ascii="仿宋_GB2312" w:hAnsi="仿宋" w:eastAsia="仿宋_GB2312" w:cs="Times New Roman"/>
          <w:b/>
          <w:sz w:val="24"/>
          <w:szCs w:val="24"/>
          <w:u w:val="single"/>
        </w:rPr>
        <w:t xml:space="preserve"> </w:t>
      </w:r>
      <w:r>
        <w:rPr>
          <w:rFonts w:hint="eastAsia" w:ascii="仿宋_GB2312" w:hAnsi="仿宋" w:eastAsia="仿宋_GB2312" w:cs="Times New Roman"/>
          <w:b/>
          <w:sz w:val="24"/>
          <w:szCs w:val="24"/>
          <w:u w:val="single"/>
          <w:lang w:val="en-US" w:eastAsia="zh-CN"/>
        </w:rPr>
        <w:t>8</w:t>
      </w:r>
      <w:r>
        <w:rPr>
          <w:rFonts w:hint="eastAsia" w:ascii="仿宋_GB2312" w:hAnsi="仿宋" w:eastAsia="仿宋_GB2312" w:cs="Times New Roman"/>
          <w:b/>
          <w:sz w:val="24"/>
          <w:szCs w:val="24"/>
        </w:rPr>
        <w:t>分</w:t>
      </w:r>
      <w:r>
        <w:rPr>
          <w:rFonts w:hint="eastAsia" w:ascii="仿宋_GB2312" w:hAnsi="宋体" w:eastAsia="仿宋_GB2312" w:cs="Times New Roman"/>
          <w:b/>
          <w:sz w:val="24"/>
          <w:szCs w:val="24"/>
        </w:rPr>
        <w:t>。</w:t>
      </w:r>
    </w:p>
    <w:p>
      <w:pPr>
        <w:tabs>
          <w:tab w:val="left" w:pos="0"/>
        </w:tabs>
        <w:adjustRightInd w:val="0"/>
        <w:spacing w:line="460" w:lineRule="exact"/>
        <w:ind w:firstLine="542" w:firstLineChars="225"/>
        <w:rPr>
          <w:rFonts w:ascii="仿宋_GB2312" w:hAnsi="宋体" w:eastAsia="仿宋_GB2312" w:cs="Times New Roman"/>
          <w:sz w:val="24"/>
          <w:szCs w:val="24"/>
        </w:rPr>
      </w:pPr>
      <w:r>
        <w:rPr>
          <w:rFonts w:hint="eastAsia" w:ascii="仿宋_GB2312" w:hAnsi="宋体" w:eastAsia="仿宋_GB2312" w:cs="Times New Roman"/>
          <w:b/>
          <w:sz w:val="24"/>
          <w:szCs w:val="24"/>
        </w:rPr>
        <w:t>各投标人的技术和服务方案、投标人的资质和业绩情况得分为：评标委员会各成员评分的算术平均值。各投标人的投标价格得分按投标价格评分</w:t>
      </w:r>
      <w:r>
        <w:rPr>
          <w:rFonts w:hint="eastAsia" w:ascii="仿宋_GB2312" w:hAnsi="宋体" w:eastAsia="仿宋_GB2312" w:cs="宋体"/>
          <w:b/>
          <w:kern w:val="0"/>
          <w:sz w:val="24"/>
          <w:szCs w:val="24"/>
        </w:rPr>
        <w:t>公式由采购机构计算，</w:t>
      </w:r>
      <w:r>
        <w:rPr>
          <w:rFonts w:hint="eastAsia" w:ascii="仿宋_GB2312" w:hAnsi="宋体" w:eastAsia="仿宋_GB2312" w:cs="Times New Roman"/>
          <w:b/>
          <w:sz w:val="24"/>
          <w:szCs w:val="24"/>
        </w:rPr>
        <w:t>评标委员会审核。</w:t>
      </w:r>
      <w:r>
        <w:rPr>
          <w:rFonts w:hint="eastAsia" w:ascii="仿宋_GB2312" w:hAnsi="宋体" w:eastAsia="仿宋_GB2312" w:cs="Times New Roman"/>
          <w:sz w:val="24"/>
          <w:szCs w:val="24"/>
        </w:rPr>
        <w:t>根据上述评标原则，分值安排如下：</w:t>
      </w:r>
    </w:p>
    <w:p>
      <w:pPr>
        <w:keepNext w:val="0"/>
        <w:keepLines w:val="0"/>
        <w:pageBreakBefore w:val="0"/>
        <w:widowControl w:val="0"/>
        <w:kinsoku/>
        <w:wordWrap/>
        <w:overflowPunct/>
        <w:topLinePunct w:val="0"/>
        <w:bidi w:val="0"/>
        <w:adjustRightInd w:val="0"/>
        <w:spacing w:line="460" w:lineRule="exact"/>
        <w:ind w:firstLine="482" w:firstLineChars="200"/>
        <w:textAlignment w:val="auto"/>
        <w:rPr>
          <w:rFonts w:ascii="仿宋_GB2312" w:hAnsi="宋体" w:eastAsia="仿宋_GB2312" w:cs="Times New Roman"/>
          <w:b/>
          <w:color w:val="auto"/>
          <w:sz w:val="24"/>
          <w:szCs w:val="24"/>
          <w:highlight w:val="none"/>
        </w:rPr>
      </w:pPr>
      <w:r>
        <w:rPr>
          <w:rFonts w:hint="eastAsia" w:ascii="仿宋_GB2312" w:hAnsi="宋体" w:eastAsia="仿宋_GB2312" w:cs="Times New Roman"/>
          <w:b/>
          <w:sz w:val="24"/>
          <w:szCs w:val="24"/>
        </w:rPr>
        <w:t>A、投标</w:t>
      </w:r>
      <w:r>
        <w:rPr>
          <w:rFonts w:hint="eastAsia" w:ascii="仿宋_GB2312" w:hAnsi="宋体" w:eastAsia="仿宋_GB2312" w:cs="Times New Roman"/>
          <w:b/>
          <w:color w:val="auto"/>
          <w:sz w:val="24"/>
          <w:szCs w:val="24"/>
          <w:highlight w:val="none"/>
        </w:rPr>
        <w:t>价格（A=</w:t>
      </w:r>
      <w:r>
        <w:rPr>
          <w:rFonts w:hint="eastAsia" w:ascii="仿宋_GB2312" w:hAnsi="宋体" w:eastAsia="仿宋_GB2312" w:cs="Times New Roman"/>
          <w:b/>
          <w:color w:val="auto"/>
          <w:sz w:val="24"/>
          <w:szCs w:val="24"/>
          <w:highlight w:val="none"/>
          <w:u w:val="single"/>
        </w:rPr>
        <w:t xml:space="preserve"> </w:t>
      </w:r>
      <w:r>
        <w:rPr>
          <w:rFonts w:hint="eastAsia" w:ascii="仿宋_GB2312" w:hAnsi="宋体" w:eastAsia="仿宋_GB2312" w:cs="Times New Roman"/>
          <w:b/>
          <w:color w:val="auto"/>
          <w:sz w:val="24"/>
          <w:szCs w:val="24"/>
          <w:highlight w:val="none"/>
          <w:u w:val="single"/>
          <w:lang w:val="en-US" w:eastAsia="zh-CN"/>
        </w:rPr>
        <w:t>2</w:t>
      </w:r>
      <w:r>
        <w:rPr>
          <w:rFonts w:hint="eastAsia" w:ascii="仿宋_GB2312" w:hAnsi="宋体" w:eastAsia="仿宋_GB2312" w:cs="Times New Roman"/>
          <w:b/>
          <w:color w:val="auto"/>
          <w:sz w:val="24"/>
          <w:szCs w:val="24"/>
          <w:highlight w:val="none"/>
          <w:u w:val="single"/>
        </w:rPr>
        <w:t>0</w:t>
      </w:r>
      <w:r>
        <w:rPr>
          <w:rFonts w:hint="eastAsia" w:ascii="仿宋_GB2312" w:hAnsi="宋体" w:eastAsia="仿宋_GB2312" w:cs="Times New Roman"/>
          <w:b/>
          <w:color w:val="auto"/>
          <w:sz w:val="24"/>
          <w:szCs w:val="24"/>
          <w:highlight w:val="none"/>
        </w:rPr>
        <w:t>分）：</w:t>
      </w:r>
    </w:p>
    <w:p>
      <w:pPr>
        <w:keepNext w:val="0"/>
        <w:keepLines w:val="0"/>
        <w:pageBreakBefore w:val="0"/>
        <w:widowControl w:val="0"/>
        <w:kinsoku/>
        <w:wordWrap/>
        <w:overflowPunct/>
        <w:topLinePunct w:val="0"/>
        <w:bidi w:val="0"/>
        <w:adjustRightInd w:val="0"/>
        <w:spacing w:line="460" w:lineRule="exact"/>
        <w:ind w:firstLine="482" w:firstLineChars="200"/>
        <w:textAlignment w:val="auto"/>
        <w:rPr>
          <w:rFonts w:ascii="仿宋_GB2312" w:hAnsi="仿宋" w:eastAsia="仿宋_GB2312" w:cs="仿宋_GB2312"/>
          <w:color w:val="auto"/>
          <w:sz w:val="24"/>
          <w:szCs w:val="24"/>
          <w:highlight w:val="none"/>
        </w:rPr>
      </w:pPr>
      <w:r>
        <w:rPr>
          <w:rFonts w:hint="eastAsia" w:ascii="仿宋_GB2312" w:hAnsi="宋体" w:eastAsia="仿宋_GB2312" w:cs="仿宋_GB2312"/>
          <w:b/>
          <w:bCs/>
          <w:color w:val="auto"/>
          <w:sz w:val="24"/>
          <w:szCs w:val="24"/>
          <w:highlight w:val="none"/>
          <w:lang w:val="zh-CN"/>
        </w:rPr>
        <w:t>报价的合理性：</w:t>
      </w:r>
      <w:r>
        <w:rPr>
          <w:rFonts w:hint="eastAsia" w:ascii="仿宋_GB2312" w:hAnsi="宋体" w:eastAsia="仿宋_GB2312" w:cs="Times New Roman"/>
          <w:color w:val="auto"/>
          <w:sz w:val="24"/>
          <w:szCs w:val="24"/>
          <w:highlight w:val="none"/>
        </w:rPr>
        <w:t>评标委员会认为投标人的</w:t>
      </w:r>
      <w:r>
        <w:rPr>
          <w:rFonts w:hint="eastAsia" w:ascii="仿宋_GB2312" w:hAnsi="仿宋" w:eastAsia="仿宋_GB2312" w:cs="仿宋_GB2312"/>
          <w:color w:val="auto"/>
          <w:sz w:val="24"/>
          <w:szCs w:val="24"/>
          <w:highlight w:val="none"/>
        </w:rPr>
        <w:t>报价明显低于其他通过符合性审查投标人的报价，有可能影响产品质量或者不能诚信履约的，应当要求提供其在合理的时间内书面提供书面说明，必要时提交相关证明材料；投标人不能证明其报价合理性的，评标委员会应当将其作为无效投标处理;</w:t>
      </w:r>
    </w:p>
    <w:p>
      <w:pPr>
        <w:keepNext w:val="0"/>
        <w:keepLines w:val="0"/>
        <w:pageBreakBefore w:val="0"/>
        <w:widowControl w:val="0"/>
        <w:kinsoku/>
        <w:wordWrap/>
        <w:overflowPunct/>
        <w:topLinePunct w:val="0"/>
        <w:bidi w:val="0"/>
        <w:adjustRightInd w:val="0"/>
        <w:spacing w:line="460" w:lineRule="exact"/>
        <w:ind w:firstLine="480" w:firstLineChars="200"/>
        <w:textAlignment w:val="auto"/>
        <w:rPr>
          <w:rFonts w:ascii="仿宋_GB2312" w:hAnsi="宋体" w:eastAsia="仿宋_GB2312" w:cs="Times New Roman"/>
          <w:sz w:val="24"/>
          <w:szCs w:val="24"/>
        </w:rPr>
      </w:pPr>
      <w:r>
        <w:rPr>
          <w:rFonts w:hint="eastAsia" w:ascii="仿宋_GB2312" w:hAnsi="宋体" w:eastAsia="仿宋_GB2312" w:cs="仿宋_GB2312"/>
          <w:color w:val="auto"/>
          <w:sz w:val="24"/>
          <w:szCs w:val="24"/>
          <w:highlight w:val="none"/>
          <w:lang w:val="zh-CN"/>
        </w:rPr>
        <w:t>报价分计算方法：根据各投标人的有效投标报价，以满足招标文件要求且有效投标价格的最低的投标报价为评标基准价，其价格分为</w:t>
      </w:r>
      <w:r>
        <w:rPr>
          <w:rFonts w:hint="eastAsia" w:ascii="仿宋_GB2312" w:hAnsi="宋体" w:eastAsia="仿宋_GB2312" w:cs="仿宋_GB2312"/>
          <w:color w:val="auto"/>
          <w:sz w:val="24"/>
          <w:szCs w:val="24"/>
          <w:highlight w:val="none"/>
          <w:u w:val="single"/>
          <w:lang w:val="zh-CN"/>
        </w:rPr>
        <w:t xml:space="preserve"> </w:t>
      </w:r>
      <w:r>
        <w:rPr>
          <w:rFonts w:hint="eastAsia" w:ascii="仿宋_GB2312" w:hAnsi="宋体" w:eastAsia="仿宋_GB2312" w:cs="仿宋_GB2312"/>
          <w:color w:val="auto"/>
          <w:sz w:val="24"/>
          <w:szCs w:val="24"/>
          <w:highlight w:val="none"/>
          <w:u w:val="single"/>
          <w:lang w:val="en-US" w:eastAsia="zh-CN"/>
        </w:rPr>
        <w:t>20</w:t>
      </w:r>
      <w:r>
        <w:rPr>
          <w:rFonts w:hint="eastAsia" w:ascii="仿宋_GB2312" w:hAnsi="宋体" w:eastAsia="仿宋_GB2312" w:cs="仿宋_GB2312"/>
          <w:color w:val="auto"/>
          <w:sz w:val="24"/>
          <w:szCs w:val="24"/>
          <w:highlight w:val="none"/>
          <w:u w:val="single"/>
          <w:lang w:val="zh-CN"/>
        </w:rPr>
        <w:t xml:space="preserve"> </w:t>
      </w:r>
      <w:r>
        <w:rPr>
          <w:rFonts w:hint="eastAsia" w:ascii="仿宋_GB2312" w:hAnsi="宋体" w:eastAsia="仿宋_GB2312" w:cs="仿宋_GB2312"/>
          <w:color w:val="auto"/>
          <w:sz w:val="24"/>
          <w:szCs w:val="24"/>
          <w:highlight w:val="none"/>
          <w:lang w:val="zh-CN"/>
        </w:rPr>
        <w:t>分。其他投标人的价格分统一按照下列公式计算：投标报价得分＝(评标基准</w:t>
      </w:r>
      <w:r>
        <w:rPr>
          <w:rFonts w:hint="eastAsia" w:ascii="仿宋_GB2312" w:hAnsi="宋体" w:eastAsia="仿宋_GB2312" w:cs="仿宋_GB2312"/>
          <w:sz w:val="24"/>
          <w:szCs w:val="24"/>
          <w:lang w:val="zh-CN"/>
        </w:rPr>
        <w:t>价/有效投标报价)</w:t>
      </w:r>
      <w:r>
        <w:rPr>
          <w:rFonts w:hint="eastAsia" w:ascii="仿宋_GB2312" w:hAnsi="宋体" w:eastAsia="仿宋_GB2312" w:cs="Times New Roman"/>
          <w:sz w:val="24"/>
          <w:szCs w:val="24"/>
        </w:rPr>
        <w:t>×</w:t>
      </w:r>
      <w:r>
        <w:rPr>
          <w:rFonts w:hint="eastAsia" w:ascii="仿宋_GB2312" w:hAnsi="宋体" w:eastAsia="仿宋_GB2312" w:cs="仿宋_GB2312"/>
          <w:sz w:val="24"/>
          <w:szCs w:val="24"/>
          <w:lang w:val="zh-CN"/>
        </w:rPr>
        <w:t>价格权值</w:t>
      </w:r>
      <w:r>
        <w:rPr>
          <w:rFonts w:hint="eastAsia" w:ascii="仿宋_GB2312" w:hAnsi="宋体" w:eastAsia="仿宋_GB2312" w:cs="Times New Roman"/>
          <w:sz w:val="24"/>
          <w:szCs w:val="24"/>
        </w:rPr>
        <w:t>×</w:t>
      </w:r>
      <w:r>
        <w:rPr>
          <w:rFonts w:hint="eastAsia" w:ascii="仿宋_GB2312" w:hAnsi="宋体" w:eastAsia="仿宋_GB2312" w:cs="仿宋_GB2312"/>
          <w:sz w:val="24"/>
          <w:szCs w:val="24"/>
          <w:lang w:val="zh-CN"/>
        </w:rPr>
        <w:t>100。</w:t>
      </w:r>
    </w:p>
    <w:p>
      <w:pPr>
        <w:keepNext w:val="0"/>
        <w:keepLines w:val="0"/>
        <w:pageBreakBefore w:val="0"/>
        <w:widowControl w:val="0"/>
        <w:kinsoku/>
        <w:wordWrap/>
        <w:overflowPunct/>
        <w:topLinePunct w:val="0"/>
        <w:bidi w:val="0"/>
        <w:snapToGrid w:val="0"/>
        <w:spacing w:line="460" w:lineRule="exact"/>
        <w:ind w:firstLine="482" w:firstLineChars="200"/>
        <w:textAlignment w:val="auto"/>
        <w:rPr>
          <w:rFonts w:ascii="仿宋" w:hAnsi="仿宋" w:eastAsia="仿宋" w:cs="仿宋"/>
          <w:sz w:val="24"/>
        </w:rPr>
      </w:pPr>
      <w:r>
        <w:rPr>
          <w:rFonts w:hint="eastAsia" w:ascii="仿宋" w:hAnsi="仿宋" w:eastAsia="仿宋" w:cs="仿宋"/>
          <w:b/>
          <w:bCs/>
          <w:sz w:val="24"/>
        </w:rPr>
        <w:t>B、技术和服务方案（B=</w:t>
      </w:r>
      <w:r>
        <w:rPr>
          <w:rFonts w:hint="eastAsia" w:ascii="仿宋" w:hAnsi="仿宋" w:eastAsia="仿宋" w:cs="仿宋"/>
          <w:b/>
          <w:bCs/>
          <w:sz w:val="24"/>
          <w:lang w:val="en-US" w:eastAsia="zh-CN"/>
        </w:rPr>
        <w:t>72</w:t>
      </w:r>
      <w:r>
        <w:rPr>
          <w:rFonts w:hint="eastAsia" w:ascii="仿宋" w:hAnsi="仿宋" w:eastAsia="仿宋" w:cs="仿宋"/>
          <w:b/>
          <w:bCs/>
          <w:sz w:val="24"/>
        </w:rPr>
        <w:t>分）：</w:t>
      </w:r>
      <w:r>
        <w:rPr>
          <w:rFonts w:hint="eastAsia" w:ascii="仿宋" w:hAnsi="仿宋" w:eastAsia="仿宋" w:cs="仿宋"/>
          <w:sz w:val="24"/>
        </w:rPr>
        <w:t xml:space="preserve"> </w:t>
      </w:r>
    </w:p>
    <w:p>
      <w:pPr>
        <w:pStyle w:val="2"/>
        <w:keepNext w:val="0"/>
        <w:keepLines w:val="0"/>
        <w:pageBreakBefore w:val="0"/>
        <w:widowControl w:val="0"/>
        <w:numPr>
          <w:ilvl w:val="0"/>
          <w:numId w:val="33"/>
        </w:numPr>
        <w:kinsoku/>
        <w:wordWrap/>
        <w:overflowPunct/>
        <w:topLinePunct w:val="0"/>
        <w:bidi w:val="0"/>
        <w:spacing w:line="460" w:lineRule="exact"/>
        <w:ind w:left="148" w:leftChars="0" w:firstLine="482" w:firstLineChars="0"/>
        <w:textAlignment w:val="auto"/>
        <w:rPr>
          <w:rFonts w:hint="eastAsia" w:ascii="仿宋_GB2312" w:hAnsi="宋体" w:eastAsia="仿宋_GB2312"/>
          <w:b/>
          <w:bCs/>
          <w:sz w:val="24"/>
          <w:highlight w:val="none"/>
        </w:rPr>
      </w:pPr>
      <w:r>
        <w:rPr>
          <w:rFonts w:hint="eastAsia" w:ascii="仿宋_GB2312" w:hAnsi="宋体" w:eastAsia="仿宋_GB2312"/>
          <w:b/>
          <w:bCs/>
          <w:sz w:val="24"/>
          <w:highlight w:val="none"/>
          <w:lang w:eastAsia="zh-CN"/>
        </w:rPr>
        <w:t>技术方案要求</w:t>
      </w:r>
      <w:r>
        <w:rPr>
          <w:rFonts w:hint="eastAsia" w:ascii="仿宋_GB2312" w:hAnsi="宋体" w:eastAsia="仿宋_GB2312"/>
          <w:b/>
          <w:bCs/>
          <w:sz w:val="24"/>
          <w:highlight w:val="none"/>
        </w:rPr>
        <w:t>（</w:t>
      </w:r>
      <w:r>
        <w:rPr>
          <w:rFonts w:hint="eastAsia" w:ascii="仿宋_GB2312" w:hAnsi="宋体" w:eastAsia="仿宋_GB2312"/>
          <w:b/>
          <w:bCs/>
          <w:sz w:val="24"/>
          <w:highlight w:val="none"/>
          <w:lang w:val="en-US" w:eastAsia="zh-CN"/>
        </w:rPr>
        <w:t>22</w:t>
      </w:r>
      <w:r>
        <w:rPr>
          <w:rFonts w:hint="eastAsia" w:ascii="仿宋_GB2312" w:hAnsi="宋体" w:eastAsia="仿宋_GB2312"/>
          <w:b/>
          <w:bCs/>
          <w:sz w:val="24"/>
          <w:highlight w:val="none"/>
        </w:rPr>
        <w:t>分）：</w:t>
      </w:r>
    </w:p>
    <w:p>
      <w:pPr>
        <w:keepNext w:val="0"/>
        <w:keepLines w:val="0"/>
        <w:pageBreakBefore w:val="0"/>
        <w:widowControl w:val="0"/>
        <w:shd w:val="clear"/>
        <w:kinsoku/>
        <w:wordWrap/>
        <w:overflowPunct/>
        <w:topLinePunct w:val="0"/>
        <w:bidi w:val="0"/>
        <w:spacing w:line="460" w:lineRule="exact"/>
        <w:ind w:firstLine="480" w:firstLineChars="200"/>
        <w:textAlignment w:val="auto"/>
        <w:rPr>
          <w:rFonts w:hint="eastAsia" w:ascii="仿宋_GB2312" w:hAnsi="宋体" w:eastAsia="仿宋_GB2312"/>
          <w:bCs/>
          <w:sz w:val="24"/>
          <w:highlight w:val="none"/>
          <w:lang w:val="zh-TW" w:eastAsia="zh-CN"/>
        </w:rPr>
      </w:pPr>
      <w:r>
        <w:rPr>
          <w:rFonts w:hint="eastAsia" w:ascii="仿宋_GB2312" w:hAnsi="仿宋_GB2312" w:eastAsia="仿宋_GB2312" w:cs="仿宋_GB2312"/>
          <w:kern w:val="2"/>
          <w:sz w:val="24"/>
          <w:szCs w:val="24"/>
          <w:highlight w:val="none"/>
          <w:lang w:val="en-US" w:eastAsia="zh-CN" w:bidi="ar-SA"/>
        </w:rPr>
        <w:t>●</w:t>
      </w:r>
      <w:r>
        <w:rPr>
          <w:rFonts w:hint="eastAsia" w:ascii="仿宋_GB2312" w:hAnsi="宋体" w:eastAsia="仿宋_GB2312"/>
          <w:bCs/>
          <w:sz w:val="24"/>
          <w:highlight w:val="none"/>
          <w:lang w:val="zh-TW" w:eastAsia="zh-CN"/>
        </w:rPr>
        <w:t>根据投标人对本项目的熟悉程度、对项目需求的理解程度、总体思路、目标定位是否明确清晰进行评议，了解园区的现状情况，充分理解用户需求的得</w:t>
      </w:r>
      <w:r>
        <w:rPr>
          <w:rFonts w:hint="eastAsia" w:ascii="仿宋_GB2312" w:hAnsi="宋体" w:eastAsia="仿宋_GB2312"/>
          <w:bCs/>
          <w:sz w:val="24"/>
          <w:highlight w:val="none"/>
          <w:lang w:val="en-US" w:eastAsia="zh-CN"/>
        </w:rPr>
        <w:t>3</w:t>
      </w:r>
      <w:r>
        <w:rPr>
          <w:rFonts w:hint="eastAsia" w:ascii="仿宋_GB2312" w:hAnsi="宋体" w:eastAsia="仿宋_GB2312"/>
          <w:bCs/>
          <w:sz w:val="24"/>
          <w:highlight w:val="none"/>
          <w:lang w:val="zh-TW" w:eastAsia="zh-CN"/>
        </w:rPr>
        <w:t>分；理解项目建设背景和建设需求，并且对项目建设内容基本理解的得</w:t>
      </w:r>
      <w:r>
        <w:rPr>
          <w:rFonts w:hint="eastAsia" w:ascii="仿宋_GB2312" w:hAnsi="宋体" w:eastAsia="仿宋_GB2312"/>
          <w:bCs/>
          <w:sz w:val="24"/>
          <w:highlight w:val="none"/>
          <w:lang w:val="en-US" w:eastAsia="zh-CN"/>
        </w:rPr>
        <w:t>2</w:t>
      </w:r>
      <w:r>
        <w:rPr>
          <w:rFonts w:hint="eastAsia" w:ascii="仿宋_GB2312" w:hAnsi="宋体" w:eastAsia="仿宋_GB2312"/>
          <w:bCs/>
          <w:sz w:val="24"/>
          <w:highlight w:val="none"/>
          <w:lang w:val="zh-TW" w:eastAsia="zh-CN"/>
        </w:rPr>
        <w:t>分；对项目背景、现状和目标理解程度一般的得1分；对本项目情况不熟悉的不得分（</w:t>
      </w:r>
      <w:r>
        <w:rPr>
          <w:rFonts w:hint="eastAsia" w:ascii="仿宋_GB2312" w:hAnsi="宋体" w:eastAsia="仿宋_GB2312"/>
          <w:bCs/>
          <w:sz w:val="24"/>
          <w:highlight w:val="none"/>
          <w:lang w:val="en-US" w:eastAsia="zh-CN"/>
        </w:rPr>
        <w:t>3分</w:t>
      </w:r>
      <w:r>
        <w:rPr>
          <w:rFonts w:hint="eastAsia" w:ascii="仿宋_GB2312" w:hAnsi="宋体" w:eastAsia="仿宋_GB2312"/>
          <w:bCs/>
          <w:sz w:val="24"/>
          <w:highlight w:val="none"/>
          <w:lang w:val="zh-TW" w:eastAsia="zh-CN"/>
        </w:rPr>
        <w:t>）；</w:t>
      </w:r>
    </w:p>
    <w:p>
      <w:pPr>
        <w:keepNext w:val="0"/>
        <w:keepLines w:val="0"/>
        <w:pageBreakBefore w:val="0"/>
        <w:widowControl w:val="0"/>
        <w:shd w:val="clear"/>
        <w:kinsoku/>
        <w:wordWrap/>
        <w:overflowPunct/>
        <w:topLinePunct w:val="0"/>
        <w:bidi w:val="0"/>
        <w:spacing w:line="460" w:lineRule="exact"/>
        <w:ind w:firstLine="480" w:firstLineChars="200"/>
        <w:textAlignment w:val="auto"/>
        <w:rPr>
          <w:rFonts w:hint="eastAsia" w:ascii="仿宋_GB2312" w:hAnsi="宋体" w:eastAsia="仿宋_GB2312"/>
          <w:bCs/>
          <w:sz w:val="24"/>
          <w:highlight w:val="none"/>
          <w:lang w:val="zh-TW" w:eastAsia="zh-CN"/>
        </w:rPr>
      </w:pPr>
      <w:r>
        <w:rPr>
          <w:rFonts w:hint="eastAsia" w:ascii="仿宋_GB2312" w:hAnsi="宋体" w:eastAsia="仿宋_GB2312"/>
          <w:bCs/>
          <w:sz w:val="24"/>
          <w:highlight w:val="none"/>
          <w:lang w:val="en-US" w:eastAsia="zh-CN"/>
        </w:rPr>
        <w:t>●投标人根据对本项目需求的理解，对</w:t>
      </w:r>
      <w:r>
        <w:rPr>
          <w:rFonts w:hint="eastAsia" w:ascii="仿宋_GB2312" w:hAnsi="宋体" w:eastAsia="仿宋_GB2312"/>
          <w:bCs/>
          <w:sz w:val="24"/>
          <w:highlight w:val="none"/>
          <w:lang w:val="zh-TW" w:eastAsia="zh-CN"/>
        </w:rPr>
        <w:t>①园区驾驶舱、②园区画像、③安全监管、④应急指挥、⑤环境监管、⑥封闭管理、⑦能源监管、⑧移动应用，提出合理的方案。内容详尽且较好满足采购人需求的，每一项得</w:t>
      </w:r>
      <w:r>
        <w:rPr>
          <w:rFonts w:hint="eastAsia" w:ascii="仿宋_GB2312" w:hAnsi="宋体" w:eastAsia="仿宋_GB2312"/>
          <w:bCs/>
          <w:sz w:val="24"/>
          <w:highlight w:val="none"/>
          <w:lang w:val="en-US" w:eastAsia="zh-CN"/>
        </w:rPr>
        <w:t>2</w:t>
      </w:r>
      <w:r>
        <w:rPr>
          <w:rFonts w:hint="eastAsia" w:ascii="仿宋_GB2312" w:hAnsi="宋体" w:eastAsia="仿宋_GB2312"/>
          <w:bCs/>
          <w:sz w:val="24"/>
          <w:highlight w:val="none"/>
          <w:lang w:val="zh-TW" w:eastAsia="zh-CN"/>
        </w:rPr>
        <w:t>分，内容缺少或部分满足采购人需求的的，每一项得</w:t>
      </w:r>
      <w:r>
        <w:rPr>
          <w:rFonts w:hint="eastAsia" w:ascii="仿宋_GB2312" w:hAnsi="宋体" w:eastAsia="仿宋_GB2312"/>
          <w:bCs/>
          <w:sz w:val="24"/>
          <w:highlight w:val="none"/>
          <w:lang w:val="en-US" w:eastAsia="zh-CN"/>
        </w:rPr>
        <w:t>1</w:t>
      </w:r>
      <w:r>
        <w:rPr>
          <w:rFonts w:hint="eastAsia" w:ascii="仿宋_GB2312" w:hAnsi="宋体" w:eastAsia="仿宋_GB2312"/>
          <w:bCs/>
          <w:sz w:val="24"/>
          <w:highlight w:val="none"/>
          <w:lang w:val="zh-TW" w:eastAsia="zh-CN"/>
        </w:rPr>
        <w:t>分，无内容或不满足采购人需求的不得分，最高得</w:t>
      </w:r>
      <w:r>
        <w:rPr>
          <w:rFonts w:hint="eastAsia" w:ascii="仿宋_GB2312" w:hAnsi="宋体" w:eastAsia="仿宋_GB2312"/>
          <w:bCs/>
          <w:sz w:val="24"/>
          <w:highlight w:val="none"/>
          <w:lang w:val="en-US" w:eastAsia="zh-CN"/>
        </w:rPr>
        <w:t>16</w:t>
      </w:r>
      <w:r>
        <w:rPr>
          <w:rFonts w:hint="eastAsia" w:ascii="仿宋_GB2312" w:hAnsi="宋体" w:eastAsia="仿宋_GB2312"/>
          <w:bCs/>
          <w:sz w:val="24"/>
          <w:highlight w:val="none"/>
          <w:lang w:val="zh-TW" w:eastAsia="zh-CN"/>
        </w:rPr>
        <w:t>分（</w:t>
      </w:r>
      <w:r>
        <w:rPr>
          <w:rFonts w:hint="eastAsia" w:ascii="仿宋_GB2312" w:hAnsi="宋体" w:eastAsia="仿宋_GB2312"/>
          <w:bCs/>
          <w:sz w:val="24"/>
          <w:highlight w:val="none"/>
          <w:lang w:val="en-US" w:eastAsia="zh-CN"/>
        </w:rPr>
        <w:t>16</w:t>
      </w:r>
      <w:r>
        <w:rPr>
          <w:rFonts w:hint="eastAsia" w:ascii="仿宋_GB2312" w:hAnsi="宋体" w:eastAsia="仿宋_GB2312"/>
          <w:bCs/>
          <w:sz w:val="24"/>
          <w:highlight w:val="none"/>
          <w:lang w:val="zh-TW" w:eastAsia="zh-CN"/>
        </w:rPr>
        <w:t>分）；</w:t>
      </w:r>
    </w:p>
    <w:p>
      <w:pPr>
        <w:shd w:val="clear"/>
        <w:spacing w:line="460" w:lineRule="exact"/>
        <w:ind w:firstLine="480" w:firstLineChars="200"/>
        <w:rPr>
          <w:rFonts w:hint="eastAsia" w:ascii="仿宋_GB2312" w:hAnsi="仿宋_GB2312" w:eastAsia="仿宋_GB2312" w:cs="仿宋_GB2312"/>
          <w:snapToGrid/>
          <w:color w:val="auto"/>
          <w:kern w:val="2"/>
          <w:sz w:val="24"/>
          <w:szCs w:val="24"/>
          <w:highlight w:val="none"/>
          <w:lang w:val="zh-TW" w:eastAsia="zh-CN" w:bidi="ar-SA"/>
        </w:rPr>
      </w:pPr>
      <w:r>
        <w:rPr>
          <w:rFonts w:hint="eastAsia" w:ascii="仿宋_GB2312" w:hAnsi="宋体" w:eastAsia="仿宋_GB2312"/>
          <w:bCs/>
          <w:sz w:val="24"/>
          <w:highlight w:val="none"/>
          <w:lang w:val="en-US" w:eastAsia="zh-CN"/>
        </w:rPr>
        <w:t>●</w:t>
      </w:r>
      <w:r>
        <w:rPr>
          <w:rFonts w:hint="eastAsia" w:ascii="仿宋_GB2312" w:hAnsi="宋体" w:eastAsia="仿宋_GB2312"/>
          <w:bCs/>
          <w:sz w:val="24"/>
          <w:highlight w:val="none"/>
          <w:lang w:val="zh-TW" w:eastAsia="zh-CN"/>
        </w:rPr>
        <w:t>根据投标人提供的化工产业大脑接入方案中化工产业大脑理解深度，所提供平台的开放性，对需要接入数据的处理方式，以及类似工作经验等进行评议。方案中化工产业大脑理解深刻，所提供的平台具有很强的开放性，平台与产业大脑接入的技术条件分析合理，接入工作资源保障措施</w:t>
      </w:r>
      <w:r>
        <w:rPr>
          <w:rFonts w:hint="eastAsia" w:ascii="仿宋_GB2312" w:hAnsi="仿宋_GB2312" w:eastAsia="仿宋_GB2312" w:cs="仿宋_GB2312"/>
          <w:snapToGrid/>
          <w:color w:val="auto"/>
          <w:kern w:val="2"/>
          <w:sz w:val="24"/>
          <w:szCs w:val="24"/>
          <w:highlight w:val="none"/>
          <w:lang w:val="zh-TW" w:eastAsia="zh-CN" w:bidi="ar-SA"/>
        </w:rPr>
        <w:t>详尽可行，接入结果评估可靠，类似工作经验丰富的得</w:t>
      </w:r>
      <w:r>
        <w:rPr>
          <w:rFonts w:hint="eastAsia" w:ascii="仿宋_GB2312" w:hAnsi="仿宋_GB2312" w:eastAsia="仿宋_GB2312" w:cs="仿宋_GB2312"/>
          <w:snapToGrid/>
          <w:color w:val="auto"/>
          <w:kern w:val="2"/>
          <w:sz w:val="24"/>
          <w:szCs w:val="24"/>
          <w:highlight w:val="none"/>
          <w:lang w:val="en-US" w:eastAsia="zh-CN" w:bidi="ar-SA"/>
        </w:rPr>
        <w:t>3</w:t>
      </w:r>
      <w:r>
        <w:rPr>
          <w:rFonts w:hint="eastAsia" w:ascii="仿宋_GB2312" w:hAnsi="仿宋_GB2312" w:eastAsia="仿宋_GB2312" w:cs="仿宋_GB2312"/>
          <w:snapToGrid/>
          <w:color w:val="auto"/>
          <w:kern w:val="2"/>
          <w:sz w:val="24"/>
          <w:szCs w:val="24"/>
          <w:highlight w:val="none"/>
          <w:lang w:val="zh-TW" w:eastAsia="zh-CN" w:bidi="ar-SA"/>
        </w:rPr>
        <w:t>分；方案中化工产业大脑理解一般，所提供的平台开放性一般，平台与产业大脑接入的技术条件分析一般，接入工作资源保障措施一般，类似工作经验一般的得</w:t>
      </w:r>
      <w:r>
        <w:rPr>
          <w:rFonts w:hint="eastAsia" w:ascii="仿宋_GB2312" w:hAnsi="仿宋_GB2312" w:eastAsia="仿宋_GB2312" w:cs="仿宋_GB2312"/>
          <w:snapToGrid/>
          <w:color w:val="auto"/>
          <w:kern w:val="2"/>
          <w:sz w:val="24"/>
          <w:szCs w:val="24"/>
          <w:highlight w:val="none"/>
          <w:lang w:val="en-US" w:eastAsia="zh-CN" w:bidi="ar-SA"/>
        </w:rPr>
        <w:t>2</w:t>
      </w:r>
      <w:r>
        <w:rPr>
          <w:rFonts w:hint="eastAsia" w:ascii="仿宋_GB2312" w:hAnsi="仿宋_GB2312" w:eastAsia="仿宋_GB2312" w:cs="仿宋_GB2312"/>
          <w:snapToGrid/>
          <w:color w:val="auto"/>
          <w:kern w:val="2"/>
          <w:sz w:val="24"/>
          <w:szCs w:val="24"/>
          <w:highlight w:val="none"/>
          <w:lang w:val="zh-TW" w:eastAsia="zh-CN" w:bidi="ar-SA"/>
        </w:rPr>
        <w:t>分；方案仅响应用户需求的得</w:t>
      </w:r>
      <w:r>
        <w:rPr>
          <w:rFonts w:hint="eastAsia" w:ascii="仿宋_GB2312" w:hAnsi="仿宋_GB2312" w:eastAsia="仿宋_GB2312" w:cs="仿宋_GB2312"/>
          <w:snapToGrid/>
          <w:color w:val="auto"/>
          <w:kern w:val="2"/>
          <w:sz w:val="24"/>
          <w:szCs w:val="24"/>
          <w:highlight w:val="none"/>
          <w:lang w:val="en-US" w:eastAsia="zh-CN" w:bidi="ar-SA"/>
        </w:rPr>
        <w:t>1</w:t>
      </w:r>
      <w:r>
        <w:rPr>
          <w:rFonts w:hint="eastAsia" w:ascii="仿宋_GB2312" w:hAnsi="仿宋_GB2312" w:eastAsia="仿宋_GB2312" w:cs="仿宋_GB2312"/>
          <w:snapToGrid/>
          <w:color w:val="auto"/>
          <w:kern w:val="2"/>
          <w:sz w:val="24"/>
          <w:szCs w:val="24"/>
          <w:highlight w:val="none"/>
          <w:lang w:val="zh-TW" w:eastAsia="zh-CN" w:bidi="ar-SA"/>
        </w:rPr>
        <w:t>分（</w:t>
      </w:r>
      <w:r>
        <w:rPr>
          <w:rFonts w:hint="eastAsia" w:ascii="仿宋_GB2312" w:hAnsi="仿宋_GB2312" w:eastAsia="仿宋_GB2312" w:cs="仿宋_GB2312"/>
          <w:snapToGrid/>
          <w:color w:val="auto"/>
          <w:kern w:val="2"/>
          <w:sz w:val="24"/>
          <w:szCs w:val="24"/>
          <w:highlight w:val="none"/>
          <w:lang w:val="en-US" w:eastAsia="zh-CN" w:bidi="ar-SA"/>
        </w:rPr>
        <w:t>3分</w:t>
      </w:r>
      <w:r>
        <w:rPr>
          <w:rFonts w:hint="eastAsia" w:ascii="仿宋_GB2312" w:hAnsi="仿宋_GB2312" w:eastAsia="仿宋_GB2312" w:cs="仿宋_GB2312"/>
          <w:snapToGrid/>
          <w:color w:val="auto"/>
          <w:kern w:val="2"/>
          <w:sz w:val="24"/>
          <w:szCs w:val="24"/>
          <w:highlight w:val="none"/>
          <w:lang w:val="zh-TW" w:eastAsia="zh-CN" w:bidi="ar-SA"/>
        </w:rPr>
        <w:t>）。</w:t>
      </w:r>
    </w:p>
    <w:p>
      <w:pPr>
        <w:shd w:val="clear"/>
        <w:spacing w:line="460" w:lineRule="exact"/>
        <w:ind w:firstLine="482" w:firstLineChars="200"/>
        <w:rPr>
          <w:rFonts w:hint="eastAsia" w:ascii="仿宋_GB2312" w:hAnsi="宋体" w:eastAsia="仿宋_GB2312"/>
          <w:bCs/>
          <w:sz w:val="24"/>
          <w:highlight w:val="none"/>
        </w:rPr>
      </w:pPr>
      <w:r>
        <w:rPr>
          <w:rFonts w:hint="eastAsia" w:ascii="仿宋_GB2312" w:hAnsi="宋体" w:eastAsia="仿宋_GB2312"/>
          <w:b/>
          <w:bCs/>
          <w:sz w:val="24"/>
          <w:highlight w:val="none"/>
        </w:rPr>
        <w:t>（</w:t>
      </w:r>
      <w:r>
        <w:rPr>
          <w:rFonts w:hint="eastAsia" w:ascii="仿宋_GB2312" w:hAnsi="宋体" w:eastAsia="仿宋_GB2312"/>
          <w:b/>
          <w:bCs/>
          <w:sz w:val="24"/>
          <w:highlight w:val="none"/>
          <w:lang w:val="en-US" w:eastAsia="zh-CN"/>
        </w:rPr>
        <w:t>2</w:t>
      </w:r>
      <w:r>
        <w:rPr>
          <w:rFonts w:hint="eastAsia" w:ascii="仿宋_GB2312" w:hAnsi="宋体" w:eastAsia="仿宋_GB2312"/>
          <w:b/>
          <w:bCs/>
          <w:sz w:val="24"/>
          <w:highlight w:val="none"/>
        </w:rPr>
        <w:t>）所投设备整体技术性能（</w:t>
      </w:r>
      <w:r>
        <w:rPr>
          <w:rFonts w:hint="eastAsia" w:ascii="仿宋_GB2312" w:hAnsi="宋体" w:eastAsia="仿宋_GB2312"/>
          <w:b/>
          <w:bCs/>
          <w:sz w:val="24"/>
          <w:highlight w:val="none"/>
          <w:lang w:val="en-US" w:eastAsia="zh-CN"/>
        </w:rPr>
        <w:t>15</w:t>
      </w:r>
      <w:r>
        <w:rPr>
          <w:rFonts w:hint="eastAsia" w:ascii="仿宋_GB2312" w:hAnsi="宋体" w:eastAsia="仿宋_GB2312"/>
          <w:b/>
          <w:bCs/>
          <w:sz w:val="24"/>
          <w:highlight w:val="none"/>
        </w:rPr>
        <w:t>分）：</w:t>
      </w:r>
      <w:r>
        <w:rPr>
          <w:rFonts w:hint="eastAsia" w:ascii="仿宋_GB2312" w:hAnsi="宋体" w:eastAsia="仿宋_GB2312"/>
          <w:b w:val="0"/>
          <w:bCs w:val="0"/>
          <w:sz w:val="24"/>
          <w:highlight w:val="none"/>
        </w:rPr>
        <w:t>投标产品的技术指标的吻合程度和偏差情况（包括所投标产品的规格型号、详细配置、主要技术参数、随机软件、证明材料等）</w:t>
      </w:r>
      <w:r>
        <w:rPr>
          <w:rFonts w:hint="eastAsia" w:ascii="仿宋_GB2312" w:hAnsi="宋体" w:eastAsia="仿宋_GB2312"/>
          <w:bCs/>
          <w:sz w:val="24"/>
          <w:highlight w:val="none"/>
          <w:lang w:eastAsia="zh-CN"/>
        </w:rPr>
        <w:t>，</w:t>
      </w:r>
      <w:r>
        <w:rPr>
          <w:rFonts w:hint="eastAsia" w:ascii="仿宋_GB2312" w:hAnsi="宋体" w:eastAsia="仿宋_GB2312"/>
          <w:bCs/>
          <w:sz w:val="24"/>
          <w:highlight w:val="none"/>
        </w:rPr>
        <w:t>满足招标文件技术指标的得基准分</w:t>
      </w:r>
      <w:r>
        <w:rPr>
          <w:rFonts w:hint="eastAsia" w:ascii="仿宋_GB2312" w:hAnsi="宋体" w:eastAsia="仿宋_GB2312"/>
          <w:bCs/>
          <w:sz w:val="24"/>
          <w:highlight w:val="none"/>
          <w:lang w:val="en-US" w:eastAsia="zh-CN"/>
        </w:rPr>
        <w:t>15</w:t>
      </w:r>
      <w:r>
        <w:rPr>
          <w:rFonts w:hint="eastAsia" w:ascii="仿宋_GB2312" w:hAnsi="宋体" w:eastAsia="仿宋_GB2312"/>
          <w:bCs/>
          <w:sz w:val="24"/>
          <w:highlight w:val="none"/>
        </w:rPr>
        <w:t>分，对参数或功能要求负偏离或未响应的每项扣</w:t>
      </w:r>
      <w:r>
        <w:rPr>
          <w:rFonts w:hint="eastAsia" w:ascii="仿宋_GB2312" w:hAnsi="宋体" w:eastAsia="仿宋_GB2312"/>
          <w:bCs/>
          <w:sz w:val="24"/>
          <w:highlight w:val="none"/>
          <w:lang w:val="en-US" w:eastAsia="zh-CN"/>
        </w:rPr>
        <w:t>1</w:t>
      </w:r>
      <w:r>
        <w:rPr>
          <w:rFonts w:hint="eastAsia" w:ascii="仿宋_GB2312" w:hAnsi="宋体" w:eastAsia="仿宋_GB2312"/>
          <w:bCs/>
          <w:sz w:val="24"/>
          <w:highlight w:val="none"/>
        </w:rPr>
        <w:t>分（无实质性意义的负偏离不扣分）</w:t>
      </w:r>
      <w:r>
        <w:rPr>
          <w:rFonts w:hint="eastAsia" w:ascii="仿宋_GB2312" w:hAnsi="宋体" w:eastAsia="仿宋_GB2312"/>
          <w:bCs/>
          <w:sz w:val="24"/>
          <w:highlight w:val="none"/>
          <w:lang w:eastAsia="zh-CN"/>
        </w:rPr>
        <w:t>，</w:t>
      </w:r>
      <w:r>
        <w:rPr>
          <w:rFonts w:hint="eastAsia" w:ascii="仿宋_GB2312" w:hAnsi="宋体" w:eastAsia="仿宋_GB2312"/>
          <w:bCs/>
          <w:sz w:val="24"/>
          <w:highlight w:val="none"/>
        </w:rPr>
        <w:t>扣完为止</w:t>
      </w:r>
      <w:r>
        <w:rPr>
          <w:rFonts w:hint="eastAsia" w:ascii="仿宋_GB2312" w:hAnsi="宋体" w:eastAsia="仿宋_GB2312"/>
          <w:bCs/>
          <w:sz w:val="24"/>
          <w:highlight w:val="none"/>
          <w:lang w:eastAsia="zh-CN"/>
        </w:rPr>
        <w:t>（</w:t>
      </w:r>
      <w:r>
        <w:rPr>
          <w:rFonts w:hint="eastAsia" w:ascii="仿宋_GB2312" w:hAnsi="宋体" w:eastAsia="仿宋_GB2312"/>
          <w:bCs/>
          <w:sz w:val="24"/>
          <w:highlight w:val="none"/>
          <w:lang w:val="en-US" w:eastAsia="zh-CN"/>
        </w:rPr>
        <w:t>15分</w:t>
      </w:r>
      <w:r>
        <w:rPr>
          <w:rFonts w:hint="eastAsia" w:ascii="仿宋_GB2312" w:hAnsi="宋体" w:eastAsia="仿宋_GB2312"/>
          <w:bCs/>
          <w:sz w:val="24"/>
          <w:highlight w:val="none"/>
          <w:lang w:eastAsia="zh-CN"/>
        </w:rPr>
        <w:t>）</w:t>
      </w:r>
      <w:r>
        <w:rPr>
          <w:rFonts w:hint="eastAsia" w:ascii="仿宋_GB2312" w:hAnsi="宋体" w:eastAsia="仿宋_GB2312"/>
          <w:bCs/>
          <w:sz w:val="24"/>
          <w:highlight w:val="none"/>
        </w:rPr>
        <w:t>。</w:t>
      </w:r>
    </w:p>
    <w:p>
      <w:pPr>
        <w:shd w:val="clear"/>
        <w:spacing w:line="460" w:lineRule="exact"/>
        <w:ind w:firstLine="480" w:firstLineChars="200"/>
        <w:rPr>
          <w:rFonts w:hint="eastAsia" w:ascii="仿宋_GB2312" w:hAnsi="宋体" w:eastAsia="仿宋_GB2312"/>
          <w:b w:val="0"/>
          <w:bCs w:val="0"/>
          <w:sz w:val="24"/>
          <w:highlight w:val="none"/>
          <w:lang w:val="zh-CN"/>
        </w:rPr>
      </w:pPr>
      <w:r>
        <w:rPr>
          <w:rFonts w:hint="eastAsia" w:ascii="仿宋_GB2312" w:hAnsi="宋体" w:eastAsia="仿宋_GB2312" w:cs="仿宋_GB2312"/>
          <w:sz w:val="24"/>
          <w:highlight w:val="none"/>
          <w:lang w:val="zh-CN"/>
        </w:rPr>
        <w:t>注：要</w:t>
      </w:r>
      <w:r>
        <w:rPr>
          <w:rFonts w:hint="eastAsia" w:ascii="仿宋_GB2312" w:hAnsi="宋体" w:eastAsia="仿宋_GB2312"/>
          <w:b w:val="0"/>
          <w:bCs w:val="0"/>
          <w:sz w:val="24"/>
          <w:highlight w:val="none"/>
          <w:lang w:val="zh-CN"/>
        </w:rPr>
        <w:t>求提供测试报告复印件、证书复印件等证明材料而未提供视作一项负偏离。</w:t>
      </w:r>
    </w:p>
    <w:p>
      <w:pPr>
        <w:keepNext w:val="0"/>
        <w:keepLines w:val="0"/>
        <w:pageBreakBefore w:val="0"/>
        <w:widowControl w:val="0"/>
        <w:shd w:val="clear"/>
        <w:kinsoku/>
        <w:wordWrap/>
        <w:overflowPunct/>
        <w:topLinePunct w:val="0"/>
        <w:bidi w:val="0"/>
        <w:adjustRightInd/>
        <w:snapToGrid w:val="0"/>
        <w:spacing w:line="480" w:lineRule="atLeast"/>
        <w:ind w:firstLine="482" w:firstLineChars="200"/>
        <w:textAlignment w:val="auto"/>
        <w:rPr>
          <w:rFonts w:ascii="仿宋_GB2312" w:hAnsi="宋体" w:eastAsia="仿宋_GB2312"/>
          <w:b/>
          <w:sz w:val="24"/>
          <w:szCs w:val="24"/>
          <w:highlight w:val="none"/>
        </w:rPr>
      </w:pPr>
      <w:r>
        <w:rPr>
          <w:rFonts w:hint="eastAsia" w:ascii="仿宋_GB2312" w:hAnsi="宋体" w:eastAsia="仿宋_GB2312"/>
          <w:b/>
          <w:sz w:val="24"/>
          <w:szCs w:val="24"/>
          <w:highlight w:val="none"/>
        </w:rPr>
        <w:t>（</w:t>
      </w:r>
      <w:r>
        <w:rPr>
          <w:rFonts w:hint="eastAsia" w:ascii="仿宋_GB2312" w:hAnsi="宋体" w:eastAsia="仿宋_GB2312"/>
          <w:b/>
          <w:sz w:val="24"/>
          <w:szCs w:val="24"/>
          <w:highlight w:val="none"/>
          <w:lang w:val="en-US" w:eastAsia="zh-CN"/>
        </w:rPr>
        <w:t>3</w:t>
      </w:r>
      <w:r>
        <w:rPr>
          <w:rFonts w:hint="eastAsia" w:ascii="仿宋_GB2312" w:hAnsi="宋体" w:eastAsia="仿宋_GB2312"/>
          <w:b/>
          <w:sz w:val="24"/>
          <w:szCs w:val="24"/>
          <w:highlight w:val="none"/>
        </w:rPr>
        <w:t>）组织实施方案（</w:t>
      </w:r>
      <w:r>
        <w:rPr>
          <w:rFonts w:hint="eastAsia" w:ascii="仿宋_GB2312" w:hAnsi="宋体" w:eastAsia="仿宋_GB2312"/>
          <w:b/>
          <w:sz w:val="24"/>
          <w:szCs w:val="24"/>
          <w:highlight w:val="none"/>
          <w:lang w:val="en-US" w:eastAsia="zh-CN"/>
        </w:rPr>
        <w:t>10</w:t>
      </w:r>
      <w:r>
        <w:rPr>
          <w:rFonts w:hint="eastAsia" w:ascii="仿宋_GB2312" w:hAnsi="宋体" w:eastAsia="仿宋_GB2312"/>
          <w:b/>
          <w:sz w:val="24"/>
          <w:szCs w:val="24"/>
          <w:highlight w:val="none"/>
        </w:rPr>
        <w:t>分）</w:t>
      </w:r>
    </w:p>
    <w:p>
      <w:pPr>
        <w:keepNext w:val="0"/>
        <w:keepLines w:val="0"/>
        <w:pageBreakBefore w:val="0"/>
        <w:widowControl w:val="0"/>
        <w:shd w:val="clear"/>
        <w:kinsoku/>
        <w:wordWrap/>
        <w:overflowPunct/>
        <w:topLinePunct w:val="0"/>
        <w:bidi w:val="0"/>
        <w:snapToGrid w:val="0"/>
        <w:spacing w:line="480" w:lineRule="atLeast"/>
        <w:ind w:firstLine="480" w:firstLineChars="200"/>
        <w:textAlignment w:val="auto"/>
        <w:rPr>
          <w:rFonts w:ascii="仿宋" w:hAnsi="仿宋" w:eastAsia="仿宋_GB2312" w:cs="宋体"/>
          <w:sz w:val="24"/>
          <w:szCs w:val="24"/>
          <w:highlight w:val="none"/>
        </w:rPr>
      </w:pPr>
      <w:r>
        <w:rPr>
          <w:rFonts w:hint="eastAsia" w:ascii="仿宋_GB2312" w:hAnsi="仿宋_GB2312" w:eastAsia="仿宋_GB2312" w:cs="仿宋_GB2312"/>
          <w:bCs/>
          <w:sz w:val="24"/>
          <w:szCs w:val="24"/>
          <w:highlight w:val="none"/>
        </w:rPr>
        <w:t>●</w:t>
      </w:r>
      <w:r>
        <w:rPr>
          <w:rFonts w:hint="eastAsia" w:ascii="仿宋_GB2312" w:hAnsi="宋体" w:eastAsia="仿宋_GB2312"/>
          <w:sz w:val="24"/>
          <w:szCs w:val="24"/>
          <w:highlight w:val="none"/>
          <w:lang w:eastAsia="zh-CN"/>
        </w:rPr>
        <w:t>投标人</w:t>
      </w:r>
      <w:r>
        <w:rPr>
          <w:rFonts w:hint="eastAsia" w:ascii="仿宋_GB2312" w:hAnsi="宋体" w:eastAsia="仿宋_GB2312"/>
          <w:sz w:val="24"/>
          <w:szCs w:val="24"/>
          <w:highlight w:val="none"/>
        </w:rPr>
        <w:t>项目组织实施方案的科学性、合理性、规范性和可操作性，包括①软件开发、②安装调试、③调试调优、④系统上线运行、⑤质量保障管理。根据提供的方案内容进行评分。每一项内容完整、措施有效、符合采购人实际视为合理，合理得</w:t>
      </w:r>
      <w:r>
        <w:rPr>
          <w:rFonts w:hint="eastAsia" w:ascii="仿宋_GB2312" w:hAnsi="宋体" w:eastAsia="仿宋_GB2312"/>
          <w:sz w:val="24"/>
          <w:szCs w:val="24"/>
          <w:highlight w:val="none"/>
          <w:lang w:val="en-US" w:eastAsia="zh-CN"/>
        </w:rPr>
        <w:t>1</w:t>
      </w:r>
      <w:r>
        <w:rPr>
          <w:rFonts w:hint="eastAsia" w:ascii="仿宋_GB2312" w:hAnsi="宋体" w:eastAsia="仿宋_GB2312"/>
          <w:sz w:val="24"/>
          <w:szCs w:val="24"/>
          <w:highlight w:val="none"/>
        </w:rPr>
        <w:t>分，否则不得分。最高得</w:t>
      </w:r>
      <w:r>
        <w:rPr>
          <w:rFonts w:hint="eastAsia" w:ascii="仿宋_GB2312" w:hAnsi="宋体" w:eastAsia="仿宋_GB2312"/>
          <w:sz w:val="24"/>
          <w:szCs w:val="24"/>
          <w:highlight w:val="none"/>
          <w:lang w:val="en-US" w:eastAsia="zh-CN"/>
        </w:rPr>
        <w:t>5</w:t>
      </w:r>
      <w:r>
        <w:rPr>
          <w:rFonts w:hint="eastAsia" w:ascii="仿宋_GB2312" w:hAnsi="宋体" w:eastAsia="仿宋_GB2312"/>
          <w:sz w:val="24"/>
          <w:szCs w:val="24"/>
          <w:highlight w:val="none"/>
        </w:rPr>
        <w:t>分（</w:t>
      </w:r>
      <w:r>
        <w:rPr>
          <w:rFonts w:hint="eastAsia" w:ascii="仿宋_GB2312" w:hAnsi="宋体" w:eastAsia="仿宋_GB2312"/>
          <w:sz w:val="24"/>
          <w:szCs w:val="24"/>
          <w:highlight w:val="none"/>
          <w:lang w:val="en-US" w:eastAsia="zh-CN"/>
        </w:rPr>
        <w:t>5</w:t>
      </w:r>
      <w:r>
        <w:rPr>
          <w:rFonts w:hint="eastAsia" w:ascii="仿宋_GB2312" w:hAnsi="宋体" w:eastAsia="仿宋_GB2312"/>
          <w:sz w:val="24"/>
          <w:szCs w:val="24"/>
          <w:highlight w:val="none"/>
        </w:rPr>
        <w:t>分）；</w:t>
      </w:r>
    </w:p>
    <w:p>
      <w:pPr>
        <w:keepNext w:val="0"/>
        <w:keepLines w:val="0"/>
        <w:pageBreakBefore w:val="0"/>
        <w:widowControl w:val="0"/>
        <w:shd w:val="clear"/>
        <w:kinsoku/>
        <w:wordWrap/>
        <w:overflowPunct/>
        <w:topLinePunct w:val="0"/>
        <w:bidi w:val="0"/>
        <w:snapToGrid w:val="0"/>
        <w:spacing w:line="480" w:lineRule="atLeast"/>
        <w:ind w:firstLine="480" w:firstLineChars="200"/>
        <w:textAlignment w:val="auto"/>
        <w:rPr>
          <w:rFonts w:hint="eastAsia" w:ascii="仿宋_GB2312" w:hAnsi="宋体" w:eastAsia="仿宋_GB2312" w:cs="仿宋_GB2312"/>
          <w:sz w:val="24"/>
          <w:highlight w:val="none"/>
          <w:lang w:val="zh-CN"/>
        </w:rPr>
      </w:pPr>
      <w:r>
        <w:rPr>
          <w:rFonts w:hint="eastAsia" w:ascii="仿宋_GB2312" w:hAnsi="仿宋_GB2312" w:eastAsia="仿宋_GB2312" w:cs="仿宋_GB2312"/>
          <w:bCs/>
          <w:sz w:val="24"/>
          <w:szCs w:val="24"/>
          <w:highlight w:val="none"/>
        </w:rPr>
        <w:t>●</w:t>
      </w:r>
      <w:r>
        <w:rPr>
          <w:rFonts w:hint="eastAsia" w:ascii="仿宋_GB2312" w:hAnsi="仿宋" w:eastAsia="仿宋_GB2312" w:cs="宋体"/>
          <w:sz w:val="24"/>
          <w:szCs w:val="24"/>
          <w:highlight w:val="none"/>
          <w:lang w:val="en-US" w:eastAsia="zh-CN"/>
        </w:rPr>
        <w:t>投标人</w:t>
      </w:r>
      <w:r>
        <w:rPr>
          <w:rFonts w:hint="eastAsia" w:ascii="仿宋_GB2312" w:hAnsi="仿宋" w:eastAsia="仿宋_GB2312" w:cs="宋体"/>
          <w:sz w:val="24"/>
          <w:szCs w:val="24"/>
          <w:highlight w:val="none"/>
        </w:rPr>
        <w:t>是否按照采购人要求的工期制定项目实施进度，并在投标方案中予以列明。满足</w:t>
      </w:r>
      <w:r>
        <w:rPr>
          <w:rFonts w:hint="eastAsia" w:ascii="仿宋_GB2312" w:hAnsi="仿宋" w:eastAsia="仿宋_GB2312" w:cs="宋体"/>
          <w:sz w:val="24"/>
          <w:szCs w:val="24"/>
          <w:highlight w:val="none"/>
          <w:lang w:eastAsia="zh-CN"/>
        </w:rPr>
        <w:t>采购人需求的</w:t>
      </w:r>
      <w:r>
        <w:rPr>
          <w:rFonts w:hint="eastAsia" w:ascii="仿宋_GB2312" w:hAnsi="仿宋" w:eastAsia="仿宋_GB2312" w:cs="宋体"/>
          <w:sz w:val="24"/>
          <w:szCs w:val="24"/>
          <w:highlight w:val="none"/>
        </w:rPr>
        <w:t>得</w:t>
      </w:r>
      <w:r>
        <w:rPr>
          <w:rFonts w:hint="eastAsia" w:ascii="仿宋_GB2312" w:hAnsi="仿宋" w:eastAsia="仿宋_GB2312" w:cs="宋体"/>
          <w:sz w:val="24"/>
          <w:szCs w:val="24"/>
          <w:highlight w:val="none"/>
          <w:lang w:val="en-US" w:eastAsia="zh-CN"/>
        </w:rPr>
        <w:t>2</w:t>
      </w:r>
      <w:r>
        <w:rPr>
          <w:rFonts w:ascii="仿宋_GB2312" w:hAnsi="仿宋" w:eastAsia="仿宋_GB2312" w:cs="宋体"/>
          <w:sz w:val="24"/>
          <w:szCs w:val="24"/>
          <w:highlight w:val="none"/>
        </w:rPr>
        <w:t>分，不满足不得分</w:t>
      </w:r>
      <w:r>
        <w:rPr>
          <w:rFonts w:hint="eastAsia" w:ascii="仿宋_GB2312" w:hAnsi="仿宋" w:eastAsia="仿宋_GB2312" w:cs="宋体"/>
          <w:sz w:val="24"/>
          <w:szCs w:val="24"/>
          <w:highlight w:val="none"/>
        </w:rPr>
        <w:t>（</w:t>
      </w:r>
      <w:r>
        <w:rPr>
          <w:rFonts w:hint="eastAsia" w:ascii="仿宋_GB2312" w:hAnsi="仿宋" w:eastAsia="仿宋_GB2312" w:cs="宋体"/>
          <w:sz w:val="24"/>
          <w:szCs w:val="24"/>
          <w:highlight w:val="none"/>
          <w:lang w:val="en-US" w:eastAsia="zh-CN"/>
        </w:rPr>
        <w:t>2</w:t>
      </w:r>
      <w:r>
        <w:rPr>
          <w:rFonts w:ascii="仿宋_GB2312" w:hAnsi="仿宋" w:eastAsia="仿宋_GB2312" w:cs="宋体"/>
          <w:sz w:val="24"/>
          <w:szCs w:val="24"/>
          <w:highlight w:val="none"/>
        </w:rPr>
        <w:t>分）</w:t>
      </w:r>
      <w:r>
        <w:rPr>
          <w:rFonts w:hint="eastAsia" w:ascii="仿宋_GB2312" w:hAnsi="仿宋" w:eastAsia="仿宋_GB2312" w:cs="宋体"/>
          <w:sz w:val="24"/>
          <w:szCs w:val="24"/>
          <w:highlight w:val="none"/>
          <w:lang w:eastAsia="zh-CN"/>
        </w:rPr>
        <w:t>；</w:t>
      </w:r>
    </w:p>
    <w:p>
      <w:pPr>
        <w:shd w:val="clear"/>
        <w:autoSpaceDE w:val="0"/>
        <w:autoSpaceDN w:val="0"/>
        <w:spacing w:line="460" w:lineRule="exact"/>
        <w:ind w:firstLine="482"/>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sz w:val="18"/>
          <w:szCs w:val="18"/>
          <w:highlight w:val="none"/>
        </w:rPr>
        <w:t xml:space="preserve"> </w:t>
      </w:r>
      <w:r>
        <w:rPr>
          <w:rFonts w:hint="eastAsia" w:ascii="仿宋_GB2312" w:hAnsi="仿宋" w:eastAsia="仿宋_GB2312" w:cs="宋体"/>
          <w:sz w:val="24"/>
          <w:szCs w:val="24"/>
          <w:highlight w:val="none"/>
          <w:lang w:val="zh-CN"/>
        </w:rPr>
        <w:t>拟担任本项目负责人的专业素质、技术能力、经验等情况。</w:t>
      </w:r>
      <w:r>
        <w:rPr>
          <w:rFonts w:hint="eastAsia" w:ascii="仿宋_GB2312" w:hAnsi="宋体" w:eastAsia="仿宋_GB2312" w:cs="仿宋_GB2312"/>
          <w:sz w:val="24"/>
          <w:highlight w:val="none"/>
          <w:lang w:val="zh-CN"/>
        </w:rPr>
        <w:t>项目负责人具备项目管理 PMP 认证证书的得</w:t>
      </w:r>
      <w:r>
        <w:rPr>
          <w:rFonts w:hint="eastAsia" w:ascii="仿宋_GB2312" w:hAnsi="宋体" w:eastAsia="仿宋_GB2312" w:cs="仿宋_GB2312"/>
          <w:sz w:val="24"/>
          <w:highlight w:val="none"/>
          <w:lang w:val="en-US" w:eastAsia="zh-CN"/>
        </w:rPr>
        <w:t>1分；</w:t>
      </w:r>
      <w:r>
        <w:rPr>
          <w:rFonts w:hint="eastAsia" w:ascii="仿宋_GB2312" w:hAnsi="仿宋" w:eastAsia="仿宋_GB2312" w:cs="宋体"/>
          <w:sz w:val="24"/>
          <w:szCs w:val="24"/>
          <w:highlight w:val="none"/>
          <w:lang w:val="zh-CN"/>
        </w:rPr>
        <w:t>项目负责人具有类似项目建设经验得</w:t>
      </w:r>
      <w:r>
        <w:rPr>
          <w:rFonts w:hint="eastAsia" w:ascii="仿宋_GB2312" w:hAnsi="仿宋" w:eastAsia="仿宋_GB2312" w:cs="宋体"/>
          <w:sz w:val="24"/>
          <w:szCs w:val="24"/>
          <w:highlight w:val="none"/>
          <w:lang w:val="en-US" w:eastAsia="zh-CN"/>
        </w:rPr>
        <w:t>1</w:t>
      </w:r>
      <w:r>
        <w:rPr>
          <w:rFonts w:hint="eastAsia" w:ascii="仿宋_GB2312" w:hAnsi="仿宋" w:eastAsia="仿宋_GB2312" w:cs="宋体"/>
          <w:sz w:val="24"/>
          <w:szCs w:val="24"/>
          <w:highlight w:val="none"/>
          <w:lang w:val="zh-CN"/>
        </w:rPr>
        <w:t>分。</w:t>
      </w:r>
      <w:r>
        <w:rPr>
          <w:rFonts w:hint="eastAsia" w:ascii="仿宋_GB2312" w:hAnsi="宋体" w:eastAsia="仿宋_GB2312" w:cs="仿宋_GB2312"/>
          <w:sz w:val="24"/>
          <w:highlight w:val="none"/>
          <w:lang w:val="zh-CN"/>
        </w:rPr>
        <w:t>（需提供相关</w:t>
      </w:r>
      <w:r>
        <w:rPr>
          <w:rFonts w:hint="eastAsia" w:ascii="仿宋_GB2312" w:hAnsi="宋体" w:eastAsia="仿宋_GB2312" w:cs="仿宋_GB2312"/>
          <w:sz w:val="24"/>
          <w:highlight w:val="none"/>
          <w:lang w:val="zh-CN" w:eastAsia="zh-CN"/>
        </w:rPr>
        <w:t>证书、相关</w:t>
      </w:r>
      <w:r>
        <w:rPr>
          <w:rFonts w:hint="eastAsia" w:ascii="仿宋_GB2312" w:hAnsi="宋体" w:eastAsia="仿宋_GB2312" w:cs="仿宋_GB2312"/>
          <w:sz w:val="24"/>
          <w:highlight w:val="none"/>
          <w:lang w:val="zh-CN"/>
        </w:rPr>
        <w:t>业绩证明材料及社保证明），共计</w:t>
      </w:r>
      <w:r>
        <w:rPr>
          <w:rFonts w:hint="eastAsia" w:ascii="仿宋_GB2312" w:hAnsi="宋体" w:eastAsia="仿宋_GB2312" w:cs="仿宋_GB2312"/>
          <w:sz w:val="24"/>
          <w:highlight w:val="none"/>
          <w:lang w:val="en-US" w:eastAsia="zh-CN"/>
        </w:rPr>
        <w:t>2分（2分）</w:t>
      </w:r>
      <w:r>
        <w:rPr>
          <w:rFonts w:hint="eastAsia" w:ascii="仿宋_GB2312" w:hAnsi="宋体" w:eastAsia="仿宋_GB2312" w:cs="仿宋_GB2312"/>
          <w:sz w:val="24"/>
          <w:highlight w:val="none"/>
          <w:lang w:val="zh-CN"/>
        </w:rPr>
        <w:t>；</w:t>
      </w:r>
    </w:p>
    <w:p>
      <w:pPr>
        <w:shd w:val="clear"/>
        <w:autoSpaceDE w:val="0"/>
        <w:autoSpaceDN w:val="0"/>
        <w:spacing w:line="460" w:lineRule="exact"/>
        <w:ind w:firstLine="482"/>
        <w:rPr>
          <w:rFonts w:hint="default" w:ascii="仿宋_GB2312" w:hAnsi="宋体" w:eastAsia="仿宋_GB2312" w:cs="仿宋_GB2312"/>
          <w:sz w:val="24"/>
          <w:highlight w:val="none"/>
          <w:lang w:val="en-US" w:eastAsia="zh-CN"/>
        </w:rPr>
      </w:pPr>
      <w:r>
        <w:rPr>
          <w:rFonts w:hint="eastAsia" w:ascii="仿宋_GB2312" w:hAnsi="宋体" w:eastAsia="仿宋_GB2312" w:cs="仿宋_GB2312"/>
          <w:sz w:val="24"/>
          <w:highlight w:val="none"/>
          <w:lang w:val="zh-CN" w:eastAsia="zh-CN"/>
        </w:rPr>
        <w:t>●投标人</w:t>
      </w:r>
      <w:r>
        <w:rPr>
          <w:rFonts w:hint="eastAsia" w:ascii="仿宋_GB2312" w:hAnsi="宋体" w:eastAsia="仿宋_GB2312" w:cs="仿宋_GB2312"/>
          <w:sz w:val="24"/>
          <w:highlight w:val="none"/>
          <w:lang w:val="en-US" w:eastAsia="zh-CN"/>
        </w:rPr>
        <w:t>按照项目实施的要求，配置相应的项目管理、系统设计、开发、测试、集成、培训、质量保证等人员，提供合理的人员配置清单的得1分，否则不得分（1分）。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b/>
          <w:bCs/>
          <w:sz w:val="24"/>
          <w:highlight w:val="none"/>
          <w:lang w:val="zh-CN" w:eastAsia="zh-CN"/>
        </w:rPr>
        <w:t>（</w:t>
      </w:r>
      <w:r>
        <w:rPr>
          <w:rFonts w:hint="eastAsia" w:ascii="仿宋_GB2312" w:hAnsi="宋体" w:eastAsia="仿宋_GB2312" w:cs="仿宋_GB2312"/>
          <w:b/>
          <w:bCs/>
          <w:sz w:val="24"/>
          <w:highlight w:val="none"/>
          <w:lang w:val="en-US" w:eastAsia="zh-CN"/>
        </w:rPr>
        <w:t>4</w:t>
      </w:r>
      <w:r>
        <w:rPr>
          <w:rFonts w:hint="eastAsia" w:ascii="仿宋_GB2312" w:hAnsi="宋体" w:eastAsia="仿宋_GB2312" w:cs="仿宋_GB2312"/>
          <w:b/>
          <w:bCs/>
          <w:sz w:val="24"/>
          <w:highlight w:val="none"/>
          <w:lang w:val="zh-CN" w:eastAsia="zh-CN"/>
        </w:rPr>
        <w:t>）</w:t>
      </w:r>
      <w:r>
        <w:rPr>
          <w:rFonts w:hint="eastAsia" w:ascii="仿宋_GB2312" w:hAnsi="宋体" w:eastAsia="仿宋_GB2312" w:cs="仿宋_GB2312"/>
          <w:b/>
          <w:bCs/>
          <w:sz w:val="24"/>
          <w:highlight w:val="none"/>
          <w:lang w:val="zh-CN"/>
        </w:rPr>
        <w:t>系统演示（</w:t>
      </w:r>
      <w:r>
        <w:rPr>
          <w:rFonts w:hint="eastAsia" w:ascii="仿宋_GB2312" w:hAnsi="宋体" w:eastAsia="仿宋_GB2312" w:cs="仿宋_GB2312"/>
          <w:b/>
          <w:bCs/>
          <w:sz w:val="24"/>
          <w:highlight w:val="none"/>
          <w:lang w:val="en-US" w:eastAsia="zh-CN"/>
        </w:rPr>
        <w:t>16</w:t>
      </w:r>
      <w:r>
        <w:rPr>
          <w:rFonts w:hint="eastAsia" w:ascii="仿宋_GB2312" w:hAnsi="宋体" w:eastAsia="仿宋_GB2312" w:cs="仿宋_GB2312"/>
          <w:b/>
          <w:bCs/>
          <w:sz w:val="24"/>
          <w:highlight w:val="none"/>
          <w:lang w:val="zh-CN"/>
        </w:rPr>
        <w:t>分）：</w:t>
      </w:r>
      <w:r>
        <w:rPr>
          <w:rFonts w:hint="eastAsia" w:ascii="仿宋_GB2312" w:hAnsi="宋体" w:eastAsia="仿宋_GB2312" w:cs="仿宋_GB2312"/>
          <w:sz w:val="24"/>
          <w:highlight w:val="none"/>
          <w:lang w:val="zh-CN" w:eastAsia="zh-CN"/>
        </w:rPr>
        <w:t>系统演示：由投标人自行准备相关演示环境，软件模型成功展现本次项目要求的功能，演示视频须制作成光盘或U盘，在投标截止前2021年</w:t>
      </w:r>
      <w:r>
        <w:rPr>
          <w:rFonts w:hint="eastAsia" w:ascii="仿宋_GB2312" w:hAnsi="宋体" w:eastAsia="仿宋_GB2312" w:cs="仿宋_GB2312"/>
          <w:sz w:val="24"/>
          <w:highlight w:val="none"/>
          <w:lang w:val="en-US" w:eastAsia="zh-CN"/>
        </w:rPr>
        <w:t>11</w:t>
      </w:r>
      <w:r>
        <w:rPr>
          <w:rFonts w:hint="eastAsia" w:ascii="仿宋_GB2312" w:hAnsi="宋体" w:eastAsia="仿宋_GB2312" w:cs="仿宋_GB2312"/>
          <w:sz w:val="24"/>
          <w:highlight w:val="none"/>
          <w:lang w:val="zh-CN" w:eastAsia="zh-CN"/>
        </w:rPr>
        <w:t>月</w:t>
      </w:r>
      <w:r>
        <w:rPr>
          <w:rFonts w:hint="eastAsia" w:ascii="仿宋_GB2312" w:hAnsi="宋体" w:eastAsia="仿宋_GB2312" w:cs="仿宋_GB2312"/>
          <w:sz w:val="24"/>
          <w:highlight w:val="none"/>
          <w:lang w:val="en-US" w:eastAsia="zh-CN"/>
        </w:rPr>
        <w:t>25</w:t>
      </w:r>
      <w:r>
        <w:rPr>
          <w:rFonts w:hint="eastAsia" w:ascii="仿宋_GB2312" w:hAnsi="宋体" w:eastAsia="仿宋_GB2312" w:cs="仿宋_GB2312"/>
          <w:sz w:val="24"/>
          <w:highlight w:val="none"/>
          <w:lang w:val="zh-CN" w:eastAsia="zh-CN"/>
        </w:rPr>
        <w:t>日13:30提交至杭州市临安区行政服务中心B座四楼B448办公室，逾期拒收。演示内容如下（演示均以真实系统或者DEMO形式演示，PPT、Word演示或未提供演示不得分）：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注：演示视频需密封送达，评标阶段拆封演示，因响应方自身原因导致无法演示或者演示效果不理想的，责任自负。</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①园区驾驶舱：演示园区总貌、AR实景应用，每项演示成功得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1</w:t>
      </w:r>
      <w:r>
        <w:rPr>
          <w:rFonts w:hint="eastAsia" w:ascii="仿宋_GB2312" w:hAnsi="宋体" w:eastAsia="仿宋_GB2312" w:cs="仿宋_GB2312"/>
          <w:sz w:val="24"/>
          <w:highlight w:val="none"/>
          <w:lang w:val="zh-CN" w:eastAsia="zh-CN"/>
        </w:rPr>
        <w:t>分；演示安全一张图、应急一张图、环保一张图、封闭管理一张图、能源一张图，每项演示成功得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2.5</w:t>
      </w:r>
      <w:r>
        <w:rPr>
          <w:rFonts w:hint="eastAsia" w:ascii="仿宋_GB2312" w:hAnsi="宋体" w:eastAsia="仿宋_GB2312" w:cs="仿宋_GB2312"/>
          <w:sz w:val="24"/>
          <w:highlight w:val="none"/>
          <w:lang w:val="zh-CN" w:eastAsia="zh-CN"/>
        </w:rPr>
        <w:t>分；（</w:t>
      </w:r>
      <w:r>
        <w:rPr>
          <w:rFonts w:hint="eastAsia" w:ascii="仿宋_GB2312" w:hAnsi="宋体" w:eastAsia="仿宋_GB2312" w:cs="仿宋_GB2312"/>
          <w:sz w:val="24"/>
          <w:highlight w:val="none"/>
          <w:lang w:val="en-US" w:eastAsia="zh-CN"/>
        </w:rPr>
        <w:t>3.5</w:t>
      </w:r>
      <w:r>
        <w:rPr>
          <w:rFonts w:hint="eastAsia" w:ascii="仿宋_GB2312" w:hAnsi="宋体" w:eastAsia="仿宋_GB2312" w:cs="仿宋_GB2312"/>
          <w:sz w:val="24"/>
          <w:highlight w:val="none"/>
          <w:lang w:val="zh-CN" w:eastAsia="zh-CN"/>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②园区画像：演示一企一档、园区档案、知识库、网格化管理和绿色园区评价，每项演示成功得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2.5</w:t>
      </w:r>
      <w:r>
        <w:rPr>
          <w:rFonts w:hint="eastAsia" w:ascii="仿宋_GB2312" w:hAnsi="宋体" w:eastAsia="仿宋_GB2312" w:cs="仿宋_GB2312"/>
          <w:sz w:val="24"/>
          <w:highlight w:val="none"/>
          <w:lang w:val="zh-CN" w:eastAsia="zh-CN"/>
        </w:rPr>
        <w:t>分；（2</w:t>
      </w:r>
      <w:r>
        <w:rPr>
          <w:rFonts w:hint="eastAsia" w:ascii="仿宋_GB2312" w:hAnsi="宋体" w:eastAsia="仿宋_GB2312" w:cs="仿宋_GB2312"/>
          <w:sz w:val="24"/>
          <w:highlight w:val="none"/>
          <w:lang w:val="en-US" w:eastAsia="zh-CN"/>
        </w:rPr>
        <w:t>.5</w:t>
      </w:r>
      <w:r>
        <w:rPr>
          <w:rFonts w:hint="eastAsia" w:ascii="仿宋_GB2312" w:hAnsi="宋体" w:eastAsia="仿宋_GB2312" w:cs="仿宋_GB2312"/>
          <w:sz w:val="24"/>
          <w:highlight w:val="none"/>
          <w:lang w:val="zh-CN" w:eastAsia="zh-CN"/>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③安全监管：演示风险分级管控、风险监测预警、隐患排查治理、危险作业监管，每项演示成功得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2</w:t>
      </w:r>
      <w:r>
        <w:rPr>
          <w:rFonts w:hint="eastAsia" w:ascii="仿宋_GB2312" w:hAnsi="宋体" w:eastAsia="仿宋_GB2312" w:cs="仿宋_GB2312"/>
          <w:sz w:val="24"/>
          <w:highlight w:val="none"/>
          <w:lang w:val="zh-CN" w:eastAsia="zh-CN"/>
        </w:rPr>
        <w:t>分；（2分）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④应急指挥：演示自然灾害监测预警、应急资源动态、应急值守、告警管理、事件管理、指挥调度、应急演练，每项演示成功得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3.5</w:t>
      </w:r>
      <w:r>
        <w:rPr>
          <w:rFonts w:hint="eastAsia" w:ascii="仿宋_GB2312" w:hAnsi="宋体" w:eastAsia="仿宋_GB2312" w:cs="仿宋_GB2312"/>
          <w:sz w:val="24"/>
          <w:highlight w:val="none"/>
          <w:lang w:val="zh-CN" w:eastAsia="zh-CN"/>
        </w:rPr>
        <w:t>分；（</w:t>
      </w:r>
      <w:r>
        <w:rPr>
          <w:rFonts w:hint="eastAsia" w:ascii="仿宋_GB2312" w:hAnsi="宋体" w:eastAsia="仿宋_GB2312" w:cs="仿宋_GB2312"/>
          <w:sz w:val="24"/>
          <w:highlight w:val="none"/>
          <w:lang w:val="en-US" w:eastAsia="zh-CN"/>
        </w:rPr>
        <w:t>3.5</w:t>
      </w:r>
      <w:r>
        <w:rPr>
          <w:rFonts w:hint="eastAsia" w:ascii="仿宋_GB2312" w:hAnsi="宋体" w:eastAsia="仿宋_GB2312" w:cs="仿宋_GB2312"/>
          <w:sz w:val="24"/>
          <w:highlight w:val="none"/>
          <w:lang w:val="zh-CN" w:eastAsia="zh-CN"/>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⑤环境监管：演示环境立体感知、环保设备状态监测、环境监测预警、危废固废监管，每项演示成功得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2</w:t>
      </w:r>
      <w:r>
        <w:rPr>
          <w:rFonts w:hint="eastAsia" w:ascii="仿宋_GB2312" w:hAnsi="宋体" w:eastAsia="仿宋_GB2312" w:cs="仿宋_GB2312"/>
          <w:sz w:val="24"/>
          <w:highlight w:val="none"/>
          <w:lang w:val="zh-CN" w:eastAsia="zh-CN"/>
        </w:rPr>
        <w:t>分；（2分）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⑥封闭管理：演示出入管理、访客管理、危化品运输监管，每项演示成功得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1.5</w:t>
      </w:r>
      <w:r>
        <w:rPr>
          <w:rFonts w:hint="eastAsia" w:ascii="仿宋_GB2312" w:hAnsi="宋体" w:eastAsia="仿宋_GB2312" w:cs="仿宋_GB2312"/>
          <w:sz w:val="24"/>
          <w:highlight w:val="none"/>
          <w:lang w:val="zh-CN" w:eastAsia="zh-CN"/>
        </w:rPr>
        <w:t>分；（</w:t>
      </w:r>
      <w:r>
        <w:rPr>
          <w:rFonts w:hint="eastAsia" w:ascii="仿宋_GB2312" w:hAnsi="宋体" w:eastAsia="仿宋_GB2312" w:cs="仿宋_GB2312"/>
          <w:sz w:val="24"/>
          <w:highlight w:val="none"/>
          <w:lang w:val="en-US" w:eastAsia="zh-CN"/>
        </w:rPr>
        <w:t>1.5</w:t>
      </w:r>
      <w:r>
        <w:rPr>
          <w:rFonts w:hint="eastAsia" w:ascii="仿宋_GB2312" w:hAnsi="宋体" w:eastAsia="仿宋_GB2312" w:cs="仿宋_GB2312"/>
          <w:sz w:val="24"/>
          <w:highlight w:val="none"/>
          <w:lang w:val="zh-CN" w:eastAsia="zh-CN"/>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eastAsia="zh-CN"/>
        </w:rPr>
      </w:pPr>
      <w:r>
        <w:rPr>
          <w:rFonts w:hint="eastAsia" w:ascii="仿宋_GB2312" w:hAnsi="宋体" w:eastAsia="仿宋_GB2312" w:cs="仿宋_GB2312"/>
          <w:sz w:val="24"/>
          <w:highlight w:val="none"/>
          <w:lang w:val="zh-CN" w:eastAsia="zh-CN"/>
        </w:rPr>
        <w:t>⑦能源监管：演示能源数据采集、能源统计，每项演</w:t>
      </w:r>
      <w:bookmarkStart w:id="1085" w:name="_GoBack"/>
      <w:bookmarkEnd w:id="1085"/>
      <w:r>
        <w:rPr>
          <w:rFonts w:hint="eastAsia" w:ascii="仿宋_GB2312" w:hAnsi="宋体" w:eastAsia="仿宋_GB2312" w:cs="仿宋_GB2312"/>
          <w:sz w:val="24"/>
          <w:highlight w:val="none"/>
          <w:lang w:val="zh-CN" w:eastAsia="zh-CN"/>
        </w:rPr>
        <w:t>示成功得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eastAsia="zh-CN"/>
        </w:rPr>
        <w:t>分，否则不得分，共计</w:t>
      </w:r>
      <w:r>
        <w:rPr>
          <w:rFonts w:hint="eastAsia" w:ascii="仿宋_GB2312" w:hAnsi="宋体" w:eastAsia="仿宋_GB2312" w:cs="仿宋_GB2312"/>
          <w:sz w:val="24"/>
          <w:highlight w:val="none"/>
          <w:lang w:val="en-US" w:eastAsia="zh-CN"/>
        </w:rPr>
        <w:t>1</w:t>
      </w:r>
      <w:r>
        <w:rPr>
          <w:rFonts w:hint="eastAsia" w:ascii="仿宋_GB2312" w:hAnsi="宋体" w:eastAsia="仿宋_GB2312" w:cs="仿宋_GB2312"/>
          <w:sz w:val="24"/>
          <w:highlight w:val="none"/>
          <w:lang w:val="zh-CN" w:eastAsia="zh-CN"/>
        </w:rPr>
        <w:t>分；（</w:t>
      </w:r>
      <w:r>
        <w:rPr>
          <w:rFonts w:hint="eastAsia" w:ascii="仿宋_GB2312" w:hAnsi="宋体" w:eastAsia="仿宋_GB2312" w:cs="仿宋_GB2312"/>
          <w:sz w:val="24"/>
          <w:highlight w:val="none"/>
          <w:lang w:val="en-US" w:eastAsia="zh-CN"/>
        </w:rPr>
        <w:t>1</w:t>
      </w:r>
      <w:r>
        <w:rPr>
          <w:rFonts w:hint="eastAsia" w:ascii="仿宋_GB2312" w:hAnsi="宋体" w:eastAsia="仿宋_GB2312" w:cs="仿宋_GB2312"/>
          <w:sz w:val="24"/>
          <w:highlight w:val="none"/>
          <w:lang w:val="zh-CN" w:eastAsia="zh-CN"/>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rPr>
      </w:pPr>
      <w:r>
        <w:rPr>
          <w:rFonts w:hint="eastAsia" w:ascii="仿宋_GB2312" w:hAnsi="宋体" w:eastAsia="仿宋_GB2312"/>
          <w:b/>
          <w:bCs/>
          <w:sz w:val="24"/>
          <w:highlight w:val="none"/>
        </w:rPr>
        <w:t>（</w:t>
      </w:r>
      <w:r>
        <w:rPr>
          <w:rFonts w:hint="eastAsia" w:ascii="仿宋_GB2312" w:hAnsi="宋体" w:eastAsia="仿宋_GB2312"/>
          <w:b/>
          <w:bCs/>
          <w:sz w:val="24"/>
          <w:highlight w:val="none"/>
          <w:lang w:val="en-US" w:eastAsia="zh-CN"/>
        </w:rPr>
        <w:t>5</w:t>
      </w:r>
      <w:r>
        <w:rPr>
          <w:rFonts w:hint="eastAsia" w:ascii="仿宋_GB2312" w:hAnsi="宋体" w:eastAsia="仿宋_GB2312"/>
          <w:b/>
          <w:bCs/>
          <w:sz w:val="24"/>
          <w:highlight w:val="none"/>
        </w:rPr>
        <w:t>）</w:t>
      </w:r>
      <w:r>
        <w:rPr>
          <w:rFonts w:hint="eastAsia" w:ascii="仿宋_GB2312" w:hAnsi="宋体" w:eastAsia="仿宋_GB2312" w:cs="仿宋_GB2312"/>
          <w:b/>
          <w:sz w:val="24"/>
          <w:highlight w:val="none"/>
          <w:lang w:val="zh-CN"/>
        </w:rPr>
        <w:t>售后服务方案（</w:t>
      </w:r>
      <w:r>
        <w:rPr>
          <w:rFonts w:hint="eastAsia" w:ascii="仿宋_GB2312" w:hAnsi="宋体" w:eastAsia="仿宋_GB2312" w:cs="仿宋_GB2312"/>
          <w:b/>
          <w:sz w:val="24"/>
          <w:highlight w:val="none"/>
          <w:lang w:val="en-US" w:eastAsia="zh-CN"/>
        </w:rPr>
        <w:t>5</w:t>
      </w:r>
      <w:r>
        <w:rPr>
          <w:rFonts w:hint="eastAsia" w:ascii="仿宋_GB2312" w:hAnsi="宋体" w:eastAsia="仿宋_GB2312" w:cs="仿宋_GB2312"/>
          <w:b/>
          <w:sz w:val="24"/>
          <w:highlight w:val="none"/>
          <w:lang w:val="zh-CN"/>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sz w:val="18"/>
          <w:szCs w:val="18"/>
          <w:highlight w:val="none"/>
        </w:rPr>
        <w:t xml:space="preserve"> </w:t>
      </w:r>
      <w:r>
        <w:rPr>
          <w:rFonts w:hint="eastAsia" w:ascii="仿宋_GB2312" w:hAnsi="宋体" w:eastAsia="仿宋_GB2312" w:cs="仿宋_GB2312"/>
          <w:sz w:val="24"/>
          <w:highlight w:val="none"/>
          <w:lang w:val="zh-CN"/>
        </w:rPr>
        <w:t>投标人提供科学、合理、具体的免费保修及售后服务措施和方案，包括①售后服务方案、②技术服务要求，每一项满足采购人需求得</w:t>
      </w:r>
      <w:r>
        <w:rPr>
          <w:rFonts w:hint="eastAsia" w:ascii="仿宋_GB2312" w:hAnsi="宋体" w:eastAsia="仿宋_GB2312" w:cs="仿宋_GB2312"/>
          <w:sz w:val="24"/>
          <w:highlight w:val="none"/>
          <w:lang w:val="en-US" w:eastAsia="zh-CN"/>
        </w:rPr>
        <w:t>1</w:t>
      </w:r>
      <w:r>
        <w:rPr>
          <w:rFonts w:hint="eastAsia" w:ascii="仿宋_GB2312" w:hAnsi="宋体" w:eastAsia="仿宋_GB2312" w:cs="仿宋_GB2312"/>
          <w:sz w:val="24"/>
          <w:highlight w:val="none"/>
          <w:lang w:val="zh-CN"/>
        </w:rPr>
        <w:t>分，部分满足得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rPr>
        <w:t>分，不满足不得分。共</w:t>
      </w:r>
      <w:r>
        <w:rPr>
          <w:rFonts w:hint="eastAsia" w:ascii="仿宋_GB2312" w:hAnsi="宋体" w:eastAsia="仿宋_GB2312" w:cs="仿宋_GB2312"/>
          <w:sz w:val="24"/>
          <w:highlight w:val="none"/>
          <w:lang w:val="en-US" w:eastAsia="zh-CN"/>
        </w:rPr>
        <w:t>2</w:t>
      </w:r>
      <w:r>
        <w:rPr>
          <w:rFonts w:hint="eastAsia" w:ascii="仿宋_GB2312" w:hAnsi="宋体" w:eastAsia="仿宋_GB2312" w:cs="仿宋_GB2312"/>
          <w:sz w:val="24"/>
          <w:highlight w:val="none"/>
          <w:lang w:val="zh-CN"/>
        </w:rPr>
        <w:t>分（</w:t>
      </w:r>
      <w:r>
        <w:rPr>
          <w:rFonts w:hint="eastAsia" w:ascii="仿宋_GB2312" w:hAnsi="宋体" w:eastAsia="仿宋_GB2312" w:cs="仿宋_GB2312"/>
          <w:sz w:val="24"/>
          <w:highlight w:val="none"/>
          <w:lang w:val="en-US" w:eastAsia="zh-CN"/>
        </w:rPr>
        <w:t>2</w:t>
      </w:r>
      <w:r>
        <w:rPr>
          <w:rFonts w:hint="eastAsia" w:ascii="仿宋_GB2312" w:hAnsi="宋体" w:eastAsia="仿宋_GB2312" w:cs="仿宋_GB2312"/>
          <w:sz w:val="24"/>
          <w:highlight w:val="none"/>
          <w:lang w:val="zh-CN"/>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sz w:val="18"/>
          <w:szCs w:val="18"/>
          <w:highlight w:val="none"/>
        </w:rPr>
        <w:t xml:space="preserve"> </w:t>
      </w:r>
      <w:r>
        <w:rPr>
          <w:rFonts w:hint="eastAsia" w:ascii="仿宋_GB2312" w:hAnsi="仿宋" w:eastAsia="仿宋_GB2312" w:cs="仿宋"/>
          <w:bCs/>
          <w:kern w:val="0"/>
          <w:sz w:val="24"/>
          <w:highlight w:val="none"/>
          <w:lang w:bidi="ar"/>
        </w:rPr>
        <w:t>投标人是否承诺中标后质保期3年（包括本项目所有软件及硬件），在维护期内，应提供所需的消</w:t>
      </w:r>
      <w:r>
        <w:rPr>
          <w:rFonts w:hint="eastAsia" w:ascii="仿宋_GB2312" w:hAnsi="宋体" w:eastAsia="仿宋_GB2312" w:cs="仿宋_GB2312"/>
          <w:sz w:val="24"/>
          <w:highlight w:val="none"/>
          <w:lang w:val="zh-CN"/>
        </w:rPr>
        <w:t>耗品、备品备件、维修、维护服务的得</w:t>
      </w:r>
      <w:r>
        <w:rPr>
          <w:rFonts w:hint="eastAsia" w:ascii="仿宋_GB2312" w:hAnsi="宋体" w:eastAsia="仿宋_GB2312" w:cs="仿宋_GB2312"/>
          <w:sz w:val="24"/>
          <w:highlight w:val="none"/>
          <w:lang w:val="en-US" w:eastAsia="zh-CN"/>
        </w:rPr>
        <w:t>2分</w:t>
      </w:r>
      <w:r>
        <w:rPr>
          <w:rFonts w:hint="eastAsia" w:ascii="仿宋_GB2312" w:hAnsi="宋体" w:eastAsia="仿宋_GB2312" w:cs="仿宋_GB2312"/>
          <w:sz w:val="24"/>
          <w:highlight w:val="none"/>
          <w:lang w:val="zh-CN"/>
        </w:rPr>
        <w:t>（2分）；</w:t>
      </w:r>
    </w:p>
    <w:p>
      <w:pPr>
        <w:shd w:val="clear"/>
        <w:autoSpaceDE w:val="0"/>
        <w:autoSpaceDN w:val="0"/>
        <w:spacing w:line="460" w:lineRule="exact"/>
        <w:ind w:firstLine="482"/>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cs="仿宋_GB2312"/>
          <w:sz w:val="24"/>
          <w:highlight w:val="none"/>
          <w:lang w:val="en-US" w:eastAsia="zh-CN"/>
        </w:rPr>
        <w:t xml:space="preserve"> </w:t>
      </w:r>
      <w:r>
        <w:rPr>
          <w:rFonts w:hint="eastAsia" w:ascii="仿宋_GB2312" w:hAnsi="宋体" w:eastAsia="仿宋_GB2312" w:cs="仿宋_GB2312"/>
          <w:sz w:val="24"/>
          <w:highlight w:val="none"/>
          <w:lang w:val="zh-CN"/>
        </w:rPr>
        <w:t>投标人承诺提供质量保证期内，在接到系统故障通知后，中标人必须在2小时内响应。对于影响平台系统正常运行的严重故障，中标人工程师及其它相关技术人员必须在接到故障通知后4小时内赶到现场，查找原因，提出解决方案，并工作直至故障修妥，完全恢复正常服务为止，一般要求保证系统在8小时之内修复，并需要提供确保承诺实现的措施（</w:t>
      </w:r>
      <w:r>
        <w:rPr>
          <w:rFonts w:hint="eastAsia" w:ascii="仿宋_GB2312" w:hAnsi="宋体" w:eastAsia="仿宋_GB2312" w:cs="仿宋_GB2312"/>
          <w:sz w:val="24"/>
          <w:highlight w:val="none"/>
          <w:lang w:val="en-US" w:eastAsia="zh-CN"/>
        </w:rPr>
        <w:t>1分</w:t>
      </w:r>
      <w:r>
        <w:rPr>
          <w:rFonts w:hint="eastAsia" w:ascii="仿宋_GB2312" w:hAnsi="宋体" w:eastAsia="仿宋_GB2312" w:cs="仿宋_GB2312"/>
          <w:sz w:val="24"/>
          <w:highlight w:val="none"/>
          <w:lang w:val="zh-CN"/>
        </w:rPr>
        <w:t>）。</w:t>
      </w:r>
    </w:p>
    <w:p>
      <w:pPr>
        <w:shd w:val="clear"/>
        <w:autoSpaceDE w:val="0"/>
        <w:autoSpaceDN w:val="0"/>
        <w:spacing w:line="460" w:lineRule="exact"/>
        <w:ind w:firstLine="482"/>
        <w:rPr>
          <w:rFonts w:hint="eastAsia" w:ascii="仿宋_GB2312" w:hAnsi="宋体" w:eastAsia="仿宋_GB2312" w:cs="仿宋_GB2312"/>
          <w:b/>
          <w:bCs/>
          <w:sz w:val="24"/>
          <w:highlight w:val="none"/>
          <w:lang w:val="zh-CN"/>
        </w:rPr>
      </w:pPr>
      <w:r>
        <w:rPr>
          <w:rFonts w:hint="eastAsia" w:ascii="仿宋_GB2312" w:hAnsi="宋体" w:eastAsia="仿宋_GB2312" w:cs="仿宋_GB2312"/>
          <w:b/>
          <w:bCs/>
          <w:sz w:val="24"/>
          <w:highlight w:val="none"/>
          <w:lang w:val="zh-CN"/>
        </w:rPr>
        <w:t>（</w:t>
      </w:r>
      <w:r>
        <w:rPr>
          <w:rFonts w:hint="eastAsia" w:ascii="仿宋_GB2312" w:hAnsi="宋体" w:eastAsia="仿宋_GB2312" w:cs="仿宋_GB2312"/>
          <w:b/>
          <w:bCs/>
          <w:sz w:val="24"/>
          <w:highlight w:val="none"/>
          <w:lang w:val="en-US" w:eastAsia="zh-CN"/>
        </w:rPr>
        <w:t>6</w:t>
      </w:r>
      <w:r>
        <w:rPr>
          <w:rFonts w:hint="eastAsia" w:ascii="仿宋_GB2312" w:hAnsi="宋体" w:eastAsia="仿宋_GB2312" w:cs="仿宋_GB2312"/>
          <w:b/>
          <w:bCs/>
          <w:sz w:val="24"/>
          <w:highlight w:val="none"/>
          <w:lang w:val="zh-CN"/>
        </w:rPr>
        <w:t>）培训、测试和验收（</w:t>
      </w:r>
      <w:r>
        <w:rPr>
          <w:rFonts w:hint="eastAsia" w:ascii="仿宋_GB2312" w:hAnsi="宋体" w:eastAsia="仿宋_GB2312" w:cs="仿宋_GB2312"/>
          <w:b/>
          <w:bCs/>
          <w:sz w:val="24"/>
          <w:highlight w:val="none"/>
          <w:lang w:val="en-US" w:eastAsia="zh-CN"/>
        </w:rPr>
        <w:t>4</w:t>
      </w:r>
      <w:r>
        <w:rPr>
          <w:rFonts w:hint="eastAsia" w:ascii="仿宋_GB2312" w:hAnsi="宋体" w:eastAsia="仿宋_GB2312" w:cs="仿宋_GB2312"/>
          <w:b/>
          <w:bCs/>
          <w:sz w:val="24"/>
          <w:highlight w:val="none"/>
          <w:lang w:val="zh-CN"/>
        </w:rPr>
        <w:t>分）：</w:t>
      </w:r>
    </w:p>
    <w:p>
      <w:pPr>
        <w:shd w:val="clear"/>
        <w:autoSpaceDE w:val="0"/>
        <w:autoSpaceDN w:val="0"/>
        <w:spacing w:line="460" w:lineRule="exact"/>
        <w:ind w:firstLine="482"/>
        <w:rPr>
          <w:rFonts w:hint="eastAsia"/>
          <w:highlight w:val="none"/>
          <w:lang w:val="zh-CN"/>
        </w:rPr>
      </w:pPr>
      <w:r>
        <w:rPr>
          <w:rFonts w:hint="eastAsia" w:ascii="仿宋_GB2312" w:hAnsi="宋体" w:eastAsia="仿宋_GB2312" w:cs="仿宋_GB2312"/>
          <w:sz w:val="24"/>
          <w:highlight w:val="none"/>
          <w:lang w:val="zh-CN"/>
        </w:rPr>
        <w:t>●</w:t>
      </w:r>
      <w:r>
        <w:rPr>
          <w:rFonts w:hint="eastAsia" w:ascii="仿宋_GB2312" w:hAnsi="宋体" w:eastAsia="仿宋_GB2312" w:cs="仿宋_GB2312"/>
          <w:sz w:val="24"/>
          <w:highlight w:val="none"/>
          <w:lang w:val="zh-CN" w:eastAsia="zh-CN"/>
        </w:rPr>
        <w:t>投标人</w:t>
      </w:r>
      <w:r>
        <w:rPr>
          <w:rFonts w:hint="eastAsia" w:ascii="仿宋_GB2312" w:hAnsi="宋体" w:eastAsia="仿宋_GB2312" w:cs="仿宋_GB2312"/>
          <w:sz w:val="24"/>
          <w:highlight w:val="none"/>
          <w:lang w:val="zh-CN"/>
        </w:rPr>
        <w:t>是否提出合理可行的功能测试及验收方案。满足得2分，部分满足得1分，不满足不得分（2分）；</w:t>
      </w:r>
    </w:p>
    <w:p>
      <w:pPr>
        <w:shd w:val="clear"/>
        <w:autoSpaceDE w:val="0"/>
        <w:autoSpaceDN w:val="0"/>
        <w:spacing w:line="460" w:lineRule="exact"/>
        <w:ind w:firstLine="482"/>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cs="仿宋_GB2312"/>
          <w:sz w:val="24"/>
          <w:highlight w:val="none"/>
          <w:lang w:val="zh-CN"/>
        </w:rPr>
        <w:t xml:space="preserve"> 根据投标人的培训方案情况进行打分，提供业务人员应用培训和管理员级培训的得</w:t>
      </w:r>
      <w:r>
        <w:rPr>
          <w:rFonts w:hint="eastAsia" w:ascii="仿宋_GB2312" w:hAnsi="宋体" w:eastAsia="仿宋_GB2312" w:cs="仿宋_GB2312"/>
          <w:sz w:val="24"/>
          <w:highlight w:val="none"/>
          <w:lang w:val="en-US" w:eastAsia="zh-CN"/>
        </w:rPr>
        <w:t>1</w:t>
      </w:r>
      <w:r>
        <w:rPr>
          <w:rFonts w:hint="eastAsia" w:ascii="仿宋_GB2312" w:hAnsi="宋体" w:eastAsia="仿宋_GB2312" w:cs="仿宋_GB2312"/>
          <w:sz w:val="24"/>
          <w:highlight w:val="none"/>
          <w:lang w:val="zh-CN"/>
        </w:rPr>
        <w:t>分，否则不得分；培训内容涵盖产品</w:t>
      </w:r>
      <w:r>
        <w:rPr>
          <w:rFonts w:ascii="仿宋_GB2312" w:hAnsi="仿宋" w:eastAsia="仿宋_GB2312"/>
          <w:bCs/>
          <w:sz w:val="24"/>
          <w:highlight w:val="none"/>
        </w:rPr>
        <w:t>的功能、操作使用、注意事项、日常维护保养事项</w:t>
      </w:r>
      <w:r>
        <w:rPr>
          <w:rFonts w:hint="eastAsia" w:ascii="仿宋_GB2312" w:hAnsi="仿宋" w:eastAsia="仿宋_GB2312"/>
          <w:bCs/>
          <w:sz w:val="24"/>
          <w:highlight w:val="none"/>
        </w:rPr>
        <w:t>的得</w:t>
      </w:r>
      <w:r>
        <w:rPr>
          <w:rFonts w:hint="eastAsia" w:ascii="仿宋_GB2312" w:hAnsi="仿宋" w:eastAsia="仿宋_GB2312"/>
          <w:bCs/>
          <w:sz w:val="24"/>
          <w:highlight w:val="none"/>
          <w:lang w:val="en-US" w:eastAsia="zh-CN"/>
        </w:rPr>
        <w:t>1</w:t>
      </w:r>
      <w:r>
        <w:rPr>
          <w:rFonts w:hint="eastAsia" w:ascii="仿宋_GB2312" w:hAnsi="仿宋" w:eastAsia="仿宋_GB2312"/>
          <w:bCs/>
          <w:sz w:val="24"/>
          <w:highlight w:val="none"/>
        </w:rPr>
        <w:t>分。共</w:t>
      </w:r>
      <w:r>
        <w:rPr>
          <w:rFonts w:hint="eastAsia" w:ascii="仿宋_GB2312" w:hAnsi="仿宋" w:eastAsia="仿宋_GB2312"/>
          <w:bCs/>
          <w:sz w:val="24"/>
          <w:highlight w:val="none"/>
          <w:lang w:val="en-US" w:eastAsia="zh-CN"/>
        </w:rPr>
        <w:t>2</w:t>
      </w:r>
      <w:r>
        <w:rPr>
          <w:rFonts w:hint="eastAsia" w:ascii="仿宋_GB2312" w:hAnsi="仿宋" w:eastAsia="仿宋_GB2312"/>
          <w:bCs/>
          <w:sz w:val="24"/>
          <w:highlight w:val="none"/>
        </w:rPr>
        <w:t>分（</w:t>
      </w:r>
      <w:r>
        <w:rPr>
          <w:rFonts w:hint="eastAsia" w:ascii="仿宋_GB2312" w:hAnsi="仿宋" w:eastAsia="仿宋_GB2312"/>
          <w:bCs/>
          <w:sz w:val="24"/>
          <w:highlight w:val="none"/>
          <w:lang w:val="en-US" w:eastAsia="zh-CN"/>
        </w:rPr>
        <w:t>2</w:t>
      </w:r>
      <w:r>
        <w:rPr>
          <w:rFonts w:hint="eastAsia" w:ascii="仿宋_GB2312" w:hAnsi="仿宋" w:eastAsia="仿宋_GB2312"/>
          <w:bCs/>
          <w:sz w:val="24"/>
          <w:highlight w:val="none"/>
        </w:rPr>
        <w:t>分）。</w:t>
      </w:r>
    </w:p>
    <w:p>
      <w:pPr>
        <w:shd w:val="clear"/>
        <w:snapToGrid w:val="0"/>
        <w:spacing w:line="360" w:lineRule="auto"/>
        <w:ind w:firstLine="482" w:firstLineChars="200"/>
        <w:rPr>
          <w:rFonts w:hint="eastAsia" w:ascii="仿宋_GB2312" w:hAnsi="仿宋_GB2312" w:eastAsia="仿宋_GB2312" w:cs="仿宋_GB2312"/>
          <w:b/>
          <w:bCs/>
          <w:sz w:val="24"/>
          <w:highlight w:val="none"/>
        </w:rPr>
      </w:pPr>
      <w:r>
        <w:rPr>
          <w:rFonts w:hint="eastAsia" w:ascii="仿宋_GB2312" w:hAnsi="仿宋_GB2312" w:eastAsia="仿宋_GB2312" w:cs="仿宋_GB2312"/>
          <w:b/>
          <w:bCs/>
          <w:sz w:val="24"/>
          <w:highlight w:val="none"/>
        </w:rPr>
        <w:t>C、投标人的资信情况（</w:t>
      </w:r>
      <w:r>
        <w:rPr>
          <w:rFonts w:hint="eastAsia" w:ascii="仿宋_GB2312" w:hAnsi="仿宋_GB2312" w:eastAsia="仿宋_GB2312" w:cs="仿宋_GB2312"/>
          <w:b/>
          <w:sz w:val="24"/>
          <w:highlight w:val="none"/>
          <w:u w:val="single"/>
          <w:lang w:val="en-US" w:eastAsia="zh-CN"/>
        </w:rPr>
        <w:t>8</w:t>
      </w:r>
      <w:r>
        <w:rPr>
          <w:rFonts w:hint="eastAsia" w:ascii="仿宋_GB2312" w:hAnsi="仿宋_GB2312" w:eastAsia="仿宋_GB2312" w:cs="仿宋_GB2312"/>
          <w:b/>
          <w:bCs/>
          <w:sz w:val="24"/>
          <w:highlight w:val="none"/>
        </w:rPr>
        <w:t>分）：</w:t>
      </w:r>
    </w:p>
    <w:p>
      <w:pPr>
        <w:shd w:val="clear"/>
        <w:autoSpaceDE w:val="0"/>
        <w:autoSpaceDN w:val="0"/>
        <w:spacing w:line="460" w:lineRule="exact"/>
        <w:ind w:firstLine="482"/>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sz w:val="18"/>
          <w:szCs w:val="18"/>
          <w:highlight w:val="none"/>
        </w:rPr>
        <w:t xml:space="preserve"> </w:t>
      </w:r>
      <w:r>
        <w:rPr>
          <w:rFonts w:hint="eastAsia" w:ascii="仿宋_GB2312" w:hAnsi="宋体" w:eastAsia="仿宋_GB2312" w:cs="仿宋_GB2312"/>
          <w:sz w:val="24"/>
          <w:highlight w:val="none"/>
          <w:lang w:val="zh-CN"/>
        </w:rPr>
        <w:t>投标人具有取得质量管理、环境管理、职业健康安全、 信息安全管理体系认证证书，每提供一份得</w:t>
      </w:r>
      <w:r>
        <w:rPr>
          <w:rFonts w:hint="eastAsia" w:ascii="仿宋_GB2312" w:hAnsi="宋体" w:eastAsia="仿宋_GB2312" w:cs="仿宋_GB2312"/>
          <w:sz w:val="24"/>
          <w:highlight w:val="none"/>
          <w:lang w:val="en-US" w:eastAsia="zh-CN"/>
        </w:rPr>
        <w:t>0.5</w:t>
      </w:r>
      <w:r>
        <w:rPr>
          <w:rFonts w:hint="eastAsia" w:ascii="仿宋_GB2312" w:hAnsi="宋体" w:eastAsia="仿宋_GB2312" w:cs="仿宋_GB2312"/>
          <w:sz w:val="24"/>
          <w:highlight w:val="none"/>
          <w:lang w:val="zh-CN"/>
        </w:rPr>
        <w:t>分，共计</w:t>
      </w:r>
      <w:r>
        <w:rPr>
          <w:rFonts w:hint="eastAsia" w:ascii="仿宋_GB2312" w:hAnsi="宋体" w:eastAsia="仿宋_GB2312" w:cs="仿宋_GB2312"/>
          <w:sz w:val="24"/>
          <w:highlight w:val="none"/>
          <w:lang w:val="en-US" w:eastAsia="zh-CN"/>
        </w:rPr>
        <w:t>2</w:t>
      </w:r>
      <w:r>
        <w:rPr>
          <w:rFonts w:hint="eastAsia" w:ascii="仿宋_GB2312" w:hAnsi="宋体" w:eastAsia="仿宋_GB2312" w:cs="仿宋_GB2312"/>
          <w:sz w:val="24"/>
          <w:highlight w:val="none"/>
          <w:lang w:val="zh-CN"/>
        </w:rPr>
        <w:t>分（</w:t>
      </w:r>
      <w:r>
        <w:rPr>
          <w:rFonts w:hint="eastAsia" w:ascii="仿宋_GB2312" w:hAnsi="宋体" w:eastAsia="仿宋_GB2312" w:cs="仿宋_GB2312"/>
          <w:sz w:val="24"/>
          <w:highlight w:val="none"/>
          <w:lang w:val="en-US" w:eastAsia="zh-CN"/>
        </w:rPr>
        <w:t>2</w:t>
      </w:r>
      <w:r>
        <w:rPr>
          <w:rFonts w:hint="eastAsia" w:ascii="仿宋_GB2312" w:hAnsi="宋体" w:eastAsia="仿宋_GB2312" w:cs="仿宋_GB2312"/>
          <w:sz w:val="24"/>
          <w:highlight w:val="none"/>
          <w:lang w:val="zh-CN"/>
        </w:rPr>
        <w:t>分）；</w:t>
      </w:r>
    </w:p>
    <w:p>
      <w:pPr>
        <w:keepNext w:val="0"/>
        <w:keepLines w:val="0"/>
        <w:pageBreakBefore w:val="0"/>
        <w:widowControl w:val="0"/>
        <w:shd w:val="clear"/>
        <w:kinsoku/>
        <w:wordWrap/>
        <w:overflowPunct/>
        <w:topLinePunct w:val="0"/>
        <w:autoSpaceDE w:val="0"/>
        <w:autoSpaceDN w:val="0"/>
        <w:bidi w:val="0"/>
        <w:snapToGrid/>
        <w:spacing w:line="460" w:lineRule="exact"/>
        <w:ind w:firstLine="482"/>
        <w:textAlignment w:val="auto"/>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sz w:val="18"/>
          <w:szCs w:val="18"/>
          <w:highlight w:val="none"/>
        </w:rPr>
        <w:t xml:space="preserve"> </w:t>
      </w:r>
      <w:r>
        <w:rPr>
          <w:rFonts w:hint="eastAsia" w:ascii="仿宋_GB2312" w:hAnsi="宋体" w:eastAsia="仿宋_GB2312" w:cs="仿宋_GB2312"/>
          <w:sz w:val="24"/>
          <w:highlight w:val="none"/>
          <w:lang w:val="zh-CN"/>
        </w:rPr>
        <w:t>投标人具有安监、环保、能源管理、应急救援指挥、封闭化管理等相关软件著作权证书的，每一个得1分，本项最高</w:t>
      </w:r>
      <w:r>
        <w:rPr>
          <w:rFonts w:hint="eastAsia" w:ascii="仿宋_GB2312" w:hAnsi="宋体" w:eastAsia="仿宋_GB2312" w:cs="仿宋_GB2312"/>
          <w:sz w:val="24"/>
          <w:highlight w:val="none"/>
          <w:lang w:val="en-US" w:eastAsia="zh-CN"/>
        </w:rPr>
        <w:t>3</w:t>
      </w:r>
      <w:r>
        <w:rPr>
          <w:rFonts w:hint="eastAsia" w:ascii="仿宋_GB2312" w:hAnsi="宋体" w:eastAsia="仿宋_GB2312" w:cs="仿宋_GB2312"/>
          <w:sz w:val="24"/>
          <w:highlight w:val="none"/>
          <w:lang w:val="zh-CN"/>
        </w:rPr>
        <w:t>分（</w:t>
      </w:r>
      <w:r>
        <w:rPr>
          <w:rFonts w:hint="eastAsia" w:ascii="仿宋_GB2312" w:hAnsi="宋体" w:eastAsia="仿宋_GB2312" w:cs="仿宋_GB2312"/>
          <w:sz w:val="24"/>
          <w:highlight w:val="none"/>
          <w:lang w:val="en-US" w:eastAsia="zh-CN"/>
        </w:rPr>
        <w:t>3分</w:t>
      </w:r>
      <w:r>
        <w:rPr>
          <w:rFonts w:hint="eastAsia" w:ascii="仿宋_GB2312" w:hAnsi="宋体" w:eastAsia="仿宋_GB2312" w:cs="仿宋_GB2312"/>
          <w:sz w:val="24"/>
          <w:highlight w:val="none"/>
          <w:lang w:val="zh-CN"/>
        </w:rPr>
        <w:t>）。</w:t>
      </w:r>
    </w:p>
    <w:p>
      <w:pPr>
        <w:keepNext w:val="0"/>
        <w:keepLines w:val="0"/>
        <w:pageBreakBefore w:val="0"/>
        <w:widowControl w:val="0"/>
        <w:shd w:val="clear"/>
        <w:kinsoku/>
        <w:wordWrap/>
        <w:overflowPunct/>
        <w:topLinePunct w:val="0"/>
        <w:autoSpaceDE w:val="0"/>
        <w:autoSpaceDN w:val="0"/>
        <w:bidi w:val="0"/>
        <w:snapToGrid/>
        <w:spacing w:line="460" w:lineRule="exact"/>
        <w:ind w:firstLine="482"/>
        <w:textAlignment w:val="auto"/>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rPr>
        <w:t>注：投标文件需提供以上证书复印件或扫描件，证书须在有效期内。否者不得分。</w:t>
      </w:r>
    </w:p>
    <w:p>
      <w:pPr>
        <w:keepNext w:val="0"/>
        <w:keepLines w:val="0"/>
        <w:pageBreakBefore w:val="0"/>
        <w:widowControl w:val="0"/>
        <w:shd w:val="clear"/>
        <w:kinsoku/>
        <w:wordWrap/>
        <w:overflowPunct/>
        <w:topLinePunct w:val="0"/>
        <w:autoSpaceDE w:val="0"/>
        <w:autoSpaceDN w:val="0"/>
        <w:bidi w:val="0"/>
        <w:snapToGrid/>
        <w:spacing w:line="460" w:lineRule="exact"/>
        <w:ind w:firstLine="482"/>
        <w:textAlignment w:val="auto"/>
        <w:rPr>
          <w:rFonts w:hint="eastAsia" w:ascii="仿宋_GB2312" w:hAnsi="宋体" w:eastAsia="仿宋_GB2312" w:cs="仿宋_GB2312"/>
          <w:sz w:val="24"/>
          <w:highlight w:val="none"/>
          <w:lang w:val="zh-CN"/>
        </w:rPr>
      </w:pPr>
      <w:r>
        <w:rPr>
          <w:rFonts w:hint="eastAsia" w:ascii="仿宋_GB2312" w:hAnsi="宋体" w:eastAsia="仿宋_GB2312" w:cs="仿宋_GB2312"/>
          <w:sz w:val="24"/>
          <w:highlight w:val="none"/>
          <w:lang w:val="zh-CN" w:eastAsia="zh-CN"/>
        </w:rPr>
        <w:t>●</w:t>
      </w:r>
      <w:r>
        <w:rPr>
          <w:rFonts w:hint="eastAsia" w:ascii="仿宋_GB2312" w:hAnsi="宋体" w:eastAsia="仿宋_GB2312" w:cs="仿宋_GB2312"/>
          <w:sz w:val="24"/>
          <w:highlight w:val="none"/>
          <w:lang w:val="zh-CN"/>
        </w:rPr>
        <w:t>投标人成功案例及业绩：201</w:t>
      </w:r>
      <w:r>
        <w:rPr>
          <w:rFonts w:hint="eastAsia" w:ascii="仿宋_GB2312" w:hAnsi="宋体" w:eastAsia="仿宋_GB2312" w:cs="仿宋_GB2312"/>
          <w:sz w:val="24"/>
          <w:highlight w:val="none"/>
          <w:lang w:val="en-US" w:eastAsia="zh-CN"/>
        </w:rPr>
        <w:t>9</w:t>
      </w:r>
      <w:r>
        <w:rPr>
          <w:rFonts w:hint="eastAsia" w:ascii="仿宋_GB2312" w:hAnsi="宋体" w:eastAsia="仿宋_GB2312" w:cs="仿宋_GB2312"/>
          <w:sz w:val="24"/>
          <w:highlight w:val="none"/>
          <w:lang w:val="zh-CN"/>
        </w:rPr>
        <w:t>年1月1日起至开标时间止（以合同签订时间为准），投标人承担园区数字化、信息化平台建设项目成功案例情况，每个案例得1分，最高得</w:t>
      </w:r>
      <w:r>
        <w:rPr>
          <w:rFonts w:hint="eastAsia" w:ascii="仿宋_GB2312" w:hAnsi="宋体" w:eastAsia="仿宋_GB2312" w:cs="仿宋_GB2312"/>
          <w:sz w:val="24"/>
          <w:highlight w:val="none"/>
          <w:lang w:val="en-US" w:eastAsia="zh-CN"/>
        </w:rPr>
        <w:t>3</w:t>
      </w:r>
      <w:r>
        <w:rPr>
          <w:rFonts w:hint="eastAsia" w:ascii="仿宋_GB2312" w:hAnsi="宋体" w:eastAsia="仿宋_GB2312" w:cs="仿宋_GB2312"/>
          <w:sz w:val="24"/>
          <w:highlight w:val="none"/>
          <w:lang w:val="zh-CN"/>
        </w:rPr>
        <w:t>分（须提供合同扫描件）（</w:t>
      </w:r>
      <w:r>
        <w:rPr>
          <w:rFonts w:hint="eastAsia" w:ascii="仿宋_GB2312" w:hAnsi="宋体" w:eastAsia="仿宋_GB2312" w:cs="仿宋_GB2312"/>
          <w:sz w:val="24"/>
          <w:highlight w:val="none"/>
          <w:lang w:val="en-US" w:eastAsia="zh-CN"/>
        </w:rPr>
        <w:t>3分</w:t>
      </w:r>
      <w:r>
        <w:rPr>
          <w:rFonts w:hint="eastAsia" w:ascii="仿宋_GB2312" w:hAnsi="宋体" w:eastAsia="仿宋_GB2312" w:cs="仿宋_GB2312"/>
          <w:sz w:val="24"/>
          <w:highlight w:val="none"/>
          <w:lang w:val="zh-CN"/>
        </w:rPr>
        <w:t>）。</w:t>
      </w:r>
    </w:p>
    <w:p>
      <w:pPr>
        <w:pStyle w:val="32"/>
        <w:keepNext w:val="0"/>
        <w:keepLines w:val="0"/>
        <w:pageBreakBefore w:val="0"/>
        <w:widowControl w:val="0"/>
        <w:shd w:val="clear"/>
        <w:kinsoku/>
        <w:wordWrap/>
        <w:overflowPunct/>
        <w:topLinePunct w:val="0"/>
        <w:bidi w:val="0"/>
        <w:snapToGrid/>
        <w:spacing w:line="460" w:lineRule="exact"/>
        <w:ind w:firstLine="472" w:firstLineChars="196"/>
        <w:textAlignment w:val="auto"/>
        <w:rPr>
          <w:rFonts w:hint="eastAsia" w:ascii="仿宋_GB2312" w:hAnsi="仿宋_GB2312" w:eastAsia="仿宋_GB2312" w:cs="仿宋_GB2312"/>
          <w:b/>
          <w:sz w:val="24"/>
          <w:szCs w:val="24"/>
          <w:highlight w:val="none"/>
        </w:rPr>
      </w:pPr>
      <w:r>
        <w:rPr>
          <w:rFonts w:hint="eastAsia" w:ascii="仿宋_GB2312" w:hAnsi="仿宋_GB2312" w:eastAsia="仿宋_GB2312" w:cs="仿宋_GB2312"/>
          <w:b/>
          <w:sz w:val="24"/>
          <w:szCs w:val="24"/>
          <w:highlight w:val="none"/>
        </w:rPr>
        <w:t>综合得分=A+B+C</w:t>
      </w:r>
      <w:r>
        <w:rPr>
          <w:rFonts w:hint="eastAsia" w:ascii="仿宋_GB2312" w:hAnsi="仿宋" w:eastAsia="仿宋_GB2312" w:cs="仿宋_GB2312"/>
          <w:b/>
          <w:sz w:val="24"/>
          <w:szCs w:val="24"/>
          <w:highlight w:val="none"/>
        </w:rPr>
        <w:t>，精确到小数点后二位。</w:t>
      </w:r>
    </w:p>
    <w:p>
      <w:pPr>
        <w:adjustRightInd w:val="0"/>
        <w:spacing w:line="360" w:lineRule="auto"/>
        <w:ind w:firstLine="467" w:firstLineChars="194"/>
        <w:rPr>
          <w:rFonts w:ascii="仿宋_GB2312" w:hAnsi="仿宋" w:eastAsia="仿宋_GB2312" w:cs="仿宋_GB2312"/>
          <w:b/>
          <w:sz w:val="24"/>
          <w:szCs w:val="24"/>
        </w:rPr>
      </w:pPr>
    </w:p>
    <w:p>
      <w:pPr>
        <w:adjustRightInd w:val="0"/>
        <w:spacing w:line="360" w:lineRule="auto"/>
        <w:ind w:firstLine="467" w:firstLineChars="194"/>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Pr>
        <w:rPr>
          <w:rFonts w:ascii="仿宋_GB2312" w:hAnsi="仿宋" w:eastAsia="仿宋_GB2312" w:cs="仿宋_GB2312"/>
          <w:b/>
          <w:sz w:val="24"/>
          <w:szCs w:val="24"/>
        </w:rPr>
      </w:pPr>
    </w:p>
    <w:p>
      <w:pPr>
        <w:pStyle w:val="2"/>
        <w:rPr>
          <w:rFonts w:ascii="仿宋_GB2312" w:hAnsi="仿宋" w:eastAsia="仿宋_GB2312" w:cs="仿宋_GB2312"/>
          <w:b/>
          <w:sz w:val="24"/>
          <w:szCs w:val="24"/>
        </w:rPr>
      </w:pPr>
    </w:p>
    <w:p/>
    <w:p>
      <w:pPr>
        <w:adjustRightInd w:val="0"/>
        <w:spacing w:line="360" w:lineRule="auto"/>
        <w:ind w:left="720" w:leftChars="343" w:firstLine="1446" w:firstLineChars="400"/>
        <w:outlineLvl w:val="0"/>
        <w:rPr>
          <w:rFonts w:hint="eastAsia" w:ascii="仿宋_GB2312" w:hAnsi="仿宋" w:eastAsia="仿宋_GB2312" w:cs="仿宋_GB2312"/>
          <w:b/>
          <w:sz w:val="36"/>
          <w:szCs w:val="36"/>
        </w:rPr>
      </w:pPr>
    </w:p>
    <w:p>
      <w:pPr>
        <w:pStyle w:val="2"/>
        <w:rPr>
          <w:rFonts w:hint="eastAsia"/>
        </w:rPr>
      </w:pPr>
    </w:p>
    <w:p>
      <w:pPr>
        <w:adjustRightInd w:val="0"/>
        <w:spacing w:line="360" w:lineRule="auto"/>
        <w:ind w:left="720" w:leftChars="343" w:firstLine="1446" w:firstLineChars="400"/>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 拟签订的合同文本</w:t>
      </w:r>
    </w:p>
    <w:bookmarkEnd w:id="24"/>
    <w:p>
      <w:pPr>
        <w:spacing w:line="360" w:lineRule="auto"/>
        <w:rPr>
          <w:rFonts w:ascii="仿宋_GB2312" w:hAnsi="楷体" w:eastAsia="仿宋_GB2312"/>
          <w:sz w:val="24"/>
          <w:u w:val="single"/>
        </w:rPr>
      </w:pPr>
      <w:bookmarkStart w:id="912" w:name="第五部分"/>
      <w:bookmarkStart w:id="913" w:name="_Toc86217003"/>
      <w:r>
        <w:rPr>
          <w:rFonts w:hint="eastAsia" w:ascii="仿宋_GB2312" w:hAnsi="楷体" w:eastAsia="仿宋_GB2312"/>
          <w:sz w:val="24"/>
        </w:rPr>
        <w:t>合同编号：</w:t>
      </w:r>
      <w:r>
        <w:rPr>
          <w:rFonts w:hint="eastAsia" w:ascii="仿宋_GB2312" w:hAnsi="楷体" w:eastAsia="仿宋_GB2312"/>
          <w:sz w:val="24"/>
          <w:u w:val="single"/>
        </w:rPr>
        <w:t xml:space="preserve">           </w:t>
      </w:r>
    </w:p>
    <w:p>
      <w:pPr>
        <w:spacing w:line="360" w:lineRule="auto"/>
        <w:rPr>
          <w:rFonts w:ascii="仿宋_GB2312" w:hAnsi="楷体" w:eastAsia="仿宋_GB2312"/>
          <w:sz w:val="24"/>
          <w:u w:val="single"/>
        </w:rPr>
      </w:pPr>
    </w:p>
    <w:p>
      <w:pPr>
        <w:pStyle w:val="330"/>
        <w:ind w:leftChars="0" w:firstLine="2465" w:firstLineChars="682"/>
        <w:jc w:val="left"/>
        <w:rPr>
          <w:rFonts w:ascii="仿宋_GB2312" w:hAnsi="仿宋_GB2312" w:eastAsia="仿宋_GB2312" w:cs="仿宋_GB2312"/>
          <w:b/>
          <w:sz w:val="36"/>
          <w:szCs w:val="36"/>
        </w:rPr>
      </w:pPr>
      <w:r>
        <w:rPr>
          <w:rFonts w:hint="eastAsia" w:ascii="仿宋_GB2312" w:hAnsi="仿宋_GB2312" w:eastAsia="仿宋_GB2312" w:cs="仿宋_GB2312"/>
          <w:b/>
          <w:sz w:val="36"/>
          <w:szCs w:val="36"/>
        </w:rPr>
        <w:t>政府采购合同书</w:t>
      </w:r>
    </w:p>
    <w:p>
      <w:pPr>
        <w:pStyle w:val="330"/>
        <w:rPr>
          <w:rFonts w:ascii="仿宋_GB2312" w:hAnsi="楷体" w:eastAsia="仿宋_GB2312"/>
          <w:szCs w:val="24"/>
        </w:rPr>
      </w:pPr>
    </w:p>
    <w:p>
      <w:pPr>
        <w:pStyle w:val="330"/>
        <w:rPr>
          <w:rFonts w:ascii="仿宋_GB2312" w:hAnsi="楷体" w:eastAsia="仿宋_GB2312"/>
          <w:szCs w:val="24"/>
        </w:rPr>
      </w:pPr>
    </w:p>
    <w:p>
      <w:pPr>
        <w:spacing w:before="120" w:line="360" w:lineRule="auto"/>
        <w:rPr>
          <w:rFonts w:ascii="仿宋_GB2312" w:hAnsi="楷体" w:eastAsia="仿宋_GB2312"/>
          <w:sz w:val="24"/>
        </w:rPr>
      </w:pPr>
    </w:p>
    <w:p>
      <w:pPr>
        <w:spacing w:before="120" w:line="360" w:lineRule="auto"/>
        <w:ind w:left="960"/>
        <w:rPr>
          <w:rFonts w:ascii="仿宋_GB2312" w:hAnsi="楷体" w:eastAsia="仿宋_GB2312"/>
          <w:sz w:val="24"/>
          <w:u w:val="single"/>
        </w:rPr>
      </w:pPr>
      <w:r>
        <w:rPr>
          <w:rFonts w:hint="eastAsia" w:ascii="仿宋_GB2312" w:hAnsi="楷体" w:eastAsia="仿宋_GB2312"/>
          <w:sz w:val="24"/>
        </w:rPr>
        <w:t>项目名称：</w:t>
      </w:r>
      <w:r>
        <w:rPr>
          <w:rFonts w:hint="eastAsia" w:ascii="仿宋_GB2312" w:hAnsi="楷体" w:eastAsia="仿宋_GB2312"/>
          <w:sz w:val="24"/>
          <w:u w:val="single"/>
        </w:rPr>
        <w:t xml:space="preserve">                                   </w:t>
      </w:r>
    </w:p>
    <w:p>
      <w:pPr>
        <w:pStyle w:val="648"/>
        <w:spacing w:before="120"/>
        <w:ind w:firstLine="360"/>
        <w:rPr>
          <w:rFonts w:hAnsi="楷体"/>
          <w:szCs w:val="24"/>
        </w:rPr>
      </w:pPr>
    </w:p>
    <w:p>
      <w:pPr>
        <w:spacing w:line="360" w:lineRule="auto"/>
        <w:rPr>
          <w:rFonts w:ascii="仿宋_GB2312" w:eastAsia="仿宋_GB2312"/>
          <w:sz w:val="24"/>
        </w:rPr>
      </w:pPr>
    </w:p>
    <w:p>
      <w:pPr>
        <w:spacing w:before="120" w:line="360" w:lineRule="auto"/>
        <w:ind w:left="960"/>
        <w:rPr>
          <w:rFonts w:ascii="仿宋_GB2312" w:hAnsi="楷体" w:eastAsia="仿宋_GB2312"/>
          <w:sz w:val="24"/>
          <w:u w:val="single"/>
        </w:rPr>
      </w:pPr>
      <w:r>
        <w:rPr>
          <w:rFonts w:hint="eastAsia" w:ascii="仿宋_GB2312" w:hAnsi="楷体" w:eastAsia="仿宋_GB2312"/>
          <w:sz w:val="24"/>
        </w:rPr>
        <w:t>甲方：</w:t>
      </w:r>
      <w:r>
        <w:rPr>
          <w:rFonts w:hint="eastAsia" w:ascii="仿宋_GB2312" w:hAnsi="楷体" w:eastAsia="仿宋_GB2312"/>
          <w:sz w:val="24"/>
          <w:u w:val="single"/>
        </w:rPr>
        <w:t xml:space="preserve">                                       </w:t>
      </w:r>
    </w:p>
    <w:p>
      <w:pPr>
        <w:spacing w:before="120" w:line="360" w:lineRule="auto"/>
        <w:rPr>
          <w:rFonts w:ascii="仿宋_GB2312" w:hAnsi="楷体" w:eastAsia="仿宋_GB2312"/>
          <w:sz w:val="24"/>
        </w:rPr>
      </w:pPr>
    </w:p>
    <w:p>
      <w:pPr>
        <w:spacing w:before="120" w:line="360" w:lineRule="auto"/>
        <w:ind w:left="960"/>
        <w:rPr>
          <w:rFonts w:ascii="仿宋_GB2312" w:hAnsi="楷体" w:eastAsia="仿宋_GB2312"/>
          <w:sz w:val="24"/>
          <w:u w:val="single"/>
        </w:rPr>
      </w:pPr>
      <w:r>
        <w:rPr>
          <w:rFonts w:hint="eastAsia" w:ascii="仿宋_GB2312" w:hAnsi="楷体" w:eastAsia="仿宋_GB2312"/>
          <w:sz w:val="24"/>
        </w:rPr>
        <w:t>乙方：</w:t>
      </w:r>
      <w:r>
        <w:rPr>
          <w:rFonts w:hint="eastAsia" w:ascii="仿宋_GB2312" w:hAnsi="楷体" w:eastAsia="仿宋_GB2312"/>
          <w:sz w:val="24"/>
          <w:u w:val="single"/>
        </w:rPr>
        <w:t xml:space="preserve">                                       </w:t>
      </w:r>
    </w:p>
    <w:p>
      <w:pPr>
        <w:spacing w:before="120" w:line="360" w:lineRule="auto"/>
        <w:rPr>
          <w:rFonts w:ascii="仿宋_GB2312" w:hAnsi="楷体" w:eastAsia="仿宋_GB2312"/>
          <w:sz w:val="24"/>
        </w:rPr>
      </w:pPr>
    </w:p>
    <w:p>
      <w:pPr>
        <w:spacing w:before="120" w:line="360" w:lineRule="auto"/>
        <w:ind w:firstLine="960" w:firstLineChars="400"/>
        <w:rPr>
          <w:rFonts w:ascii="仿宋_GB2312" w:hAnsi="楷体" w:eastAsia="仿宋_GB2312"/>
          <w:sz w:val="24"/>
          <w:u w:val="single"/>
        </w:rPr>
      </w:pPr>
      <w:r>
        <w:rPr>
          <w:rFonts w:hint="eastAsia" w:ascii="仿宋_GB2312" w:hAnsi="楷体" w:eastAsia="仿宋_GB2312"/>
          <w:sz w:val="24"/>
        </w:rPr>
        <w:t>签订地：</w:t>
      </w:r>
      <w:r>
        <w:rPr>
          <w:rFonts w:hint="eastAsia" w:ascii="仿宋_GB2312" w:hAnsi="楷体" w:eastAsia="仿宋_GB2312"/>
          <w:sz w:val="24"/>
          <w:u w:val="single"/>
        </w:rPr>
        <w:t xml:space="preserve">                                     </w:t>
      </w:r>
    </w:p>
    <w:p>
      <w:pPr>
        <w:spacing w:before="120" w:line="360" w:lineRule="auto"/>
        <w:rPr>
          <w:rFonts w:ascii="仿宋_GB2312" w:hAnsi="楷体" w:eastAsia="仿宋_GB2312"/>
          <w:sz w:val="24"/>
        </w:rPr>
      </w:pPr>
    </w:p>
    <w:p>
      <w:pPr>
        <w:spacing w:before="120" w:line="360" w:lineRule="auto"/>
        <w:ind w:firstLine="960" w:firstLineChars="400"/>
        <w:rPr>
          <w:rFonts w:ascii="仿宋_GB2312" w:hAnsi="楷体" w:eastAsia="仿宋_GB2312"/>
          <w:sz w:val="24"/>
          <w:u w:val="single"/>
        </w:rPr>
      </w:pPr>
      <w:r>
        <w:rPr>
          <w:rFonts w:hint="eastAsia" w:ascii="仿宋_GB2312" w:hAnsi="楷体" w:eastAsia="仿宋_GB2312"/>
          <w:sz w:val="24"/>
        </w:rPr>
        <w:t>签订日期：</w:t>
      </w:r>
      <w:r>
        <w:rPr>
          <w:rFonts w:hint="eastAsia" w:ascii="仿宋_GB2312" w:hAnsi="楷体" w:eastAsia="仿宋_GB2312"/>
          <w:sz w:val="24"/>
          <w:u w:val="single"/>
        </w:rPr>
        <w:t xml:space="preserve">               </w:t>
      </w:r>
      <w:r>
        <w:rPr>
          <w:rFonts w:hint="eastAsia" w:ascii="仿宋_GB2312" w:hAnsi="楷体" w:eastAsia="仿宋_GB2312"/>
          <w:sz w:val="24"/>
        </w:rPr>
        <w:t>年</w:t>
      </w:r>
      <w:r>
        <w:rPr>
          <w:rFonts w:hint="eastAsia" w:ascii="仿宋_GB2312" w:hAnsi="楷体" w:eastAsia="仿宋_GB2312"/>
          <w:sz w:val="24"/>
          <w:u w:val="single"/>
        </w:rPr>
        <w:t xml:space="preserve">       </w:t>
      </w:r>
      <w:r>
        <w:rPr>
          <w:rFonts w:hint="eastAsia" w:ascii="仿宋_GB2312" w:hAnsi="楷体" w:eastAsia="仿宋_GB2312"/>
          <w:sz w:val="24"/>
        </w:rPr>
        <w:t>月</w:t>
      </w:r>
      <w:r>
        <w:rPr>
          <w:rFonts w:hint="eastAsia" w:ascii="仿宋_GB2312" w:hAnsi="楷体" w:eastAsia="仿宋_GB2312"/>
          <w:sz w:val="24"/>
          <w:u w:val="single"/>
        </w:rPr>
        <w:t xml:space="preserve">       </w:t>
      </w:r>
      <w:r>
        <w:rPr>
          <w:rFonts w:hint="eastAsia" w:ascii="仿宋_GB2312" w:hAnsi="楷体" w:eastAsia="仿宋_GB2312"/>
          <w:sz w:val="24"/>
        </w:rPr>
        <w:t>日</w:t>
      </w:r>
    </w:p>
    <w:p>
      <w:pPr>
        <w:widowControl/>
        <w:jc w:val="left"/>
        <w:rPr>
          <w:rFonts w:ascii="仿宋_GB2312" w:hAnsi="仿宋_GB2312" w:eastAsia="仿宋_GB2312" w:cs="仿宋_GB2312"/>
          <w:b/>
          <w:sz w:val="24"/>
        </w:rPr>
      </w:pPr>
      <w:r>
        <w:rPr>
          <w:rFonts w:hint="eastAsia" w:ascii="仿宋_GB2312" w:hAnsi="仿宋_GB2312" w:eastAsia="仿宋_GB2312" w:cs="仿宋_GB2312"/>
          <w:b/>
          <w:sz w:val="24"/>
        </w:rPr>
        <w:br w:type="page"/>
      </w:r>
    </w:p>
    <w:p>
      <w:pPr>
        <w:spacing w:line="360" w:lineRule="auto"/>
        <w:ind w:firstLine="562" w:firstLineChars="200"/>
        <w:jc w:val="center"/>
        <w:rPr>
          <w:rFonts w:ascii="仿宋_GB2312" w:hAnsi="楷体" w:eastAsia="仿宋_GB2312"/>
          <w:b/>
          <w:sz w:val="28"/>
          <w:szCs w:val="28"/>
        </w:rPr>
      </w:pPr>
      <w:r>
        <w:rPr>
          <w:rFonts w:hint="eastAsia" w:ascii="仿宋_GB2312" w:hAnsi="楷体" w:eastAsia="仿宋_GB2312"/>
          <w:b/>
          <w:sz w:val="28"/>
          <w:szCs w:val="28"/>
        </w:rPr>
        <w:t>第一部分 合同书</w:t>
      </w:r>
    </w:p>
    <w:p>
      <w:pPr>
        <w:spacing w:line="360" w:lineRule="auto"/>
        <w:ind w:firstLine="480" w:firstLineChars="200"/>
        <w:rPr>
          <w:rFonts w:ascii="仿宋_GB2312" w:hAnsi="楷体" w:eastAsia="仿宋_GB2312"/>
          <w:sz w:val="24"/>
        </w:rPr>
      </w:pPr>
      <w:r>
        <w:rPr>
          <w:rFonts w:hint="eastAsia" w:ascii="仿宋_GB2312" w:hAnsi="楷体" w:eastAsia="仿宋_GB2312"/>
          <w:sz w:val="24"/>
          <w:u w:val="single"/>
          <w:lang w:val="zh-CN"/>
        </w:rPr>
        <w:t xml:space="preserve">        </w:t>
      </w:r>
      <w:r>
        <w:rPr>
          <w:rFonts w:hint="eastAsia" w:ascii="仿宋_GB2312" w:hAnsi="楷体" w:eastAsia="仿宋_GB2312"/>
          <w:sz w:val="24"/>
          <w:lang w:val="zh-CN"/>
        </w:rPr>
        <w:t>年</w:t>
      </w:r>
      <w:r>
        <w:rPr>
          <w:rFonts w:hint="eastAsia" w:ascii="仿宋_GB2312" w:hAnsi="楷体" w:eastAsia="仿宋_GB2312"/>
          <w:sz w:val="24"/>
          <w:u w:val="single"/>
          <w:lang w:val="zh-CN"/>
        </w:rPr>
        <w:t xml:space="preserve">    </w:t>
      </w:r>
      <w:r>
        <w:rPr>
          <w:rFonts w:hint="eastAsia" w:ascii="仿宋_GB2312" w:hAnsi="楷体" w:eastAsia="仿宋_GB2312"/>
          <w:sz w:val="24"/>
          <w:lang w:val="zh-CN"/>
        </w:rPr>
        <w:t>月</w:t>
      </w:r>
      <w:r>
        <w:rPr>
          <w:rFonts w:hint="eastAsia" w:ascii="仿宋_GB2312" w:hAnsi="楷体" w:eastAsia="仿宋_GB2312"/>
          <w:sz w:val="24"/>
          <w:u w:val="single"/>
          <w:lang w:val="zh-CN"/>
        </w:rPr>
        <w:t xml:space="preserve">    </w:t>
      </w:r>
      <w:r>
        <w:rPr>
          <w:rFonts w:hint="eastAsia" w:ascii="仿宋_GB2312" w:hAnsi="楷体" w:eastAsia="仿宋_GB2312"/>
          <w:sz w:val="24"/>
          <w:lang w:val="zh-CN"/>
        </w:rPr>
        <w:t>日</w:t>
      </w:r>
      <w:r>
        <w:rPr>
          <w:rFonts w:hint="eastAsia" w:ascii="仿宋_GB2312" w:hAnsi="楷体" w:eastAsia="仿宋_GB2312"/>
          <w:sz w:val="24"/>
        </w:rPr>
        <w:t>，</w:t>
      </w:r>
      <w:r>
        <w:rPr>
          <w:rFonts w:hint="eastAsia" w:ascii="仿宋_GB2312" w:hAnsi="楷体" w:eastAsia="仿宋_GB2312"/>
          <w:sz w:val="24"/>
          <w:u w:val="single"/>
        </w:rPr>
        <w:t xml:space="preserve">   （采购人名称）   </w:t>
      </w:r>
      <w:r>
        <w:rPr>
          <w:rFonts w:hint="eastAsia" w:ascii="仿宋_GB2312" w:hAnsi="楷体" w:eastAsia="仿宋_GB2312"/>
          <w:sz w:val="24"/>
        </w:rPr>
        <w:t>以</w:t>
      </w:r>
      <w:r>
        <w:rPr>
          <w:rFonts w:hint="eastAsia" w:ascii="仿宋_GB2312" w:hAnsi="楷体" w:eastAsia="仿宋_GB2312"/>
          <w:sz w:val="24"/>
          <w:u w:val="single"/>
        </w:rPr>
        <w:t xml:space="preserve">   （政府采购方式）  </w:t>
      </w:r>
      <w:r>
        <w:rPr>
          <w:rFonts w:hint="eastAsia" w:ascii="仿宋_GB2312" w:hAnsi="楷体" w:eastAsia="仿宋_GB2312"/>
          <w:sz w:val="24"/>
        </w:rPr>
        <w:t>对</w:t>
      </w:r>
      <w:r>
        <w:rPr>
          <w:rFonts w:hint="eastAsia" w:ascii="仿宋_GB2312" w:hAnsi="楷体" w:eastAsia="仿宋_GB2312"/>
          <w:sz w:val="24"/>
          <w:u w:val="single"/>
        </w:rPr>
        <w:t xml:space="preserve">   （同前页项目名称）   </w:t>
      </w:r>
      <w:r>
        <w:rPr>
          <w:rFonts w:hint="eastAsia" w:ascii="仿宋_GB2312" w:hAnsi="楷体" w:eastAsia="仿宋_GB2312"/>
          <w:sz w:val="24"/>
        </w:rPr>
        <w:t>项目进行了采购。经</w:t>
      </w:r>
      <w:r>
        <w:rPr>
          <w:rFonts w:hint="eastAsia" w:ascii="仿宋_GB2312" w:hAnsi="楷体" w:eastAsia="仿宋_GB2312"/>
          <w:sz w:val="24"/>
          <w:u w:val="single"/>
        </w:rPr>
        <w:t xml:space="preserve">   （相关评定主体名称）   </w:t>
      </w:r>
      <w:r>
        <w:rPr>
          <w:rFonts w:hint="eastAsia" w:ascii="仿宋_GB2312" w:hAnsi="楷体" w:eastAsia="仿宋_GB2312"/>
          <w:sz w:val="24"/>
        </w:rPr>
        <w:t>评定，</w:t>
      </w:r>
      <w:r>
        <w:rPr>
          <w:rFonts w:hint="eastAsia" w:ascii="仿宋_GB2312" w:hAnsi="楷体" w:eastAsia="仿宋_GB2312"/>
          <w:sz w:val="24"/>
          <w:u w:val="single"/>
        </w:rPr>
        <w:t xml:space="preserve">   （中标供应商名称）</w:t>
      </w:r>
      <w:r>
        <w:rPr>
          <w:rFonts w:hint="eastAsia" w:ascii="仿宋_GB2312" w:hAnsi="楷体" w:eastAsia="仿宋_GB2312"/>
          <w:sz w:val="24"/>
        </w:rPr>
        <w:t>为该项目中标供应商。现于中标通知书发出之日起三十日内，按照采购文件确定的事项签订本合同。</w:t>
      </w:r>
    </w:p>
    <w:p>
      <w:pPr>
        <w:spacing w:line="360" w:lineRule="auto"/>
        <w:ind w:firstLine="480" w:firstLineChars="200"/>
        <w:rPr>
          <w:rFonts w:ascii="仿宋_GB2312" w:hAnsi="楷体" w:eastAsia="仿宋_GB2312"/>
          <w:sz w:val="24"/>
        </w:rPr>
      </w:pPr>
      <w:r>
        <w:rPr>
          <w:rFonts w:hint="eastAsia" w:ascii="仿宋_GB2312" w:hAnsi="楷体" w:eastAsia="仿宋_GB2312"/>
          <w:sz w:val="24"/>
          <w:lang w:val="zh-CN"/>
        </w:rPr>
        <w:t>根据《中华人民共和国民法典》、《中华人民共和国政府采购法》等相关法律法规之规定，按照平等、自愿、公平和诚实信用的原则，经</w:t>
      </w:r>
      <w:r>
        <w:rPr>
          <w:rFonts w:hint="eastAsia" w:ascii="仿宋_GB2312" w:hAnsi="楷体" w:eastAsia="仿宋_GB2312"/>
          <w:sz w:val="24"/>
          <w:u w:val="single"/>
        </w:rPr>
        <w:t xml:space="preserve">   （采购人名称）   </w:t>
      </w:r>
      <w:r>
        <w:rPr>
          <w:rFonts w:hint="eastAsia" w:ascii="仿宋_GB2312" w:hAnsi="楷体" w:eastAsia="仿宋_GB2312"/>
          <w:sz w:val="24"/>
          <w:lang w:val="zh-CN"/>
        </w:rPr>
        <w:t>(以下简称：甲方)和</w:t>
      </w:r>
      <w:r>
        <w:rPr>
          <w:rFonts w:hint="eastAsia" w:ascii="仿宋_GB2312" w:hAnsi="楷体" w:eastAsia="仿宋_GB2312"/>
          <w:sz w:val="24"/>
          <w:u w:val="single"/>
        </w:rPr>
        <w:t xml:space="preserve">   （中标供应商名称）   </w:t>
      </w:r>
      <w:r>
        <w:rPr>
          <w:rFonts w:hint="eastAsia" w:ascii="仿宋_GB2312" w:hAnsi="楷体" w:eastAsia="仿宋_GB2312"/>
          <w:sz w:val="24"/>
          <w:lang w:val="zh-CN"/>
        </w:rPr>
        <w:t>(以下简称：乙方)协商一致，约定以下合同</w:t>
      </w:r>
      <w:r>
        <w:rPr>
          <w:rFonts w:hint="eastAsia" w:ascii="仿宋_GB2312" w:hAnsi="楷体" w:eastAsia="仿宋_GB2312"/>
          <w:sz w:val="24"/>
        </w:rPr>
        <w:t>条款，以兹共同遵守、全面履行。</w:t>
      </w:r>
    </w:p>
    <w:p>
      <w:pPr>
        <w:spacing w:line="360" w:lineRule="auto"/>
        <w:ind w:firstLine="482" w:firstLineChars="200"/>
        <w:outlineLvl w:val="0"/>
        <w:rPr>
          <w:rFonts w:ascii="仿宋_GB2312" w:hAnsi="楷体" w:eastAsia="仿宋_GB2312"/>
          <w:b/>
          <w:sz w:val="24"/>
        </w:rPr>
      </w:pPr>
      <w:bookmarkStart w:id="914" w:name="_Toc3029"/>
      <w:bookmarkStart w:id="915" w:name="_Toc2232"/>
      <w:bookmarkStart w:id="916" w:name="_Toc24059"/>
      <w:r>
        <w:rPr>
          <w:rFonts w:hint="eastAsia" w:ascii="仿宋_GB2312" w:hAnsi="楷体" w:eastAsia="仿宋_GB2312"/>
          <w:b/>
          <w:sz w:val="24"/>
        </w:rPr>
        <w:t>1.1 合同组成部分</w:t>
      </w:r>
      <w:bookmarkEnd w:id="914"/>
      <w:bookmarkEnd w:id="915"/>
      <w:bookmarkEnd w:id="916"/>
    </w:p>
    <w:p>
      <w:pPr>
        <w:spacing w:line="360" w:lineRule="auto"/>
        <w:ind w:firstLine="480" w:firstLineChars="200"/>
        <w:rPr>
          <w:rFonts w:ascii="仿宋_GB2312" w:hAnsi="楷体" w:eastAsia="仿宋_GB2312"/>
          <w:sz w:val="24"/>
        </w:rPr>
      </w:pPr>
      <w:r>
        <w:rPr>
          <w:rFonts w:hint="eastAsia" w:ascii="仿宋_GB2312" w:hAnsi="楷体" w:eastAsia="仿宋_GB2312"/>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1.1.1 本合同及其补充合同、变更协议；</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1.1.2 中标通知书；</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1.1.3 投标文件（含澄清或者说明文件）；</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1.1.4 招标文件（含澄清或者修改文件）；</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1.1.5 其他相关采购文件。</w:t>
      </w:r>
    </w:p>
    <w:p>
      <w:pPr>
        <w:spacing w:line="360" w:lineRule="auto"/>
        <w:ind w:firstLine="482" w:firstLineChars="200"/>
        <w:outlineLvl w:val="0"/>
        <w:rPr>
          <w:rFonts w:ascii="仿宋_GB2312" w:hAnsi="楷体" w:eastAsia="仿宋_GB2312"/>
          <w:b/>
          <w:sz w:val="24"/>
        </w:rPr>
      </w:pPr>
      <w:bookmarkStart w:id="917" w:name="_Toc21295"/>
      <w:bookmarkStart w:id="918" w:name="_Toc27126"/>
      <w:bookmarkStart w:id="919" w:name="_Toc24300"/>
      <w:r>
        <w:rPr>
          <w:rFonts w:hint="eastAsia" w:ascii="仿宋_GB2312" w:hAnsi="楷体" w:eastAsia="仿宋_GB2312"/>
          <w:b/>
          <w:sz w:val="24"/>
        </w:rPr>
        <w:t>1.2 标的物</w:t>
      </w:r>
      <w:bookmarkEnd w:id="917"/>
      <w:bookmarkEnd w:id="918"/>
      <w:bookmarkEnd w:id="919"/>
    </w:p>
    <w:p>
      <w:pPr>
        <w:spacing w:line="360" w:lineRule="auto"/>
        <w:ind w:firstLine="480" w:firstLineChars="200"/>
        <w:rPr>
          <w:rFonts w:ascii="仿宋_GB2312" w:hAnsi="楷体" w:eastAsia="仿宋_GB2312"/>
          <w:sz w:val="24"/>
          <w:u w:val="single"/>
        </w:rPr>
      </w:pPr>
      <w:r>
        <w:rPr>
          <w:rFonts w:hint="eastAsia" w:ascii="仿宋_GB2312" w:hAnsi="楷体" w:eastAsia="仿宋_GB2312"/>
          <w:sz w:val="24"/>
        </w:rPr>
        <w:t>1.2.1 标的物名称：</w:t>
      </w:r>
      <w:r>
        <w:rPr>
          <w:rFonts w:hint="eastAsia" w:ascii="仿宋_GB2312" w:hAnsi="楷体" w:eastAsia="仿宋_GB2312"/>
          <w:sz w:val="24"/>
          <w:u w:val="single"/>
        </w:rPr>
        <w:t xml:space="preserve">                                                </w:t>
      </w:r>
      <w:r>
        <w:rPr>
          <w:rFonts w:hint="eastAsia" w:ascii="仿宋_GB2312" w:hAnsi="楷体" w:eastAsia="仿宋_GB2312"/>
          <w:sz w:val="24"/>
        </w:rPr>
        <w:t>；</w:t>
      </w:r>
    </w:p>
    <w:p>
      <w:pPr>
        <w:spacing w:line="360" w:lineRule="auto"/>
        <w:ind w:firstLine="480" w:firstLineChars="200"/>
        <w:rPr>
          <w:rFonts w:ascii="仿宋_GB2312" w:hAnsi="楷体" w:eastAsia="仿宋_GB2312"/>
          <w:sz w:val="24"/>
          <w:u w:val="single"/>
        </w:rPr>
      </w:pPr>
      <w:r>
        <w:rPr>
          <w:rFonts w:hint="eastAsia" w:ascii="仿宋_GB2312" w:hAnsi="楷体" w:eastAsia="仿宋_GB2312"/>
          <w:sz w:val="24"/>
        </w:rPr>
        <w:t>1.2.2 标的物数量：</w:t>
      </w:r>
      <w:r>
        <w:rPr>
          <w:rFonts w:hint="eastAsia" w:ascii="仿宋_GB2312" w:hAnsi="楷体" w:eastAsia="仿宋_GB2312"/>
          <w:sz w:val="24"/>
          <w:u w:val="single"/>
        </w:rPr>
        <w:t xml:space="preserve">                                                </w:t>
      </w:r>
      <w:r>
        <w:rPr>
          <w:rFonts w:hint="eastAsia" w:ascii="仿宋_GB2312" w:hAnsi="楷体" w:eastAsia="仿宋_GB2312"/>
          <w:sz w:val="24"/>
        </w:rPr>
        <w:t>；</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1.2.3 标的物质量：</w:t>
      </w:r>
      <w:r>
        <w:rPr>
          <w:rFonts w:hint="eastAsia" w:ascii="仿宋_GB2312" w:hAnsi="楷体" w:eastAsia="仿宋_GB2312"/>
          <w:sz w:val="24"/>
          <w:u w:val="single"/>
        </w:rPr>
        <w:t xml:space="preserve">　　　　　　　　　                      　      </w:t>
      </w:r>
      <w:r>
        <w:rPr>
          <w:rFonts w:hint="eastAsia" w:ascii="仿宋_GB2312" w:hAnsi="楷体" w:eastAsia="仿宋_GB2312"/>
          <w:sz w:val="24"/>
        </w:rPr>
        <w:t>。</w:t>
      </w:r>
    </w:p>
    <w:p>
      <w:pPr>
        <w:spacing w:line="360" w:lineRule="auto"/>
        <w:ind w:firstLine="482" w:firstLineChars="200"/>
        <w:outlineLvl w:val="0"/>
        <w:rPr>
          <w:rFonts w:ascii="仿宋_GB2312" w:hAnsi="楷体" w:eastAsia="仿宋_GB2312"/>
          <w:b/>
          <w:sz w:val="24"/>
        </w:rPr>
      </w:pPr>
      <w:bookmarkStart w:id="920" w:name="_Toc21631"/>
      <w:bookmarkStart w:id="921" w:name="_Toc23292"/>
      <w:bookmarkStart w:id="922" w:name="_Toc21551"/>
      <w:r>
        <w:rPr>
          <w:rFonts w:hint="eastAsia" w:ascii="仿宋_GB2312" w:hAnsi="楷体" w:eastAsia="仿宋_GB2312"/>
          <w:b/>
          <w:sz w:val="24"/>
        </w:rPr>
        <w:t>1.3 价款</w:t>
      </w:r>
      <w:bookmarkEnd w:id="920"/>
      <w:bookmarkEnd w:id="921"/>
      <w:bookmarkEnd w:id="922"/>
    </w:p>
    <w:p>
      <w:pPr>
        <w:spacing w:line="360" w:lineRule="auto"/>
        <w:ind w:firstLine="480" w:firstLineChars="200"/>
        <w:rPr>
          <w:rFonts w:ascii="仿宋_GB2312" w:hAnsi="楷体" w:eastAsia="仿宋_GB2312"/>
          <w:sz w:val="24"/>
        </w:rPr>
      </w:pPr>
      <w:r>
        <w:rPr>
          <w:rFonts w:hint="eastAsia" w:ascii="仿宋_GB2312" w:hAnsi="楷体" w:eastAsia="仿宋_GB2312"/>
          <w:sz w:val="24"/>
        </w:rPr>
        <w:t>本合同总价为：人民币</w:t>
      </w:r>
      <w:r>
        <w:rPr>
          <w:rFonts w:hint="eastAsia" w:ascii="仿宋_GB2312" w:hAnsi="楷体" w:eastAsia="仿宋_GB2312"/>
          <w:sz w:val="24"/>
          <w:u w:val="single"/>
        </w:rPr>
        <w:t xml:space="preserve">           </w:t>
      </w:r>
      <w:r>
        <w:rPr>
          <w:rFonts w:hint="eastAsia" w:ascii="仿宋_GB2312" w:hAnsi="楷体" w:eastAsia="仿宋_GB2312"/>
          <w:sz w:val="24"/>
        </w:rPr>
        <w:t>元（大写：</w:t>
      </w:r>
      <w:r>
        <w:rPr>
          <w:rFonts w:hint="eastAsia" w:ascii="仿宋_GB2312" w:hAnsi="楷体" w:eastAsia="仿宋_GB2312"/>
          <w:sz w:val="24"/>
          <w:u w:val="single"/>
        </w:rPr>
        <w:t xml:space="preserve">                 </w:t>
      </w:r>
      <w:r>
        <w:rPr>
          <w:rFonts w:hint="eastAsia" w:ascii="仿宋_GB2312" w:hAnsi="楷体" w:eastAsia="仿宋_GB2312"/>
          <w:sz w:val="24"/>
        </w:rPr>
        <w:t>元人民币）。</w:t>
      </w:r>
    </w:p>
    <w:p>
      <w:pPr>
        <w:spacing w:line="360" w:lineRule="auto"/>
        <w:ind w:firstLine="480" w:firstLineChars="200"/>
        <w:rPr>
          <w:rFonts w:ascii="仿宋_GB2312" w:hAnsi="楷体" w:eastAsia="仿宋_GB2312"/>
          <w:sz w:val="24"/>
          <w:u w:val="single"/>
        </w:rPr>
      </w:pPr>
      <w:r>
        <w:rPr>
          <w:rFonts w:hint="eastAsia" w:ascii="仿宋_GB2312" w:hAnsi="楷体" w:eastAsia="仿宋_GB2312"/>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282"/>
              <w:spacing w:line="360" w:lineRule="auto"/>
              <w:ind w:firstLine="480"/>
              <w:jc w:val="center"/>
              <w:rPr>
                <w:rFonts w:ascii="仿宋_GB2312" w:hAnsi="楷体" w:eastAsia="仿宋_GB2312"/>
                <w:sz w:val="24"/>
                <w:szCs w:val="24"/>
              </w:rPr>
            </w:pPr>
            <w:r>
              <w:rPr>
                <w:rFonts w:hint="eastAsia" w:ascii="仿宋_GB2312" w:hAnsi="楷体" w:eastAsia="仿宋_GB2312"/>
                <w:sz w:val="24"/>
                <w:szCs w:val="24"/>
              </w:rPr>
              <w:t>序号</w:t>
            </w:r>
          </w:p>
        </w:tc>
        <w:tc>
          <w:tcPr>
            <w:tcW w:w="3402" w:type="dxa"/>
            <w:vAlign w:val="center"/>
          </w:tcPr>
          <w:p>
            <w:pPr>
              <w:pStyle w:val="282"/>
              <w:spacing w:line="360" w:lineRule="auto"/>
              <w:ind w:firstLine="480"/>
              <w:jc w:val="center"/>
              <w:rPr>
                <w:rFonts w:ascii="仿宋_GB2312" w:hAnsi="楷体" w:eastAsia="仿宋_GB2312"/>
                <w:sz w:val="24"/>
                <w:szCs w:val="24"/>
              </w:rPr>
            </w:pPr>
            <w:r>
              <w:rPr>
                <w:rFonts w:hint="eastAsia" w:ascii="仿宋_GB2312" w:hAnsi="楷体" w:eastAsia="仿宋_GB2312"/>
                <w:sz w:val="24"/>
                <w:szCs w:val="24"/>
              </w:rPr>
              <w:t>分项名称</w:t>
            </w:r>
          </w:p>
        </w:tc>
        <w:tc>
          <w:tcPr>
            <w:tcW w:w="2552" w:type="dxa"/>
            <w:vAlign w:val="center"/>
          </w:tcPr>
          <w:p>
            <w:pPr>
              <w:pStyle w:val="282"/>
              <w:spacing w:line="360" w:lineRule="auto"/>
              <w:ind w:firstLine="480"/>
              <w:jc w:val="center"/>
              <w:rPr>
                <w:rFonts w:ascii="仿宋_GB2312" w:hAnsi="楷体" w:eastAsia="仿宋_GB2312"/>
                <w:sz w:val="24"/>
                <w:szCs w:val="24"/>
              </w:rPr>
            </w:pPr>
            <w:r>
              <w:rPr>
                <w:rFonts w:hint="eastAsia" w:ascii="仿宋_GB2312" w:hAnsi="楷体" w:eastAsia="仿宋_GB2312"/>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282"/>
              <w:spacing w:line="360" w:lineRule="auto"/>
              <w:ind w:firstLine="480"/>
              <w:jc w:val="center"/>
              <w:rPr>
                <w:rFonts w:ascii="仿宋_GB2312" w:hAnsi="楷体" w:eastAsia="仿宋_GB2312"/>
                <w:sz w:val="24"/>
                <w:szCs w:val="24"/>
              </w:rPr>
            </w:pPr>
          </w:p>
        </w:tc>
        <w:tc>
          <w:tcPr>
            <w:tcW w:w="3402" w:type="dxa"/>
            <w:vAlign w:val="center"/>
          </w:tcPr>
          <w:p>
            <w:pPr>
              <w:pStyle w:val="282"/>
              <w:spacing w:line="360" w:lineRule="auto"/>
              <w:ind w:firstLine="480"/>
              <w:jc w:val="center"/>
              <w:rPr>
                <w:rFonts w:ascii="仿宋_GB2312" w:hAnsi="楷体" w:eastAsia="仿宋_GB2312"/>
                <w:sz w:val="24"/>
                <w:szCs w:val="24"/>
              </w:rPr>
            </w:pPr>
          </w:p>
        </w:tc>
        <w:tc>
          <w:tcPr>
            <w:tcW w:w="2552" w:type="dxa"/>
            <w:vAlign w:val="center"/>
          </w:tcPr>
          <w:p>
            <w:pPr>
              <w:pStyle w:val="282"/>
              <w:spacing w:line="360" w:lineRule="auto"/>
              <w:ind w:firstLine="480"/>
              <w:jc w:val="center"/>
              <w:rPr>
                <w:rFonts w:ascii="仿宋_GB2312" w:hAnsi="楷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282"/>
              <w:spacing w:line="360" w:lineRule="auto"/>
              <w:ind w:firstLine="480"/>
              <w:jc w:val="center"/>
              <w:rPr>
                <w:rFonts w:ascii="仿宋_GB2312" w:hAnsi="楷体" w:eastAsia="仿宋_GB2312"/>
                <w:sz w:val="24"/>
                <w:szCs w:val="24"/>
              </w:rPr>
            </w:pPr>
          </w:p>
        </w:tc>
        <w:tc>
          <w:tcPr>
            <w:tcW w:w="3402" w:type="dxa"/>
            <w:vAlign w:val="center"/>
          </w:tcPr>
          <w:p>
            <w:pPr>
              <w:pStyle w:val="282"/>
              <w:spacing w:line="360" w:lineRule="auto"/>
              <w:ind w:firstLine="480"/>
              <w:jc w:val="center"/>
              <w:rPr>
                <w:rFonts w:ascii="仿宋_GB2312" w:hAnsi="楷体" w:eastAsia="仿宋_GB2312"/>
                <w:sz w:val="24"/>
                <w:szCs w:val="24"/>
              </w:rPr>
            </w:pPr>
          </w:p>
        </w:tc>
        <w:tc>
          <w:tcPr>
            <w:tcW w:w="2552" w:type="dxa"/>
            <w:vAlign w:val="center"/>
          </w:tcPr>
          <w:p>
            <w:pPr>
              <w:pStyle w:val="282"/>
              <w:spacing w:line="360" w:lineRule="auto"/>
              <w:ind w:firstLine="480"/>
              <w:jc w:val="center"/>
              <w:rPr>
                <w:rFonts w:ascii="仿宋_GB2312" w:hAnsi="楷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282"/>
              <w:spacing w:line="360" w:lineRule="auto"/>
              <w:ind w:firstLine="480"/>
              <w:jc w:val="center"/>
              <w:rPr>
                <w:rFonts w:ascii="仿宋_GB2312" w:hAnsi="楷体" w:eastAsia="仿宋_GB2312"/>
                <w:sz w:val="24"/>
                <w:szCs w:val="24"/>
              </w:rPr>
            </w:pPr>
          </w:p>
        </w:tc>
        <w:tc>
          <w:tcPr>
            <w:tcW w:w="3402" w:type="dxa"/>
            <w:vAlign w:val="center"/>
          </w:tcPr>
          <w:p>
            <w:pPr>
              <w:pStyle w:val="282"/>
              <w:spacing w:line="360" w:lineRule="auto"/>
              <w:ind w:firstLine="480"/>
              <w:jc w:val="center"/>
              <w:rPr>
                <w:rFonts w:ascii="仿宋_GB2312" w:hAnsi="楷体" w:eastAsia="仿宋_GB2312"/>
                <w:sz w:val="24"/>
                <w:szCs w:val="24"/>
              </w:rPr>
            </w:pPr>
          </w:p>
        </w:tc>
        <w:tc>
          <w:tcPr>
            <w:tcW w:w="2552" w:type="dxa"/>
            <w:vAlign w:val="center"/>
          </w:tcPr>
          <w:p>
            <w:pPr>
              <w:pStyle w:val="282"/>
              <w:spacing w:line="360" w:lineRule="auto"/>
              <w:ind w:firstLine="480"/>
              <w:jc w:val="center"/>
              <w:rPr>
                <w:rFonts w:ascii="仿宋_GB2312" w:hAnsi="楷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282"/>
              <w:spacing w:line="360" w:lineRule="auto"/>
              <w:ind w:firstLine="480"/>
              <w:jc w:val="center"/>
              <w:rPr>
                <w:rFonts w:ascii="仿宋_GB2312" w:hAnsi="楷体" w:eastAsia="仿宋_GB2312"/>
                <w:sz w:val="24"/>
                <w:szCs w:val="24"/>
              </w:rPr>
            </w:pPr>
            <w:r>
              <w:rPr>
                <w:rFonts w:hint="eastAsia" w:ascii="仿宋_GB2312" w:hAnsi="楷体" w:eastAsia="仿宋_GB2312"/>
                <w:sz w:val="24"/>
                <w:szCs w:val="24"/>
              </w:rPr>
              <w:t>总价</w:t>
            </w:r>
          </w:p>
        </w:tc>
        <w:tc>
          <w:tcPr>
            <w:tcW w:w="2552" w:type="dxa"/>
            <w:vAlign w:val="center"/>
          </w:tcPr>
          <w:p>
            <w:pPr>
              <w:pStyle w:val="282"/>
              <w:spacing w:line="360" w:lineRule="auto"/>
              <w:ind w:firstLine="480"/>
              <w:jc w:val="center"/>
              <w:rPr>
                <w:rFonts w:ascii="仿宋_GB2312" w:hAnsi="楷体" w:eastAsia="仿宋_GB2312"/>
                <w:sz w:val="24"/>
                <w:szCs w:val="24"/>
              </w:rPr>
            </w:pPr>
          </w:p>
        </w:tc>
      </w:tr>
    </w:tbl>
    <w:p>
      <w:pPr>
        <w:spacing w:line="360" w:lineRule="auto"/>
        <w:ind w:firstLine="482" w:firstLineChars="200"/>
        <w:outlineLvl w:val="0"/>
        <w:rPr>
          <w:rFonts w:ascii="仿宋_GB2312" w:hAnsi="楷体" w:eastAsia="仿宋_GB2312"/>
          <w:b/>
          <w:sz w:val="24"/>
        </w:rPr>
      </w:pPr>
      <w:bookmarkStart w:id="923" w:name="_Toc22618"/>
      <w:bookmarkStart w:id="924" w:name="_Toc10340"/>
      <w:bookmarkStart w:id="925" w:name="_Toc1814"/>
      <w:r>
        <w:rPr>
          <w:rFonts w:hint="eastAsia" w:ascii="仿宋_GB2312" w:hAnsi="楷体" w:eastAsia="仿宋_GB2312"/>
          <w:b/>
          <w:sz w:val="24"/>
        </w:rPr>
        <w:t>1.4 付款方式和发票开具方式</w:t>
      </w:r>
      <w:bookmarkEnd w:id="923"/>
      <w:bookmarkEnd w:id="924"/>
      <w:bookmarkEnd w:id="925"/>
    </w:p>
    <w:p>
      <w:pPr>
        <w:spacing w:line="360" w:lineRule="auto"/>
        <w:ind w:firstLine="480" w:firstLineChars="200"/>
        <w:rPr>
          <w:rFonts w:ascii="仿宋_GB2312" w:hAnsi="楷体" w:eastAsia="仿宋_GB2312"/>
          <w:color w:val="auto"/>
          <w:sz w:val="24"/>
        </w:rPr>
      </w:pPr>
      <w:r>
        <w:rPr>
          <w:rFonts w:hint="eastAsia" w:ascii="仿宋_GB2312" w:hAnsi="楷体" w:eastAsia="仿宋_GB2312"/>
          <w:sz w:val="24"/>
        </w:rPr>
        <w:t>1</w:t>
      </w:r>
      <w:r>
        <w:rPr>
          <w:rFonts w:hint="eastAsia" w:ascii="仿宋_GB2312" w:hAnsi="楷体" w:eastAsia="仿宋_GB2312"/>
          <w:color w:val="auto"/>
          <w:sz w:val="24"/>
        </w:rPr>
        <w:t>.4.1 付款方式：</w:t>
      </w:r>
      <w:r>
        <w:rPr>
          <w:rFonts w:hint="eastAsia" w:ascii="仿宋_GB2312" w:hAnsi="楷体" w:eastAsia="仿宋_GB2312"/>
          <w:color w:val="auto"/>
          <w:sz w:val="24"/>
          <w:u w:val="single"/>
        </w:rPr>
        <w:t xml:space="preserve">   （分期付款/一次性付款）                     </w:t>
      </w:r>
      <w:r>
        <w:rPr>
          <w:rFonts w:hint="eastAsia" w:ascii="仿宋_GB2312" w:hAnsi="楷体" w:eastAsia="仿宋_GB2312"/>
          <w:color w:val="auto"/>
          <w:sz w:val="24"/>
        </w:rPr>
        <w:t>；</w:t>
      </w:r>
    </w:p>
    <w:p>
      <w:pPr>
        <w:spacing w:line="360" w:lineRule="auto"/>
        <w:ind w:firstLine="480" w:firstLineChars="200"/>
        <w:rPr>
          <w:rFonts w:ascii="仿宋_GB2312" w:hAnsi="楷体" w:eastAsia="仿宋_GB2312"/>
          <w:color w:val="auto"/>
          <w:sz w:val="24"/>
          <w:u w:val="single"/>
        </w:rPr>
      </w:pPr>
      <w:r>
        <w:rPr>
          <w:rFonts w:hint="eastAsia" w:ascii="仿宋_GB2312" w:hAnsi="楷体" w:eastAsia="仿宋_GB2312"/>
          <w:color w:val="auto"/>
          <w:sz w:val="24"/>
        </w:rPr>
        <w:t>1.4.2 发票开具方式：</w:t>
      </w:r>
      <w:r>
        <w:rPr>
          <w:rFonts w:hint="eastAsia" w:ascii="仿宋_GB2312" w:hAnsi="楷体" w:eastAsia="仿宋_GB2312"/>
          <w:color w:val="auto"/>
          <w:sz w:val="24"/>
          <w:u w:val="single"/>
        </w:rPr>
        <w:t xml:space="preserve">                                            ；</w:t>
      </w:r>
    </w:p>
    <w:p>
      <w:pPr>
        <w:spacing w:line="360" w:lineRule="auto"/>
        <w:ind w:firstLine="480" w:firstLineChars="200"/>
        <w:rPr>
          <w:rFonts w:ascii="仿宋_GB2312" w:hAnsi="楷体" w:eastAsia="仿宋_GB2312"/>
          <w:color w:val="auto"/>
          <w:sz w:val="24"/>
        </w:rPr>
      </w:pPr>
      <w:r>
        <w:rPr>
          <w:rFonts w:hint="eastAsia" w:ascii="仿宋_GB2312" w:hAnsi="楷体" w:eastAsia="仿宋_GB2312"/>
          <w:color w:val="auto"/>
          <w:sz w:val="24"/>
          <w:u w:val="single"/>
        </w:rPr>
        <w:t>1.4.3甲方拒绝或迟延支付中小企业款项，乙方可向有关部门投诉   。</w:t>
      </w:r>
    </w:p>
    <w:p>
      <w:pPr>
        <w:spacing w:line="360" w:lineRule="auto"/>
        <w:ind w:firstLine="482" w:firstLineChars="200"/>
        <w:outlineLvl w:val="0"/>
        <w:rPr>
          <w:rFonts w:ascii="仿宋_GB2312" w:hAnsi="楷体" w:eastAsia="仿宋_GB2312"/>
          <w:b/>
          <w:sz w:val="24"/>
        </w:rPr>
      </w:pPr>
      <w:bookmarkStart w:id="926" w:name="_Toc19304"/>
      <w:bookmarkStart w:id="927" w:name="_Toc32071"/>
      <w:bookmarkStart w:id="928" w:name="_Toc2846"/>
      <w:r>
        <w:rPr>
          <w:rFonts w:hint="eastAsia" w:ascii="仿宋_GB2312" w:hAnsi="楷体" w:eastAsia="仿宋_GB2312"/>
          <w:b/>
          <w:sz w:val="24"/>
        </w:rPr>
        <w:t>1.5 标的物交付期限、地点和方式</w:t>
      </w:r>
      <w:bookmarkEnd w:id="926"/>
      <w:bookmarkEnd w:id="927"/>
      <w:bookmarkEnd w:id="928"/>
    </w:p>
    <w:p>
      <w:pPr>
        <w:spacing w:line="360" w:lineRule="auto"/>
        <w:ind w:firstLine="480" w:firstLineChars="200"/>
        <w:rPr>
          <w:rFonts w:ascii="仿宋_GB2312" w:hAnsi="楷体" w:eastAsia="仿宋_GB2312"/>
          <w:sz w:val="24"/>
          <w:u w:val="single"/>
        </w:rPr>
      </w:pPr>
      <w:r>
        <w:rPr>
          <w:rFonts w:hint="eastAsia" w:ascii="仿宋_GB2312" w:hAnsi="楷体" w:eastAsia="仿宋_GB2312"/>
          <w:sz w:val="24"/>
        </w:rPr>
        <w:t>1.5.1 交付期限：</w:t>
      </w:r>
      <w:r>
        <w:rPr>
          <w:rFonts w:hint="eastAsia" w:ascii="仿宋_GB2312" w:hAnsi="楷体" w:eastAsia="仿宋_GB2312"/>
          <w:sz w:val="24"/>
          <w:u w:val="single"/>
        </w:rPr>
        <w:t xml:space="preserve">                                                </w:t>
      </w:r>
      <w:r>
        <w:rPr>
          <w:rFonts w:hint="eastAsia" w:ascii="仿宋_GB2312" w:hAnsi="楷体" w:eastAsia="仿宋_GB2312"/>
          <w:sz w:val="24"/>
        </w:rPr>
        <w:t>；</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1.5.2 交付地点：</w:t>
      </w:r>
      <w:r>
        <w:rPr>
          <w:rFonts w:hint="eastAsia" w:ascii="仿宋_GB2312" w:hAnsi="楷体" w:eastAsia="仿宋_GB2312"/>
          <w:sz w:val="24"/>
          <w:u w:val="single"/>
        </w:rPr>
        <w:t xml:space="preserve">                                                </w:t>
      </w:r>
      <w:r>
        <w:rPr>
          <w:rFonts w:hint="eastAsia" w:ascii="仿宋_GB2312" w:hAnsi="楷体" w:eastAsia="仿宋_GB2312"/>
          <w:sz w:val="24"/>
        </w:rPr>
        <w:t>；</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1.5.3 交付方式：</w:t>
      </w:r>
      <w:r>
        <w:rPr>
          <w:rFonts w:hint="eastAsia" w:ascii="仿宋_GB2312" w:hAnsi="楷体" w:eastAsia="仿宋_GB2312"/>
          <w:sz w:val="24"/>
          <w:u w:val="single"/>
        </w:rPr>
        <w:t xml:space="preserve">　　　　　　　　　                      　      </w:t>
      </w:r>
      <w:r>
        <w:rPr>
          <w:rFonts w:hint="eastAsia" w:ascii="仿宋_GB2312" w:hAnsi="楷体" w:eastAsia="仿宋_GB2312"/>
          <w:sz w:val="24"/>
        </w:rPr>
        <w:t>。</w:t>
      </w:r>
    </w:p>
    <w:p>
      <w:pPr>
        <w:spacing w:line="360" w:lineRule="auto"/>
        <w:ind w:firstLine="482" w:firstLineChars="200"/>
        <w:outlineLvl w:val="0"/>
        <w:rPr>
          <w:rFonts w:ascii="仿宋_GB2312" w:hAnsi="楷体" w:eastAsia="仿宋_GB2312"/>
          <w:b/>
          <w:sz w:val="24"/>
        </w:rPr>
      </w:pPr>
      <w:bookmarkStart w:id="929" w:name="_Toc19554"/>
      <w:bookmarkStart w:id="930" w:name="_Toc27250"/>
      <w:bookmarkStart w:id="931" w:name="_Toc21423"/>
      <w:r>
        <w:rPr>
          <w:rFonts w:hint="eastAsia" w:ascii="仿宋_GB2312" w:hAnsi="楷体" w:eastAsia="仿宋_GB2312"/>
          <w:b/>
          <w:sz w:val="24"/>
        </w:rPr>
        <w:t>1.6 违约责任</w:t>
      </w:r>
      <w:bookmarkEnd w:id="929"/>
      <w:bookmarkEnd w:id="930"/>
      <w:bookmarkEnd w:id="931"/>
    </w:p>
    <w:p>
      <w:pPr>
        <w:spacing w:line="360" w:lineRule="auto"/>
        <w:ind w:firstLine="480" w:firstLineChars="200"/>
        <w:rPr>
          <w:rFonts w:ascii="仿宋_GB2312" w:hAnsi="楷体" w:eastAsia="仿宋_GB2312"/>
          <w:sz w:val="24"/>
        </w:rPr>
      </w:pPr>
      <w:r>
        <w:rPr>
          <w:rFonts w:hint="eastAsia" w:ascii="仿宋_GB2312" w:hAnsi="楷体" w:eastAsia="仿宋_GB2312"/>
          <w:sz w:val="24"/>
        </w:rPr>
        <w:t>1.6.1 除不可抗力外，如果乙方没有按照本合同约定的期限、地点和方式交付标的物，那么甲方可要求乙方支付违约金，违约金按每迟延交付标的物一日的应交付而未交付标的物价格的</w:t>
      </w:r>
      <w:r>
        <w:rPr>
          <w:rFonts w:hint="eastAsia" w:ascii="仿宋_GB2312" w:hAnsi="楷体" w:eastAsia="仿宋_GB2312"/>
          <w:sz w:val="24"/>
          <w:u w:val="single"/>
        </w:rPr>
        <w:t xml:space="preserve">    </w:t>
      </w:r>
      <w:r>
        <w:rPr>
          <w:rFonts w:hint="eastAsia" w:ascii="仿宋_GB2312" w:hAnsi="楷体" w:eastAsia="仿宋_GB2312"/>
          <w:sz w:val="24"/>
        </w:rPr>
        <w:t>%计算，最高限额为本合同总价的</w:t>
      </w:r>
      <w:r>
        <w:rPr>
          <w:rFonts w:hint="eastAsia" w:ascii="仿宋_GB2312" w:hAnsi="楷体" w:eastAsia="仿宋_GB2312"/>
          <w:sz w:val="24"/>
          <w:u w:val="single"/>
        </w:rPr>
        <w:t xml:space="preserve">     </w:t>
      </w:r>
      <w:r>
        <w:rPr>
          <w:rFonts w:hint="eastAsia" w:ascii="仿宋_GB2312" w:hAnsi="楷体" w:eastAsia="仿宋_GB2312"/>
          <w:sz w:val="24"/>
        </w:rPr>
        <w:t>%；迟延交付标的物的违约金计算数额达到前述最高限额之日起，甲方有权在要求乙方支付违约金的同时，书面通知乙方解除本合同；</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1.6.2 除不可抗力外，如果甲方没有按照本合同约定的付款方式付款，那么乙方可要求甲方支付违约金，违约金按每迟延付款一日的应付而未付款的</w:t>
      </w:r>
      <w:r>
        <w:rPr>
          <w:rFonts w:hint="eastAsia" w:ascii="仿宋_GB2312" w:hAnsi="楷体" w:eastAsia="仿宋_GB2312"/>
          <w:sz w:val="24"/>
          <w:u w:val="single"/>
        </w:rPr>
        <w:t xml:space="preserve">    </w:t>
      </w:r>
      <w:r>
        <w:rPr>
          <w:rFonts w:hint="eastAsia" w:ascii="仿宋_GB2312" w:hAnsi="楷体" w:eastAsia="仿宋_GB2312"/>
          <w:sz w:val="24"/>
        </w:rPr>
        <w:t>%计算，最高限额为本合同总价的</w:t>
      </w:r>
      <w:r>
        <w:rPr>
          <w:rFonts w:hint="eastAsia" w:ascii="仿宋_GB2312" w:hAnsi="楷体" w:eastAsia="仿宋_GB2312"/>
          <w:sz w:val="24"/>
          <w:u w:val="single"/>
        </w:rPr>
        <w:t xml:space="preserve">     </w:t>
      </w:r>
      <w:r>
        <w:rPr>
          <w:rFonts w:hint="eastAsia" w:ascii="仿宋_GB2312" w:hAnsi="楷体" w:eastAsia="仿宋_GB2312"/>
          <w:sz w:val="24"/>
        </w:rPr>
        <w:t>%；迟延付款的违约金计算数额达到前述最高限额之日起，乙方有权在要求甲方支付违约金的同时，书面通知甲方解除本合同；</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1.6.6 如果出现政府采购监督管理部门在处理投诉事项期间，书面通知甲方暂停采购活动的情形，或者询问或质疑事项可能影响成交结果的，导致甲方中止履行合同的情形，均不视为甲方违约。</w:t>
      </w:r>
    </w:p>
    <w:p>
      <w:pPr>
        <w:spacing w:line="360" w:lineRule="auto"/>
        <w:ind w:firstLine="482" w:firstLineChars="200"/>
        <w:outlineLvl w:val="0"/>
        <w:rPr>
          <w:rFonts w:ascii="仿宋_GB2312" w:hAnsi="楷体" w:eastAsia="仿宋_GB2312"/>
          <w:b/>
          <w:sz w:val="24"/>
        </w:rPr>
      </w:pPr>
      <w:bookmarkStart w:id="932" w:name="_Toc16021"/>
      <w:bookmarkStart w:id="933" w:name="_Toc15583"/>
      <w:bookmarkStart w:id="934" w:name="_Toc28375"/>
      <w:r>
        <w:rPr>
          <w:rFonts w:hint="eastAsia" w:ascii="仿宋_GB2312" w:hAnsi="楷体" w:eastAsia="仿宋_GB2312"/>
          <w:b/>
          <w:sz w:val="24"/>
        </w:rPr>
        <w:t>1.7 合同争议的解决</w:t>
      </w:r>
      <w:bookmarkEnd w:id="932"/>
      <w:bookmarkEnd w:id="933"/>
      <w:bookmarkEnd w:id="934"/>
    </w:p>
    <w:p>
      <w:pPr>
        <w:spacing w:line="360" w:lineRule="auto"/>
        <w:ind w:firstLine="480" w:firstLineChars="200"/>
        <w:rPr>
          <w:rFonts w:ascii="仿宋_GB2312" w:hAnsi="楷体" w:eastAsia="仿宋_GB2312"/>
          <w:sz w:val="24"/>
        </w:rPr>
      </w:pPr>
      <w:r>
        <w:rPr>
          <w:rFonts w:hint="eastAsia" w:ascii="仿宋_GB2312" w:hAnsi="楷体" w:eastAsia="仿宋_GB2312"/>
          <w:sz w:val="24"/>
        </w:rPr>
        <w:t>本合同履行过程中发生的任何争议，双方当事人均可通过和解或者调解解决；不愿和解、调解或者和解、调解不成的，可以选择下列第</w:t>
      </w:r>
      <w:r>
        <w:rPr>
          <w:rFonts w:hint="eastAsia" w:ascii="仿宋_GB2312" w:hAnsi="楷体" w:eastAsia="仿宋_GB2312"/>
          <w:sz w:val="24"/>
          <w:u w:val="single"/>
        </w:rPr>
        <w:t xml:space="preserve">    </w:t>
      </w:r>
      <w:r>
        <w:rPr>
          <w:rFonts w:hint="eastAsia" w:ascii="仿宋_GB2312" w:hAnsi="楷体" w:eastAsia="仿宋_GB2312"/>
          <w:sz w:val="24"/>
        </w:rPr>
        <w:t>种方式解决：</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1.7.1 将争议提交</w:t>
      </w:r>
      <w:r>
        <w:rPr>
          <w:rFonts w:hint="eastAsia" w:ascii="仿宋_GB2312" w:hAnsi="楷体" w:eastAsia="仿宋_GB2312"/>
          <w:sz w:val="24"/>
          <w:u w:val="single"/>
        </w:rPr>
        <w:t xml:space="preserve">              </w:t>
      </w:r>
      <w:r>
        <w:rPr>
          <w:rFonts w:hint="eastAsia" w:ascii="仿宋_GB2312" w:hAnsi="楷体" w:eastAsia="仿宋_GB2312"/>
          <w:sz w:val="24"/>
        </w:rPr>
        <w:t>仲裁委员会依申请仲裁时其现行有效的仲裁规则裁决；</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1.7.2 向</w:t>
      </w:r>
      <w:r>
        <w:rPr>
          <w:rFonts w:hint="eastAsia" w:ascii="仿宋_GB2312" w:hAnsi="楷体" w:eastAsia="仿宋_GB2312"/>
          <w:sz w:val="24"/>
          <w:u w:val="single"/>
        </w:rPr>
        <w:t xml:space="preserve">   （被告住所地、合同履行地、合同签订地、原告住所地、标的物所在地等与争议有实际联系的地点中选出的人民法院名称）    </w:t>
      </w:r>
      <w:r>
        <w:rPr>
          <w:rFonts w:hint="eastAsia" w:ascii="仿宋_GB2312" w:hAnsi="楷体" w:eastAsia="仿宋_GB2312"/>
          <w:sz w:val="24"/>
        </w:rPr>
        <w:t>人民法院起诉。</w:t>
      </w:r>
    </w:p>
    <w:p>
      <w:pPr>
        <w:spacing w:line="360" w:lineRule="auto"/>
        <w:ind w:firstLine="482" w:firstLineChars="200"/>
        <w:outlineLvl w:val="0"/>
        <w:rPr>
          <w:rFonts w:ascii="仿宋_GB2312" w:hAnsi="楷体" w:eastAsia="仿宋_GB2312"/>
          <w:b/>
          <w:sz w:val="24"/>
        </w:rPr>
      </w:pPr>
      <w:bookmarkStart w:id="935" w:name="_Toc7245"/>
      <w:bookmarkStart w:id="936" w:name="_Toc15322"/>
      <w:bookmarkStart w:id="937" w:name="_Toc11173"/>
      <w:r>
        <w:rPr>
          <w:rFonts w:hint="eastAsia" w:ascii="仿宋_GB2312" w:hAnsi="楷体" w:eastAsia="仿宋_GB2312"/>
          <w:b/>
          <w:sz w:val="24"/>
        </w:rPr>
        <w:t>1.8 合同生效</w:t>
      </w:r>
      <w:bookmarkEnd w:id="935"/>
      <w:bookmarkEnd w:id="936"/>
      <w:bookmarkEnd w:id="937"/>
    </w:p>
    <w:p>
      <w:pPr>
        <w:spacing w:line="360" w:lineRule="auto"/>
        <w:ind w:firstLine="480" w:firstLineChars="200"/>
        <w:rPr>
          <w:rFonts w:ascii="仿宋_GB2312" w:hAnsi="楷体" w:eastAsia="仿宋_GB2312"/>
          <w:b/>
          <w:sz w:val="24"/>
        </w:rPr>
      </w:pPr>
      <w:r>
        <w:rPr>
          <w:rFonts w:hint="eastAsia" w:ascii="仿宋_GB2312" w:hAnsi="楷体" w:eastAsia="仿宋_GB2312"/>
          <w:sz w:val="24"/>
        </w:rPr>
        <w:t>本合同自双方当事人盖章或者签字时生效。</w:t>
      </w:r>
    </w:p>
    <w:p>
      <w:pPr>
        <w:autoSpaceDE w:val="0"/>
        <w:autoSpaceDN w:val="0"/>
        <w:spacing w:line="360" w:lineRule="auto"/>
        <w:rPr>
          <w:rFonts w:ascii="仿宋_GB2312" w:hAnsi="楷体" w:eastAsia="仿宋_GB2312"/>
          <w:sz w:val="24"/>
          <w:lang w:val="zh-CN"/>
        </w:rPr>
      </w:pPr>
    </w:p>
    <w:p>
      <w:pPr>
        <w:autoSpaceDE w:val="0"/>
        <w:autoSpaceDN w:val="0"/>
        <w:spacing w:line="360" w:lineRule="auto"/>
        <w:rPr>
          <w:rFonts w:ascii="仿宋_GB2312" w:hAnsi="楷体" w:eastAsia="仿宋_GB2312"/>
          <w:sz w:val="24"/>
          <w:lang w:val="zh-CN"/>
        </w:rPr>
      </w:pPr>
      <w:r>
        <w:rPr>
          <w:rFonts w:hint="eastAsia" w:ascii="仿宋_GB2312" w:hAnsi="楷体" w:eastAsia="仿宋_GB2312"/>
          <w:b/>
          <w:sz w:val="24"/>
          <w:lang w:val="zh-CN"/>
        </w:rPr>
        <w:t>甲方</w:t>
      </w:r>
      <w:r>
        <w:rPr>
          <w:rFonts w:hint="eastAsia" w:ascii="仿宋_GB2312" w:hAnsi="楷体" w:eastAsia="仿宋_GB2312"/>
          <w:sz w:val="24"/>
          <w:lang w:val="zh-CN"/>
        </w:rPr>
        <w:t xml:space="preserve">：                             </w:t>
      </w:r>
      <w:r>
        <w:rPr>
          <w:rFonts w:hint="eastAsia" w:ascii="仿宋_GB2312" w:hAnsi="楷体" w:eastAsia="仿宋_GB2312"/>
          <w:b/>
          <w:sz w:val="24"/>
          <w:lang w:val="zh-CN"/>
        </w:rPr>
        <w:t xml:space="preserve">      乙方</w:t>
      </w:r>
      <w:r>
        <w:rPr>
          <w:rFonts w:hint="eastAsia" w:ascii="仿宋_GB2312" w:hAnsi="楷体" w:eastAsia="仿宋_GB2312"/>
          <w:sz w:val="24"/>
          <w:lang w:val="zh-CN"/>
        </w:rPr>
        <w:t>：</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统一社会信用代码：                        统一社会信用代码或身份证号码：</w:t>
      </w:r>
    </w:p>
    <w:p>
      <w:pPr>
        <w:autoSpaceDE w:val="0"/>
        <w:autoSpaceDN w:val="0"/>
        <w:spacing w:line="360" w:lineRule="auto"/>
        <w:rPr>
          <w:rFonts w:ascii="仿宋_GB2312" w:hAnsi="楷体" w:eastAsia="仿宋_GB2312"/>
          <w:sz w:val="24"/>
          <w:lang w:val="zh-CN"/>
        </w:rPr>
      </w:pP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住所：                                   住所：</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法定代表人或                             法定代表人</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 xml:space="preserve">授权代表（签字）：                        或授权代表（签字）: </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联系人：                                 联系人：</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约定送达地址：                           约定送达地址：</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邮政编码：                               邮政编码：</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 xml:space="preserve">电话:                                    电话: </w:t>
      </w:r>
    </w:p>
    <w:p>
      <w:pPr>
        <w:autoSpaceDE w:val="0"/>
        <w:autoSpaceDN w:val="0"/>
        <w:spacing w:line="360" w:lineRule="auto"/>
        <w:rPr>
          <w:rFonts w:ascii="仿宋_GB2312" w:hAnsi="楷体" w:eastAsia="仿宋_GB2312"/>
          <w:sz w:val="24"/>
          <w:lang w:val="zh-CN"/>
        </w:rPr>
      </w:pPr>
      <w:r>
        <w:rPr>
          <w:rFonts w:hint="eastAsia" w:ascii="仿宋_GB2312" w:hAnsi="楷体" w:eastAsia="仿宋_GB2312"/>
          <w:sz w:val="24"/>
          <w:lang w:val="zh-CN"/>
        </w:rPr>
        <w:t>传真:                                    传真:</w:t>
      </w:r>
    </w:p>
    <w:p>
      <w:pPr>
        <w:autoSpaceDE w:val="0"/>
        <w:autoSpaceDN w:val="0"/>
        <w:spacing w:line="360" w:lineRule="auto"/>
        <w:rPr>
          <w:rFonts w:ascii="仿宋_GB2312" w:hAnsi="楷体" w:eastAsia="仿宋_GB2312"/>
          <w:sz w:val="24"/>
        </w:rPr>
      </w:pPr>
      <w:r>
        <w:rPr>
          <w:rFonts w:hint="eastAsia" w:ascii="仿宋_GB2312" w:hAnsi="楷体" w:eastAsia="仿宋_GB2312"/>
          <w:sz w:val="24"/>
          <w:lang w:val="zh-CN"/>
        </w:rPr>
        <w:t>电子邮箱：                               电子邮箱：</w:t>
      </w:r>
    </w:p>
    <w:p>
      <w:pPr>
        <w:autoSpaceDE w:val="0"/>
        <w:autoSpaceDN w:val="0"/>
        <w:spacing w:line="360" w:lineRule="auto"/>
        <w:rPr>
          <w:rFonts w:ascii="仿宋_GB2312" w:hAnsi="楷体" w:eastAsia="仿宋_GB2312"/>
          <w:sz w:val="24"/>
        </w:rPr>
      </w:pPr>
      <w:r>
        <w:rPr>
          <w:rFonts w:hint="eastAsia" w:ascii="仿宋_GB2312" w:hAnsi="楷体" w:eastAsia="仿宋_GB2312"/>
          <w:sz w:val="24"/>
        </w:rPr>
        <w:t xml:space="preserve">开户银行：                               开户银行： </w:t>
      </w:r>
    </w:p>
    <w:p>
      <w:pPr>
        <w:autoSpaceDE w:val="0"/>
        <w:autoSpaceDN w:val="0"/>
        <w:spacing w:line="360" w:lineRule="auto"/>
        <w:rPr>
          <w:rFonts w:ascii="仿宋_GB2312" w:hAnsi="楷体" w:eastAsia="仿宋_GB2312"/>
          <w:sz w:val="24"/>
        </w:rPr>
      </w:pPr>
      <w:r>
        <w:rPr>
          <w:rFonts w:hint="eastAsia" w:ascii="仿宋_GB2312" w:hAnsi="楷体" w:eastAsia="仿宋_GB2312"/>
          <w:sz w:val="24"/>
        </w:rPr>
        <w:t xml:space="preserve">开户名称：                               开户名称： </w:t>
      </w:r>
    </w:p>
    <w:p>
      <w:pPr>
        <w:autoSpaceDE w:val="0"/>
        <w:autoSpaceDN w:val="0"/>
        <w:spacing w:line="360" w:lineRule="auto"/>
        <w:rPr>
          <w:rFonts w:ascii="仿宋_GB2312" w:hAnsi="楷体" w:eastAsia="仿宋_GB2312"/>
          <w:sz w:val="24"/>
        </w:rPr>
      </w:pPr>
      <w:r>
        <w:rPr>
          <w:rFonts w:hint="eastAsia" w:ascii="仿宋_GB2312" w:hAnsi="楷体" w:eastAsia="仿宋_GB2312"/>
          <w:sz w:val="24"/>
        </w:rPr>
        <w:t>开户账号：</w:t>
      </w:r>
      <w:r>
        <w:rPr>
          <w:rFonts w:hint="eastAsia" w:ascii="仿宋_GB2312" w:hAnsi="楷体" w:eastAsia="仿宋_GB2312"/>
          <w:sz w:val="24"/>
          <w:lang w:val="zh-CN"/>
        </w:rPr>
        <w:t xml:space="preserve">                               </w:t>
      </w:r>
      <w:r>
        <w:rPr>
          <w:rFonts w:hint="eastAsia" w:ascii="仿宋_GB2312" w:hAnsi="楷体" w:eastAsia="仿宋_GB2312"/>
          <w:sz w:val="24"/>
        </w:rPr>
        <w:t>开户账号：</w:t>
      </w:r>
    </w:p>
    <w:p>
      <w:pPr>
        <w:widowControl/>
        <w:jc w:val="left"/>
        <w:rPr>
          <w:rFonts w:ascii="仿宋_GB2312" w:hAnsi="楷体" w:eastAsia="仿宋_GB2312"/>
          <w:b/>
          <w:sz w:val="24"/>
        </w:rPr>
      </w:pPr>
      <w:bookmarkStart w:id="938" w:name="_Toc331685783"/>
      <w:r>
        <w:rPr>
          <w:rFonts w:hint="eastAsia" w:ascii="仿宋_GB2312" w:hAnsi="楷体" w:eastAsia="仿宋_GB2312"/>
          <w:b/>
        </w:rPr>
        <w:br w:type="page"/>
      </w:r>
    </w:p>
    <w:p>
      <w:pPr>
        <w:pStyle w:val="330"/>
        <w:ind w:firstLine="562"/>
        <w:jc w:val="center"/>
        <w:rPr>
          <w:rFonts w:ascii="仿宋_GB2312" w:hAnsi="楷体" w:eastAsia="仿宋_GB2312"/>
          <w:b/>
          <w:sz w:val="28"/>
          <w:szCs w:val="28"/>
        </w:rPr>
      </w:pPr>
      <w:r>
        <w:rPr>
          <w:rFonts w:hint="eastAsia" w:ascii="仿宋_GB2312" w:hAnsi="楷体" w:eastAsia="仿宋_GB2312"/>
          <w:b/>
          <w:sz w:val="28"/>
          <w:szCs w:val="28"/>
        </w:rPr>
        <w:t>第二部分 合同一般条款</w:t>
      </w:r>
      <w:bookmarkEnd w:id="938"/>
    </w:p>
    <w:p>
      <w:pPr>
        <w:spacing w:line="360" w:lineRule="auto"/>
        <w:ind w:firstLine="482" w:firstLineChars="200"/>
        <w:outlineLvl w:val="0"/>
        <w:rPr>
          <w:rFonts w:ascii="仿宋_GB2312" w:hAnsi="楷体" w:eastAsia="仿宋_GB2312"/>
          <w:b/>
          <w:sz w:val="24"/>
        </w:rPr>
      </w:pPr>
      <w:bookmarkStart w:id="939" w:name="_Ref467378499"/>
      <w:bookmarkStart w:id="940" w:name="_Ref467379195"/>
      <w:bookmarkStart w:id="941" w:name="_Ref467378404"/>
      <w:bookmarkStart w:id="942" w:name="_Ref467379101"/>
      <w:bookmarkStart w:id="943" w:name="_Toc259093669"/>
      <w:bookmarkStart w:id="944" w:name="_Ref467379205"/>
      <w:bookmarkStart w:id="945" w:name="_Toc279701240"/>
      <w:bookmarkStart w:id="946" w:name="_Toc487900349"/>
      <w:bookmarkStart w:id="947" w:name="_Ref467379225"/>
      <w:bookmarkStart w:id="948" w:name="_Toc16917"/>
      <w:bookmarkStart w:id="949" w:name="_Ref467379109"/>
      <w:bookmarkStart w:id="950" w:name="_Toc19614"/>
      <w:bookmarkStart w:id="951" w:name="_Ref467379094"/>
      <w:bookmarkStart w:id="952" w:name="_Ref467379214"/>
      <w:bookmarkStart w:id="953" w:name="_Ref467378463"/>
      <w:bookmarkStart w:id="954" w:name="_Toc28763"/>
      <w:r>
        <w:rPr>
          <w:rFonts w:hint="eastAsia" w:ascii="仿宋_GB2312" w:hAnsi="楷体" w:eastAsia="仿宋_GB2312"/>
          <w:b/>
          <w:sz w:val="24"/>
        </w:rPr>
        <w:t>2.1 定义</w:t>
      </w:r>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p>
    <w:p>
      <w:pPr>
        <w:spacing w:line="360" w:lineRule="auto"/>
        <w:ind w:firstLine="480" w:firstLineChars="200"/>
        <w:rPr>
          <w:rFonts w:ascii="仿宋_GB2312" w:hAnsi="楷体" w:eastAsia="仿宋_GB2312"/>
          <w:sz w:val="24"/>
        </w:rPr>
      </w:pPr>
      <w:r>
        <w:rPr>
          <w:rFonts w:hint="eastAsia" w:ascii="仿宋_GB2312" w:hAnsi="楷体" w:eastAsia="仿宋_GB2312"/>
          <w:sz w:val="24"/>
        </w:rPr>
        <w:t>本合同中的下列词语应按以下内容进行解释：</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2.1.1 “合同”系指采购人和中标供应商签订的载明双方当事人所达成的协议，并包括所有的附件、附录和构成合同的其他文件。</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2.1.2 “合同价”系指根据合同约定，中标供应商在完全履行合同义务后，采购人应支付给中标供应商的价格。</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2.1.3 “标的物”系指中标供应商根据合同约定应向采购人交付的一切各种形态和种类的货物、服务和工程，包括但不限于原材料、燃料、设备、机械、仪表、备件、计算机软件、信息化系统、信息化维保、物业服务、产品等，并包括工具、手册等其他相关资料。</w:t>
      </w:r>
    </w:p>
    <w:p>
      <w:pPr>
        <w:spacing w:line="360" w:lineRule="auto"/>
        <w:ind w:firstLine="480" w:firstLineChars="200"/>
        <w:rPr>
          <w:rFonts w:ascii="仿宋_GB2312" w:hAnsi="楷体" w:eastAsia="仿宋_GB2312"/>
          <w:sz w:val="24"/>
        </w:rPr>
      </w:pPr>
      <w:bookmarkStart w:id="955" w:name="_Ref467378840"/>
      <w:r>
        <w:rPr>
          <w:rFonts w:hint="eastAsia" w:ascii="仿宋_GB2312" w:hAnsi="楷体" w:eastAsia="仿宋_GB2312"/>
          <w:sz w:val="24"/>
        </w:rPr>
        <w:t>2.1.4 “甲方”系指与中标供应商签署合同的采购人</w:t>
      </w:r>
      <w:bookmarkEnd w:id="955"/>
      <w:r>
        <w:rPr>
          <w:rFonts w:hint="eastAsia" w:ascii="仿宋_GB2312" w:hAnsi="楷体" w:eastAsia="仿宋_GB2312"/>
          <w:sz w:val="24"/>
        </w:rPr>
        <w:t>；采购人委托采购机构代表其与乙方签订合同的，采购人的授权委托书作为合同附件。</w:t>
      </w:r>
    </w:p>
    <w:p>
      <w:pPr>
        <w:spacing w:line="360" w:lineRule="auto"/>
        <w:ind w:firstLine="480" w:firstLineChars="200"/>
        <w:rPr>
          <w:rFonts w:ascii="仿宋_GB2312" w:hAnsi="楷体" w:eastAsia="仿宋_GB2312"/>
          <w:sz w:val="24"/>
        </w:rPr>
      </w:pPr>
      <w:bookmarkStart w:id="956" w:name="_Ref467379400"/>
      <w:r>
        <w:rPr>
          <w:rFonts w:hint="eastAsia" w:ascii="仿宋_GB2312" w:hAnsi="楷体" w:eastAsia="仿宋_GB2312"/>
          <w:sz w:val="24"/>
        </w:rPr>
        <w:t>2.1.5 “乙方”系指根据合同约定交付标的物的中标供应商</w:t>
      </w:r>
      <w:bookmarkEnd w:id="956"/>
      <w:r>
        <w:rPr>
          <w:rFonts w:hint="eastAsia" w:ascii="仿宋_GB2312" w:hAnsi="楷体" w:eastAsia="仿宋_GB2312"/>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360" w:lineRule="auto"/>
        <w:ind w:firstLine="480" w:firstLineChars="200"/>
        <w:rPr>
          <w:rFonts w:ascii="仿宋_GB2312" w:hAnsi="楷体" w:eastAsia="仿宋_GB2312"/>
          <w:sz w:val="24"/>
        </w:rPr>
      </w:pPr>
      <w:bookmarkStart w:id="957" w:name="_Ref467379436"/>
      <w:r>
        <w:rPr>
          <w:rFonts w:hint="eastAsia" w:ascii="仿宋_GB2312" w:hAnsi="楷体" w:eastAsia="仿宋_GB2312"/>
          <w:sz w:val="24"/>
        </w:rPr>
        <w:t>2.1.6 “现场”系指合同约定标的物将要运至或者实施或者安装的地点。</w:t>
      </w:r>
      <w:bookmarkEnd w:id="957"/>
    </w:p>
    <w:p>
      <w:pPr>
        <w:spacing w:line="360" w:lineRule="auto"/>
        <w:ind w:firstLine="482" w:firstLineChars="200"/>
        <w:outlineLvl w:val="0"/>
        <w:rPr>
          <w:rFonts w:ascii="仿宋_GB2312" w:hAnsi="楷体" w:eastAsia="仿宋_GB2312"/>
          <w:b/>
          <w:sz w:val="24"/>
        </w:rPr>
      </w:pPr>
      <w:bookmarkStart w:id="958" w:name="_Toc27635"/>
      <w:bookmarkStart w:id="959" w:name="_Toc32504"/>
      <w:bookmarkStart w:id="960" w:name="_Toc487900350"/>
      <w:bookmarkStart w:id="961" w:name="_Toc259093670"/>
      <w:bookmarkStart w:id="962" w:name="_Toc13336"/>
      <w:bookmarkStart w:id="963" w:name="_Toc279701241"/>
      <w:r>
        <w:rPr>
          <w:rFonts w:hint="eastAsia" w:ascii="仿宋_GB2312" w:hAnsi="楷体" w:eastAsia="仿宋_GB2312"/>
          <w:b/>
          <w:sz w:val="24"/>
        </w:rPr>
        <w:t>2.2 技术规范</w:t>
      </w:r>
      <w:bookmarkEnd w:id="958"/>
      <w:bookmarkEnd w:id="959"/>
      <w:bookmarkEnd w:id="960"/>
      <w:bookmarkEnd w:id="961"/>
      <w:bookmarkEnd w:id="962"/>
      <w:bookmarkEnd w:id="963"/>
    </w:p>
    <w:p>
      <w:pPr>
        <w:spacing w:line="360" w:lineRule="auto"/>
        <w:ind w:firstLine="480" w:firstLineChars="200"/>
        <w:rPr>
          <w:rFonts w:ascii="仿宋_GB2312" w:hAnsi="楷体" w:eastAsia="仿宋_GB2312"/>
          <w:sz w:val="24"/>
        </w:rPr>
      </w:pPr>
      <w:r>
        <w:rPr>
          <w:rFonts w:hint="eastAsia" w:ascii="仿宋_GB2312" w:hAnsi="楷体" w:eastAsia="仿宋_GB2312"/>
          <w:sz w:val="24"/>
        </w:rPr>
        <w:t>标的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360" w:lineRule="auto"/>
        <w:ind w:firstLine="482" w:firstLineChars="200"/>
        <w:outlineLvl w:val="0"/>
        <w:rPr>
          <w:rFonts w:ascii="仿宋_GB2312" w:hAnsi="楷体" w:eastAsia="仿宋_GB2312"/>
          <w:b/>
          <w:sz w:val="24"/>
        </w:rPr>
      </w:pPr>
      <w:bookmarkStart w:id="964" w:name="_Toc279701242"/>
      <w:bookmarkStart w:id="965" w:name="_Toc487900351"/>
      <w:bookmarkStart w:id="966" w:name="_Toc259093671"/>
      <w:bookmarkStart w:id="967" w:name="_Toc31634"/>
      <w:bookmarkStart w:id="968" w:name="_Toc9829"/>
      <w:bookmarkStart w:id="969" w:name="_Toc27853"/>
      <w:r>
        <w:rPr>
          <w:rFonts w:hint="eastAsia" w:ascii="仿宋_GB2312" w:hAnsi="楷体" w:eastAsia="仿宋_GB2312"/>
          <w:b/>
          <w:sz w:val="24"/>
        </w:rPr>
        <w:t>2.3 知识产权</w:t>
      </w:r>
      <w:bookmarkEnd w:id="964"/>
      <w:bookmarkEnd w:id="965"/>
      <w:bookmarkEnd w:id="966"/>
      <w:bookmarkEnd w:id="967"/>
      <w:bookmarkEnd w:id="968"/>
      <w:bookmarkEnd w:id="969"/>
    </w:p>
    <w:p>
      <w:pPr>
        <w:spacing w:line="360" w:lineRule="auto"/>
        <w:ind w:firstLine="480" w:firstLineChars="200"/>
        <w:rPr>
          <w:rFonts w:ascii="仿宋_GB2312" w:hAnsi="楷体" w:eastAsia="仿宋_GB2312"/>
          <w:sz w:val="24"/>
        </w:rPr>
      </w:pPr>
      <w:r>
        <w:rPr>
          <w:rFonts w:hint="eastAsia" w:ascii="仿宋_GB2312" w:hAnsi="楷体" w:eastAsia="仿宋_GB2312"/>
          <w:sz w:val="24"/>
        </w:rPr>
        <w:t>2.3.1 乙方应保证甲方在使用该标的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2.3.2具有知识产权的计算机软件等标的物的知识产权归属，详见</w:t>
      </w:r>
      <w:r>
        <w:rPr>
          <w:rFonts w:hint="eastAsia" w:ascii="仿宋_GB2312" w:hAnsi="楷体" w:eastAsia="仿宋_GB2312"/>
          <w:b/>
          <w:i/>
          <w:sz w:val="24"/>
          <w:u w:val="single"/>
        </w:rPr>
        <w:t>合同专用条款</w:t>
      </w:r>
      <w:r>
        <w:rPr>
          <w:rFonts w:hint="eastAsia" w:ascii="仿宋_GB2312" w:hAnsi="楷体" w:eastAsia="仿宋_GB2312"/>
          <w:sz w:val="24"/>
        </w:rPr>
        <w:t>。</w:t>
      </w:r>
    </w:p>
    <w:p>
      <w:pPr>
        <w:spacing w:line="360" w:lineRule="auto"/>
        <w:ind w:firstLine="482" w:firstLineChars="200"/>
        <w:outlineLvl w:val="0"/>
        <w:rPr>
          <w:rFonts w:ascii="仿宋_GB2312" w:hAnsi="楷体" w:eastAsia="仿宋_GB2312"/>
          <w:b/>
          <w:sz w:val="24"/>
        </w:rPr>
      </w:pPr>
      <w:bookmarkStart w:id="970" w:name="_Toc29149"/>
      <w:bookmarkStart w:id="971" w:name="_Toc11932"/>
      <w:bookmarkStart w:id="972" w:name="_Toc4194"/>
      <w:r>
        <w:rPr>
          <w:rFonts w:hint="eastAsia" w:ascii="仿宋_GB2312" w:hAnsi="楷体" w:eastAsia="仿宋_GB2312"/>
          <w:b/>
          <w:sz w:val="24"/>
        </w:rPr>
        <w:t>2.4 包装和装运</w:t>
      </w:r>
      <w:bookmarkEnd w:id="970"/>
      <w:bookmarkEnd w:id="971"/>
      <w:bookmarkEnd w:id="972"/>
    </w:p>
    <w:p>
      <w:pPr>
        <w:spacing w:line="360" w:lineRule="auto"/>
        <w:ind w:firstLine="480" w:firstLineChars="200"/>
        <w:rPr>
          <w:rFonts w:ascii="仿宋_GB2312" w:hAnsi="楷体" w:eastAsia="仿宋_GB2312"/>
          <w:sz w:val="24"/>
        </w:rPr>
      </w:pPr>
      <w:r>
        <w:rPr>
          <w:rFonts w:hint="eastAsia" w:ascii="仿宋_GB2312" w:hAnsi="楷体" w:eastAsia="仿宋_GB2312"/>
          <w:sz w:val="24"/>
        </w:rPr>
        <w:t>2.4.1除</w:t>
      </w:r>
      <w:r>
        <w:rPr>
          <w:rFonts w:hint="eastAsia" w:ascii="仿宋_GB2312" w:hAnsi="楷体" w:eastAsia="仿宋_GB2312"/>
          <w:b/>
          <w:i/>
          <w:sz w:val="24"/>
          <w:u w:val="single"/>
        </w:rPr>
        <w:t>合同专用条款</w:t>
      </w:r>
      <w:r>
        <w:rPr>
          <w:rFonts w:hint="eastAsia" w:ascii="仿宋_GB2312" w:hAnsi="楷体" w:eastAsia="仿宋_GB2312"/>
          <w:sz w:val="24"/>
        </w:rPr>
        <w:t>另有约定外,乙方交付的全部标的物,均应采用本行业通用的方式进行包装，没有通用方式的，应当采取足以保护标的物的包装方式，且该包装应符合国家有关包装的法律、法规的规定。如有必要，包装应适用于远距离运输、防潮、防震、防锈和防粗暴装卸，确保标的物安全无损地运抵现场。由于包装不善所引起的标的物锈蚀、损坏和损失等一切风险均由乙方承担。</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2.4.2 装运标的物的要求和通知，详见</w:t>
      </w:r>
      <w:r>
        <w:rPr>
          <w:rFonts w:hint="eastAsia" w:ascii="仿宋_GB2312" w:hAnsi="楷体" w:eastAsia="仿宋_GB2312"/>
          <w:b/>
          <w:i/>
          <w:sz w:val="24"/>
          <w:u w:val="single"/>
        </w:rPr>
        <w:t>合同专用条款</w:t>
      </w:r>
      <w:r>
        <w:rPr>
          <w:rFonts w:hint="eastAsia" w:ascii="仿宋_GB2312" w:hAnsi="楷体" w:eastAsia="仿宋_GB2312"/>
          <w:sz w:val="24"/>
        </w:rPr>
        <w:t>。</w:t>
      </w:r>
    </w:p>
    <w:p>
      <w:pPr>
        <w:spacing w:line="360" w:lineRule="auto"/>
        <w:ind w:firstLine="482" w:firstLineChars="200"/>
        <w:outlineLvl w:val="0"/>
        <w:rPr>
          <w:rFonts w:ascii="仿宋_GB2312" w:hAnsi="楷体" w:eastAsia="仿宋_GB2312"/>
          <w:b/>
          <w:sz w:val="24"/>
        </w:rPr>
      </w:pPr>
      <w:bookmarkStart w:id="973" w:name="_Toc279701245"/>
      <w:bookmarkStart w:id="974" w:name="_Ref467379527"/>
      <w:bookmarkStart w:id="975" w:name="_Ref467379536"/>
      <w:bookmarkStart w:id="976" w:name="_Toc487900354"/>
      <w:bookmarkStart w:id="977" w:name="_Toc259093674"/>
      <w:bookmarkStart w:id="978" w:name="_Ref467379542"/>
      <w:bookmarkStart w:id="979" w:name="_Ref467378591"/>
      <w:bookmarkStart w:id="980" w:name="_Ref467378541"/>
      <w:bookmarkStart w:id="981" w:name="_Toc30272"/>
      <w:bookmarkStart w:id="982" w:name="_Toc19074"/>
      <w:bookmarkStart w:id="983" w:name="_Toc26182"/>
      <w:r>
        <w:rPr>
          <w:rFonts w:hint="eastAsia" w:ascii="仿宋_GB2312" w:hAnsi="楷体" w:eastAsia="仿宋_GB2312"/>
          <w:b/>
          <w:sz w:val="24"/>
        </w:rPr>
        <w:t>2.</w:t>
      </w:r>
      <w:bookmarkEnd w:id="973"/>
      <w:bookmarkEnd w:id="974"/>
      <w:bookmarkEnd w:id="975"/>
      <w:bookmarkEnd w:id="976"/>
      <w:bookmarkEnd w:id="977"/>
      <w:bookmarkEnd w:id="978"/>
      <w:bookmarkEnd w:id="979"/>
      <w:bookmarkEnd w:id="980"/>
      <w:r>
        <w:rPr>
          <w:rFonts w:hint="eastAsia" w:ascii="仿宋_GB2312" w:hAnsi="楷体" w:eastAsia="仿宋_GB2312"/>
          <w:b/>
          <w:sz w:val="24"/>
        </w:rPr>
        <w:t>5 履约检查和问题反馈</w:t>
      </w:r>
      <w:bookmarkEnd w:id="981"/>
      <w:bookmarkEnd w:id="982"/>
      <w:bookmarkEnd w:id="983"/>
    </w:p>
    <w:p>
      <w:pPr>
        <w:spacing w:line="360" w:lineRule="auto"/>
        <w:ind w:firstLine="480" w:firstLineChars="200"/>
        <w:rPr>
          <w:rFonts w:ascii="仿宋_GB2312" w:hAnsi="楷体" w:eastAsia="仿宋_GB2312"/>
          <w:sz w:val="24"/>
        </w:rPr>
      </w:pPr>
      <w:bookmarkStart w:id="984" w:name="_Ref467379657"/>
      <w:r>
        <w:rPr>
          <w:rFonts w:hint="eastAsia" w:ascii="仿宋_GB2312" w:hAnsi="楷体" w:eastAsia="仿宋_GB2312"/>
          <w:sz w:val="24"/>
        </w:rPr>
        <w:t>2.5.1</w:t>
      </w:r>
      <w:bookmarkEnd w:id="984"/>
      <w:bookmarkStart w:id="985" w:name="_Toc186431854"/>
      <w:bookmarkStart w:id="986" w:name="_Toc279701247"/>
      <w:bookmarkStart w:id="987" w:name="_Toc259093676"/>
      <w:bookmarkStart w:id="988" w:name="_Ref467379807"/>
      <w:bookmarkStart w:id="989" w:name="_Toc487900357"/>
      <w:bookmarkStart w:id="990" w:name="_Ref467379793"/>
      <w:r>
        <w:rPr>
          <w:rFonts w:hint="eastAsia" w:ascii="仿宋_GB2312" w:hAnsi="楷体" w:eastAsia="仿宋_GB2312"/>
          <w:sz w:val="24"/>
        </w:rPr>
        <w:t>甲方有权在其认为必要时，对乙方是否能够按照合同约定交付标的物进行履约检查，以确保乙方所交付的标的物能够依约满足甲方之项目需求，但不得因履约检查妨碍乙方的正常工作，乙方应予积极配合；</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2.5.2 合同履行期间，甲方有权将履行过程中出现的问题反馈给乙方，双方当事人应以书面形式约定需要完善和改进的内容</w:t>
      </w:r>
      <w:bookmarkEnd w:id="985"/>
      <w:bookmarkStart w:id="991" w:name="_Toc186431855"/>
      <w:r>
        <w:rPr>
          <w:rFonts w:hint="eastAsia" w:ascii="仿宋_GB2312" w:hAnsi="楷体" w:eastAsia="仿宋_GB2312"/>
          <w:sz w:val="24"/>
        </w:rPr>
        <w:t>。</w:t>
      </w:r>
    </w:p>
    <w:bookmarkEnd w:id="991"/>
    <w:p>
      <w:pPr>
        <w:spacing w:line="360" w:lineRule="auto"/>
        <w:ind w:firstLine="482" w:firstLineChars="200"/>
        <w:outlineLvl w:val="0"/>
        <w:rPr>
          <w:rFonts w:ascii="仿宋_GB2312" w:hAnsi="楷体" w:eastAsia="仿宋_GB2312"/>
          <w:b/>
          <w:sz w:val="24"/>
        </w:rPr>
      </w:pPr>
      <w:bookmarkStart w:id="992" w:name="_Toc19219"/>
      <w:bookmarkStart w:id="993" w:name="_Toc7836"/>
      <w:bookmarkStart w:id="994" w:name="_Toc28451"/>
      <w:r>
        <w:rPr>
          <w:rFonts w:hint="eastAsia" w:ascii="仿宋_GB2312" w:hAnsi="楷体" w:eastAsia="仿宋_GB2312"/>
          <w:b/>
          <w:sz w:val="24"/>
        </w:rPr>
        <w:t>2.6 结算方式和付款条件</w:t>
      </w:r>
      <w:bookmarkEnd w:id="986"/>
      <w:bookmarkEnd w:id="987"/>
      <w:bookmarkEnd w:id="988"/>
      <w:bookmarkEnd w:id="989"/>
      <w:bookmarkEnd w:id="990"/>
      <w:bookmarkEnd w:id="992"/>
      <w:bookmarkEnd w:id="993"/>
      <w:bookmarkEnd w:id="994"/>
    </w:p>
    <w:p>
      <w:pPr>
        <w:spacing w:line="360" w:lineRule="auto"/>
        <w:ind w:firstLine="480" w:firstLineChars="200"/>
        <w:rPr>
          <w:rFonts w:ascii="仿宋_GB2312" w:hAnsi="楷体" w:eastAsia="仿宋_GB2312"/>
          <w:sz w:val="24"/>
        </w:rPr>
      </w:pPr>
      <w:r>
        <w:rPr>
          <w:rFonts w:hint="eastAsia" w:ascii="仿宋_GB2312" w:hAnsi="楷体" w:eastAsia="仿宋_GB2312"/>
          <w:sz w:val="24"/>
        </w:rPr>
        <w:t>详见</w:t>
      </w:r>
      <w:r>
        <w:rPr>
          <w:rFonts w:hint="eastAsia" w:ascii="仿宋_GB2312" w:hAnsi="楷体" w:eastAsia="仿宋_GB2312"/>
          <w:b/>
          <w:i/>
          <w:sz w:val="24"/>
          <w:u w:val="single"/>
        </w:rPr>
        <w:t>合同专用条款</w:t>
      </w:r>
      <w:r>
        <w:rPr>
          <w:rFonts w:hint="eastAsia" w:ascii="仿宋_GB2312" w:hAnsi="楷体" w:eastAsia="仿宋_GB2312"/>
          <w:sz w:val="24"/>
        </w:rPr>
        <w:t>。</w:t>
      </w:r>
    </w:p>
    <w:p>
      <w:pPr>
        <w:spacing w:line="360" w:lineRule="auto"/>
        <w:ind w:firstLine="482" w:firstLineChars="200"/>
        <w:outlineLvl w:val="0"/>
        <w:rPr>
          <w:rFonts w:ascii="仿宋_GB2312" w:hAnsi="楷体" w:eastAsia="仿宋_GB2312"/>
          <w:b/>
          <w:sz w:val="24"/>
        </w:rPr>
      </w:pPr>
      <w:bookmarkStart w:id="995" w:name="_Toc279701248"/>
      <w:bookmarkStart w:id="996" w:name="_Ref467379923"/>
      <w:bookmarkStart w:id="997" w:name="_Toc487900358"/>
      <w:bookmarkStart w:id="998" w:name="_Toc259093677"/>
      <w:bookmarkStart w:id="999" w:name="_Ref467379852"/>
      <w:bookmarkStart w:id="1000" w:name="_Ref467379863"/>
      <w:bookmarkStart w:id="1001" w:name="_Toc774"/>
      <w:bookmarkStart w:id="1002" w:name="_Toc16110"/>
      <w:bookmarkStart w:id="1003" w:name="_Toc3225"/>
      <w:r>
        <w:rPr>
          <w:rFonts w:hint="eastAsia" w:ascii="仿宋_GB2312" w:hAnsi="楷体" w:eastAsia="仿宋_GB2312"/>
          <w:b/>
          <w:sz w:val="24"/>
        </w:rPr>
        <w:t>2.7 技术资料</w:t>
      </w:r>
      <w:bookmarkEnd w:id="995"/>
      <w:bookmarkEnd w:id="996"/>
      <w:bookmarkEnd w:id="997"/>
      <w:bookmarkEnd w:id="998"/>
      <w:bookmarkEnd w:id="999"/>
      <w:bookmarkEnd w:id="1000"/>
      <w:r>
        <w:rPr>
          <w:rFonts w:hint="eastAsia" w:ascii="仿宋_GB2312" w:hAnsi="楷体" w:eastAsia="仿宋_GB2312"/>
          <w:b/>
          <w:sz w:val="24"/>
        </w:rPr>
        <w:t>和保密义务</w:t>
      </w:r>
      <w:bookmarkEnd w:id="1001"/>
      <w:bookmarkEnd w:id="1002"/>
      <w:bookmarkEnd w:id="1003"/>
    </w:p>
    <w:p>
      <w:pPr>
        <w:spacing w:line="360" w:lineRule="auto"/>
        <w:ind w:firstLine="480" w:firstLineChars="200"/>
        <w:rPr>
          <w:rFonts w:ascii="仿宋_GB2312" w:hAnsi="楷体" w:eastAsia="仿宋_GB2312"/>
          <w:sz w:val="24"/>
        </w:rPr>
      </w:pPr>
      <w:r>
        <w:rPr>
          <w:rFonts w:hint="eastAsia" w:ascii="仿宋_GB2312" w:hAnsi="楷体" w:eastAsia="仿宋_GB2312"/>
          <w:sz w:val="24"/>
        </w:rPr>
        <w:t>2.7.1 乙方有权依据合同约定和项目需要，向甲方了解有关情况，调阅有关资料等，甲方应予积极配合；</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2.7.2 乙方有义务妥善保管和保护由甲方提供的前款信息和资料等；</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及方式防止任何第三方接触到对方当事人的上述保密信息和资料。</w:t>
      </w:r>
    </w:p>
    <w:p>
      <w:pPr>
        <w:spacing w:line="360" w:lineRule="auto"/>
        <w:ind w:firstLine="482" w:firstLineChars="200"/>
        <w:outlineLvl w:val="0"/>
        <w:rPr>
          <w:rFonts w:ascii="仿宋_GB2312" w:hAnsi="楷体" w:eastAsia="仿宋_GB2312"/>
          <w:b/>
          <w:sz w:val="24"/>
        </w:rPr>
      </w:pPr>
      <w:bookmarkStart w:id="1004" w:name="_Toc7860"/>
      <w:r>
        <w:rPr>
          <w:rFonts w:hint="eastAsia" w:ascii="仿宋_GB2312" w:hAnsi="楷体" w:eastAsia="仿宋_GB2312"/>
          <w:b/>
          <w:sz w:val="24"/>
        </w:rPr>
        <w:t>2.8 质量保证</w:t>
      </w:r>
      <w:bookmarkEnd w:id="1004"/>
    </w:p>
    <w:p>
      <w:pPr>
        <w:spacing w:line="360" w:lineRule="auto"/>
        <w:ind w:firstLine="480" w:firstLineChars="200"/>
        <w:rPr>
          <w:rFonts w:ascii="仿宋_GB2312" w:hAnsi="楷体" w:eastAsia="仿宋_GB2312"/>
          <w:sz w:val="24"/>
        </w:rPr>
      </w:pPr>
      <w:r>
        <w:rPr>
          <w:rFonts w:hint="eastAsia" w:ascii="仿宋_GB2312" w:hAnsi="楷体" w:eastAsia="仿宋_GB2312"/>
          <w:sz w:val="24"/>
        </w:rPr>
        <w:t>2.8.1 乙方应建立和完善履行合同的内部质量保证体系，并提供相关内部规章制度给甲方，以便甲方进行监督检查；</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2.8.2 乙方应保证履行合同的人员数量和素质、软件和硬件设备的配置、场地、环境和设施等满足全面履行合同的要求，并应接受甲方的监督检查。</w:t>
      </w:r>
    </w:p>
    <w:p>
      <w:pPr>
        <w:spacing w:line="360" w:lineRule="auto"/>
        <w:ind w:firstLine="482" w:firstLineChars="200"/>
        <w:outlineLvl w:val="0"/>
        <w:rPr>
          <w:rFonts w:ascii="仿宋_GB2312" w:hAnsi="楷体" w:eastAsia="仿宋_GB2312"/>
          <w:b/>
          <w:sz w:val="24"/>
        </w:rPr>
      </w:pPr>
      <w:bookmarkStart w:id="1005" w:name="_Toc17244"/>
      <w:bookmarkStart w:id="1006" w:name="_Toc279701252"/>
      <w:bookmarkStart w:id="1007" w:name="_Toc259093681"/>
      <w:bookmarkStart w:id="1008" w:name="_Toc487900362"/>
      <w:r>
        <w:rPr>
          <w:rFonts w:hint="eastAsia" w:ascii="仿宋_GB2312" w:hAnsi="楷体" w:eastAsia="仿宋_GB2312"/>
          <w:b/>
          <w:sz w:val="24"/>
        </w:rPr>
        <w:t>2.9 标的物的风险负担</w:t>
      </w:r>
      <w:bookmarkEnd w:id="1005"/>
    </w:p>
    <w:p>
      <w:pPr>
        <w:spacing w:line="360" w:lineRule="auto"/>
        <w:ind w:firstLine="480" w:firstLineChars="200"/>
        <w:rPr>
          <w:rFonts w:ascii="仿宋_GB2312" w:hAnsi="楷体" w:eastAsia="仿宋_GB2312"/>
          <w:b/>
          <w:sz w:val="24"/>
        </w:rPr>
      </w:pPr>
      <w:r>
        <w:rPr>
          <w:rFonts w:hint="eastAsia" w:ascii="仿宋_GB2312" w:hAnsi="楷体" w:eastAsia="仿宋_GB2312"/>
          <w:sz w:val="24"/>
        </w:rPr>
        <w:t>标的物或者在途标的物或者交付给第一承运人后的标的物毁损、灭失的风险负担详见</w:t>
      </w:r>
      <w:r>
        <w:rPr>
          <w:rFonts w:hint="eastAsia" w:ascii="仿宋_GB2312" w:hAnsi="楷体" w:eastAsia="仿宋_GB2312"/>
          <w:b/>
          <w:i/>
          <w:sz w:val="24"/>
          <w:u w:val="single"/>
        </w:rPr>
        <w:t>合同专用条款</w:t>
      </w:r>
      <w:r>
        <w:rPr>
          <w:rFonts w:hint="eastAsia" w:ascii="仿宋_GB2312" w:hAnsi="楷体" w:eastAsia="仿宋_GB2312"/>
          <w:sz w:val="24"/>
        </w:rPr>
        <w:t>。</w:t>
      </w:r>
    </w:p>
    <w:p>
      <w:pPr>
        <w:spacing w:line="360" w:lineRule="auto"/>
        <w:ind w:firstLine="482" w:firstLineChars="200"/>
        <w:outlineLvl w:val="0"/>
        <w:rPr>
          <w:rFonts w:ascii="仿宋_GB2312" w:hAnsi="楷体" w:eastAsia="仿宋_GB2312"/>
          <w:b/>
          <w:sz w:val="24"/>
        </w:rPr>
      </w:pPr>
      <w:bookmarkStart w:id="1009" w:name="_Toc14055"/>
      <w:r>
        <w:rPr>
          <w:rFonts w:hint="eastAsia" w:ascii="仿宋_GB2312" w:hAnsi="楷体" w:eastAsia="仿宋_GB2312"/>
          <w:b/>
          <w:sz w:val="24"/>
        </w:rPr>
        <w:t>2.10 延迟交货</w:t>
      </w:r>
      <w:bookmarkEnd w:id="1006"/>
      <w:bookmarkEnd w:id="1007"/>
      <w:bookmarkEnd w:id="1008"/>
      <w:bookmarkEnd w:id="1009"/>
      <w:r>
        <w:rPr>
          <w:rFonts w:hint="eastAsia" w:ascii="仿宋_GB2312" w:hAnsi="楷体" w:eastAsia="仿宋_GB2312"/>
          <w:b/>
          <w:sz w:val="24"/>
        </w:rPr>
        <w:t>/交付</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在合同履行过程中，如果乙方遇到不能按时交付标的物的情况，应及时以书面形式将不能按时交付标的物的理由、预期延误时间通知甲方；甲方收到乙方通知后，认为其理由正当的，可以书面形式酌情同意乙方可以延长交货的具体时间。</w:t>
      </w:r>
    </w:p>
    <w:p>
      <w:pPr>
        <w:spacing w:line="360" w:lineRule="auto"/>
        <w:ind w:firstLine="482" w:firstLineChars="200"/>
        <w:outlineLvl w:val="0"/>
        <w:rPr>
          <w:rFonts w:ascii="仿宋_GB2312" w:hAnsi="楷体" w:eastAsia="仿宋_GB2312"/>
          <w:b/>
          <w:sz w:val="24"/>
        </w:rPr>
      </w:pPr>
      <w:bookmarkStart w:id="1010" w:name="_Toc7502"/>
      <w:bookmarkStart w:id="1011" w:name="_Toc259093683"/>
      <w:bookmarkStart w:id="1012" w:name="_Toc487900364"/>
      <w:bookmarkStart w:id="1013" w:name="_Toc279701254"/>
      <w:bookmarkStart w:id="1014" w:name="_Ref467378121"/>
      <w:r>
        <w:rPr>
          <w:rFonts w:hint="eastAsia" w:ascii="仿宋_GB2312" w:hAnsi="楷体" w:eastAsia="仿宋_GB2312"/>
          <w:b/>
          <w:sz w:val="24"/>
        </w:rPr>
        <w:t>2.11 合同变更</w:t>
      </w:r>
      <w:bookmarkEnd w:id="1010"/>
    </w:p>
    <w:p>
      <w:pPr>
        <w:spacing w:line="360" w:lineRule="auto"/>
        <w:ind w:firstLine="480" w:firstLineChars="200"/>
        <w:rPr>
          <w:rFonts w:ascii="仿宋_GB2312" w:hAnsi="楷体" w:eastAsia="仿宋_GB2312"/>
          <w:sz w:val="24"/>
        </w:rPr>
      </w:pPr>
      <w:r>
        <w:rPr>
          <w:rFonts w:hint="eastAsia" w:ascii="仿宋_GB2312" w:hAnsi="楷体" w:eastAsia="仿宋_GB2312"/>
          <w:sz w:val="24"/>
        </w:rPr>
        <w:t>2.11.1双方当事人协商一致，可以签订书面补充合同的形式变更合同，但不得违背采购文件确定的事项。如果系追加与合同标的相同的标的物的，那么需经采购监督管理部门同意，且所有补充合同的采购金额不得超过原合同价的10%；</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2.11.2 合同继续履行将损害国家利益和社会公共利益的，双方当事人应当以书面形式变更合同。有过错的一方应当承担赔偿责任，双方当事人都有过错的，各自承担相应的责任。</w:t>
      </w:r>
      <w:bookmarkStart w:id="1015" w:name="_Toc279701259"/>
      <w:bookmarkStart w:id="1016" w:name="_Toc487900369"/>
      <w:bookmarkStart w:id="1017" w:name="_Toc259093688"/>
    </w:p>
    <w:p>
      <w:pPr>
        <w:spacing w:line="360" w:lineRule="auto"/>
        <w:ind w:firstLine="482" w:firstLineChars="200"/>
        <w:outlineLvl w:val="0"/>
        <w:rPr>
          <w:rFonts w:ascii="仿宋_GB2312" w:hAnsi="楷体" w:eastAsia="仿宋_GB2312"/>
          <w:b/>
          <w:sz w:val="24"/>
        </w:rPr>
      </w:pPr>
      <w:bookmarkStart w:id="1018" w:name="_Toc22955"/>
      <w:bookmarkStart w:id="1019" w:name="_Toc15237"/>
      <w:bookmarkStart w:id="1020" w:name="_Toc10366"/>
      <w:r>
        <w:rPr>
          <w:rFonts w:hint="eastAsia" w:ascii="仿宋_GB2312" w:hAnsi="楷体" w:eastAsia="仿宋_GB2312"/>
          <w:b/>
          <w:sz w:val="24"/>
        </w:rPr>
        <w:t>2.12 合同转让</w:t>
      </w:r>
      <w:bookmarkEnd w:id="1015"/>
      <w:bookmarkEnd w:id="1016"/>
      <w:bookmarkEnd w:id="1017"/>
      <w:r>
        <w:rPr>
          <w:rFonts w:hint="eastAsia" w:ascii="仿宋_GB2312" w:hAnsi="楷体" w:eastAsia="仿宋_GB2312"/>
          <w:b/>
          <w:sz w:val="24"/>
        </w:rPr>
        <w:t>和分包</w:t>
      </w:r>
      <w:bookmarkEnd w:id="1018"/>
      <w:bookmarkEnd w:id="1019"/>
      <w:bookmarkEnd w:id="1020"/>
    </w:p>
    <w:p>
      <w:pPr>
        <w:spacing w:line="360" w:lineRule="auto"/>
        <w:ind w:firstLine="480" w:firstLineChars="200"/>
        <w:rPr>
          <w:rFonts w:ascii="仿宋_GB2312" w:hAnsi="楷体" w:eastAsia="仿宋_GB2312"/>
          <w:sz w:val="24"/>
        </w:rPr>
      </w:pPr>
      <w:r>
        <w:rPr>
          <w:rFonts w:hint="eastAsia" w:ascii="仿宋_GB2312" w:hAnsi="楷体" w:eastAsia="仿宋_GB2312"/>
          <w:sz w:val="24"/>
        </w:rPr>
        <w:t>合同的权利义务依法不得转让，但经甲方书面同意，乙方可以依法采取分包方式履行合同，即：依法可以将合同项下的部分非主体、非关键性工作分包给他人完成，接受分包的供应商应当具备相应的资格条件，并不得再次分包，且乙方应就分包项目向甲方负责，并与分包供应商就分包项目向甲方承担连带责任。</w:t>
      </w:r>
    </w:p>
    <w:p>
      <w:pPr>
        <w:spacing w:line="360" w:lineRule="auto"/>
        <w:ind w:firstLine="482" w:firstLineChars="200"/>
        <w:outlineLvl w:val="0"/>
        <w:rPr>
          <w:rFonts w:ascii="仿宋_GB2312" w:hAnsi="楷体" w:eastAsia="仿宋_GB2312"/>
          <w:b/>
          <w:sz w:val="24"/>
        </w:rPr>
      </w:pPr>
      <w:bookmarkStart w:id="1021" w:name="_Toc14066"/>
      <w:bookmarkStart w:id="1022" w:name="_Toc13566"/>
      <w:bookmarkStart w:id="1023" w:name="_Toc16508"/>
      <w:r>
        <w:rPr>
          <w:rFonts w:hint="eastAsia" w:ascii="仿宋_GB2312" w:hAnsi="楷体" w:eastAsia="仿宋_GB2312"/>
          <w:b/>
          <w:sz w:val="24"/>
        </w:rPr>
        <w:t>2.13 不可抗力</w:t>
      </w:r>
      <w:bookmarkEnd w:id="1021"/>
      <w:bookmarkEnd w:id="1022"/>
      <w:bookmarkEnd w:id="1023"/>
    </w:p>
    <w:p>
      <w:pPr>
        <w:spacing w:line="360" w:lineRule="auto"/>
        <w:ind w:firstLine="480" w:firstLineChars="200"/>
        <w:rPr>
          <w:rFonts w:ascii="仿宋_GB2312" w:hAnsi="楷体" w:eastAsia="仿宋_GB2312"/>
          <w:sz w:val="24"/>
        </w:rPr>
      </w:pPr>
      <w:r>
        <w:rPr>
          <w:rFonts w:hint="eastAsia" w:ascii="仿宋_GB2312" w:hAnsi="楷体" w:eastAsia="仿宋_GB2312"/>
          <w:sz w:val="24"/>
        </w:rPr>
        <w:t>2.13.1如果任何一方遭遇法律规定的不可抗力，致使合同履行受阻时，履行合同的期限应予延长，延长的期限应相当于不可抗力所影响的时间；</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2.13.2受不可抗力影响的一方在不可抗力发生后，应在</w:t>
      </w:r>
      <w:r>
        <w:rPr>
          <w:rFonts w:hint="eastAsia" w:ascii="仿宋_GB2312" w:hAnsi="楷体" w:eastAsia="仿宋_GB2312"/>
          <w:b/>
          <w:i/>
          <w:sz w:val="24"/>
          <w:u w:val="single"/>
        </w:rPr>
        <w:t>合同专用条款</w:t>
      </w:r>
      <w:r>
        <w:rPr>
          <w:rFonts w:hint="eastAsia" w:ascii="仿宋_GB2312" w:hAnsi="楷体" w:eastAsia="仿宋_GB2312"/>
          <w:sz w:val="24"/>
        </w:rPr>
        <w:t>约定时间内以书面形式通知对方当事人，并在</w:t>
      </w:r>
      <w:r>
        <w:rPr>
          <w:rFonts w:hint="eastAsia" w:ascii="仿宋_GB2312" w:hAnsi="楷体" w:eastAsia="仿宋_GB2312"/>
          <w:b/>
          <w:i/>
          <w:sz w:val="24"/>
          <w:u w:val="single"/>
        </w:rPr>
        <w:t>合同专用条款</w:t>
      </w:r>
      <w:r>
        <w:rPr>
          <w:rFonts w:hint="eastAsia" w:ascii="仿宋_GB2312" w:hAnsi="楷体" w:eastAsia="仿宋_GB2312"/>
          <w:sz w:val="24"/>
        </w:rPr>
        <w:t>约定时间内，将有关部门出具的证明文件送达对方当事人。</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2.13.3 因不可抗力致使不能实现合同目的的，当事人可以解除合同；</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2.13.4 因不可抗力致使合同有变更必要的，双方当事人应在</w:t>
      </w:r>
      <w:r>
        <w:rPr>
          <w:rFonts w:hint="eastAsia" w:ascii="仿宋_GB2312" w:hAnsi="楷体" w:eastAsia="仿宋_GB2312"/>
          <w:b/>
          <w:i/>
          <w:sz w:val="24"/>
          <w:u w:val="single"/>
        </w:rPr>
        <w:t>合同专用条款</w:t>
      </w:r>
      <w:r>
        <w:rPr>
          <w:rFonts w:hint="eastAsia" w:ascii="仿宋_GB2312" w:hAnsi="楷体" w:eastAsia="仿宋_GB2312"/>
          <w:sz w:val="24"/>
        </w:rPr>
        <w:t>约定时间内以书面形式变更合同；</w:t>
      </w:r>
    </w:p>
    <w:p>
      <w:pPr>
        <w:spacing w:line="360" w:lineRule="auto"/>
        <w:ind w:firstLine="482" w:firstLineChars="200"/>
        <w:outlineLvl w:val="0"/>
        <w:rPr>
          <w:rFonts w:ascii="仿宋_GB2312" w:hAnsi="楷体" w:eastAsia="仿宋_GB2312"/>
          <w:b/>
          <w:sz w:val="24"/>
        </w:rPr>
      </w:pPr>
      <w:bookmarkStart w:id="1024" w:name="_Toc689"/>
      <w:bookmarkStart w:id="1025" w:name="_Toc259093684"/>
      <w:bookmarkStart w:id="1026" w:name="_Toc6969"/>
      <w:bookmarkStart w:id="1027" w:name="_Toc487900365"/>
      <w:bookmarkStart w:id="1028" w:name="_Toc30676"/>
      <w:bookmarkStart w:id="1029" w:name="_Toc279701255"/>
      <w:r>
        <w:rPr>
          <w:rFonts w:hint="eastAsia" w:ascii="仿宋_GB2312" w:hAnsi="楷体" w:eastAsia="仿宋_GB2312"/>
          <w:b/>
          <w:sz w:val="24"/>
        </w:rPr>
        <w:t>2.14 税费</w:t>
      </w:r>
      <w:bookmarkEnd w:id="1024"/>
      <w:bookmarkEnd w:id="1025"/>
      <w:bookmarkEnd w:id="1026"/>
      <w:bookmarkEnd w:id="1027"/>
      <w:bookmarkEnd w:id="1028"/>
      <w:bookmarkEnd w:id="1029"/>
    </w:p>
    <w:p>
      <w:pPr>
        <w:spacing w:line="360" w:lineRule="auto"/>
        <w:ind w:firstLine="480" w:firstLineChars="200"/>
        <w:rPr>
          <w:rFonts w:ascii="仿宋_GB2312" w:hAnsi="楷体" w:eastAsia="仿宋_GB2312"/>
          <w:sz w:val="24"/>
        </w:rPr>
      </w:pPr>
      <w:r>
        <w:rPr>
          <w:rFonts w:hint="eastAsia" w:ascii="仿宋_GB2312" w:hAnsi="楷体" w:eastAsia="仿宋_GB2312"/>
          <w:sz w:val="24"/>
        </w:rPr>
        <w:t>与合同有关的一切税费，均按照中华人民共和国法律的相关规定执行。</w:t>
      </w:r>
    </w:p>
    <w:p>
      <w:pPr>
        <w:spacing w:line="360" w:lineRule="auto"/>
        <w:ind w:firstLine="482" w:firstLineChars="200"/>
        <w:outlineLvl w:val="0"/>
        <w:rPr>
          <w:rFonts w:ascii="仿宋_GB2312" w:hAnsi="楷体" w:eastAsia="仿宋_GB2312"/>
          <w:b/>
          <w:sz w:val="24"/>
        </w:rPr>
      </w:pPr>
      <w:bookmarkStart w:id="1030" w:name="_Toc7102"/>
      <w:bookmarkStart w:id="1031" w:name="_Toc279701258"/>
      <w:bookmarkStart w:id="1032" w:name="_Toc16959"/>
      <w:bookmarkStart w:id="1033" w:name="_Toc8298"/>
      <w:bookmarkStart w:id="1034" w:name="_Toc487900368"/>
      <w:bookmarkStart w:id="1035" w:name="_Toc259093687"/>
      <w:r>
        <w:rPr>
          <w:rFonts w:hint="eastAsia" w:ascii="仿宋_GB2312" w:hAnsi="楷体" w:eastAsia="仿宋_GB2312"/>
          <w:b/>
          <w:sz w:val="24"/>
        </w:rPr>
        <w:t>2.15 乙方破产</w:t>
      </w:r>
      <w:bookmarkEnd w:id="1030"/>
      <w:bookmarkEnd w:id="1031"/>
      <w:bookmarkEnd w:id="1032"/>
      <w:bookmarkEnd w:id="1033"/>
      <w:bookmarkEnd w:id="1034"/>
      <w:bookmarkEnd w:id="1035"/>
    </w:p>
    <w:p>
      <w:pPr>
        <w:spacing w:line="360" w:lineRule="auto"/>
        <w:ind w:firstLine="480" w:firstLineChars="200"/>
        <w:rPr>
          <w:rFonts w:ascii="仿宋_GB2312" w:hAnsi="楷体" w:eastAsia="仿宋_GB2312"/>
          <w:sz w:val="24"/>
        </w:rPr>
      </w:pPr>
      <w:r>
        <w:rPr>
          <w:rFonts w:hint="eastAsia" w:ascii="仿宋_GB2312" w:hAnsi="楷体" w:eastAsia="仿宋_GB2312"/>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360" w:lineRule="auto"/>
        <w:ind w:firstLine="482" w:firstLineChars="200"/>
        <w:outlineLvl w:val="0"/>
        <w:rPr>
          <w:rFonts w:ascii="仿宋_GB2312" w:hAnsi="楷体" w:eastAsia="仿宋_GB2312"/>
          <w:b/>
          <w:sz w:val="24"/>
        </w:rPr>
      </w:pPr>
      <w:bookmarkStart w:id="1036" w:name="_Toc29333"/>
      <w:bookmarkStart w:id="1037" w:name="_Toc15387"/>
      <w:bookmarkStart w:id="1038" w:name="_Toc6134"/>
      <w:r>
        <w:rPr>
          <w:rFonts w:hint="eastAsia" w:ascii="仿宋_GB2312" w:hAnsi="楷体" w:eastAsia="仿宋_GB2312"/>
          <w:b/>
          <w:sz w:val="24"/>
        </w:rPr>
        <w:t>2.16 合同中止、终止</w:t>
      </w:r>
      <w:bookmarkEnd w:id="1036"/>
      <w:bookmarkEnd w:id="1037"/>
      <w:bookmarkEnd w:id="1038"/>
    </w:p>
    <w:p>
      <w:pPr>
        <w:spacing w:line="360" w:lineRule="auto"/>
        <w:ind w:firstLine="480" w:firstLineChars="200"/>
        <w:rPr>
          <w:rFonts w:ascii="仿宋_GB2312" w:hAnsi="楷体" w:eastAsia="仿宋_GB2312"/>
          <w:sz w:val="24"/>
        </w:rPr>
      </w:pPr>
      <w:r>
        <w:rPr>
          <w:rFonts w:hint="eastAsia" w:ascii="仿宋_GB2312" w:hAnsi="楷体" w:eastAsia="仿宋_GB2312"/>
          <w:sz w:val="24"/>
        </w:rPr>
        <w:t>2.16.1 双方当事人不得擅自中止或者终止合同；</w:t>
      </w:r>
    </w:p>
    <w:p>
      <w:pPr>
        <w:spacing w:line="360" w:lineRule="auto"/>
        <w:ind w:firstLine="480" w:firstLineChars="200"/>
        <w:rPr>
          <w:rFonts w:ascii="仿宋_GB2312" w:hAnsi="楷体" w:eastAsia="仿宋_GB2312"/>
          <w:color w:val="auto"/>
          <w:sz w:val="24"/>
        </w:rPr>
      </w:pPr>
      <w:r>
        <w:rPr>
          <w:rFonts w:hint="eastAsia" w:ascii="仿宋_GB2312" w:hAnsi="楷体" w:eastAsia="仿宋_GB2312"/>
          <w:sz w:val="24"/>
        </w:rPr>
        <w:t>2.16.</w:t>
      </w:r>
      <w:r>
        <w:rPr>
          <w:rFonts w:hint="eastAsia" w:ascii="仿宋_GB2312" w:hAnsi="楷体" w:eastAsia="仿宋_GB2312"/>
          <w:color w:val="auto"/>
          <w:sz w:val="24"/>
        </w:rPr>
        <w:t>2合同继续履行将损害国家利益和社会公共利益的，双方当事人应当中止或者终止合同。有过错的一方应当承担赔偿责任，双方当事人都有过错的，各自承担相应的责任；</w:t>
      </w:r>
    </w:p>
    <w:p>
      <w:pPr>
        <w:spacing w:line="360" w:lineRule="auto"/>
        <w:ind w:firstLine="480" w:firstLineChars="200"/>
        <w:rPr>
          <w:rFonts w:ascii="仿宋_GB2312" w:hAnsi="楷体" w:eastAsia="仿宋_GB2312"/>
          <w:color w:val="auto"/>
          <w:sz w:val="24"/>
        </w:rPr>
      </w:pPr>
      <w:r>
        <w:rPr>
          <w:rFonts w:hint="eastAsia" w:ascii="仿宋_GB2312" w:hAnsi="楷体" w:eastAsia="仿宋_GB2312"/>
          <w:color w:val="auto"/>
          <w:sz w:val="24"/>
        </w:rPr>
        <w:t>2.16.3因甲方原因导致变更、中止或终止合同的，甲方应对乙方受到的损失予以赔偿或者补偿。</w:t>
      </w:r>
    </w:p>
    <w:p>
      <w:pPr>
        <w:spacing w:line="360" w:lineRule="auto"/>
        <w:ind w:firstLine="482" w:firstLineChars="200"/>
        <w:outlineLvl w:val="0"/>
        <w:rPr>
          <w:rFonts w:ascii="仿宋_GB2312" w:hAnsi="楷体" w:eastAsia="仿宋_GB2312"/>
          <w:b/>
          <w:color w:val="auto"/>
          <w:sz w:val="24"/>
        </w:rPr>
      </w:pPr>
      <w:bookmarkStart w:id="1039" w:name="_Toc1125"/>
      <w:bookmarkStart w:id="1040" w:name="_Toc6596"/>
      <w:bookmarkStart w:id="1041" w:name="_Toc14563"/>
      <w:r>
        <w:rPr>
          <w:rFonts w:hint="eastAsia" w:ascii="仿宋_GB2312" w:hAnsi="楷体" w:eastAsia="仿宋_GB2312"/>
          <w:b/>
          <w:color w:val="auto"/>
          <w:sz w:val="24"/>
        </w:rPr>
        <w:t>2.17 检验和验收</w:t>
      </w:r>
      <w:bookmarkEnd w:id="1039"/>
      <w:bookmarkEnd w:id="1040"/>
      <w:bookmarkEnd w:id="1041"/>
    </w:p>
    <w:p>
      <w:pPr>
        <w:tabs>
          <w:tab w:val="left" w:pos="360"/>
          <w:tab w:val="left" w:pos="540"/>
          <w:tab w:val="left" w:pos="1080"/>
        </w:tabs>
        <w:spacing w:line="360" w:lineRule="auto"/>
        <w:ind w:firstLine="480" w:firstLineChars="200"/>
        <w:rPr>
          <w:rFonts w:ascii="仿宋_GB2312" w:hAnsi="楷体" w:eastAsia="仿宋_GB2312"/>
          <w:sz w:val="24"/>
        </w:rPr>
      </w:pPr>
      <w:r>
        <w:rPr>
          <w:rFonts w:hint="eastAsia" w:ascii="仿宋_GB2312" w:hAnsi="楷体" w:eastAsia="仿宋_GB2312"/>
          <w:color w:val="auto"/>
          <w:sz w:val="24"/>
        </w:rPr>
        <w:t>2.17.1标的物</w:t>
      </w:r>
      <w:r>
        <w:rPr>
          <w:rFonts w:hint="eastAsia" w:ascii="仿宋_GB2312" w:hAnsi="楷体" w:eastAsia="仿宋_GB2312"/>
          <w:sz w:val="24"/>
        </w:rPr>
        <w:t>交付前，乙方应对标的物的质量、数量等方面进行详细、全面的检验，并向甲方出具证明标的物符合合同约定的文件；标的物交付时，乙方在</w:t>
      </w:r>
      <w:r>
        <w:rPr>
          <w:rFonts w:hint="eastAsia" w:ascii="仿宋_GB2312" w:hAnsi="楷体" w:eastAsia="仿宋_GB2312"/>
          <w:b/>
          <w:i/>
          <w:sz w:val="24"/>
          <w:u w:val="single"/>
        </w:rPr>
        <w:t>合同专用条款</w:t>
      </w:r>
      <w:r>
        <w:rPr>
          <w:rFonts w:hint="eastAsia" w:ascii="仿宋_GB2312" w:hAnsi="楷体" w:eastAsia="仿宋_GB2312"/>
          <w:sz w:val="24"/>
        </w:rPr>
        <w:t>约定时间内组织验收，并可依法邀请相关方参加，验收应出具验收书。</w:t>
      </w:r>
    </w:p>
    <w:p>
      <w:pPr>
        <w:tabs>
          <w:tab w:val="left" w:pos="360"/>
          <w:tab w:val="left" w:pos="540"/>
          <w:tab w:val="left" w:pos="1080"/>
        </w:tabs>
        <w:spacing w:line="360" w:lineRule="auto"/>
        <w:ind w:firstLine="480" w:firstLineChars="200"/>
        <w:rPr>
          <w:rFonts w:ascii="仿宋_GB2312" w:hAnsi="楷体" w:eastAsia="仿宋_GB2312"/>
          <w:sz w:val="24"/>
        </w:rPr>
      </w:pPr>
      <w:r>
        <w:rPr>
          <w:rFonts w:hint="eastAsia" w:ascii="仿宋_GB2312" w:hAnsi="楷体" w:eastAsia="仿宋_GB2312"/>
          <w:sz w:val="24"/>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360" w:lineRule="auto"/>
        <w:ind w:firstLine="480" w:firstLineChars="200"/>
        <w:rPr>
          <w:rFonts w:ascii="仿宋_GB2312" w:hAnsi="楷体" w:eastAsia="仿宋_GB2312"/>
          <w:sz w:val="24"/>
        </w:rPr>
      </w:pPr>
      <w:r>
        <w:rPr>
          <w:rFonts w:hint="eastAsia" w:ascii="仿宋_GB2312" w:hAnsi="楷体" w:eastAsia="仿宋_GB2312"/>
          <w:sz w:val="24"/>
        </w:rPr>
        <w:t>2.17.3 检验和验收标准、程序等具体内容以及前述验收书的效力详见</w:t>
      </w:r>
      <w:r>
        <w:rPr>
          <w:rFonts w:hint="eastAsia" w:ascii="仿宋_GB2312" w:hAnsi="楷体" w:eastAsia="仿宋_GB2312"/>
          <w:b/>
          <w:i/>
          <w:sz w:val="24"/>
          <w:u w:val="single"/>
        </w:rPr>
        <w:t>合同专用条款</w:t>
      </w:r>
      <w:r>
        <w:rPr>
          <w:rFonts w:hint="eastAsia" w:ascii="仿宋_GB2312" w:hAnsi="楷体" w:eastAsia="仿宋_GB2312"/>
          <w:i/>
          <w:sz w:val="24"/>
        </w:rPr>
        <w:t>。</w:t>
      </w:r>
    </w:p>
    <w:bookmarkEnd w:id="1011"/>
    <w:bookmarkEnd w:id="1012"/>
    <w:bookmarkEnd w:id="1013"/>
    <w:bookmarkEnd w:id="1014"/>
    <w:p>
      <w:pPr>
        <w:spacing w:line="360" w:lineRule="auto"/>
        <w:ind w:firstLine="482" w:firstLineChars="200"/>
        <w:outlineLvl w:val="0"/>
        <w:rPr>
          <w:rFonts w:ascii="仿宋_GB2312" w:hAnsi="楷体" w:eastAsia="仿宋_GB2312"/>
          <w:b/>
          <w:sz w:val="24"/>
        </w:rPr>
      </w:pPr>
      <w:bookmarkStart w:id="1042" w:name="_Toc259093690"/>
      <w:bookmarkStart w:id="1043" w:name="_Toc487900371"/>
      <w:bookmarkStart w:id="1044" w:name="_Toc279701261"/>
      <w:bookmarkStart w:id="1045" w:name="_Toc25182"/>
      <w:bookmarkStart w:id="1046" w:name="_Toc19604"/>
      <w:bookmarkStart w:id="1047" w:name="_Toc11284"/>
      <w:r>
        <w:rPr>
          <w:rFonts w:hint="eastAsia" w:ascii="仿宋_GB2312" w:hAnsi="楷体" w:eastAsia="仿宋_GB2312"/>
          <w:b/>
          <w:sz w:val="24"/>
        </w:rPr>
        <w:t>2.18 通知</w:t>
      </w:r>
      <w:bookmarkEnd w:id="1042"/>
      <w:bookmarkEnd w:id="1043"/>
      <w:bookmarkEnd w:id="1044"/>
      <w:r>
        <w:rPr>
          <w:rFonts w:hint="eastAsia" w:ascii="仿宋_GB2312" w:hAnsi="楷体" w:eastAsia="仿宋_GB2312"/>
          <w:b/>
          <w:sz w:val="24"/>
        </w:rPr>
        <w:t>和送达</w:t>
      </w:r>
      <w:bookmarkEnd w:id="1045"/>
      <w:bookmarkEnd w:id="1046"/>
      <w:bookmarkEnd w:id="1047"/>
    </w:p>
    <w:p>
      <w:pPr>
        <w:spacing w:line="360" w:lineRule="auto"/>
        <w:ind w:firstLine="480" w:firstLineChars="200"/>
        <w:rPr>
          <w:rFonts w:ascii="仿宋_GB2312" w:hAnsi="楷体" w:eastAsia="仿宋_GB2312"/>
          <w:sz w:val="24"/>
        </w:rPr>
      </w:pPr>
      <w:bookmarkStart w:id="1048" w:name="_Toc6698"/>
      <w:bookmarkStart w:id="1049" w:name="_Toc3135"/>
      <w:bookmarkStart w:id="1050" w:name="_Toc259093691"/>
      <w:bookmarkStart w:id="1051" w:name="_Toc487900372"/>
      <w:bookmarkStart w:id="1052" w:name="_Toc279701262"/>
      <w:r>
        <w:rPr>
          <w:rFonts w:hint="eastAsia" w:ascii="仿宋_GB2312" w:hAnsi="楷体" w:eastAsia="仿宋_GB2312"/>
          <w:sz w:val="24"/>
        </w:rPr>
        <w:t>2.18.1 任何一方因</w:t>
      </w:r>
      <w:r>
        <w:rPr>
          <w:rFonts w:hint="eastAsia" w:ascii="仿宋_GB2312" w:hAnsi="楷体" w:eastAsia="仿宋_GB2312"/>
          <w:color w:val="auto"/>
          <w:sz w:val="24"/>
        </w:rPr>
        <w:t>履行合同而以合同第一部分尾部所列明的</w:t>
      </w:r>
      <w:r>
        <w:rPr>
          <w:rFonts w:hint="eastAsia" w:ascii="仿宋_GB2312" w:hAnsi="楷体" w:eastAsia="仿宋_GB2312"/>
          <w:color w:val="auto"/>
          <w:sz w:val="24"/>
          <w:u w:val="single"/>
        </w:rPr>
        <w:t>“约定送达地址”</w:t>
      </w:r>
      <w:r>
        <w:rPr>
          <w:rFonts w:hint="eastAsia" w:ascii="仿宋_GB2312" w:hAnsi="楷体" w:eastAsia="仿宋_GB2312"/>
          <w:color w:val="auto"/>
          <w:sz w:val="24"/>
        </w:rPr>
        <w:t>为收件地址的所有通知、文件、材料，均视为已向对方当事人送达；任何一方变更上述送达方式或者地址的，应于</w:t>
      </w:r>
      <w:r>
        <w:rPr>
          <w:rFonts w:hint="eastAsia" w:ascii="仿宋_GB2312" w:hAnsi="楷体" w:eastAsia="仿宋_GB2312"/>
          <w:color w:val="auto"/>
          <w:sz w:val="24"/>
          <w:u w:val="single"/>
        </w:rPr>
        <w:t xml:space="preserve">   </w:t>
      </w:r>
      <w:r>
        <w:rPr>
          <w:rFonts w:hint="eastAsia" w:ascii="仿宋_GB2312" w:hAnsi="楷体" w:eastAsia="仿宋_GB2312"/>
          <w:color w:val="auto"/>
          <w:sz w:val="24"/>
        </w:rPr>
        <w:t>个工作日内书</w:t>
      </w:r>
      <w:r>
        <w:rPr>
          <w:rFonts w:hint="eastAsia" w:ascii="仿宋_GB2312" w:hAnsi="楷体" w:eastAsia="仿宋_GB2312"/>
          <w:sz w:val="24"/>
        </w:rPr>
        <w:t>面通知对方当事人，在对方当事人收到有关变更通知之前，变更前的约定送达方式或者地址仍视为有效。</w:t>
      </w:r>
      <w:bookmarkEnd w:id="1048"/>
      <w:bookmarkEnd w:id="1049"/>
    </w:p>
    <w:p>
      <w:pPr>
        <w:spacing w:line="360" w:lineRule="auto"/>
        <w:ind w:firstLine="480" w:firstLineChars="200"/>
        <w:rPr>
          <w:rFonts w:ascii="仿宋_GB2312" w:hAnsi="楷体" w:eastAsia="仿宋_GB2312"/>
          <w:sz w:val="24"/>
        </w:rPr>
      </w:pPr>
      <w:bookmarkStart w:id="1053" w:name="_Toc23128"/>
      <w:bookmarkStart w:id="1054" w:name="_Toc23294"/>
      <w:r>
        <w:rPr>
          <w:rFonts w:hint="eastAsia" w:ascii="仿宋_GB2312" w:hAnsi="楷体" w:eastAsia="仿宋_GB2312"/>
          <w:sz w:val="24"/>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1053"/>
      <w:bookmarkEnd w:id="1054"/>
    </w:p>
    <w:p>
      <w:pPr>
        <w:spacing w:line="360" w:lineRule="auto"/>
        <w:ind w:firstLine="482" w:firstLineChars="200"/>
        <w:outlineLvl w:val="0"/>
        <w:rPr>
          <w:rFonts w:ascii="仿宋_GB2312" w:hAnsi="楷体" w:eastAsia="仿宋_GB2312"/>
          <w:b/>
          <w:sz w:val="24"/>
        </w:rPr>
      </w:pPr>
      <w:bookmarkStart w:id="1055" w:name="_Toc4355"/>
      <w:bookmarkStart w:id="1056" w:name="_Toc30599"/>
      <w:bookmarkStart w:id="1057" w:name="_Toc18540"/>
      <w:r>
        <w:rPr>
          <w:rFonts w:hint="eastAsia" w:ascii="仿宋_GB2312" w:hAnsi="楷体" w:eastAsia="仿宋_GB2312"/>
          <w:b/>
          <w:sz w:val="24"/>
        </w:rPr>
        <w:t>2.19 计量单位</w:t>
      </w:r>
      <w:bookmarkEnd w:id="1050"/>
      <w:bookmarkEnd w:id="1051"/>
      <w:bookmarkEnd w:id="1052"/>
      <w:bookmarkEnd w:id="1055"/>
      <w:bookmarkEnd w:id="1056"/>
      <w:bookmarkEnd w:id="1057"/>
    </w:p>
    <w:p>
      <w:pPr>
        <w:spacing w:line="360" w:lineRule="auto"/>
        <w:ind w:firstLine="480" w:firstLineChars="200"/>
        <w:rPr>
          <w:rFonts w:ascii="仿宋_GB2312" w:hAnsi="楷体" w:eastAsia="仿宋_GB2312"/>
          <w:sz w:val="24"/>
        </w:rPr>
      </w:pPr>
      <w:r>
        <w:rPr>
          <w:rFonts w:hint="eastAsia" w:ascii="仿宋_GB2312" w:hAnsi="楷体" w:eastAsia="仿宋_GB2312"/>
          <w:sz w:val="24"/>
        </w:rPr>
        <w:t>除技术规范中另有规定外,合同的计量单位均使用国家法定计量单位。</w:t>
      </w:r>
    </w:p>
    <w:p>
      <w:pPr>
        <w:spacing w:line="360" w:lineRule="auto"/>
        <w:ind w:firstLine="482" w:firstLineChars="200"/>
        <w:outlineLvl w:val="0"/>
        <w:rPr>
          <w:rFonts w:ascii="仿宋_GB2312" w:hAnsi="楷体" w:eastAsia="仿宋_GB2312"/>
          <w:b/>
          <w:sz w:val="24"/>
        </w:rPr>
      </w:pPr>
      <w:bookmarkStart w:id="1058" w:name="_Toc18567"/>
      <w:bookmarkStart w:id="1059" w:name="_Toc279701263"/>
      <w:bookmarkStart w:id="1060" w:name="_Toc12773"/>
      <w:bookmarkStart w:id="1061" w:name="_Toc487900373"/>
      <w:bookmarkStart w:id="1062" w:name="_Toc10330"/>
      <w:bookmarkStart w:id="1063" w:name="_Toc259093692"/>
      <w:r>
        <w:rPr>
          <w:rFonts w:hint="eastAsia" w:ascii="仿宋_GB2312" w:hAnsi="楷体" w:eastAsia="仿宋_GB2312"/>
          <w:b/>
          <w:sz w:val="24"/>
        </w:rPr>
        <w:t>2.20 合同使用的文字和适用的法律</w:t>
      </w:r>
      <w:bookmarkEnd w:id="1058"/>
      <w:bookmarkEnd w:id="1059"/>
      <w:bookmarkEnd w:id="1060"/>
      <w:bookmarkEnd w:id="1061"/>
      <w:bookmarkEnd w:id="1062"/>
      <w:bookmarkEnd w:id="1063"/>
    </w:p>
    <w:p>
      <w:pPr>
        <w:spacing w:line="360" w:lineRule="auto"/>
        <w:ind w:firstLine="480" w:firstLineChars="200"/>
        <w:rPr>
          <w:rFonts w:ascii="仿宋_GB2312" w:hAnsi="楷体" w:eastAsia="仿宋_GB2312"/>
          <w:sz w:val="24"/>
        </w:rPr>
      </w:pPr>
      <w:r>
        <w:rPr>
          <w:rFonts w:hint="eastAsia" w:ascii="仿宋_GB2312" w:hAnsi="楷体" w:eastAsia="仿宋_GB2312"/>
          <w:sz w:val="24"/>
        </w:rPr>
        <w:t>2.20.1 合同使用汉语书就、变更和解释；</w:t>
      </w:r>
    </w:p>
    <w:p>
      <w:pPr>
        <w:spacing w:line="360" w:lineRule="auto"/>
        <w:ind w:firstLine="480" w:firstLineChars="200"/>
        <w:rPr>
          <w:rFonts w:ascii="仿宋_GB2312" w:hAnsi="楷体" w:eastAsia="仿宋_GB2312"/>
          <w:sz w:val="24"/>
        </w:rPr>
      </w:pPr>
      <w:r>
        <w:rPr>
          <w:rFonts w:hint="eastAsia" w:ascii="仿宋_GB2312" w:hAnsi="楷体" w:eastAsia="仿宋_GB2312"/>
          <w:sz w:val="24"/>
        </w:rPr>
        <w:t>2.20.2 合同适用中华人民共和国法律。</w:t>
      </w:r>
    </w:p>
    <w:p>
      <w:pPr>
        <w:spacing w:line="360" w:lineRule="auto"/>
        <w:ind w:firstLine="482" w:firstLineChars="200"/>
        <w:outlineLvl w:val="0"/>
        <w:rPr>
          <w:rFonts w:ascii="仿宋_GB2312" w:hAnsi="楷体" w:eastAsia="仿宋_GB2312"/>
          <w:b/>
          <w:color w:val="auto"/>
          <w:sz w:val="24"/>
        </w:rPr>
      </w:pPr>
      <w:bookmarkStart w:id="1064" w:name="_Toc12004"/>
      <w:bookmarkStart w:id="1065" w:name="_Toc259093693"/>
      <w:bookmarkStart w:id="1066" w:name="_Toc279701264"/>
      <w:bookmarkStart w:id="1067" w:name="_Toc3148"/>
      <w:bookmarkStart w:id="1068" w:name="_Toc16673"/>
      <w:bookmarkStart w:id="1069" w:name="_Toc487900374"/>
      <w:r>
        <w:rPr>
          <w:rFonts w:hint="eastAsia" w:ascii="仿宋_GB2312" w:hAnsi="楷体" w:eastAsia="仿宋_GB2312"/>
          <w:b/>
          <w:color w:val="auto"/>
          <w:sz w:val="24"/>
        </w:rPr>
        <w:t>2.21 履约保证金</w:t>
      </w:r>
      <w:bookmarkEnd w:id="1064"/>
      <w:bookmarkEnd w:id="1065"/>
      <w:bookmarkEnd w:id="1066"/>
      <w:bookmarkEnd w:id="1067"/>
      <w:bookmarkEnd w:id="1068"/>
    </w:p>
    <w:p>
      <w:pPr>
        <w:spacing w:line="360" w:lineRule="auto"/>
        <w:ind w:firstLine="480" w:firstLineChars="200"/>
        <w:rPr>
          <w:rFonts w:ascii="仿宋_GB2312" w:hAnsi="楷体" w:eastAsia="仿宋_GB2312"/>
          <w:color w:val="auto"/>
          <w:sz w:val="24"/>
        </w:rPr>
      </w:pPr>
      <w:r>
        <w:rPr>
          <w:rFonts w:hint="eastAsia" w:ascii="仿宋_GB2312" w:hAnsi="楷体" w:eastAsia="仿宋_GB2312"/>
          <w:color w:val="auto"/>
          <w:sz w:val="24"/>
        </w:rPr>
        <w:t>2.21.1 采购文件要求乙方提交履约保证金的，乙方</w:t>
      </w:r>
      <w:r>
        <w:rPr>
          <w:rFonts w:hint="eastAsia" w:ascii="仿宋_GB2312" w:hAnsi="仿宋" w:eastAsia="仿宋_GB2312"/>
          <w:color w:val="auto"/>
          <w:kern w:val="0"/>
          <w:sz w:val="24"/>
          <w:lang w:val="zh-CN"/>
        </w:rPr>
        <w:t>应在合同签订后3个工作日内</w:t>
      </w:r>
      <w:r>
        <w:rPr>
          <w:rFonts w:hint="eastAsia" w:ascii="仿宋_GB2312" w:hAnsi="楷体" w:eastAsia="仿宋_GB2312"/>
          <w:color w:val="auto"/>
          <w:sz w:val="24"/>
        </w:rPr>
        <w:t>，以支票、汇票、本票或者金融机构、担保机构出具的保函等非现金形式，提交合同价</w:t>
      </w:r>
      <w:r>
        <w:rPr>
          <w:rFonts w:hint="eastAsia" w:ascii="仿宋_GB2312" w:hAnsi="楷体" w:eastAsia="仿宋_GB2312"/>
          <w:color w:val="auto"/>
          <w:sz w:val="24"/>
          <w:u w:val="single"/>
        </w:rPr>
        <w:t xml:space="preserve">  </w:t>
      </w:r>
      <w:r>
        <w:rPr>
          <w:rFonts w:hint="eastAsia" w:ascii="仿宋_GB2312" w:hAnsi="楷体" w:eastAsia="仿宋_GB2312"/>
          <w:color w:val="auto"/>
          <w:sz w:val="24"/>
        </w:rPr>
        <w:t>%（不超过10%）的履约保证金；</w:t>
      </w:r>
    </w:p>
    <w:p>
      <w:pPr>
        <w:spacing w:line="360" w:lineRule="auto"/>
        <w:ind w:firstLine="480" w:firstLineChars="200"/>
        <w:rPr>
          <w:rFonts w:ascii="仿宋_GB2312" w:hAnsi="楷体" w:eastAsia="仿宋_GB2312"/>
          <w:color w:val="auto"/>
          <w:sz w:val="24"/>
        </w:rPr>
      </w:pPr>
      <w:r>
        <w:rPr>
          <w:rFonts w:hint="eastAsia" w:ascii="仿宋_GB2312" w:hAnsi="楷体" w:eastAsia="仿宋_GB2312"/>
          <w:color w:val="auto"/>
          <w:sz w:val="24"/>
        </w:rPr>
        <w:t>2.21.2  履约保证金在</w:t>
      </w:r>
      <w:r>
        <w:rPr>
          <w:rFonts w:hint="eastAsia" w:ascii="仿宋_GB2312" w:hAnsi="楷体" w:eastAsia="仿宋_GB2312"/>
          <w:color w:val="auto"/>
          <w:sz w:val="24"/>
          <w:u w:val="single"/>
        </w:rPr>
        <w:t>合同有效期</w:t>
      </w:r>
      <w:r>
        <w:rPr>
          <w:rFonts w:hint="eastAsia" w:ascii="仿宋_GB2312" w:hAnsi="楷体" w:eastAsia="仿宋_GB2312"/>
          <w:color w:val="auto"/>
          <w:sz w:val="24"/>
        </w:rPr>
        <w:t>内或者标的物质量保证期内不予退还或者应完全有效，前述约定期间届满或者标的物质量保证期届满之日起</w:t>
      </w:r>
      <w:r>
        <w:rPr>
          <w:rFonts w:hint="eastAsia" w:ascii="仿宋_GB2312" w:hAnsi="楷体" w:eastAsia="仿宋_GB2312"/>
          <w:color w:val="auto"/>
          <w:sz w:val="24"/>
          <w:u w:val="single"/>
        </w:rPr>
        <w:t xml:space="preserve">  </w:t>
      </w:r>
      <w:r>
        <w:rPr>
          <w:rFonts w:hint="eastAsia" w:ascii="仿宋_GB2312" w:hAnsi="楷体" w:eastAsia="仿宋_GB2312"/>
          <w:color w:val="auto"/>
          <w:sz w:val="24"/>
        </w:rPr>
        <w:t>个工作日内，甲方应将履约保证金退还乙方；</w:t>
      </w:r>
    </w:p>
    <w:p>
      <w:pPr>
        <w:spacing w:line="360" w:lineRule="auto"/>
        <w:ind w:firstLine="480" w:firstLineChars="200"/>
        <w:rPr>
          <w:rFonts w:ascii="仿宋_GB2312" w:hAnsi="楷体" w:eastAsia="仿宋_GB2312"/>
          <w:sz w:val="24"/>
        </w:rPr>
      </w:pPr>
      <w:r>
        <w:rPr>
          <w:rFonts w:hint="eastAsia" w:ascii="仿宋_GB2312" w:hAnsi="楷体" w:eastAsia="仿宋_GB2312"/>
          <w:color w:val="auto"/>
          <w:sz w:val="24"/>
        </w:rPr>
        <w:t>2.21.3 如果乙方不履行合同，履约保证金不予退还；如果乙方未能按合同约定全面履行义务，那么甲方有权从履约保证金中取得补偿或赔偿，同时不影响甲方要求乙</w:t>
      </w:r>
      <w:r>
        <w:rPr>
          <w:rFonts w:hint="eastAsia" w:ascii="仿宋_GB2312" w:hAnsi="楷体" w:eastAsia="仿宋_GB2312"/>
          <w:sz w:val="24"/>
        </w:rPr>
        <w:t>方承担合同约定的超过履约保证金的违约责任的权利。</w:t>
      </w:r>
    </w:p>
    <w:bookmarkEnd w:id="1069"/>
    <w:p>
      <w:pPr>
        <w:spacing w:line="360" w:lineRule="auto"/>
        <w:ind w:firstLine="482" w:firstLineChars="200"/>
        <w:outlineLvl w:val="0"/>
        <w:rPr>
          <w:rFonts w:ascii="仿宋_GB2312" w:hAnsi="楷体" w:eastAsia="仿宋_GB2312"/>
          <w:b/>
          <w:sz w:val="24"/>
        </w:rPr>
      </w:pPr>
      <w:bookmarkStart w:id="1070" w:name="_Toc19890"/>
      <w:bookmarkStart w:id="1071" w:name="_Toc6885"/>
      <w:bookmarkStart w:id="1072" w:name="_Toc14001"/>
      <w:r>
        <w:rPr>
          <w:rFonts w:hint="eastAsia" w:ascii="仿宋_GB2312" w:hAnsi="楷体" w:eastAsia="仿宋_GB2312"/>
          <w:b/>
          <w:sz w:val="24"/>
        </w:rPr>
        <w:t>2.22 合同份数</w:t>
      </w:r>
      <w:bookmarkEnd w:id="1070"/>
      <w:bookmarkEnd w:id="1071"/>
      <w:bookmarkEnd w:id="1072"/>
    </w:p>
    <w:p>
      <w:pPr>
        <w:spacing w:line="360" w:lineRule="auto"/>
        <w:ind w:firstLine="480" w:firstLineChars="200"/>
        <w:rPr>
          <w:rFonts w:ascii="仿宋_GB2312" w:hAnsi="楷体" w:eastAsia="仿宋_GB2312"/>
          <w:sz w:val="24"/>
        </w:rPr>
      </w:pPr>
      <w:r>
        <w:rPr>
          <w:rFonts w:hint="eastAsia" w:ascii="仿宋_GB2312" w:hAnsi="宋体" w:eastAsia="仿宋_GB2312"/>
          <w:sz w:val="24"/>
        </w:rPr>
        <w:t>本合同一式</w:t>
      </w:r>
      <w:r>
        <w:rPr>
          <w:rFonts w:hint="eastAsia" w:ascii="仿宋_GB2312" w:hAnsi="宋体" w:eastAsia="仿宋_GB2312"/>
          <w:sz w:val="24"/>
          <w:u w:val="single"/>
        </w:rPr>
        <w:t xml:space="preserve">   </w:t>
      </w:r>
      <w:r>
        <w:rPr>
          <w:rFonts w:hint="eastAsia" w:ascii="仿宋_GB2312" w:hAnsi="宋体" w:eastAsia="仿宋_GB2312"/>
          <w:sz w:val="24"/>
        </w:rPr>
        <w:t>份，甲方执</w:t>
      </w:r>
      <w:r>
        <w:rPr>
          <w:rFonts w:hint="eastAsia" w:ascii="仿宋_GB2312" w:hAnsi="宋体" w:eastAsia="仿宋_GB2312"/>
          <w:sz w:val="24"/>
          <w:u w:val="single"/>
        </w:rPr>
        <w:t xml:space="preserve">   </w:t>
      </w:r>
      <w:r>
        <w:rPr>
          <w:rFonts w:hint="eastAsia" w:ascii="仿宋_GB2312" w:hAnsi="宋体" w:eastAsia="仿宋_GB2312"/>
          <w:sz w:val="24"/>
        </w:rPr>
        <w:t>份，乙方执</w:t>
      </w:r>
      <w:r>
        <w:rPr>
          <w:rFonts w:hint="eastAsia" w:ascii="仿宋_GB2312" w:hAnsi="宋体" w:eastAsia="仿宋_GB2312"/>
          <w:sz w:val="24"/>
          <w:u w:val="single"/>
        </w:rPr>
        <w:t xml:space="preserve">   </w:t>
      </w:r>
      <w:r>
        <w:rPr>
          <w:rFonts w:hint="eastAsia" w:ascii="仿宋_GB2312" w:hAnsi="宋体" w:eastAsia="仿宋_GB2312"/>
          <w:sz w:val="24"/>
        </w:rPr>
        <w:t>份。</w:t>
      </w:r>
      <w:r>
        <w:rPr>
          <w:rFonts w:hint="eastAsia" w:ascii="仿宋_GB2312" w:hAnsi="楷体" w:eastAsia="仿宋_GB2312"/>
          <w:sz w:val="24"/>
        </w:rPr>
        <w:t>每份均具有同等法律效力。</w:t>
      </w:r>
    </w:p>
    <w:p>
      <w:pPr>
        <w:pStyle w:val="330"/>
        <w:jc w:val="center"/>
        <w:rPr>
          <w:rFonts w:ascii="仿宋_GB2312" w:hAnsi="楷体" w:eastAsia="仿宋_GB2312"/>
          <w:b/>
          <w:szCs w:val="24"/>
        </w:rPr>
      </w:pPr>
      <w:r>
        <w:rPr>
          <w:rFonts w:hint="eastAsia" w:ascii="仿宋_GB2312" w:hAnsi="楷体" w:eastAsia="仿宋_GB2312"/>
          <w:szCs w:val="24"/>
        </w:rPr>
        <w:br w:type="page"/>
      </w:r>
      <w:bookmarkStart w:id="1073" w:name="_Toc331685784"/>
      <w:r>
        <w:rPr>
          <w:rFonts w:hint="eastAsia" w:ascii="仿宋_GB2312" w:hAnsi="楷体" w:eastAsia="仿宋_GB2312"/>
          <w:b/>
          <w:szCs w:val="24"/>
        </w:rPr>
        <w:t xml:space="preserve">第三部分  </w:t>
      </w:r>
      <w:r>
        <w:rPr>
          <w:rFonts w:hint="eastAsia" w:ascii="仿宋_GB2312" w:hAnsi="仿宋" w:eastAsia="仿宋_GB2312"/>
          <w:b/>
          <w:color w:val="000000"/>
        </w:rPr>
        <w:t>※</w:t>
      </w:r>
      <w:r>
        <w:rPr>
          <w:rFonts w:hint="eastAsia" w:ascii="仿宋_GB2312" w:hAnsi="楷体" w:eastAsia="仿宋_GB2312"/>
          <w:b/>
          <w:szCs w:val="24"/>
        </w:rPr>
        <w:t>合同专用条款</w:t>
      </w:r>
      <w:bookmarkEnd w:id="1073"/>
    </w:p>
    <w:tbl>
      <w:tblPr>
        <w:tblStyle w:val="62"/>
        <w:tblW w:w="499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65"/>
        <w:gridCol w:w="825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74" w:type="pct"/>
            <w:tcBorders>
              <w:left w:val="single" w:color="auto" w:sz="4" w:space="0"/>
            </w:tcBorders>
            <w:vAlign w:val="center"/>
          </w:tcPr>
          <w:p>
            <w:pPr>
              <w:spacing w:line="360" w:lineRule="auto"/>
              <w:jc w:val="center"/>
              <w:rPr>
                <w:rFonts w:ascii="仿宋_GB2312" w:hAnsi="楷体" w:eastAsia="仿宋_GB2312"/>
                <w:b/>
                <w:sz w:val="24"/>
              </w:rPr>
            </w:pPr>
            <w:r>
              <w:rPr>
                <w:rFonts w:hint="eastAsia" w:ascii="仿宋_GB2312" w:hAnsi="楷体" w:eastAsia="仿宋_GB2312"/>
                <w:b/>
                <w:sz w:val="24"/>
              </w:rPr>
              <w:t>条款号</w:t>
            </w:r>
          </w:p>
        </w:tc>
        <w:tc>
          <w:tcPr>
            <w:tcW w:w="4525" w:type="pct"/>
            <w:vAlign w:val="center"/>
          </w:tcPr>
          <w:p>
            <w:pPr>
              <w:spacing w:line="360" w:lineRule="auto"/>
              <w:jc w:val="center"/>
              <w:rPr>
                <w:rFonts w:ascii="仿宋_GB2312" w:hAnsi="楷体" w:eastAsia="仿宋_GB2312"/>
                <w:b/>
                <w:sz w:val="24"/>
              </w:rPr>
            </w:pPr>
            <w:r>
              <w:rPr>
                <w:rFonts w:hint="eastAsia" w:ascii="仿宋_GB2312" w:hAnsi="楷体" w:eastAsia="仿宋_GB2312"/>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4" w:type="pct"/>
            <w:tcBorders>
              <w:left w:val="single" w:color="auto" w:sz="4" w:space="0"/>
            </w:tcBorders>
            <w:vAlign w:val="center"/>
          </w:tcPr>
          <w:p>
            <w:pPr>
              <w:spacing w:line="360" w:lineRule="auto"/>
              <w:rPr>
                <w:rFonts w:ascii="仿宋_GB2312" w:hAnsi="楷体" w:eastAsia="仿宋_GB2312"/>
                <w:sz w:val="24"/>
              </w:rPr>
            </w:pPr>
          </w:p>
        </w:tc>
        <w:tc>
          <w:tcPr>
            <w:tcW w:w="4525" w:type="pct"/>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4" w:type="pct"/>
            <w:tcBorders>
              <w:top w:val="single" w:color="auto" w:sz="6" w:space="0"/>
              <w:left w:val="single" w:color="auto" w:sz="4" w:space="0"/>
              <w:bottom w:val="single" w:color="auto" w:sz="6" w:space="0"/>
              <w:right w:val="single" w:color="auto" w:sz="6" w:space="0"/>
            </w:tcBorders>
            <w:vAlign w:val="center"/>
          </w:tcPr>
          <w:p>
            <w:pPr>
              <w:spacing w:line="360" w:lineRule="auto"/>
              <w:rPr>
                <w:rFonts w:ascii="仿宋_GB2312" w:hAnsi="楷体" w:eastAsia="仿宋_GB2312"/>
                <w:sz w:val="24"/>
              </w:rPr>
            </w:pPr>
          </w:p>
        </w:tc>
        <w:tc>
          <w:tcPr>
            <w:tcW w:w="4525" w:type="pct"/>
            <w:tcBorders>
              <w:top w:val="single" w:color="auto" w:sz="6" w:space="0"/>
              <w:left w:val="single" w:color="auto" w:sz="6" w:space="0"/>
              <w:bottom w:val="single" w:color="auto" w:sz="6" w:space="0"/>
              <w:right w:val="single" w:color="auto" w:sz="6" w:space="0"/>
            </w:tcBorders>
            <w:vAlign w:val="center"/>
          </w:tcPr>
          <w:p>
            <w:pPr>
              <w:spacing w:line="360" w:lineRule="auto"/>
              <w:rPr>
                <w:rFonts w:ascii="仿宋_GB2312" w:hAnsi="楷体" w:eastAsia="仿宋_GB2312"/>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4" w:type="pct"/>
            <w:tcBorders>
              <w:top w:val="single" w:color="auto" w:sz="6" w:space="0"/>
              <w:left w:val="single" w:color="auto" w:sz="4" w:space="0"/>
              <w:bottom w:val="single" w:color="auto" w:sz="6" w:space="0"/>
              <w:right w:val="single" w:color="auto" w:sz="6" w:space="0"/>
            </w:tcBorders>
            <w:vAlign w:val="center"/>
          </w:tcPr>
          <w:p>
            <w:pPr>
              <w:spacing w:line="360" w:lineRule="auto"/>
              <w:rPr>
                <w:rFonts w:ascii="仿宋_GB2312" w:hAnsi="楷体" w:eastAsia="仿宋_GB2312"/>
                <w:sz w:val="24"/>
              </w:rPr>
            </w:pPr>
          </w:p>
        </w:tc>
        <w:tc>
          <w:tcPr>
            <w:tcW w:w="4525" w:type="pct"/>
            <w:tcBorders>
              <w:top w:val="single" w:color="auto" w:sz="6" w:space="0"/>
              <w:left w:val="single" w:color="auto" w:sz="6" w:space="0"/>
              <w:bottom w:val="single" w:color="auto" w:sz="6" w:space="0"/>
              <w:right w:val="single" w:color="auto" w:sz="6" w:space="0"/>
            </w:tcBorders>
            <w:vAlign w:val="center"/>
          </w:tcPr>
          <w:p>
            <w:pPr>
              <w:spacing w:line="360" w:lineRule="auto"/>
              <w:rPr>
                <w:rFonts w:ascii="仿宋_GB2312" w:hAnsi="楷体" w:eastAsia="仿宋_GB2312"/>
                <w:sz w:val="24"/>
              </w:rPr>
            </w:pPr>
          </w:p>
        </w:tc>
      </w:tr>
    </w:tbl>
    <w:p>
      <w:pPr>
        <w:spacing w:line="360" w:lineRule="auto"/>
        <w:rPr>
          <w:rFonts w:ascii="仿宋_GB2312" w:hAnsi="仿宋" w:eastAsia="仿宋_GB2312" w:cs="仿宋_GB2312"/>
          <w:sz w:val="24"/>
        </w:rPr>
      </w:pPr>
    </w:p>
    <w:p>
      <w:pPr>
        <w:widowControl/>
        <w:jc w:val="left"/>
        <w:rPr>
          <w:rFonts w:ascii="仿宋_GB2312" w:hAnsi="仿宋_GB2312" w:eastAsia="仿宋_GB2312" w:cs="仿宋_GB2312"/>
          <w:b/>
          <w:sz w:val="24"/>
        </w:rPr>
      </w:pPr>
    </w:p>
    <w:p>
      <w:pPr>
        <w:widowControl/>
        <w:jc w:val="left"/>
        <w:rPr>
          <w:rFonts w:ascii="仿宋_GB2312" w:hAnsi="仿宋_GB2312" w:eastAsia="仿宋_GB2312" w:cs="仿宋_GB2312"/>
          <w:b/>
          <w:sz w:val="24"/>
        </w:rPr>
      </w:pPr>
    </w:p>
    <w:p>
      <w:pPr>
        <w:widowControl/>
        <w:jc w:val="left"/>
        <w:rPr>
          <w:rFonts w:ascii="仿宋_GB2312" w:hAnsi="仿宋_GB2312" w:eastAsia="仿宋_GB2312" w:cs="仿宋_GB2312"/>
          <w:b/>
          <w:sz w:val="36"/>
          <w:szCs w:val="20"/>
        </w:rPr>
      </w:pPr>
      <w:r>
        <w:rPr>
          <w:rFonts w:hint="eastAsia" w:ascii="仿宋_GB2312" w:hAnsi="仿宋_GB2312" w:eastAsia="仿宋_GB2312" w:cs="仿宋_GB2312"/>
          <w:b/>
          <w:sz w:val="36"/>
          <w:szCs w:val="20"/>
        </w:rPr>
        <w:br w:type="page"/>
      </w:r>
    </w:p>
    <w:p>
      <w:pPr>
        <w:widowControl/>
        <w:ind w:firstLine="1446" w:firstLineChars="400"/>
        <w:jc w:val="center"/>
        <w:rPr>
          <w:rFonts w:ascii="仿宋_GB2312" w:hAnsi="仿宋" w:eastAsia="仿宋_GB2312" w:cs="仿宋_GB2312"/>
          <w:b/>
          <w:sz w:val="36"/>
          <w:szCs w:val="20"/>
        </w:rPr>
      </w:pPr>
      <w:r>
        <w:rPr>
          <w:rFonts w:hint="eastAsia" w:ascii="仿宋_GB2312" w:hAnsi="仿宋" w:eastAsia="仿宋_GB2312" w:cs="仿宋_GB2312"/>
          <w:b/>
          <w:sz w:val="36"/>
          <w:szCs w:val="20"/>
        </w:rPr>
        <w:t>第六部分</w:t>
      </w:r>
      <w:bookmarkEnd w:id="912"/>
      <w:r>
        <w:rPr>
          <w:rFonts w:hint="eastAsia" w:ascii="仿宋_GB2312" w:hAnsi="仿宋" w:eastAsia="仿宋_GB2312" w:cs="仿宋_GB2312"/>
          <w:b/>
          <w:sz w:val="36"/>
          <w:szCs w:val="20"/>
        </w:rPr>
        <w:t xml:space="preserve"> </w:t>
      </w:r>
      <w:bookmarkEnd w:id="913"/>
      <w:r>
        <w:rPr>
          <w:rFonts w:hint="eastAsia" w:ascii="仿宋_GB2312" w:hAnsi="仿宋" w:eastAsia="仿宋_GB2312" w:cs="仿宋_GB2312"/>
          <w:b/>
          <w:sz w:val="36"/>
          <w:szCs w:val="20"/>
        </w:rPr>
        <w:t>应提交的有关格式范例</w:t>
      </w:r>
    </w:p>
    <w:p>
      <w:pPr>
        <w:adjustRightInd w:val="0"/>
        <w:spacing w:line="360" w:lineRule="auto"/>
        <w:ind w:firstLine="480" w:firstLineChars="200"/>
        <w:outlineLvl w:val="0"/>
        <w:rPr>
          <w:rFonts w:ascii="仿宋_GB2312" w:hAnsi="仿宋" w:eastAsia="仿宋_GB2312" w:cs="仿宋_GB2312"/>
          <w:sz w:val="24"/>
          <w:szCs w:val="24"/>
        </w:rPr>
      </w:pPr>
      <w:r>
        <w:rPr>
          <w:rFonts w:hint="eastAsia" w:ascii="仿宋_GB2312" w:hAnsi="仿宋" w:eastAsia="仿宋_GB2312" w:cs="仿宋_GB2312"/>
          <w:sz w:val="24"/>
          <w:szCs w:val="24"/>
        </w:rPr>
        <w:t>投标人按照以下格式编制投标文件。</w:t>
      </w:r>
    </w:p>
    <w:p>
      <w:pPr>
        <w:adjustRightInd w:val="0"/>
        <w:spacing w:line="360" w:lineRule="auto"/>
        <w:jc w:val="center"/>
        <w:outlineLvl w:val="0"/>
        <w:rPr>
          <w:rFonts w:ascii="仿宋_GB2312" w:hAnsi="仿宋" w:eastAsia="仿宋_GB2312" w:cs="仿宋_GB2312"/>
          <w:sz w:val="36"/>
          <w:szCs w:val="36"/>
          <w:lang w:val="zh-CN"/>
        </w:rPr>
      </w:pPr>
    </w:p>
    <w:p>
      <w:pPr>
        <w:adjustRightInd w:val="0"/>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sz w:val="36"/>
          <w:szCs w:val="36"/>
          <w:lang w:val="zh-CN"/>
        </w:rPr>
        <w:t xml:space="preserve"> </w:t>
      </w:r>
      <w:r>
        <w:rPr>
          <w:rFonts w:hint="eastAsia" w:ascii="仿宋_GB2312" w:hAnsi="仿宋" w:eastAsia="仿宋_GB2312" w:cs="仿宋_GB2312"/>
          <w:b/>
          <w:kern w:val="0"/>
          <w:sz w:val="36"/>
          <w:szCs w:val="36"/>
        </w:rPr>
        <w:t>资格文件部分</w:t>
      </w:r>
    </w:p>
    <w:p>
      <w:pPr>
        <w:adjustRightInd w:val="0"/>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adjustRightInd w:val="0"/>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rPr>
        <w:t>（1）</w:t>
      </w:r>
      <w:r>
        <w:rPr>
          <w:rFonts w:hint="eastAsia" w:ascii="仿宋_GB2312" w:hAnsi="仿宋" w:eastAsia="仿宋_GB2312" w:cs="Times New Roman"/>
          <w:sz w:val="24"/>
          <w:szCs w:val="24"/>
        </w:rPr>
        <w:t>营业执照(或事业法人登记证或其他工商等登记证明材料)复印件（投标人为自然人的，须提供</w:t>
      </w:r>
      <w:r>
        <w:rPr>
          <w:rFonts w:hint="eastAsia" w:ascii="仿宋_GB2312" w:hAnsi="仿宋" w:eastAsia="仿宋_GB2312" w:cs="Helvetica"/>
          <w:kern w:val="0"/>
          <w:sz w:val="24"/>
          <w:szCs w:val="24"/>
        </w:rPr>
        <w:t>自然人的身份证明</w:t>
      </w:r>
      <w:r>
        <w:rPr>
          <w:rFonts w:hint="eastAsia" w:ascii="仿宋_GB2312" w:hAnsi="仿宋" w:eastAsia="仿宋_GB2312" w:cs="Times New Roman"/>
          <w:sz w:val="24"/>
          <w:szCs w:val="24"/>
        </w:rPr>
        <w:t>）</w:t>
      </w:r>
      <w:r>
        <w:rPr>
          <w:rFonts w:hint="eastAsia" w:ascii="仿宋_GB2312" w:hAnsi="仿宋" w:eastAsia="仿宋_GB2312" w:cs="仿宋_GB2312"/>
          <w:kern w:val="0"/>
          <w:sz w:val="24"/>
          <w:szCs w:val="24"/>
        </w:rPr>
        <w:t>…………………………………………………（页码）</w:t>
      </w:r>
    </w:p>
    <w:p>
      <w:pPr>
        <w:snapToGrid w:val="0"/>
        <w:spacing w:line="360" w:lineRule="auto"/>
        <w:rPr>
          <w:rFonts w:ascii="仿宋_GB2312" w:hAnsi="仿宋" w:eastAsia="仿宋_GB2312"/>
          <w:sz w:val="24"/>
        </w:rPr>
      </w:pPr>
      <w:r>
        <w:rPr>
          <w:rFonts w:hint="eastAsia" w:ascii="仿宋_GB2312" w:hAnsi="仿宋" w:eastAsia="仿宋_GB2312"/>
          <w:sz w:val="24"/>
        </w:rPr>
        <w:t>（2）授权书 ……………………………………………………………………………（页码）</w:t>
      </w:r>
    </w:p>
    <w:p>
      <w:pPr>
        <w:snapToGrid w:val="0"/>
        <w:spacing w:line="360" w:lineRule="auto"/>
        <w:rPr>
          <w:rFonts w:ascii="仿宋_GB2312" w:hAnsi="仿宋" w:eastAsia="仿宋_GB2312"/>
          <w:sz w:val="24"/>
        </w:rPr>
      </w:pPr>
      <w:r>
        <w:rPr>
          <w:rFonts w:hint="eastAsia" w:ascii="仿宋_GB2312" w:hAnsi="仿宋" w:eastAsia="仿宋_GB2312"/>
          <w:sz w:val="24"/>
        </w:rPr>
        <w:t>（3）法定代表人及其授权代表的身份证（复印件）………………………………（页码）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kern w:val="0"/>
          <w:sz w:val="24"/>
        </w:rPr>
        <w:t>（4）符合参与政府采购活动的资格条件并且没有税收缴纳、社会保障等方面的失信记录的承诺函…</w:t>
      </w:r>
      <w:r>
        <w:rPr>
          <w:rFonts w:hint="eastAsia" w:ascii="仿宋_GB2312" w:hAnsi="仿宋" w:eastAsia="仿宋_GB2312"/>
          <w:sz w:val="24"/>
        </w:rPr>
        <w:t>…………………………………………………………………………</w:t>
      </w:r>
      <w:r>
        <w:rPr>
          <w:rFonts w:hint="eastAsia" w:ascii="仿宋_GB2312" w:hAnsi="仿宋" w:eastAsia="仿宋_GB2312" w:cs="仿宋_GB2312"/>
          <w:kern w:val="0"/>
          <w:sz w:val="24"/>
        </w:rPr>
        <w:t>（页码）</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rPr>
        <w:t>（5）具有履行合同所必需的设备和专业技术能力的承诺函………………………（页码）</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（6）参加政府采购活动前三年内，在经营活动中没有重大违法记录的声明</w:t>
      </w:r>
      <w:r>
        <w:rPr>
          <w:rFonts w:hint="eastAsia" w:ascii="仿宋_GB2312" w:hAnsi="仿宋" w:eastAsia="仿宋_GB2312" w:cs="仿宋_GB2312"/>
          <w:kern w:val="0"/>
          <w:sz w:val="24"/>
        </w:rPr>
        <w:t xml:space="preserve"> …（页码）</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（7）具有良好商业信誉特别声明</w:t>
      </w:r>
      <w:r>
        <w:rPr>
          <w:rFonts w:hint="eastAsia" w:ascii="仿宋_GB2312" w:hAnsi="仿宋" w:eastAsia="仿宋_GB2312" w:cs="仿宋_GB2312"/>
          <w:kern w:val="0"/>
          <w:sz w:val="24"/>
        </w:rPr>
        <w:t>……………………………………………………（页码）</w:t>
      </w:r>
    </w:p>
    <w:p>
      <w:pPr>
        <w:snapToGrid w:val="0"/>
        <w:spacing w:line="360" w:lineRule="auto"/>
        <w:rPr>
          <w:rFonts w:hint="eastAsia" w:ascii="仿宋_GB2312" w:hAnsi="仿宋" w:eastAsia="仿宋_GB2312" w:cs="仿宋_GB2312"/>
          <w:kern w:val="0"/>
          <w:sz w:val="24"/>
        </w:rPr>
      </w:pPr>
      <w:r>
        <w:rPr>
          <w:rFonts w:hint="eastAsia" w:ascii="仿宋_GB2312" w:hAnsi="仿宋" w:eastAsia="仿宋_GB2312" w:cs="仿宋_GB2312"/>
          <w:kern w:val="0"/>
          <w:sz w:val="24"/>
        </w:rPr>
        <w:t>（8）</w:t>
      </w:r>
      <w:r>
        <w:rPr>
          <w:rFonts w:hint="eastAsia" w:ascii="仿宋_GB2312" w:hAnsi="仿宋" w:eastAsia="仿宋_GB2312" w:cs="仿宋_GB2312"/>
          <w:sz w:val="24"/>
        </w:rPr>
        <w:t>符合特定资格条件（如果项目要求）的有关证明材料（复印件）</w:t>
      </w:r>
      <w:r>
        <w:rPr>
          <w:rFonts w:hint="eastAsia" w:ascii="仿宋_GB2312" w:hAnsi="仿宋" w:eastAsia="仿宋_GB2312" w:cs="仿宋_GB2312"/>
          <w:kern w:val="0"/>
          <w:sz w:val="24"/>
        </w:rPr>
        <w:t>…………（页码）</w:t>
      </w:r>
    </w:p>
    <w:p>
      <w:pPr>
        <w:snapToGrid w:val="0"/>
        <w:spacing w:line="360" w:lineRule="auto"/>
        <w:rPr>
          <w:rFonts w:hint="eastAsia" w:ascii="仿宋_GB2312" w:hAnsi="仿宋" w:eastAsia="仿宋_GB2312" w:cs="仿宋_GB2312"/>
          <w:sz w:val="24"/>
        </w:rPr>
      </w:pPr>
      <w:r>
        <w:rPr>
          <w:rFonts w:hint="eastAsia" w:ascii="仿宋" w:hAnsi="仿宋" w:eastAsia="仿宋" w:cs="仿宋_GB2312"/>
          <w:kern w:val="0"/>
          <w:sz w:val="24"/>
        </w:rPr>
        <w:t>（</w:t>
      </w:r>
      <w:r>
        <w:rPr>
          <w:rFonts w:hint="eastAsia" w:ascii="仿宋_GB2312" w:hAnsi="仿宋" w:eastAsia="仿宋_GB2312" w:cs="仿宋_GB2312"/>
          <w:sz w:val="24"/>
          <w:lang w:val="en-US" w:eastAsia="zh-CN"/>
        </w:rPr>
        <w:t>9</w:t>
      </w:r>
      <w:r>
        <w:rPr>
          <w:rFonts w:hint="eastAsia" w:ascii="仿宋_GB2312" w:hAnsi="仿宋" w:eastAsia="仿宋_GB2312" w:cs="仿宋_GB2312"/>
          <w:sz w:val="24"/>
        </w:rPr>
        <w:t>）以联合体形式投标的，提供联合体协议；本项目不接受联合体投标或者投标人不以联合体形式投标的，则不需要提供…………………………………………………（页码）</w:t>
      </w:r>
    </w:p>
    <w:p>
      <w:pPr>
        <w:adjustRightInd w:val="0"/>
        <w:snapToGrid w:val="0"/>
        <w:spacing w:line="360" w:lineRule="auto"/>
        <w:rPr>
          <w:rFonts w:ascii="仿宋_GB2312" w:hAnsi="仿宋" w:eastAsia="仿宋_GB2312" w:cs="仿宋_GB2312"/>
          <w:color w:val="FF0000"/>
          <w:kern w:val="0"/>
          <w:sz w:val="24"/>
          <w:szCs w:val="24"/>
        </w:rPr>
      </w:pPr>
    </w:p>
    <w:p>
      <w:pPr>
        <w:pStyle w:val="2"/>
        <w:rPr>
          <w:rFonts w:ascii="仿宋_GB2312" w:hAnsi="仿宋" w:eastAsia="仿宋_GB2312" w:cs="仿宋_GB2312"/>
          <w:color w:val="FF0000"/>
          <w:kern w:val="0"/>
          <w:sz w:val="24"/>
          <w:szCs w:val="24"/>
        </w:rPr>
      </w:pPr>
    </w:p>
    <w:p>
      <w:pPr>
        <w:rPr>
          <w:rFonts w:ascii="仿宋_GB2312" w:hAnsi="仿宋" w:eastAsia="仿宋_GB2312" w:cs="仿宋_GB2312"/>
          <w:color w:val="FF0000"/>
          <w:kern w:val="0"/>
          <w:sz w:val="24"/>
          <w:szCs w:val="24"/>
        </w:rPr>
      </w:pPr>
    </w:p>
    <w:p>
      <w:pPr>
        <w:pStyle w:val="2"/>
        <w:rPr>
          <w:rFonts w:ascii="仿宋_GB2312" w:hAnsi="仿宋" w:eastAsia="仿宋_GB2312" w:cs="仿宋_GB2312"/>
          <w:color w:val="FF0000"/>
          <w:kern w:val="0"/>
          <w:sz w:val="24"/>
          <w:szCs w:val="24"/>
        </w:rPr>
      </w:pPr>
    </w:p>
    <w:p>
      <w:pPr>
        <w:rPr>
          <w:rFonts w:ascii="仿宋_GB2312" w:hAnsi="仿宋" w:eastAsia="仿宋_GB2312" w:cs="仿宋_GB2312"/>
          <w:color w:val="FF0000"/>
          <w:kern w:val="0"/>
          <w:sz w:val="24"/>
          <w:szCs w:val="24"/>
        </w:rPr>
      </w:pPr>
    </w:p>
    <w:p>
      <w:pPr>
        <w:pStyle w:val="2"/>
        <w:rPr>
          <w:rFonts w:ascii="仿宋_GB2312" w:hAnsi="仿宋" w:eastAsia="仿宋_GB2312" w:cs="仿宋_GB2312"/>
          <w:color w:val="FF0000"/>
          <w:kern w:val="0"/>
          <w:sz w:val="24"/>
          <w:szCs w:val="24"/>
        </w:rPr>
      </w:pPr>
    </w:p>
    <w:p>
      <w:pPr>
        <w:rPr>
          <w:rFonts w:ascii="仿宋_GB2312" w:hAnsi="仿宋" w:eastAsia="仿宋_GB2312" w:cs="仿宋_GB2312"/>
          <w:color w:val="FF0000"/>
          <w:kern w:val="0"/>
          <w:sz w:val="24"/>
          <w:szCs w:val="24"/>
        </w:rPr>
      </w:pPr>
    </w:p>
    <w:p>
      <w:pPr>
        <w:pStyle w:val="2"/>
      </w:pPr>
    </w:p>
    <w:p>
      <w:pPr>
        <w:adjustRightInd w:val="0"/>
        <w:spacing w:line="360" w:lineRule="auto"/>
        <w:rPr>
          <w:rFonts w:ascii="仿宋_GB2312" w:hAnsi="仿宋" w:eastAsia="仿宋_GB2312" w:cs="Times New Roman"/>
          <w:sz w:val="24"/>
          <w:szCs w:val="24"/>
        </w:rPr>
      </w:pPr>
    </w:p>
    <w:p>
      <w:pPr>
        <w:adjustRightInd w:val="0"/>
        <w:snapToGrid w:val="0"/>
        <w:spacing w:line="360" w:lineRule="auto"/>
        <w:rPr>
          <w:rFonts w:ascii="仿宋_GB2312" w:hAnsi="仿宋" w:eastAsia="仿宋_GB2312" w:cs="仿宋_GB2312"/>
          <w:b/>
          <w:kern w:val="0"/>
          <w:sz w:val="32"/>
          <w:szCs w:val="32"/>
          <w:lang w:val="zh-CN"/>
        </w:rPr>
      </w:pPr>
    </w:p>
    <w:p>
      <w:pPr>
        <w:adjustRightInd w:val="0"/>
        <w:snapToGrid w:val="0"/>
        <w:spacing w:line="360" w:lineRule="auto"/>
        <w:jc w:val="left"/>
        <w:rPr>
          <w:rFonts w:ascii="仿宋_GB2312" w:hAnsi="仿宋" w:eastAsia="仿宋_GB2312" w:cs="仿宋_GB2312"/>
          <w:b/>
          <w:sz w:val="30"/>
          <w:szCs w:val="30"/>
        </w:rPr>
      </w:pPr>
      <w:r>
        <w:rPr>
          <w:rFonts w:hint="eastAsia" w:ascii="仿宋_GB2312" w:hAnsi="仿宋" w:eastAsia="仿宋_GB2312" w:cs="仿宋_GB2312"/>
          <w:b/>
          <w:kern w:val="0"/>
          <w:sz w:val="32"/>
          <w:szCs w:val="32"/>
          <w:lang w:val="zh-CN"/>
        </w:rPr>
        <w:t>一、</w:t>
      </w:r>
      <w:r>
        <w:rPr>
          <w:rFonts w:hint="eastAsia" w:ascii="仿宋_GB2312" w:hAnsi="仿宋" w:eastAsia="仿宋_GB2312" w:cs="仿宋_GB2312"/>
          <w:b/>
          <w:sz w:val="30"/>
          <w:szCs w:val="30"/>
        </w:rPr>
        <w:t>营业执照或事业法人登记证证明材料（复印件）</w:t>
      </w:r>
    </w:p>
    <w:p>
      <w:pPr>
        <w:adjustRightInd w:val="0"/>
        <w:spacing w:line="360" w:lineRule="auto"/>
        <w:jc w:val="center"/>
        <w:rPr>
          <w:rFonts w:ascii="仿宋_GB2312" w:hAnsi="仿宋" w:eastAsia="仿宋_GB2312" w:cs="仿宋_GB2312"/>
          <w:b/>
          <w:sz w:val="30"/>
          <w:szCs w:val="30"/>
        </w:rPr>
      </w:pPr>
    </w:p>
    <w:p>
      <w:pPr>
        <w:adjustRightInd w:val="0"/>
        <w:snapToGrid w:val="0"/>
        <w:spacing w:line="360" w:lineRule="auto"/>
        <w:ind w:firstLine="576"/>
        <w:jc w:val="center"/>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 xml:space="preserve">               投标人名称(电子签名)：                              </w:t>
      </w:r>
    </w:p>
    <w:p>
      <w:pPr>
        <w:adjustRightInd w:val="0"/>
        <w:spacing w:line="360" w:lineRule="auto"/>
        <w:jc w:val="center"/>
        <w:rPr>
          <w:rFonts w:ascii="仿宋_GB2312" w:hAnsi="仿宋" w:eastAsia="仿宋_GB2312" w:cs="仿宋_GB2312"/>
          <w:b/>
          <w:sz w:val="30"/>
          <w:szCs w:val="30"/>
        </w:rPr>
      </w:pPr>
      <w:r>
        <w:rPr>
          <w:rFonts w:hint="eastAsia" w:ascii="仿宋_GB2312" w:hAnsi="仿宋" w:eastAsia="仿宋_GB2312" w:cs="仿宋_GB2312"/>
          <w:kern w:val="0"/>
          <w:sz w:val="24"/>
          <w:szCs w:val="24"/>
          <w:lang w:val="zh-CN"/>
        </w:rPr>
        <w:t xml:space="preserve">                   日期：  年  月   日</w:t>
      </w:r>
    </w:p>
    <w:p>
      <w:pPr>
        <w:spacing w:line="360" w:lineRule="auto"/>
        <w:jc w:val="center"/>
        <w:rPr>
          <w:rFonts w:ascii="仿宋_GB2312" w:hAnsi="仿宋" w:eastAsia="仿宋_GB2312" w:cs="仿宋_GB2312"/>
          <w:b/>
          <w:sz w:val="30"/>
          <w:szCs w:val="30"/>
        </w:rPr>
      </w:pPr>
    </w:p>
    <w:p>
      <w:pPr>
        <w:pStyle w:val="78"/>
        <w:rPr>
          <w:rFonts w:ascii="仿宋_GB2312" w:hAnsi="仿宋" w:eastAsia="仿宋_GB2312" w:cs="仿宋_GB2312"/>
          <w:b/>
          <w:sz w:val="30"/>
          <w:szCs w:val="30"/>
        </w:rPr>
      </w:pPr>
    </w:p>
    <w:p>
      <w:pPr>
        <w:pStyle w:val="78"/>
        <w:rPr>
          <w:rFonts w:ascii="仿宋_GB2312" w:hAnsi="仿宋" w:eastAsia="仿宋_GB2312" w:cs="仿宋_GB2312"/>
          <w:b/>
          <w:sz w:val="30"/>
          <w:szCs w:val="30"/>
        </w:rPr>
      </w:pPr>
    </w:p>
    <w:p>
      <w:pPr>
        <w:pStyle w:val="78"/>
        <w:rPr>
          <w:rFonts w:ascii="仿宋_GB2312" w:hAnsi="仿宋" w:eastAsia="仿宋_GB2312" w:cs="仿宋_GB2312"/>
          <w:b/>
          <w:sz w:val="30"/>
          <w:szCs w:val="30"/>
        </w:rPr>
      </w:pPr>
    </w:p>
    <w:p>
      <w:pPr>
        <w:snapToGrid w:val="0"/>
        <w:spacing w:line="360" w:lineRule="auto"/>
        <w:ind w:firstLine="2570" w:firstLineChars="800"/>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二、法人授权书</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XXX（采购人名称）、杭州市公共资源交易中心</w:t>
      </w:r>
      <w:r>
        <w:rPr>
          <w:rFonts w:hint="eastAsia" w:ascii="仿宋_GB2312" w:hAnsi="仿宋" w:eastAsia="仿宋_GB2312" w:cs="仿宋_GB2312"/>
          <w:sz w:val="24"/>
          <w:lang w:eastAsia="zh-CN"/>
        </w:rPr>
        <w:t>临安分</w:t>
      </w:r>
      <w:r>
        <w:rPr>
          <w:rFonts w:hint="eastAsia" w:ascii="仿宋_GB2312" w:hAnsi="仿宋" w:eastAsia="仿宋_GB2312" w:cs="仿宋_GB2312"/>
          <w:sz w:val="24"/>
        </w:rPr>
        <w:t>中心</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lang w:val="zh-CN"/>
        </w:rPr>
        <w:t>兹委派我公司</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先生/女士(其在本公司的职务是：</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 xml:space="preserve"> ，联系电话：</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传真：</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)，代表我公司全权处理</w:t>
      </w:r>
      <w:r>
        <w:rPr>
          <w:rFonts w:hint="eastAsia" w:ascii="仿宋_GB2312" w:hAnsi="仿宋_GB2312" w:eastAsia="仿宋_GB2312" w:cs="仿宋_GB2312"/>
          <w:sz w:val="24"/>
          <w:szCs w:val="24"/>
          <w:lang w:eastAsia="zh-CN"/>
        </w:rPr>
        <w:t>项目名称：</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u w:val="single"/>
          <w:lang w:val="en-US" w:eastAsia="zh-CN"/>
        </w:rPr>
        <w:t xml:space="preserve">   </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【招标编号：</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】政府采购投标的一切事项，若中标则全权代表本公司签订相关合同，并负责处理合同履行等事宜。</w:t>
      </w:r>
    </w:p>
    <w:p>
      <w:pPr>
        <w:snapToGrid w:val="0"/>
        <w:spacing w:line="360" w:lineRule="auto"/>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本授权书有效期：自   年 月  日起至  年  月  日止。</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 xml:space="preserve">    特此告知。</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 xml:space="preserve">                                                  投标人名称(电子签名)：</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 xml:space="preserve">                                                </w:t>
      </w:r>
      <w:r>
        <w:rPr>
          <w:rFonts w:hint="eastAsia" w:ascii="仿宋_GB2312" w:hAnsi="仿宋" w:eastAsia="仿宋_GB2312" w:cs="仿宋_GB2312"/>
          <w:kern w:val="0"/>
          <w:sz w:val="24"/>
          <w:lang w:val="en-US" w:eastAsia="zh-CN"/>
        </w:rPr>
        <w:t xml:space="preserve">  法定代表人（签章）</w:t>
      </w:r>
      <w:r>
        <w:rPr>
          <w:rFonts w:hint="eastAsia" w:ascii="仿宋_GB2312" w:hAnsi="仿宋" w:eastAsia="仿宋_GB2312" w:cs="仿宋_GB2312"/>
          <w:kern w:val="0"/>
          <w:sz w:val="24"/>
          <w:lang w:val="zh-CN"/>
        </w:rPr>
        <w:t>：</w:t>
      </w:r>
    </w:p>
    <w:p>
      <w:pPr>
        <w:snapToGrid w:val="0"/>
        <w:spacing w:line="360" w:lineRule="auto"/>
        <w:ind w:right="240"/>
        <w:jc w:val="right"/>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签发日期：  年  月   日</w:t>
      </w: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pStyle w:val="932"/>
        <w:numPr>
          <w:ilvl w:val="0"/>
          <w:numId w:val="0"/>
        </w:numPr>
        <w:jc w:val="both"/>
        <w:rPr>
          <w:rFonts w:hint="eastAsia" w:ascii="仿宋" w:hAnsi="仿宋" w:eastAsia="仿宋" w:cs="仿宋_GB2312"/>
          <w:b/>
          <w:sz w:val="36"/>
          <w:szCs w:val="36"/>
        </w:rPr>
      </w:pPr>
    </w:p>
    <w:p>
      <w:pPr>
        <w:pStyle w:val="932"/>
        <w:numPr>
          <w:ilvl w:val="0"/>
          <w:numId w:val="0"/>
        </w:numPr>
        <w:jc w:val="both"/>
        <w:rPr>
          <w:rFonts w:hint="eastAsia" w:ascii="仿宋" w:hAnsi="仿宋" w:eastAsia="仿宋" w:cs="仿宋_GB2312"/>
          <w:b/>
          <w:sz w:val="36"/>
          <w:szCs w:val="36"/>
        </w:rPr>
      </w:pPr>
    </w:p>
    <w:p>
      <w:pPr>
        <w:pStyle w:val="932"/>
        <w:numPr>
          <w:ilvl w:val="0"/>
          <w:numId w:val="0"/>
        </w:numPr>
        <w:jc w:val="both"/>
        <w:rPr>
          <w:rFonts w:hint="eastAsia" w:ascii="仿宋" w:hAnsi="仿宋" w:eastAsia="仿宋" w:cs="仿宋_GB2312"/>
          <w:b/>
          <w:sz w:val="36"/>
          <w:szCs w:val="36"/>
        </w:rPr>
      </w:pPr>
    </w:p>
    <w:p>
      <w:pPr>
        <w:pStyle w:val="932"/>
        <w:numPr>
          <w:ilvl w:val="0"/>
          <w:numId w:val="0"/>
        </w:numPr>
        <w:jc w:val="both"/>
        <w:rPr>
          <w:rFonts w:hint="eastAsia" w:ascii="仿宋" w:hAnsi="仿宋" w:eastAsia="仿宋" w:cs="仿宋_GB2312"/>
          <w:b/>
          <w:sz w:val="36"/>
          <w:szCs w:val="36"/>
        </w:rPr>
      </w:pPr>
    </w:p>
    <w:p>
      <w:pPr>
        <w:pStyle w:val="932"/>
        <w:numPr>
          <w:ilvl w:val="0"/>
          <w:numId w:val="0"/>
        </w:numPr>
        <w:jc w:val="both"/>
        <w:rPr>
          <w:rFonts w:hint="eastAsia" w:ascii="仿宋" w:hAnsi="仿宋" w:eastAsia="仿宋" w:cs="仿宋_GB2312"/>
          <w:b/>
          <w:sz w:val="36"/>
          <w:szCs w:val="36"/>
        </w:rPr>
      </w:pPr>
    </w:p>
    <w:p>
      <w:pPr>
        <w:pStyle w:val="932"/>
        <w:numPr>
          <w:ilvl w:val="0"/>
          <w:numId w:val="0"/>
        </w:numPr>
        <w:jc w:val="both"/>
        <w:rPr>
          <w:rFonts w:hint="eastAsia" w:ascii="仿宋" w:hAnsi="仿宋" w:eastAsia="仿宋" w:cs="仿宋_GB2312"/>
          <w:b/>
          <w:sz w:val="36"/>
          <w:szCs w:val="36"/>
        </w:rPr>
      </w:pPr>
    </w:p>
    <w:p>
      <w:pPr>
        <w:snapToGrid w:val="0"/>
        <w:spacing w:line="360" w:lineRule="auto"/>
        <w:jc w:val="center"/>
        <w:rPr>
          <w:rFonts w:hint="eastAsia"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 xml:space="preserve"> 联合体投标授权书（适用联合体投标）</w:t>
      </w:r>
    </w:p>
    <w:p>
      <w:pPr>
        <w:snapToGrid w:val="0"/>
        <w:spacing w:line="360" w:lineRule="auto"/>
        <w:ind w:firstLine="576"/>
        <w:rPr>
          <w:rFonts w:hint="eastAsia" w:ascii="仿宋_GB2312" w:hAnsi="仿宋" w:eastAsia="仿宋_GB2312" w:cs="仿宋_GB2312"/>
          <w:kern w:val="0"/>
          <w:sz w:val="24"/>
        </w:rPr>
      </w:pPr>
      <w:r>
        <w:rPr>
          <w:rFonts w:hint="eastAsia" w:ascii="仿宋_GB2312" w:hAnsi="仿宋" w:eastAsia="仿宋_GB2312" w:cs="仿宋_GB2312"/>
          <w:kern w:val="0"/>
          <w:sz w:val="24"/>
          <w:lang w:val="zh-CN"/>
        </w:rPr>
        <w:t>兹委派</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公司</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先生/女士(其在该公司的职务是：</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 xml:space="preserve"> ，联系电话：</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传真：</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公司</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先生/女士(其在该公司的职务是：</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 xml:space="preserve"> ，联系电话：</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传真：</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)；……，代表本联合体全权处理</w:t>
      </w:r>
      <w:r>
        <w:rPr>
          <w:rFonts w:hint="eastAsia" w:ascii="仿宋_GB2312" w:hAnsi="仿宋_GB2312" w:eastAsia="仿宋_GB2312" w:cs="仿宋_GB2312"/>
          <w:sz w:val="24"/>
          <w:szCs w:val="24"/>
          <w:lang w:eastAsia="zh-CN"/>
        </w:rPr>
        <w:t>项目名称：</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u w:val="single"/>
          <w:lang w:val="en-US" w:eastAsia="zh-CN"/>
        </w:rPr>
        <w:t xml:space="preserve">   </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【招标编号：</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】政府采购投标的一切事项，若中标则全权代表本联合体签订相关合同，并负责处理合同履行等事宜。</w:t>
      </w:r>
    </w:p>
    <w:p>
      <w:pPr>
        <w:snapToGrid w:val="0"/>
        <w:spacing w:line="360" w:lineRule="auto"/>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本授权书有效期：自   年 月  日起至  年  月  日止。</w:t>
      </w:r>
    </w:p>
    <w:p>
      <w:pPr>
        <w:snapToGrid w:val="0"/>
        <w:spacing w:line="360" w:lineRule="auto"/>
        <w:rPr>
          <w:rFonts w:hint="eastAsia" w:ascii="仿宋_GB2312" w:hAnsi="仿宋" w:eastAsia="仿宋_GB2312" w:cs="仿宋_GB2312"/>
          <w:kern w:val="0"/>
          <w:sz w:val="24"/>
        </w:rPr>
      </w:pPr>
      <w:r>
        <w:rPr>
          <w:rFonts w:hint="eastAsia" w:ascii="仿宋_GB2312" w:hAnsi="仿宋" w:eastAsia="仿宋_GB2312" w:cs="仿宋_GB2312"/>
          <w:kern w:val="0"/>
          <w:sz w:val="24"/>
          <w:lang w:val="zh-CN"/>
        </w:rPr>
        <w:t xml:space="preserve">    特此告知。</w:t>
      </w:r>
    </w:p>
    <w:p>
      <w:pPr>
        <w:snapToGrid w:val="0"/>
        <w:spacing w:line="360" w:lineRule="auto"/>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w:t>
      </w:r>
    </w:p>
    <w:p>
      <w:pPr>
        <w:snapToGrid w:val="0"/>
        <w:spacing w:line="360" w:lineRule="auto"/>
        <w:ind w:firstLine="576"/>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单位：            （电子签名）         单位：          （电子签名）</w:t>
      </w:r>
    </w:p>
    <w:p>
      <w:pPr>
        <w:snapToGrid w:val="0"/>
        <w:spacing w:line="360" w:lineRule="auto"/>
        <w:ind w:firstLine="576"/>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日期：    年   月   日             日期：    年   月   日</w:t>
      </w:r>
    </w:p>
    <w:p>
      <w:pPr>
        <w:snapToGrid w:val="0"/>
        <w:spacing w:line="360" w:lineRule="auto"/>
        <w:ind w:firstLine="576"/>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w:t>
      </w:r>
    </w:p>
    <w:p>
      <w:pPr>
        <w:spacing w:line="360" w:lineRule="auto"/>
        <w:rPr>
          <w:rFonts w:hint="eastAsia" w:ascii="仿宋_GB2312" w:hAnsi="仿宋" w:eastAsia="仿宋_GB2312" w:cs="仿宋_GB2312"/>
          <w:sz w:val="28"/>
          <w:szCs w:val="28"/>
        </w:rPr>
      </w:pPr>
    </w:p>
    <w:p>
      <w:pPr>
        <w:spacing w:line="360" w:lineRule="auto"/>
        <w:rPr>
          <w:rFonts w:hint="eastAsia" w:ascii="仿宋_GB2312" w:hAnsi="仿宋" w:eastAsia="仿宋_GB2312" w:cs="仿宋_GB2312"/>
          <w:sz w:val="28"/>
          <w:szCs w:val="28"/>
        </w:rPr>
      </w:pPr>
    </w:p>
    <w:p>
      <w:pPr>
        <w:autoSpaceDE w:val="0"/>
        <w:autoSpaceDN w:val="0"/>
        <w:spacing w:line="360" w:lineRule="auto"/>
        <w:jc w:val="center"/>
        <w:rPr>
          <w:rFonts w:ascii="仿宋_GB2312" w:hAnsi="仿宋" w:eastAsia="仿宋_GB2312" w:cs="仿宋_GB2312"/>
          <w:sz w:val="24"/>
        </w:rPr>
      </w:pPr>
      <w:r>
        <w:rPr>
          <w:rFonts w:hint="eastAsia" w:ascii="仿宋_GB2312" w:hAnsi="仿宋" w:eastAsia="仿宋_GB2312" w:cs="仿宋_GB2312"/>
          <w:b/>
          <w:bCs/>
          <w:sz w:val="30"/>
          <w:szCs w:val="30"/>
        </w:rPr>
        <w:br w:type="page"/>
      </w:r>
      <w:r>
        <w:rPr>
          <w:rFonts w:hint="eastAsia" w:ascii="仿宋_GB2312" w:hAnsi="仿宋" w:eastAsia="仿宋_GB2312" w:cs="仿宋_GB2312"/>
          <w:b/>
          <w:bCs/>
          <w:sz w:val="30"/>
          <w:szCs w:val="30"/>
        </w:rPr>
        <w:t>三、</w:t>
      </w:r>
      <w:r>
        <w:rPr>
          <w:rFonts w:hint="eastAsia" w:ascii="仿宋_GB2312" w:hAnsi="仿宋" w:eastAsia="仿宋_GB2312" w:cs="仿宋_GB2312"/>
          <w:b/>
          <w:sz w:val="30"/>
          <w:szCs w:val="30"/>
        </w:rPr>
        <w:t>法定代表人及其授权代表的身份证（复印件）</w:t>
      </w:r>
    </w:p>
    <w:p>
      <w:pPr>
        <w:pStyle w:val="646"/>
        <w:spacing w:line="360" w:lineRule="auto"/>
        <w:rPr>
          <w:rFonts w:ascii="仿宋_GB2312" w:hAnsi="仿宋" w:eastAsia="仿宋_GB2312"/>
          <w:bCs/>
          <w:sz w:val="24"/>
        </w:rPr>
      </w:pPr>
      <w:r>
        <w:rPr>
          <w:rFonts w:hint="eastAsia" w:ascii="仿宋_GB2312" w:hAnsi="仿宋" w:eastAsia="仿宋_GB2312"/>
          <w:bCs/>
          <w:sz w:val="24"/>
        </w:rPr>
        <w:t>法定代表人身份证件扫描件：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646"/>
              <w:spacing w:line="360" w:lineRule="auto"/>
              <w:rPr>
                <w:rFonts w:ascii="仿宋_GB2312" w:hAnsi="仿宋" w:eastAsia="仿宋_GB2312"/>
                <w:bCs/>
                <w:sz w:val="24"/>
              </w:rPr>
            </w:pPr>
            <w:r>
              <w:rPr>
                <w:rFonts w:hint="eastAsia" w:ascii="仿宋_GB2312" w:hAnsi="仿宋" w:eastAsia="仿宋_GB2312"/>
                <w:bCs/>
                <w:sz w:val="24"/>
              </w:rPr>
              <w:t>正面：                                 反面：</w:t>
            </w:r>
          </w:p>
          <w:p>
            <w:pPr>
              <w:pStyle w:val="646"/>
              <w:spacing w:line="360" w:lineRule="auto"/>
              <w:rPr>
                <w:rFonts w:ascii="仿宋_GB2312" w:hAnsi="仿宋" w:eastAsia="仿宋_GB2312"/>
                <w:bCs/>
                <w:sz w:val="24"/>
              </w:rPr>
            </w:pPr>
          </w:p>
        </w:tc>
      </w:tr>
    </w:tbl>
    <w:p>
      <w:pPr>
        <w:pStyle w:val="646"/>
        <w:spacing w:line="360" w:lineRule="auto"/>
        <w:rPr>
          <w:rFonts w:ascii="仿宋_GB2312" w:hAnsi="仿宋" w:eastAsia="仿宋_GB2312"/>
          <w:bCs/>
          <w:sz w:val="24"/>
        </w:rPr>
      </w:pPr>
      <w:r>
        <w:rPr>
          <w:rFonts w:hint="eastAsia" w:ascii="仿宋_GB2312" w:hAnsi="仿宋" w:eastAsia="仿宋_GB2312"/>
          <w:bCs/>
          <w:sz w:val="24"/>
        </w:rPr>
        <w:t>授权代表身份证件扫描件：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646"/>
              <w:spacing w:line="360" w:lineRule="auto"/>
              <w:rPr>
                <w:rFonts w:ascii="仿宋_GB2312" w:hAnsi="仿宋" w:eastAsia="仿宋_GB2312"/>
                <w:bCs/>
                <w:sz w:val="24"/>
              </w:rPr>
            </w:pPr>
            <w:r>
              <w:rPr>
                <w:rFonts w:hint="eastAsia" w:ascii="仿宋_GB2312" w:hAnsi="仿宋" w:eastAsia="仿宋_GB2312"/>
                <w:bCs/>
                <w:sz w:val="24"/>
              </w:rPr>
              <w:t>正面：                                 反面：</w:t>
            </w:r>
          </w:p>
          <w:p>
            <w:pPr>
              <w:pStyle w:val="646"/>
              <w:spacing w:line="360" w:lineRule="auto"/>
              <w:rPr>
                <w:rFonts w:ascii="仿宋_GB2312" w:hAnsi="仿宋" w:eastAsia="仿宋_GB2312"/>
                <w:bCs/>
                <w:sz w:val="24"/>
              </w:rPr>
            </w:pPr>
          </w:p>
        </w:tc>
      </w:tr>
    </w:tbl>
    <w:p>
      <w:pPr>
        <w:snapToGrid w:val="0"/>
        <w:spacing w:line="360" w:lineRule="auto"/>
        <w:ind w:firstLine="576"/>
        <w:jc w:val="center"/>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w:t>
      </w:r>
    </w:p>
    <w:p>
      <w:pPr>
        <w:snapToGrid w:val="0"/>
        <w:spacing w:line="360" w:lineRule="auto"/>
        <w:ind w:firstLine="576"/>
        <w:jc w:val="center"/>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投标人名称(电子签名)：                              </w:t>
      </w:r>
    </w:p>
    <w:p>
      <w:pPr>
        <w:spacing w:line="360" w:lineRule="auto"/>
        <w:jc w:val="center"/>
        <w:rPr>
          <w:rFonts w:hint="default" w:ascii="仿宋_GB2312" w:hAnsi="仿宋" w:eastAsia="仿宋_GB2312" w:cs="仿宋_GB2312"/>
          <w:kern w:val="0"/>
          <w:sz w:val="24"/>
          <w:lang w:val="en-US" w:eastAsia="zh-CN"/>
        </w:rPr>
      </w:pPr>
      <w:r>
        <w:rPr>
          <w:rFonts w:hint="eastAsia" w:ascii="仿宋_GB2312" w:hAnsi="仿宋" w:eastAsia="仿宋_GB2312" w:cs="仿宋_GB2312"/>
          <w:kern w:val="0"/>
          <w:sz w:val="24"/>
          <w:lang w:val="zh-CN"/>
        </w:rPr>
        <w:t xml:space="preserve">                   日期：  年  月</w:t>
      </w:r>
      <w:r>
        <w:rPr>
          <w:rFonts w:hint="eastAsia" w:ascii="仿宋_GB2312" w:hAnsi="仿宋" w:eastAsia="仿宋_GB2312" w:cs="仿宋_GB2312"/>
          <w:kern w:val="0"/>
          <w:sz w:val="24"/>
          <w:lang w:val="en-US" w:eastAsia="zh-CN"/>
        </w:rPr>
        <w:t xml:space="preserve">  日</w:t>
      </w:r>
    </w:p>
    <w:p>
      <w:pPr>
        <w:pStyle w:val="932"/>
        <w:numPr>
          <w:ilvl w:val="0"/>
          <w:numId w:val="0"/>
        </w:numPr>
        <w:jc w:val="both"/>
        <w:rPr>
          <w:rFonts w:hint="eastAsia" w:ascii="仿宋" w:hAnsi="仿宋" w:eastAsia="仿宋" w:cs="仿宋_GB2312"/>
          <w:b/>
          <w:sz w:val="36"/>
          <w:szCs w:val="36"/>
        </w:rPr>
      </w:pPr>
    </w:p>
    <w:p>
      <w:pPr>
        <w:pStyle w:val="932"/>
        <w:numPr>
          <w:ilvl w:val="0"/>
          <w:numId w:val="0"/>
        </w:numPr>
        <w:jc w:val="both"/>
        <w:rPr>
          <w:rFonts w:hint="eastAsia" w:ascii="仿宋" w:hAnsi="仿宋" w:eastAsia="仿宋" w:cs="仿宋_GB2312"/>
          <w:b/>
          <w:sz w:val="36"/>
          <w:szCs w:val="36"/>
        </w:rPr>
      </w:pPr>
    </w:p>
    <w:p>
      <w:pPr>
        <w:pStyle w:val="932"/>
        <w:numPr>
          <w:ilvl w:val="0"/>
          <w:numId w:val="0"/>
        </w:numPr>
        <w:jc w:val="both"/>
        <w:rPr>
          <w:rFonts w:hint="eastAsia" w:ascii="仿宋" w:hAnsi="仿宋" w:eastAsia="仿宋" w:cs="仿宋_GB2312"/>
          <w:b/>
          <w:sz w:val="36"/>
          <w:szCs w:val="36"/>
        </w:rPr>
      </w:pPr>
    </w:p>
    <w:p>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sz w:val="30"/>
          <w:szCs w:val="30"/>
        </w:rPr>
        <w:t>四、</w:t>
      </w:r>
      <w:r>
        <w:rPr>
          <w:rFonts w:hint="eastAsia" w:ascii="仿宋_GB2312" w:hAnsi="仿宋" w:eastAsia="仿宋_GB2312" w:cs="仿宋_GB2312"/>
          <w:b/>
          <w:kern w:val="0"/>
          <w:sz w:val="32"/>
          <w:szCs w:val="32"/>
        </w:rPr>
        <w:t>符合参与政府采购活动的资格条件并且没有税收缴纳、社会保障等方面的失信记录的承诺函</w:t>
      </w:r>
    </w:p>
    <w:p>
      <w:pPr>
        <w:snapToGrid w:val="0"/>
        <w:spacing w:line="360" w:lineRule="auto"/>
        <w:rPr>
          <w:rFonts w:ascii="仿宋_GB2312" w:hAnsi="仿宋" w:eastAsia="仿宋_GB2312" w:cs="仿宋_GB2312"/>
          <w:sz w:val="24"/>
          <w:szCs w:val="24"/>
        </w:rPr>
      </w:pPr>
      <w:r>
        <w:rPr>
          <w:rFonts w:hint="eastAsia" w:ascii="仿宋_GB2312" w:hAnsi="仿宋" w:eastAsia="仿宋_GB2312" w:cs="仿宋_GB2312"/>
          <w:sz w:val="24"/>
        </w:rPr>
        <w:t>XXX（采购人名称）、杭州市公共资源交易中心</w:t>
      </w:r>
      <w:r>
        <w:rPr>
          <w:rFonts w:hint="eastAsia" w:ascii="仿宋_GB2312" w:hAnsi="仿宋" w:eastAsia="仿宋_GB2312" w:cs="仿宋_GB2312"/>
          <w:sz w:val="24"/>
          <w:lang w:eastAsia="zh-CN"/>
        </w:rPr>
        <w:t>临安</w:t>
      </w:r>
      <w:r>
        <w:rPr>
          <w:rFonts w:hint="eastAsia" w:ascii="仿宋_GB2312" w:hAnsi="仿宋" w:eastAsia="仿宋_GB2312" w:cs="仿宋_GB2312"/>
          <w:sz w:val="24"/>
        </w:rPr>
        <w:t>分中心：</w:t>
      </w:r>
    </w:p>
    <w:p>
      <w:pPr>
        <w:adjustRightInd w:val="0"/>
        <w:spacing w:line="360" w:lineRule="auto"/>
        <w:ind w:firstLine="480" w:firstLineChars="200"/>
        <w:rPr>
          <w:rFonts w:hint="eastAsia" w:ascii="仿宋_GB2312" w:hAnsi="仿宋" w:eastAsia="仿宋_GB2312" w:cs="仿宋_GB2312"/>
          <w:kern w:val="0"/>
          <w:sz w:val="24"/>
          <w:szCs w:val="24"/>
          <w:lang w:val="en-US" w:eastAsia="zh-CN"/>
        </w:rPr>
      </w:pPr>
      <w:r>
        <w:rPr>
          <w:rFonts w:hint="eastAsia" w:ascii="仿宋_GB2312" w:hAnsi="仿宋" w:eastAsia="仿宋_GB2312" w:cs="仿宋_GB2312"/>
          <w:sz w:val="24"/>
        </w:rPr>
        <w:t>我方郑重承诺，我方符合参与</w:t>
      </w:r>
      <w:r>
        <w:rPr>
          <w:rFonts w:hint="eastAsia" w:ascii="仿宋_GB2312" w:hAnsi="仿宋_GB2312" w:eastAsia="仿宋_GB2312" w:cs="仿宋_GB2312"/>
          <w:sz w:val="24"/>
          <w:szCs w:val="24"/>
          <w:lang w:eastAsia="zh-CN"/>
        </w:rPr>
        <w:t>项目名称：</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u w:val="single"/>
          <w:lang w:val="en-US" w:eastAsia="zh-CN"/>
        </w:rPr>
        <w:t xml:space="preserve">   </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【招标编号：</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w:t>
      </w:r>
      <w:r>
        <w:rPr>
          <w:rFonts w:hint="eastAsia" w:ascii="仿宋_GB2312" w:hAnsi="仿宋" w:eastAsia="仿宋_GB2312" w:cs="仿宋_GB2312"/>
          <w:sz w:val="24"/>
        </w:rPr>
        <w:t>政府采购活动的资格条件并且没有税收缴纳、社会保障等方面的失信记录。</w:t>
      </w:r>
      <w:r>
        <w:rPr>
          <w:rFonts w:hint="eastAsia" w:ascii="仿宋_GB2312" w:hAnsi="仿宋" w:eastAsia="仿宋_GB2312" w:cs="仿宋_GB2312"/>
          <w:kern w:val="0"/>
          <w:sz w:val="24"/>
          <w:szCs w:val="24"/>
          <w:lang w:val="zh-CN"/>
        </w:rPr>
        <w:t xml:space="preserve">          </w:t>
      </w:r>
      <w:r>
        <w:rPr>
          <w:rFonts w:hint="eastAsia" w:ascii="仿宋_GB2312" w:hAnsi="仿宋" w:eastAsia="仿宋_GB2312" w:cs="仿宋_GB2312"/>
          <w:kern w:val="0"/>
          <w:sz w:val="24"/>
          <w:szCs w:val="24"/>
          <w:lang w:val="en-US" w:eastAsia="zh-CN"/>
        </w:rPr>
        <w:t xml:space="preserve">                  </w:t>
      </w:r>
    </w:p>
    <w:p>
      <w:pPr>
        <w:adjustRightInd w:val="0"/>
        <w:spacing w:line="360" w:lineRule="auto"/>
        <w:ind w:firstLine="4560" w:firstLineChars="1900"/>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 xml:space="preserve">投标人名称(电子签名)：                              </w:t>
      </w:r>
    </w:p>
    <w:p>
      <w:pPr>
        <w:adjustRightInd w:val="0"/>
        <w:snapToGrid w:val="0"/>
        <w:spacing w:line="360" w:lineRule="auto"/>
        <w:ind w:right="480"/>
        <w:jc w:val="center"/>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 xml:space="preserve">                  </w:t>
      </w:r>
      <w:r>
        <w:rPr>
          <w:rFonts w:hint="eastAsia" w:ascii="仿宋_GB2312" w:hAnsi="仿宋" w:eastAsia="仿宋_GB2312" w:cs="仿宋_GB2312"/>
          <w:kern w:val="0"/>
          <w:sz w:val="24"/>
          <w:szCs w:val="24"/>
          <w:lang w:val="en-US" w:eastAsia="zh-CN"/>
        </w:rPr>
        <w:t xml:space="preserve">     </w:t>
      </w:r>
      <w:r>
        <w:rPr>
          <w:rFonts w:hint="eastAsia" w:ascii="仿宋_GB2312" w:hAnsi="仿宋" w:eastAsia="仿宋_GB2312" w:cs="仿宋_GB2312"/>
          <w:kern w:val="0"/>
          <w:sz w:val="24"/>
          <w:szCs w:val="24"/>
          <w:lang w:val="zh-CN"/>
        </w:rPr>
        <w:t xml:space="preserve"> 日期：  年  月   日</w:t>
      </w:r>
    </w:p>
    <w:p>
      <w:pPr>
        <w:snapToGrid w:val="0"/>
        <w:spacing w:line="360" w:lineRule="auto"/>
        <w:ind w:right="480"/>
        <w:jc w:val="center"/>
        <w:rPr>
          <w:rFonts w:hint="default" w:ascii="仿宋_GB2312" w:hAnsi="仿宋" w:eastAsia="仿宋_GB2312" w:cs="仿宋_GB2312"/>
          <w:kern w:val="0"/>
          <w:sz w:val="24"/>
          <w:lang w:val="en-US" w:eastAsia="zh-CN"/>
        </w:rPr>
      </w:pPr>
    </w:p>
    <w:p>
      <w:pPr>
        <w:snapToGrid w:val="0"/>
        <w:spacing w:line="360" w:lineRule="auto"/>
        <w:ind w:right="480"/>
        <w:jc w:val="center"/>
        <w:rPr>
          <w:rFonts w:ascii="仿宋_GB2312" w:hAnsi="仿宋" w:eastAsia="仿宋_GB2312" w:cs="仿宋_GB2312"/>
          <w:b/>
          <w:kern w:val="0"/>
          <w:sz w:val="32"/>
          <w:szCs w:val="32"/>
          <w:lang w:val="zh-CN"/>
        </w:rPr>
      </w:pPr>
    </w:p>
    <w:p>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五、具有履行合同所必需的设备和专业技术能力的承诺函</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XXX（采购人名称）、杭州市公共资源交易中心</w:t>
      </w:r>
      <w:r>
        <w:rPr>
          <w:rFonts w:hint="eastAsia" w:ascii="仿宋_GB2312" w:hAnsi="仿宋" w:eastAsia="仿宋_GB2312" w:cs="仿宋_GB2312"/>
          <w:sz w:val="24"/>
          <w:lang w:eastAsia="zh-CN"/>
        </w:rPr>
        <w:t>临安</w:t>
      </w:r>
      <w:r>
        <w:rPr>
          <w:rFonts w:hint="eastAsia" w:ascii="仿宋_GB2312" w:hAnsi="仿宋" w:eastAsia="仿宋_GB2312" w:cs="仿宋_GB2312"/>
          <w:sz w:val="24"/>
        </w:rPr>
        <w:t>分中心：</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我方郑重承诺，我方具有履行</w:t>
      </w:r>
      <w:r>
        <w:rPr>
          <w:rFonts w:hint="eastAsia" w:ascii="仿宋_GB2312" w:hAnsi="仿宋_GB2312" w:eastAsia="仿宋_GB2312" w:cs="仿宋_GB2312"/>
          <w:sz w:val="24"/>
          <w:szCs w:val="24"/>
          <w:lang w:eastAsia="zh-CN"/>
        </w:rPr>
        <w:t>项目名称：</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u w:val="single"/>
          <w:lang w:val="en-US" w:eastAsia="zh-CN"/>
        </w:rPr>
        <w:t xml:space="preserve">   </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【招标编号：</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w:t>
      </w:r>
      <w:r>
        <w:rPr>
          <w:rFonts w:hint="eastAsia" w:ascii="仿宋_GB2312" w:hAnsi="仿宋" w:eastAsia="仿宋_GB2312" w:cs="仿宋_GB2312"/>
          <w:sz w:val="24"/>
        </w:rPr>
        <w:t>合同所必需的设备和专业技术能力。如中标，我方将保证合同顺利履行。</w:t>
      </w:r>
    </w:p>
    <w:p>
      <w:pPr>
        <w:snapToGrid w:val="0"/>
        <w:spacing w:line="360" w:lineRule="auto"/>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w:t>
      </w:r>
    </w:p>
    <w:p>
      <w:pPr>
        <w:snapToGrid w:val="0"/>
        <w:spacing w:line="360" w:lineRule="auto"/>
        <w:ind w:firstLine="5040" w:firstLineChars="2100"/>
        <w:rPr>
          <w:rFonts w:ascii="仿宋_GB2312" w:hAnsi="仿宋" w:eastAsia="仿宋_GB2312" w:cs="仿宋_GB2312"/>
          <w:kern w:val="0"/>
          <w:sz w:val="24"/>
        </w:rPr>
      </w:pPr>
      <w:r>
        <w:rPr>
          <w:rFonts w:hint="eastAsia" w:ascii="仿宋_GB2312" w:hAnsi="仿宋" w:eastAsia="仿宋_GB2312" w:cs="仿宋_GB2312"/>
          <w:kern w:val="0"/>
          <w:sz w:val="24"/>
          <w:lang w:val="zh-CN"/>
        </w:rPr>
        <w:t xml:space="preserve"> 投标人名称(电子签名)：</w:t>
      </w:r>
    </w:p>
    <w:p>
      <w:pPr>
        <w:snapToGrid w:val="0"/>
        <w:spacing w:line="360" w:lineRule="auto"/>
        <w:ind w:firstLine="5160" w:firstLineChars="21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pacing w:line="360" w:lineRule="auto"/>
        <w:jc w:val="center"/>
        <w:rPr>
          <w:rFonts w:ascii="仿宋_GB2312" w:hAnsi="仿宋" w:eastAsia="仿宋_GB2312" w:cs="仿宋_GB2312"/>
          <w:b/>
          <w:kern w:val="0"/>
          <w:sz w:val="32"/>
          <w:szCs w:val="32"/>
        </w:rPr>
      </w:pPr>
    </w:p>
    <w:p>
      <w:pPr>
        <w:spacing w:line="360" w:lineRule="auto"/>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六、参加政府采购活动前三年内，在经营活动中</w:t>
      </w:r>
    </w:p>
    <w:p>
      <w:pPr>
        <w:spacing w:line="360" w:lineRule="auto"/>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rPr>
        <w:t>没有重大违法记录的声明</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XXX（采购人名称）、杭州市公共资源交易中心</w:t>
      </w:r>
      <w:r>
        <w:rPr>
          <w:rFonts w:hint="eastAsia" w:ascii="仿宋_GB2312" w:hAnsi="仿宋" w:eastAsia="仿宋_GB2312" w:cs="仿宋_GB2312"/>
          <w:sz w:val="24"/>
          <w:lang w:eastAsia="zh-CN"/>
        </w:rPr>
        <w:t>临安分</w:t>
      </w:r>
      <w:r>
        <w:rPr>
          <w:rFonts w:hint="eastAsia" w:ascii="仿宋_GB2312" w:hAnsi="仿宋" w:eastAsia="仿宋_GB2312" w:cs="仿宋_GB2312"/>
          <w:sz w:val="24"/>
        </w:rPr>
        <w:t>中心</w:t>
      </w:r>
      <w:r>
        <w:rPr>
          <w:rFonts w:hint="eastAsia" w:ascii="仿宋_GB2312" w:hAnsi="仿宋" w:eastAsia="仿宋_GB2312" w:cs="仿宋_GB2312"/>
          <w:kern w:val="0"/>
          <w:sz w:val="24"/>
          <w:lang w:val="zh-CN"/>
        </w:rPr>
        <w:t>：</w:t>
      </w:r>
    </w:p>
    <w:p>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kern w:val="0"/>
          <w:sz w:val="24"/>
          <w:lang w:val="zh-CN"/>
        </w:rPr>
        <w:t>我方</w:t>
      </w:r>
      <w:r>
        <w:rPr>
          <w:rFonts w:hint="eastAsia" w:ascii="仿宋_GB2312" w:hAnsi="仿宋" w:eastAsia="仿宋_GB2312" w:cs="仿宋_GB2312"/>
          <w:sz w:val="24"/>
        </w:rPr>
        <w:t>声明投标截止时间前三年，在</w:t>
      </w:r>
      <w:r>
        <w:rPr>
          <w:rFonts w:hint="eastAsia" w:ascii="仿宋_GB2312" w:hAnsi="仿宋" w:eastAsia="仿宋_GB2312" w:cs="仿宋_GB2312"/>
          <w:kern w:val="0"/>
          <w:sz w:val="24"/>
        </w:rPr>
        <w:t>经营活动中</w:t>
      </w:r>
      <w:r>
        <w:rPr>
          <w:rFonts w:hint="eastAsia" w:ascii="仿宋_GB2312" w:hAnsi="仿宋" w:eastAsia="仿宋_GB2312" w:cs="仿宋_GB2312"/>
          <w:sz w:val="24"/>
        </w:rPr>
        <w:t xml:space="preserve">没有重大违法记录。 </w:t>
      </w:r>
    </w:p>
    <w:p>
      <w:pPr>
        <w:spacing w:line="360" w:lineRule="auto"/>
        <w:ind w:firstLine="480" w:firstLineChars="200"/>
        <w:rPr>
          <w:rFonts w:ascii="仿宋_GB2312" w:hAnsi="仿宋" w:eastAsia="仿宋_GB2312" w:cs="仿宋_GB2312"/>
          <w:sz w:val="24"/>
        </w:rPr>
      </w:pP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 xml:space="preserve">                                           投标人名称(电子签名)：</w:t>
      </w:r>
    </w:p>
    <w:p>
      <w:pPr>
        <w:snapToGrid w:val="0"/>
        <w:spacing w:line="360" w:lineRule="auto"/>
        <w:rPr>
          <w:rFonts w:hint="eastAsia" w:ascii="仿宋_GB2312" w:hAnsi="仿宋" w:eastAsia="仿宋_GB2312" w:cs="仿宋_GB2312"/>
          <w:b/>
          <w:kern w:val="0"/>
          <w:sz w:val="32"/>
          <w:szCs w:val="32"/>
        </w:rPr>
      </w:pPr>
      <w:r>
        <w:rPr>
          <w:rFonts w:hint="eastAsia" w:ascii="仿宋_GB2312" w:hAnsi="仿宋" w:eastAsia="仿宋_GB2312" w:cs="仿宋_GB2312"/>
          <w:kern w:val="0"/>
          <w:sz w:val="24"/>
          <w:lang w:val="zh-CN"/>
        </w:rPr>
        <w:t xml:space="preserve">                                           日期</w:t>
      </w:r>
      <w:r>
        <w:rPr>
          <w:rFonts w:hint="eastAsia"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napToGrid w:val="0"/>
        <w:spacing w:line="360" w:lineRule="auto"/>
        <w:ind w:firstLine="1606" w:firstLineChars="5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七、具有良好商业信誉特别声明</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XXX（采购人名称）、杭州市公共资源交易中心</w:t>
      </w:r>
      <w:r>
        <w:rPr>
          <w:rFonts w:hint="eastAsia" w:ascii="仿宋_GB2312" w:hAnsi="仿宋" w:eastAsia="仿宋_GB2312" w:cs="仿宋_GB2312"/>
          <w:sz w:val="24"/>
          <w:lang w:eastAsia="zh-CN"/>
        </w:rPr>
        <w:t>临安</w:t>
      </w:r>
      <w:r>
        <w:rPr>
          <w:rFonts w:hint="eastAsia" w:ascii="仿宋_GB2312" w:hAnsi="仿宋" w:eastAsia="仿宋_GB2312" w:cs="仿宋_GB2312"/>
          <w:sz w:val="24"/>
        </w:rPr>
        <w:t>分中心</w:t>
      </w:r>
      <w:r>
        <w:rPr>
          <w:rFonts w:hint="eastAsia" w:ascii="仿宋_GB2312" w:hAnsi="仿宋" w:eastAsia="仿宋_GB2312" w:cs="仿宋_GB2312"/>
          <w:kern w:val="0"/>
          <w:sz w:val="24"/>
          <w:lang w:val="zh-CN"/>
        </w:rPr>
        <w:t>：</w:t>
      </w:r>
    </w:p>
    <w:p>
      <w:pPr>
        <w:snapToGrid w:val="0"/>
        <w:spacing w:line="360" w:lineRule="auto"/>
        <w:ind w:firstLine="480"/>
        <w:rPr>
          <w:rFonts w:ascii="仿宋_GB2312" w:hAnsi="仿宋" w:eastAsia="仿宋_GB2312" w:cs="仿宋_GB2312"/>
          <w:kern w:val="0"/>
          <w:sz w:val="24"/>
          <w:lang w:val="zh-CN"/>
        </w:rPr>
      </w:pPr>
      <w:r>
        <w:rPr>
          <w:rFonts w:hint="eastAsia" w:ascii="仿宋_GB2312" w:hAnsi="仿宋" w:eastAsia="仿宋_GB2312" w:cs="仿宋_GB2312"/>
          <w:sz w:val="24"/>
        </w:rPr>
        <w:t>截至投标截止时间，我方具有良好的商业信誉，不存在下列情形（包括但不限于）。否则，我方将承担在资格审查时不被通过的后果。</w:t>
      </w:r>
    </w:p>
    <w:p>
      <w:pPr>
        <w:pStyle w:val="232"/>
        <w:spacing w:before="0"/>
        <w:ind w:firstLine="495" w:firstLineChars="0"/>
        <w:rPr>
          <w:rFonts w:ascii="仿宋_GB2312" w:hAnsi="仿宋" w:eastAsia="仿宋_GB2312"/>
        </w:rPr>
      </w:pPr>
      <w:r>
        <w:rPr>
          <w:rFonts w:hint="eastAsia" w:ascii="仿宋_GB2312" w:hAnsi="仿宋" w:eastAsia="仿宋_GB2312"/>
        </w:rPr>
        <w:t>1</w:t>
      </w:r>
      <w:r>
        <w:rPr>
          <w:rFonts w:hint="eastAsia" w:ascii="仿宋_GB2312" w:hAnsi="仿宋" w:eastAsia="仿宋_GB2312" w:cs="仿宋_GB2312"/>
          <w:b/>
          <w:szCs w:val="24"/>
        </w:rPr>
        <w:t>、</w:t>
      </w:r>
      <w:r>
        <w:rPr>
          <w:rFonts w:hint="eastAsia" w:ascii="仿宋_GB2312" w:hAnsi="仿宋" w:eastAsia="仿宋_GB2312"/>
        </w:rPr>
        <w:t>按照招标文件规定的信用信息查询渠道及截止时间，经查询列入失信被执行人名单、重大税收违法案件当事人名单、政府采购严重违法失信行为记录名单；</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 xml:space="preserve">2、截至投标截止时间，因违反《浙江省政府采购供应商注册及诚信管理暂行办法》而被列入‘黑名单’，在处罚有效期内。 </w:t>
      </w:r>
    </w:p>
    <w:p>
      <w:pPr>
        <w:tabs>
          <w:tab w:val="left" w:pos="540"/>
        </w:tabs>
        <w:snapToGrid w:val="0"/>
        <w:spacing w:line="360" w:lineRule="auto"/>
        <w:ind w:firstLine="510"/>
        <w:rPr>
          <w:rFonts w:ascii="仿宋_GB2312" w:hAnsi="仿宋" w:eastAsia="仿宋_GB2312"/>
          <w:sz w:val="24"/>
        </w:rPr>
      </w:pPr>
    </w:p>
    <w:p>
      <w:pPr>
        <w:snapToGrid w:val="0"/>
        <w:spacing w:line="360" w:lineRule="auto"/>
        <w:ind w:firstLine="4680" w:firstLineChars="195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投标人名称(电子签名)：</w:t>
      </w:r>
    </w:p>
    <w:p>
      <w:pPr>
        <w:snapToGrid w:val="0"/>
        <w:spacing w:line="360" w:lineRule="auto"/>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日期</w:t>
      </w:r>
      <w:r>
        <w:rPr>
          <w:rFonts w:hint="eastAsia"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pacing w:line="360" w:lineRule="auto"/>
        <w:jc w:val="center"/>
        <w:rPr>
          <w:rFonts w:ascii="仿宋_GB2312" w:hAnsi="仿宋" w:eastAsia="仿宋_GB2312" w:cs="仿宋_GB2312"/>
          <w:b/>
          <w:sz w:val="30"/>
          <w:szCs w:val="30"/>
        </w:rPr>
      </w:pP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r>
        <w:rPr>
          <w:rFonts w:hint="eastAsia" w:ascii="仿宋_GB2312" w:hAnsi="仿宋" w:eastAsia="仿宋_GB2312" w:cs="仿宋_GB2312"/>
          <w:b/>
          <w:sz w:val="32"/>
          <w:szCs w:val="32"/>
        </w:rPr>
        <w:t>八、特定资格条件要求的资质文件（复印件）</w:t>
      </w:r>
    </w:p>
    <w:p>
      <w:pPr>
        <w:widowControl/>
        <w:spacing w:line="360" w:lineRule="auto"/>
        <w:ind w:firstLine="480" w:firstLineChars="200"/>
        <w:jc w:val="left"/>
        <w:rPr>
          <w:rFonts w:ascii="仿宋_GB2312" w:hAnsi="仿宋" w:eastAsia="仿宋_GB2312" w:cs="仿宋_GB2312"/>
          <w:sz w:val="24"/>
        </w:rPr>
      </w:pPr>
      <w:r>
        <w:rPr>
          <w:rFonts w:hint="eastAsia" w:ascii="仿宋_GB2312" w:hAnsi="仿宋" w:eastAsia="仿宋_GB2312" w:cs="仿宋_GB2312"/>
          <w:sz w:val="24"/>
        </w:rPr>
        <w:t>（由投标人根据招标公告合格的投标人应具备的特定资格要求编制；如果本项目没有设置特定资格条件，则不需要提供）</w:t>
      </w:r>
    </w:p>
    <w:p>
      <w:pPr>
        <w:widowControl/>
        <w:spacing w:line="360" w:lineRule="auto"/>
        <w:ind w:firstLine="480" w:firstLineChars="200"/>
        <w:jc w:val="left"/>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snapToGrid w:val="0"/>
        <w:spacing w:line="360" w:lineRule="auto"/>
        <w:ind w:firstLine="2891" w:firstLineChars="900"/>
        <w:rPr>
          <w:rFonts w:hint="eastAsia" w:ascii="仿宋_GB2312" w:hAnsi="仿宋" w:eastAsia="仿宋_GB2312" w:cs="仿宋_GB2312"/>
          <w:b/>
          <w:bCs/>
          <w:sz w:val="32"/>
          <w:szCs w:val="32"/>
        </w:rPr>
      </w:pPr>
    </w:p>
    <w:p>
      <w:pPr>
        <w:snapToGrid w:val="0"/>
        <w:spacing w:line="360" w:lineRule="auto"/>
        <w:ind w:firstLine="2891" w:firstLineChars="900"/>
        <w:rPr>
          <w:rFonts w:hint="eastAsia" w:ascii="仿宋_GB2312" w:hAnsi="仿宋" w:eastAsia="仿宋_GB2312" w:cs="仿宋_GB2312"/>
          <w:b/>
          <w:bCs/>
          <w:sz w:val="32"/>
          <w:szCs w:val="32"/>
        </w:rPr>
      </w:pPr>
    </w:p>
    <w:p>
      <w:pPr>
        <w:snapToGrid w:val="0"/>
        <w:spacing w:line="360" w:lineRule="auto"/>
        <w:ind w:firstLine="2891" w:firstLineChars="900"/>
        <w:rPr>
          <w:rFonts w:hint="eastAsia" w:ascii="仿宋_GB2312" w:hAnsi="仿宋" w:eastAsia="仿宋_GB2312" w:cs="仿宋_GB2312"/>
          <w:b/>
          <w:bCs/>
          <w:sz w:val="32"/>
          <w:szCs w:val="32"/>
        </w:rPr>
      </w:pPr>
    </w:p>
    <w:p>
      <w:pPr>
        <w:snapToGrid w:val="0"/>
        <w:spacing w:line="360" w:lineRule="auto"/>
        <w:ind w:firstLine="2891" w:firstLineChars="900"/>
        <w:rPr>
          <w:rFonts w:hint="eastAsia" w:ascii="仿宋_GB2312" w:hAnsi="仿宋" w:eastAsia="仿宋_GB2312" w:cs="仿宋_GB2312"/>
          <w:b/>
          <w:bCs/>
          <w:sz w:val="32"/>
          <w:szCs w:val="32"/>
        </w:rPr>
      </w:pPr>
    </w:p>
    <w:p>
      <w:pPr>
        <w:snapToGrid w:val="0"/>
        <w:spacing w:line="360" w:lineRule="auto"/>
        <w:ind w:firstLine="2891" w:firstLineChars="900"/>
        <w:rPr>
          <w:rFonts w:hint="eastAsia" w:ascii="仿宋_GB2312" w:hAnsi="仿宋" w:eastAsia="仿宋_GB2312" w:cs="仿宋_GB2312"/>
          <w:b/>
          <w:bCs/>
          <w:sz w:val="32"/>
          <w:szCs w:val="32"/>
        </w:rPr>
      </w:pPr>
    </w:p>
    <w:p>
      <w:pPr>
        <w:snapToGrid w:val="0"/>
        <w:spacing w:line="360" w:lineRule="auto"/>
        <w:ind w:firstLine="2891" w:firstLineChars="900"/>
        <w:rPr>
          <w:rFonts w:hint="eastAsia" w:ascii="仿宋_GB2312" w:hAnsi="仿宋" w:eastAsia="仿宋_GB2312" w:cs="仿宋_GB2312"/>
          <w:b/>
          <w:bCs/>
          <w:sz w:val="32"/>
          <w:szCs w:val="32"/>
        </w:rPr>
      </w:pPr>
    </w:p>
    <w:p>
      <w:pPr>
        <w:snapToGrid w:val="0"/>
        <w:spacing w:line="360" w:lineRule="auto"/>
        <w:rPr>
          <w:rFonts w:hint="eastAsia" w:ascii="仿宋_GB2312" w:hAnsi="仿宋" w:eastAsia="仿宋_GB2312" w:cs="仿宋_GB2312"/>
          <w:b/>
          <w:bCs/>
          <w:sz w:val="32"/>
          <w:szCs w:val="32"/>
        </w:rPr>
      </w:pPr>
    </w:p>
    <w:p>
      <w:pPr>
        <w:snapToGrid w:val="0"/>
        <w:spacing w:before="50" w:after="50" w:line="360" w:lineRule="auto"/>
        <w:jc w:val="center"/>
        <w:rPr>
          <w:rFonts w:ascii="仿宋" w:hAnsi="仿宋" w:eastAsia="仿宋" w:cs="仿宋_GB2312"/>
          <w:b/>
          <w:sz w:val="30"/>
          <w:szCs w:val="30"/>
        </w:rPr>
      </w:pPr>
      <w:r>
        <w:rPr>
          <w:rFonts w:hint="eastAsia" w:ascii="仿宋" w:hAnsi="仿宋" w:eastAsia="仿宋" w:cs="仿宋_GB2312"/>
          <w:b/>
          <w:sz w:val="32"/>
          <w:szCs w:val="32"/>
          <w:lang w:eastAsia="zh-CN"/>
        </w:rPr>
        <w:t>九</w:t>
      </w:r>
      <w:r>
        <w:rPr>
          <w:rFonts w:hint="eastAsia" w:ascii="仿宋" w:hAnsi="仿宋" w:eastAsia="仿宋" w:cs="仿宋_GB2312"/>
          <w:b/>
          <w:sz w:val="30"/>
          <w:szCs w:val="30"/>
        </w:rPr>
        <w:t>、联合体协议</w:t>
      </w:r>
    </w:p>
    <w:p>
      <w:pPr>
        <w:widowControl/>
        <w:adjustRightInd w:val="0"/>
        <w:spacing w:line="360" w:lineRule="auto"/>
        <w:ind w:firstLine="480" w:firstLineChars="200"/>
        <w:jc w:val="left"/>
        <w:rPr>
          <w:rFonts w:ascii="仿宋_GB2312" w:hAnsi="仿宋" w:eastAsia="仿宋_GB2312" w:cs="仿宋_GB2312"/>
          <w:sz w:val="24"/>
          <w:szCs w:val="24"/>
        </w:rPr>
      </w:pPr>
      <w:r>
        <w:rPr>
          <w:rFonts w:hint="eastAsia" w:ascii="仿宋_GB2312" w:hAnsi="仿宋" w:eastAsia="仿宋_GB2312" w:cs="仿宋_GB2312"/>
          <w:sz w:val="24"/>
          <w:szCs w:val="24"/>
        </w:rPr>
        <w:t>（以联合体形式投标的，提供联合体协议；本项目不接受联合体投标或者投标人不以联合体形式投标的，则不需要提供）</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甲方：</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乙方：</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各方经协商一致，决定组成一个联合体，以一个投标人的身份就</w:t>
      </w:r>
      <w:r>
        <w:rPr>
          <w:rFonts w:hint="eastAsia" w:ascii="仿宋_GB2312" w:hAnsi="仿宋_GB2312" w:eastAsia="仿宋_GB2312" w:cs="仿宋_GB2312"/>
          <w:sz w:val="24"/>
          <w:szCs w:val="24"/>
          <w:lang w:eastAsia="zh-CN"/>
        </w:rPr>
        <w:t>项目名称：</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u w:val="single"/>
          <w:lang w:val="en-US" w:eastAsia="zh-CN"/>
        </w:rPr>
        <w:t xml:space="preserve">   </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【招标编号：</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szCs w:val="24"/>
          <w:lang w:val="zh-CN"/>
        </w:rPr>
        <w:t xml:space="preserve">共同投标。 </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一、各方一致决定，</w:t>
      </w:r>
      <w:r>
        <w:rPr>
          <w:rFonts w:hint="eastAsia" w:ascii="仿宋_GB2312" w:hAnsi="仿宋" w:eastAsia="仿宋_GB2312" w:cs="Arial"/>
          <w:sz w:val="24"/>
          <w:szCs w:val="24"/>
        </w:rPr>
        <w:t>指定</w:t>
      </w:r>
      <w:r>
        <w:rPr>
          <w:rFonts w:hint="eastAsia" w:ascii="仿宋_GB2312" w:hAnsi="仿宋" w:eastAsia="仿宋_GB2312" w:cs="Times New Roman"/>
          <w:szCs w:val="24"/>
          <w:u w:val="single"/>
        </w:rPr>
        <w:t xml:space="preserve">   </w:t>
      </w:r>
      <w:r>
        <w:rPr>
          <w:rFonts w:hint="eastAsia" w:ascii="仿宋_GB2312" w:hAnsi="仿宋" w:eastAsia="仿宋_GB2312" w:cs="Arial"/>
          <w:sz w:val="24"/>
          <w:szCs w:val="24"/>
        </w:rPr>
        <w:t>方牵头人，代表所有联合体成员负责投标和合同实施阶段的主办、协调工作</w:t>
      </w:r>
      <w:r>
        <w:rPr>
          <w:rFonts w:hint="eastAsia" w:ascii="仿宋_GB2312" w:hAnsi="仿宋" w:eastAsia="仿宋_GB2312" w:cs="仿宋_GB2312"/>
          <w:kern w:val="0"/>
          <w:sz w:val="24"/>
          <w:szCs w:val="24"/>
          <w:lang w:val="zh-CN"/>
        </w:rPr>
        <w:t>。</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二、</w:t>
      </w:r>
      <w:r>
        <w:rPr>
          <w:rFonts w:hint="eastAsia" w:ascii="仿宋_GB2312" w:hAnsi="仿宋" w:eastAsia="仿宋_GB2312" w:cs="Arial"/>
          <w:sz w:val="24"/>
          <w:szCs w:val="24"/>
        </w:rPr>
        <w:t>所有联合体成员各方签署授权书，授权书载明的</w:t>
      </w:r>
      <w:r>
        <w:rPr>
          <w:rFonts w:hint="eastAsia" w:ascii="仿宋_GB2312" w:hAnsi="仿宋" w:eastAsia="仿宋_GB2312" w:cs="仿宋_GB2312"/>
          <w:kern w:val="0"/>
          <w:sz w:val="24"/>
          <w:szCs w:val="24"/>
          <w:lang w:val="zh-CN"/>
        </w:rPr>
        <w:t>授权代表根据招标文件规定及投标内容而对采购人、采购机构所作的任何合法承诺，包括书面澄清及相应等均对联合投标各方产生约束力。</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三、本次联合投标中，分工如下：甲方承担的工作和义务为：</w:t>
      </w:r>
      <w:r>
        <w:rPr>
          <w:rFonts w:hint="eastAsia" w:ascii="仿宋_GB2312" w:hAnsi="仿宋" w:eastAsia="仿宋_GB2312" w:cs="Times New Roman"/>
          <w:szCs w:val="24"/>
          <w:u w:val="single"/>
        </w:rPr>
        <w:t xml:space="preserve">             </w:t>
      </w:r>
      <w:r>
        <w:rPr>
          <w:rFonts w:hint="eastAsia" w:ascii="仿宋_GB2312" w:hAnsi="仿宋" w:eastAsia="仿宋_GB2312" w:cs="仿宋_GB2312"/>
          <w:kern w:val="0"/>
          <w:sz w:val="24"/>
          <w:szCs w:val="24"/>
          <w:lang w:val="zh-CN"/>
        </w:rPr>
        <w:t>；乙方承担的工作和义务为：</w:t>
      </w:r>
      <w:r>
        <w:rPr>
          <w:rFonts w:hint="eastAsia" w:ascii="仿宋_GB2312" w:hAnsi="仿宋" w:eastAsia="仿宋_GB2312" w:cs="Times New Roman"/>
          <w:szCs w:val="24"/>
          <w:u w:val="single"/>
        </w:rPr>
        <w:t xml:space="preserve">            </w:t>
      </w:r>
      <w:r>
        <w:rPr>
          <w:rFonts w:hint="eastAsia" w:ascii="仿宋_GB2312" w:hAnsi="仿宋" w:eastAsia="仿宋_GB2312" w:cs="仿宋_GB2312"/>
          <w:kern w:val="0"/>
          <w:sz w:val="24"/>
          <w:szCs w:val="24"/>
          <w:lang w:val="zh-CN"/>
        </w:rPr>
        <w:t xml:space="preserve"> ；……</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四、如果中标，</w:t>
      </w:r>
      <w:r>
        <w:rPr>
          <w:rFonts w:hint="eastAsia" w:ascii="仿宋_GB2312" w:hAnsi="仿宋" w:eastAsia="仿宋_GB2312" w:cs="Times New Roman"/>
          <w:sz w:val="24"/>
          <w:szCs w:val="24"/>
        </w:rPr>
        <w:t>联合体各成员方共同与采购人签订合同，并就采购合同约定的事项对采购人承担连带责任。</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五、有关本次联合投标的其他事宜：</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1、联合体各方不再单独参加或者与其他供应商另外组成联合体参加同一合同项下的政府采购活动。</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2、联合体中有同类资质的各方按照联合体分工承担相同工作的，按照资质等级较低的供应商确定资质等级。</w:t>
      </w:r>
    </w:p>
    <w:p>
      <w:pPr>
        <w:adjustRightInd w:val="0"/>
        <w:snapToGrid w:val="0"/>
        <w:spacing w:line="360" w:lineRule="auto"/>
        <w:ind w:firstLine="576"/>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3、本协议提交采购人、采购机构后，联合体各方不得以任何形式对上述内容进行修改或撤销。</w:t>
      </w:r>
    </w:p>
    <w:p>
      <w:pPr>
        <w:adjustRightInd w:val="0"/>
        <w:snapToGrid w:val="0"/>
        <w:spacing w:line="360" w:lineRule="auto"/>
        <w:ind w:firstLine="576"/>
        <w:rPr>
          <w:rFonts w:ascii="仿宋_GB2312" w:hAnsi="仿宋" w:eastAsia="仿宋_GB2312" w:cs="仿宋_GB2312"/>
          <w:kern w:val="0"/>
          <w:sz w:val="24"/>
          <w:szCs w:val="24"/>
          <w:lang w:val="zh-CN"/>
        </w:rPr>
      </w:pPr>
    </w:p>
    <w:p>
      <w:pPr>
        <w:adjustRightInd w:val="0"/>
        <w:snapToGrid w:val="0"/>
        <w:spacing w:line="360" w:lineRule="auto"/>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 xml:space="preserve">甲方单位：           （公章/ 电子签名）     乙方单位： （公章/ 电子签名） </w:t>
      </w:r>
    </w:p>
    <w:p>
      <w:pPr>
        <w:adjustRightInd w:val="0"/>
        <w:snapToGrid w:val="0"/>
        <w:spacing w:line="360" w:lineRule="auto"/>
        <w:rPr>
          <w:rFonts w:ascii="仿宋_GB2312" w:hAnsi="仿宋" w:eastAsia="仿宋_GB2312" w:cs="仿宋_GB2312"/>
          <w:sz w:val="24"/>
          <w:szCs w:val="24"/>
        </w:rPr>
      </w:pPr>
      <w:r>
        <w:rPr>
          <w:rFonts w:hint="eastAsia" w:ascii="仿宋_GB2312" w:hAnsi="仿宋" w:eastAsia="仿宋_GB2312" w:cs="仿宋_GB2312"/>
          <w:kern w:val="0"/>
          <w:sz w:val="24"/>
          <w:szCs w:val="24"/>
          <w:lang w:val="zh-CN"/>
        </w:rPr>
        <w:t xml:space="preserve">  日期：    年   月   日                  日期：    年   月   日</w:t>
      </w:r>
    </w:p>
    <w:p>
      <w:pPr>
        <w:pStyle w:val="78"/>
        <w:rPr>
          <w:rFonts w:hint="eastAsia" w:ascii="仿宋_GB2312" w:hAnsi="仿宋" w:eastAsia="仿宋_GB2312" w:cs="仿宋_GB2312"/>
          <w:kern w:val="0"/>
          <w:sz w:val="24"/>
          <w:szCs w:val="24"/>
          <w:lang w:val="zh-CN"/>
        </w:rPr>
      </w:pPr>
    </w:p>
    <w:p>
      <w:pPr>
        <w:pStyle w:val="78"/>
        <w:rPr>
          <w:rFonts w:hint="eastAsia" w:ascii="仿宋_GB2312" w:hAnsi="仿宋" w:eastAsia="仿宋_GB2312" w:cs="仿宋_GB2312"/>
          <w:kern w:val="0"/>
          <w:sz w:val="24"/>
          <w:szCs w:val="24"/>
          <w:lang w:val="zh-CN"/>
        </w:rPr>
      </w:pPr>
    </w:p>
    <w:p>
      <w:pPr>
        <w:pStyle w:val="78"/>
        <w:rPr>
          <w:rFonts w:hint="eastAsia" w:ascii="仿宋_GB2312" w:hAnsi="仿宋" w:eastAsia="仿宋_GB2312" w:cs="仿宋_GB2312"/>
          <w:kern w:val="0"/>
          <w:sz w:val="24"/>
          <w:szCs w:val="24"/>
          <w:lang w:val="zh-CN"/>
        </w:rPr>
      </w:pPr>
    </w:p>
    <w:p>
      <w:pPr>
        <w:pStyle w:val="78"/>
        <w:rPr>
          <w:rFonts w:hint="eastAsia" w:ascii="仿宋_GB2312" w:hAnsi="仿宋" w:eastAsia="仿宋_GB2312" w:cs="仿宋_GB2312"/>
          <w:kern w:val="0"/>
          <w:sz w:val="24"/>
          <w:szCs w:val="24"/>
          <w:lang w:val="zh-CN"/>
        </w:rPr>
      </w:pPr>
    </w:p>
    <w:p>
      <w:pPr>
        <w:adjustRightInd w:val="0"/>
        <w:snapToGrid w:val="0"/>
        <w:spacing w:line="360" w:lineRule="auto"/>
        <w:ind w:firstLine="3614" w:firstLineChars="100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pPr>
        <w:adjustRightInd w:val="0"/>
        <w:spacing w:line="360" w:lineRule="auto"/>
        <w:jc w:val="center"/>
        <w:outlineLvl w:val="0"/>
        <w:rPr>
          <w:rFonts w:ascii="仿宋_GB2312" w:hAnsi="仿宋" w:eastAsia="仿宋_GB2312" w:cs="仿宋_GB2312"/>
          <w:b/>
          <w:kern w:val="0"/>
          <w:sz w:val="24"/>
          <w:szCs w:val="24"/>
        </w:rPr>
      </w:pPr>
    </w:p>
    <w:p>
      <w:pPr>
        <w:adjustRightInd w:val="0"/>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adjustRightInd w:val="0"/>
        <w:spacing w:line="360" w:lineRule="auto"/>
        <w:outlineLvl w:val="0"/>
        <w:rPr>
          <w:rFonts w:ascii="仿宋_GB2312" w:hAnsi="仿宋" w:eastAsia="仿宋_GB2312" w:cs="仿宋_GB2312"/>
          <w:kern w:val="0"/>
          <w:sz w:val="24"/>
          <w:szCs w:val="24"/>
        </w:rPr>
      </w:pPr>
      <w:r>
        <w:rPr>
          <w:rFonts w:hint="eastAsia" w:ascii="仿宋_GB2312" w:hAnsi="仿宋" w:eastAsia="仿宋_GB2312" w:cs="仿宋_GB2312"/>
          <w:kern w:val="0"/>
          <w:sz w:val="24"/>
          <w:szCs w:val="24"/>
        </w:rPr>
        <w:t>（1）投标响应函……………………………………………………（页码）</w:t>
      </w:r>
    </w:p>
    <w:p>
      <w:pPr>
        <w:adjustRightInd w:val="0"/>
        <w:spacing w:line="360" w:lineRule="auto"/>
        <w:outlineLvl w:val="0"/>
        <w:rPr>
          <w:rFonts w:ascii="仿宋_GB2312" w:hAnsi="仿宋" w:eastAsia="仿宋_GB2312" w:cs="仿宋_GB2312"/>
          <w:kern w:val="0"/>
          <w:sz w:val="24"/>
          <w:szCs w:val="24"/>
        </w:rPr>
      </w:pPr>
      <w:r>
        <w:rPr>
          <w:rFonts w:hint="eastAsia" w:ascii="仿宋_GB2312" w:hAnsi="仿宋" w:eastAsia="仿宋_GB2312" w:cs="仿宋_GB2312"/>
          <w:kern w:val="0"/>
          <w:sz w:val="24"/>
          <w:szCs w:val="24"/>
        </w:rPr>
        <w:t>（2）投标（开标）一览表…………………………………………（页码）</w:t>
      </w:r>
    </w:p>
    <w:p>
      <w:pPr>
        <w:adjustRightInd w:val="0"/>
        <w:spacing w:line="360" w:lineRule="auto"/>
        <w:outlineLvl w:val="0"/>
        <w:rPr>
          <w:rFonts w:ascii="仿宋_GB2312" w:hAnsi="仿宋" w:eastAsia="仿宋_GB2312" w:cs="仿宋_GB2312"/>
          <w:kern w:val="0"/>
          <w:sz w:val="24"/>
          <w:szCs w:val="24"/>
        </w:rPr>
      </w:pPr>
      <w:r>
        <w:rPr>
          <w:rFonts w:hint="eastAsia" w:ascii="仿宋_GB2312" w:hAnsi="仿宋" w:eastAsia="仿宋_GB2312" w:cs="仿宋_GB2312"/>
          <w:kern w:val="0"/>
          <w:sz w:val="24"/>
          <w:szCs w:val="24"/>
        </w:rPr>
        <w:t>（3）中小企业声明函………………………………………………（页码）</w:t>
      </w:r>
    </w:p>
    <w:p>
      <w:pPr>
        <w:adjustRightInd w:val="0"/>
        <w:spacing w:line="360" w:lineRule="auto"/>
        <w:ind w:left="2" w:firstLine="480" w:firstLineChars="200"/>
        <w:rPr>
          <w:rFonts w:ascii="仿宋_GB2312" w:hAnsi="仿宋" w:eastAsia="仿宋_GB2312" w:cs="仿宋_GB2312"/>
          <w:sz w:val="24"/>
          <w:szCs w:val="24"/>
        </w:rPr>
      </w:pPr>
    </w:p>
    <w:p>
      <w:pPr>
        <w:adjustRightInd w:val="0"/>
        <w:spacing w:line="360" w:lineRule="auto"/>
        <w:ind w:left="2" w:firstLine="480" w:firstLineChars="200"/>
        <w:rPr>
          <w:rFonts w:ascii="仿宋_GB2312" w:hAnsi="仿宋" w:eastAsia="仿宋_GB2312" w:cs="仿宋_GB2312"/>
          <w:sz w:val="24"/>
          <w:szCs w:val="24"/>
        </w:rPr>
      </w:pPr>
    </w:p>
    <w:p>
      <w:pPr>
        <w:adjustRightInd w:val="0"/>
        <w:spacing w:line="360" w:lineRule="auto"/>
        <w:ind w:left="2" w:firstLine="480" w:firstLineChars="200"/>
        <w:rPr>
          <w:rFonts w:ascii="仿宋_GB2312" w:hAnsi="仿宋" w:eastAsia="仿宋_GB2312" w:cs="仿宋_GB2312"/>
          <w:sz w:val="24"/>
          <w:szCs w:val="24"/>
        </w:rPr>
      </w:pPr>
    </w:p>
    <w:p>
      <w:pPr>
        <w:adjustRightInd w:val="0"/>
        <w:spacing w:line="360" w:lineRule="auto"/>
        <w:ind w:left="2" w:firstLine="480" w:firstLineChars="200"/>
        <w:rPr>
          <w:rFonts w:ascii="仿宋_GB2312" w:hAnsi="仿宋" w:eastAsia="仿宋_GB2312" w:cs="仿宋_GB2312"/>
          <w:sz w:val="24"/>
          <w:szCs w:val="24"/>
        </w:rPr>
      </w:pPr>
    </w:p>
    <w:p>
      <w:pPr>
        <w:adjustRightInd w:val="0"/>
        <w:spacing w:line="360" w:lineRule="auto"/>
        <w:ind w:left="2" w:firstLine="480" w:firstLineChars="200"/>
        <w:rPr>
          <w:rFonts w:ascii="仿宋_GB2312" w:hAnsi="仿宋" w:eastAsia="仿宋_GB2312" w:cs="仿宋_GB2312"/>
          <w:sz w:val="24"/>
          <w:szCs w:val="24"/>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kern w:val="0"/>
          <w:sz w:val="32"/>
          <w:szCs w:val="32"/>
        </w:rPr>
      </w:pPr>
    </w:p>
    <w:p>
      <w:pPr>
        <w:adjustRightInd w:val="0"/>
        <w:snapToGrid w:val="0"/>
        <w:spacing w:line="360" w:lineRule="auto"/>
        <w:jc w:val="center"/>
        <w:outlineLvl w:val="0"/>
        <w:rPr>
          <w:rFonts w:ascii="仿宋_GB2312" w:hAnsi="仿宋" w:eastAsia="仿宋_GB2312" w:cs="仿宋_GB2312"/>
          <w:b/>
          <w:sz w:val="32"/>
          <w:szCs w:val="32"/>
        </w:rPr>
      </w:pPr>
      <w:r>
        <w:rPr>
          <w:rFonts w:hint="eastAsia" w:ascii="仿宋_GB2312" w:hAnsi="仿宋" w:eastAsia="仿宋_GB2312" w:cs="仿宋_GB2312"/>
          <w:b/>
          <w:kern w:val="0"/>
          <w:sz w:val="32"/>
          <w:szCs w:val="32"/>
        </w:rPr>
        <w:t>一、投标响应</w:t>
      </w:r>
      <w:r>
        <w:rPr>
          <w:rFonts w:hint="eastAsia" w:ascii="仿宋_GB2312" w:hAnsi="仿宋" w:eastAsia="仿宋_GB2312" w:cs="仿宋_GB2312"/>
          <w:b/>
          <w:sz w:val="32"/>
          <w:szCs w:val="32"/>
        </w:rPr>
        <w:t>函</w:t>
      </w:r>
    </w:p>
    <w:p>
      <w:pPr>
        <w:adjustRightInd w:val="0"/>
        <w:snapToGrid w:val="0"/>
        <w:spacing w:line="360" w:lineRule="auto"/>
        <w:rPr>
          <w:rFonts w:ascii="仿宋_GB2312" w:hAnsi="仿宋" w:eastAsia="仿宋_GB2312" w:cs="仿宋_GB2312"/>
          <w:sz w:val="24"/>
          <w:szCs w:val="24"/>
        </w:rPr>
      </w:pPr>
      <w:r>
        <w:rPr>
          <w:rFonts w:hint="eastAsia" w:ascii="仿宋_GB2312" w:hAnsi="仿宋" w:eastAsia="仿宋_GB2312" w:cs="仿宋_GB2312"/>
          <w:sz w:val="24"/>
          <w:szCs w:val="24"/>
        </w:rPr>
        <w:t>XXX（采购人名称）、杭州市公共资源交易中心</w:t>
      </w:r>
      <w:r>
        <w:rPr>
          <w:rFonts w:hint="eastAsia" w:ascii="仿宋_GB2312" w:hAnsi="仿宋" w:eastAsia="仿宋_GB2312" w:cs="仿宋_GB2312"/>
          <w:sz w:val="24"/>
          <w:szCs w:val="24"/>
          <w:lang w:eastAsia="zh-CN"/>
        </w:rPr>
        <w:t>临安分中心</w:t>
      </w:r>
      <w:r>
        <w:rPr>
          <w:rFonts w:hint="eastAsia" w:ascii="仿宋_GB2312" w:hAnsi="仿宋" w:eastAsia="仿宋_GB2312" w:cs="仿宋_GB2312"/>
          <w:sz w:val="24"/>
          <w:szCs w:val="24"/>
        </w:rPr>
        <w:t>：</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kern w:val="0"/>
          <w:sz w:val="24"/>
          <w:szCs w:val="24"/>
          <w:u w:val="single"/>
          <w:lang w:val="zh-CN"/>
        </w:rPr>
        <w:t xml:space="preserve">                         </w:t>
      </w:r>
      <w:r>
        <w:rPr>
          <w:rFonts w:hint="eastAsia" w:ascii="仿宋_GB2312" w:hAnsi="仿宋" w:eastAsia="仿宋_GB2312" w:cs="仿宋_GB2312"/>
          <w:sz w:val="24"/>
          <w:szCs w:val="24"/>
        </w:rPr>
        <w:t>(投标人全称)授权</w:t>
      </w:r>
      <w:r>
        <w:rPr>
          <w:rFonts w:hint="eastAsia" w:ascii="仿宋_GB2312" w:hAnsi="仿宋" w:eastAsia="仿宋_GB2312" w:cs="仿宋_GB2312"/>
          <w:kern w:val="0"/>
          <w:sz w:val="24"/>
          <w:szCs w:val="24"/>
          <w:u w:val="single"/>
          <w:lang w:val="zh-CN"/>
        </w:rPr>
        <w:t xml:space="preserve">                    </w:t>
      </w:r>
      <w:r>
        <w:rPr>
          <w:rFonts w:hint="eastAsia" w:ascii="仿宋_GB2312" w:hAnsi="仿宋" w:eastAsia="仿宋_GB2312" w:cs="仿宋_GB2312"/>
          <w:sz w:val="24"/>
          <w:szCs w:val="24"/>
        </w:rPr>
        <w:t>(全权代表姓名)</w:t>
      </w:r>
      <w:r>
        <w:rPr>
          <w:rFonts w:hint="eastAsia" w:ascii="仿宋_GB2312" w:hAnsi="仿宋" w:eastAsia="仿宋_GB2312" w:cs="仿宋_GB2312"/>
          <w:kern w:val="0"/>
          <w:sz w:val="24"/>
          <w:szCs w:val="24"/>
          <w:u w:val="single"/>
          <w:lang w:val="zh-CN"/>
        </w:rPr>
        <w:t xml:space="preserve">              </w:t>
      </w:r>
      <w:r>
        <w:rPr>
          <w:rFonts w:hint="eastAsia" w:ascii="仿宋_GB2312" w:hAnsi="仿宋" w:eastAsia="仿宋_GB2312" w:cs="仿宋_GB2312"/>
          <w:sz w:val="24"/>
          <w:szCs w:val="24"/>
        </w:rPr>
        <w:t>(职务、职称)为全权代表，参加贵方组织的XXXXXX项目【招标编号：XXX】招标的有关活动，并对此项目进行投标。为此：</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1、我方同意在投标人</w:t>
      </w:r>
      <w:r>
        <w:rPr>
          <w:rFonts w:hint="eastAsia" w:ascii="仿宋_GB2312" w:hAnsi="仿宋" w:eastAsia="仿宋_GB2312" w:cs="仿宋_GB2312"/>
          <w:kern w:val="44"/>
          <w:sz w:val="24"/>
          <w:szCs w:val="24"/>
        </w:rPr>
        <w:t>投标人须知</w:t>
      </w:r>
      <w:r>
        <w:rPr>
          <w:rFonts w:hint="eastAsia" w:ascii="仿宋_GB2312" w:hAnsi="仿宋" w:eastAsia="仿宋_GB2312" w:cs="仿宋_GB2312"/>
          <w:sz w:val="24"/>
          <w:szCs w:val="24"/>
        </w:rPr>
        <w:t>规定的开标日期起遵守本投标文件中的承诺且在投标有效期满之前均具有约束力。</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2、我方承诺已经具备《中华人民共和国政府采购法》中规定的参加政府采购活动的供应商应当具备的条件：</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(1)具有独立承担民事责任的能力；</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(2)遵守国家法律、行政法规，具有良好的信誉和商业道德；</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(3)具有履行合同的能力和良好的履行合同记录；</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(4)良好的资金、财务状况；</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(5)产品及生产所需装备符合中国政府规定的相应技术标准和环保标准；</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(6)没有违反政府采购法规、政策的记录；</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(7)没有发生重大经济纠纷和走私犯罪记录。</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3、我方中标后拟在中标后将</w:t>
      </w:r>
      <w:r>
        <w:rPr>
          <w:rFonts w:hint="eastAsia" w:ascii="仿宋_GB2312" w:hAnsi="仿宋" w:eastAsia="仿宋_GB2312" w:cs="仿宋_GB2312"/>
          <w:sz w:val="24"/>
          <w:szCs w:val="24"/>
          <w:u w:val="single"/>
        </w:rPr>
        <w:t xml:space="preserve">           </w:t>
      </w:r>
      <w:r>
        <w:rPr>
          <w:rFonts w:hint="eastAsia" w:ascii="仿宋_GB2312" w:hAnsi="仿宋" w:eastAsia="仿宋_GB2312" w:cs="仿宋_GB2312"/>
          <w:sz w:val="24"/>
          <w:szCs w:val="24"/>
        </w:rPr>
        <w:t>工作分包，分包承担主体是</w:t>
      </w:r>
      <w:r>
        <w:rPr>
          <w:rFonts w:hint="eastAsia" w:ascii="仿宋_GB2312" w:hAnsi="仿宋" w:eastAsia="仿宋_GB2312" w:cs="仿宋_GB2312"/>
          <w:sz w:val="24"/>
          <w:szCs w:val="24"/>
          <w:u w:val="single"/>
        </w:rPr>
        <w:t xml:space="preserve">                 </w:t>
      </w:r>
      <w:r>
        <w:rPr>
          <w:rFonts w:hint="eastAsia" w:ascii="仿宋_GB2312" w:hAnsi="仿宋" w:eastAsia="仿宋_GB2312" w:cs="仿宋_GB2312"/>
          <w:sz w:val="24"/>
          <w:szCs w:val="24"/>
        </w:rPr>
        <w:t>，我方承诺分包承担主体具备相应资质条件</w:t>
      </w:r>
      <w:r>
        <w:rPr>
          <w:rFonts w:hint="eastAsia" w:ascii="仿宋_GB2312" w:hAnsi="仿宋" w:eastAsia="仿宋_GB2312" w:cs="仿宋_GB2312"/>
          <w:sz w:val="24"/>
          <w:szCs w:val="24"/>
          <w:u w:val="single"/>
        </w:rPr>
        <w:t xml:space="preserve">           </w:t>
      </w:r>
      <w:r>
        <w:rPr>
          <w:rFonts w:hint="eastAsia" w:ascii="仿宋_GB2312" w:hAnsi="仿宋" w:eastAsia="仿宋_GB2312" w:cs="仿宋_GB2312"/>
          <w:sz w:val="24"/>
          <w:szCs w:val="24"/>
        </w:rPr>
        <w:t>，且不再次分包。（不再将工作进行分包或本项目不允许分包的，下划线处填写“/”。）</w:t>
      </w:r>
    </w:p>
    <w:p>
      <w:pPr>
        <w:adjustRightInd w:val="0"/>
        <w:snapToGrid w:val="0"/>
        <w:spacing w:line="360" w:lineRule="auto"/>
        <w:ind w:firstLine="480" w:firstLineChars="200"/>
        <w:rPr>
          <w:rFonts w:ascii="仿宋_GB2312" w:hAnsi="仿宋" w:eastAsia="仿宋_GB2312" w:cs="仿宋_GB2312"/>
          <w:snapToGrid w:val="0"/>
          <w:sz w:val="24"/>
          <w:szCs w:val="21"/>
        </w:rPr>
      </w:pPr>
      <w:r>
        <w:rPr>
          <w:rFonts w:hint="eastAsia" w:ascii="仿宋_GB2312" w:hAnsi="仿宋" w:eastAsia="仿宋_GB2312" w:cs="仿宋_GB2312"/>
          <w:snapToGrid w:val="0"/>
          <w:sz w:val="24"/>
          <w:szCs w:val="21"/>
        </w:rPr>
        <w:t>4、提供</w:t>
      </w:r>
      <w:r>
        <w:rPr>
          <w:rFonts w:hint="eastAsia" w:ascii="仿宋_GB2312" w:hAnsi="仿宋" w:eastAsia="仿宋_GB2312" w:cs="仿宋_GB2312"/>
          <w:snapToGrid w:val="0"/>
          <w:kern w:val="44"/>
          <w:sz w:val="24"/>
          <w:szCs w:val="21"/>
        </w:rPr>
        <w:t>投标人须知</w:t>
      </w:r>
      <w:r>
        <w:rPr>
          <w:rFonts w:hint="eastAsia" w:ascii="仿宋_GB2312" w:hAnsi="仿宋" w:eastAsia="仿宋_GB2312" w:cs="仿宋_GB2312"/>
          <w:snapToGrid w:val="0"/>
          <w:sz w:val="24"/>
          <w:szCs w:val="21"/>
        </w:rPr>
        <w:t>规定的全部投标文件</w:t>
      </w:r>
      <w:r>
        <w:rPr>
          <w:rFonts w:hint="eastAsia" w:ascii="仿宋_GB2312" w:hAnsi="仿宋" w:eastAsia="仿宋_GB2312" w:cs="仿宋_GB2312"/>
          <w:snapToGrid w:val="0"/>
          <w:kern w:val="44"/>
          <w:sz w:val="24"/>
          <w:szCs w:val="21"/>
        </w:rPr>
        <w:t>。</w:t>
      </w:r>
      <w:r>
        <w:rPr>
          <w:rFonts w:hint="eastAsia" w:ascii="仿宋_GB2312" w:hAnsi="仿宋" w:eastAsia="仿宋_GB2312" w:cs="仿宋_GB2312"/>
          <w:snapToGrid w:val="0"/>
          <w:sz w:val="24"/>
          <w:szCs w:val="21"/>
        </w:rPr>
        <w:t>具体内容为：</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(1)投标(开标)一览表；</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(2)投标</w:t>
      </w:r>
      <w:r>
        <w:rPr>
          <w:rFonts w:hint="eastAsia" w:ascii="仿宋_GB2312" w:hAnsi="仿宋" w:eastAsia="仿宋_GB2312" w:cs="仿宋_GB2312"/>
          <w:kern w:val="0"/>
          <w:sz w:val="24"/>
          <w:szCs w:val="24"/>
          <w:lang w:val="zh-CN"/>
        </w:rPr>
        <w:t>技术文件和</w:t>
      </w:r>
      <w:r>
        <w:rPr>
          <w:rFonts w:hint="eastAsia" w:ascii="仿宋_GB2312" w:hAnsi="仿宋" w:eastAsia="仿宋_GB2312" w:cs="仿宋_GB2312"/>
          <w:sz w:val="24"/>
          <w:szCs w:val="24"/>
          <w:lang w:val="zh-CN"/>
        </w:rPr>
        <w:t>商务文件</w:t>
      </w:r>
      <w:r>
        <w:rPr>
          <w:rFonts w:hint="eastAsia" w:ascii="仿宋_GB2312" w:hAnsi="仿宋" w:eastAsia="仿宋_GB2312" w:cs="仿宋_GB2312"/>
          <w:sz w:val="24"/>
          <w:szCs w:val="24"/>
        </w:rPr>
        <w:t>；</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kern w:val="44"/>
          <w:sz w:val="24"/>
          <w:szCs w:val="24"/>
        </w:rPr>
        <w:t>投标人须知</w:t>
      </w:r>
      <w:r>
        <w:rPr>
          <w:rFonts w:hint="eastAsia" w:ascii="仿宋_GB2312" w:hAnsi="仿宋" w:eastAsia="仿宋_GB2312" w:cs="仿宋_GB2312"/>
          <w:sz w:val="24"/>
          <w:szCs w:val="24"/>
        </w:rPr>
        <w:t>要求投标人提交的全部文件；</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 xml:space="preserve"> (4)按招标文件要求提供和交付的货物和服务的投标报价详见投标(开标)一览表；</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(5)保证忠实地执行双方所签订的合同，并承担合同规定的责任和义务；</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(6)保证遵守招标文件中的其他有关规定。</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5、我方承诺投标有效期从提交投标文件的截止之日起</w:t>
      </w:r>
      <w:r>
        <w:rPr>
          <w:rFonts w:hint="eastAsia" w:ascii="仿宋_GB2312" w:hAnsi="仿宋" w:eastAsia="仿宋_GB2312" w:cs="仿宋_GB2312"/>
          <w:sz w:val="24"/>
          <w:szCs w:val="24"/>
          <w:u w:val="single"/>
        </w:rPr>
        <w:t xml:space="preserve">     </w:t>
      </w:r>
      <w:r>
        <w:rPr>
          <w:rFonts w:hint="eastAsia" w:ascii="仿宋_GB2312" w:hAnsi="仿宋" w:eastAsia="仿宋_GB2312" w:cs="仿宋_GB2312"/>
          <w:sz w:val="24"/>
          <w:szCs w:val="24"/>
        </w:rPr>
        <w:t>天，不少于招标文件中载明的投标有效期（从提交投标文件的截止之日起90天）。</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6、我方完全理解贵方不一定要接受最低价的投标。</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7、我方愿意向贵方提供任何与该项投标有关的数据、情况和技术资料。若贵方需要，我方愿意提供我方作出的一切承诺的证明材料。</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8、我方已详细审核全部招标文件，包括招标文件修改书(如果有)、参考资料及有关附件，确认无误。</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a)提供虚假材料谋取中标、成交的；</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b)采取不正当手段诋毁、排挤其他供应商的；</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c)与采购人、其它供应商或者采购机构恶意串通的；</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d)向采购人、采购机构行贿或者提供其他不正当利益的；</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e)在招标采购过程中与采购人进行协商谈判的；</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f)拒绝有关部门监督检查或提供虚假情况的。</w:t>
      </w:r>
    </w:p>
    <w:p>
      <w:pPr>
        <w:adjustRightInd w:val="0"/>
        <w:snapToGrid w:val="0"/>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供应商有前款第a)至e)项情形之一的，中标、成交无效。</w:t>
      </w:r>
    </w:p>
    <w:p>
      <w:pPr>
        <w:adjustRightInd w:val="0"/>
        <w:spacing w:line="360" w:lineRule="auto"/>
        <w:ind w:firstLine="3600" w:firstLineChars="1500"/>
        <w:rPr>
          <w:rFonts w:ascii="仿宋_GB2312" w:hAnsi="仿宋" w:eastAsia="仿宋_GB2312" w:cs="仿宋_GB2312"/>
          <w:sz w:val="24"/>
          <w:szCs w:val="24"/>
        </w:rPr>
      </w:pPr>
      <w:r>
        <w:rPr>
          <w:rFonts w:hint="eastAsia" w:ascii="仿宋_GB2312" w:hAnsi="仿宋" w:eastAsia="仿宋_GB2312" w:cs="仿宋_GB2312"/>
          <w:sz w:val="24"/>
          <w:szCs w:val="24"/>
        </w:rPr>
        <w:t xml:space="preserve">投标人名称（电子签名）：                          </w:t>
      </w:r>
    </w:p>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 xml:space="preserve">     日期：  年   月   日</w:t>
      </w:r>
    </w:p>
    <w:p>
      <w:pPr>
        <w:adjustRightInd w:val="0"/>
        <w:snapToGrid w:val="0"/>
        <w:spacing w:line="360" w:lineRule="auto"/>
        <w:ind w:left="420" w:leftChars="200" w:firstLine="4200" w:firstLineChars="1750"/>
        <w:rPr>
          <w:rFonts w:ascii="仿宋_GB2312" w:hAnsi="仿宋" w:eastAsia="仿宋_GB2312" w:cs="仿宋_GB2312"/>
          <w:kern w:val="0"/>
          <w:sz w:val="24"/>
          <w:szCs w:val="24"/>
          <w:u w:val="single"/>
          <w:lang w:val="zh-CN"/>
        </w:rPr>
      </w:pPr>
    </w:p>
    <w:p>
      <w:pPr>
        <w:adjustRightInd w:val="0"/>
        <w:snapToGrid w:val="0"/>
        <w:spacing w:line="360" w:lineRule="auto"/>
        <w:ind w:left="420" w:leftChars="200"/>
        <w:rPr>
          <w:rFonts w:ascii="仿宋_GB2312" w:hAnsi="仿宋" w:eastAsia="仿宋_GB2312" w:cs="仿宋_GB2312"/>
          <w:kern w:val="0"/>
          <w:sz w:val="24"/>
          <w:szCs w:val="24"/>
        </w:rPr>
      </w:pPr>
      <w:r>
        <w:rPr>
          <w:rFonts w:hint="eastAsia" w:ascii="仿宋_GB2312" w:hAnsi="仿宋" w:eastAsia="仿宋_GB2312" w:cs="仿宋_GB2312"/>
          <w:kern w:val="0"/>
          <w:sz w:val="24"/>
          <w:szCs w:val="24"/>
          <w:lang w:val="zh-CN"/>
        </w:rPr>
        <w:t>联系人：</w:t>
      </w:r>
      <w:r>
        <w:rPr>
          <w:rFonts w:hint="eastAsia" w:ascii="仿宋_GB2312" w:hAnsi="仿宋" w:eastAsia="仿宋_GB2312" w:cs="仿宋_GB2312"/>
          <w:kern w:val="0"/>
          <w:sz w:val="24"/>
          <w:szCs w:val="24"/>
          <w:u w:val="single"/>
          <w:lang w:val="zh-CN"/>
        </w:rPr>
        <w:t xml:space="preserve">                           </w:t>
      </w:r>
      <w:r>
        <w:rPr>
          <w:rFonts w:hint="eastAsia" w:ascii="仿宋_GB2312" w:hAnsi="仿宋" w:eastAsia="仿宋_GB2312" w:cs="仿宋_GB2312"/>
          <w:kern w:val="0"/>
          <w:sz w:val="24"/>
          <w:szCs w:val="24"/>
          <w:lang w:val="zh-CN"/>
        </w:rPr>
        <w:t xml:space="preserve">联系电话： </w:t>
      </w:r>
      <w:r>
        <w:rPr>
          <w:rFonts w:hint="eastAsia" w:ascii="仿宋_GB2312" w:hAnsi="仿宋" w:eastAsia="仿宋_GB2312" w:cs="仿宋_GB2312"/>
          <w:kern w:val="0"/>
          <w:sz w:val="24"/>
          <w:szCs w:val="24"/>
          <w:u w:val="single"/>
          <w:lang w:val="zh-CN"/>
        </w:rPr>
        <w:t xml:space="preserve">                </w:t>
      </w:r>
    </w:p>
    <w:p>
      <w:pPr>
        <w:adjustRightInd w:val="0"/>
        <w:snapToGrid w:val="0"/>
        <w:spacing w:line="360" w:lineRule="auto"/>
        <w:ind w:left="420" w:leftChars="200"/>
        <w:rPr>
          <w:rFonts w:ascii="仿宋_GB2312" w:hAnsi="仿宋" w:eastAsia="仿宋_GB2312" w:cs="仿宋_GB2312"/>
          <w:kern w:val="0"/>
          <w:sz w:val="24"/>
          <w:szCs w:val="24"/>
        </w:rPr>
      </w:pPr>
      <w:r>
        <w:rPr>
          <w:rFonts w:hint="eastAsia" w:ascii="仿宋_GB2312" w:hAnsi="仿宋" w:eastAsia="仿宋_GB2312" w:cs="仿宋_GB2312"/>
          <w:kern w:val="0"/>
          <w:sz w:val="24"/>
          <w:szCs w:val="24"/>
          <w:lang w:val="zh-CN"/>
        </w:rPr>
        <w:t>联系地址：</w:t>
      </w:r>
      <w:r>
        <w:rPr>
          <w:rFonts w:hint="eastAsia" w:ascii="仿宋_GB2312" w:hAnsi="仿宋" w:eastAsia="仿宋_GB2312" w:cs="仿宋_GB2312"/>
          <w:kern w:val="0"/>
          <w:sz w:val="24"/>
          <w:szCs w:val="24"/>
          <w:u w:val="single"/>
          <w:lang w:val="zh-CN"/>
        </w:rPr>
        <w:t xml:space="preserve">                                                    </w:t>
      </w:r>
    </w:p>
    <w:p>
      <w:pPr>
        <w:adjustRightInd w:val="0"/>
        <w:snapToGrid w:val="0"/>
        <w:spacing w:line="360" w:lineRule="auto"/>
        <w:ind w:left="420" w:leftChars="200"/>
        <w:rPr>
          <w:rFonts w:ascii="仿宋_GB2312" w:hAnsi="仿宋" w:eastAsia="仿宋_GB2312" w:cs="仿宋_GB2312"/>
          <w:kern w:val="0"/>
          <w:sz w:val="24"/>
          <w:szCs w:val="24"/>
        </w:rPr>
      </w:pPr>
      <w:r>
        <w:rPr>
          <w:rFonts w:hint="eastAsia" w:ascii="仿宋_GB2312" w:hAnsi="仿宋" w:eastAsia="仿宋_GB2312" w:cs="仿宋_GB2312"/>
          <w:kern w:val="0"/>
          <w:sz w:val="24"/>
          <w:szCs w:val="24"/>
          <w:lang w:val="zh-CN"/>
        </w:rPr>
        <w:t>邮政编码：</w:t>
      </w:r>
      <w:r>
        <w:rPr>
          <w:rFonts w:hint="eastAsia" w:ascii="仿宋_GB2312" w:hAnsi="仿宋" w:eastAsia="仿宋_GB2312" w:cs="仿宋_GB2312"/>
          <w:kern w:val="0"/>
          <w:sz w:val="24"/>
          <w:szCs w:val="24"/>
          <w:u w:val="single"/>
          <w:lang w:val="zh-CN"/>
        </w:rPr>
        <w:t xml:space="preserve">                     </w:t>
      </w:r>
      <w:r>
        <w:rPr>
          <w:rFonts w:hint="eastAsia" w:ascii="仿宋_GB2312" w:hAnsi="仿宋" w:eastAsia="仿宋_GB2312" w:cs="仿宋_GB2312"/>
          <w:kern w:val="0"/>
          <w:sz w:val="24"/>
          <w:szCs w:val="24"/>
          <w:lang w:val="zh-CN"/>
        </w:rPr>
        <w:t>传真号码：</w:t>
      </w:r>
      <w:r>
        <w:rPr>
          <w:rFonts w:hint="eastAsia" w:ascii="仿宋_GB2312" w:hAnsi="仿宋" w:eastAsia="仿宋_GB2312" w:cs="仿宋_GB2312"/>
          <w:kern w:val="0"/>
          <w:sz w:val="24"/>
          <w:szCs w:val="24"/>
          <w:u w:val="single"/>
          <w:lang w:val="zh-CN"/>
        </w:rPr>
        <w:t xml:space="preserve">                     </w:t>
      </w:r>
    </w:p>
    <w:p>
      <w:pPr>
        <w:adjustRightInd w:val="0"/>
        <w:snapToGrid w:val="0"/>
        <w:spacing w:line="360" w:lineRule="auto"/>
        <w:rPr>
          <w:rFonts w:ascii="仿宋_GB2312" w:hAnsi="仿宋" w:eastAsia="仿宋_GB2312" w:cs="仿宋_GB2312"/>
          <w:sz w:val="24"/>
          <w:szCs w:val="24"/>
        </w:rPr>
      </w:pPr>
      <w:r>
        <w:rPr>
          <w:rFonts w:hint="eastAsia" w:ascii="仿宋_GB2312" w:hAnsi="仿宋" w:eastAsia="仿宋_GB2312" w:cs="仿宋_GB2312"/>
          <w:b/>
          <w:kern w:val="0"/>
          <w:sz w:val="24"/>
          <w:szCs w:val="24"/>
          <w:lang w:val="zh-CN"/>
        </w:rPr>
        <w:t>注：未按照本投标响应函要求填报的将被视为非实质性响应投标，从而可能导致该投标被拒绝。</w:t>
      </w:r>
    </w:p>
    <w:p>
      <w:pPr>
        <w:adjustRightInd w:val="0"/>
        <w:snapToGrid w:val="0"/>
        <w:spacing w:before="120" w:after="120" w:line="360" w:lineRule="auto"/>
        <w:ind w:firstLine="643"/>
        <w:jc w:val="center"/>
        <w:rPr>
          <w:rFonts w:ascii="仿宋_GB2312" w:hAnsi="仿宋" w:eastAsia="仿宋_GB2312" w:cs="仿宋_GB2312"/>
          <w:b/>
          <w:sz w:val="32"/>
          <w:szCs w:val="32"/>
        </w:rPr>
        <w:sectPr>
          <w:headerReference r:id="rId13" w:type="first"/>
          <w:footerReference r:id="rId16" w:type="first"/>
          <w:headerReference r:id="rId11" w:type="default"/>
          <w:footerReference r:id="rId14" w:type="default"/>
          <w:headerReference r:id="rId12" w:type="even"/>
          <w:footerReference r:id="rId15" w:type="even"/>
          <w:pgSz w:w="11906" w:h="16838"/>
          <w:pgMar w:top="680" w:right="1418" w:bottom="680" w:left="1418" w:header="851" w:footer="992" w:gutter="0"/>
          <w:pgNumType w:fmt="decimal"/>
          <w:cols w:space="720" w:num="1"/>
          <w:titlePg/>
          <w:docGrid w:linePitch="312" w:charSpace="0"/>
        </w:sectPr>
      </w:pPr>
    </w:p>
    <w:p>
      <w:pPr>
        <w:adjustRightInd w:val="0"/>
        <w:snapToGrid w:val="0"/>
        <w:spacing w:before="120" w:after="120" w:line="360" w:lineRule="auto"/>
        <w:ind w:firstLine="643"/>
        <w:jc w:val="center"/>
        <w:rPr>
          <w:rFonts w:ascii="仿宋_GB2312" w:hAnsi="仿宋" w:eastAsia="仿宋_GB2312" w:cs="仿宋_GB2312"/>
          <w:b/>
          <w:sz w:val="32"/>
          <w:szCs w:val="32"/>
        </w:rPr>
      </w:pPr>
      <w:r>
        <w:rPr>
          <w:rFonts w:hint="eastAsia" w:ascii="仿宋_GB2312" w:hAnsi="仿宋" w:eastAsia="仿宋_GB2312" w:cs="仿宋_GB2312"/>
          <w:b/>
          <w:sz w:val="32"/>
          <w:szCs w:val="32"/>
        </w:rPr>
        <w:t>二、投标(开标)一览表</w:t>
      </w:r>
    </w:p>
    <w:p>
      <w:pPr>
        <w:adjustRightInd w:val="0"/>
        <w:snapToGrid w:val="0"/>
        <w:spacing w:line="360" w:lineRule="auto"/>
        <w:rPr>
          <w:rFonts w:ascii="仿宋_GB2312" w:hAnsi="仿宋" w:eastAsia="仿宋_GB2312" w:cs="仿宋_GB2312"/>
          <w:kern w:val="0"/>
          <w:sz w:val="24"/>
          <w:szCs w:val="24"/>
        </w:rPr>
      </w:pPr>
      <w:bookmarkStart w:id="1074" w:name="_Toc86217005"/>
      <w:r>
        <w:rPr>
          <w:rFonts w:hint="eastAsia" w:ascii="仿宋_GB2312" w:hAnsi="仿宋" w:eastAsia="仿宋_GB2312" w:cs="仿宋_GB2312"/>
          <w:sz w:val="24"/>
          <w:szCs w:val="24"/>
        </w:rPr>
        <w:t>XXX（采购人名称）、杭州市公共资源交易中心</w:t>
      </w:r>
      <w:r>
        <w:rPr>
          <w:rFonts w:hint="eastAsia" w:ascii="仿宋_GB2312" w:hAnsi="仿宋" w:eastAsia="仿宋_GB2312" w:cs="仿宋_GB2312"/>
          <w:sz w:val="24"/>
          <w:szCs w:val="24"/>
          <w:lang w:eastAsia="zh-CN"/>
        </w:rPr>
        <w:t>临安分中心</w:t>
      </w:r>
      <w:r>
        <w:rPr>
          <w:rFonts w:hint="eastAsia" w:ascii="仿宋_GB2312" w:hAnsi="仿宋" w:eastAsia="仿宋_GB2312" w:cs="仿宋_GB2312"/>
          <w:kern w:val="0"/>
          <w:sz w:val="24"/>
          <w:szCs w:val="24"/>
          <w:lang w:val="zh-CN"/>
        </w:rPr>
        <w:t>：</w:t>
      </w:r>
    </w:p>
    <w:p>
      <w:pPr>
        <w:adjustRightInd w:val="0"/>
        <w:snapToGrid w:val="0"/>
        <w:spacing w:line="360" w:lineRule="auto"/>
        <w:ind w:firstLine="482"/>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按你方招标文件要求，我们，本投标文件签字方，谨此向你方发出要约如下：如你方接受本投标，我方承诺按照如下投标(开标)一览表的价格完成</w:t>
      </w:r>
      <w:r>
        <w:rPr>
          <w:rFonts w:hint="eastAsia" w:ascii="仿宋_GB2312" w:hAnsi="仿宋" w:eastAsia="仿宋_GB2312" w:cs="仿宋_GB2312"/>
          <w:sz w:val="24"/>
          <w:szCs w:val="24"/>
        </w:rPr>
        <w:t>XXXXXX项目</w:t>
      </w:r>
      <w:r>
        <w:rPr>
          <w:rFonts w:hint="eastAsia" w:ascii="仿宋_GB2312" w:hAnsi="仿宋" w:eastAsia="仿宋_GB2312" w:cs="仿宋_GB2312"/>
          <w:kern w:val="0"/>
          <w:sz w:val="24"/>
          <w:szCs w:val="24"/>
          <w:lang w:val="zh-CN"/>
        </w:rPr>
        <w:t>【招标编号：</w:t>
      </w:r>
      <w:r>
        <w:rPr>
          <w:rFonts w:hint="eastAsia" w:ascii="仿宋_GB2312" w:hAnsi="仿宋" w:eastAsia="仿宋_GB2312" w:cs="仿宋_GB2312"/>
          <w:sz w:val="24"/>
          <w:szCs w:val="24"/>
        </w:rPr>
        <w:t>XXX】的实施</w:t>
      </w:r>
      <w:r>
        <w:rPr>
          <w:rFonts w:hint="eastAsia" w:ascii="仿宋_GB2312" w:hAnsi="仿宋" w:eastAsia="仿宋_GB2312" w:cs="仿宋_GB2312"/>
          <w:kern w:val="0"/>
          <w:sz w:val="24"/>
          <w:szCs w:val="24"/>
          <w:lang w:val="zh-CN"/>
        </w:rPr>
        <w:t>。</w:t>
      </w:r>
    </w:p>
    <w:p>
      <w:pPr>
        <w:adjustRightInd w:val="0"/>
        <w:spacing w:line="360" w:lineRule="auto"/>
        <w:jc w:val="center"/>
        <w:rPr>
          <w:rFonts w:ascii="仿宋_GB2312" w:hAnsi="仿宋" w:eastAsia="仿宋_GB2312" w:cs="仿宋_GB2312"/>
          <w:b/>
          <w:kern w:val="0"/>
          <w:sz w:val="24"/>
          <w:szCs w:val="24"/>
          <w:lang w:val="zh-CN"/>
        </w:rPr>
      </w:pPr>
      <w:r>
        <w:rPr>
          <w:rFonts w:hint="eastAsia" w:ascii="仿宋_GB2312" w:hAnsi="仿宋" w:eastAsia="仿宋_GB2312" w:cs="仿宋_GB2312"/>
          <w:b/>
          <w:kern w:val="0"/>
          <w:sz w:val="24"/>
          <w:szCs w:val="24"/>
          <w:lang w:val="zh-CN"/>
        </w:rPr>
        <w:t>投标(开标)一览表(单位均为人民币元)</w:t>
      </w:r>
    </w:p>
    <w:tbl>
      <w:tblPr>
        <w:tblStyle w:val="62"/>
        <w:tblW w:w="505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8"/>
        <w:gridCol w:w="1852"/>
        <w:gridCol w:w="1683"/>
        <w:gridCol w:w="1281"/>
        <w:gridCol w:w="1092"/>
        <w:gridCol w:w="1330"/>
        <w:gridCol w:w="1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trPr>
        <w:tc>
          <w:tcPr>
            <w:tcW w:w="372" w:type="pct"/>
            <w:vAlign w:val="center"/>
          </w:tcPr>
          <w:p>
            <w:pPr>
              <w:adjustRightInd w:val="0"/>
              <w:spacing w:line="360" w:lineRule="auto"/>
              <w:jc w:val="center"/>
              <w:rPr>
                <w:rFonts w:ascii="仿宋_GB2312" w:hAnsi="仿宋" w:eastAsia="仿宋_GB2312" w:cs="仿宋_GB2312"/>
                <w:b/>
                <w:sz w:val="24"/>
                <w:szCs w:val="24"/>
              </w:rPr>
            </w:pPr>
            <w:r>
              <w:rPr>
                <w:rFonts w:hint="eastAsia" w:ascii="仿宋_GB2312" w:hAnsi="仿宋" w:eastAsia="仿宋_GB2312" w:cs="Times New Roman"/>
                <w:b/>
                <w:sz w:val="24"/>
                <w:szCs w:val="24"/>
              </w:rPr>
              <w:t>序号</w:t>
            </w:r>
          </w:p>
        </w:tc>
        <w:tc>
          <w:tcPr>
            <w:tcW w:w="987" w:type="pct"/>
            <w:vAlign w:val="center"/>
          </w:tcPr>
          <w:p>
            <w:pPr>
              <w:adjustRightInd w:val="0"/>
              <w:spacing w:line="360" w:lineRule="auto"/>
              <w:jc w:val="center"/>
              <w:rPr>
                <w:rFonts w:hint="eastAsia" w:ascii="仿宋_GB2312" w:hAnsi="仿宋" w:eastAsia="仿宋_GB2312" w:cs="仿宋_GB2312"/>
                <w:b/>
                <w:sz w:val="24"/>
                <w:szCs w:val="24"/>
                <w:lang w:eastAsia="zh-CN"/>
              </w:rPr>
            </w:pPr>
            <w:r>
              <w:rPr>
                <w:rFonts w:hint="eastAsia" w:ascii="仿宋_GB2312" w:hAnsi="仿宋" w:eastAsia="仿宋_GB2312"/>
                <w:b/>
                <w:sz w:val="24"/>
              </w:rPr>
              <w:t>名称</w:t>
            </w:r>
          </w:p>
        </w:tc>
        <w:tc>
          <w:tcPr>
            <w:tcW w:w="897" w:type="pct"/>
            <w:vAlign w:val="center"/>
          </w:tcPr>
          <w:p>
            <w:pPr>
              <w:adjustRightInd w:val="0"/>
              <w:spacing w:line="360" w:lineRule="auto"/>
              <w:jc w:val="center"/>
              <w:rPr>
                <w:rFonts w:hint="eastAsia" w:ascii="仿宋_GB2312" w:hAnsi="仿宋" w:eastAsia="仿宋_GB2312" w:cs="仿宋_GB2312"/>
                <w:b/>
                <w:sz w:val="24"/>
                <w:szCs w:val="24"/>
                <w:lang w:eastAsia="zh-CN"/>
              </w:rPr>
            </w:pPr>
            <w:r>
              <w:rPr>
                <w:rFonts w:hint="eastAsia" w:ascii="仿宋_GB2312" w:hAnsi="仿宋" w:eastAsia="仿宋_GB2312" w:cs="Times New Roman"/>
                <w:b/>
                <w:sz w:val="24"/>
                <w:szCs w:val="24"/>
              </w:rPr>
              <w:t>具体服务</w:t>
            </w:r>
            <w:r>
              <w:rPr>
                <w:rFonts w:hint="eastAsia" w:ascii="仿宋_GB2312" w:hAnsi="仿宋" w:eastAsia="仿宋_GB2312" w:cs="Times New Roman"/>
                <w:b/>
                <w:sz w:val="24"/>
                <w:szCs w:val="24"/>
                <w:lang w:eastAsia="zh-CN"/>
              </w:rPr>
              <w:t>（或规格型号）</w:t>
            </w:r>
          </w:p>
        </w:tc>
        <w:tc>
          <w:tcPr>
            <w:tcW w:w="682" w:type="pct"/>
            <w:vAlign w:val="center"/>
          </w:tcPr>
          <w:p>
            <w:pPr>
              <w:adjustRightInd w:val="0"/>
              <w:spacing w:line="360" w:lineRule="auto"/>
              <w:jc w:val="center"/>
              <w:rPr>
                <w:rFonts w:hint="eastAsia" w:ascii="仿宋_GB2312" w:hAnsi="仿宋" w:eastAsia="仿宋_GB2312" w:cs="仿宋_GB2312"/>
                <w:b/>
                <w:sz w:val="24"/>
                <w:szCs w:val="24"/>
                <w:lang w:eastAsia="zh-CN"/>
              </w:rPr>
            </w:pPr>
            <w:r>
              <w:rPr>
                <w:rFonts w:hint="eastAsia" w:ascii="仿宋_GB2312" w:hAnsi="仿宋" w:eastAsia="仿宋_GB2312" w:cs="仿宋_GB2312"/>
                <w:b/>
                <w:sz w:val="24"/>
                <w:szCs w:val="24"/>
                <w:lang w:eastAsia="zh-CN"/>
              </w:rPr>
              <w:t>工作量（数量）</w:t>
            </w:r>
          </w:p>
        </w:tc>
        <w:tc>
          <w:tcPr>
            <w:tcW w:w="582" w:type="pct"/>
            <w:vAlign w:val="center"/>
          </w:tcPr>
          <w:p>
            <w:pPr>
              <w:adjustRightInd w:val="0"/>
              <w:spacing w:line="360" w:lineRule="auto"/>
              <w:jc w:val="center"/>
              <w:rPr>
                <w:rFonts w:ascii="仿宋_GB2312" w:hAnsi="仿宋" w:eastAsia="仿宋_GB2312" w:cs="仿宋_GB2312"/>
                <w:b/>
                <w:sz w:val="24"/>
                <w:szCs w:val="24"/>
              </w:rPr>
            </w:pPr>
            <w:r>
              <w:rPr>
                <w:rFonts w:hint="eastAsia" w:ascii="仿宋_GB2312" w:hAnsi="仿宋" w:eastAsia="仿宋_GB2312" w:cs="Times New Roman"/>
                <w:b/>
                <w:sz w:val="24"/>
                <w:szCs w:val="24"/>
              </w:rPr>
              <w:t>单价</w:t>
            </w:r>
          </w:p>
        </w:tc>
        <w:tc>
          <w:tcPr>
            <w:tcW w:w="709" w:type="pct"/>
            <w:vAlign w:val="center"/>
          </w:tcPr>
          <w:p>
            <w:pPr>
              <w:adjustRightInd w:val="0"/>
              <w:spacing w:line="360" w:lineRule="auto"/>
              <w:jc w:val="center"/>
              <w:rPr>
                <w:rFonts w:ascii="仿宋_GB2312" w:hAnsi="仿宋" w:eastAsia="仿宋_GB2312" w:cs="仿宋_GB2312"/>
                <w:b/>
                <w:sz w:val="24"/>
                <w:szCs w:val="24"/>
              </w:rPr>
            </w:pPr>
            <w:r>
              <w:rPr>
                <w:rFonts w:hint="eastAsia" w:ascii="仿宋_GB2312" w:hAnsi="仿宋" w:eastAsia="仿宋_GB2312" w:cs="Times New Roman"/>
                <w:b/>
                <w:sz w:val="24"/>
                <w:szCs w:val="24"/>
              </w:rPr>
              <w:t>总价</w:t>
            </w:r>
          </w:p>
        </w:tc>
        <w:tc>
          <w:tcPr>
            <w:tcW w:w="769" w:type="pct"/>
            <w:vAlign w:val="center"/>
          </w:tcPr>
          <w:p>
            <w:pPr>
              <w:adjustRightInd w:val="0"/>
              <w:spacing w:line="360" w:lineRule="auto"/>
              <w:rPr>
                <w:rFonts w:ascii="仿宋_GB2312" w:hAnsi="仿宋" w:eastAsia="仿宋_GB2312" w:cs="Times New Roman"/>
                <w:b/>
                <w:sz w:val="24"/>
                <w:szCs w:val="24"/>
              </w:rPr>
            </w:pPr>
            <w:r>
              <w:rPr>
                <w:rFonts w:hint="eastAsia" w:ascii="仿宋_GB2312" w:hAnsi="仿宋" w:eastAsia="仿宋_GB2312" w:cs="Times New Roman"/>
                <w:b/>
                <w:sz w:val="24"/>
                <w:szCs w:val="24"/>
              </w:rPr>
              <w:t>服务要求（年限）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1</w:t>
            </w:r>
          </w:p>
        </w:tc>
        <w:tc>
          <w:tcPr>
            <w:tcW w:w="987" w:type="pct"/>
            <w:vAlign w:val="center"/>
          </w:tcPr>
          <w:p>
            <w:pPr>
              <w:adjustRightInd w:val="0"/>
              <w:snapToGrid w:val="0"/>
              <w:spacing w:line="360" w:lineRule="auto"/>
              <w:jc w:val="center"/>
              <w:rPr>
                <w:rFonts w:ascii="仿宋_GB2312" w:hAnsi="仿宋" w:eastAsia="仿宋_GB2312" w:cs="仿宋_GB2312"/>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restart"/>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2</w:t>
            </w:r>
          </w:p>
        </w:tc>
        <w:tc>
          <w:tcPr>
            <w:tcW w:w="987" w:type="pct"/>
            <w:vAlign w:val="center"/>
          </w:tcPr>
          <w:p>
            <w:pPr>
              <w:adjustRightInd w:val="0"/>
              <w:snapToGrid w:val="0"/>
              <w:spacing w:line="360" w:lineRule="auto"/>
              <w:jc w:val="center"/>
              <w:rPr>
                <w:rFonts w:ascii="仿宋_GB2312" w:hAnsi="仿宋" w:eastAsia="仿宋_GB2312" w:cs="仿宋_GB2312"/>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3</w:t>
            </w:r>
          </w:p>
        </w:tc>
        <w:tc>
          <w:tcPr>
            <w:tcW w:w="987" w:type="pct"/>
            <w:vAlign w:val="center"/>
          </w:tcPr>
          <w:p>
            <w:pPr>
              <w:adjustRightInd w:val="0"/>
              <w:snapToGrid w:val="0"/>
              <w:spacing w:line="360" w:lineRule="auto"/>
              <w:jc w:val="center"/>
              <w:rPr>
                <w:rFonts w:ascii="仿宋_GB2312" w:hAnsi="宋体" w:eastAsia="仿宋_GB2312" w:cs="Times New Roman"/>
                <w:b/>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4</w:t>
            </w:r>
          </w:p>
        </w:tc>
        <w:tc>
          <w:tcPr>
            <w:tcW w:w="987" w:type="pct"/>
            <w:vAlign w:val="center"/>
          </w:tcPr>
          <w:p>
            <w:pPr>
              <w:adjustRightInd w:val="0"/>
              <w:snapToGrid w:val="0"/>
              <w:spacing w:line="360" w:lineRule="auto"/>
              <w:jc w:val="center"/>
              <w:rPr>
                <w:rFonts w:ascii="仿宋_GB2312" w:hAnsi="宋体" w:eastAsia="仿宋_GB2312" w:cs="Times New Roman"/>
                <w:b/>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5</w:t>
            </w:r>
          </w:p>
        </w:tc>
        <w:tc>
          <w:tcPr>
            <w:tcW w:w="987" w:type="pct"/>
            <w:vAlign w:val="center"/>
          </w:tcPr>
          <w:p>
            <w:pPr>
              <w:adjustRightInd w:val="0"/>
              <w:snapToGrid w:val="0"/>
              <w:spacing w:line="360" w:lineRule="auto"/>
              <w:jc w:val="center"/>
              <w:rPr>
                <w:rFonts w:ascii="仿宋_GB2312" w:hAnsi="仿宋" w:eastAsia="仿宋_GB2312" w:cs="仿宋_GB2312"/>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6</w:t>
            </w:r>
          </w:p>
        </w:tc>
        <w:tc>
          <w:tcPr>
            <w:tcW w:w="987" w:type="pct"/>
            <w:vAlign w:val="center"/>
          </w:tcPr>
          <w:p>
            <w:pPr>
              <w:adjustRightInd w:val="0"/>
              <w:snapToGrid w:val="0"/>
              <w:spacing w:line="360" w:lineRule="auto"/>
              <w:jc w:val="center"/>
              <w:rPr>
                <w:rFonts w:ascii="仿宋_GB2312" w:hAnsi="仿宋" w:eastAsia="仿宋_GB2312" w:cs="仿宋_GB2312"/>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7</w:t>
            </w:r>
          </w:p>
        </w:tc>
        <w:tc>
          <w:tcPr>
            <w:tcW w:w="987" w:type="pct"/>
            <w:vAlign w:val="center"/>
          </w:tcPr>
          <w:p>
            <w:pPr>
              <w:adjustRightInd w:val="0"/>
              <w:snapToGrid w:val="0"/>
              <w:spacing w:line="360" w:lineRule="auto"/>
              <w:jc w:val="center"/>
              <w:rPr>
                <w:rFonts w:ascii="仿宋_GB2312" w:hAnsi="宋体" w:eastAsia="仿宋_GB2312" w:cs="Times New Roman"/>
                <w:b/>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8</w:t>
            </w:r>
          </w:p>
        </w:tc>
        <w:tc>
          <w:tcPr>
            <w:tcW w:w="987" w:type="pct"/>
            <w:vAlign w:val="center"/>
          </w:tcPr>
          <w:p>
            <w:pPr>
              <w:adjustRightInd w:val="0"/>
              <w:snapToGrid w:val="0"/>
              <w:spacing w:line="360" w:lineRule="auto"/>
              <w:jc w:val="center"/>
              <w:rPr>
                <w:rFonts w:ascii="仿宋_GB2312" w:hAnsi="Times New Roman" w:eastAsia="仿宋_GB2312" w:cs="Times New Roman"/>
                <w:sz w:val="24"/>
                <w:szCs w:val="24"/>
              </w:rPr>
            </w:pP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72" w:type="pct"/>
            <w:vAlign w:val="center"/>
          </w:tcPr>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9</w:t>
            </w:r>
          </w:p>
        </w:tc>
        <w:tc>
          <w:tcPr>
            <w:tcW w:w="987" w:type="pct"/>
            <w:vAlign w:val="center"/>
          </w:tcPr>
          <w:p>
            <w:pPr>
              <w:adjustRightInd w:val="0"/>
              <w:snapToGrid w:val="0"/>
              <w:spacing w:line="360" w:lineRule="auto"/>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w:t>
            </w:r>
          </w:p>
        </w:tc>
        <w:tc>
          <w:tcPr>
            <w:tcW w:w="897" w:type="pct"/>
            <w:vAlign w:val="center"/>
          </w:tcPr>
          <w:p>
            <w:pPr>
              <w:adjustRightInd w:val="0"/>
              <w:snapToGrid w:val="0"/>
              <w:spacing w:line="360" w:lineRule="auto"/>
              <w:jc w:val="center"/>
              <w:rPr>
                <w:rFonts w:ascii="仿宋_GB2312" w:hAnsi="仿宋" w:eastAsia="仿宋_GB2312" w:cs="仿宋_GB2312"/>
                <w:sz w:val="24"/>
                <w:szCs w:val="24"/>
              </w:rPr>
            </w:pPr>
          </w:p>
        </w:tc>
        <w:tc>
          <w:tcPr>
            <w:tcW w:w="682" w:type="pct"/>
            <w:vAlign w:val="center"/>
          </w:tcPr>
          <w:p>
            <w:pPr>
              <w:adjustRightInd w:val="0"/>
              <w:snapToGrid w:val="0"/>
              <w:spacing w:line="360" w:lineRule="auto"/>
              <w:jc w:val="center"/>
              <w:rPr>
                <w:rFonts w:ascii="仿宋_GB2312" w:hAnsi="仿宋" w:eastAsia="仿宋_GB2312" w:cs="仿宋_GB2312"/>
                <w:sz w:val="24"/>
                <w:szCs w:val="24"/>
              </w:rPr>
            </w:pPr>
          </w:p>
        </w:tc>
        <w:tc>
          <w:tcPr>
            <w:tcW w:w="582" w:type="pct"/>
            <w:vAlign w:val="center"/>
          </w:tcPr>
          <w:p>
            <w:pPr>
              <w:adjustRightInd w:val="0"/>
              <w:spacing w:line="360" w:lineRule="auto"/>
              <w:jc w:val="center"/>
              <w:rPr>
                <w:rFonts w:ascii="仿宋_GB2312" w:hAnsi="仿宋" w:eastAsia="仿宋_GB2312" w:cs="仿宋_GB2312"/>
                <w:sz w:val="24"/>
                <w:szCs w:val="24"/>
              </w:rPr>
            </w:pPr>
          </w:p>
        </w:tc>
        <w:tc>
          <w:tcPr>
            <w:tcW w:w="709" w:type="pct"/>
            <w:vAlign w:val="center"/>
          </w:tcPr>
          <w:p>
            <w:pPr>
              <w:adjustRightInd w:val="0"/>
              <w:spacing w:line="360" w:lineRule="auto"/>
              <w:jc w:val="center"/>
              <w:rPr>
                <w:rFonts w:ascii="仿宋_GB2312" w:hAnsi="仿宋" w:eastAsia="仿宋_GB2312" w:cs="仿宋_GB2312"/>
                <w:sz w:val="24"/>
                <w:szCs w:val="24"/>
              </w:rPr>
            </w:pPr>
          </w:p>
        </w:tc>
        <w:tc>
          <w:tcPr>
            <w:tcW w:w="769" w:type="pct"/>
            <w:vMerge w:val="continue"/>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939" w:type="pct"/>
            <w:gridSpan w:val="4"/>
            <w:vAlign w:val="center"/>
          </w:tcPr>
          <w:p>
            <w:pPr>
              <w:adjustRightIn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投标报价（小写）</w:t>
            </w:r>
          </w:p>
        </w:tc>
        <w:tc>
          <w:tcPr>
            <w:tcW w:w="2060" w:type="pct"/>
            <w:gridSpan w:val="3"/>
            <w:vAlign w:val="center"/>
          </w:tcPr>
          <w:p>
            <w:pPr>
              <w:adjustRightInd w:val="0"/>
              <w:spacing w:line="360" w:lineRule="auto"/>
              <w:jc w:val="center"/>
              <w:rPr>
                <w:rFonts w:ascii="仿宋_GB2312" w:hAnsi="仿宋"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939" w:type="pct"/>
            <w:gridSpan w:val="4"/>
            <w:vAlign w:val="center"/>
          </w:tcPr>
          <w:p>
            <w:pPr>
              <w:adjustRightInd w:val="0"/>
              <w:spacing w:line="360" w:lineRule="auto"/>
              <w:jc w:val="center"/>
              <w:rPr>
                <w:rFonts w:ascii="仿宋_GB2312" w:hAnsi="仿宋" w:eastAsia="仿宋_GB2312" w:cs="仿宋_GB2312"/>
                <w:b/>
                <w:sz w:val="24"/>
                <w:szCs w:val="24"/>
              </w:rPr>
            </w:pPr>
            <w:r>
              <w:rPr>
                <w:rFonts w:hint="eastAsia" w:ascii="仿宋_GB2312" w:hAnsi="仿宋" w:eastAsia="仿宋_GB2312" w:cs="仿宋_GB2312"/>
                <w:b/>
                <w:sz w:val="24"/>
                <w:szCs w:val="24"/>
              </w:rPr>
              <w:t>投标报价（大写）</w:t>
            </w:r>
          </w:p>
        </w:tc>
        <w:tc>
          <w:tcPr>
            <w:tcW w:w="2060" w:type="pct"/>
            <w:gridSpan w:val="3"/>
            <w:vAlign w:val="center"/>
          </w:tcPr>
          <w:p>
            <w:pPr>
              <w:adjustRightInd w:val="0"/>
              <w:spacing w:line="360" w:lineRule="auto"/>
              <w:jc w:val="center"/>
              <w:rPr>
                <w:rFonts w:ascii="仿宋_GB2312" w:hAnsi="仿宋" w:eastAsia="仿宋_GB2312" w:cs="仿宋_GB2312"/>
                <w:sz w:val="24"/>
                <w:szCs w:val="24"/>
              </w:rPr>
            </w:pPr>
          </w:p>
        </w:tc>
      </w:tr>
    </w:tbl>
    <w:p>
      <w:pPr>
        <w:adjustRightInd w:val="0"/>
        <w:snapToGrid w:val="0"/>
        <w:spacing w:line="360" w:lineRule="auto"/>
        <w:ind w:left="480"/>
        <w:rPr>
          <w:rFonts w:ascii="仿宋_GB2312" w:hAnsi="仿宋" w:eastAsia="仿宋_GB2312" w:cs="仿宋_GB2312"/>
          <w:b/>
          <w:kern w:val="0"/>
          <w:sz w:val="24"/>
          <w:szCs w:val="24"/>
          <w:lang w:val="zh-CN"/>
        </w:rPr>
      </w:pPr>
      <w:r>
        <w:rPr>
          <w:rFonts w:hint="eastAsia" w:ascii="仿宋_GB2312" w:hAnsi="仿宋" w:eastAsia="仿宋_GB2312" w:cs="仿宋_GB2312"/>
          <w:b/>
          <w:kern w:val="0"/>
          <w:sz w:val="24"/>
          <w:szCs w:val="24"/>
          <w:lang w:val="zh-CN"/>
        </w:rPr>
        <w:t>注：</w:t>
      </w:r>
    </w:p>
    <w:p>
      <w:pPr>
        <w:adjustRightInd w:val="0"/>
        <w:spacing w:line="360" w:lineRule="auto"/>
        <w:ind w:left="-2" w:leftChars="-1" w:firstLine="480" w:firstLineChars="200"/>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1、投标人需按本表格式填写，不得自行更改。</w:t>
      </w:r>
    </w:p>
    <w:p>
      <w:pPr>
        <w:adjustRightInd w:val="0"/>
        <w:snapToGrid w:val="0"/>
        <w:spacing w:line="360" w:lineRule="auto"/>
        <w:ind w:left="480"/>
        <w:rPr>
          <w:rFonts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2、有关本项目实施所涉及的一切费用（详见前附表）均计入报价。</w:t>
      </w:r>
      <w:r>
        <w:rPr>
          <w:rFonts w:hint="eastAsia" w:ascii="仿宋_GB2312" w:hAnsi="仿宋" w:eastAsia="仿宋_GB2312" w:cs="Arial"/>
          <w:b/>
          <w:snapToGrid w:val="0"/>
          <w:color w:val="auto"/>
          <w:sz w:val="24"/>
          <w:szCs w:val="21"/>
        </w:rPr>
        <w:t>▲</w:t>
      </w:r>
      <w:r>
        <w:rPr>
          <w:rFonts w:hint="eastAsia" w:ascii="仿宋_GB2312" w:hAnsi="仿宋" w:eastAsia="仿宋_GB2312" w:cs="仿宋_GB2312"/>
          <w:b/>
          <w:kern w:val="0"/>
          <w:sz w:val="24"/>
          <w:szCs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szCs w:val="24"/>
          <w:lang w:val="zh-CN"/>
        </w:rPr>
        <w:t>，</w:t>
      </w:r>
      <w:r>
        <w:rPr>
          <w:rFonts w:hint="eastAsia" w:ascii="仿宋_GB2312" w:hAnsi="仿宋" w:eastAsia="仿宋_GB2312" w:cs="仿宋_GB2312"/>
          <w:b/>
          <w:kern w:val="0"/>
          <w:sz w:val="24"/>
          <w:szCs w:val="24"/>
          <w:lang w:val="zh-CN"/>
        </w:rPr>
        <w:t>各项明细费用请按实填写（不得出现“0元”“免费赠送”等形式的无偿报价）。</w:t>
      </w:r>
    </w:p>
    <w:p>
      <w:pPr>
        <w:adjustRightInd w:val="0"/>
        <w:snapToGrid w:val="0"/>
        <w:spacing w:line="360" w:lineRule="auto"/>
        <w:ind w:firstLine="480" w:firstLineChars="200"/>
        <w:jc w:val="left"/>
        <w:rPr>
          <w:rFonts w:hint="eastAsia"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en-US" w:eastAsia="zh-CN"/>
        </w:rPr>
        <w:t>3</w:t>
      </w:r>
      <w:r>
        <w:rPr>
          <w:rFonts w:hint="eastAsia" w:ascii="仿宋_GB2312" w:hAnsi="仿宋" w:eastAsia="仿宋_GB2312" w:cs="仿宋_GB2312"/>
          <w:kern w:val="0"/>
          <w:sz w:val="24"/>
          <w:szCs w:val="24"/>
          <w:lang w:val="zh-CN"/>
        </w:rPr>
        <w:t>、特别提示：采购机构将对项目名称和项目编号，中标供应商名称、地址和中标金额，主要中标标的的名称、具体服务、数量、单价、服务要求等予以公示。</w:t>
      </w:r>
    </w:p>
    <w:p>
      <w:pPr>
        <w:pStyle w:val="78"/>
        <w:ind w:firstLine="480" w:firstLineChars="200"/>
        <w:rPr>
          <w:lang w:val="zh-CN"/>
        </w:rPr>
      </w:pPr>
      <w:r>
        <w:rPr>
          <w:rFonts w:hint="eastAsia" w:hAnsi="仿宋" w:cs="仿宋_GB2312"/>
          <w:kern w:val="0"/>
          <w:sz w:val="24"/>
          <w:lang w:val="en-US" w:eastAsia="zh-CN"/>
        </w:rPr>
        <w:t>4</w:t>
      </w:r>
      <w:r>
        <w:rPr>
          <w:rFonts w:hint="eastAsia" w:ascii="仿宋_GB2312" w:hAnsi="仿宋" w:eastAsia="仿宋_GB2312" w:cs="仿宋_GB2312"/>
          <w:kern w:val="0"/>
          <w:sz w:val="24"/>
          <w:lang w:val="zh-CN"/>
        </w:rPr>
        <w:t>、以上表格要求细分项目及报价，在“规格型号（或具体服务）”一栏中，货物类项目填写规格型号，服务类项目填写具体服务。</w:t>
      </w:r>
    </w:p>
    <w:p>
      <w:pPr>
        <w:adjustRightInd w:val="0"/>
        <w:spacing w:line="360" w:lineRule="auto"/>
        <w:ind w:firstLine="480" w:firstLineChars="200"/>
        <w:rPr>
          <w:rFonts w:ascii="仿宋_GB2312" w:hAnsi="仿宋" w:eastAsia="仿宋_GB2312" w:cs="仿宋_GB2312"/>
          <w:kern w:val="0"/>
          <w:sz w:val="24"/>
          <w:szCs w:val="24"/>
          <w:u w:val="single"/>
          <w:lang w:val="zh-CN"/>
        </w:rPr>
      </w:pPr>
      <w:r>
        <w:rPr>
          <w:rFonts w:hint="eastAsia" w:ascii="仿宋_GB2312" w:hAnsi="仿宋" w:eastAsia="仿宋_GB2312" w:cs="仿宋_GB2312"/>
          <w:kern w:val="0"/>
          <w:sz w:val="24"/>
          <w:lang w:val="en-US" w:eastAsia="zh-CN"/>
        </w:rPr>
        <w:t>5</w:t>
      </w:r>
      <w:r>
        <w:rPr>
          <w:rFonts w:ascii="仿宋_GB2312" w:hAnsi="仿宋" w:eastAsia="仿宋_GB2312" w:cs="仿宋_GB2312"/>
          <w:kern w:val="0"/>
          <w:sz w:val="24"/>
          <w:lang w:val="zh-CN"/>
        </w:rPr>
        <w:t>、</w:t>
      </w:r>
      <w:r>
        <w:rPr>
          <w:rFonts w:hint="eastAsia" w:ascii="仿宋_GB2312" w:hAnsi="仿宋" w:eastAsia="仿宋_GB2312" w:cs="仿宋_GB2312"/>
          <w:kern w:val="0"/>
          <w:sz w:val="24"/>
          <w:szCs w:val="24"/>
          <w:lang w:val="zh-CN"/>
        </w:rPr>
        <w:t>符合招标文件中列明的可享受中小企业扶持政策的投标人，请填写中小企业声明函。注：投标人</w:t>
      </w:r>
      <w:r>
        <w:rPr>
          <w:rFonts w:ascii="仿宋_GB2312" w:hAnsi="仿宋" w:eastAsia="仿宋_GB2312" w:cs="仿宋_GB2312"/>
          <w:kern w:val="0"/>
          <w:sz w:val="24"/>
          <w:szCs w:val="24"/>
          <w:lang w:val="zh-CN"/>
        </w:rPr>
        <w:t>提供</w:t>
      </w:r>
      <w:r>
        <w:rPr>
          <w:rFonts w:hint="eastAsia" w:ascii="仿宋_GB2312" w:hAnsi="仿宋" w:eastAsia="仿宋_GB2312" w:cs="仿宋_GB2312"/>
          <w:kern w:val="0"/>
          <w:sz w:val="24"/>
          <w:szCs w:val="24"/>
          <w:lang w:val="zh-CN"/>
        </w:rPr>
        <w:t>的中小企业</w:t>
      </w:r>
      <w:r>
        <w:rPr>
          <w:rFonts w:ascii="仿宋_GB2312" w:hAnsi="仿宋" w:eastAsia="仿宋_GB2312" w:cs="仿宋_GB2312"/>
          <w:kern w:val="0"/>
          <w:sz w:val="24"/>
          <w:szCs w:val="24"/>
          <w:lang w:val="zh-CN"/>
        </w:rPr>
        <w:t>声明函内容不实的，属于提供虚假材料谋取中标、成交，依照《中华人民共和国政府采购法》等国家有关规定追究相应责任。</w:t>
      </w:r>
    </w:p>
    <w:p>
      <w:pPr>
        <w:adjustRightInd w:val="0"/>
        <w:snapToGrid w:val="0"/>
        <w:spacing w:line="360" w:lineRule="auto"/>
        <w:ind w:firstLine="482" w:firstLineChars="200"/>
        <w:jc w:val="right"/>
        <w:rPr>
          <w:rFonts w:ascii="仿宋_GB2312" w:hAnsi="仿宋" w:eastAsia="仿宋_GB2312" w:cs="Times New Roman"/>
          <w:b/>
          <w:kern w:val="0"/>
          <w:sz w:val="24"/>
          <w:szCs w:val="24"/>
        </w:rPr>
      </w:pPr>
    </w:p>
    <w:p>
      <w:pPr>
        <w:adjustRightInd w:val="0"/>
        <w:spacing w:line="360" w:lineRule="auto"/>
        <w:ind w:right="960"/>
        <w:jc w:val="both"/>
        <w:rPr>
          <w:rFonts w:hint="eastAsia" w:ascii="仿宋_GB2312" w:hAnsi="仿宋" w:eastAsia="仿宋_GB2312" w:cs="仿宋_GB2312"/>
          <w:sz w:val="24"/>
          <w:szCs w:val="24"/>
          <w:lang w:eastAsia="zh-CN"/>
        </w:rPr>
      </w:pPr>
    </w:p>
    <w:p>
      <w:pPr>
        <w:adjustRightInd w:val="0"/>
        <w:spacing w:line="360" w:lineRule="auto"/>
        <w:ind w:right="960"/>
        <w:jc w:val="both"/>
        <w:rPr>
          <w:rFonts w:hint="eastAsia" w:ascii="仿宋_GB2312" w:hAnsi="仿宋" w:eastAsia="仿宋_GB2312" w:cs="仿宋_GB2312"/>
          <w:sz w:val="24"/>
          <w:szCs w:val="24"/>
          <w:lang w:eastAsia="zh-CN"/>
        </w:rPr>
      </w:pPr>
    </w:p>
    <w:p>
      <w:pPr>
        <w:adjustRightInd w:val="0"/>
        <w:spacing w:line="360" w:lineRule="auto"/>
        <w:ind w:right="960"/>
        <w:jc w:val="both"/>
        <w:rPr>
          <w:rFonts w:hint="eastAsia" w:ascii="仿宋_GB2312" w:hAnsi="仿宋" w:eastAsia="仿宋_GB2312" w:cs="仿宋_GB2312"/>
          <w:sz w:val="24"/>
          <w:szCs w:val="24"/>
          <w:lang w:eastAsia="zh-CN"/>
        </w:rPr>
      </w:pPr>
    </w:p>
    <w:p>
      <w:pPr>
        <w:adjustRightInd w:val="0"/>
        <w:spacing w:line="360" w:lineRule="auto"/>
        <w:ind w:right="960"/>
        <w:jc w:val="right"/>
        <w:rPr>
          <w:rFonts w:ascii="仿宋_GB2312" w:hAnsi="仿宋" w:eastAsia="仿宋_GB2312" w:cs="仿宋_GB2312"/>
          <w:sz w:val="24"/>
          <w:szCs w:val="24"/>
        </w:rPr>
      </w:pPr>
      <w:r>
        <w:rPr>
          <w:rFonts w:hint="eastAsia" w:ascii="仿宋_GB2312" w:hAnsi="仿宋" w:eastAsia="仿宋_GB2312" w:cs="仿宋_GB2312"/>
          <w:sz w:val="24"/>
          <w:szCs w:val="24"/>
          <w:lang w:eastAsia="zh-CN"/>
        </w:rPr>
        <w:t>投标</w:t>
      </w:r>
      <w:r>
        <w:rPr>
          <w:rFonts w:hint="eastAsia" w:ascii="仿宋_GB2312" w:hAnsi="仿宋" w:eastAsia="仿宋_GB2312" w:cs="仿宋_GB2312"/>
          <w:sz w:val="24"/>
          <w:szCs w:val="24"/>
        </w:rPr>
        <w:t>人名称（电子签名）：</w:t>
      </w:r>
    </w:p>
    <w:p>
      <w:pPr>
        <w:adjustRightInd w:val="0"/>
        <w:spacing w:line="360" w:lineRule="auto"/>
        <w:ind w:right="480"/>
        <w:jc w:val="center"/>
        <w:rPr>
          <w:rFonts w:ascii="仿宋_GB2312" w:hAnsi="仿宋" w:eastAsia="仿宋_GB2312" w:cs="仿宋_GB2312"/>
          <w:sz w:val="24"/>
          <w:szCs w:val="24"/>
        </w:rPr>
      </w:pPr>
      <w:r>
        <w:rPr>
          <w:rFonts w:hint="eastAsia" w:ascii="仿宋_GB2312" w:hAnsi="仿宋" w:eastAsia="仿宋_GB2312" w:cs="仿宋_GB2312"/>
          <w:sz w:val="24"/>
          <w:szCs w:val="24"/>
          <w:lang w:val="en-US" w:eastAsia="zh-CN"/>
        </w:rPr>
        <w:t xml:space="preserve">                                   </w:t>
      </w:r>
      <w:r>
        <w:rPr>
          <w:rFonts w:hint="eastAsia" w:ascii="仿宋_GB2312" w:hAnsi="仿宋" w:eastAsia="仿宋_GB2312" w:cs="仿宋_GB2312"/>
          <w:sz w:val="24"/>
          <w:szCs w:val="24"/>
        </w:rPr>
        <w:t>日期：  年   月   日</w:t>
      </w:r>
    </w:p>
    <w:bookmarkEnd w:id="1074"/>
    <w:p>
      <w:pPr>
        <w:adjustRightInd w:val="0"/>
        <w:spacing w:line="360" w:lineRule="auto"/>
        <w:jc w:val="right"/>
        <w:outlineLvl w:val="0"/>
        <w:rPr>
          <w:rFonts w:ascii="仿宋_GB2312" w:hAnsi="仿宋" w:eastAsia="仿宋_GB2312" w:cs="仿宋_GB2312"/>
          <w:sz w:val="36"/>
          <w:szCs w:val="36"/>
          <w:lang w:val="zh-CN"/>
        </w:rPr>
        <w:sectPr>
          <w:pgSz w:w="11906" w:h="16838"/>
          <w:pgMar w:top="1276" w:right="1418" w:bottom="1247" w:left="1418" w:header="851" w:footer="992" w:gutter="0"/>
          <w:pgNumType w:fmt="decimal"/>
          <w:cols w:space="720" w:num="1"/>
          <w:titlePg/>
          <w:docGrid w:linePitch="312" w:charSpace="0"/>
        </w:sectPr>
      </w:pPr>
    </w:p>
    <w:p>
      <w:pPr>
        <w:adjustRightInd w:val="0"/>
        <w:snapToGrid w:val="0"/>
        <w:spacing w:before="120" w:after="120" w:line="360" w:lineRule="auto"/>
        <w:ind w:firstLine="643"/>
        <w:jc w:val="center"/>
        <w:rPr>
          <w:rFonts w:ascii="仿宋_GB2312" w:hAnsi="仿宋" w:eastAsia="仿宋_GB2312" w:cs="Times New Roman"/>
          <w:szCs w:val="24"/>
        </w:rPr>
      </w:pPr>
      <w:r>
        <w:rPr>
          <w:rFonts w:hint="eastAsia" w:ascii="仿宋_GB2312" w:hAnsi="仿宋" w:eastAsia="仿宋_GB2312" w:cs="仿宋_GB2312"/>
          <w:b/>
          <w:sz w:val="32"/>
          <w:szCs w:val="32"/>
        </w:rPr>
        <w:t>三、中小企业声明函</w:t>
      </w:r>
    </w:p>
    <w:p>
      <w:pPr>
        <w:adjustRightInd w:val="0"/>
        <w:spacing w:line="360" w:lineRule="auto"/>
        <w:ind w:firstLine="360" w:firstLineChars="150"/>
        <w:jc w:val="left"/>
        <w:rPr>
          <w:rFonts w:ascii="仿宋_GB2312" w:hAnsi="宋体" w:eastAsia="仿宋_GB2312" w:cs="Times New Roman"/>
          <w:sz w:val="24"/>
          <w:szCs w:val="24"/>
        </w:rPr>
      </w:pPr>
      <w:r>
        <w:rPr>
          <w:rFonts w:hint="eastAsia" w:ascii="仿宋_GB2312" w:hAnsi="宋体" w:eastAsia="仿宋_GB2312" w:cs="Times New Roman"/>
          <w:sz w:val="24"/>
          <w:szCs w:val="24"/>
        </w:rPr>
        <w:t>本公司（联合体）郑重声明，根据《政府采购促进中小企业发展管理办法》（财库﹝</w:t>
      </w:r>
      <w:r>
        <w:rPr>
          <w:rFonts w:ascii="仿宋_GB2312" w:hAnsi="宋体" w:eastAsia="仿宋_GB2312" w:cs="Times New Roman"/>
          <w:sz w:val="24"/>
          <w:szCs w:val="24"/>
        </w:rPr>
        <w:t xml:space="preserve">2020﹞46 </w:t>
      </w:r>
      <w:r>
        <w:rPr>
          <w:rFonts w:hint="eastAsia" w:ascii="仿宋_GB2312" w:hAnsi="宋体" w:eastAsia="仿宋_GB2312" w:cs="Times New Roman"/>
          <w:sz w:val="24"/>
          <w:szCs w:val="24"/>
        </w:rPr>
        <w:t>号）的规定，本公司（联合体）参加</w:t>
      </w:r>
      <w:r>
        <w:rPr>
          <w:rFonts w:ascii="仿宋_GB2312" w:hAnsi="宋体" w:eastAsia="仿宋_GB2312" w:cs="Times New Roman"/>
          <w:sz w:val="24"/>
          <w:szCs w:val="24"/>
        </w:rPr>
        <w:t xml:space="preserve"> </w:t>
      </w:r>
      <w:r>
        <w:rPr>
          <w:rFonts w:hint="eastAsia" w:ascii="仿宋_GB2312" w:hAnsi="宋体" w:eastAsia="仿宋_GB2312" w:cs="Times New Roman"/>
          <w:sz w:val="24"/>
          <w:szCs w:val="24"/>
        </w:rPr>
        <w:t>（单位名称）</w:t>
      </w:r>
      <w:r>
        <w:rPr>
          <w:rFonts w:ascii="仿宋_GB2312" w:hAnsi="宋体" w:eastAsia="仿宋_GB2312" w:cs="Times New Roman"/>
          <w:sz w:val="24"/>
          <w:szCs w:val="24"/>
        </w:rPr>
        <w:t xml:space="preserve"> </w:t>
      </w:r>
      <w:r>
        <w:rPr>
          <w:rFonts w:hint="eastAsia" w:ascii="仿宋_GB2312" w:hAnsi="宋体" w:eastAsia="仿宋_GB2312" w:cs="Times New Roman"/>
          <w:sz w:val="24"/>
          <w:szCs w:val="24"/>
        </w:rPr>
        <w:t>的</w:t>
      </w:r>
      <w:r>
        <w:rPr>
          <w:rFonts w:ascii="仿宋_GB2312" w:hAnsi="宋体" w:eastAsia="仿宋_GB2312" w:cs="Times New Roman"/>
          <w:sz w:val="24"/>
          <w:szCs w:val="24"/>
        </w:rPr>
        <w:t xml:space="preserve"> </w:t>
      </w:r>
      <w:r>
        <w:rPr>
          <w:rFonts w:hint="eastAsia" w:ascii="仿宋_GB2312" w:hAnsi="宋体" w:eastAsia="仿宋_GB2312" w:cs="Times New Roman"/>
          <w:sz w:val="24"/>
          <w:szCs w:val="24"/>
        </w:rPr>
        <w:t>（项目名称）</w:t>
      </w:r>
      <w:r>
        <w:rPr>
          <w:rFonts w:ascii="仿宋_GB2312" w:hAnsi="宋体" w:eastAsia="仿宋_GB2312" w:cs="Times New Roman"/>
          <w:sz w:val="24"/>
          <w:szCs w:val="24"/>
        </w:rPr>
        <w:t xml:space="preserve"> </w:t>
      </w:r>
      <w:r>
        <w:rPr>
          <w:rFonts w:hint="eastAsia" w:ascii="仿宋_GB2312" w:hAnsi="宋体" w:eastAsia="仿宋_GB2312" w:cs="Times New Roman"/>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pPr>
        <w:adjustRightInd w:val="0"/>
        <w:spacing w:line="360" w:lineRule="auto"/>
        <w:ind w:firstLine="480" w:firstLineChars="200"/>
        <w:jc w:val="left"/>
        <w:rPr>
          <w:rFonts w:ascii="仿宋_GB2312" w:hAnsi="宋体" w:eastAsia="仿宋_GB2312" w:cs="Times New Roman"/>
          <w:sz w:val="24"/>
          <w:szCs w:val="24"/>
        </w:rPr>
      </w:pPr>
      <w:r>
        <w:rPr>
          <w:rFonts w:ascii="仿宋_GB2312" w:hAnsi="宋体" w:eastAsia="仿宋_GB2312" w:cs="Times New Roman"/>
          <w:sz w:val="24"/>
          <w:szCs w:val="24"/>
        </w:rPr>
        <w:t>1.</w:t>
      </w:r>
      <w:r>
        <w:rPr>
          <w:rFonts w:hint="eastAsia" w:ascii="仿宋_GB2312" w:hAnsi="宋体" w:eastAsia="仿宋_GB2312" w:cs="Times New Roman"/>
          <w:b/>
          <w:bCs/>
          <w:sz w:val="24"/>
          <w:szCs w:val="24"/>
          <w:u w:val="single"/>
        </w:rPr>
        <w:t>（</w:t>
      </w:r>
      <w:r>
        <w:rPr>
          <w:rFonts w:hint="eastAsia" w:ascii="仿宋_GB2312" w:hAnsi="仿宋" w:eastAsia="仿宋_GB2312" w:cs="Times New Roman"/>
          <w:b/>
          <w:bCs/>
          <w:color w:val="auto"/>
          <w:sz w:val="24"/>
          <w:szCs w:val="24"/>
          <w:highlight w:val="none"/>
          <w:u w:val="single"/>
        </w:rPr>
        <w:t>天目医药港化工集聚区智慧园区数字化建设</w:t>
      </w:r>
      <w:r>
        <w:rPr>
          <w:rFonts w:hint="eastAsia" w:ascii="仿宋_GB2312" w:hAnsi="仿宋" w:eastAsia="仿宋_GB2312" w:cs="Times New Roman"/>
          <w:b/>
          <w:bCs/>
          <w:color w:val="auto"/>
          <w:sz w:val="24"/>
          <w:szCs w:val="24"/>
          <w:highlight w:val="none"/>
          <w:u w:val="single"/>
          <w:lang w:eastAsia="zh-CN"/>
        </w:rPr>
        <w:t>）</w:t>
      </w:r>
      <w:r>
        <w:rPr>
          <w:rFonts w:ascii="仿宋_GB2312" w:hAnsi="宋体" w:eastAsia="仿宋_GB2312" w:cs="Times New Roman"/>
          <w:sz w:val="24"/>
          <w:szCs w:val="24"/>
        </w:rPr>
        <w:t xml:space="preserve">，属于 </w:t>
      </w:r>
      <w:r>
        <w:rPr>
          <w:rFonts w:hint="eastAsia" w:ascii="仿宋_GB2312" w:hAnsi="宋体" w:eastAsia="仿宋_GB2312" w:cs="Times New Roman"/>
          <w:sz w:val="24"/>
          <w:szCs w:val="24"/>
          <w:u w:val="single"/>
        </w:rPr>
        <w:t>（</w:t>
      </w:r>
      <w:r>
        <w:rPr>
          <w:rFonts w:hint="eastAsia" w:ascii="仿宋_GB2312" w:hAnsi="仿宋" w:eastAsia="仿宋_GB2312" w:cs="Times New Roman"/>
          <w:b/>
          <w:bCs/>
          <w:color w:val="auto"/>
          <w:sz w:val="24"/>
          <w:szCs w:val="24"/>
          <w:highlight w:val="none"/>
          <w:u w:val="single"/>
          <w:lang w:eastAsia="zh-CN"/>
        </w:rPr>
        <w:t>软件和信息技术服务业</w:t>
      </w:r>
      <w:r>
        <w:rPr>
          <w:rFonts w:hint="eastAsia" w:ascii="仿宋_GB2312" w:hAnsi="宋体" w:eastAsia="仿宋_GB2312" w:cs="Times New Roman"/>
          <w:sz w:val="24"/>
          <w:szCs w:val="24"/>
          <w:u w:val="single"/>
        </w:rPr>
        <w:t>）</w:t>
      </w:r>
      <w:r>
        <w:rPr>
          <w:rFonts w:ascii="仿宋_GB2312" w:hAnsi="宋体" w:eastAsia="仿宋_GB2312" w:cs="Times New Roman"/>
          <w:sz w:val="24"/>
          <w:szCs w:val="24"/>
        </w:rPr>
        <w:t xml:space="preserve"> ；承建（承接）企业为 </w:t>
      </w:r>
      <w:r>
        <w:rPr>
          <w:rFonts w:hint="eastAsia" w:ascii="仿宋_GB2312" w:hAnsi="宋体" w:eastAsia="仿宋_GB2312" w:cs="Times New Roman"/>
          <w:sz w:val="24"/>
          <w:szCs w:val="24"/>
          <w:u w:val="single"/>
        </w:rPr>
        <w:t>（企业名称）</w:t>
      </w:r>
      <w:r>
        <w:rPr>
          <w:rFonts w:ascii="仿宋_GB2312" w:hAnsi="宋体" w:eastAsia="仿宋_GB2312" w:cs="Times New Roman"/>
          <w:sz w:val="24"/>
          <w:szCs w:val="24"/>
        </w:rPr>
        <w:t xml:space="preserve"> ，从业人员</w:t>
      </w:r>
      <w:r>
        <w:rPr>
          <w:rFonts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人，营业收入为</w:t>
      </w:r>
      <w:r>
        <w:rPr>
          <w:rFonts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万元，资产总额为</w:t>
      </w:r>
      <w:r>
        <w:rPr>
          <w:rFonts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万元属于</w:t>
      </w:r>
      <w:r>
        <w:rPr>
          <w:rFonts w:ascii="仿宋_GB2312" w:hAnsi="宋体" w:eastAsia="仿宋_GB2312" w:cs="Times New Roman"/>
          <w:sz w:val="24"/>
          <w:szCs w:val="24"/>
          <w:u w:val="single"/>
        </w:rPr>
        <w:t xml:space="preserve"> （中型企业、小型企业、微型企业） </w:t>
      </w:r>
      <w:r>
        <w:rPr>
          <w:rFonts w:hint="eastAsia" w:ascii="仿宋_GB2312" w:hAnsi="宋体" w:eastAsia="仿宋_GB2312" w:cs="Times New Roman"/>
          <w:sz w:val="24"/>
          <w:szCs w:val="24"/>
        </w:rPr>
        <w:t>；</w:t>
      </w:r>
    </w:p>
    <w:p>
      <w:pPr>
        <w:adjustRightInd w:val="0"/>
        <w:spacing w:line="360" w:lineRule="auto"/>
        <w:ind w:firstLine="480" w:firstLineChars="200"/>
        <w:jc w:val="left"/>
        <w:rPr>
          <w:rFonts w:ascii="仿宋_GB2312" w:hAnsi="宋体" w:eastAsia="仿宋_GB2312" w:cs="Times New Roman"/>
          <w:sz w:val="24"/>
          <w:szCs w:val="24"/>
        </w:rPr>
      </w:pPr>
      <w:r>
        <w:rPr>
          <w:rFonts w:ascii="仿宋_GB2312" w:hAnsi="宋体" w:eastAsia="仿宋_GB2312" w:cs="Times New Roman"/>
          <w:sz w:val="24"/>
          <w:szCs w:val="24"/>
        </w:rPr>
        <w:t>2.</w:t>
      </w:r>
      <w:r>
        <w:rPr>
          <w:rFonts w:hint="eastAsia" w:ascii="仿宋_GB2312" w:hAnsi="宋体" w:eastAsia="仿宋_GB2312" w:cs="Times New Roman"/>
          <w:sz w:val="24"/>
          <w:szCs w:val="24"/>
          <w:u w:val="single"/>
        </w:rPr>
        <w:t>（标的名称）</w:t>
      </w:r>
      <w:r>
        <w:rPr>
          <w:rFonts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，属于</w:t>
      </w:r>
      <w:r>
        <w:rPr>
          <w:rFonts w:ascii="仿宋_GB2312" w:hAnsi="宋体" w:eastAsia="仿宋_GB2312" w:cs="Times New Roman"/>
          <w:sz w:val="24"/>
          <w:szCs w:val="24"/>
        </w:rPr>
        <w:t xml:space="preserve"> </w:t>
      </w:r>
      <w:r>
        <w:rPr>
          <w:rFonts w:hint="eastAsia" w:ascii="仿宋_GB2312" w:hAnsi="宋体" w:eastAsia="仿宋_GB2312" w:cs="Times New Roman"/>
          <w:sz w:val="24"/>
          <w:szCs w:val="24"/>
          <w:u w:val="single"/>
        </w:rPr>
        <w:t>（采购文件中明确的所属行业）</w:t>
      </w:r>
      <w:r>
        <w:rPr>
          <w:rFonts w:ascii="仿宋_GB2312" w:hAnsi="宋体" w:eastAsia="仿宋_GB2312" w:cs="Times New Roman"/>
          <w:sz w:val="24"/>
          <w:szCs w:val="24"/>
        </w:rPr>
        <w:t xml:space="preserve"> ；承建（承接）企业为 </w:t>
      </w:r>
      <w:r>
        <w:rPr>
          <w:rFonts w:hint="eastAsia" w:ascii="仿宋_GB2312" w:hAnsi="宋体" w:eastAsia="仿宋_GB2312" w:cs="Times New Roman"/>
          <w:sz w:val="24"/>
          <w:szCs w:val="24"/>
          <w:u w:val="single"/>
        </w:rPr>
        <w:t>（企业名称）</w:t>
      </w:r>
      <w:r>
        <w:rPr>
          <w:rFonts w:ascii="仿宋_GB2312" w:hAnsi="宋体" w:eastAsia="仿宋_GB2312" w:cs="Times New Roman"/>
          <w:sz w:val="24"/>
          <w:szCs w:val="24"/>
        </w:rPr>
        <w:t xml:space="preserve"> ，从业人员</w:t>
      </w:r>
      <w:r>
        <w:rPr>
          <w:rFonts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人，营业收入为</w:t>
      </w:r>
      <w:r>
        <w:rPr>
          <w:rFonts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万元，资产总额为</w:t>
      </w:r>
      <w:r>
        <w:rPr>
          <w:rFonts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万元，属于</w:t>
      </w:r>
      <w:r>
        <w:rPr>
          <w:rFonts w:ascii="仿宋_GB2312" w:hAnsi="宋体" w:eastAsia="仿宋_GB2312" w:cs="Times New Roman"/>
          <w:sz w:val="24"/>
          <w:szCs w:val="24"/>
        </w:rPr>
        <w:t xml:space="preserve"> </w:t>
      </w:r>
      <w:r>
        <w:rPr>
          <w:rFonts w:hint="eastAsia" w:ascii="仿宋_GB2312" w:hAnsi="宋体" w:eastAsia="仿宋_GB2312" w:cs="Times New Roman"/>
          <w:sz w:val="24"/>
          <w:szCs w:val="24"/>
          <w:u w:val="single"/>
        </w:rPr>
        <w:t>（中型企业、小型企业、微型企业）</w:t>
      </w:r>
      <w:r>
        <w:rPr>
          <w:rFonts w:ascii="仿宋_GB2312" w:hAnsi="宋体" w:eastAsia="仿宋_GB2312" w:cs="Times New Roman"/>
          <w:sz w:val="24"/>
          <w:szCs w:val="24"/>
        </w:rPr>
        <w:t xml:space="preserve"> ；</w:t>
      </w:r>
    </w:p>
    <w:p>
      <w:pPr>
        <w:adjustRightInd w:val="0"/>
        <w:spacing w:line="360" w:lineRule="auto"/>
        <w:ind w:firstLine="480" w:firstLineChars="200"/>
        <w:jc w:val="left"/>
        <w:rPr>
          <w:rFonts w:ascii="仿宋_GB2312" w:hAnsi="宋体" w:eastAsia="仿宋_GB2312" w:cs="Times New Roman"/>
          <w:sz w:val="24"/>
          <w:szCs w:val="24"/>
        </w:rPr>
      </w:pPr>
      <w:r>
        <w:rPr>
          <w:rFonts w:hint="eastAsia" w:ascii="仿宋_GB2312" w:hAnsi="宋体" w:eastAsia="仿宋_GB2312" w:cs="Times New Roman"/>
          <w:sz w:val="24"/>
          <w:szCs w:val="24"/>
        </w:rPr>
        <w:t>……</w:t>
      </w:r>
    </w:p>
    <w:p>
      <w:pPr>
        <w:adjustRightInd w:val="0"/>
        <w:spacing w:line="360" w:lineRule="auto"/>
        <w:ind w:firstLine="480" w:firstLineChars="200"/>
        <w:jc w:val="left"/>
        <w:rPr>
          <w:rFonts w:ascii="仿宋_GB2312" w:hAnsi="宋体" w:eastAsia="仿宋_GB2312" w:cs="Times New Roman"/>
          <w:sz w:val="24"/>
          <w:szCs w:val="24"/>
        </w:rPr>
      </w:pPr>
      <w:r>
        <w:rPr>
          <w:rFonts w:hint="eastAsia" w:ascii="仿宋_GB2312" w:hAnsi="宋体" w:eastAsia="仿宋_GB2312" w:cs="Times New Roman"/>
          <w:sz w:val="24"/>
          <w:szCs w:val="24"/>
        </w:rPr>
        <w:t>以上企业，不属于大企业的分支机构，不存在控股股东为大企业的情形，也不存在与大企业的负责人为同一人的情形。</w:t>
      </w:r>
    </w:p>
    <w:p>
      <w:pPr>
        <w:adjustRightInd w:val="0"/>
        <w:spacing w:line="360" w:lineRule="auto"/>
        <w:ind w:firstLine="480" w:firstLineChars="200"/>
        <w:jc w:val="left"/>
        <w:rPr>
          <w:rFonts w:ascii="仿宋_GB2312" w:hAnsi="宋体" w:eastAsia="仿宋_GB2312" w:cs="Times New Roman"/>
          <w:sz w:val="24"/>
          <w:szCs w:val="24"/>
        </w:rPr>
      </w:pPr>
      <w:r>
        <w:rPr>
          <w:rFonts w:hint="eastAsia" w:ascii="仿宋_GB2312" w:hAnsi="宋体" w:eastAsia="仿宋_GB2312" w:cs="Times New Roman"/>
          <w:sz w:val="24"/>
          <w:szCs w:val="24"/>
        </w:rPr>
        <w:t>本企业对上述声明内容的真实性负责。如有虚假，将依法承担相应责任。</w:t>
      </w:r>
    </w:p>
    <w:p>
      <w:pPr>
        <w:adjustRightInd w:val="0"/>
        <w:spacing w:line="360" w:lineRule="auto"/>
        <w:ind w:right="1040"/>
        <w:jc w:val="right"/>
        <w:rPr>
          <w:rFonts w:ascii="仿宋_GB2312" w:hAnsi="宋体" w:eastAsia="仿宋_GB2312" w:cs="Times New Roman"/>
          <w:sz w:val="24"/>
          <w:szCs w:val="24"/>
        </w:rPr>
      </w:pPr>
      <w:r>
        <w:rPr>
          <w:rFonts w:hint="eastAsia" w:ascii="仿宋_GB2312" w:hAnsi="仿宋" w:eastAsia="仿宋_GB2312" w:cs="仿宋_GB2312"/>
          <w:sz w:val="24"/>
          <w:szCs w:val="24"/>
        </w:rPr>
        <w:t>投标人</w:t>
      </w:r>
      <w:r>
        <w:rPr>
          <w:rFonts w:hint="eastAsia" w:ascii="仿宋_GB2312" w:hAnsi="宋体" w:eastAsia="仿宋_GB2312" w:cs="Times New Roman"/>
          <w:sz w:val="24"/>
          <w:szCs w:val="24"/>
        </w:rPr>
        <w:t>名称（盖章</w:t>
      </w:r>
      <w:r>
        <w:rPr>
          <w:rFonts w:ascii="仿宋_GB2312" w:hAnsi="宋体" w:eastAsia="仿宋_GB2312" w:cs="Times New Roman"/>
          <w:sz w:val="24"/>
          <w:szCs w:val="24"/>
        </w:rPr>
        <w:t>/</w:t>
      </w:r>
      <w:r>
        <w:rPr>
          <w:rFonts w:hint="eastAsia" w:ascii="仿宋_GB2312" w:hAnsi="仿宋" w:eastAsia="仿宋_GB2312" w:cs="仿宋_GB2312"/>
          <w:sz w:val="24"/>
          <w:szCs w:val="24"/>
        </w:rPr>
        <w:t>电子签名</w:t>
      </w:r>
      <w:r>
        <w:rPr>
          <w:rFonts w:hint="eastAsia" w:ascii="仿宋_GB2312" w:hAnsi="宋体" w:eastAsia="仿宋_GB2312" w:cs="Times New Roman"/>
          <w:sz w:val="24"/>
          <w:szCs w:val="24"/>
        </w:rPr>
        <w:t>）：</w:t>
      </w:r>
    </w:p>
    <w:p>
      <w:pPr>
        <w:adjustRightInd w:val="0"/>
        <w:spacing w:line="360" w:lineRule="auto"/>
        <w:ind w:right="1120" w:firstLine="4680" w:firstLineChars="1950"/>
        <w:rPr>
          <w:rFonts w:ascii="仿宋_GB2312" w:hAnsi="宋体" w:eastAsia="仿宋_GB2312" w:cs="Times New Roman"/>
          <w:sz w:val="24"/>
          <w:szCs w:val="24"/>
        </w:rPr>
      </w:pPr>
      <w:r>
        <w:rPr>
          <w:rFonts w:hint="eastAsia" w:ascii="仿宋_GB2312" w:hAnsi="宋体" w:eastAsia="仿宋_GB2312" w:cs="Times New Roman"/>
          <w:sz w:val="24"/>
          <w:szCs w:val="24"/>
        </w:rPr>
        <w:t>日</w:t>
      </w:r>
      <w:r>
        <w:rPr>
          <w:rFonts w:ascii="仿宋_GB2312" w:hAnsi="宋体" w:eastAsia="仿宋_GB2312" w:cs="Times New Roman"/>
          <w:sz w:val="24"/>
          <w:szCs w:val="24"/>
        </w:rPr>
        <w:t xml:space="preserve"> </w:t>
      </w:r>
      <w:r>
        <w:rPr>
          <w:rFonts w:hint="eastAsia" w:ascii="仿宋_GB2312" w:hAnsi="宋体" w:eastAsia="仿宋_GB2312" w:cs="Times New Roman"/>
          <w:sz w:val="24"/>
          <w:szCs w:val="24"/>
        </w:rPr>
        <w:t>期：</w:t>
      </w:r>
    </w:p>
    <w:p>
      <w:pPr>
        <w:adjustRightInd w:val="0"/>
        <w:spacing w:line="360" w:lineRule="auto"/>
        <w:ind w:firstLine="310" w:firstLineChars="147"/>
        <w:jc w:val="left"/>
        <w:rPr>
          <w:rFonts w:ascii="仿宋_GB2312" w:hAnsi="仿宋" w:eastAsia="仿宋_GB2312" w:cs="仿宋_GB2312"/>
          <w:sz w:val="24"/>
          <w:szCs w:val="24"/>
        </w:rPr>
      </w:pPr>
      <w:r>
        <w:rPr>
          <w:rFonts w:hint="eastAsia" w:ascii="仿宋_GB2312" w:hAnsi="宋体" w:eastAsia="仿宋_GB2312" w:cs="Times New Roman"/>
          <w:b/>
          <w:szCs w:val="21"/>
        </w:rPr>
        <w:t>从业人员、营业收入、资产总额填报上一年度数据，无上一年度数据的新成立企业可不填报。</w:t>
      </w:r>
    </w:p>
    <w:p>
      <w:pPr>
        <w:adjustRightInd w:val="0"/>
        <w:spacing w:line="360" w:lineRule="auto"/>
        <w:ind w:right="420"/>
        <w:rPr>
          <w:rFonts w:hint="eastAsia" w:ascii="仿宋_GB2312" w:hAnsi="仿宋" w:eastAsia="仿宋_GB2312" w:cs="仿宋_GB2312"/>
          <w:sz w:val="22"/>
          <w:szCs w:val="22"/>
        </w:rPr>
      </w:pPr>
      <w:r>
        <w:rPr>
          <w:rFonts w:hint="eastAsia" w:ascii="仿宋_GB2312" w:hAnsi="仿宋" w:eastAsia="仿宋_GB2312" w:cs="仿宋_GB2312"/>
          <w:sz w:val="24"/>
          <w:szCs w:val="24"/>
        </w:rPr>
        <w:t xml:space="preserve">  </w:t>
      </w:r>
      <w:r>
        <w:rPr>
          <w:rFonts w:hint="eastAsia" w:ascii="仿宋_GB2312" w:hAnsi="仿宋" w:eastAsia="仿宋_GB2312" w:cs="仿宋_GB2312"/>
          <w:sz w:val="22"/>
          <w:szCs w:val="22"/>
        </w:rPr>
        <w:t xml:space="preserve"> 注：</w:t>
      </w:r>
      <w:r>
        <w:rPr>
          <w:rFonts w:hint="eastAsia" w:ascii="仿宋_GB2312" w:hAnsi="仿宋" w:eastAsia="仿宋_GB2312" w:cs="Times New Roman"/>
          <w:b/>
          <w:sz w:val="22"/>
          <w:szCs w:val="22"/>
        </w:rPr>
        <w:t>投标人提供的中小企业声明函与实际情况不符的，投标价格不可享受价格扣除。</w:t>
      </w:r>
      <w:r>
        <w:rPr>
          <w:rFonts w:hint="eastAsia" w:ascii="仿宋_GB2312" w:hAnsi="仿宋" w:eastAsia="仿宋_GB2312" w:cs="仿宋_GB2312"/>
          <w:sz w:val="22"/>
          <w:szCs w:val="22"/>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adjustRightInd w:val="0"/>
        <w:spacing w:line="360" w:lineRule="auto"/>
        <w:ind w:right="420" w:firstLine="440" w:firstLineChars="200"/>
        <w:rPr>
          <w:rFonts w:hint="eastAsia" w:ascii="仿宋_GB2312" w:hAnsi="仿宋" w:eastAsia="仿宋_GB2312" w:cs="仿宋_GB2312"/>
          <w:sz w:val="22"/>
          <w:szCs w:val="22"/>
        </w:rPr>
      </w:pPr>
      <w:r>
        <w:rPr>
          <w:rFonts w:hint="eastAsia" w:ascii="仿宋_GB2312" w:hAnsi="仿宋" w:eastAsia="仿宋_GB2312" w:cs="仿宋_GB2312"/>
          <w:sz w:val="22"/>
          <w:szCs w:val="22"/>
        </w:rPr>
        <w:t>投标人应当对其出具的声明函的真实性负责，提供声明函内容不实的，属于提供虚假材料谋取中标、成交，投标无效，招标人有权依法将线索移交至政府采购行政监督管理部门处理，依照《中华人民共和国政府采购法》等国家有关法律规定追究相应法律责任。如投标人对相关制造商信息了解不充分，或者不能确定相关信息真实、准确的，不建议出具《中小企业声明函》。</w:t>
      </w:r>
    </w:p>
    <w:p>
      <w:pPr>
        <w:pStyle w:val="625"/>
        <w:keepNext w:val="0"/>
        <w:pageBreakBefore w:val="0"/>
        <w:tabs>
          <w:tab w:val="clear" w:pos="720"/>
        </w:tabs>
        <w:snapToGrid w:val="0"/>
        <w:spacing w:before="120" w:after="120"/>
        <w:ind w:firstLine="643"/>
        <w:outlineLvl w:val="9"/>
        <w:rPr>
          <w:rFonts w:hint="eastAsia" w:ascii="仿宋_GB2312" w:hAnsi="仿宋" w:eastAsia="仿宋_GB2312" w:cs="仿宋_GB2312"/>
          <w:kern w:val="2"/>
          <w:sz w:val="32"/>
          <w:szCs w:val="32"/>
          <w:lang w:eastAsia="zh-CN"/>
        </w:r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60" w:lineRule="auto"/>
        <w:jc w:val="center"/>
        <w:outlineLvl w:val="0"/>
        <w:rPr>
          <w:rFonts w:hint="eastAsia" w:ascii="仿宋" w:hAnsi="仿宋" w:eastAsia="仿宋" w:cs="仿宋"/>
          <w:b/>
          <w:kern w:val="0"/>
          <w:sz w:val="24"/>
        </w:rPr>
      </w:pPr>
    </w:p>
    <w:p>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1</w:t>
      </w:r>
      <w:r>
        <w:rPr>
          <w:rFonts w:hint="eastAsia" w:ascii="仿宋_GB2312" w:hAnsi="仿宋_GB2312" w:eastAsia="仿宋_GB2312" w:cs="仿宋_GB2312"/>
        </w:rPr>
        <w:t>）资信文件复印件（如果要求提供）…………………………</w:t>
      </w:r>
      <w:r>
        <w:rPr>
          <w:rFonts w:hint="eastAsia" w:ascii="仿宋_GB2312" w:hAnsi="仿宋_GB2312" w:eastAsia="仿宋_GB2312" w:cs="仿宋_GB2312"/>
          <w:lang w:val="zh-CN"/>
        </w:rPr>
        <w:t>…</w:t>
      </w:r>
      <w:r>
        <w:rPr>
          <w:rFonts w:hint="eastAsia" w:ascii="仿宋_GB2312" w:hAnsi="仿宋_GB2312" w:eastAsia="仿宋_GB2312" w:cs="仿宋_GB2312"/>
        </w:rPr>
        <w:t>… （页码）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2</w:t>
      </w:r>
      <w:r>
        <w:rPr>
          <w:rFonts w:hint="eastAsia" w:ascii="仿宋_GB2312" w:hAnsi="仿宋_GB2312" w:eastAsia="仿宋_GB2312" w:cs="仿宋_GB2312"/>
        </w:rPr>
        <w:t>）</w:t>
      </w:r>
      <w:r>
        <w:rPr>
          <w:rFonts w:hint="eastAsia" w:ascii="仿宋_GB2312" w:hAnsi="仿宋_GB2312" w:eastAsia="仿宋_GB2312" w:cs="仿宋_GB2312"/>
          <w:lang w:val="zh-CN"/>
        </w:rPr>
        <w:t>主要业绩证明… ……………………………………………………</w:t>
      </w:r>
      <w:r>
        <w:rPr>
          <w:rFonts w:hint="eastAsia" w:ascii="仿宋_GB2312" w:hAnsi="仿宋_GB2312" w:eastAsia="仿宋_GB2312" w:cs="仿宋_GB2312"/>
        </w:rPr>
        <w:t>（页码）</w:t>
      </w:r>
    </w:p>
    <w:p>
      <w:pPr>
        <w:pStyle w:val="436"/>
        <w:spacing w:line="360" w:lineRule="auto"/>
        <w:rPr>
          <w:rFonts w:hint="eastAsia" w:ascii="仿宋_GB2312" w:hAnsi="仿宋_GB2312" w:eastAsia="仿宋_GB2312" w:cs="仿宋_GB2312"/>
        </w:rPr>
      </w:pPr>
      <w:bookmarkStart w:id="1075" w:name="OLE_LINK6"/>
      <w:bookmarkStart w:id="1076" w:name="OLE_LINK7"/>
      <w:bookmarkStart w:id="1077" w:name="OLE_LINK5"/>
      <w:r>
        <w:rPr>
          <w:rFonts w:hint="eastAsia" w:ascii="仿宋_GB2312" w:hAnsi="仿宋_GB2312" w:eastAsia="仿宋_GB2312" w:cs="仿宋_GB2312"/>
        </w:rPr>
        <w:t>（</w:t>
      </w:r>
      <w:r>
        <w:rPr>
          <w:rFonts w:hint="eastAsia" w:ascii="仿宋_GB2312" w:hAnsi="仿宋_GB2312" w:eastAsia="仿宋_GB2312" w:cs="仿宋_GB2312"/>
          <w:lang w:val="en-US" w:eastAsia="zh-CN"/>
        </w:rPr>
        <w:t>3</w:t>
      </w:r>
      <w:r>
        <w:rPr>
          <w:rFonts w:hint="eastAsia" w:ascii="仿宋_GB2312" w:hAnsi="仿宋_GB2312" w:eastAsia="仿宋_GB2312" w:cs="仿宋_GB2312"/>
        </w:rPr>
        <w:t>）其他商务文件或说明</w:t>
      </w:r>
      <w:r>
        <w:rPr>
          <w:rFonts w:hint="eastAsia" w:ascii="仿宋_GB2312" w:hAnsi="仿宋_GB2312" w:eastAsia="仿宋_GB2312" w:cs="仿宋_GB2312"/>
          <w:lang w:val="zh-CN"/>
        </w:rPr>
        <w:t xml:space="preserve">……………………………………………… </w:t>
      </w:r>
      <w:r>
        <w:rPr>
          <w:rFonts w:hint="eastAsia" w:ascii="仿宋_GB2312" w:hAnsi="仿宋_GB2312" w:eastAsia="仿宋_GB2312" w:cs="仿宋_GB2312"/>
        </w:rPr>
        <w:t>（页码）</w:t>
      </w:r>
      <w:bookmarkEnd w:id="1075"/>
      <w:bookmarkEnd w:id="1076"/>
    </w:p>
    <w:bookmarkEnd w:id="1077"/>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4</w:t>
      </w:r>
      <w:r>
        <w:rPr>
          <w:rFonts w:hint="eastAsia" w:ascii="仿宋_GB2312" w:hAnsi="仿宋_GB2312" w:eastAsia="仿宋_GB2312" w:cs="仿宋_GB2312"/>
        </w:rPr>
        <w:t>）技术（服务）方案……………………………………………………（页码）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5</w:t>
      </w:r>
      <w:r>
        <w:rPr>
          <w:rFonts w:hint="eastAsia" w:ascii="仿宋_GB2312" w:hAnsi="仿宋_GB2312" w:eastAsia="仿宋_GB2312" w:cs="仿宋_GB2312"/>
        </w:rPr>
        <w:t>）技术（服务）偏离说明表……………………………………………（页码）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6</w:t>
      </w:r>
      <w:r>
        <w:rPr>
          <w:rFonts w:hint="eastAsia" w:ascii="仿宋_GB2312" w:hAnsi="仿宋_GB2312" w:eastAsia="仿宋_GB2312" w:cs="仿宋_GB2312"/>
        </w:rPr>
        <w:t>）组织实施方案…………………………………………………………（页码）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7</w:t>
      </w:r>
      <w:r>
        <w:rPr>
          <w:rFonts w:hint="eastAsia" w:ascii="仿宋_GB2312" w:hAnsi="仿宋_GB2312" w:eastAsia="仿宋_GB2312" w:cs="仿宋_GB2312"/>
        </w:rPr>
        <w:t>）人员投入计划 …………………………………………………………（页码）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8</w:t>
      </w:r>
      <w:r>
        <w:rPr>
          <w:rFonts w:hint="eastAsia" w:ascii="仿宋_GB2312" w:hAnsi="仿宋_GB2312" w:eastAsia="仿宋_GB2312" w:cs="仿宋_GB2312"/>
        </w:rPr>
        <w:t>）材料、设备、工具等投入计划  ……………………………………（页码）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w:t>
      </w:r>
      <w:r>
        <w:rPr>
          <w:rFonts w:hint="eastAsia" w:ascii="仿宋_GB2312" w:hAnsi="仿宋_GB2312" w:eastAsia="仿宋_GB2312" w:cs="仿宋_GB2312"/>
          <w:lang w:val="en-US" w:eastAsia="zh-CN"/>
        </w:rPr>
        <w:t>9</w:t>
      </w:r>
      <w:r>
        <w:rPr>
          <w:rFonts w:hint="eastAsia" w:ascii="仿宋_GB2312" w:hAnsi="仿宋_GB2312" w:eastAsia="仿宋_GB2312" w:cs="仿宋_GB2312"/>
        </w:rPr>
        <w:t xml:space="preserve">）各项服务承诺 </w:t>
      </w:r>
      <w:r>
        <w:rPr>
          <w:rFonts w:hint="eastAsia" w:ascii="仿宋_GB2312" w:hAnsi="仿宋_GB2312" w:eastAsia="仿宋_GB2312" w:cs="仿宋_GB2312"/>
          <w:lang w:val="zh-CN"/>
        </w:rPr>
        <w:t>………………</w:t>
      </w:r>
      <w:r>
        <w:rPr>
          <w:rFonts w:hint="eastAsia" w:ascii="仿宋_GB2312" w:hAnsi="仿宋_GB2312" w:eastAsia="仿宋_GB2312" w:cs="仿宋_GB2312"/>
        </w:rPr>
        <w:t>……</w:t>
      </w:r>
      <w:r>
        <w:rPr>
          <w:rFonts w:hint="eastAsia" w:ascii="仿宋_GB2312" w:hAnsi="仿宋_GB2312" w:eastAsia="仿宋_GB2312" w:cs="仿宋_GB2312"/>
          <w:lang w:val="zh-CN"/>
        </w:rPr>
        <w:t>…………………………………</w:t>
      </w:r>
      <w:r>
        <w:rPr>
          <w:rFonts w:hint="eastAsia" w:ascii="仿宋_GB2312" w:hAnsi="仿宋_GB2312" w:eastAsia="仿宋_GB2312" w:cs="仿宋_GB2312"/>
        </w:rPr>
        <w:t>（页码）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（1</w:t>
      </w:r>
      <w:r>
        <w:rPr>
          <w:rFonts w:hint="eastAsia" w:ascii="仿宋_GB2312" w:hAnsi="仿宋_GB2312" w:eastAsia="仿宋_GB2312" w:cs="仿宋_GB2312"/>
          <w:lang w:val="en-US" w:eastAsia="zh-CN"/>
        </w:rPr>
        <w:t>0</w:t>
      </w:r>
      <w:r>
        <w:rPr>
          <w:rFonts w:hint="eastAsia" w:ascii="仿宋_GB2312" w:hAnsi="仿宋_GB2312" w:eastAsia="仿宋_GB2312" w:cs="仿宋_GB2312"/>
        </w:rPr>
        <w:t>）</w:t>
      </w:r>
      <w:r>
        <w:rPr>
          <w:rFonts w:hint="eastAsia" w:ascii="仿宋_GB2312" w:hAnsi="仿宋_GB2312" w:eastAsia="仿宋_GB2312" w:cs="仿宋_GB2312"/>
          <w:lang w:val="zh-CN"/>
        </w:rPr>
        <w:t>认为需要的其他技术文件或说明…………………………………</w:t>
      </w:r>
      <w:r>
        <w:rPr>
          <w:rFonts w:hint="eastAsia" w:ascii="仿宋_GB2312" w:hAnsi="仿宋_GB2312" w:eastAsia="仿宋_GB2312" w:cs="仿宋_GB2312"/>
        </w:rPr>
        <w:t>（页码）</w:t>
      </w:r>
    </w:p>
    <w:p>
      <w:pPr>
        <w:pStyle w:val="436"/>
        <w:spacing w:line="360" w:lineRule="auto"/>
        <w:rPr>
          <w:rFonts w:hint="eastAsia" w:ascii="仿宋_GB2312" w:hAnsi="仿宋_GB2312" w:eastAsia="仿宋_GB2312" w:cs="仿宋_GB2312"/>
        </w:rPr>
      </w:pPr>
      <w:r>
        <w:rPr>
          <w:rFonts w:hint="eastAsia" w:ascii="仿宋_GB2312" w:hAnsi="仿宋_GB2312" w:eastAsia="仿宋_GB2312" w:cs="仿宋_GB2312"/>
        </w:rPr>
        <w:t>（1</w:t>
      </w:r>
      <w:r>
        <w:rPr>
          <w:rFonts w:hint="eastAsia" w:ascii="仿宋_GB2312" w:hAnsi="仿宋_GB2312" w:eastAsia="仿宋_GB2312" w:cs="仿宋_GB2312"/>
          <w:lang w:val="en-US" w:eastAsia="zh-CN"/>
        </w:rPr>
        <w:t>1</w:t>
      </w:r>
      <w:r>
        <w:rPr>
          <w:rFonts w:hint="eastAsia" w:ascii="仿宋_GB2312" w:hAnsi="仿宋_GB2312" w:eastAsia="仿宋_GB2312" w:cs="仿宋_GB2312"/>
        </w:rPr>
        <w:t>）</w:t>
      </w:r>
      <w:r>
        <w:rPr>
          <w:rFonts w:hint="eastAsia" w:ascii="仿宋_GB2312" w:hAnsi="仿宋_GB2312" w:eastAsia="仿宋_GB2312" w:cs="仿宋_GB2312"/>
          <w:lang w:val="zh-CN"/>
        </w:rPr>
        <w:t>关于对招标文件中商务、合同有关条款的拒绝声明…</w:t>
      </w:r>
      <w:r>
        <w:rPr>
          <w:rFonts w:hint="eastAsia" w:ascii="仿宋_GB2312" w:hAnsi="仿宋_GB2312" w:eastAsia="仿宋_GB2312" w:cs="仿宋_GB2312"/>
        </w:rPr>
        <w:t>……</w:t>
      </w:r>
      <w:r>
        <w:rPr>
          <w:rFonts w:hint="eastAsia" w:ascii="仿宋_GB2312" w:hAnsi="仿宋_GB2312" w:eastAsia="仿宋_GB2312" w:cs="仿宋_GB2312"/>
          <w:lang w:val="zh-CN"/>
        </w:rPr>
        <w:t>………</w:t>
      </w:r>
      <w:r>
        <w:rPr>
          <w:rFonts w:hint="eastAsia" w:ascii="仿宋_GB2312" w:hAnsi="仿宋_GB2312" w:eastAsia="仿宋_GB2312" w:cs="仿宋_GB2312"/>
        </w:rPr>
        <w:t>（页码）</w:t>
      </w:r>
    </w:p>
    <w:p>
      <w:pPr>
        <w:tabs>
          <w:tab w:val="left" w:pos="0"/>
        </w:tabs>
        <w:autoSpaceDE w:val="0"/>
        <w:autoSpaceDN w:val="0"/>
        <w:spacing w:line="360" w:lineRule="auto"/>
        <w:ind w:firstLine="480" w:firstLineChars="2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lang w:val="en-US" w:eastAsia="zh-CN"/>
        </w:rPr>
        <w:t>12</w:t>
      </w:r>
      <w:r>
        <w:rPr>
          <w:rFonts w:hint="eastAsia" w:ascii="仿宋_GB2312" w:hAnsi="仿宋" w:eastAsia="仿宋_GB2312" w:cs="仿宋_GB2312"/>
          <w:kern w:val="0"/>
          <w:sz w:val="24"/>
          <w:lang w:val="zh-CN"/>
        </w:rPr>
        <w:t>）廉政承诺书</w:t>
      </w:r>
      <w:r>
        <w:rPr>
          <w:rFonts w:hint="eastAsia" w:ascii="仿宋_GB2312" w:hAnsi="仿宋_GB2312" w:eastAsia="仿宋_GB2312" w:cs="仿宋_GB2312"/>
        </w:rPr>
        <w:t xml:space="preserve"> </w:t>
      </w:r>
      <w:r>
        <w:rPr>
          <w:rFonts w:hint="eastAsia" w:ascii="仿宋_GB2312" w:hAnsi="仿宋_GB2312" w:eastAsia="仿宋_GB2312" w:cs="仿宋_GB2312"/>
          <w:lang w:val="zh-CN"/>
        </w:rPr>
        <w:t>………………</w:t>
      </w:r>
      <w:r>
        <w:rPr>
          <w:rFonts w:hint="eastAsia" w:ascii="仿宋_GB2312" w:hAnsi="仿宋_GB2312" w:eastAsia="仿宋_GB2312" w:cs="仿宋_GB2312"/>
        </w:rPr>
        <w:t>……</w:t>
      </w:r>
      <w:r>
        <w:rPr>
          <w:rFonts w:hint="eastAsia" w:ascii="仿宋_GB2312" w:hAnsi="仿宋_GB2312" w:eastAsia="仿宋_GB2312" w:cs="仿宋_GB2312"/>
          <w:lang w:val="zh-CN"/>
        </w:rPr>
        <w:t>……………………………………………</w:t>
      </w:r>
      <w:r>
        <w:rPr>
          <w:rFonts w:hint="eastAsia" w:ascii="仿宋_GB2312" w:hAnsi="仿宋_GB2312" w:eastAsia="仿宋_GB2312" w:cs="仿宋_GB2312"/>
        </w:rPr>
        <w:t>（页码）</w:t>
      </w:r>
    </w:p>
    <w:p>
      <w:pPr>
        <w:pStyle w:val="436"/>
        <w:spacing w:line="360" w:lineRule="auto"/>
        <w:rPr>
          <w:rFonts w:hint="eastAsia" w:ascii="仿宋_GB2312" w:hAnsi="仿宋_GB2312" w:eastAsia="仿宋_GB2312" w:cs="仿宋_GB2312"/>
          <w:lang w:val="zh-CN"/>
        </w:rPr>
      </w:pPr>
    </w:p>
    <w:p>
      <w:pPr>
        <w:spacing w:line="360" w:lineRule="auto"/>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注：以上目录是基本格式要求，各投标人可根据自身情况进一步细化。</w:t>
      </w: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pStyle w:val="78"/>
        <w:rPr>
          <w:rFonts w:hint="eastAsia" w:ascii="仿宋" w:hAnsi="仿宋" w:eastAsia="仿宋" w:cs="仿宋"/>
          <w:b/>
          <w:sz w:val="32"/>
          <w:szCs w:val="32"/>
          <w:lang w:eastAsia="zh-CN"/>
        </w:rPr>
      </w:pPr>
    </w:p>
    <w:p>
      <w:pPr>
        <w:pStyle w:val="78"/>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lang w:eastAsia="zh-CN"/>
        </w:rPr>
      </w:pPr>
    </w:p>
    <w:p>
      <w:pPr>
        <w:spacing w:line="360" w:lineRule="auto"/>
        <w:jc w:val="center"/>
        <w:rPr>
          <w:rFonts w:hint="eastAsia" w:ascii="仿宋" w:hAnsi="仿宋" w:eastAsia="仿宋" w:cs="仿宋"/>
          <w:b/>
          <w:sz w:val="32"/>
          <w:szCs w:val="32"/>
        </w:rPr>
      </w:pPr>
      <w:r>
        <w:rPr>
          <w:rFonts w:hint="eastAsia" w:ascii="仿宋" w:hAnsi="仿宋" w:eastAsia="仿宋" w:cs="仿宋"/>
          <w:b/>
          <w:sz w:val="32"/>
          <w:szCs w:val="32"/>
          <w:lang w:eastAsia="zh-CN"/>
        </w:rPr>
        <w:t>一</w:t>
      </w:r>
      <w:r>
        <w:rPr>
          <w:rFonts w:hint="eastAsia" w:ascii="仿宋" w:hAnsi="仿宋" w:eastAsia="仿宋" w:cs="仿宋"/>
          <w:b/>
          <w:sz w:val="32"/>
          <w:szCs w:val="32"/>
        </w:rPr>
        <w:t>、资信文件复印件（如果要求提供）</w:t>
      </w:r>
    </w:p>
    <w:p>
      <w:pPr>
        <w:spacing w:line="360" w:lineRule="auto"/>
        <w:jc w:val="center"/>
        <w:rPr>
          <w:rFonts w:hint="eastAsia" w:ascii="仿宋" w:hAnsi="仿宋" w:eastAsia="仿宋" w:cs="仿宋"/>
          <w:sz w:val="24"/>
        </w:rPr>
      </w:pPr>
      <w:r>
        <w:rPr>
          <w:rFonts w:hint="eastAsia" w:ascii="仿宋" w:hAnsi="仿宋" w:eastAsia="仿宋" w:cs="仿宋"/>
          <w:sz w:val="24"/>
        </w:rPr>
        <w:t>（由投标人根据采购需求及招标文件要求编制）</w:t>
      </w:r>
    </w:p>
    <w:p>
      <w:pPr>
        <w:spacing w:line="360" w:lineRule="auto"/>
        <w:jc w:val="center"/>
        <w:rPr>
          <w:rFonts w:hint="eastAsia" w:ascii="仿宋" w:hAnsi="仿宋" w:eastAsia="仿宋" w:cs="仿宋"/>
          <w:b/>
          <w:bCs/>
          <w:sz w:val="32"/>
          <w:szCs w:val="32"/>
        </w:rPr>
      </w:pPr>
    </w:p>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jc w:val="center"/>
        <w:rPr>
          <w:rFonts w:hint="eastAsia" w:ascii="仿宋" w:hAnsi="仿宋" w:eastAsia="仿宋" w:cs="仿宋"/>
          <w:b/>
          <w:bCs/>
          <w:sz w:val="32"/>
          <w:szCs w:val="32"/>
        </w:rPr>
      </w:pPr>
      <w:r>
        <w:rPr>
          <w:rFonts w:hint="eastAsia" w:ascii="仿宋" w:hAnsi="仿宋" w:eastAsia="仿宋" w:cs="仿宋"/>
          <w:kern w:val="0"/>
          <w:sz w:val="24"/>
          <w:lang w:val="zh-CN"/>
        </w:rPr>
        <w:t xml:space="preserve">                   日期：  年  月</w:t>
      </w:r>
    </w:p>
    <w:p>
      <w:pPr>
        <w:spacing w:line="360" w:lineRule="auto"/>
        <w:jc w:val="center"/>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eastAsia="zh-CN"/>
        </w:rPr>
        <w:t>二</w:t>
      </w:r>
      <w:r>
        <w:rPr>
          <w:rFonts w:hint="eastAsia" w:ascii="仿宋" w:hAnsi="仿宋" w:eastAsia="仿宋" w:cs="仿宋"/>
          <w:b/>
          <w:bCs/>
          <w:sz w:val="32"/>
          <w:szCs w:val="32"/>
        </w:rPr>
        <w:t>、</w:t>
      </w:r>
      <w:r>
        <w:rPr>
          <w:rFonts w:hint="eastAsia" w:ascii="仿宋" w:hAnsi="仿宋" w:eastAsia="仿宋" w:cs="仿宋"/>
          <w:b/>
          <w:kern w:val="0"/>
          <w:sz w:val="32"/>
          <w:szCs w:val="32"/>
          <w:lang w:val="zh-CN"/>
        </w:rPr>
        <w:t>主要业绩证明</w:t>
      </w:r>
    </w:p>
    <w:p>
      <w:pPr>
        <w:autoSpaceDE w:val="0"/>
        <w:autoSpaceDN w:val="0"/>
        <w:spacing w:line="360" w:lineRule="auto"/>
        <w:ind w:firstLine="4560" w:firstLineChars="1900"/>
        <w:rPr>
          <w:rFonts w:hint="eastAsia" w:ascii="仿宋" w:hAnsi="仿宋" w:eastAsia="仿宋" w:cs="仿宋"/>
          <w:kern w:val="0"/>
          <w:sz w:val="24"/>
        </w:rPr>
      </w:pPr>
    </w:p>
    <w:p>
      <w:pPr>
        <w:autoSpaceDE w:val="0"/>
        <w:autoSpaceDN w:val="0"/>
        <w:spacing w:line="360" w:lineRule="auto"/>
        <w:ind w:firstLine="4560" w:firstLineChars="1900"/>
        <w:rPr>
          <w:rFonts w:hint="eastAsia" w:ascii="仿宋" w:hAnsi="仿宋" w:eastAsia="仿宋" w:cs="仿宋"/>
          <w:kern w:val="0"/>
          <w:sz w:val="24"/>
        </w:rPr>
      </w:pPr>
      <w:r>
        <w:rPr>
          <w:rFonts w:hint="eastAsia" w:ascii="仿宋" w:hAnsi="仿宋" w:eastAsia="仿宋" w:cs="仿宋"/>
          <w:kern w:val="0"/>
          <w:sz w:val="24"/>
        </w:rPr>
        <w:t>投标人名称（</w:t>
      </w:r>
      <w:r>
        <w:rPr>
          <w:rFonts w:hint="eastAsia" w:ascii="仿宋" w:hAnsi="仿宋" w:eastAsia="仿宋" w:cs="仿宋"/>
          <w:sz w:val="24"/>
        </w:rPr>
        <w:t>电子签名</w:t>
      </w:r>
      <w:r>
        <w:rPr>
          <w:rFonts w:hint="eastAsia" w:ascii="仿宋" w:hAnsi="仿宋" w:eastAsia="仿宋" w:cs="仿宋"/>
          <w:kern w:val="0"/>
          <w:sz w:val="24"/>
        </w:rPr>
        <w:t xml:space="preserve">）：                       </w:t>
      </w:r>
    </w:p>
    <w:p>
      <w:pPr>
        <w:autoSpaceDE w:val="0"/>
        <w:autoSpaceDN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日期：  年  月   日</w:t>
      </w: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eastAsia="zh-CN"/>
        </w:rPr>
        <w:t>三</w:t>
      </w:r>
      <w:r>
        <w:rPr>
          <w:rFonts w:hint="eastAsia" w:ascii="仿宋" w:hAnsi="仿宋" w:eastAsia="仿宋" w:cs="仿宋"/>
          <w:b/>
          <w:bCs/>
          <w:sz w:val="32"/>
          <w:szCs w:val="32"/>
        </w:rPr>
        <w:t>、</w:t>
      </w:r>
      <w:bookmarkStart w:id="1078" w:name="OLE_LINK17"/>
      <w:bookmarkStart w:id="1079" w:name="OLE_LINK16"/>
      <w:r>
        <w:rPr>
          <w:rFonts w:hint="eastAsia" w:ascii="仿宋" w:hAnsi="仿宋" w:eastAsia="仿宋" w:cs="仿宋"/>
          <w:b/>
          <w:bCs/>
          <w:sz w:val="32"/>
          <w:szCs w:val="32"/>
        </w:rPr>
        <w:t>其他商务文件或说明</w:t>
      </w:r>
    </w:p>
    <w:p>
      <w:pPr>
        <w:spacing w:line="360" w:lineRule="auto"/>
        <w:jc w:val="center"/>
        <w:rPr>
          <w:rFonts w:hint="eastAsia" w:ascii="仿宋" w:hAnsi="仿宋" w:eastAsia="仿宋" w:cs="仿宋"/>
          <w:sz w:val="24"/>
        </w:rPr>
      </w:pPr>
      <w:r>
        <w:rPr>
          <w:rFonts w:hint="eastAsia" w:ascii="仿宋" w:hAnsi="仿宋" w:eastAsia="仿宋" w:cs="仿宋"/>
          <w:sz w:val="24"/>
        </w:rPr>
        <w:t>（</w:t>
      </w:r>
      <w:bookmarkStart w:id="1080" w:name="OLE_LINK11"/>
      <w:bookmarkStart w:id="1081" w:name="OLE_LINK10"/>
      <w:r>
        <w:rPr>
          <w:rFonts w:hint="eastAsia" w:ascii="仿宋" w:hAnsi="仿宋" w:eastAsia="仿宋" w:cs="仿宋"/>
          <w:sz w:val="24"/>
        </w:rPr>
        <w:t>其他商务文件或说明由投标人根据采购需求自行编制</w:t>
      </w:r>
      <w:bookmarkEnd w:id="1080"/>
      <w:bookmarkEnd w:id="1081"/>
      <w:r>
        <w:rPr>
          <w:rFonts w:hint="eastAsia" w:ascii="仿宋" w:hAnsi="仿宋" w:eastAsia="仿宋" w:cs="仿宋"/>
          <w:sz w:val="24"/>
        </w:rPr>
        <w:t>）</w:t>
      </w:r>
    </w:p>
    <w:bookmarkEnd w:id="1078"/>
    <w:bookmarkEnd w:id="1079"/>
    <w:p>
      <w:pPr>
        <w:spacing w:line="360" w:lineRule="auto"/>
        <w:jc w:val="center"/>
        <w:rPr>
          <w:rFonts w:hint="eastAsia" w:ascii="仿宋" w:hAnsi="仿宋" w:eastAsia="仿宋" w:cs="仿宋"/>
          <w:sz w:val="24"/>
        </w:rPr>
      </w:pPr>
    </w:p>
    <w:p>
      <w:pPr>
        <w:autoSpaceDE w:val="0"/>
        <w:autoSpaceDN w:val="0"/>
        <w:spacing w:line="360" w:lineRule="auto"/>
        <w:ind w:firstLine="4800" w:firstLineChars="2000"/>
        <w:rPr>
          <w:rFonts w:hint="eastAsia" w:ascii="仿宋" w:hAnsi="仿宋" w:eastAsia="仿宋" w:cs="仿宋"/>
          <w:kern w:val="0"/>
          <w:sz w:val="24"/>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autoSpaceDE w:val="0"/>
        <w:autoSpaceDN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spacing w:line="360" w:lineRule="auto"/>
        <w:rPr>
          <w:rFonts w:hint="eastAsia" w:ascii="仿宋" w:hAnsi="仿宋" w:eastAsia="仿宋" w:cs="仿宋"/>
          <w:kern w:val="0"/>
          <w:sz w:val="24"/>
          <w:lang w:val="zh-CN"/>
        </w:rPr>
      </w:pPr>
    </w:p>
    <w:p>
      <w:pPr>
        <w:autoSpaceDE w:val="0"/>
        <w:autoSpaceDN w:val="0"/>
        <w:spacing w:line="360" w:lineRule="auto"/>
        <w:rPr>
          <w:rFonts w:hint="eastAsia" w:ascii="仿宋" w:hAnsi="仿宋" w:eastAsia="仿宋" w:cs="仿宋"/>
          <w:kern w:val="0"/>
          <w:sz w:val="24"/>
          <w:lang w:val="zh-CN"/>
        </w:rPr>
      </w:pPr>
    </w:p>
    <w:p>
      <w:pPr>
        <w:spacing w:line="360" w:lineRule="auto"/>
        <w:jc w:val="center"/>
        <w:rPr>
          <w:rFonts w:hint="eastAsia" w:ascii="仿宋" w:hAnsi="仿宋" w:eastAsia="仿宋" w:cs="仿宋"/>
          <w:b/>
          <w:bCs/>
          <w:sz w:val="32"/>
          <w:szCs w:val="32"/>
        </w:rPr>
      </w:pPr>
      <w:r>
        <w:rPr>
          <w:rFonts w:hint="eastAsia" w:ascii="仿宋" w:hAnsi="仿宋" w:eastAsia="仿宋" w:cs="仿宋"/>
          <w:b/>
          <w:sz w:val="32"/>
          <w:szCs w:val="32"/>
          <w:lang w:eastAsia="zh-CN"/>
        </w:rPr>
        <w:t>四</w:t>
      </w:r>
      <w:r>
        <w:rPr>
          <w:rFonts w:hint="eastAsia" w:ascii="仿宋" w:hAnsi="仿宋" w:eastAsia="仿宋" w:cs="仿宋"/>
          <w:b/>
          <w:bCs/>
          <w:sz w:val="32"/>
          <w:szCs w:val="32"/>
        </w:rPr>
        <w:t>、技术和服务方案</w:t>
      </w:r>
    </w:p>
    <w:p>
      <w:pPr>
        <w:spacing w:line="360" w:lineRule="auto"/>
        <w:jc w:val="center"/>
        <w:rPr>
          <w:rFonts w:hint="eastAsia" w:ascii="仿宋" w:hAnsi="仿宋" w:eastAsia="仿宋" w:cs="仿宋"/>
          <w:sz w:val="24"/>
        </w:rPr>
      </w:pPr>
      <w:r>
        <w:rPr>
          <w:rFonts w:hint="eastAsia" w:ascii="仿宋" w:hAnsi="仿宋" w:eastAsia="仿宋" w:cs="仿宋"/>
          <w:sz w:val="24"/>
        </w:rPr>
        <w:t>（由投标人根据采购需求及招标文件要求编制）</w:t>
      </w:r>
    </w:p>
    <w:p>
      <w:pPr>
        <w:pStyle w:val="78"/>
        <w:rPr>
          <w:rFonts w:hint="eastAsia" w:ascii="仿宋" w:hAnsi="仿宋" w:eastAsia="仿宋" w:cs="仿宋"/>
          <w:sz w:val="24"/>
        </w:rPr>
      </w:pPr>
    </w:p>
    <w:p>
      <w:pPr>
        <w:autoSpaceDE w:val="0"/>
        <w:autoSpaceDN w:val="0"/>
        <w:spacing w:line="360" w:lineRule="auto"/>
        <w:ind w:firstLine="4800" w:firstLineChars="2000"/>
        <w:rPr>
          <w:rFonts w:hint="eastAsia" w:ascii="仿宋" w:hAnsi="仿宋" w:eastAsia="仿宋" w:cs="仿宋"/>
          <w:kern w:val="0"/>
          <w:sz w:val="24"/>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autoSpaceDE w:val="0"/>
        <w:autoSpaceDN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pStyle w:val="78"/>
        <w:rPr>
          <w:rFonts w:hint="eastAsia" w:ascii="仿宋" w:hAnsi="仿宋" w:eastAsia="仿宋" w:cs="仿宋"/>
          <w:sz w:val="24"/>
        </w:rPr>
      </w:pPr>
    </w:p>
    <w:p>
      <w:pPr>
        <w:tabs>
          <w:tab w:val="left" w:pos="2790"/>
          <w:tab w:val="center" w:pos="3835"/>
          <w:tab w:val="left" w:pos="4230"/>
          <w:tab w:val="left" w:pos="4695"/>
        </w:tabs>
        <w:autoSpaceDE w:val="0"/>
        <w:autoSpaceDN w:val="0"/>
        <w:spacing w:line="360" w:lineRule="auto"/>
        <w:ind w:right="1400"/>
        <w:jc w:val="left"/>
        <w:outlineLvl w:val="1"/>
        <w:rPr>
          <w:rFonts w:hint="eastAsia" w:ascii="仿宋" w:hAnsi="仿宋" w:eastAsia="仿宋" w:cs="仿宋"/>
          <w:b/>
          <w:bCs/>
          <w:kern w:val="0"/>
          <w:sz w:val="24"/>
          <w:lang w:val="zh-CN"/>
        </w:rPr>
      </w:pPr>
      <w:r>
        <w:rPr>
          <w:rFonts w:hint="eastAsia" w:ascii="仿宋" w:hAnsi="仿宋" w:eastAsia="仿宋" w:cs="仿宋"/>
          <w:b/>
          <w:bCs/>
          <w:kern w:val="0"/>
          <w:sz w:val="24"/>
          <w:lang w:val="zh-CN"/>
        </w:rPr>
        <w:tab/>
      </w:r>
      <w:r>
        <w:rPr>
          <w:rFonts w:hint="eastAsia" w:ascii="仿宋" w:hAnsi="仿宋" w:eastAsia="仿宋" w:cs="仿宋"/>
          <w:b/>
          <w:bCs/>
          <w:kern w:val="0"/>
          <w:sz w:val="24"/>
          <w:lang w:val="zh-CN"/>
        </w:rPr>
        <w:tab/>
      </w:r>
      <w:r>
        <w:rPr>
          <w:rFonts w:hint="eastAsia" w:ascii="仿宋" w:hAnsi="仿宋" w:eastAsia="仿宋" w:cs="仿宋"/>
          <w:b/>
          <w:bCs/>
          <w:kern w:val="0"/>
          <w:sz w:val="24"/>
          <w:lang w:val="zh-CN"/>
        </w:rPr>
        <w:t xml:space="preserve">                        </w:t>
      </w: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eastAsia="zh-CN"/>
        </w:rPr>
        <w:t>五</w:t>
      </w:r>
      <w:r>
        <w:rPr>
          <w:rFonts w:hint="eastAsia" w:ascii="仿宋" w:hAnsi="仿宋" w:eastAsia="仿宋" w:cs="仿宋"/>
          <w:b/>
          <w:bCs/>
          <w:sz w:val="32"/>
          <w:szCs w:val="32"/>
        </w:rPr>
        <w:t>、技术和服务偏离说明表</w:t>
      </w:r>
    </w:p>
    <w:p>
      <w:pPr>
        <w:spacing w:line="360" w:lineRule="auto"/>
        <w:jc w:val="center"/>
        <w:rPr>
          <w:rFonts w:hint="eastAsia" w:ascii="仿宋" w:hAnsi="仿宋" w:eastAsia="仿宋" w:cs="仿宋"/>
          <w:b/>
          <w:bCs/>
          <w:sz w:val="18"/>
          <w:szCs w:val="18"/>
        </w:rPr>
      </w:pPr>
    </w:p>
    <w:tbl>
      <w:tblPr>
        <w:tblStyle w:val="6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8"/>
        <w:gridCol w:w="1665"/>
        <w:gridCol w:w="1665"/>
        <w:gridCol w:w="1665"/>
        <w:gridCol w:w="20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0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名称</w:t>
            </w:r>
          </w:p>
        </w:tc>
        <w:tc>
          <w:tcPr>
            <w:tcW w:w="16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采购要求</w:t>
            </w:r>
          </w:p>
        </w:tc>
        <w:tc>
          <w:tcPr>
            <w:tcW w:w="16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投标响应</w:t>
            </w:r>
          </w:p>
        </w:tc>
        <w:tc>
          <w:tcPr>
            <w:tcW w:w="16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偏离</w:t>
            </w:r>
          </w:p>
        </w:tc>
        <w:tc>
          <w:tcPr>
            <w:tcW w:w="202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08"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202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08"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202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08"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166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c>
          <w:tcPr>
            <w:tcW w:w="2025"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sz w:val="24"/>
              </w:rPr>
            </w:pPr>
          </w:p>
        </w:tc>
      </w:tr>
    </w:tbl>
    <w:p>
      <w:pPr>
        <w:autoSpaceDE w:val="0"/>
        <w:autoSpaceDN w:val="0"/>
        <w:spacing w:line="360" w:lineRule="auto"/>
        <w:ind w:firstLine="5040" w:firstLineChars="2100"/>
        <w:rPr>
          <w:rFonts w:hint="eastAsia" w:ascii="仿宋" w:hAnsi="仿宋" w:eastAsia="仿宋" w:cs="仿宋"/>
          <w:kern w:val="0"/>
          <w:sz w:val="24"/>
          <w:lang w:val="zh-CN"/>
        </w:rPr>
      </w:pPr>
    </w:p>
    <w:p>
      <w:pPr>
        <w:autoSpaceDE w:val="0"/>
        <w:autoSpaceDN w:val="0"/>
        <w:spacing w:line="360" w:lineRule="auto"/>
        <w:ind w:firstLine="5040" w:firstLineChars="2100"/>
        <w:rPr>
          <w:rFonts w:hint="eastAsia" w:ascii="仿宋" w:hAnsi="仿宋" w:eastAsia="仿宋" w:cs="仿宋"/>
          <w:kern w:val="0"/>
          <w:sz w:val="24"/>
        </w:rPr>
      </w:pPr>
      <w:r>
        <w:rPr>
          <w:rFonts w:hint="eastAsia" w:ascii="仿宋" w:hAnsi="仿宋" w:eastAsia="仿宋" w:cs="仿宋"/>
          <w:kern w:val="0"/>
          <w:sz w:val="24"/>
          <w:lang w:val="zh-CN"/>
        </w:rPr>
        <w:t xml:space="preserve">投标人名称（电子签名）：      </w:t>
      </w:r>
    </w:p>
    <w:p>
      <w:pPr>
        <w:autoSpaceDE w:val="0"/>
        <w:autoSpaceDN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tabs>
          <w:tab w:val="left" w:pos="2790"/>
          <w:tab w:val="left" w:pos="4230"/>
        </w:tabs>
        <w:autoSpaceDE w:val="0"/>
        <w:autoSpaceDN w:val="0"/>
        <w:spacing w:line="360" w:lineRule="auto"/>
        <w:ind w:right="1400"/>
        <w:jc w:val="center"/>
        <w:outlineLvl w:val="1"/>
        <w:rPr>
          <w:rFonts w:hint="eastAsia" w:ascii="仿宋" w:hAnsi="仿宋" w:eastAsia="仿宋" w:cs="仿宋"/>
          <w:b/>
          <w:bCs/>
          <w:kern w:val="0"/>
          <w:sz w:val="32"/>
          <w:szCs w:val="32"/>
          <w:lang w:val="zh-CN"/>
        </w:rPr>
      </w:pPr>
      <w:r>
        <w:rPr>
          <w:rFonts w:hint="eastAsia" w:ascii="仿宋" w:hAnsi="仿宋" w:eastAsia="仿宋" w:cs="仿宋"/>
          <w:b/>
          <w:bCs/>
          <w:kern w:val="0"/>
          <w:sz w:val="32"/>
          <w:szCs w:val="32"/>
          <w:lang w:val="zh-CN"/>
        </w:rPr>
        <w:t>六、组织实施方案</w:t>
      </w:r>
    </w:p>
    <w:p>
      <w:pPr>
        <w:autoSpaceDE w:val="0"/>
        <w:autoSpaceDN w:val="0"/>
        <w:spacing w:line="360" w:lineRule="auto"/>
        <w:jc w:val="center"/>
        <w:rPr>
          <w:rFonts w:hint="eastAsia" w:ascii="仿宋" w:hAnsi="仿宋" w:eastAsia="仿宋" w:cs="仿宋"/>
          <w:sz w:val="24"/>
        </w:rPr>
      </w:pPr>
      <w:r>
        <w:rPr>
          <w:rFonts w:hint="eastAsia" w:ascii="仿宋" w:hAnsi="仿宋" w:eastAsia="仿宋" w:cs="仿宋"/>
          <w:sz w:val="24"/>
        </w:rPr>
        <w:t>（由投标人根据采购需求及招标文件要求编制）</w:t>
      </w:r>
    </w:p>
    <w:p>
      <w:pPr>
        <w:tabs>
          <w:tab w:val="left" w:pos="2790"/>
          <w:tab w:val="left" w:pos="4230"/>
        </w:tabs>
        <w:autoSpaceDE w:val="0"/>
        <w:autoSpaceDN w:val="0"/>
        <w:spacing w:line="360" w:lineRule="auto"/>
        <w:ind w:right="1400"/>
        <w:outlineLvl w:val="1"/>
        <w:rPr>
          <w:rFonts w:hint="eastAsia" w:ascii="仿宋" w:hAnsi="仿宋" w:eastAsia="仿宋" w:cs="仿宋"/>
          <w:b/>
          <w:bCs/>
          <w:kern w:val="0"/>
          <w:sz w:val="24"/>
          <w:lang w:val="zh-CN"/>
        </w:rPr>
      </w:pPr>
    </w:p>
    <w:p>
      <w:pPr>
        <w:autoSpaceDE w:val="0"/>
        <w:autoSpaceDN w:val="0"/>
        <w:spacing w:line="360" w:lineRule="auto"/>
        <w:rPr>
          <w:rFonts w:hint="eastAsia" w:ascii="仿宋" w:hAnsi="仿宋" w:eastAsia="仿宋" w:cs="仿宋"/>
          <w:kern w:val="0"/>
          <w:sz w:val="24"/>
        </w:rPr>
      </w:pPr>
    </w:p>
    <w:p>
      <w:pPr>
        <w:autoSpaceDE w:val="0"/>
        <w:autoSpaceDN w:val="0"/>
        <w:spacing w:line="360" w:lineRule="auto"/>
        <w:ind w:firstLine="5400" w:firstLineChars="2250"/>
        <w:rPr>
          <w:rFonts w:hint="eastAsia" w:ascii="仿宋" w:hAnsi="仿宋" w:eastAsia="仿宋" w:cs="仿宋"/>
          <w:kern w:val="0"/>
          <w:sz w:val="24"/>
        </w:rPr>
      </w:pPr>
    </w:p>
    <w:p>
      <w:pPr>
        <w:autoSpaceDE w:val="0"/>
        <w:autoSpaceDN w:val="0"/>
        <w:spacing w:line="360" w:lineRule="auto"/>
        <w:ind w:firstLine="5400" w:firstLineChars="2250"/>
        <w:rPr>
          <w:rFonts w:hint="eastAsia" w:ascii="仿宋" w:hAnsi="仿宋" w:eastAsia="仿宋" w:cs="仿宋"/>
          <w:kern w:val="0"/>
          <w:sz w:val="24"/>
        </w:rPr>
      </w:pPr>
    </w:p>
    <w:p>
      <w:pPr>
        <w:autoSpaceDE w:val="0"/>
        <w:autoSpaceDN w:val="0"/>
        <w:spacing w:line="360" w:lineRule="auto"/>
        <w:ind w:firstLine="5040" w:firstLineChars="2100"/>
        <w:rPr>
          <w:rFonts w:hint="eastAsia" w:ascii="仿宋" w:hAnsi="仿宋" w:eastAsia="仿宋" w:cs="仿宋"/>
          <w:kern w:val="0"/>
          <w:sz w:val="24"/>
        </w:rPr>
      </w:pPr>
      <w:r>
        <w:rPr>
          <w:rFonts w:hint="eastAsia" w:ascii="仿宋" w:hAnsi="仿宋" w:eastAsia="仿宋" w:cs="仿宋"/>
          <w:kern w:val="0"/>
          <w:sz w:val="24"/>
        </w:rPr>
        <w:t>投标人名称（电子签名）：</w:t>
      </w:r>
    </w:p>
    <w:p>
      <w:pPr>
        <w:autoSpaceDE w:val="0"/>
        <w:autoSpaceDN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日期：  年  月   日</w:t>
      </w:r>
    </w:p>
    <w:p>
      <w:pPr>
        <w:spacing w:line="360" w:lineRule="auto"/>
        <w:jc w:val="center"/>
        <w:rPr>
          <w:rFonts w:hint="eastAsia" w:ascii="仿宋" w:hAnsi="仿宋" w:eastAsia="仿宋" w:cs="仿宋"/>
          <w:b/>
          <w:bCs/>
          <w:sz w:val="32"/>
          <w:szCs w:val="32"/>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adjustRightInd w:val="0"/>
        <w:spacing w:line="360" w:lineRule="auto"/>
        <w:jc w:val="center"/>
        <w:rPr>
          <w:rFonts w:ascii="仿宋_GB2312" w:hAnsi="仿宋" w:eastAsia="仿宋_GB2312" w:cs="仿宋_GB2312"/>
          <w:b/>
          <w:bCs/>
          <w:sz w:val="32"/>
          <w:szCs w:val="32"/>
        </w:rPr>
      </w:pPr>
      <w:r>
        <w:rPr>
          <w:rFonts w:hint="eastAsia" w:ascii="仿宋" w:hAnsi="仿宋" w:eastAsia="仿宋" w:cs="仿宋"/>
          <w:b/>
          <w:bCs/>
          <w:sz w:val="32"/>
          <w:szCs w:val="32"/>
          <w:lang w:eastAsia="zh-CN"/>
        </w:rPr>
        <w:t>七</w:t>
      </w:r>
      <w:r>
        <w:rPr>
          <w:rFonts w:hint="eastAsia" w:ascii="仿宋" w:hAnsi="仿宋" w:eastAsia="仿宋" w:cs="仿宋"/>
          <w:b/>
          <w:bCs/>
          <w:sz w:val="32"/>
          <w:szCs w:val="32"/>
        </w:rPr>
        <w:t>、</w:t>
      </w:r>
      <w:r>
        <w:rPr>
          <w:rFonts w:hint="eastAsia" w:ascii="仿宋_GB2312" w:hAnsi="仿宋" w:eastAsia="仿宋_GB2312" w:cs="仿宋_GB2312"/>
          <w:b/>
          <w:bCs/>
          <w:sz w:val="32"/>
          <w:szCs w:val="32"/>
        </w:rPr>
        <w:t>人员投入计划</w:t>
      </w:r>
    </w:p>
    <w:p>
      <w:pPr>
        <w:autoSpaceDE w:val="0"/>
        <w:autoSpaceDN w:val="0"/>
        <w:adjustRightInd w:val="0"/>
        <w:spacing w:line="360" w:lineRule="auto"/>
        <w:jc w:val="center"/>
        <w:rPr>
          <w:rFonts w:ascii="仿宋_GB2312" w:hAnsi="仿宋" w:eastAsia="仿宋_GB2312" w:cs="仿宋_GB2312"/>
          <w:kern w:val="0"/>
          <w:sz w:val="24"/>
          <w:szCs w:val="24"/>
        </w:rPr>
      </w:pPr>
      <w:r>
        <w:rPr>
          <w:rFonts w:hint="eastAsia" w:ascii="仿宋_GB2312" w:hAnsi="仿宋" w:eastAsia="仿宋_GB2312" w:cs="仿宋_GB2312"/>
          <w:sz w:val="24"/>
          <w:szCs w:val="24"/>
        </w:rPr>
        <w:t>（由投标人根据采购需求及招标文件要求编制）</w:t>
      </w:r>
    </w:p>
    <w:p>
      <w:pPr>
        <w:autoSpaceDE w:val="0"/>
        <w:autoSpaceDN w:val="0"/>
        <w:adjustRightInd w:val="0"/>
        <w:spacing w:line="360" w:lineRule="auto"/>
        <w:ind w:firstLine="4440" w:firstLineChars="1850"/>
        <w:rPr>
          <w:rFonts w:ascii="仿宋_GB2312" w:hAnsi="仿宋" w:eastAsia="仿宋_GB2312" w:cs="仿宋_GB2312"/>
          <w:kern w:val="0"/>
          <w:sz w:val="24"/>
          <w:szCs w:val="24"/>
        </w:rPr>
      </w:pPr>
    </w:p>
    <w:p>
      <w:pPr>
        <w:autoSpaceDE w:val="0"/>
        <w:autoSpaceDN w:val="0"/>
        <w:adjustRightInd w:val="0"/>
        <w:spacing w:line="360" w:lineRule="auto"/>
        <w:ind w:firstLine="4440" w:firstLineChars="1850"/>
        <w:rPr>
          <w:rFonts w:ascii="仿宋_GB2312" w:hAnsi="仿宋" w:eastAsia="仿宋_GB2312" w:cs="仿宋_GB2312"/>
          <w:kern w:val="0"/>
          <w:sz w:val="24"/>
          <w:szCs w:val="24"/>
        </w:rPr>
      </w:pPr>
    </w:p>
    <w:p>
      <w:pPr>
        <w:autoSpaceDE w:val="0"/>
        <w:autoSpaceDN w:val="0"/>
        <w:adjustRightInd w:val="0"/>
        <w:spacing w:line="360" w:lineRule="auto"/>
        <w:ind w:firstLine="4440" w:firstLineChars="1850"/>
        <w:rPr>
          <w:rFonts w:ascii="仿宋_GB2312" w:hAnsi="仿宋" w:eastAsia="仿宋_GB2312" w:cs="仿宋_GB2312"/>
          <w:kern w:val="0"/>
          <w:sz w:val="24"/>
          <w:szCs w:val="24"/>
        </w:rPr>
      </w:pPr>
    </w:p>
    <w:p>
      <w:pPr>
        <w:autoSpaceDE w:val="0"/>
        <w:autoSpaceDN w:val="0"/>
        <w:adjustRightInd w:val="0"/>
        <w:spacing w:line="360" w:lineRule="auto"/>
        <w:ind w:firstLine="4440" w:firstLineChars="1850"/>
        <w:rPr>
          <w:rFonts w:ascii="仿宋_GB2312" w:hAnsi="仿宋" w:eastAsia="仿宋_GB2312" w:cs="仿宋_GB2312"/>
          <w:kern w:val="0"/>
          <w:sz w:val="24"/>
          <w:szCs w:val="24"/>
        </w:rPr>
      </w:pPr>
      <w:r>
        <w:rPr>
          <w:rFonts w:hint="eastAsia" w:ascii="仿宋_GB2312" w:hAnsi="仿宋" w:eastAsia="仿宋_GB2312" w:cs="仿宋_GB2312"/>
          <w:kern w:val="0"/>
          <w:sz w:val="24"/>
          <w:szCs w:val="24"/>
        </w:rPr>
        <w:t>投标人名称（电子签名）：</w:t>
      </w:r>
    </w:p>
    <w:p>
      <w:pPr>
        <w:autoSpaceDE w:val="0"/>
        <w:autoSpaceDN w:val="0"/>
        <w:adjustRightInd w:val="0"/>
        <w:spacing w:line="360" w:lineRule="auto"/>
        <w:rPr>
          <w:rFonts w:ascii="仿宋_GB2312" w:hAnsi="仿宋" w:eastAsia="仿宋_GB2312" w:cs="仿宋_GB2312"/>
          <w:b/>
          <w:bCs/>
          <w:sz w:val="24"/>
          <w:szCs w:val="24"/>
        </w:rPr>
      </w:pPr>
      <w:r>
        <w:rPr>
          <w:rFonts w:hint="eastAsia" w:ascii="仿宋_GB2312" w:hAnsi="仿宋" w:eastAsia="仿宋_GB2312" w:cs="仿宋_GB2312"/>
          <w:kern w:val="0"/>
          <w:sz w:val="24"/>
          <w:szCs w:val="24"/>
        </w:rPr>
        <w:t xml:space="preserve">                                     </w:t>
      </w:r>
      <w:r>
        <w:rPr>
          <w:rFonts w:hint="eastAsia" w:ascii="仿宋_GB2312" w:hAnsi="仿宋" w:eastAsia="仿宋_GB2312" w:cs="仿宋_GB2312"/>
          <w:kern w:val="0"/>
          <w:sz w:val="24"/>
          <w:szCs w:val="24"/>
          <w:lang w:val="zh-CN"/>
        </w:rPr>
        <w:t>日期：  年  月   日</w:t>
      </w: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spacing w:line="360" w:lineRule="auto"/>
        <w:jc w:val="center"/>
        <w:rPr>
          <w:rFonts w:hint="eastAsia" w:ascii="仿宋" w:hAnsi="仿宋" w:eastAsia="仿宋" w:cs="仿宋"/>
          <w:b/>
          <w:bCs/>
          <w:sz w:val="32"/>
          <w:szCs w:val="32"/>
          <w:lang w:eastAsia="zh-CN"/>
        </w:rPr>
      </w:pPr>
    </w:p>
    <w:p>
      <w:pPr>
        <w:spacing w:line="360" w:lineRule="auto"/>
        <w:jc w:val="center"/>
        <w:rPr>
          <w:rFonts w:hint="eastAsia" w:ascii="仿宋" w:hAnsi="仿宋" w:eastAsia="仿宋" w:cs="仿宋"/>
          <w:b/>
          <w:bCs/>
          <w:sz w:val="32"/>
          <w:szCs w:val="32"/>
          <w:lang w:eastAsia="zh-CN"/>
        </w:rPr>
      </w:pPr>
    </w:p>
    <w:p>
      <w:pPr>
        <w:spacing w:line="360" w:lineRule="auto"/>
        <w:jc w:val="center"/>
        <w:rPr>
          <w:rFonts w:hint="eastAsia" w:ascii="仿宋" w:hAnsi="仿宋" w:eastAsia="仿宋" w:cs="仿宋"/>
          <w:b/>
          <w:bCs/>
          <w:sz w:val="32"/>
          <w:szCs w:val="32"/>
          <w:lang w:eastAsia="zh-CN"/>
        </w:rPr>
      </w:pPr>
    </w:p>
    <w:p>
      <w:pPr>
        <w:adjustRightInd w:val="0"/>
        <w:spacing w:line="360" w:lineRule="auto"/>
        <w:jc w:val="center"/>
        <w:rPr>
          <w:rFonts w:ascii="仿宋_GB2312" w:hAnsi="仿宋" w:eastAsia="仿宋_GB2312" w:cs="仿宋_GB2312"/>
          <w:b/>
          <w:bCs/>
          <w:sz w:val="32"/>
          <w:szCs w:val="32"/>
        </w:rPr>
      </w:pPr>
      <w:r>
        <w:rPr>
          <w:rFonts w:hint="eastAsia" w:ascii="仿宋" w:hAnsi="仿宋" w:eastAsia="仿宋" w:cs="仿宋"/>
          <w:b/>
          <w:bCs/>
          <w:sz w:val="32"/>
          <w:szCs w:val="32"/>
          <w:lang w:eastAsia="zh-CN"/>
        </w:rPr>
        <w:t>八</w:t>
      </w:r>
      <w:r>
        <w:rPr>
          <w:rFonts w:hint="eastAsia" w:ascii="仿宋" w:hAnsi="仿宋" w:eastAsia="仿宋" w:cs="仿宋"/>
          <w:b/>
          <w:bCs/>
          <w:sz w:val="32"/>
          <w:szCs w:val="32"/>
        </w:rPr>
        <w:t>、</w:t>
      </w:r>
      <w:r>
        <w:rPr>
          <w:rFonts w:hint="eastAsia" w:ascii="仿宋_GB2312" w:hAnsi="仿宋" w:eastAsia="仿宋_GB2312" w:cs="仿宋_GB2312"/>
          <w:b/>
          <w:bCs/>
          <w:sz w:val="32"/>
          <w:szCs w:val="32"/>
        </w:rPr>
        <w:t>材料、设备、工具等投入计划</w:t>
      </w:r>
    </w:p>
    <w:p>
      <w:pPr>
        <w:adjustRightInd w:val="0"/>
        <w:spacing w:line="360" w:lineRule="auto"/>
        <w:jc w:val="center"/>
        <w:rPr>
          <w:rFonts w:ascii="仿宋_GB2312" w:hAnsi="仿宋" w:eastAsia="仿宋_GB2312" w:cs="仿宋_GB2312"/>
          <w:b/>
          <w:bCs/>
          <w:sz w:val="24"/>
          <w:szCs w:val="24"/>
        </w:rPr>
      </w:pPr>
      <w:r>
        <w:rPr>
          <w:rFonts w:hint="eastAsia" w:ascii="仿宋_GB2312" w:hAnsi="仿宋" w:eastAsia="仿宋_GB2312" w:cs="仿宋_GB2312"/>
          <w:sz w:val="24"/>
          <w:szCs w:val="24"/>
        </w:rPr>
        <w:t>（由投标人根据采购需求及招标文件要求编制）</w:t>
      </w:r>
    </w:p>
    <w:p>
      <w:pPr>
        <w:autoSpaceDE w:val="0"/>
        <w:autoSpaceDN w:val="0"/>
        <w:adjustRightInd w:val="0"/>
        <w:spacing w:line="360" w:lineRule="auto"/>
        <w:ind w:firstLine="4440" w:firstLineChars="1850"/>
        <w:rPr>
          <w:rFonts w:ascii="仿宋_GB2312" w:hAnsi="仿宋" w:eastAsia="仿宋_GB2312" w:cs="仿宋_GB2312"/>
          <w:kern w:val="0"/>
          <w:sz w:val="24"/>
          <w:szCs w:val="24"/>
        </w:rPr>
      </w:pPr>
      <w:r>
        <w:rPr>
          <w:rFonts w:hint="eastAsia" w:ascii="仿宋_GB2312" w:hAnsi="仿宋" w:eastAsia="仿宋_GB2312" w:cs="仿宋_GB2312"/>
          <w:kern w:val="0"/>
          <w:sz w:val="24"/>
          <w:szCs w:val="24"/>
        </w:rPr>
        <w:t>投标人名称（电子签名）：</w:t>
      </w:r>
    </w:p>
    <w:p>
      <w:pPr>
        <w:autoSpaceDE w:val="0"/>
        <w:autoSpaceDN w:val="0"/>
        <w:adjustRightInd w:val="0"/>
        <w:spacing w:line="360" w:lineRule="auto"/>
        <w:rPr>
          <w:rFonts w:ascii="仿宋_GB2312" w:hAnsi="仿宋" w:eastAsia="仿宋_GB2312" w:cs="仿宋_GB2312"/>
          <w:kern w:val="0"/>
          <w:sz w:val="24"/>
          <w:szCs w:val="24"/>
        </w:rPr>
      </w:pPr>
      <w:r>
        <w:rPr>
          <w:rFonts w:hint="eastAsia" w:ascii="仿宋_GB2312" w:hAnsi="仿宋" w:eastAsia="仿宋_GB2312" w:cs="仿宋_GB2312"/>
          <w:kern w:val="0"/>
          <w:sz w:val="24"/>
          <w:szCs w:val="24"/>
        </w:rPr>
        <w:t xml:space="preserve">                                     </w:t>
      </w:r>
      <w:r>
        <w:rPr>
          <w:rFonts w:hint="eastAsia" w:ascii="仿宋_GB2312" w:hAnsi="仿宋" w:eastAsia="仿宋_GB2312" w:cs="仿宋_GB2312"/>
          <w:kern w:val="0"/>
          <w:sz w:val="24"/>
          <w:szCs w:val="24"/>
          <w:lang w:val="zh-CN"/>
        </w:rPr>
        <w:t>日期：  年  月   日</w:t>
      </w:r>
    </w:p>
    <w:p>
      <w:pPr>
        <w:autoSpaceDE w:val="0"/>
        <w:autoSpaceDN w:val="0"/>
        <w:spacing w:line="360" w:lineRule="auto"/>
        <w:rPr>
          <w:rFonts w:hint="eastAsia" w:ascii="仿宋" w:hAnsi="仿宋" w:eastAsia="仿宋" w:cs="仿宋"/>
          <w:b/>
          <w:sz w:val="36"/>
          <w:szCs w:val="36"/>
        </w:rPr>
      </w:pPr>
    </w:p>
    <w:p>
      <w:pPr>
        <w:spacing w:line="360" w:lineRule="auto"/>
        <w:jc w:val="both"/>
        <w:rPr>
          <w:rFonts w:hint="eastAsia" w:ascii="仿宋" w:hAnsi="仿宋" w:eastAsia="仿宋" w:cs="仿宋"/>
          <w:b/>
          <w:bCs/>
          <w:sz w:val="32"/>
          <w:szCs w:val="32"/>
          <w:lang w:eastAsia="zh-CN"/>
        </w:rPr>
      </w:pPr>
    </w:p>
    <w:p>
      <w:pPr>
        <w:spacing w:line="360" w:lineRule="auto"/>
        <w:jc w:val="center"/>
        <w:rPr>
          <w:rFonts w:hint="eastAsia" w:ascii="仿宋" w:hAnsi="仿宋" w:eastAsia="仿宋" w:cs="仿宋"/>
          <w:b/>
          <w:bCs/>
          <w:sz w:val="32"/>
          <w:szCs w:val="32"/>
          <w:lang w:eastAsia="zh-CN"/>
        </w:rPr>
      </w:pPr>
    </w:p>
    <w:p>
      <w:pPr>
        <w:adjustRightInd w:val="0"/>
        <w:spacing w:line="360" w:lineRule="auto"/>
        <w:jc w:val="center"/>
        <w:rPr>
          <w:rFonts w:ascii="仿宋_GB2312" w:hAnsi="仿宋" w:eastAsia="仿宋_GB2312" w:cs="仿宋_GB2312"/>
          <w:b/>
          <w:kern w:val="0"/>
          <w:sz w:val="32"/>
          <w:szCs w:val="32"/>
          <w:lang w:val="zh-CN"/>
        </w:rPr>
      </w:pPr>
      <w:r>
        <w:rPr>
          <w:rFonts w:hint="eastAsia" w:ascii="仿宋" w:hAnsi="仿宋" w:eastAsia="仿宋" w:cs="仿宋"/>
          <w:b/>
          <w:bCs/>
          <w:sz w:val="32"/>
          <w:szCs w:val="32"/>
          <w:lang w:eastAsia="zh-CN"/>
        </w:rPr>
        <w:t>九</w:t>
      </w:r>
      <w:r>
        <w:rPr>
          <w:rFonts w:hint="eastAsia" w:ascii="仿宋" w:hAnsi="仿宋" w:eastAsia="仿宋" w:cs="仿宋"/>
          <w:b/>
          <w:bCs/>
          <w:sz w:val="32"/>
          <w:szCs w:val="32"/>
        </w:rPr>
        <w:t>、</w:t>
      </w:r>
      <w:r>
        <w:rPr>
          <w:rFonts w:hint="eastAsia" w:ascii="仿宋_GB2312" w:hAnsi="仿宋" w:eastAsia="仿宋_GB2312" w:cs="仿宋_GB2312"/>
          <w:b/>
          <w:kern w:val="0"/>
          <w:sz w:val="32"/>
          <w:szCs w:val="32"/>
          <w:lang w:val="zh-CN"/>
        </w:rPr>
        <w:t>各项服务承诺</w:t>
      </w:r>
    </w:p>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（由投标人根据采购需求及招标文件要求编制）</w:t>
      </w:r>
    </w:p>
    <w:p>
      <w:pPr>
        <w:adjustRightInd w:val="0"/>
        <w:spacing w:line="360" w:lineRule="auto"/>
        <w:jc w:val="center"/>
        <w:rPr>
          <w:rFonts w:ascii="仿宋_GB2312" w:hAnsi="仿宋" w:eastAsia="仿宋_GB2312" w:cs="仿宋_GB2312"/>
          <w:sz w:val="18"/>
          <w:szCs w:val="18"/>
        </w:rPr>
      </w:pPr>
    </w:p>
    <w:p>
      <w:pPr>
        <w:autoSpaceDE w:val="0"/>
        <w:autoSpaceDN w:val="0"/>
        <w:adjustRightInd w:val="0"/>
        <w:spacing w:line="360" w:lineRule="auto"/>
        <w:ind w:firstLine="4440" w:firstLineChars="1850"/>
        <w:rPr>
          <w:rFonts w:ascii="仿宋_GB2312" w:hAnsi="仿宋" w:eastAsia="仿宋_GB2312" w:cs="仿宋_GB2312"/>
          <w:kern w:val="0"/>
          <w:sz w:val="24"/>
          <w:szCs w:val="24"/>
        </w:rPr>
      </w:pPr>
      <w:r>
        <w:rPr>
          <w:rFonts w:hint="eastAsia" w:ascii="仿宋_GB2312" w:hAnsi="仿宋" w:eastAsia="仿宋_GB2312" w:cs="仿宋_GB2312"/>
          <w:kern w:val="0"/>
          <w:sz w:val="24"/>
          <w:szCs w:val="24"/>
        </w:rPr>
        <w:t>投标人名称（电子签名）：</w:t>
      </w:r>
    </w:p>
    <w:p>
      <w:pPr>
        <w:autoSpaceDE w:val="0"/>
        <w:autoSpaceDN w:val="0"/>
        <w:adjustRightInd w:val="0"/>
        <w:spacing w:line="360" w:lineRule="auto"/>
        <w:rPr>
          <w:rFonts w:ascii="仿宋_GB2312" w:hAnsi="仿宋" w:eastAsia="仿宋_GB2312" w:cs="仿宋_GB2312"/>
          <w:b/>
          <w:bCs/>
          <w:sz w:val="18"/>
          <w:szCs w:val="18"/>
        </w:rPr>
      </w:pPr>
      <w:r>
        <w:rPr>
          <w:rFonts w:hint="eastAsia" w:ascii="仿宋_GB2312" w:hAnsi="仿宋" w:eastAsia="仿宋_GB2312" w:cs="仿宋_GB2312"/>
          <w:kern w:val="0"/>
          <w:sz w:val="24"/>
          <w:szCs w:val="24"/>
        </w:rPr>
        <w:t xml:space="preserve">                                     </w:t>
      </w:r>
      <w:r>
        <w:rPr>
          <w:rFonts w:hint="eastAsia" w:ascii="仿宋_GB2312" w:hAnsi="仿宋" w:eastAsia="仿宋_GB2312" w:cs="仿宋_GB2312"/>
          <w:kern w:val="0"/>
          <w:sz w:val="24"/>
          <w:szCs w:val="24"/>
          <w:lang w:val="zh-CN"/>
        </w:rPr>
        <w:t>日期：  年  月   日</w:t>
      </w:r>
    </w:p>
    <w:p>
      <w:pPr>
        <w:autoSpaceDE w:val="0"/>
        <w:autoSpaceDN w:val="0"/>
        <w:spacing w:line="360" w:lineRule="auto"/>
        <w:rPr>
          <w:rFonts w:hint="eastAsia" w:ascii="仿宋" w:hAnsi="仿宋" w:eastAsia="仿宋" w:cs="仿宋"/>
          <w:b/>
          <w:bCs/>
          <w:sz w:val="18"/>
          <w:szCs w:val="18"/>
        </w:rPr>
      </w:pPr>
    </w:p>
    <w:p>
      <w:pPr>
        <w:spacing w:line="360" w:lineRule="auto"/>
        <w:jc w:val="both"/>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p>
    <w:p>
      <w:pPr>
        <w:adjustRightInd w:val="0"/>
        <w:spacing w:line="360" w:lineRule="auto"/>
        <w:jc w:val="center"/>
        <w:rPr>
          <w:rFonts w:ascii="仿宋_GB2312" w:hAnsi="仿宋" w:eastAsia="仿宋_GB2312" w:cs="仿宋_GB2312"/>
          <w:b/>
          <w:bCs/>
          <w:sz w:val="32"/>
          <w:szCs w:val="32"/>
        </w:rPr>
      </w:pPr>
      <w:r>
        <w:rPr>
          <w:rFonts w:hint="eastAsia" w:ascii="仿宋" w:hAnsi="仿宋" w:eastAsia="仿宋" w:cs="仿宋"/>
          <w:b/>
          <w:bCs/>
          <w:sz w:val="32"/>
          <w:szCs w:val="32"/>
        </w:rPr>
        <w:t>十、</w:t>
      </w:r>
      <w:r>
        <w:rPr>
          <w:rFonts w:hint="eastAsia" w:ascii="仿宋_GB2312" w:hAnsi="仿宋" w:eastAsia="仿宋_GB2312" w:cs="仿宋_GB2312"/>
          <w:b/>
          <w:bCs/>
          <w:sz w:val="32"/>
          <w:szCs w:val="32"/>
        </w:rPr>
        <w:t>认为需要的其他技术文件或说明</w:t>
      </w:r>
    </w:p>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（由投标人根据采购需求自行编制）</w:t>
      </w:r>
    </w:p>
    <w:p>
      <w:pPr>
        <w:adjustRightInd w:val="0"/>
        <w:spacing w:line="360" w:lineRule="auto"/>
        <w:jc w:val="center"/>
        <w:rPr>
          <w:rFonts w:ascii="仿宋_GB2312" w:hAnsi="仿宋" w:eastAsia="仿宋_GB2312" w:cs="仿宋_GB2312"/>
          <w:sz w:val="24"/>
          <w:szCs w:val="24"/>
        </w:rPr>
      </w:pPr>
    </w:p>
    <w:p>
      <w:pPr>
        <w:autoSpaceDE w:val="0"/>
        <w:autoSpaceDN w:val="0"/>
        <w:adjustRightInd w:val="0"/>
        <w:spacing w:line="360" w:lineRule="auto"/>
        <w:ind w:firstLine="4800" w:firstLineChars="2000"/>
        <w:rPr>
          <w:rFonts w:ascii="仿宋_GB2312" w:hAnsi="仿宋" w:eastAsia="仿宋_GB2312" w:cs="仿宋_GB2312"/>
          <w:sz w:val="24"/>
          <w:szCs w:val="24"/>
        </w:rPr>
      </w:pPr>
      <w:r>
        <w:rPr>
          <w:rFonts w:hint="eastAsia" w:ascii="仿宋_GB2312" w:hAnsi="仿宋" w:eastAsia="仿宋_GB2312" w:cs="仿宋_GB2312"/>
          <w:kern w:val="0"/>
          <w:sz w:val="24"/>
          <w:szCs w:val="24"/>
        </w:rPr>
        <w:t xml:space="preserve">投标人名称（电子签名）：                       </w:t>
      </w:r>
    </w:p>
    <w:p>
      <w:pPr>
        <w:autoSpaceDE w:val="0"/>
        <w:autoSpaceDN w:val="0"/>
        <w:adjustRightInd w:val="0"/>
        <w:spacing w:line="360" w:lineRule="auto"/>
        <w:rPr>
          <w:rFonts w:ascii="仿宋_GB2312" w:hAnsi="仿宋" w:eastAsia="仿宋_GB2312" w:cs="仿宋_GB2312"/>
          <w:b/>
          <w:bCs/>
          <w:sz w:val="30"/>
          <w:szCs w:val="30"/>
        </w:rPr>
      </w:pPr>
      <w:r>
        <w:rPr>
          <w:rFonts w:hint="eastAsia" w:ascii="仿宋_GB2312" w:hAnsi="仿宋" w:eastAsia="仿宋_GB2312" w:cs="仿宋_GB2312"/>
          <w:kern w:val="0"/>
          <w:sz w:val="24"/>
          <w:szCs w:val="24"/>
        </w:rPr>
        <w:t xml:space="preserve">                                        </w:t>
      </w:r>
      <w:r>
        <w:rPr>
          <w:rFonts w:hint="eastAsia" w:ascii="仿宋_GB2312" w:hAnsi="仿宋" w:eastAsia="仿宋_GB2312" w:cs="仿宋_GB2312"/>
          <w:kern w:val="0"/>
          <w:sz w:val="24"/>
          <w:szCs w:val="24"/>
          <w:lang w:val="zh-CN"/>
        </w:rPr>
        <w:t>日期：  年  月   日</w:t>
      </w:r>
    </w:p>
    <w:p>
      <w:pPr>
        <w:adjustRightInd w:val="0"/>
        <w:spacing w:line="360" w:lineRule="auto"/>
        <w:jc w:val="center"/>
        <w:rPr>
          <w:rFonts w:ascii="仿宋_GB2312" w:hAnsi="仿宋" w:eastAsia="仿宋_GB2312" w:cs="仿宋_GB2312"/>
          <w:b/>
          <w:bCs/>
          <w:sz w:val="30"/>
          <w:szCs w:val="30"/>
        </w:rPr>
      </w:pPr>
    </w:p>
    <w:p>
      <w:pPr>
        <w:adjustRightInd w:val="0"/>
        <w:spacing w:line="360" w:lineRule="auto"/>
        <w:jc w:val="center"/>
        <w:rPr>
          <w:rFonts w:ascii="仿宋_GB2312" w:hAnsi="仿宋" w:eastAsia="仿宋_GB2312" w:cs="仿宋_GB2312"/>
          <w:b/>
          <w:bCs/>
          <w:sz w:val="30"/>
          <w:szCs w:val="30"/>
        </w:rPr>
      </w:pPr>
    </w:p>
    <w:p>
      <w:pPr>
        <w:spacing w:line="360" w:lineRule="auto"/>
        <w:jc w:val="center"/>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p>
    <w:p>
      <w:pPr>
        <w:adjustRightInd w:val="0"/>
        <w:spacing w:line="360" w:lineRule="auto"/>
        <w:jc w:val="center"/>
        <w:rPr>
          <w:rFonts w:ascii="仿宋_GB2312" w:hAnsi="仿宋" w:eastAsia="仿宋_GB2312" w:cs="仿宋_GB2312"/>
          <w:b/>
          <w:kern w:val="0"/>
          <w:sz w:val="30"/>
          <w:szCs w:val="30"/>
          <w:lang w:val="zh-CN"/>
        </w:rPr>
      </w:pPr>
      <w:r>
        <w:rPr>
          <w:rFonts w:hint="eastAsia" w:ascii="仿宋" w:hAnsi="仿宋" w:eastAsia="仿宋" w:cs="仿宋"/>
          <w:b/>
          <w:bCs/>
          <w:sz w:val="32"/>
          <w:szCs w:val="32"/>
        </w:rPr>
        <w:t>十</w:t>
      </w:r>
      <w:r>
        <w:rPr>
          <w:rFonts w:hint="eastAsia" w:ascii="仿宋" w:hAnsi="仿宋" w:eastAsia="仿宋" w:cs="仿宋"/>
          <w:b/>
          <w:bCs/>
          <w:sz w:val="32"/>
          <w:szCs w:val="32"/>
          <w:lang w:eastAsia="zh-CN"/>
        </w:rPr>
        <w:t>一</w:t>
      </w:r>
      <w:r>
        <w:rPr>
          <w:rFonts w:hint="eastAsia" w:ascii="仿宋" w:hAnsi="仿宋" w:eastAsia="仿宋" w:cs="仿宋"/>
          <w:b/>
          <w:bCs/>
          <w:sz w:val="32"/>
          <w:szCs w:val="32"/>
        </w:rPr>
        <w:t>、</w:t>
      </w:r>
      <w:r>
        <w:rPr>
          <w:rFonts w:hint="eastAsia" w:ascii="仿宋_GB2312" w:hAnsi="仿宋" w:eastAsia="仿宋_GB2312" w:cs="仿宋_GB2312"/>
          <w:b/>
          <w:bCs/>
          <w:sz w:val="30"/>
          <w:szCs w:val="30"/>
        </w:rPr>
        <w:t>关于</w:t>
      </w:r>
      <w:r>
        <w:rPr>
          <w:rFonts w:hint="eastAsia" w:ascii="仿宋_GB2312" w:hAnsi="仿宋" w:eastAsia="仿宋_GB2312" w:cs="仿宋_GB2312"/>
          <w:b/>
          <w:kern w:val="0"/>
          <w:sz w:val="30"/>
          <w:szCs w:val="30"/>
          <w:lang w:val="zh-CN"/>
        </w:rPr>
        <w:t>对招标文件中有关商务、合同条款的拒绝声明</w:t>
      </w:r>
    </w:p>
    <w:p>
      <w:pPr>
        <w:adjustRightInd w:val="0"/>
        <w:spacing w:line="360" w:lineRule="auto"/>
        <w:jc w:val="center"/>
        <w:rPr>
          <w:rFonts w:ascii="仿宋_GB2312" w:hAnsi="仿宋" w:eastAsia="仿宋_GB2312" w:cs="仿宋_GB2312"/>
          <w:sz w:val="24"/>
          <w:szCs w:val="24"/>
        </w:rPr>
      </w:pPr>
      <w:r>
        <w:rPr>
          <w:rFonts w:hint="eastAsia" w:ascii="仿宋_GB2312" w:hAnsi="仿宋" w:eastAsia="仿宋_GB2312" w:cs="仿宋_GB2312"/>
          <w:sz w:val="24"/>
          <w:szCs w:val="24"/>
        </w:rPr>
        <w:t>（由投标人根据采购需求自行编制）</w:t>
      </w:r>
    </w:p>
    <w:p>
      <w:pPr>
        <w:adjustRightInd w:val="0"/>
        <w:spacing w:line="360" w:lineRule="auto"/>
        <w:rPr>
          <w:rFonts w:ascii="仿宋_GB2312" w:hAnsi="仿宋" w:eastAsia="仿宋_GB2312" w:cs="仿宋_GB2312"/>
          <w:sz w:val="24"/>
          <w:szCs w:val="24"/>
        </w:rPr>
      </w:pPr>
    </w:p>
    <w:p>
      <w:pPr>
        <w:autoSpaceDE w:val="0"/>
        <w:autoSpaceDN w:val="0"/>
        <w:adjustRightInd w:val="0"/>
        <w:spacing w:line="360" w:lineRule="auto"/>
        <w:ind w:firstLine="5040" w:firstLineChars="2100"/>
        <w:rPr>
          <w:rFonts w:ascii="仿宋_GB2312" w:hAnsi="仿宋" w:eastAsia="仿宋_GB2312" w:cs="仿宋_GB2312"/>
          <w:kern w:val="0"/>
          <w:sz w:val="24"/>
          <w:szCs w:val="24"/>
        </w:rPr>
      </w:pPr>
      <w:r>
        <w:rPr>
          <w:rFonts w:hint="eastAsia" w:ascii="仿宋_GB2312" w:hAnsi="仿宋" w:eastAsia="仿宋_GB2312" w:cs="仿宋_GB2312"/>
          <w:kern w:val="0"/>
          <w:sz w:val="24"/>
          <w:szCs w:val="24"/>
          <w:lang w:val="zh-CN"/>
        </w:rPr>
        <w:t xml:space="preserve">投标人名称（电子签名）：      </w:t>
      </w:r>
    </w:p>
    <w:p>
      <w:pPr>
        <w:autoSpaceDE w:val="0"/>
        <w:autoSpaceDN w:val="0"/>
        <w:adjustRightInd w:val="0"/>
        <w:spacing w:line="360" w:lineRule="auto"/>
        <w:rPr>
          <w:rFonts w:hint="eastAsia" w:ascii="仿宋_GB2312" w:hAnsi="仿宋" w:eastAsia="仿宋_GB2312" w:cs="仿宋_GB2312"/>
          <w:kern w:val="0"/>
          <w:sz w:val="24"/>
          <w:szCs w:val="24"/>
          <w:lang w:val="zh-CN"/>
        </w:rPr>
      </w:pPr>
      <w:r>
        <w:rPr>
          <w:rFonts w:hint="eastAsia" w:ascii="仿宋_GB2312" w:hAnsi="仿宋" w:eastAsia="仿宋_GB2312" w:cs="仿宋_GB2312"/>
          <w:kern w:val="0"/>
          <w:sz w:val="24"/>
          <w:szCs w:val="24"/>
          <w:lang w:val="zh-CN"/>
        </w:rPr>
        <w:t xml:space="preserve">                                        日期：  年  月   日</w:t>
      </w:r>
    </w:p>
    <w:p>
      <w:pPr>
        <w:pStyle w:val="78"/>
        <w:rPr>
          <w:rFonts w:hint="eastAsia" w:ascii="仿宋_GB2312" w:hAnsi="仿宋" w:eastAsia="仿宋_GB2312" w:cs="仿宋_GB2312"/>
          <w:kern w:val="0"/>
          <w:sz w:val="24"/>
          <w:szCs w:val="24"/>
          <w:lang w:val="zh-CN"/>
        </w:rPr>
      </w:pPr>
    </w:p>
    <w:p>
      <w:pPr>
        <w:pStyle w:val="78"/>
        <w:rPr>
          <w:rFonts w:hint="eastAsia" w:ascii="仿宋_GB2312" w:hAnsi="仿宋" w:eastAsia="仿宋_GB2312" w:cs="仿宋_GB2312"/>
          <w:kern w:val="0"/>
          <w:sz w:val="24"/>
          <w:szCs w:val="24"/>
          <w:lang w:val="zh-CN"/>
        </w:rPr>
      </w:pPr>
    </w:p>
    <w:p>
      <w:pPr>
        <w:tabs>
          <w:tab w:val="left" w:pos="0"/>
        </w:tabs>
        <w:autoSpaceDE w:val="0"/>
        <w:autoSpaceDN w:val="0"/>
        <w:spacing w:line="360" w:lineRule="auto"/>
        <w:jc w:val="center"/>
        <w:rPr>
          <w:rFonts w:ascii="仿宋_GB2312" w:hAnsi="仿宋" w:eastAsia="仿宋_GB2312" w:cs="仿宋_GB2312"/>
          <w:b/>
          <w:bCs/>
          <w:sz w:val="30"/>
          <w:szCs w:val="30"/>
        </w:rPr>
      </w:pPr>
      <w:r>
        <w:rPr>
          <w:rFonts w:hint="eastAsia" w:ascii="仿宋" w:hAnsi="仿宋" w:eastAsia="仿宋" w:cs="仿宋"/>
          <w:b/>
          <w:bCs/>
          <w:sz w:val="32"/>
          <w:szCs w:val="32"/>
        </w:rPr>
        <w:t>十</w:t>
      </w:r>
      <w:r>
        <w:rPr>
          <w:rFonts w:hint="eastAsia" w:ascii="仿宋" w:hAnsi="仿宋" w:eastAsia="仿宋" w:cs="仿宋"/>
          <w:b/>
          <w:bCs/>
          <w:sz w:val="32"/>
          <w:szCs w:val="32"/>
          <w:lang w:eastAsia="zh-CN"/>
        </w:rPr>
        <w:t>二</w:t>
      </w:r>
      <w:r>
        <w:rPr>
          <w:rFonts w:hint="eastAsia" w:ascii="仿宋" w:hAnsi="仿宋" w:eastAsia="仿宋" w:cs="仿宋"/>
          <w:b/>
          <w:bCs/>
          <w:sz w:val="32"/>
          <w:szCs w:val="32"/>
        </w:rPr>
        <w:t>、</w:t>
      </w:r>
      <w:r>
        <w:rPr>
          <w:rFonts w:hint="eastAsia" w:ascii="仿宋_GB2312" w:hAnsi="仿宋" w:eastAsia="仿宋_GB2312" w:cs="仿宋_GB2312"/>
          <w:b/>
          <w:bCs/>
          <w:sz w:val="30"/>
          <w:szCs w:val="30"/>
        </w:rPr>
        <w:t>廉政承诺书</w:t>
      </w:r>
    </w:p>
    <w:p>
      <w:pPr>
        <w:autoSpaceDE w:val="0"/>
        <w:autoSpaceDN w:val="0"/>
        <w:spacing w:line="360" w:lineRule="auto"/>
        <w:jc w:val="left"/>
        <w:rPr>
          <w:rFonts w:ascii="仿宋_GB2312" w:hAnsi="仿宋_GB2312" w:eastAsia="仿宋_GB2312" w:cs="仿宋_GB2312"/>
          <w:kern w:val="0"/>
          <w:sz w:val="24"/>
          <w:szCs w:val="24"/>
          <w:lang w:val="zh-CN"/>
        </w:rPr>
      </w:pPr>
      <w:r>
        <w:rPr>
          <w:rFonts w:hint="eastAsia" w:ascii="仿宋_GB2312" w:hAnsi="仿宋_GB2312" w:eastAsia="仿宋_GB2312" w:cs="仿宋_GB2312"/>
          <w:sz w:val="24"/>
        </w:rPr>
        <w:t>（</w:t>
      </w:r>
      <w:r>
        <w:rPr>
          <w:rFonts w:hint="eastAsia" w:ascii="仿宋_GB2312" w:hAnsi="仿宋_GB2312" w:eastAsia="仿宋_GB2312" w:cs="仿宋_GB2312"/>
          <w:sz w:val="24"/>
          <w:u w:val="single"/>
        </w:rPr>
        <w:t>单位名称</w:t>
      </w:r>
      <w:r>
        <w:rPr>
          <w:rFonts w:hint="eastAsia" w:ascii="仿宋_GB2312" w:hAnsi="仿宋_GB2312" w:eastAsia="仿宋_GB2312" w:cs="仿宋_GB2312"/>
          <w:sz w:val="24"/>
        </w:rPr>
        <w:t>）</w:t>
      </w:r>
      <w:r>
        <w:rPr>
          <w:rFonts w:hint="eastAsia"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 xml:space="preserve">）：                </w:t>
      </w:r>
    </w:p>
    <w:p>
      <w:pPr>
        <w:spacing w:line="360" w:lineRule="auto"/>
        <w:ind w:left="5280" w:hanging="5280" w:hangingChars="220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                                      法定代表人或其授权代表（签字）：                                                                                                                                                                   </w:t>
      </w:r>
    </w:p>
    <w:p>
      <w:pPr>
        <w:spacing w:line="360" w:lineRule="auto"/>
        <w:ind w:left="4620" w:leftChars="2200"/>
        <w:rPr>
          <w:rFonts w:ascii="Times New Roman" w:hAnsi="Times New Roman" w:eastAsia="宋体" w:cs="Times New Roman"/>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 xml:space="preserve">   年   月   日</w:t>
      </w:r>
    </w:p>
    <w:p>
      <w:pPr>
        <w:pStyle w:val="78"/>
        <w:rPr>
          <w:rFonts w:hint="eastAsia"/>
        </w:rPr>
      </w:pPr>
    </w:p>
    <w:p>
      <w:pPr>
        <w:pStyle w:val="3"/>
        <w:keepNext w:val="0"/>
        <w:keepLines w:val="0"/>
        <w:pageBreakBefore/>
        <w:widowControl/>
        <w:numPr>
          <w:ilvl w:val="0"/>
          <w:numId w:val="0"/>
        </w:numPr>
        <w:spacing w:before="100" w:beforeAutospacing="1" w:after="100" w:afterAutospacing="1" w:line="360" w:lineRule="auto"/>
        <w:jc w:val="center"/>
        <w:rPr>
          <w:rFonts w:hint="eastAsia" w:ascii="仿宋" w:hAnsi="仿宋" w:eastAsia="仿宋" w:cs="仿宋"/>
        </w:rPr>
      </w:pPr>
      <w:bookmarkStart w:id="1082" w:name="_Toc465665161"/>
      <w:r>
        <w:rPr>
          <w:rFonts w:hint="eastAsia" w:ascii="仿宋" w:hAnsi="仿宋" w:eastAsia="仿宋" w:cs="仿宋"/>
        </w:rPr>
        <w:t>附件</w:t>
      </w:r>
      <w:bookmarkEnd w:id="1082"/>
    </w:p>
    <w:p>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hint="eastAsia" w:ascii="仿宋" w:hAnsi="仿宋" w:eastAsia="仿宋" w:cs="仿宋"/>
          <w:b/>
          <w:spacing w:val="6"/>
          <w:sz w:val="32"/>
          <w:szCs w:val="32"/>
        </w:rPr>
      </w:pPr>
      <w:bookmarkStart w:id="1083" w:name="OLE_LINK13"/>
      <w:bookmarkStart w:id="1084" w:name="OLE_LINK14"/>
      <w:r>
        <w:rPr>
          <w:rFonts w:hint="eastAsia" w:ascii="仿宋" w:hAnsi="仿宋" w:eastAsia="仿宋" w:cs="仿宋"/>
          <w:b/>
          <w:spacing w:val="6"/>
          <w:sz w:val="32"/>
          <w:szCs w:val="32"/>
        </w:rPr>
        <w:t>残疾人福利性单位声明函</w:t>
      </w:r>
    </w:p>
    <w:bookmarkEnd w:id="1083"/>
    <w:bookmarkEnd w:id="1084"/>
    <w:p>
      <w:pPr>
        <w:spacing w:line="360" w:lineRule="auto"/>
        <w:rPr>
          <w:rFonts w:hint="eastAsia" w:ascii="仿宋" w:hAnsi="仿宋" w:eastAsia="仿宋" w:cs="仿宋"/>
          <w:b/>
          <w:spacing w:val="6"/>
          <w:sz w:val="30"/>
          <w:szCs w:val="30"/>
        </w:rPr>
      </w:pP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hint="eastAsia" w:ascii="仿宋" w:hAnsi="仿宋" w:eastAsia="仿宋" w:cs="仿宋"/>
          <w:sz w:val="24"/>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pStyle w:val="2"/>
        <w:jc w:val="both"/>
        <w:rPr>
          <w:rFonts w:hint="eastAsia" w:ascii="仿宋" w:hAnsi="仿宋" w:eastAsia="仿宋" w:cs="仿宋"/>
          <w:b/>
          <w:bCs/>
          <w:sz w:val="32"/>
          <w:szCs w:val="32"/>
          <w:lang w:val="en-US" w:eastAsia="zh-CN"/>
        </w:rPr>
      </w:pPr>
    </w:p>
    <w:p>
      <w:pPr>
        <w:pStyle w:val="2"/>
        <w:jc w:val="both"/>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附件2（开标记录开启后，请将此附件填写完整发送至邮箱：649656585@qq.com）：</w:t>
      </w:r>
    </w:p>
    <w:p>
      <w:pPr>
        <w:pStyle w:val="2"/>
        <w:jc w:val="center"/>
        <w:rPr>
          <w:rFonts w:hint="eastAsia" w:ascii="仿宋" w:hAnsi="仿宋" w:eastAsia="仿宋" w:cs="仿宋"/>
          <w:b/>
          <w:bCs/>
          <w:sz w:val="32"/>
          <w:szCs w:val="32"/>
        </w:rPr>
      </w:pPr>
      <w:r>
        <w:rPr>
          <w:rFonts w:hint="eastAsia" w:ascii="仿宋" w:hAnsi="仿宋" w:eastAsia="仿宋" w:cs="仿宋"/>
          <w:b/>
          <w:bCs/>
          <w:sz w:val="32"/>
          <w:szCs w:val="32"/>
        </w:rPr>
        <w:t>政府采购活动现场确认声明书</w:t>
      </w:r>
    </w:p>
    <w:p>
      <w:pPr>
        <w:pStyle w:val="2"/>
        <w:keepNext w:val="0"/>
        <w:keepLines w:val="0"/>
        <w:pageBreakBefore w:val="0"/>
        <w:widowControl w:val="0"/>
        <w:kinsoku/>
        <w:wordWrap/>
        <w:overflowPunct/>
        <w:topLinePunct w:val="0"/>
        <w:autoSpaceDE w:val="0"/>
        <w:autoSpaceDN w:val="0"/>
        <w:bidi w:val="0"/>
        <w:adjustRightInd w:val="0"/>
        <w:snapToGrid/>
        <w:spacing w:line="360" w:lineRule="exact"/>
        <w:jc w:val="both"/>
        <w:textAlignment w:val="auto"/>
        <w:rPr>
          <w:rFonts w:hint="eastAsia" w:ascii="仿宋" w:hAnsi="仿宋" w:eastAsia="仿宋" w:cs="仿宋"/>
          <w:sz w:val="24"/>
          <w:szCs w:val="24"/>
        </w:rPr>
      </w:pPr>
      <w:r>
        <w:rPr>
          <w:rFonts w:hint="eastAsia" w:ascii="仿宋" w:hAnsi="仿宋" w:eastAsia="仿宋" w:cs="仿宋"/>
          <w:sz w:val="24"/>
          <w:szCs w:val="24"/>
        </w:rPr>
        <w:t>杭州市公共资源交易中心临安分中心</w:t>
      </w:r>
      <w:r>
        <w:rPr>
          <w:rFonts w:hint="eastAsia" w:ascii="仿宋" w:hAnsi="仿宋" w:eastAsia="仿宋" w:cs="仿宋"/>
          <w:sz w:val="24"/>
          <w:szCs w:val="24"/>
          <w:lang w:eastAsia="zh-CN"/>
        </w:rPr>
        <w:t>：</w:t>
      </w:r>
      <w:r>
        <w:rPr>
          <w:rFonts w:hint="eastAsia" w:ascii="仿宋" w:hAnsi="仿宋" w:eastAsia="仿宋" w:cs="仿宋"/>
          <w:sz w:val="24"/>
          <w:szCs w:val="24"/>
        </w:rPr>
        <w:t xml:space="preserve"> </w:t>
      </w:r>
    </w:p>
    <w:p>
      <w:pPr>
        <w:pStyle w:val="2"/>
        <w:keepNext w:val="0"/>
        <w:keepLines w:val="0"/>
        <w:pageBreakBefore w:val="0"/>
        <w:widowControl w:val="0"/>
        <w:kinsoku/>
        <w:wordWrap/>
        <w:overflowPunct/>
        <w:topLinePunct w:val="0"/>
        <w:autoSpaceDE w:val="0"/>
        <w:autoSpaceDN w:val="0"/>
        <w:bidi w:val="0"/>
        <w:adjustRightInd w:val="0"/>
        <w:snapToGrid/>
        <w:spacing w:line="36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本人 ____________（授权代表姓名），经由______________________________（单位） ____________ （法定代表人姓名）合法授权参加</w:t>
      </w:r>
      <w:r>
        <w:rPr>
          <w:rFonts w:hint="eastAsia" w:ascii="仿宋" w:hAnsi="仿宋" w:eastAsia="仿宋" w:cs="仿宋"/>
          <w:sz w:val="24"/>
          <w:szCs w:val="24"/>
          <w:lang w:eastAsia="zh-CN"/>
        </w:rPr>
        <w:t>项目名称：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（编号：</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）政府采购活动</w:t>
      </w:r>
      <w:r>
        <w:rPr>
          <w:rFonts w:hint="eastAsia" w:ascii="仿宋" w:hAnsi="仿宋" w:eastAsia="仿宋" w:cs="仿宋"/>
          <w:sz w:val="24"/>
          <w:szCs w:val="24"/>
          <w:lang w:eastAsia="zh-CN"/>
        </w:rPr>
        <w:t>。</w:t>
      </w:r>
      <w:r>
        <w:rPr>
          <w:rFonts w:hint="eastAsia" w:ascii="仿宋" w:hAnsi="仿宋" w:eastAsia="仿宋" w:cs="仿宋"/>
          <w:sz w:val="24"/>
          <w:szCs w:val="24"/>
        </w:rPr>
        <w:t xml:space="preserve">经与本单位法人代表（负责人）联系确认，现就有关公平竞争事项郑重声明如下: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lang w:eastAsia="zh-CN"/>
        </w:rPr>
        <w:t>一、</w:t>
      </w:r>
      <w:r>
        <w:rPr>
          <w:rFonts w:hint="eastAsia" w:ascii="仿宋" w:hAnsi="仿宋" w:eastAsia="仿宋" w:cs="仿宋"/>
          <w:sz w:val="24"/>
          <w:szCs w:val="24"/>
        </w:rPr>
        <w:t>本单位与采购人之间</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sym w:font="Wingdings 2" w:char="00A3"/>
      </w:r>
      <w:r>
        <w:rPr>
          <w:rFonts w:hint="eastAsia" w:ascii="仿宋" w:hAnsi="仿宋" w:eastAsia="仿宋" w:cs="仿宋"/>
          <w:sz w:val="24"/>
          <w:szCs w:val="24"/>
        </w:rPr>
        <w:t>不存在利害关系</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sym w:font="Wingdings 2" w:char="00A3"/>
      </w:r>
      <w:r>
        <w:rPr>
          <w:rFonts w:hint="eastAsia" w:ascii="仿宋" w:hAnsi="仿宋" w:eastAsia="仿宋" w:cs="仿宋"/>
          <w:sz w:val="24"/>
          <w:szCs w:val="24"/>
        </w:rPr>
        <w:t>存在下列利害关系:</w:t>
      </w:r>
    </w:p>
    <w:p>
      <w:pPr>
        <w:pStyle w:val="2"/>
        <w:keepNext w:val="0"/>
        <w:keepLines w:val="0"/>
        <w:pageBreakBefore w:val="0"/>
        <w:widowControl w:val="0"/>
        <w:numPr>
          <w:ilvl w:val="0"/>
          <w:numId w:val="34"/>
        </w:numPr>
        <w:kinsoku/>
        <w:wordWrap/>
        <w:overflowPunct/>
        <w:topLinePunct w:val="0"/>
        <w:autoSpaceDE w:val="0"/>
        <w:autoSpaceDN w:val="0"/>
        <w:bidi w:val="0"/>
        <w:adjustRightInd w:val="0"/>
        <w:snapToGrid/>
        <w:spacing w:line="360" w:lineRule="exact"/>
        <w:ind w:left="12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投资关系 B．行政隶属关系 C．业务指导关系</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ind w:left="120" w:leftChars="0"/>
        <w:textAlignment w:val="auto"/>
        <w:rPr>
          <w:rFonts w:hint="eastAsia" w:ascii="仿宋" w:hAnsi="仿宋" w:eastAsia="仿宋" w:cs="仿宋"/>
          <w:sz w:val="24"/>
          <w:szCs w:val="24"/>
        </w:rPr>
      </w:pPr>
      <w:r>
        <w:rPr>
          <w:rFonts w:hint="eastAsia" w:ascii="仿宋" w:hAnsi="仿宋" w:eastAsia="仿宋" w:cs="仿宋"/>
          <w:sz w:val="24"/>
          <w:szCs w:val="24"/>
        </w:rPr>
        <w:t>D．其他可能影响采购公正的利害关系（如有，请如实说明）。</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二、现己清楚知道参加本项目采购活动的其他所有供应商名称，本单位</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sym w:font="Wingdings 2" w:char="00A3"/>
      </w:r>
      <w:r>
        <w:rPr>
          <w:rFonts w:hint="eastAsia" w:ascii="仿宋" w:hAnsi="仿宋" w:eastAsia="仿宋" w:cs="仿宋"/>
          <w:sz w:val="24"/>
          <w:szCs w:val="24"/>
        </w:rPr>
        <w:t>与其他所有供应商之间均不存在利害关系</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sym w:font="Wingdings 2" w:char="00A3"/>
      </w:r>
      <w:r>
        <w:rPr>
          <w:rFonts w:hint="eastAsia" w:ascii="仿宋" w:hAnsi="仿宋" w:eastAsia="仿宋" w:cs="仿宋"/>
          <w:sz w:val="24"/>
          <w:szCs w:val="24"/>
        </w:rPr>
        <w:t xml:space="preserve">与______________（供应商名称）之间存在下列利害关系: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A．法定代表人或负责人或实际控制人是同一人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B．法定代表人或负责人或实际控制人是夫妻关系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C．法定代表人或负责人或实际控制人是直系血亲关系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D．法定代表人或负责人或实际控制人存在三代以内旁系血亲关系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E．法定代表人或负责人或实际控制人存在近姻亲关系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F．法定代表人或负责人或实际控制人存在股份控制或实际控制关系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G．存在共同直接或间接投资设立子公司、联营企业和合营企业情况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H．存在分级代理或代销关系、同一生产制造商关系、管理关系、重要业务（占主营业务收入 50 ％以上）或重要财务 往来关系（如融资）等其他实质性控制关系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I．其他利害关系情况 ________________________________________。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三、现己清楚知道并严格遵守政府采购法律法规。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四、我发现 ____________________供应商之间存在或可能存在上述第二条第 ____________项利害关系。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ind w:firstLine="5760" w:firstLineChars="2400"/>
        <w:textAlignment w:val="auto"/>
        <w:rPr>
          <w:rFonts w:hint="eastAsia" w:ascii="仿宋" w:hAnsi="仿宋" w:eastAsia="仿宋" w:cs="仿宋"/>
          <w:sz w:val="24"/>
          <w:szCs w:val="24"/>
        </w:rPr>
      </w:pPr>
      <w:r>
        <w:rPr>
          <w:rFonts w:hint="eastAsia" w:ascii="仿宋" w:hAnsi="仿宋" w:eastAsia="仿宋" w:cs="仿宋"/>
          <w:sz w:val="24"/>
          <w:szCs w:val="24"/>
        </w:rPr>
        <w:t>供应商</w:t>
      </w:r>
      <w:r>
        <w:rPr>
          <w:rFonts w:hint="eastAsia" w:ascii="仿宋" w:hAnsi="仿宋" w:eastAsia="仿宋" w:cs="仿宋"/>
          <w:kern w:val="0"/>
          <w:sz w:val="24"/>
          <w:lang w:val="zh-CN"/>
        </w:rPr>
        <w:t>名称（签章）：</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ind w:firstLine="5760" w:firstLineChars="2400"/>
        <w:textAlignment w:val="auto"/>
        <w:rPr>
          <w:rFonts w:hint="eastAsia" w:ascii="仿宋" w:hAnsi="仿宋" w:eastAsia="仿宋" w:cs="仿宋"/>
          <w:sz w:val="24"/>
          <w:szCs w:val="24"/>
        </w:rPr>
      </w:pPr>
      <w:r>
        <w:rPr>
          <w:rFonts w:hint="eastAsia" w:ascii="仿宋" w:hAnsi="仿宋" w:eastAsia="仿宋" w:cs="仿宋"/>
          <w:sz w:val="24"/>
          <w:szCs w:val="24"/>
        </w:rPr>
        <w:t>供应商代表</w:t>
      </w:r>
      <w:r>
        <w:rPr>
          <w:rFonts w:hint="eastAsia" w:ascii="仿宋" w:hAnsi="仿宋" w:eastAsia="仿宋" w:cs="仿宋"/>
          <w:sz w:val="24"/>
          <w:szCs w:val="24"/>
          <w:lang w:val="en-US" w:eastAsia="zh-CN"/>
        </w:rPr>
        <w:t>(</w:t>
      </w:r>
      <w:r>
        <w:rPr>
          <w:rFonts w:hint="eastAsia" w:ascii="仿宋" w:hAnsi="仿宋" w:eastAsia="仿宋" w:cs="仿宋"/>
          <w:sz w:val="24"/>
          <w:szCs w:val="24"/>
        </w:rPr>
        <w:t>签名</w:t>
      </w:r>
      <w:r>
        <w:rPr>
          <w:rFonts w:hint="eastAsia" w:ascii="仿宋" w:hAnsi="仿宋" w:eastAsia="仿宋" w:cs="仿宋"/>
          <w:sz w:val="24"/>
          <w:szCs w:val="24"/>
          <w:lang w:val="en-US" w:eastAsia="zh-CN"/>
        </w:rPr>
        <w:t>)</w:t>
      </w:r>
      <w:r>
        <w:rPr>
          <w:rFonts w:hint="eastAsia" w:ascii="仿宋" w:hAnsi="仿宋" w:eastAsia="仿宋" w:cs="仿宋"/>
          <w:sz w:val="24"/>
          <w:szCs w:val="24"/>
        </w:rPr>
        <w:t xml:space="preserve">: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ind w:firstLine="5760" w:firstLineChars="2400"/>
        <w:textAlignment w:val="auto"/>
        <w:rPr>
          <w:rFonts w:hint="eastAsia" w:ascii="仿宋" w:hAnsi="仿宋" w:eastAsia="仿宋" w:cs="仿宋"/>
          <w:b/>
          <w:spacing w:val="6"/>
          <w:sz w:val="32"/>
          <w:szCs w:val="32"/>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日</w:t>
      </w: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pStyle w:val="78"/>
        <w:rPr>
          <w:rFonts w:hint="eastAsia"/>
        </w:rPr>
      </w:pPr>
    </w:p>
    <w:p>
      <w:pPr>
        <w:spacing w:beforeLines="50" w:beforeAutospacing="0" w:afterLines="50" w:afterAutospacing="0" w:line="240" w:lineRule="auto"/>
        <w:jc w:val="both"/>
        <w:rPr>
          <w:rFonts w:hint="eastAsia" w:ascii="仿宋" w:hAnsi="仿宋" w:eastAsia="仿宋" w:cs="仿宋"/>
          <w:b/>
          <w:bCs/>
          <w:snapToGrid w:val="0"/>
          <w:kern w:val="2"/>
          <w:sz w:val="32"/>
          <w:szCs w:val="32"/>
          <w:lang w:val="en-US" w:eastAsia="zh-CN" w:bidi="ar-SA"/>
        </w:rPr>
      </w:pPr>
      <w:r>
        <w:rPr>
          <w:rFonts w:hint="eastAsia" w:ascii="仿宋" w:hAnsi="仿宋" w:eastAsia="仿宋" w:cs="仿宋"/>
          <w:b/>
          <w:bCs/>
          <w:snapToGrid w:val="0"/>
          <w:kern w:val="2"/>
          <w:sz w:val="32"/>
          <w:szCs w:val="32"/>
          <w:lang w:val="en-US" w:eastAsia="zh-CN" w:bidi="ar-SA"/>
        </w:rPr>
        <w:t>附件3：成本测算表</w:t>
      </w:r>
    </w:p>
    <w:p>
      <w:pPr>
        <w:spacing w:beforeLines="50" w:beforeAutospacing="0" w:afterLines="50" w:afterAutospacing="0" w:line="240" w:lineRule="auto"/>
        <w:jc w:val="center"/>
        <w:rPr>
          <w:rFonts w:hint="eastAsia" w:ascii="仿宋_GB2312" w:hAnsi="仿宋_GB2312" w:eastAsia="仿宋_GB2312" w:cs="仿宋_GB2312"/>
          <w:b/>
          <w:sz w:val="36"/>
          <w:szCs w:val="36"/>
        </w:rPr>
      </w:pPr>
      <w:r>
        <w:rPr>
          <w:rFonts w:hint="eastAsia" w:ascii="仿宋_GB2312" w:hAnsi="仿宋_GB2312" w:eastAsia="仿宋_GB2312" w:cs="仿宋_GB2312"/>
          <w:b/>
          <w:sz w:val="36"/>
          <w:szCs w:val="36"/>
          <w:lang w:val="en-US" w:eastAsia="zh-CN"/>
        </w:rPr>
        <w:t>1.</w:t>
      </w:r>
      <w:r>
        <w:rPr>
          <w:rFonts w:hint="eastAsia" w:ascii="仿宋_GB2312" w:hAnsi="仿宋_GB2312" w:eastAsia="仿宋_GB2312" w:cs="仿宋_GB2312"/>
          <w:b/>
          <w:sz w:val="36"/>
          <w:szCs w:val="36"/>
        </w:rPr>
        <w:t>服务内容成本测算表</w:t>
      </w:r>
    </w:p>
    <w:p>
      <w:pPr>
        <w:pStyle w:val="32"/>
        <w:spacing w:beforeLines="100" w:beforeAutospacing="0" w:afterLines="50" w:afterAutospacing="0"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金额单位：元</w:t>
      </w:r>
    </w:p>
    <w:tbl>
      <w:tblPr>
        <w:tblStyle w:val="62"/>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28"/>
        <w:gridCol w:w="2842"/>
        <w:gridCol w:w="55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7"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序号</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服务内容</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一、直接成本</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1、工人工资</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2、工资附加</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合计</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二、管理费用</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1工资、福利费用</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2、保险费用</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3、办公费用</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9</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4、其他应交税费</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合计</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三、财务费用</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四、管理费用</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13</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六、税金</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14</w:t>
            </w:r>
          </w:p>
        </w:tc>
        <w:tc>
          <w:tcPr>
            <w:tcW w:w="153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成本合计</w:t>
            </w:r>
          </w:p>
        </w:tc>
        <w:tc>
          <w:tcPr>
            <w:tcW w:w="2969" w:type="pct"/>
          </w:tcPr>
          <w:p>
            <w:pPr>
              <w:pStyle w:val="32"/>
              <w:spacing w:line="240" w:lineRule="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trPr>
        <w:tc>
          <w:tcPr>
            <w:tcW w:w="500" w:type="pct"/>
            <w:vAlign w:val="center"/>
          </w:tcPr>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15</w:t>
            </w:r>
          </w:p>
        </w:tc>
        <w:tc>
          <w:tcPr>
            <w:tcW w:w="1530" w:type="pct"/>
            <w:vAlign w:val="center"/>
          </w:tcPr>
          <w:p>
            <w:pPr>
              <w:pStyle w:val="17"/>
              <w:spacing w:before="0" w:beforeAutospacing="0" w:after="0" w:afterAutospacing="0" w:line="240" w:lineRule="auto"/>
              <w:ind w:firstLine="0"/>
              <w:rPr>
                <w:rFonts w:hint="eastAsia" w:ascii="仿宋_GB2312" w:hAnsi="仿宋_GB2312" w:eastAsia="仿宋_GB2312" w:cs="仿宋_GB2312"/>
                <w:b/>
                <w:szCs w:val="24"/>
              </w:rPr>
            </w:pPr>
            <w:r>
              <w:rPr>
                <w:rFonts w:hint="eastAsia" w:ascii="仿宋_GB2312" w:hAnsi="仿宋_GB2312" w:eastAsia="仿宋_GB2312" w:cs="仿宋_GB2312"/>
                <w:b/>
                <w:szCs w:val="24"/>
              </w:rPr>
              <w:t>备注说明：</w:t>
            </w:r>
          </w:p>
        </w:tc>
        <w:tc>
          <w:tcPr>
            <w:tcW w:w="2969" w:type="pct"/>
          </w:tcPr>
          <w:p>
            <w:pPr>
              <w:pStyle w:val="32"/>
              <w:spacing w:line="240" w:lineRule="auto"/>
              <w:rPr>
                <w:rFonts w:hint="eastAsia" w:ascii="仿宋_GB2312" w:hAnsi="仿宋_GB2312" w:eastAsia="仿宋_GB2312" w:cs="仿宋_GB2312"/>
                <w:sz w:val="24"/>
                <w:szCs w:val="24"/>
              </w:rPr>
            </w:pPr>
          </w:p>
        </w:tc>
      </w:tr>
    </w:tbl>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说明：1.供应商可结合企业实际对表内项目进行适当调整，但要求能真实、准确地反映企业成本</w:t>
      </w:r>
    </w:p>
    <w:p>
      <w:pPr>
        <w:pStyle w:val="32"/>
        <w:spacing w:line="24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2. 一个服务内容的成本用一张成本表罗列，投标供应商根据项目服务内容范围自行增加。 </w:t>
      </w:r>
    </w:p>
    <w:p>
      <w:pPr>
        <w:adjustRightInd w:val="0"/>
        <w:spacing w:before="0" w:beforeAutospacing="0" w:after="0" w:afterAutospacing="0" w:line="240" w:lineRule="auto"/>
        <w:ind w:firstLine="480" w:firstLineChars="200"/>
        <w:jc w:val="center"/>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投标供应商名称（盖章）：</w:t>
      </w:r>
    </w:p>
    <w:p>
      <w:pPr>
        <w:adjustRightInd w:val="0"/>
        <w:spacing w:before="0" w:beforeAutospacing="0" w:after="0" w:afterAutospacing="0" w:line="240" w:lineRule="auto"/>
        <w:ind w:firstLine="480" w:firstLineChars="200"/>
        <w:jc w:val="center"/>
        <w:rPr>
          <w:rFonts w:hint="eastAsia" w:ascii="仿宋_GB2312" w:hAnsi="仿宋_GB2312" w:eastAsia="仿宋_GB2312" w:cs="仿宋_GB2312"/>
          <w:sz w:val="24"/>
        </w:rPr>
      </w:pPr>
      <w:r>
        <w:rPr>
          <w:rFonts w:hint="eastAsia" w:ascii="仿宋_GB2312" w:hAnsi="仿宋_GB2312" w:eastAsia="仿宋_GB2312" w:cs="仿宋_GB2312"/>
          <w:sz w:val="24"/>
        </w:rPr>
        <w:t xml:space="preserve">                       </w:t>
      </w: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 xml:space="preserve">法定代表人或授权代表（签字）：                </w:t>
      </w:r>
    </w:p>
    <w:p>
      <w:pPr>
        <w:adjustRightInd w:val="0"/>
        <w:spacing w:before="0" w:beforeAutospacing="0" w:after="0" w:afterAutospacing="0" w:line="240" w:lineRule="auto"/>
        <w:ind w:right="480" w:firstLine="480" w:firstLineChars="200"/>
        <w:jc w:val="center"/>
        <w:rPr>
          <w:rFonts w:hint="eastAsia" w:ascii="仿宋_GB2312" w:hAnsi="仿宋_GB2312" w:eastAsia="仿宋_GB2312" w:cs="仿宋_GB2312"/>
          <w:sz w:val="24"/>
        </w:rPr>
      </w:pPr>
      <w:r>
        <w:rPr>
          <w:rFonts w:hint="eastAsia" w:ascii="仿宋_GB2312" w:hAnsi="仿宋_GB2312" w:eastAsia="仿宋_GB2312" w:cs="仿宋_GB2312"/>
          <w:sz w:val="24"/>
        </w:rPr>
        <w:t xml:space="preserve">       投标日期:</w:t>
      </w:r>
    </w:p>
    <w:p>
      <w:pPr>
        <w:spacing w:beforeLines="50" w:beforeAutospacing="0" w:afterLines="50" w:afterAutospacing="0" w:line="240" w:lineRule="auto"/>
        <w:jc w:val="center"/>
        <w:rPr>
          <w:rFonts w:hint="eastAsia" w:ascii="仿宋_GB2312" w:hAnsi="仿宋_GB2312" w:eastAsia="仿宋_GB2312" w:cs="仿宋_GB2312"/>
          <w:b/>
          <w:sz w:val="36"/>
          <w:szCs w:val="36"/>
          <w:lang w:val="en-US" w:eastAsia="zh-CN"/>
        </w:rPr>
      </w:pPr>
    </w:p>
    <w:p>
      <w:pPr>
        <w:spacing w:beforeLines="50" w:beforeAutospacing="0" w:afterLines="50" w:afterAutospacing="0" w:line="240" w:lineRule="auto"/>
        <w:jc w:val="center"/>
        <w:rPr>
          <w:rFonts w:hint="eastAsia" w:ascii="仿宋_GB2312" w:hAnsi="仿宋_GB2312" w:eastAsia="仿宋_GB2312" w:cs="仿宋_GB2312"/>
          <w:b/>
          <w:sz w:val="36"/>
          <w:szCs w:val="36"/>
          <w:lang w:val="en-US" w:eastAsia="zh-CN"/>
        </w:rPr>
      </w:pPr>
    </w:p>
    <w:p>
      <w:pPr>
        <w:spacing w:beforeLines="50" w:beforeAutospacing="0" w:afterLines="50" w:afterAutospacing="0" w:line="240" w:lineRule="auto"/>
        <w:jc w:val="center"/>
        <w:rPr>
          <w:rFonts w:hint="eastAsia" w:ascii="仿宋_GB2312" w:hAnsi="仿宋_GB2312" w:eastAsia="仿宋_GB2312" w:cs="仿宋_GB2312"/>
          <w:b/>
          <w:sz w:val="36"/>
          <w:szCs w:val="36"/>
          <w:lang w:val="en-US" w:eastAsia="zh-CN"/>
        </w:rPr>
      </w:pPr>
    </w:p>
    <w:p>
      <w:pPr>
        <w:spacing w:beforeLines="50" w:beforeAutospacing="0" w:afterLines="50" w:afterAutospacing="0" w:line="240" w:lineRule="auto"/>
        <w:jc w:val="center"/>
        <w:rPr>
          <w:rFonts w:hint="eastAsia" w:ascii="仿宋_GB2312" w:hAnsi="仿宋_GB2312" w:eastAsia="仿宋_GB2312" w:cs="仿宋_GB2312"/>
          <w:b/>
          <w:sz w:val="28"/>
          <w:szCs w:val="28"/>
        </w:rPr>
      </w:pPr>
      <w:r>
        <w:rPr>
          <w:rFonts w:hint="eastAsia" w:ascii="仿宋_GB2312" w:hAnsi="仿宋_GB2312" w:eastAsia="仿宋_GB2312" w:cs="仿宋_GB2312"/>
          <w:b/>
          <w:sz w:val="36"/>
          <w:szCs w:val="36"/>
          <w:lang w:val="en-US" w:eastAsia="zh-CN"/>
        </w:rPr>
        <w:t>2.</w:t>
      </w:r>
      <w:r>
        <w:rPr>
          <w:rFonts w:hint="eastAsia" w:ascii="仿宋_GB2312" w:hAnsi="仿宋_GB2312" w:eastAsia="仿宋_GB2312" w:cs="仿宋_GB2312"/>
          <w:b/>
          <w:sz w:val="36"/>
          <w:szCs w:val="36"/>
        </w:rPr>
        <w:t>项目成本汇总表</w:t>
      </w:r>
    </w:p>
    <w:p>
      <w:pPr>
        <w:spacing w:beforeLines="50" w:beforeAutospacing="0" w:afterLines="50" w:afterAutospacing="0" w:line="240" w:lineRule="auto"/>
        <w:rPr>
          <w:rFonts w:hint="eastAsia" w:ascii="仿宋_GB2312" w:hAnsi="仿宋_GB2312" w:eastAsia="仿宋_GB2312" w:cs="仿宋_GB2312"/>
          <w:sz w:val="24"/>
        </w:rPr>
      </w:pPr>
      <w:r>
        <w:rPr>
          <w:rFonts w:hint="eastAsia" w:ascii="仿宋_GB2312" w:hAnsi="仿宋_GB2312" w:eastAsia="仿宋_GB2312" w:cs="仿宋_GB2312"/>
          <w:sz w:val="24"/>
        </w:rPr>
        <w:t>项目名称                                             品目编号/品目名称</w:t>
      </w:r>
    </w:p>
    <w:tbl>
      <w:tblPr>
        <w:tblStyle w:val="63"/>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4"/>
        <w:gridCol w:w="1628"/>
        <w:gridCol w:w="1628"/>
        <w:gridCol w:w="964"/>
        <w:gridCol w:w="2627"/>
        <w:gridCol w:w="14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pct"/>
            <w:vAlign w:val="center"/>
          </w:tcPr>
          <w:p>
            <w:pPr>
              <w:spacing w:beforeLines="50" w:beforeAutospacing="0" w:afterLines="50" w:afterAutospacing="0" w:line="240" w:lineRule="auto"/>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序号</w:t>
            </w:r>
          </w:p>
        </w:tc>
        <w:tc>
          <w:tcPr>
            <w:tcW w:w="877" w:type="pct"/>
            <w:vAlign w:val="center"/>
          </w:tcPr>
          <w:p>
            <w:pPr>
              <w:spacing w:beforeLines="50" w:beforeAutospacing="0" w:afterLines="50" w:afterAutospacing="0" w:line="240" w:lineRule="auto"/>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服务内容</w:t>
            </w:r>
          </w:p>
        </w:tc>
        <w:tc>
          <w:tcPr>
            <w:tcW w:w="877" w:type="pct"/>
            <w:vAlign w:val="center"/>
          </w:tcPr>
          <w:p>
            <w:pPr>
              <w:spacing w:beforeLines="50" w:beforeAutospacing="0" w:afterLines="50" w:afterAutospacing="0" w:line="240" w:lineRule="auto"/>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质量标准</w:t>
            </w:r>
          </w:p>
        </w:tc>
        <w:tc>
          <w:tcPr>
            <w:tcW w:w="519" w:type="pct"/>
            <w:vAlign w:val="center"/>
          </w:tcPr>
          <w:p>
            <w:pPr>
              <w:spacing w:beforeLines="50" w:beforeAutospacing="0" w:afterLines="50" w:afterAutospacing="0" w:line="240" w:lineRule="auto"/>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数量</w:t>
            </w:r>
          </w:p>
        </w:tc>
        <w:tc>
          <w:tcPr>
            <w:tcW w:w="1415" w:type="pct"/>
            <w:tcBorders>
              <w:right w:val="single" w:color="auto" w:sz="4" w:space="0"/>
            </w:tcBorders>
            <w:vAlign w:val="center"/>
          </w:tcPr>
          <w:p>
            <w:pPr>
              <w:spacing w:beforeLines="50" w:beforeAutospacing="0" w:afterLines="50" w:afterAutospacing="0" w:line="240" w:lineRule="auto"/>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成本总计（元）</w:t>
            </w:r>
          </w:p>
        </w:tc>
        <w:tc>
          <w:tcPr>
            <w:tcW w:w="790" w:type="pct"/>
            <w:tcBorders>
              <w:left w:val="single" w:color="auto" w:sz="4" w:space="0"/>
            </w:tcBorders>
            <w:vAlign w:val="center"/>
          </w:tcPr>
          <w:p>
            <w:pPr>
              <w:pStyle w:val="17"/>
              <w:spacing w:before="0" w:beforeAutospacing="0" w:after="0" w:afterAutospacing="0" w:line="240" w:lineRule="auto"/>
              <w:ind w:left="0" w:leftChars="0" w:firstLine="0" w:firstLineChars="0"/>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备注说明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1415" w:type="pct"/>
            <w:tcBorders>
              <w:righ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c>
          <w:tcPr>
            <w:tcW w:w="790" w:type="pct"/>
            <w:tcBorders>
              <w:lef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1415" w:type="pct"/>
            <w:tcBorders>
              <w:righ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c>
          <w:tcPr>
            <w:tcW w:w="790" w:type="pct"/>
            <w:tcBorders>
              <w:lef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w:t>
            </w: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1415" w:type="pct"/>
            <w:tcBorders>
              <w:righ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c>
          <w:tcPr>
            <w:tcW w:w="790" w:type="pct"/>
            <w:tcBorders>
              <w:lef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4</w:t>
            </w: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1415" w:type="pct"/>
            <w:tcBorders>
              <w:righ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c>
          <w:tcPr>
            <w:tcW w:w="790" w:type="pct"/>
            <w:tcBorders>
              <w:lef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5</w:t>
            </w: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877"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p>
        </w:tc>
        <w:tc>
          <w:tcPr>
            <w:tcW w:w="1415" w:type="pct"/>
            <w:tcBorders>
              <w:righ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c>
          <w:tcPr>
            <w:tcW w:w="790" w:type="pct"/>
            <w:tcBorders>
              <w:left w:val="single" w:color="auto" w:sz="4" w:space="0"/>
            </w:tcBorders>
          </w:tcPr>
          <w:p>
            <w:pPr>
              <w:spacing w:beforeLines="50" w:beforeAutospacing="0" w:afterLines="50" w:afterAutospacing="0" w:line="240" w:lineRule="auto"/>
              <w:rPr>
                <w:rFonts w:hint="eastAsia" w:ascii="仿宋_GB2312" w:hAnsi="仿宋_GB2312" w:eastAsia="仿宋_GB2312" w:cs="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pct"/>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6</w:t>
            </w:r>
          </w:p>
        </w:tc>
        <w:tc>
          <w:tcPr>
            <w:tcW w:w="4480" w:type="pct"/>
            <w:gridSpan w:val="5"/>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其他项目成本：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000" w:type="pct"/>
            <w:gridSpan w:val="6"/>
          </w:tcPr>
          <w:p>
            <w:pPr>
              <w:spacing w:beforeLines="50" w:beforeAutospacing="0" w:afterLines="50" w:afterAutospacing="0" w:line="24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项目成本总计（人民币/元）   大写：                        小写：</w:t>
            </w:r>
          </w:p>
        </w:tc>
      </w:tr>
    </w:tbl>
    <w:p>
      <w:pPr>
        <w:spacing w:beforeLines="50" w:beforeAutospacing="0" w:afterLines="50" w:afterAutospacing="0" w:line="240" w:lineRule="auto"/>
        <w:ind w:firstLine="480" w:firstLineChars="200"/>
        <w:rPr>
          <w:rFonts w:hint="eastAsia" w:ascii="仿宋_GB2312" w:hAnsi="仿宋_GB2312" w:eastAsia="仿宋_GB2312" w:cs="仿宋_GB2312"/>
          <w:sz w:val="24"/>
        </w:rPr>
      </w:pPr>
    </w:p>
    <w:p>
      <w:pPr>
        <w:adjustRightInd w:val="0"/>
        <w:spacing w:before="0" w:beforeAutospacing="0" w:after="0" w:afterAutospacing="0" w:line="240" w:lineRule="auto"/>
        <w:ind w:firstLine="480" w:firstLineChars="200"/>
        <w:jc w:val="center"/>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投标供应商名称（盖章）：</w:t>
      </w:r>
    </w:p>
    <w:p>
      <w:pPr>
        <w:adjustRightInd w:val="0"/>
        <w:spacing w:before="0" w:beforeAutospacing="0" w:after="0" w:afterAutospacing="0" w:line="240" w:lineRule="auto"/>
        <w:ind w:firstLine="480" w:firstLineChars="200"/>
        <w:jc w:val="center"/>
        <w:rPr>
          <w:rFonts w:hint="eastAsia" w:ascii="仿宋_GB2312" w:hAnsi="仿宋_GB2312" w:eastAsia="仿宋_GB2312" w:cs="仿宋_GB2312"/>
          <w:sz w:val="24"/>
        </w:rPr>
      </w:pPr>
      <w:r>
        <w:rPr>
          <w:rFonts w:hint="eastAsia" w:ascii="仿宋_GB2312" w:hAnsi="仿宋_GB2312" w:eastAsia="仿宋_GB2312" w:cs="仿宋_GB2312"/>
          <w:sz w:val="24"/>
        </w:rPr>
        <w:t xml:space="preserve">                       法定代表人或授权代表（签字）：                </w:t>
      </w:r>
    </w:p>
    <w:p>
      <w:pPr>
        <w:adjustRightInd w:val="0"/>
        <w:spacing w:before="0" w:beforeAutospacing="0" w:after="0" w:afterAutospacing="0" w:line="240" w:lineRule="auto"/>
        <w:ind w:right="480"/>
        <w:jc w:val="center"/>
        <w:rPr>
          <w:rFonts w:hint="eastAsia" w:ascii="仿宋_GB2312" w:hAnsi="仿宋_GB2312" w:eastAsia="仿宋_GB2312" w:cs="仿宋_GB2312"/>
          <w:sz w:val="24"/>
        </w:rPr>
      </w:pPr>
      <w:r>
        <w:rPr>
          <w:rFonts w:hint="eastAsia" w:ascii="仿宋_GB2312" w:hAnsi="仿宋_GB2312" w:eastAsia="仿宋_GB2312" w:cs="仿宋_GB2312"/>
          <w:sz w:val="24"/>
        </w:rPr>
        <w:t xml:space="preserve">           投标日期：</w:t>
      </w:r>
    </w:p>
    <w:p>
      <w:pPr>
        <w:widowControl/>
        <w:spacing w:beforeLines="100" w:beforeAutospacing="0" w:afterLines="50" w:afterAutospacing="0" w:line="240" w:lineRule="auto"/>
        <w:jc w:val="left"/>
        <w:rPr>
          <w:rFonts w:hint="eastAsia" w:ascii="仿宋_GB2312" w:hAnsi="仿宋_GB2312" w:eastAsia="仿宋_GB2312" w:cs="仿宋_GB2312"/>
          <w:sz w:val="24"/>
        </w:rPr>
      </w:pPr>
    </w:p>
    <w:p>
      <w:pPr>
        <w:widowControl/>
        <w:spacing w:beforeLines="100" w:beforeAutospacing="0" w:afterLines="50" w:afterAutospacing="0" w:line="240" w:lineRule="auto"/>
        <w:jc w:val="left"/>
        <w:rPr>
          <w:rFonts w:asciiTheme="minorEastAsia" w:hAnsiTheme="minorEastAsia" w:eastAsiaTheme="minorEastAsia" w:cstheme="minorEastAsia"/>
          <w:sz w:val="24"/>
        </w:rPr>
      </w:pPr>
    </w:p>
    <w:p>
      <w:pPr>
        <w:spacing w:line="240" w:lineRule="auto"/>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pStyle w:val="78"/>
        <w:rPr>
          <w:rFonts w:asciiTheme="minorEastAsia" w:hAnsiTheme="minorEastAsia" w:eastAsiaTheme="minorEastAsia" w:cstheme="minorEastAsia"/>
          <w:b/>
          <w:sz w:val="24"/>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4</w:t>
      </w:r>
      <w:r>
        <w:rPr>
          <w:rFonts w:hint="eastAsia" w:ascii="仿宋" w:hAnsi="仿宋" w:eastAsia="仿宋" w:cs="仿宋"/>
          <w:b/>
          <w:spacing w:val="6"/>
          <w:sz w:val="32"/>
          <w:szCs w:val="32"/>
        </w:rPr>
        <w:t>：质疑函范本及制作说明</w:t>
      </w: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pPr>
        <w:snapToGrid w:val="0"/>
        <w:spacing w:line="360" w:lineRule="auto"/>
        <w:rPr>
          <w:rFonts w:hint="eastAsia" w:ascii="仿宋" w:hAnsi="仿宋" w:eastAsia="仿宋" w:cs="仿宋"/>
          <w:sz w:val="24"/>
        </w:rPr>
      </w:pPr>
      <w:r>
        <w:rPr>
          <w:rFonts w:hint="eastAsia" w:ascii="仿宋" w:hAnsi="仿宋" w:eastAsia="仿宋" w:cs="仿宋"/>
          <w:sz w:val="24"/>
        </w:rPr>
        <w:t>……</w:t>
      </w:r>
    </w:p>
    <w:p>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jc w:val="center"/>
        <w:rPr>
          <w:rFonts w:hint="eastAsia" w:ascii="仿宋" w:hAnsi="仿宋" w:eastAsia="仿宋" w:cs="仿宋"/>
          <w:b/>
          <w:bCs/>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质疑函制作说明：</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sz w:val="30"/>
          <w:szCs w:val="30"/>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5</w:t>
      </w:r>
      <w:r>
        <w:rPr>
          <w:rFonts w:hint="eastAsia" w:ascii="仿宋" w:hAnsi="仿宋" w:eastAsia="仿宋" w:cs="仿宋"/>
          <w:b/>
          <w:spacing w:val="6"/>
          <w:sz w:val="32"/>
          <w:szCs w:val="32"/>
        </w:rPr>
        <w:t>：投诉书范本及制作说明</w:t>
      </w:r>
    </w:p>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被投诉人2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二、投诉项目基本情况</w:t>
      </w:r>
    </w:p>
    <w:p>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三、质疑基本情况</w:t>
      </w:r>
    </w:p>
    <w:p>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spacing w:line="360" w:lineRule="auto"/>
        <w:rPr>
          <w:rFonts w:hint="eastAsia" w:ascii="仿宋" w:hAnsi="仿宋" w:eastAsia="仿宋" w:cs="仿宋"/>
          <w:sz w:val="24"/>
        </w:rPr>
      </w:pPr>
      <w:r>
        <w:rPr>
          <w:rFonts w:hint="eastAsia" w:ascii="仿宋" w:hAnsi="仿宋" w:eastAsia="仿宋" w:cs="仿宋"/>
          <w:sz w:val="24"/>
        </w:rPr>
        <w:t>四、投诉事项具体内容</w:t>
      </w:r>
    </w:p>
    <w:p>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投诉事项2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投诉书制作说明：</w:t>
      </w:r>
    </w:p>
    <w:p>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pPr>
        <w:widowControl/>
        <w:spacing w:line="360" w:lineRule="auto"/>
        <w:ind w:firstLine="480" w:firstLineChars="200"/>
        <w:jc w:val="left"/>
        <w:rPr>
          <w:rFonts w:hint="eastAsia" w:ascii="仿宋" w:hAnsi="仿宋" w:eastAsia="仿宋" w:cs="仿宋"/>
          <w:b/>
          <w:spacing w:val="6"/>
          <w:sz w:val="32"/>
          <w:szCs w:val="32"/>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sz w:val="24"/>
          <w:lang w:eastAsia="zh-CN"/>
        </w:rPr>
        <w:t>。</w:t>
      </w:r>
    </w:p>
    <w:p>
      <w:pPr>
        <w:jc w:val="left"/>
        <w:rPr>
          <w:rFonts w:hint="eastAsia" w:ascii="仿宋" w:hAnsi="仿宋" w:eastAsia="仿宋" w:cs="仿宋"/>
          <w:b/>
          <w:spacing w:val="6"/>
          <w:sz w:val="32"/>
          <w:szCs w:val="32"/>
        </w:rPr>
      </w:pPr>
    </w:p>
    <w:p>
      <w:pPr>
        <w:jc w:val="left"/>
        <w:rPr>
          <w:rFonts w:hint="eastAsia" w:ascii="仿宋" w:hAnsi="仿宋" w:eastAsia="仿宋" w:cs="仿宋"/>
          <w:b/>
          <w:spacing w:val="6"/>
          <w:sz w:val="32"/>
          <w:szCs w:val="32"/>
        </w:rPr>
      </w:pPr>
    </w:p>
    <w:p>
      <w:pPr>
        <w:jc w:val="left"/>
        <w:rPr>
          <w:rFonts w:hint="eastAsia" w:ascii="仿宋" w:hAnsi="仿宋" w:eastAsia="仿宋" w:cs="仿宋"/>
          <w:sz w:val="28"/>
          <w:szCs w:val="28"/>
          <w:lang w:eastAsia="zh-CN"/>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6</w:t>
      </w:r>
      <w:r>
        <w:rPr>
          <w:rFonts w:hint="eastAsia" w:ascii="仿宋" w:hAnsi="仿宋" w:eastAsia="仿宋" w:cs="仿宋"/>
          <w:sz w:val="28"/>
          <w:szCs w:val="28"/>
          <w:lang w:eastAsia="zh-CN"/>
        </w:rPr>
        <w:t>：</w:t>
      </w:r>
    </w:p>
    <w:p>
      <w:pPr>
        <w:jc w:val="center"/>
        <w:rPr>
          <w:rFonts w:hint="eastAsia" w:ascii="仿宋" w:hAnsi="仿宋" w:eastAsia="仿宋" w:cs="仿宋"/>
          <w:sz w:val="44"/>
          <w:szCs w:val="44"/>
        </w:rPr>
      </w:pPr>
      <w:r>
        <w:rPr>
          <w:rFonts w:hint="eastAsia" w:ascii="仿宋" w:hAnsi="仿宋" w:eastAsia="仿宋" w:cs="仿宋"/>
          <w:b/>
          <w:bCs/>
          <w:sz w:val="40"/>
          <w:szCs w:val="40"/>
        </w:rPr>
        <w:t>政府采购融资畅通工程金融机构联系信息表</w:t>
      </w:r>
    </w:p>
    <w:p>
      <w:pPr>
        <w:rPr>
          <w:rFonts w:hint="eastAsia" w:ascii="仿宋" w:hAnsi="仿宋" w:eastAsia="仿宋" w:cs="仿宋"/>
          <w:sz w:val="44"/>
          <w:szCs w:val="44"/>
        </w:rPr>
      </w:pPr>
    </w:p>
    <w:tbl>
      <w:tblPr>
        <w:tblStyle w:val="62"/>
        <w:tblW w:w="93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0"/>
        <w:gridCol w:w="1425"/>
        <w:gridCol w:w="2444"/>
        <w:gridCol w:w="27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4" w:hRule="atLeast"/>
          <w:jc w:val="center"/>
        </w:trPr>
        <w:tc>
          <w:tcPr>
            <w:tcW w:w="2700"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金融机构各称</w:t>
            </w:r>
          </w:p>
        </w:tc>
        <w:tc>
          <w:tcPr>
            <w:tcW w:w="1425"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联系人</w:t>
            </w:r>
          </w:p>
        </w:tc>
        <w:tc>
          <w:tcPr>
            <w:tcW w:w="2444"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联系电话</w:t>
            </w:r>
          </w:p>
        </w:tc>
        <w:tc>
          <w:tcPr>
            <w:tcW w:w="2775"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联系地址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9" w:hRule="atLeast"/>
          <w:jc w:val="center"/>
        </w:trPr>
        <w:tc>
          <w:tcPr>
            <w:tcW w:w="2700" w:type="dxa"/>
            <w:tcBorders>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南</w:t>
            </w:r>
            <w:r>
              <w:rPr>
                <w:rFonts w:hint="eastAsia" w:ascii="仿宋" w:hAnsi="仿宋" w:eastAsia="仿宋" w:cs="仿宋"/>
                <w:color w:val="030303"/>
                <w:sz w:val="28"/>
                <w:szCs w:val="28"/>
                <w:shd w:val="clear" w:color="auto" w:fill="FFFFFF"/>
              </w:rPr>
              <w:t>浔银行</w:t>
            </w:r>
          </w:p>
        </w:tc>
        <w:tc>
          <w:tcPr>
            <w:tcW w:w="1425" w:type="dxa"/>
            <w:tcBorders>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color w:val="030303"/>
                <w:sz w:val="28"/>
                <w:szCs w:val="28"/>
                <w:shd w:val="clear" w:color="auto" w:fill="FFFFFF"/>
              </w:rPr>
              <w:t>方薇</w:t>
            </w:r>
          </w:p>
        </w:tc>
        <w:tc>
          <w:tcPr>
            <w:tcW w:w="2444" w:type="dxa"/>
            <w:tcBorders>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13868003773</w:t>
            </w:r>
          </w:p>
        </w:tc>
        <w:tc>
          <w:tcPr>
            <w:tcW w:w="2775" w:type="dxa"/>
            <w:tcBorders>
              <w:bottom w:val="single" w:color="auto" w:sz="4" w:space="0"/>
            </w:tcBorders>
            <w:vAlign w:val="center"/>
          </w:tcPr>
          <w:p>
            <w:pPr>
              <w:pStyle w:val="57"/>
              <w:jc w:val="center"/>
              <w:rPr>
                <w:rFonts w:hint="eastAsia" w:ascii="仿宋" w:hAnsi="仿宋" w:eastAsia="仿宋" w:cs="仿宋"/>
                <w:sz w:val="28"/>
                <w:szCs w:val="28"/>
              </w:rPr>
            </w:pPr>
            <w:r>
              <w:rPr>
                <w:rFonts w:hint="eastAsia" w:ascii="仿宋" w:hAnsi="仿宋" w:eastAsia="仿宋" w:cs="仿宋"/>
                <w:sz w:val="28"/>
                <w:szCs w:val="28"/>
              </w:rPr>
              <w:t>城中街638号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3" w:hRule="atLeast"/>
          <w:jc w:val="center"/>
        </w:trPr>
        <w:tc>
          <w:tcPr>
            <w:tcW w:w="2700"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浦发银行临安分行</w:t>
            </w:r>
          </w:p>
        </w:tc>
        <w:tc>
          <w:tcPr>
            <w:tcW w:w="142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沈</w:t>
            </w:r>
            <w:r>
              <w:rPr>
                <w:rFonts w:hint="eastAsia" w:ascii="仿宋" w:hAnsi="仿宋" w:eastAsia="仿宋" w:cs="仿宋"/>
                <w:color w:val="030303"/>
                <w:sz w:val="28"/>
                <w:szCs w:val="28"/>
                <w:shd w:val="clear" w:color="auto" w:fill="FFFFFF"/>
              </w:rPr>
              <w:t>丹丹</w:t>
            </w:r>
          </w:p>
        </w:tc>
        <w:tc>
          <w:tcPr>
            <w:tcW w:w="2444" w:type="dxa"/>
            <w:tcBorders>
              <w:top w:val="single" w:color="auto" w:sz="4" w:space="0"/>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61092936</w:t>
            </w:r>
          </w:p>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13777851690</w:t>
            </w:r>
          </w:p>
        </w:tc>
        <w:tc>
          <w:tcPr>
            <w:tcW w:w="277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钱王大街417号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7" w:hRule="atLeast"/>
          <w:jc w:val="center"/>
        </w:trPr>
        <w:tc>
          <w:tcPr>
            <w:tcW w:w="2700"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color w:val="030303"/>
                <w:sz w:val="28"/>
                <w:szCs w:val="28"/>
                <w:shd w:val="clear" w:color="auto" w:fill="FFFFFF"/>
              </w:rPr>
              <w:t>杭州银行临安支行</w:t>
            </w:r>
          </w:p>
        </w:tc>
        <w:tc>
          <w:tcPr>
            <w:tcW w:w="142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金林妹</w:t>
            </w:r>
          </w:p>
        </w:tc>
        <w:tc>
          <w:tcPr>
            <w:tcW w:w="2444" w:type="dxa"/>
            <w:tcBorders>
              <w:top w:val="single" w:color="auto" w:sz="4" w:space="0"/>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13666638571</w:t>
            </w:r>
          </w:p>
        </w:tc>
        <w:tc>
          <w:tcPr>
            <w:tcW w:w="277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万马路255号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2700"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临安中信村镇银行</w:t>
            </w:r>
          </w:p>
        </w:tc>
        <w:tc>
          <w:tcPr>
            <w:tcW w:w="142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吕祎</w:t>
            </w:r>
          </w:p>
        </w:tc>
        <w:tc>
          <w:tcPr>
            <w:tcW w:w="2444" w:type="dxa"/>
            <w:tcBorders>
              <w:top w:val="single" w:color="auto" w:sz="4" w:space="0"/>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13787100002 61109033</w:t>
            </w:r>
          </w:p>
        </w:tc>
        <w:tc>
          <w:tcPr>
            <w:tcW w:w="277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石镜街777号</w:t>
            </w:r>
          </w:p>
        </w:tc>
      </w:tr>
    </w:tbl>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932"/>
        <w:numPr>
          <w:ilvl w:val="0"/>
          <w:numId w:val="0"/>
        </w:numPr>
        <w:jc w:val="both"/>
        <w:rPr>
          <w:rFonts w:hint="eastAsia" w:ascii="仿宋" w:hAnsi="仿宋" w:eastAsia="仿宋" w:cs="仿宋"/>
          <w:b/>
          <w:sz w:val="36"/>
          <w:szCs w:val="36"/>
        </w:rPr>
      </w:pPr>
    </w:p>
    <w:p>
      <w:pPr>
        <w:pStyle w:val="2"/>
        <w:rPr>
          <w:rFonts w:hint="eastAsia" w:ascii="仿宋" w:hAnsi="仿宋" w:eastAsia="仿宋" w:cs="仿宋"/>
          <w:b/>
          <w:bCs/>
          <w:sz w:val="24"/>
        </w:rPr>
      </w:pPr>
    </w:p>
    <w:p/>
    <w:sectPr>
      <w:headerReference r:id="rId18" w:type="first"/>
      <w:footerReference r:id="rId21" w:type="first"/>
      <w:headerReference r:id="rId17" w:type="default"/>
      <w:footerReference r:id="rId19" w:type="default"/>
      <w:footerReference r:id="rId20" w:type="even"/>
      <w:pgSz w:w="11906" w:h="16838"/>
      <w:pgMar w:top="1440" w:right="1417" w:bottom="1440" w:left="1417"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MS Sans Serif">
    <w:altName w:val="Arial"/>
    <w:panose1 w:val="00000000000000000000"/>
    <w:charset w:val="00"/>
    <w:family w:val="swiss"/>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Trebuchet MS"/>
    <w:panose1 w:val="00000000000000000000"/>
    <w:charset w:val="00"/>
    <w:family w:val="swiss"/>
    <w:pitch w:val="default"/>
    <w:sig w:usb0="00000000" w:usb1="00000000" w:usb2="00000000" w:usb3="00000000" w:csb0="0000009F" w:csb1="00000000"/>
  </w:font>
  <w:font w:name="Trebuchet MS">
    <w:panose1 w:val="020B0603020202020204"/>
    <w:charset w:val="00"/>
    <w:family w:val="auto"/>
    <w:pitch w:val="default"/>
    <w:sig w:usb0="00000287" w:usb1="00000000" w:usb2="00000000" w:usb3="00000000" w:csb0="2000009F" w:csb1="00000000"/>
  </w:font>
  <w:font w:name="Helvetica">
    <w:altName w:val="Arial"/>
    <w:panose1 w:val="020B0604020202020204"/>
    <w:charset w:val="00"/>
    <w:family w:val="swiss"/>
    <w:pitch w:val="default"/>
    <w:sig w:usb0="00000000" w:usb1="00000000" w:usb2="00000000" w:usb3="00000000" w:csb0="00000001"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003" w:usb1="288F0000" w:usb2="00000006" w:usb3="00000000" w:csb0="00040001"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Futura Hv">
    <w:altName w:val="Arial"/>
    <w:panose1 w:val="00000000000000000000"/>
    <w:charset w:val="00"/>
    <w:family w:val="swiss"/>
    <w:pitch w:val="default"/>
    <w:sig w:usb0="00000000" w:usb1="00000000" w:usb2="00000000" w:usb3="00000000" w:csb0="0000009F" w:csb1="00000000"/>
  </w:font>
  <w:font w:name="Arial Unicode MS">
    <w:panose1 w:val="020B0604020202020204"/>
    <w:charset w:val="86"/>
    <w:family w:val="swiss"/>
    <w:pitch w:val="default"/>
    <w:sig w:usb0="FFFFFFFF" w:usb1="E9FFFFFF"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Arial (W1)">
    <w:altName w:val="Arial"/>
    <w:panose1 w:val="00000000000000000000"/>
    <w:charset w:val="00"/>
    <w:family w:val="swiss"/>
    <w:pitch w:val="default"/>
    <w:sig w:usb0="00000000" w:usb1="00000000" w:usb2="00000008" w:usb3="00000000" w:csb0="000001FF" w:csb1="00000000"/>
  </w:font>
  <w:font w:name="Aldine401 BT">
    <w:altName w:val="Courier New"/>
    <w:panose1 w:val="00000000000000000000"/>
    <w:charset w:val="00"/>
    <w:family w:val="roman"/>
    <w:pitch w:val="default"/>
    <w:sig w:usb0="00000000" w:usb1="00000000" w:usb2="00000000" w:usb3="00000000" w:csb0="00000011" w:csb1="0000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等线">
    <w:altName w:val="Arial Unicode MS"/>
    <w:panose1 w:val="02010600030101010101"/>
    <w:charset w:val="86"/>
    <w:family w:val="auto"/>
    <w:pitch w:val="default"/>
    <w:sig w:usb0="00000000" w:usb1="00000000" w:usb2="00000016" w:usb3="00000000" w:csb0="0004000F" w:csb1="00000000"/>
  </w:font>
  <w:font w:name="Wingdings 2">
    <w:panose1 w:val="05020102010507070707"/>
    <w:charset w:val="00"/>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8"/>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71"/>
      </w:rPr>
    </w:pPr>
    <w:r>
      <w:fldChar w:fldCharType="begin"/>
    </w:r>
    <w:r>
      <w:rPr>
        <w:rStyle w:val="71"/>
      </w:rPr>
      <w:instrText xml:space="preserve">PAGE  </w:instrText>
    </w:r>
    <w:r>
      <w:fldChar w:fldCharType="end"/>
    </w:r>
  </w:p>
  <w:p>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ind w:firstLine="36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1</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139</w:t>
                          </w:r>
                          <w:r>
                            <w:rPr>
                              <w:sz w:val="18"/>
                            </w:rPr>
                            <w:fldChar w:fldCharType="end"/>
                          </w:r>
                          <w:r>
                            <w:rPr>
                              <w:sz w:val="18"/>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KntSbnCAQAAjwMAAA4AAAAAAAAAAQAgAAAAHgEAAGRycy9lMm9Eb2MueG1sUEsF&#10;BgAAAAAGAAYAWQEAAFIFAAAAAA==&#10;">
              <v:fill on="f" focussize="0,0"/>
              <v:stroke on="f"/>
              <v:imagedata o:title=""/>
              <o:lock v:ext="edit" aspectratio="f"/>
              <v:textbox inset="0mm,0mm,0mm,0mm" style="mso-fit-shape-to-text:t;">
                <w:txbxContent>
                  <w:p>
                    <w:pPr>
                      <w:snapToGrid w:val="0"/>
                      <w:ind w:firstLine="36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1</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139</w:t>
                    </w:r>
                    <w:r>
                      <w:rPr>
                        <w:sz w:val="18"/>
                      </w:rPr>
                      <w:fldChar w:fldCharType="end"/>
                    </w:r>
                    <w:r>
                      <w:rPr>
                        <w:sz w:val="18"/>
                      </w:rPr>
                      <w:t xml:space="preserve"> 页</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-978535</wp:posOffset>
              </wp:positionV>
              <wp:extent cx="114935" cy="209550"/>
              <wp:effectExtent l="0" t="0" r="0" b="0"/>
              <wp:wrapNone/>
              <wp:docPr id="15" name="矩形 15"/>
              <wp:cNvGraphicFramePr/>
              <a:graphic xmlns:a="http://schemas.openxmlformats.org/drawingml/2006/main">
                <a:graphicData uri="http://schemas.microsoft.com/office/word/2010/wordprocessingShape">
                  <wps:wsp>
                    <wps:cNvSpPr/>
                    <wps:spPr>
                      <a:xfrm>
                        <a:off x="0" y="0"/>
                        <a:ext cx="114935" cy="209550"/>
                      </a:xfrm>
                      <a:prstGeom prst="rect">
                        <a:avLst/>
                      </a:prstGeom>
                      <a:noFill/>
                      <a:ln>
                        <a:noFill/>
                      </a:ln>
                    </wps:spPr>
                    <wps:txbx>
                      <w:txbxContent>
                        <w:p>
                          <w:pPr>
                            <w:snapToGrid w:val="0"/>
                            <w:ind w:firstLine="360"/>
                            <w:rPr>
                              <w:sz w:val="18"/>
                            </w:rPr>
                          </w:pPr>
                        </w:p>
                      </w:txbxContent>
                    </wps:txbx>
                    <wps:bodyPr wrap="none" lIns="0" tIns="0" rIns="0" bIns="0">
                      <a:spAutoFit/>
                    </wps:bodyPr>
                  </wps:wsp>
                </a:graphicData>
              </a:graphic>
            </wp:anchor>
          </w:drawing>
        </mc:Choice>
        <mc:Fallback>
          <w:pict>
            <v:rect id="_x0000_s1026" o:spid="_x0000_s1026" o:spt="1" style="position:absolute;left:0pt;margin-top:-77.05pt;height:16.5pt;width:9.05pt;mso-position-horizontal:center;mso-position-horizontal-relative:margin;mso-wrap-style:none;z-index:251660288;mso-width-relative:page;mso-height-relative:page;" filled="f" stroked="f" coordsize="21600,21600" o:gfxdata="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A1Mr21QAAAAkBAAAPAAAAAAAAAAEAIAAAACIAAABkcnMvZG93bnJldi54bWxQSwEC&#10;FAAUAAAACACHTuJAnu/vNr4BAACAAwAADgAAAAAAAAABACAAAAAkAQAAZHJzL2Uyb0RvYy54bWxQ&#10;SwUGAAAAAAYABgBZAQAAVAUAAAAA&#10;">
              <v:fill on="f" focussize="0,0"/>
              <v:stroke on="f"/>
              <v:imagedata o:title=""/>
              <o:lock v:ext="edit" aspectratio="f"/>
              <v:textbox inset="0mm,0mm,0mm,0mm" style="mso-fit-shape-to-text:t;">
                <w:txbxContent>
                  <w:p>
                    <w:pPr>
                      <w:snapToGrid w:val="0"/>
                      <w:ind w:firstLine="360"/>
                      <w:rPr>
                        <w:sz w:val="18"/>
                      </w:rPr>
                    </w:pPr>
                  </w:p>
                </w:txbxContent>
              </v:textbox>
            </v:rect>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矩形 14"/>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38"/>
                            <w:ind w:firstLine="360"/>
                          </w:pPr>
                          <w:r>
                            <w:rPr>
                              <w:rFonts w:hint="eastAsia"/>
                            </w:rPr>
                            <w:t xml:space="preserve"> </w:t>
                          </w:r>
                        </w:p>
                      </w:txbxContent>
                    </wps:txbx>
                    <wps:bodyPr wrap="none" lIns="0" tIns="0" rIns="0" bIns="0">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l1&#10;uVLQAAAABQEAAA8AAAAAAAAAAQAgAAAAIgAAAGRycy9kb3ducmV2LnhtbFBLAQIUABQAAAAIAIdO&#10;4kA08uVsuQEAAIIDAAAOAAAAAAAAAAEAIAAAAB8BAABkcnMvZTJvRG9jLnhtbFBLBQYAAAAABgAG&#10;AFkBAABKBQAAAAA=&#10;">
              <v:fill on="f" focussize="0,0"/>
              <v:stroke on="f"/>
              <v:imagedata o:title=""/>
              <o:lock v:ext="edit" aspectratio="f"/>
              <v:textbox inset="0mm,0mm,0mm,0mm" style="mso-fit-shape-to-text:t;">
                <w:txbxContent>
                  <w:p>
                    <w:pPr>
                      <w:pStyle w:val="38"/>
                      <w:ind w:firstLine="360"/>
                    </w:pPr>
                    <w:r>
                      <w:rPr>
                        <w:rFonts w:hint="eastAsia"/>
                      </w:rPr>
                      <w:t xml:space="preserve"> </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right="360" w:firstLine="420"/>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ind w:firstLine="36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gzF+A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IMxfgKwIAAFcEAAAOAAAAAAAAAAEAIAAAAB8BAABkcnMvZTJvRG9jLnhtbFBLBQYAAAAABgAG&#10;AFkBAAC8BQAAAAA=&#10;">
              <v:fill on="f" focussize="0,0"/>
              <v:stroke on="f" weight="0.5pt"/>
              <v:imagedata o:title=""/>
              <o:lock v:ext="edit" aspectratio="f"/>
              <v:textbox inset="0mm,0mm,0mm,0mm" style="mso-fit-shape-to-text:t;">
                <w:txbxContent>
                  <w:p>
                    <w:pPr>
                      <w:pStyle w:val="38"/>
                      <w:ind w:firstLine="36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v:textbox>
            </v:shape>
          </w:pict>
        </mc:Fallback>
      </mc:AlternateContent>
    </w: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ind w:left="3240" w:hanging="3240" w:hangingChars="1800"/>
                            <w:jc w:val="center"/>
                          </w:pPr>
                        </w:p>
                        <w:p>
                          <w:pPr>
                            <w:ind w:firstLine="48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B+RKA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eQRDOFil++f7v8&#10;+HX5+ZXgDAI11s8Rt7OIDO1b06JthnOPw8i7LZ2KXzAi8APrfJVXtIHweGk2nc3GcHH4hg3ws8fr&#10;1vnwThhFopFTh/olWdlp60MXOoTEbNpsailTDaUmTU5v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gfkSgKwIAAFcEAAAOAAAAAAAAAAEAIAAAAB8BAABkcnMvZTJvRG9jLnhtbFBLBQYAAAAABgAG&#10;AFkBAAC8BQAAAAA=&#10;">
              <v:fill on="f" focussize="0,0"/>
              <v:stroke on="f" weight="0.5pt"/>
              <v:imagedata o:title=""/>
              <o:lock v:ext="edit" aspectratio="f"/>
              <v:textbox inset="0mm,0mm,0mm,0mm" style="mso-fit-shape-to-text:t;">
                <w:txbxContent>
                  <w:p>
                    <w:pPr>
                      <w:pStyle w:val="38"/>
                      <w:ind w:left="3240" w:hanging="3240" w:hangingChars="1800"/>
                      <w:jc w:val="center"/>
                    </w:pPr>
                  </w:p>
                  <w:p>
                    <w:pPr>
                      <w:ind w:firstLine="480"/>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t xml:space="preserve">第 </w:t>
                          </w:r>
                          <w:r>
                            <w:fldChar w:fldCharType="begin"/>
                          </w:r>
                          <w:r>
                            <w:instrText xml:space="preserve"> PAGE  \* MERGEFORMAT </w:instrText>
                          </w:r>
                          <w:r>
                            <w:fldChar w:fldCharType="separate"/>
                          </w:r>
                          <w:r>
                            <w:t>89</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8"/>
                    </w:pPr>
                    <w:r>
                      <w:t xml:space="preserve">第 </w:t>
                    </w:r>
                    <w:r>
                      <w:fldChar w:fldCharType="begin"/>
                    </w:r>
                    <w:r>
                      <w:instrText xml:space="preserve"> PAGE  \* MERGEFORMAT </w:instrText>
                    </w:r>
                    <w:r>
                      <w:fldChar w:fldCharType="separate"/>
                    </w:r>
                    <w:r>
                      <w:t>89</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71"/>
      </w:rPr>
    </w:pPr>
    <w:r>
      <w:fldChar w:fldCharType="begin"/>
    </w:r>
    <w:r>
      <w:rPr>
        <w:rStyle w:val="71"/>
      </w:rPr>
      <w:instrText xml:space="preserve">PAGE  </w:instrText>
    </w:r>
    <w:r>
      <w:fldChar w:fldCharType="end"/>
    </w:r>
  </w:p>
  <w:p>
    <w:pPr>
      <w:pStyle w:val="38"/>
      <w:ind w:right="360"/>
    </w:pPr>
  </w:p>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t xml:space="preserve">第 </w:t>
                          </w:r>
                          <w:r>
                            <w:fldChar w:fldCharType="begin"/>
                          </w:r>
                          <w:r>
                            <w:instrText xml:space="preserve"> PAGE  \* MERGEFORMAT </w:instrText>
                          </w:r>
                          <w:r>
                            <w:fldChar w:fldCharType="separate"/>
                          </w:r>
                          <w:r>
                            <w:t>88</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38"/>
                    </w:pPr>
                    <w:r>
                      <w:t xml:space="preserve">第 </w:t>
                    </w:r>
                    <w:r>
                      <w:fldChar w:fldCharType="begin"/>
                    </w:r>
                    <w:r>
                      <w:instrText xml:space="preserve"> PAGE  \* MERGEFORMAT </w:instrText>
                    </w:r>
                    <w:r>
                      <w:fldChar w:fldCharType="separate"/>
                    </w:r>
                    <w:r>
                      <w:t>88</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v:textbox>
            </v:shape>
          </w:pict>
        </mc:Fallback>
      </mc:AlternateConten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t xml:space="preserve">第 </w:t>
                          </w:r>
                          <w:r>
                            <w:fldChar w:fldCharType="begin"/>
                          </w:r>
                          <w:r>
                            <w:instrText xml:space="preserve"> PAGE  \* MERGEFORMAT </w:instrText>
                          </w:r>
                          <w:r>
                            <w:fldChar w:fldCharType="separate"/>
                          </w:r>
                          <w:r>
                            <w:t>125</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38"/>
                    </w:pPr>
                    <w:r>
                      <w:t xml:space="preserve">第 </w:t>
                    </w:r>
                    <w:r>
                      <w:fldChar w:fldCharType="begin"/>
                    </w:r>
                    <w:r>
                      <w:instrText xml:space="preserve"> PAGE  \* MERGEFORMAT </w:instrText>
                    </w:r>
                    <w:r>
                      <w:fldChar w:fldCharType="separate"/>
                    </w:r>
                    <w:r>
                      <w:t>125</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71"/>
      </w:rPr>
    </w:pPr>
    <w:r>
      <w:fldChar w:fldCharType="begin"/>
    </w:r>
    <w:r>
      <w:rPr>
        <w:rStyle w:val="71"/>
      </w:rPr>
      <w:instrText xml:space="preserve">PAGE  </w:instrText>
    </w:r>
    <w:r>
      <w:fldChar w:fldCharType="end"/>
    </w:r>
  </w:p>
  <w:p>
    <w:pPr>
      <w:pStyle w:val="38"/>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t xml:space="preserve">第 </w:t>
                          </w:r>
                          <w:r>
                            <w:fldChar w:fldCharType="begin"/>
                          </w:r>
                          <w:r>
                            <w:instrText xml:space="preserve"> PAGE  \* MERGEFORMAT </w:instrText>
                          </w:r>
                          <w:r>
                            <w:fldChar w:fldCharType="separate"/>
                          </w:r>
                          <w:r>
                            <w:t>124</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38"/>
                    </w:pPr>
                    <w:r>
                      <w:t xml:space="preserve">第 </w:t>
                    </w:r>
                    <w:r>
                      <w:fldChar w:fldCharType="begin"/>
                    </w:r>
                    <w:r>
                      <w:instrText xml:space="preserve"> PAGE  \* MERGEFORMAT </w:instrText>
                    </w:r>
                    <w:r>
                      <w:fldChar w:fldCharType="separate"/>
                    </w:r>
                    <w:r>
                      <w:t>124</w:t>
                    </w:r>
                    <w:r>
                      <w:fldChar w:fldCharType="end"/>
                    </w:r>
                    <w:r>
                      <w:t xml:space="preserve"> 页 共 </w:t>
                    </w:r>
                    <w:r>
                      <w:fldChar w:fldCharType="begin"/>
                    </w:r>
                    <w:r>
                      <w:instrText xml:space="preserve"> NUMPAGES  \* MERGEFORMAT </w:instrText>
                    </w:r>
                    <w:r>
                      <w:fldChar w:fldCharType="separate"/>
                    </w:r>
                    <w:r>
                      <w:t>139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rPr>
        <w:rFonts w:hint="eastAsia"/>
      </w:rPr>
      <w:t xml:space="preserve">                                                                  杭州市</w:t>
    </w:r>
    <w:r>
      <w:rPr>
        <w:rFonts w:hint="eastAsia"/>
        <w:lang w:eastAsia="zh-CN"/>
      </w:rPr>
      <w:t>临安区</w:t>
    </w:r>
    <w:r>
      <w:rPr>
        <w:rFonts w:hint="eastAsia"/>
      </w:rPr>
      <w:t>政府采购公开招标文件</w:t>
    </w:r>
  </w:p>
  <w:p>
    <w:pPr>
      <w:pStyle w:val="58"/>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bottom w:val="single" w:color="auto" w:sz="6" w:space="0"/>
      </w:pBdr>
      <w:tabs>
        <w:tab w:val="center" w:pos="4535"/>
        <w:tab w:val="right" w:pos="9070"/>
        <w:tab w:val="clear" w:pos="4153"/>
        <w:tab w:val="clear" w:pos="8306"/>
      </w:tabs>
      <w:jc w:val="right"/>
    </w:pPr>
    <w:r>
      <w:rPr>
        <w:rFonts w:hint="eastAsia"/>
        <w:lang w:val="zh-CN"/>
      </w:rPr>
      <w:t xml:space="preserve"> </w:t>
    </w:r>
    <w:r>
      <w:tab/>
    </w:r>
    <w:r>
      <w:rPr>
        <w:rFonts w:hint="eastAsia"/>
        <w:lang w:val="zh-CN"/>
      </w:rPr>
      <w:t xml:space="preserve"> </w:t>
    </w:r>
    <w:r>
      <w:tab/>
    </w:r>
    <w:r>
      <w:rPr>
        <w:rFonts w:hint="eastAsia"/>
        <w:lang w:val="zh-CN"/>
      </w:rPr>
      <w:t>杭州市临安区政府采购公开招标文件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ind w:firstLine="0" w:firstLineChars="0"/>
      <w:rPr>
        <w:u w:val="single"/>
      </w:rPr>
    </w:pPr>
    <w:r>
      <w:rPr>
        <w:rFonts w:hint="eastAsia"/>
      </w:rPr>
      <w:t xml:space="preserve"> </w:t>
    </w:r>
    <w:r>
      <w:rPr>
        <w:rFonts w:hint="eastAsia"/>
        <w:lang w:val="en-US" w:eastAsia="zh-CN"/>
      </w:rPr>
      <w:t xml:space="preserve">                                                                  </w:t>
    </w:r>
    <w:r>
      <w:rPr>
        <w:rFonts w:hint="eastAsia"/>
      </w:rPr>
      <w:t>杭州市</w:t>
    </w:r>
    <w:r>
      <w:rPr>
        <w:rFonts w:hint="eastAsia"/>
        <w:lang w:eastAsia="zh-CN"/>
      </w:rPr>
      <w:t>临安区</w:t>
    </w:r>
    <w:r>
      <w:rPr>
        <w:rFonts w:hint="eastAsia"/>
      </w:rP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b/>
        <w:i/>
        <w:u w:val="single"/>
      </w:rPr>
    </w:pPr>
    <w:r>
      <w:t></w:t>
    </w:r>
    <w:r>
      <w:rPr>
        <w:rFonts w:hint="eastAsia"/>
        <w:lang w:val="en-US" w:eastAsia="zh-CN"/>
      </w:rPr>
      <w:t xml:space="preserve">                                        </w:t>
    </w:r>
    <w:r>
      <w:t>杭州市</w:t>
    </w:r>
    <w:r>
      <w:rPr>
        <w:rFonts w:hint="eastAsia"/>
        <w:lang w:eastAsia="zh-CN"/>
      </w:rPr>
      <w:t>临安区</w:t>
    </w:r>
    <w:r>
      <w:t>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p>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t></w:t>
    </w:r>
    <w:r>
      <w:rPr>
        <w:rFonts w:hint="eastAsia"/>
        <w:lang w:val="en-US" w:eastAsia="zh-CN"/>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b/>
        <w:i/>
        <w:iCs/>
        <w:u w:val="single"/>
      </w:rPr>
    </w:pPr>
    <w:r>
      <w:rPr>
        <w:rFonts w:hint="eastAsia"/>
      </w:rPr>
      <w:t xml:space="preserve">                                                            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rPr>
        <w:rFonts w:hint="eastAsia"/>
      </w:rPr>
      <w:t xml:space="preserve">                                                               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949889"/>
    <w:multiLevelType w:val="singleLevel"/>
    <w:tmpl w:val="86949889"/>
    <w:lvl w:ilvl="0" w:tentative="0">
      <w:start w:val="1"/>
      <w:numFmt w:val="bullet"/>
      <w:lvlText w:val=""/>
      <w:lvlJc w:val="left"/>
      <w:pPr>
        <w:tabs>
          <w:tab w:val="left" w:pos="-420"/>
        </w:tabs>
        <w:ind w:left="0" w:hanging="420"/>
      </w:pPr>
      <w:rPr>
        <w:rFonts w:hint="default" w:ascii="Wingdings" w:hAnsi="Wingdings"/>
      </w:rPr>
    </w:lvl>
  </w:abstractNum>
  <w:abstractNum w:abstractNumId="1">
    <w:nsid w:val="C920456D"/>
    <w:multiLevelType w:val="singleLevel"/>
    <w:tmpl w:val="C920456D"/>
    <w:lvl w:ilvl="0" w:tentative="0">
      <w:start w:val="1"/>
      <w:numFmt w:val="decimal"/>
      <w:lvlText w:val="%1."/>
      <w:lvlJc w:val="left"/>
      <w:pPr>
        <w:tabs>
          <w:tab w:val="left" w:pos="312"/>
        </w:tabs>
      </w:pPr>
    </w:lvl>
  </w:abstractNum>
  <w:abstractNum w:abstractNumId="2">
    <w:nsid w:val="CC287300"/>
    <w:multiLevelType w:val="singleLevel"/>
    <w:tmpl w:val="CC287300"/>
    <w:lvl w:ilvl="0" w:tentative="0">
      <w:start w:val="1"/>
      <w:numFmt w:val="decimal"/>
      <w:suff w:val="nothing"/>
      <w:lvlText w:val="%1、"/>
      <w:lvlJc w:val="left"/>
    </w:lvl>
  </w:abstractNum>
  <w:abstractNum w:abstractNumId="3">
    <w:nsid w:val="D806B84B"/>
    <w:multiLevelType w:val="singleLevel"/>
    <w:tmpl w:val="D806B84B"/>
    <w:lvl w:ilvl="0" w:tentative="0">
      <w:start w:val="1"/>
      <w:numFmt w:val="decimal"/>
      <w:suff w:val="nothing"/>
      <w:lvlText w:val="（%1）"/>
      <w:lvlJc w:val="left"/>
      <w:pPr>
        <w:ind w:left="148"/>
      </w:pPr>
    </w:lvl>
  </w:abstractNum>
  <w:abstractNum w:abstractNumId="4">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5">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57"/>
      <w:lvlText w:val=""/>
      <w:lvlJc w:val="left"/>
      <w:pPr>
        <w:tabs>
          <w:tab w:val="left" w:pos="1260"/>
        </w:tabs>
        <w:ind w:left="1260" w:hanging="420"/>
      </w:pPr>
      <w:rPr>
        <w:rFonts w:hint="default" w:ascii="Wingdings" w:hAnsi="Wingdings"/>
      </w:rPr>
    </w:lvl>
    <w:lvl w:ilvl="2" w:tentative="0">
      <w:start w:val="1"/>
      <w:numFmt w:val="bullet"/>
      <w:pStyle w:val="338"/>
      <w:lvlText w:val=""/>
      <w:lvlJc w:val="left"/>
      <w:pPr>
        <w:tabs>
          <w:tab w:val="left" w:pos="1680"/>
        </w:tabs>
        <w:ind w:left="1680" w:hanging="420"/>
      </w:pPr>
      <w:rPr>
        <w:rFonts w:hint="default" w:ascii="Wingdings" w:hAnsi="Wingdings"/>
      </w:rPr>
    </w:lvl>
    <w:lvl w:ilvl="3" w:tentative="0">
      <w:start w:val="1"/>
      <w:numFmt w:val="bullet"/>
      <w:pStyle w:val="355"/>
      <w:lvlText w:val=""/>
      <w:lvlJc w:val="left"/>
      <w:pPr>
        <w:tabs>
          <w:tab w:val="left" w:pos="2100"/>
        </w:tabs>
        <w:ind w:left="2100" w:hanging="420"/>
      </w:pPr>
      <w:rPr>
        <w:rFonts w:hint="default" w:ascii="Wingdings" w:hAnsi="Wingdings"/>
      </w:rPr>
    </w:lvl>
    <w:lvl w:ilvl="4" w:tentative="0">
      <w:start w:val="1"/>
      <w:numFmt w:val="bullet"/>
      <w:pStyle w:val="422"/>
      <w:lvlText w:val=""/>
      <w:lvlJc w:val="left"/>
      <w:pPr>
        <w:tabs>
          <w:tab w:val="left" w:pos="2520"/>
        </w:tabs>
        <w:ind w:left="2520" w:hanging="420"/>
      </w:pPr>
      <w:rPr>
        <w:rFonts w:hint="default" w:ascii="Wingdings" w:hAnsi="Wingdings"/>
      </w:rPr>
    </w:lvl>
    <w:lvl w:ilvl="5" w:tentative="0">
      <w:start w:val="1"/>
      <w:numFmt w:val="bullet"/>
      <w:pStyle w:val="490"/>
      <w:lvlText w:val=""/>
      <w:lvlJc w:val="left"/>
      <w:pPr>
        <w:tabs>
          <w:tab w:val="left" w:pos="2940"/>
        </w:tabs>
        <w:ind w:left="2940" w:hanging="420"/>
      </w:pPr>
      <w:rPr>
        <w:rFonts w:hint="default" w:ascii="Wingdings" w:hAnsi="Wingdings"/>
      </w:rPr>
    </w:lvl>
    <w:lvl w:ilvl="6" w:tentative="0">
      <w:start w:val="1"/>
      <w:numFmt w:val="bullet"/>
      <w:pStyle w:val="489"/>
      <w:lvlText w:val=""/>
      <w:lvlJc w:val="left"/>
      <w:pPr>
        <w:tabs>
          <w:tab w:val="left" w:pos="3360"/>
        </w:tabs>
        <w:ind w:left="3360" w:hanging="420"/>
      </w:pPr>
      <w:rPr>
        <w:rFonts w:hint="default" w:ascii="Wingdings" w:hAnsi="Wingdings"/>
      </w:rPr>
    </w:lvl>
    <w:lvl w:ilvl="7" w:tentative="0">
      <w:start w:val="1"/>
      <w:numFmt w:val="bullet"/>
      <w:pStyle w:val="567"/>
      <w:lvlText w:val=""/>
      <w:lvlJc w:val="left"/>
      <w:pPr>
        <w:tabs>
          <w:tab w:val="left" w:pos="3780"/>
        </w:tabs>
        <w:ind w:left="3780" w:hanging="420"/>
      </w:pPr>
      <w:rPr>
        <w:rFonts w:hint="default" w:ascii="Wingdings" w:hAnsi="Wingdings"/>
      </w:rPr>
    </w:lvl>
    <w:lvl w:ilvl="8" w:tentative="0">
      <w:start w:val="1"/>
      <w:numFmt w:val="bullet"/>
      <w:pStyle w:val="562"/>
      <w:lvlText w:val=""/>
      <w:lvlJc w:val="left"/>
      <w:pPr>
        <w:tabs>
          <w:tab w:val="left" w:pos="4200"/>
        </w:tabs>
        <w:ind w:left="4200" w:hanging="420"/>
      </w:pPr>
      <w:rPr>
        <w:rFonts w:hint="default" w:ascii="Wingdings" w:hAnsi="Wingdings"/>
      </w:rPr>
    </w:lvl>
  </w:abstractNum>
  <w:abstractNum w:abstractNumId="6">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7">
    <w:nsid w:val="011F3D51"/>
    <w:multiLevelType w:val="multilevel"/>
    <w:tmpl w:val="011F3D51"/>
    <w:lvl w:ilvl="0" w:tentative="0">
      <w:start w:val="1"/>
      <w:numFmt w:val="decimal"/>
      <w:pStyle w:val="855"/>
      <w:suff w:val="space"/>
      <w:lvlText w:val="第%1章"/>
      <w:lvlJc w:val="center"/>
      <w:pPr>
        <w:ind w:left="0" w:firstLine="288"/>
      </w:pPr>
      <w:rPr>
        <w:rFonts w:hint="eastAsia" w:ascii="黑体" w:hAnsi="黑体" w:eastAsia="黑体"/>
        <w:sz w:val="36"/>
      </w:rPr>
    </w:lvl>
    <w:lvl w:ilvl="1" w:tentative="0">
      <w:start w:val="1"/>
      <w:numFmt w:val="decimal"/>
      <w:suff w:val="space"/>
      <w:lvlText w:val="%1.%2"/>
      <w:lvlJc w:val="left"/>
      <w:pPr>
        <w:ind w:left="0" w:firstLine="0"/>
      </w:pPr>
      <w:rPr>
        <w:rFonts w:hint="eastAsia" w:ascii="黑体" w:hAnsi="黑体" w:eastAsia="黑体"/>
        <w:sz w:val="30"/>
      </w:rPr>
    </w:lvl>
    <w:lvl w:ilvl="2" w:tentative="0">
      <w:start w:val="1"/>
      <w:numFmt w:val="decimal"/>
      <w:suff w:val="space"/>
      <w:lvlText w:val="%1.%2.%3"/>
      <w:lvlJc w:val="left"/>
      <w:pPr>
        <w:ind w:left="0" w:firstLine="0"/>
      </w:pPr>
      <w:rPr>
        <w:rFonts w:hint="eastAsia" w:ascii="黑体" w:hAnsi="黑体" w:eastAsia="黑体"/>
        <w:sz w:val="28"/>
      </w:rPr>
    </w:lvl>
    <w:lvl w:ilvl="3" w:tentative="0">
      <w:start w:val="1"/>
      <w:numFmt w:val="decimal"/>
      <w:pStyle w:val="856"/>
      <w:suff w:val="space"/>
      <w:lvlText w:val="%1.%2.%3.%4"/>
      <w:lvlJc w:val="left"/>
      <w:pPr>
        <w:ind w:left="0" w:firstLine="0"/>
      </w:pPr>
      <w:rPr>
        <w:rFonts w:hint="eastAsia" w:ascii="黑体" w:hAnsi="黑体" w:eastAsia="黑体"/>
        <w:sz w:val="24"/>
      </w:rPr>
    </w:lvl>
    <w:lvl w:ilvl="4" w:tentative="0">
      <w:start w:val="1"/>
      <w:numFmt w:val="decimal"/>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8">
    <w:nsid w:val="051916A1"/>
    <w:multiLevelType w:val="singleLevel"/>
    <w:tmpl w:val="051916A1"/>
    <w:lvl w:ilvl="0" w:tentative="0">
      <w:start w:val="1"/>
      <w:numFmt w:val="bullet"/>
      <w:lvlText w:val=""/>
      <w:lvlJc w:val="left"/>
      <w:pPr>
        <w:tabs>
          <w:tab w:val="left" w:pos="-420"/>
        </w:tabs>
        <w:ind w:left="0" w:hanging="420"/>
      </w:pPr>
      <w:rPr>
        <w:rFonts w:hint="default" w:ascii="Wingdings" w:hAnsi="Wingdings"/>
      </w:rPr>
    </w:lvl>
  </w:abstractNum>
  <w:abstractNum w:abstractNumId="9">
    <w:nsid w:val="0A060BBE"/>
    <w:multiLevelType w:val="singleLevel"/>
    <w:tmpl w:val="0A060BBE"/>
    <w:lvl w:ilvl="0" w:tentative="0">
      <w:start w:val="1"/>
      <w:numFmt w:val="upperLetter"/>
      <w:suff w:val="nothing"/>
      <w:lvlText w:val="%1．"/>
      <w:lvlJc w:val="left"/>
      <w:pPr>
        <w:ind w:left="120" w:leftChars="0" w:firstLine="0" w:firstLineChars="0"/>
      </w:pPr>
    </w:lvl>
  </w:abstractNum>
  <w:abstractNum w:abstractNumId="10">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11">
    <w:nsid w:val="136480A9"/>
    <w:multiLevelType w:val="singleLevel"/>
    <w:tmpl w:val="136480A9"/>
    <w:lvl w:ilvl="0" w:tentative="0">
      <w:start w:val="1"/>
      <w:numFmt w:val="bullet"/>
      <w:pStyle w:val="933"/>
      <w:lvlText w:val=""/>
      <w:lvlJc w:val="left"/>
      <w:pPr>
        <w:tabs>
          <w:tab w:val="left" w:pos="420"/>
        </w:tabs>
        <w:ind w:left="840" w:hanging="420"/>
      </w:pPr>
      <w:rPr>
        <w:rFonts w:hint="default" w:ascii="Wingdings" w:hAnsi="Wingdings"/>
      </w:rPr>
    </w:lvl>
  </w:abstractNum>
  <w:abstractNum w:abstractNumId="12">
    <w:nsid w:val="2958CDC3"/>
    <w:multiLevelType w:val="singleLevel"/>
    <w:tmpl w:val="2958CDC3"/>
    <w:lvl w:ilvl="0" w:tentative="0">
      <w:start w:val="1"/>
      <w:numFmt w:val="decimal"/>
      <w:suff w:val="nothing"/>
      <w:lvlText w:val="%1、"/>
      <w:lvlJc w:val="left"/>
    </w:lvl>
  </w:abstractNum>
  <w:abstractNum w:abstractNumId="13">
    <w:nsid w:val="483B250C"/>
    <w:multiLevelType w:val="singleLevel"/>
    <w:tmpl w:val="483B250C"/>
    <w:lvl w:ilvl="0" w:tentative="0">
      <w:start w:val="1"/>
      <w:numFmt w:val="decimal"/>
      <w:lvlText w:val="%1."/>
      <w:lvlJc w:val="left"/>
      <w:pPr>
        <w:tabs>
          <w:tab w:val="left" w:pos="312"/>
        </w:tabs>
      </w:pPr>
    </w:lvl>
  </w:abstractNum>
  <w:abstractNum w:abstractNumId="14">
    <w:nsid w:val="578B3BD2"/>
    <w:multiLevelType w:val="multilevel"/>
    <w:tmpl w:val="578B3BD2"/>
    <w:lvl w:ilvl="0" w:tentative="0">
      <w:start w:val="1"/>
      <w:numFmt w:val="decimal"/>
      <w:pStyle w:val="500"/>
      <w:lvlText w:val="%1"/>
      <w:lvlJc w:val="left"/>
      <w:pPr>
        <w:tabs>
          <w:tab w:val="left" w:pos="480"/>
        </w:tabs>
        <w:ind w:left="480" w:hanging="480"/>
      </w:pPr>
      <w:rPr>
        <w:rFonts w:hint="eastAsia"/>
        <w:sz w:val="44"/>
        <w:szCs w:val="44"/>
      </w:rPr>
    </w:lvl>
    <w:lvl w:ilvl="1" w:tentative="0">
      <w:start w:val="1"/>
      <w:numFmt w:val="decimal"/>
      <w:pStyle w:val="477"/>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6"/>
      <w:lvlText w:val="%1.%2.%3.%4.%5"/>
      <w:lvlJc w:val="left"/>
      <w:pPr>
        <w:tabs>
          <w:tab w:val="left" w:pos="1080"/>
        </w:tabs>
        <w:ind w:left="1080" w:hanging="1080"/>
      </w:pPr>
      <w:rPr>
        <w:rFonts w:hint="default"/>
      </w:rPr>
    </w:lvl>
    <w:lvl w:ilvl="5" w:tentative="0">
      <w:start w:val="1"/>
      <w:numFmt w:val="decimal"/>
      <w:pStyle w:val="44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5">
    <w:nsid w:val="5D2F4C4B"/>
    <w:multiLevelType w:val="singleLevel"/>
    <w:tmpl w:val="5D2F4C4B"/>
    <w:lvl w:ilvl="0" w:tentative="0">
      <w:start w:val="1"/>
      <w:numFmt w:val="bullet"/>
      <w:lvlText w:val=""/>
      <w:lvlJc w:val="left"/>
      <w:pPr>
        <w:ind w:left="420" w:hanging="420"/>
      </w:pPr>
      <w:rPr>
        <w:rFonts w:hint="default" w:ascii="Wingdings" w:hAnsi="Wingdings"/>
      </w:rPr>
    </w:lvl>
  </w:abstractNum>
  <w:abstractNum w:abstractNumId="16">
    <w:nsid w:val="5D5A0C53"/>
    <w:multiLevelType w:val="singleLevel"/>
    <w:tmpl w:val="5D5A0C53"/>
    <w:lvl w:ilvl="0" w:tentative="0">
      <w:start w:val="1"/>
      <w:numFmt w:val="decimal"/>
      <w:suff w:val="nothing"/>
      <w:lvlText w:val="%1、"/>
      <w:lvlJc w:val="left"/>
    </w:lvl>
  </w:abstractNum>
  <w:abstractNum w:abstractNumId="17">
    <w:nsid w:val="60E190A6"/>
    <w:multiLevelType w:val="singleLevel"/>
    <w:tmpl w:val="60E190A6"/>
    <w:lvl w:ilvl="0" w:tentative="0">
      <w:start w:val="1"/>
      <w:numFmt w:val="bullet"/>
      <w:lvlText w:val=""/>
      <w:lvlJc w:val="left"/>
      <w:pPr>
        <w:ind w:left="420" w:hanging="420"/>
      </w:pPr>
      <w:rPr>
        <w:rFonts w:hint="default" w:ascii="Wingdings" w:hAnsi="Wingdings"/>
      </w:rPr>
    </w:lvl>
  </w:abstractNum>
  <w:abstractNum w:abstractNumId="18">
    <w:nsid w:val="615172D9"/>
    <w:multiLevelType w:val="singleLevel"/>
    <w:tmpl w:val="615172D9"/>
    <w:lvl w:ilvl="0" w:tentative="0">
      <w:start w:val="1"/>
      <w:numFmt w:val="decimal"/>
      <w:suff w:val="nothing"/>
      <w:lvlText w:val="%1、"/>
      <w:lvlJc w:val="left"/>
    </w:lvl>
  </w:abstractNum>
  <w:abstractNum w:abstractNumId="19">
    <w:nsid w:val="61517DEB"/>
    <w:multiLevelType w:val="singleLevel"/>
    <w:tmpl w:val="61517DEB"/>
    <w:lvl w:ilvl="0" w:tentative="0">
      <w:start w:val="1"/>
      <w:numFmt w:val="decimal"/>
      <w:lvlText w:val="%1."/>
      <w:lvlJc w:val="left"/>
      <w:pPr>
        <w:ind w:left="425" w:hanging="425"/>
      </w:pPr>
      <w:rPr>
        <w:rFonts w:hint="default"/>
      </w:rPr>
    </w:lvl>
  </w:abstractNum>
  <w:abstractNum w:abstractNumId="20">
    <w:nsid w:val="61518441"/>
    <w:multiLevelType w:val="singleLevel"/>
    <w:tmpl w:val="61518441"/>
    <w:lvl w:ilvl="0" w:tentative="0">
      <w:start w:val="1"/>
      <w:numFmt w:val="decimal"/>
      <w:lvlText w:val="%1."/>
      <w:lvlJc w:val="left"/>
      <w:pPr>
        <w:ind w:left="120" w:hanging="425"/>
      </w:pPr>
      <w:rPr>
        <w:rFonts w:hint="default"/>
      </w:rPr>
    </w:lvl>
  </w:abstractNum>
  <w:abstractNum w:abstractNumId="21">
    <w:nsid w:val="61518516"/>
    <w:multiLevelType w:val="singleLevel"/>
    <w:tmpl w:val="61518516"/>
    <w:lvl w:ilvl="0" w:tentative="0">
      <w:start w:val="1"/>
      <w:numFmt w:val="decimal"/>
      <w:lvlText w:val="%1."/>
      <w:lvlJc w:val="left"/>
      <w:pPr>
        <w:ind w:left="425" w:hanging="425"/>
      </w:pPr>
      <w:rPr>
        <w:rFonts w:hint="default"/>
      </w:rPr>
    </w:lvl>
  </w:abstractNum>
  <w:abstractNum w:abstractNumId="22">
    <w:nsid w:val="61518576"/>
    <w:multiLevelType w:val="singleLevel"/>
    <w:tmpl w:val="61518576"/>
    <w:lvl w:ilvl="0" w:tentative="0">
      <w:start w:val="1"/>
      <w:numFmt w:val="decimal"/>
      <w:lvlText w:val="%1."/>
      <w:lvlJc w:val="left"/>
      <w:pPr>
        <w:ind w:left="425" w:hanging="425"/>
      </w:pPr>
      <w:rPr>
        <w:rFonts w:hint="default"/>
      </w:rPr>
    </w:lvl>
  </w:abstractNum>
  <w:abstractNum w:abstractNumId="23">
    <w:nsid w:val="6151859F"/>
    <w:multiLevelType w:val="singleLevel"/>
    <w:tmpl w:val="6151859F"/>
    <w:lvl w:ilvl="0" w:tentative="0">
      <w:start w:val="1"/>
      <w:numFmt w:val="decimal"/>
      <w:lvlText w:val="%1."/>
      <w:lvlJc w:val="left"/>
      <w:pPr>
        <w:ind w:left="425" w:hanging="425"/>
      </w:pPr>
      <w:rPr>
        <w:rFonts w:hint="default"/>
      </w:rPr>
    </w:lvl>
  </w:abstractNum>
  <w:abstractNum w:abstractNumId="24">
    <w:nsid w:val="615185B6"/>
    <w:multiLevelType w:val="singleLevel"/>
    <w:tmpl w:val="615185B6"/>
    <w:lvl w:ilvl="0" w:tentative="0">
      <w:start w:val="1"/>
      <w:numFmt w:val="decimal"/>
      <w:lvlText w:val="%1."/>
      <w:lvlJc w:val="left"/>
      <w:pPr>
        <w:ind w:left="425" w:hanging="425"/>
      </w:pPr>
      <w:rPr>
        <w:rFonts w:hint="default"/>
      </w:rPr>
    </w:lvl>
  </w:abstractNum>
  <w:abstractNum w:abstractNumId="25">
    <w:nsid w:val="615185FC"/>
    <w:multiLevelType w:val="singleLevel"/>
    <w:tmpl w:val="615185FC"/>
    <w:lvl w:ilvl="0" w:tentative="0">
      <w:start w:val="1"/>
      <w:numFmt w:val="decimal"/>
      <w:lvlText w:val="%1."/>
      <w:lvlJc w:val="left"/>
      <w:pPr>
        <w:ind w:left="-120" w:hanging="425"/>
      </w:pPr>
      <w:rPr>
        <w:rFonts w:hint="default"/>
      </w:rPr>
    </w:lvl>
  </w:abstractNum>
  <w:abstractNum w:abstractNumId="26">
    <w:nsid w:val="61518731"/>
    <w:multiLevelType w:val="singleLevel"/>
    <w:tmpl w:val="61518731"/>
    <w:lvl w:ilvl="0" w:tentative="0">
      <w:start w:val="1"/>
      <w:numFmt w:val="decimal"/>
      <w:lvlText w:val="%1."/>
      <w:lvlJc w:val="left"/>
      <w:pPr>
        <w:ind w:left="425" w:hanging="425"/>
      </w:pPr>
      <w:rPr>
        <w:rFonts w:hint="default"/>
      </w:rPr>
    </w:lvl>
  </w:abstractNum>
  <w:abstractNum w:abstractNumId="27">
    <w:nsid w:val="6151877C"/>
    <w:multiLevelType w:val="singleLevel"/>
    <w:tmpl w:val="6151877C"/>
    <w:lvl w:ilvl="0" w:tentative="0">
      <w:start w:val="1"/>
      <w:numFmt w:val="decimal"/>
      <w:lvlText w:val="%1."/>
      <w:lvlJc w:val="left"/>
      <w:pPr>
        <w:ind w:left="425" w:hanging="425"/>
      </w:pPr>
      <w:rPr>
        <w:rFonts w:hint="default"/>
      </w:rPr>
    </w:lvl>
  </w:abstractNum>
  <w:abstractNum w:abstractNumId="28">
    <w:nsid w:val="615187C6"/>
    <w:multiLevelType w:val="singleLevel"/>
    <w:tmpl w:val="615187C6"/>
    <w:lvl w:ilvl="0" w:tentative="0">
      <w:start w:val="1"/>
      <w:numFmt w:val="decimal"/>
      <w:lvlText w:val="%1."/>
      <w:lvlJc w:val="left"/>
      <w:pPr>
        <w:ind w:left="425" w:hanging="425"/>
      </w:pPr>
      <w:rPr>
        <w:rFonts w:hint="default"/>
      </w:rPr>
    </w:lvl>
  </w:abstractNum>
  <w:abstractNum w:abstractNumId="29">
    <w:nsid w:val="6151AB22"/>
    <w:multiLevelType w:val="singleLevel"/>
    <w:tmpl w:val="6151AB22"/>
    <w:lvl w:ilvl="0" w:tentative="0">
      <w:start w:val="1"/>
      <w:numFmt w:val="decimal"/>
      <w:suff w:val="nothing"/>
      <w:lvlText w:val="%1、"/>
      <w:lvlJc w:val="left"/>
    </w:lvl>
  </w:abstractNum>
  <w:abstractNum w:abstractNumId="30">
    <w:nsid w:val="73596DCC"/>
    <w:multiLevelType w:val="multilevel"/>
    <w:tmpl w:val="73596DCC"/>
    <w:lvl w:ilvl="0" w:tentative="0">
      <w:start w:val="1"/>
      <w:numFmt w:val="bullet"/>
      <w:pStyle w:val="50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31">
    <w:nsid w:val="77025B59"/>
    <w:multiLevelType w:val="multilevel"/>
    <w:tmpl w:val="77025B59"/>
    <w:lvl w:ilvl="0" w:tentative="0">
      <w:start w:val="1"/>
      <w:numFmt w:val="bullet"/>
      <w:pStyle w:val="934"/>
      <w:lvlText w:val=""/>
      <w:lvlJc w:val="left"/>
      <w:pPr>
        <w:tabs>
          <w:tab w:val="left" w:pos="420"/>
        </w:tabs>
        <w:ind w:left="1320" w:hanging="420"/>
      </w:pPr>
      <w:rPr>
        <w:rFonts w:hint="default" w:ascii="Wingdings" w:hAnsi="Wingdings"/>
        <w:b w:val="0"/>
        <w:bCs w:val="0"/>
        <w:i w:val="0"/>
        <w:iCs w:val="0"/>
        <w:caps w:val="0"/>
        <w:smallCaps w:val="0"/>
        <w:strike w:val="0"/>
        <w:dstrike w:val="0"/>
        <w:vanish w:val="0"/>
        <w:spacing w:val="0"/>
        <w:position w:val="0"/>
        <w:u w:val="none"/>
        <w:vertAlign w:val="baseline"/>
      </w:rPr>
    </w:lvl>
    <w:lvl w:ilvl="1" w:tentative="0">
      <w:start w:val="1"/>
      <w:numFmt w:val="bullet"/>
      <w:lvlText w:val=""/>
      <w:lvlJc w:val="left"/>
      <w:pPr>
        <w:tabs>
          <w:tab w:val="left" w:pos="420"/>
        </w:tabs>
        <w:ind w:left="1740" w:hanging="420"/>
      </w:pPr>
      <w:rPr>
        <w:rFonts w:hint="default" w:ascii="Wingdings" w:hAnsi="Wingdings"/>
      </w:rPr>
    </w:lvl>
    <w:lvl w:ilvl="2" w:tentative="0">
      <w:start w:val="1"/>
      <w:numFmt w:val="bullet"/>
      <w:lvlText w:val=""/>
      <w:lvlJc w:val="left"/>
      <w:pPr>
        <w:tabs>
          <w:tab w:val="left" w:pos="420"/>
        </w:tabs>
        <w:ind w:left="2160" w:hanging="420"/>
      </w:pPr>
      <w:rPr>
        <w:rFonts w:hint="default" w:ascii="Wingdings" w:hAnsi="Wingdings"/>
      </w:rPr>
    </w:lvl>
    <w:lvl w:ilvl="3" w:tentative="0">
      <w:start w:val="1"/>
      <w:numFmt w:val="bullet"/>
      <w:lvlText w:val=""/>
      <w:lvlJc w:val="left"/>
      <w:pPr>
        <w:tabs>
          <w:tab w:val="left" w:pos="420"/>
        </w:tabs>
        <w:ind w:left="2580" w:hanging="420"/>
      </w:pPr>
      <w:rPr>
        <w:rFonts w:hint="default" w:ascii="Wingdings" w:hAnsi="Wingdings"/>
      </w:rPr>
    </w:lvl>
    <w:lvl w:ilvl="4" w:tentative="0">
      <w:start w:val="1"/>
      <w:numFmt w:val="bullet"/>
      <w:lvlText w:val=""/>
      <w:lvlJc w:val="left"/>
      <w:pPr>
        <w:tabs>
          <w:tab w:val="left" w:pos="420"/>
        </w:tabs>
        <w:ind w:left="3000" w:hanging="420"/>
      </w:pPr>
      <w:rPr>
        <w:rFonts w:hint="default" w:ascii="Wingdings" w:hAnsi="Wingdings"/>
      </w:rPr>
    </w:lvl>
    <w:lvl w:ilvl="5" w:tentative="0">
      <w:start w:val="1"/>
      <w:numFmt w:val="bullet"/>
      <w:lvlText w:val=""/>
      <w:lvlJc w:val="left"/>
      <w:pPr>
        <w:tabs>
          <w:tab w:val="left" w:pos="420"/>
        </w:tabs>
        <w:ind w:left="3420" w:hanging="420"/>
      </w:pPr>
      <w:rPr>
        <w:rFonts w:hint="default" w:ascii="Wingdings" w:hAnsi="Wingdings"/>
      </w:rPr>
    </w:lvl>
    <w:lvl w:ilvl="6" w:tentative="0">
      <w:start w:val="1"/>
      <w:numFmt w:val="bullet"/>
      <w:lvlText w:val=""/>
      <w:lvlJc w:val="left"/>
      <w:pPr>
        <w:tabs>
          <w:tab w:val="left" w:pos="420"/>
        </w:tabs>
        <w:ind w:left="3840" w:hanging="420"/>
      </w:pPr>
      <w:rPr>
        <w:rFonts w:hint="default" w:ascii="Wingdings" w:hAnsi="Wingdings"/>
      </w:rPr>
    </w:lvl>
    <w:lvl w:ilvl="7" w:tentative="0">
      <w:start w:val="1"/>
      <w:numFmt w:val="bullet"/>
      <w:lvlText w:val=""/>
      <w:lvlJc w:val="left"/>
      <w:pPr>
        <w:tabs>
          <w:tab w:val="left" w:pos="420"/>
        </w:tabs>
        <w:ind w:left="4260" w:hanging="420"/>
      </w:pPr>
      <w:rPr>
        <w:rFonts w:hint="default" w:ascii="Wingdings" w:hAnsi="Wingdings"/>
      </w:rPr>
    </w:lvl>
    <w:lvl w:ilvl="8" w:tentative="0">
      <w:start w:val="1"/>
      <w:numFmt w:val="bullet"/>
      <w:lvlText w:val=""/>
      <w:lvlJc w:val="left"/>
      <w:pPr>
        <w:tabs>
          <w:tab w:val="left" w:pos="420"/>
        </w:tabs>
        <w:ind w:left="4680" w:hanging="420"/>
      </w:pPr>
      <w:rPr>
        <w:rFonts w:hint="default" w:ascii="Wingdings" w:hAnsi="Wingdings"/>
      </w:rPr>
    </w:lvl>
  </w:abstractNum>
  <w:abstractNum w:abstractNumId="32">
    <w:nsid w:val="7D954C30"/>
    <w:multiLevelType w:val="singleLevel"/>
    <w:tmpl w:val="7D954C30"/>
    <w:lvl w:ilvl="0" w:tentative="0">
      <w:start w:val="1"/>
      <w:numFmt w:val="decimal"/>
      <w:lvlText w:val="%1."/>
      <w:lvlJc w:val="left"/>
      <w:pPr>
        <w:ind w:left="425" w:hanging="425"/>
      </w:pPr>
      <w:rPr>
        <w:rFonts w:hint="default"/>
      </w:rPr>
    </w:lvl>
  </w:abstractNum>
  <w:abstractNum w:abstractNumId="33">
    <w:nsid w:val="7E265E1C"/>
    <w:multiLevelType w:val="multilevel"/>
    <w:tmpl w:val="7E265E1C"/>
    <w:lvl w:ilvl="0" w:tentative="0">
      <w:start w:val="1"/>
      <w:numFmt w:val="decimal"/>
      <w:pStyle w:val="24"/>
      <w:lvlText w:val="%1."/>
      <w:lvlJc w:val="left"/>
      <w:pPr>
        <w:ind w:left="360" w:hanging="360"/>
      </w:pPr>
      <w:rPr>
        <w:rFonts w:hint="default"/>
      </w:rPr>
    </w:lvl>
    <w:lvl w:ilvl="1" w:tentative="0">
      <w:start w:val="1"/>
      <w:numFmt w:val="lowerLetter"/>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0"/>
  </w:num>
  <w:num w:numId="2">
    <w:abstractNumId w:val="6"/>
  </w:num>
  <w:num w:numId="3">
    <w:abstractNumId w:val="4"/>
  </w:num>
  <w:num w:numId="4">
    <w:abstractNumId w:val="33"/>
  </w:num>
  <w:num w:numId="5">
    <w:abstractNumId w:val="5"/>
  </w:num>
  <w:num w:numId="6">
    <w:abstractNumId w:val="14"/>
  </w:num>
  <w:num w:numId="7">
    <w:abstractNumId w:val="30"/>
  </w:num>
  <w:num w:numId="8">
    <w:abstractNumId w:val="7"/>
  </w:num>
  <w:num w:numId="9">
    <w:abstractNumId w:val="11"/>
  </w:num>
  <w:num w:numId="10">
    <w:abstractNumId w:val="31"/>
  </w:num>
  <w:num w:numId="11">
    <w:abstractNumId w:val="12"/>
  </w:num>
  <w:num w:numId="12">
    <w:abstractNumId w:val="8"/>
  </w:num>
  <w:num w:numId="13">
    <w:abstractNumId w:val="0"/>
  </w:num>
  <w:num w:numId="14">
    <w:abstractNumId w:val="17"/>
  </w:num>
  <w:num w:numId="15">
    <w:abstractNumId w:val="15"/>
  </w:num>
  <w:num w:numId="16">
    <w:abstractNumId w:val="18"/>
  </w:num>
  <w:num w:numId="17">
    <w:abstractNumId w:val="29"/>
  </w:num>
  <w:num w:numId="18">
    <w:abstractNumId w:val="19"/>
  </w:num>
  <w:num w:numId="19">
    <w:abstractNumId w:val="20"/>
  </w:num>
  <w:num w:numId="20">
    <w:abstractNumId w:val="21"/>
  </w:num>
  <w:num w:numId="21">
    <w:abstractNumId w:val="16"/>
  </w:num>
  <w:num w:numId="22">
    <w:abstractNumId w:val="22"/>
  </w:num>
  <w:num w:numId="23">
    <w:abstractNumId w:val="23"/>
  </w:num>
  <w:num w:numId="24">
    <w:abstractNumId w:val="24"/>
  </w:num>
  <w:num w:numId="25">
    <w:abstractNumId w:val="2"/>
  </w:num>
  <w:num w:numId="26">
    <w:abstractNumId w:val="25"/>
  </w:num>
  <w:num w:numId="27">
    <w:abstractNumId w:val="32"/>
  </w:num>
  <w:num w:numId="28">
    <w:abstractNumId w:val="26"/>
  </w:num>
  <w:num w:numId="29">
    <w:abstractNumId w:val="27"/>
  </w:num>
  <w:num w:numId="30">
    <w:abstractNumId w:val="28"/>
  </w:num>
  <w:num w:numId="31">
    <w:abstractNumId w:val="13"/>
  </w:num>
  <w:num w:numId="32">
    <w:abstractNumId w:val="1"/>
  </w:num>
  <w:num w:numId="33">
    <w:abstractNumId w:val="3"/>
  </w:num>
  <w:num w:numId="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1EEF"/>
    <w:rsid w:val="00020634"/>
    <w:rsid w:val="00020EC1"/>
    <w:rsid w:val="0003731D"/>
    <w:rsid w:val="00045876"/>
    <w:rsid w:val="00072C7E"/>
    <w:rsid w:val="000B0316"/>
    <w:rsid w:val="000B53B1"/>
    <w:rsid w:val="000E1692"/>
    <w:rsid w:val="000E3A61"/>
    <w:rsid w:val="00102220"/>
    <w:rsid w:val="0010623D"/>
    <w:rsid w:val="0011663C"/>
    <w:rsid w:val="001229B1"/>
    <w:rsid w:val="00143FA2"/>
    <w:rsid w:val="00161E21"/>
    <w:rsid w:val="00162C0E"/>
    <w:rsid w:val="00167F6C"/>
    <w:rsid w:val="001A43CF"/>
    <w:rsid w:val="001A44FB"/>
    <w:rsid w:val="001E0E40"/>
    <w:rsid w:val="00207095"/>
    <w:rsid w:val="00207314"/>
    <w:rsid w:val="002B2032"/>
    <w:rsid w:val="002B3FCC"/>
    <w:rsid w:val="002E250C"/>
    <w:rsid w:val="002F0A08"/>
    <w:rsid w:val="002F6EC9"/>
    <w:rsid w:val="00310C13"/>
    <w:rsid w:val="0032472B"/>
    <w:rsid w:val="00325AA3"/>
    <w:rsid w:val="003279D7"/>
    <w:rsid w:val="003372DA"/>
    <w:rsid w:val="00346EED"/>
    <w:rsid w:val="00352258"/>
    <w:rsid w:val="003922BC"/>
    <w:rsid w:val="003A03CE"/>
    <w:rsid w:val="003A0F73"/>
    <w:rsid w:val="003C1335"/>
    <w:rsid w:val="003E311E"/>
    <w:rsid w:val="003F2ACF"/>
    <w:rsid w:val="003F2B8F"/>
    <w:rsid w:val="003F557D"/>
    <w:rsid w:val="00414F37"/>
    <w:rsid w:val="0042469D"/>
    <w:rsid w:val="00490852"/>
    <w:rsid w:val="00490AEE"/>
    <w:rsid w:val="004C0766"/>
    <w:rsid w:val="004D0481"/>
    <w:rsid w:val="004F5101"/>
    <w:rsid w:val="0052255A"/>
    <w:rsid w:val="00522E01"/>
    <w:rsid w:val="0056477B"/>
    <w:rsid w:val="00565456"/>
    <w:rsid w:val="00573E3A"/>
    <w:rsid w:val="005B3C47"/>
    <w:rsid w:val="005B5F29"/>
    <w:rsid w:val="005E6794"/>
    <w:rsid w:val="005E6CE4"/>
    <w:rsid w:val="00622F41"/>
    <w:rsid w:val="00624E24"/>
    <w:rsid w:val="0063681B"/>
    <w:rsid w:val="00647E1D"/>
    <w:rsid w:val="0065762E"/>
    <w:rsid w:val="00670298"/>
    <w:rsid w:val="00685852"/>
    <w:rsid w:val="006B67CC"/>
    <w:rsid w:val="006C08B9"/>
    <w:rsid w:val="006C39B4"/>
    <w:rsid w:val="006F26D1"/>
    <w:rsid w:val="00702BCA"/>
    <w:rsid w:val="00744240"/>
    <w:rsid w:val="0076144F"/>
    <w:rsid w:val="0079321A"/>
    <w:rsid w:val="007B0629"/>
    <w:rsid w:val="007F0EC2"/>
    <w:rsid w:val="00857A81"/>
    <w:rsid w:val="00881948"/>
    <w:rsid w:val="00890318"/>
    <w:rsid w:val="008A6A36"/>
    <w:rsid w:val="008B065D"/>
    <w:rsid w:val="008B5B2E"/>
    <w:rsid w:val="008C076D"/>
    <w:rsid w:val="008C2C27"/>
    <w:rsid w:val="008D62AA"/>
    <w:rsid w:val="008E3831"/>
    <w:rsid w:val="008F5F00"/>
    <w:rsid w:val="008F7746"/>
    <w:rsid w:val="00903598"/>
    <w:rsid w:val="009159E1"/>
    <w:rsid w:val="00944988"/>
    <w:rsid w:val="00950759"/>
    <w:rsid w:val="0098477C"/>
    <w:rsid w:val="00985A01"/>
    <w:rsid w:val="009A75CA"/>
    <w:rsid w:val="00A0686D"/>
    <w:rsid w:val="00A30BFF"/>
    <w:rsid w:val="00A42626"/>
    <w:rsid w:val="00A526B5"/>
    <w:rsid w:val="00A733EC"/>
    <w:rsid w:val="00A80C6D"/>
    <w:rsid w:val="00A9660E"/>
    <w:rsid w:val="00A977E7"/>
    <w:rsid w:val="00AA16B3"/>
    <w:rsid w:val="00AB5897"/>
    <w:rsid w:val="00AB5D3F"/>
    <w:rsid w:val="00AE1891"/>
    <w:rsid w:val="00B32D57"/>
    <w:rsid w:val="00B4085B"/>
    <w:rsid w:val="00B90203"/>
    <w:rsid w:val="00B91770"/>
    <w:rsid w:val="00BD6EBF"/>
    <w:rsid w:val="00BE05FA"/>
    <w:rsid w:val="00BF5A06"/>
    <w:rsid w:val="00C02021"/>
    <w:rsid w:val="00C24A83"/>
    <w:rsid w:val="00C32BD3"/>
    <w:rsid w:val="00C45F5B"/>
    <w:rsid w:val="00C65388"/>
    <w:rsid w:val="00C838EB"/>
    <w:rsid w:val="00C97395"/>
    <w:rsid w:val="00CA75A7"/>
    <w:rsid w:val="00CD7167"/>
    <w:rsid w:val="00D0563A"/>
    <w:rsid w:val="00D40716"/>
    <w:rsid w:val="00D66B84"/>
    <w:rsid w:val="00E100FC"/>
    <w:rsid w:val="00E16B3F"/>
    <w:rsid w:val="00E35242"/>
    <w:rsid w:val="00E65483"/>
    <w:rsid w:val="00E76867"/>
    <w:rsid w:val="00E92229"/>
    <w:rsid w:val="00EB1EEF"/>
    <w:rsid w:val="00EC0CDF"/>
    <w:rsid w:val="00EC32EE"/>
    <w:rsid w:val="00ED0284"/>
    <w:rsid w:val="00ED4D92"/>
    <w:rsid w:val="00EF24DA"/>
    <w:rsid w:val="00F04523"/>
    <w:rsid w:val="00F113F3"/>
    <w:rsid w:val="00F30F6F"/>
    <w:rsid w:val="00F705EA"/>
    <w:rsid w:val="00F8759F"/>
    <w:rsid w:val="00FA0965"/>
    <w:rsid w:val="00FA3D06"/>
    <w:rsid w:val="00FB6C18"/>
    <w:rsid w:val="01A75754"/>
    <w:rsid w:val="02332B9A"/>
    <w:rsid w:val="03E4546F"/>
    <w:rsid w:val="04364CA1"/>
    <w:rsid w:val="061D6415"/>
    <w:rsid w:val="0A796241"/>
    <w:rsid w:val="0B386BEB"/>
    <w:rsid w:val="0C225CC9"/>
    <w:rsid w:val="0CC15827"/>
    <w:rsid w:val="0D0053A3"/>
    <w:rsid w:val="0E71765E"/>
    <w:rsid w:val="102F1BCC"/>
    <w:rsid w:val="10534159"/>
    <w:rsid w:val="11003F1F"/>
    <w:rsid w:val="11F77B11"/>
    <w:rsid w:val="142A4E26"/>
    <w:rsid w:val="143B4EF8"/>
    <w:rsid w:val="14525AFA"/>
    <w:rsid w:val="146611C6"/>
    <w:rsid w:val="15196FCE"/>
    <w:rsid w:val="18470515"/>
    <w:rsid w:val="190D737C"/>
    <w:rsid w:val="19ED4A56"/>
    <w:rsid w:val="1B5009BD"/>
    <w:rsid w:val="1BD24A8B"/>
    <w:rsid w:val="1C29422C"/>
    <w:rsid w:val="1DD42D71"/>
    <w:rsid w:val="1E817419"/>
    <w:rsid w:val="20F5288B"/>
    <w:rsid w:val="226E2A1D"/>
    <w:rsid w:val="24326138"/>
    <w:rsid w:val="24411689"/>
    <w:rsid w:val="24DA7D36"/>
    <w:rsid w:val="25F75C7E"/>
    <w:rsid w:val="28702058"/>
    <w:rsid w:val="29337492"/>
    <w:rsid w:val="2B2E72E7"/>
    <w:rsid w:val="2B9C55E1"/>
    <w:rsid w:val="2CB01CD2"/>
    <w:rsid w:val="2E360AAE"/>
    <w:rsid w:val="2E600EB0"/>
    <w:rsid w:val="30DB040D"/>
    <w:rsid w:val="34F801C2"/>
    <w:rsid w:val="351D7670"/>
    <w:rsid w:val="38AA4650"/>
    <w:rsid w:val="38E22452"/>
    <w:rsid w:val="39103069"/>
    <w:rsid w:val="39591C4C"/>
    <w:rsid w:val="39854AC5"/>
    <w:rsid w:val="3A8357EE"/>
    <w:rsid w:val="3B125890"/>
    <w:rsid w:val="3C3E672F"/>
    <w:rsid w:val="3D022ADB"/>
    <w:rsid w:val="3F5D24A6"/>
    <w:rsid w:val="401660CE"/>
    <w:rsid w:val="40AC1252"/>
    <w:rsid w:val="44EC7A84"/>
    <w:rsid w:val="45134C6A"/>
    <w:rsid w:val="45205A0E"/>
    <w:rsid w:val="45821A21"/>
    <w:rsid w:val="47BB18F5"/>
    <w:rsid w:val="48C77E83"/>
    <w:rsid w:val="490F3BDA"/>
    <w:rsid w:val="4E870AB4"/>
    <w:rsid w:val="51E7016B"/>
    <w:rsid w:val="51E96FAE"/>
    <w:rsid w:val="52307328"/>
    <w:rsid w:val="53FC15E1"/>
    <w:rsid w:val="55134D06"/>
    <w:rsid w:val="55F2292A"/>
    <w:rsid w:val="57F1444C"/>
    <w:rsid w:val="59DC61C8"/>
    <w:rsid w:val="5B15071F"/>
    <w:rsid w:val="5B5E41E5"/>
    <w:rsid w:val="5B69662C"/>
    <w:rsid w:val="5C074F1A"/>
    <w:rsid w:val="5C594A23"/>
    <w:rsid w:val="5E5174B2"/>
    <w:rsid w:val="5FC02BEC"/>
    <w:rsid w:val="60671434"/>
    <w:rsid w:val="61C3677E"/>
    <w:rsid w:val="61E80A83"/>
    <w:rsid w:val="633B46F9"/>
    <w:rsid w:val="63A8413D"/>
    <w:rsid w:val="64C022FE"/>
    <w:rsid w:val="64F04437"/>
    <w:rsid w:val="65117276"/>
    <w:rsid w:val="65C565B3"/>
    <w:rsid w:val="65EA7EB6"/>
    <w:rsid w:val="68545800"/>
    <w:rsid w:val="68D42101"/>
    <w:rsid w:val="6A531ED1"/>
    <w:rsid w:val="6AE821F8"/>
    <w:rsid w:val="6C345328"/>
    <w:rsid w:val="6E672760"/>
    <w:rsid w:val="6F064489"/>
    <w:rsid w:val="715F196E"/>
    <w:rsid w:val="721D6EBD"/>
    <w:rsid w:val="722F7C72"/>
    <w:rsid w:val="732748A1"/>
    <w:rsid w:val="7450733A"/>
    <w:rsid w:val="74762743"/>
    <w:rsid w:val="74D359B3"/>
    <w:rsid w:val="751B5B3E"/>
    <w:rsid w:val="75AE1161"/>
    <w:rsid w:val="78A22E7F"/>
    <w:rsid w:val="7C236DE8"/>
    <w:rsid w:val="7DD01402"/>
    <w:rsid w:val="7E00497E"/>
    <w:rsid w:val="7E3B2F63"/>
    <w:rsid w:val="7E554397"/>
    <w:rsid w:val="7F123D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99"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81"/>
    <w:qFormat/>
    <w:uiPriority w:val="0"/>
    <w:pPr>
      <w:keepNext/>
      <w:keepLines/>
      <w:numPr>
        <w:ilvl w:val="0"/>
        <w:numId w:val="1"/>
      </w:numPr>
      <w:adjustRightInd w:val="0"/>
      <w:spacing w:before="340" w:after="330" w:line="578" w:lineRule="auto"/>
      <w:outlineLvl w:val="0"/>
    </w:pPr>
    <w:rPr>
      <w:rFonts w:ascii="Times New Roman" w:hAnsi="Times New Roman" w:eastAsia="宋体" w:cs="Times New Roman"/>
      <w:b/>
      <w:bCs/>
      <w:kern w:val="44"/>
      <w:sz w:val="44"/>
      <w:szCs w:val="44"/>
      <w:lang w:val="zh-CN"/>
    </w:rPr>
  </w:style>
  <w:style w:type="paragraph" w:styleId="4">
    <w:name w:val="heading 2"/>
    <w:basedOn w:val="1"/>
    <w:next w:val="1"/>
    <w:link w:val="82"/>
    <w:qFormat/>
    <w:uiPriority w:val="0"/>
    <w:pPr>
      <w:keepNext/>
      <w:keepLines/>
      <w:numPr>
        <w:ilvl w:val="0"/>
        <w:numId w:val="2"/>
      </w:numPr>
      <w:spacing w:line="360" w:lineRule="auto"/>
      <w:jc w:val="left"/>
      <w:outlineLvl w:val="1"/>
    </w:pPr>
    <w:rPr>
      <w:rFonts w:ascii="仿宋_GB2312" w:hAnsi="仿宋" w:eastAsia="仿宋_GB2312" w:cs="Times New Roman"/>
      <w:b/>
      <w:bCs/>
      <w:sz w:val="32"/>
      <w:szCs w:val="32"/>
      <w:lang w:val="zh-CN"/>
    </w:rPr>
  </w:style>
  <w:style w:type="paragraph" w:styleId="5">
    <w:name w:val="heading 3"/>
    <w:basedOn w:val="1"/>
    <w:next w:val="1"/>
    <w:link w:val="83"/>
    <w:qFormat/>
    <w:uiPriority w:val="0"/>
    <w:pPr>
      <w:keepNext/>
      <w:keepLines/>
      <w:numPr>
        <w:ilvl w:val="2"/>
        <w:numId w:val="1"/>
      </w:numPr>
      <w:adjustRightInd w:val="0"/>
      <w:spacing w:before="260" w:after="260" w:line="416" w:lineRule="auto"/>
      <w:outlineLvl w:val="2"/>
    </w:pPr>
    <w:rPr>
      <w:rFonts w:ascii="Times New Roman" w:hAnsi="Times New Roman" w:eastAsia="宋体" w:cs="Times New Roman"/>
      <w:b/>
      <w:bCs/>
      <w:sz w:val="32"/>
      <w:szCs w:val="32"/>
    </w:rPr>
  </w:style>
  <w:style w:type="paragraph" w:styleId="6">
    <w:name w:val="heading 4"/>
    <w:basedOn w:val="1"/>
    <w:next w:val="1"/>
    <w:link w:val="84"/>
    <w:qFormat/>
    <w:uiPriority w:val="0"/>
    <w:pPr>
      <w:keepNext/>
      <w:keepLines/>
      <w:numPr>
        <w:ilvl w:val="3"/>
        <w:numId w:val="1"/>
      </w:numPr>
      <w:adjustRightInd w:val="0"/>
      <w:spacing w:before="280" w:after="290" w:line="376" w:lineRule="auto"/>
      <w:outlineLvl w:val="3"/>
    </w:pPr>
    <w:rPr>
      <w:rFonts w:ascii="Arial" w:hAnsi="Arial" w:eastAsia="黑体" w:cs="Times New Roman"/>
      <w:b/>
      <w:bCs/>
      <w:sz w:val="28"/>
      <w:szCs w:val="28"/>
      <w:lang w:val="zh-CN"/>
    </w:rPr>
  </w:style>
  <w:style w:type="paragraph" w:styleId="7">
    <w:name w:val="heading 5"/>
    <w:basedOn w:val="1"/>
    <w:next w:val="1"/>
    <w:link w:val="85"/>
    <w:qFormat/>
    <w:uiPriority w:val="0"/>
    <w:pPr>
      <w:keepNext/>
      <w:keepLines/>
      <w:numPr>
        <w:ilvl w:val="4"/>
        <w:numId w:val="1"/>
      </w:numPr>
      <w:adjustRightInd w:val="0"/>
      <w:spacing w:before="280" w:after="290" w:line="376" w:lineRule="auto"/>
      <w:outlineLvl w:val="4"/>
    </w:pPr>
    <w:rPr>
      <w:rFonts w:ascii="Times New Roman" w:hAnsi="Times New Roman" w:eastAsia="宋体" w:cs="Times New Roman"/>
      <w:b/>
      <w:bCs/>
      <w:sz w:val="28"/>
      <w:szCs w:val="28"/>
      <w:lang w:val="zh-CN"/>
    </w:rPr>
  </w:style>
  <w:style w:type="paragraph" w:styleId="8">
    <w:name w:val="heading 6"/>
    <w:basedOn w:val="1"/>
    <w:next w:val="1"/>
    <w:link w:val="86"/>
    <w:qFormat/>
    <w:uiPriority w:val="0"/>
    <w:pPr>
      <w:keepNext/>
      <w:keepLines/>
      <w:numPr>
        <w:ilvl w:val="5"/>
        <w:numId w:val="1"/>
      </w:numPr>
      <w:adjustRightInd w:val="0"/>
      <w:spacing w:before="240" w:after="64" w:line="320" w:lineRule="auto"/>
      <w:outlineLvl w:val="5"/>
    </w:pPr>
    <w:rPr>
      <w:rFonts w:ascii="Arial" w:hAnsi="Arial" w:eastAsia="黑体" w:cs="Times New Roman"/>
      <w:b/>
      <w:bCs/>
      <w:sz w:val="24"/>
      <w:szCs w:val="24"/>
      <w:lang w:val="zh-CN"/>
    </w:rPr>
  </w:style>
  <w:style w:type="paragraph" w:styleId="9">
    <w:name w:val="heading 7"/>
    <w:basedOn w:val="1"/>
    <w:next w:val="1"/>
    <w:link w:val="87"/>
    <w:qFormat/>
    <w:uiPriority w:val="0"/>
    <w:pPr>
      <w:keepNext/>
      <w:keepLines/>
      <w:numPr>
        <w:ilvl w:val="6"/>
        <w:numId w:val="1"/>
      </w:numPr>
      <w:adjustRightInd w:val="0"/>
      <w:spacing w:before="240" w:after="64" w:line="320" w:lineRule="auto"/>
      <w:outlineLvl w:val="6"/>
    </w:pPr>
    <w:rPr>
      <w:rFonts w:ascii="Times New Roman" w:hAnsi="Times New Roman" w:eastAsia="宋体" w:cs="Times New Roman"/>
      <w:b/>
      <w:bCs/>
      <w:sz w:val="24"/>
      <w:szCs w:val="24"/>
      <w:lang w:val="zh-CN"/>
    </w:rPr>
  </w:style>
  <w:style w:type="paragraph" w:styleId="10">
    <w:name w:val="heading 8"/>
    <w:basedOn w:val="1"/>
    <w:next w:val="1"/>
    <w:link w:val="88"/>
    <w:qFormat/>
    <w:uiPriority w:val="0"/>
    <w:pPr>
      <w:keepNext/>
      <w:keepLines/>
      <w:numPr>
        <w:ilvl w:val="7"/>
        <w:numId w:val="1"/>
      </w:numPr>
      <w:adjustRightInd w:val="0"/>
      <w:spacing w:before="240" w:after="64" w:line="320" w:lineRule="auto"/>
      <w:outlineLvl w:val="7"/>
    </w:pPr>
    <w:rPr>
      <w:rFonts w:ascii="Arial" w:hAnsi="Arial" w:eastAsia="黑体" w:cs="Times New Roman"/>
      <w:sz w:val="24"/>
      <w:szCs w:val="24"/>
      <w:lang w:val="zh-CN"/>
    </w:rPr>
  </w:style>
  <w:style w:type="paragraph" w:styleId="11">
    <w:name w:val="heading 9"/>
    <w:basedOn w:val="1"/>
    <w:next w:val="1"/>
    <w:link w:val="89"/>
    <w:qFormat/>
    <w:uiPriority w:val="0"/>
    <w:pPr>
      <w:keepNext/>
      <w:keepLines/>
      <w:numPr>
        <w:ilvl w:val="8"/>
        <w:numId w:val="1"/>
      </w:numPr>
      <w:adjustRightInd w:val="0"/>
      <w:spacing w:before="240" w:after="64" w:line="320" w:lineRule="auto"/>
      <w:outlineLvl w:val="8"/>
    </w:pPr>
    <w:rPr>
      <w:rFonts w:ascii="Arial" w:hAnsi="Arial" w:eastAsia="黑体" w:cs="Times New Roman"/>
      <w:szCs w:val="21"/>
      <w:lang w:val="zh-CN"/>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153"/>
    <w:qFormat/>
    <w:uiPriority w:val="0"/>
    <w:pPr>
      <w:autoSpaceDE w:val="0"/>
      <w:autoSpaceDN w:val="0"/>
      <w:adjustRightInd w:val="0"/>
      <w:spacing w:line="360" w:lineRule="auto"/>
    </w:pPr>
    <w:rPr>
      <w:rFonts w:ascii="宋体" w:hAnsi="Arial" w:eastAsia="宋体" w:cs="Arial"/>
      <w:snapToGrid w:val="0"/>
      <w:sz w:val="24"/>
      <w:szCs w:val="21"/>
      <w:lang w:val="zh-CN"/>
    </w:rPr>
  </w:style>
  <w:style w:type="paragraph" w:styleId="12">
    <w:name w:val="toc 7"/>
    <w:basedOn w:val="1"/>
    <w:next w:val="1"/>
    <w:qFormat/>
    <w:uiPriority w:val="0"/>
    <w:pPr>
      <w:adjustRightInd w:val="0"/>
      <w:ind w:left="2520" w:leftChars="1200"/>
    </w:pPr>
    <w:rPr>
      <w:rFonts w:ascii="Times New Roman" w:hAnsi="Times New Roman" w:eastAsia="宋体" w:cs="Times New Roman"/>
      <w:szCs w:val="24"/>
    </w:rPr>
  </w:style>
  <w:style w:type="paragraph" w:styleId="13">
    <w:name w:val="List Number 2"/>
    <w:basedOn w:val="1"/>
    <w:qFormat/>
    <w:uiPriority w:val="0"/>
    <w:pPr>
      <w:widowControl/>
      <w:tabs>
        <w:tab w:val="left" w:pos="1697"/>
      </w:tabs>
      <w:spacing w:after="156" w:afterLines="50"/>
      <w:ind w:left="1697" w:hanging="420"/>
      <w:jc w:val="left"/>
    </w:pPr>
    <w:rPr>
      <w:rFonts w:ascii="Times New Roman" w:hAnsi="Times New Roman" w:eastAsia="宋体" w:cs="Times New Roman"/>
      <w:kern w:val="0"/>
      <w:sz w:val="24"/>
      <w:szCs w:val="20"/>
    </w:rPr>
  </w:style>
  <w:style w:type="paragraph" w:styleId="14">
    <w:name w:val="List Bullet 4"/>
    <w:basedOn w:val="1"/>
    <w:unhideWhenUsed/>
    <w:qFormat/>
    <w:uiPriority w:val="99"/>
    <w:pPr>
      <w:widowControl/>
      <w:numPr>
        <w:ilvl w:val="0"/>
        <w:numId w:val="3"/>
      </w:numPr>
      <w:tabs>
        <w:tab w:val="left" w:pos="432"/>
        <w:tab w:val="clear" w:pos="1440"/>
      </w:tabs>
      <w:spacing w:before="40" w:after="160"/>
      <w:ind w:left="432" w:hanging="432"/>
      <w:contextualSpacing/>
      <w:jc w:val="left"/>
    </w:pPr>
    <w:rPr>
      <w:rFonts w:ascii="Cambria" w:hAnsi="Cambria" w:eastAsia="微软雅黑" w:cs="Times New Roman"/>
      <w:color w:val="595959"/>
      <w:kern w:val="20"/>
      <w:szCs w:val="20"/>
      <w:lang w:val="zh-CN"/>
    </w:rPr>
  </w:style>
  <w:style w:type="paragraph" w:styleId="15">
    <w:name w:val="List Number"/>
    <w:basedOn w:val="1"/>
    <w:qFormat/>
    <w:uiPriority w:val="0"/>
    <w:pPr>
      <w:widowControl/>
      <w:tabs>
        <w:tab w:val="left" w:pos="390"/>
        <w:tab w:val="left" w:pos="454"/>
      </w:tabs>
      <w:spacing w:after="156" w:afterLines="50"/>
      <w:ind w:left="454" w:hanging="284"/>
      <w:jc w:val="left"/>
    </w:pPr>
    <w:rPr>
      <w:rFonts w:ascii="Times New Roman" w:hAnsi="Times New Roman" w:eastAsia="宋体" w:cs="Times New Roman"/>
      <w:kern w:val="0"/>
      <w:sz w:val="24"/>
      <w:szCs w:val="20"/>
    </w:rPr>
  </w:style>
  <w:style w:type="paragraph" w:styleId="16">
    <w:name w:val="Normal Indent"/>
    <w:basedOn w:val="1"/>
    <w:next w:val="17"/>
    <w:link w:val="254"/>
    <w:qFormat/>
    <w:uiPriority w:val="0"/>
    <w:pPr>
      <w:widowControl/>
      <w:adjustRightInd w:val="0"/>
      <w:snapToGrid w:val="0"/>
      <w:spacing w:line="480" w:lineRule="exact"/>
      <w:ind w:firstLine="567"/>
    </w:pPr>
    <w:rPr>
      <w:rFonts w:ascii="宋体" w:eastAsia="宋体"/>
      <w:snapToGrid w:val="0"/>
      <w:color w:val="000000"/>
      <w:kern w:val="28"/>
      <w:sz w:val="28"/>
    </w:rPr>
  </w:style>
  <w:style w:type="paragraph" w:styleId="17">
    <w:name w:val="Body Text Indent"/>
    <w:basedOn w:val="1"/>
    <w:next w:val="16"/>
    <w:link w:val="287"/>
    <w:unhideWhenUsed/>
    <w:qFormat/>
    <w:uiPriority w:val="0"/>
    <w:pPr>
      <w:adjustRightInd w:val="0"/>
      <w:spacing w:after="120"/>
      <w:ind w:left="420" w:leftChars="200"/>
    </w:pPr>
    <w:rPr>
      <w:rFonts w:ascii="Times New Roman" w:hAnsi="Times New Roman" w:eastAsia="宋体" w:cs="Times New Roman"/>
      <w:szCs w:val="24"/>
    </w:rPr>
  </w:style>
  <w:style w:type="paragraph" w:styleId="18">
    <w:name w:val="caption"/>
    <w:basedOn w:val="1"/>
    <w:next w:val="1"/>
    <w:link w:val="785"/>
    <w:qFormat/>
    <w:uiPriority w:val="0"/>
    <w:pPr>
      <w:adjustRightInd w:val="0"/>
    </w:pPr>
    <w:rPr>
      <w:rFonts w:ascii="Times New Roman" w:hAnsi="Times New Roman" w:eastAsia="宋体" w:cs="Times New Roman"/>
      <w:b/>
      <w:sz w:val="28"/>
      <w:szCs w:val="20"/>
      <w:lang w:val="zh-CN"/>
    </w:rPr>
  </w:style>
  <w:style w:type="paragraph" w:styleId="19">
    <w:name w:val="index 5"/>
    <w:basedOn w:val="1"/>
    <w:next w:val="1"/>
    <w:qFormat/>
    <w:uiPriority w:val="0"/>
    <w:pPr>
      <w:ind w:left="800" w:leftChars="800" w:firstLine="200" w:firstLineChars="200"/>
    </w:pPr>
    <w:rPr>
      <w:rFonts w:ascii="Times New Roman" w:hAnsi="Times New Roman" w:eastAsia="宋体" w:cs="Times New Roman"/>
      <w:szCs w:val="24"/>
    </w:rPr>
  </w:style>
  <w:style w:type="paragraph" w:styleId="20">
    <w:name w:val="Document Map"/>
    <w:basedOn w:val="1"/>
    <w:link w:val="294"/>
    <w:qFormat/>
    <w:uiPriority w:val="0"/>
    <w:pPr>
      <w:shd w:val="clear" w:color="auto" w:fill="000080"/>
      <w:adjustRightInd w:val="0"/>
    </w:pPr>
    <w:rPr>
      <w:rFonts w:ascii="Times New Roman" w:hAnsi="Times New Roman" w:eastAsia="宋体" w:cs="Times New Roman"/>
      <w:szCs w:val="24"/>
      <w:lang w:val="zh-CN"/>
    </w:rPr>
  </w:style>
  <w:style w:type="paragraph" w:styleId="21">
    <w:name w:val="annotation text"/>
    <w:basedOn w:val="1"/>
    <w:link w:val="289"/>
    <w:unhideWhenUsed/>
    <w:qFormat/>
    <w:uiPriority w:val="99"/>
    <w:pPr>
      <w:adjustRightInd w:val="0"/>
      <w:jc w:val="left"/>
    </w:pPr>
    <w:rPr>
      <w:rFonts w:ascii="Times New Roman" w:hAnsi="Times New Roman" w:eastAsia="宋体" w:cs="Times New Roman"/>
      <w:szCs w:val="24"/>
    </w:rPr>
  </w:style>
  <w:style w:type="paragraph" w:styleId="22">
    <w:name w:val="Salutation"/>
    <w:basedOn w:val="1"/>
    <w:next w:val="1"/>
    <w:link w:val="92"/>
    <w:qFormat/>
    <w:uiPriority w:val="0"/>
    <w:pPr>
      <w:adjustRightInd w:val="0"/>
    </w:pPr>
    <w:rPr>
      <w:rFonts w:ascii="仿宋_GB2312" w:eastAsia="仿宋_GB2312"/>
      <w:sz w:val="28"/>
    </w:rPr>
  </w:style>
  <w:style w:type="paragraph" w:styleId="23">
    <w:name w:val="Body Text 3"/>
    <w:basedOn w:val="1"/>
    <w:link w:val="93"/>
    <w:qFormat/>
    <w:uiPriority w:val="0"/>
    <w:pPr>
      <w:adjustRightInd w:val="0"/>
      <w:jc w:val="center"/>
    </w:pPr>
  </w:style>
  <w:style w:type="paragraph" w:styleId="24">
    <w:name w:val="List Bullet 3"/>
    <w:basedOn w:val="1"/>
    <w:unhideWhenUsed/>
    <w:qFormat/>
    <w:uiPriority w:val="0"/>
    <w:pPr>
      <w:numPr>
        <w:ilvl w:val="0"/>
        <w:numId w:val="4"/>
      </w:numPr>
      <w:adjustRightInd w:val="0"/>
      <w:snapToGrid w:val="0"/>
      <w:spacing w:line="360" w:lineRule="auto"/>
      <w:ind w:right="238"/>
      <w:contextualSpacing/>
    </w:pPr>
    <w:rPr>
      <w:rFonts w:ascii="Times New Roman" w:hAnsi="Times New Roman" w:eastAsia="宋体" w:cs="Times New Roman"/>
      <w:sz w:val="24"/>
      <w:szCs w:val="24"/>
    </w:rPr>
  </w:style>
  <w:style w:type="paragraph" w:styleId="25">
    <w:name w:val="List Number 3"/>
    <w:basedOn w:val="1"/>
    <w:qFormat/>
    <w:uiPriority w:val="0"/>
    <w:pPr>
      <w:widowControl/>
      <w:tabs>
        <w:tab w:val="left" w:pos="360"/>
        <w:tab w:val="left" w:pos="482"/>
      </w:tabs>
      <w:spacing w:after="156" w:afterLines="50"/>
      <w:ind w:left="482" w:hanging="340"/>
      <w:jc w:val="left"/>
    </w:pPr>
    <w:rPr>
      <w:rFonts w:ascii="Times New Roman" w:hAnsi="Times New Roman" w:eastAsia="宋体" w:cs="Times New Roman"/>
      <w:kern w:val="0"/>
      <w:sz w:val="24"/>
      <w:szCs w:val="20"/>
    </w:rPr>
  </w:style>
  <w:style w:type="paragraph" w:styleId="26">
    <w:name w:val="List 2"/>
    <w:basedOn w:val="1"/>
    <w:qFormat/>
    <w:uiPriority w:val="0"/>
    <w:pPr>
      <w:spacing w:line="360" w:lineRule="auto"/>
      <w:ind w:left="100" w:leftChars="200" w:hanging="200" w:hangingChars="200"/>
    </w:pPr>
    <w:rPr>
      <w:rFonts w:ascii="Times New Roman" w:hAnsi="Times New Roman" w:eastAsia="微软雅黑" w:cs="Times New Roman"/>
      <w:szCs w:val="24"/>
    </w:rPr>
  </w:style>
  <w:style w:type="paragraph" w:styleId="27">
    <w:name w:val="Block Text"/>
    <w:basedOn w:val="1"/>
    <w:qFormat/>
    <w:uiPriority w:val="0"/>
    <w:pPr>
      <w:adjustRightInd w:val="0"/>
      <w:ind w:left="-359" w:leftChars="-171" w:right="-244" w:rightChars="-244" w:firstLine="501" w:firstLineChars="239"/>
    </w:pPr>
    <w:rPr>
      <w:rFonts w:ascii="仿宋_GB2312" w:hAnsi="Times New Roman" w:eastAsia="仿宋_GB2312" w:cs="Times New Roman"/>
      <w:sz w:val="30"/>
      <w:szCs w:val="20"/>
    </w:rPr>
  </w:style>
  <w:style w:type="paragraph" w:styleId="28">
    <w:name w:val="List Bullet 2"/>
    <w:basedOn w:val="1"/>
    <w:qFormat/>
    <w:uiPriority w:val="0"/>
    <w:pPr>
      <w:autoSpaceDE w:val="0"/>
      <w:autoSpaceDN w:val="0"/>
      <w:adjustRightInd w:val="0"/>
      <w:ind w:left="420"/>
      <w:jc w:val="left"/>
    </w:pPr>
    <w:rPr>
      <w:rFonts w:ascii="宋体" w:hAnsi="宋体" w:eastAsia="宋体" w:cs="Times New Roman"/>
      <w:color w:val="000000"/>
      <w:kern w:val="0"/>
      <w:sz w:val="24"/>
      <w:szCs w:val="20"/>
    </w:rPr>
  </w:style>
  <w:style w:type="paragraph" w:styleId="29">
    <w:name w:val="HTML Address"/>
    <w:basedOn w:val="1"/>
    <w:link w:val="96"/>
    <w:qFormat/>
    <w:uiPriority w:val="0"/>
    <w:pPr>
      <w:widowControl/>
      <w:ind w:firstLine="200" w:firstLineChars="200"/>
      <w:jc w:val="left"/>
    </w:pPr>
    <w:rPr>
      <w:rFonts w:ascii="宋体" w:hAnsi="宋体"/>
      <w:i/>
      <w:iCs/>
      <w:sz w:val="24"/>
      <w:szCs w:val="24"/>
    </w:rPr>
  </w:style>
  <w:style w:type="paragraph" w:styleId="30">
    <w:name w:val="toc 5"/>
    <w:basedOn w:val="1"/>
    <w:next w:val="1"/>
    <w:qFormat/>
    <w:uiPriority w:val="0"/>
    <w:pPr>
      <w:adjustRightInd w:val="0"/>
      <w:ind w:left="1680" w:leftChars="800"/>
    </w:pPr>
    <w:rPr>
      <w:rFonts w:ascii="Times New Roman" w:hAnsi="Times New Roman" w:eastAsia="宋体" w:cs="Times New Roman"/>
      <w:szCs w:val="24"/>
    </w:rPr>
  </w:style>
  <w:style w:type="paragraph" w:styleId="31">
    <w:name w:val="toc 3"/>
    <w:basedOn w:val="1"/>
    <w:next w:val="1"/>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styleId="32">
    <w:name w:val="Plain Text"/>
    <w:basedOn w:val="1"/>
    <w:link w:val="97"/>
    <w:qFormat/>
    <w:uiPriority w:val="0"/>
    <w:pPr>
      <w:adjustRightInd w:val="0"/>
    </w:pPr>
    <w:rPr>
      <w:rFonts w:ascii="宋体" w:hAnsi="Courier New" w:eastAsia="宋体" w:cs="Arial"/>
      <w:snapToGrid w:val="0"/>
      <w:szCs w:val="21"/>
    </w:rPr>
  </w:style>
  <w:style w:type="paragraph" w:styleId="33">
    <w:name w:val="List Number 4"/>
    <w:basedOn w:val="1"/>
    <w:qFormat/>
    <w:uiPriority w:val="0"/>
    <w:pPr>
      <w:numPr>
        <w:ilvl w:val="0"/>
        <w:numId w:val="5"/>
      </w:numPr>
      <w:autoSpaceDE w:val="0"/>
      <w:autoSpaceDN w:val="0"/>
      <w:adjustRightInd w:val="0"/>
      <w:spacing w:line="360" w:lineRule="atLeast"/>
    </w:pPr>
    <w:rPr>
      <w:rFonts w:ascii="Times New Roman" w:hAnsi="Times New Roman" w:eastAsia="宋体" w:cs="Times New Roman"/>
      <w:kern w:val="0"/>
      <w:sz w:val="24"/>
      <w:szCs w:val="24"/>
    </w:rPr>
  </w:style>
  <w:style w:type="paragraph" w:styleId="34">
    <w:name w:val="toc 8"/>
    <w:basedOn w:val="1"/>
    <w:next w:val="1"/>
    <w:qFormat/>
    <w:uiPriority w:val="0"/>
    <w:pPr>
      <w:adjustRightInd w:val="0"/>
      <w:ind w:left="2940" w:leftChars="1400"/>
    </w:pPr>
    <w:rPr>
      <w:rFonts w:ascii="Times New Roman" w:hAnsi="Times New Roman" w:eastAsia="宋体" w:cs="Times New Roman"/>
      <w:szCs w:val="24"/>
    </w:rPr>
  </w:style>
  <w:style w:type="paragraph" w:styleId="35">
    <w:name w:val="Date"/>
    <w:basedOn w:val="1"/>
    <w:next w:val="1"/>
    <w:link w:val="98"/>
    <w:qFormat/>
    <w:uiPriority w:val="0"/>
    <w:pPr>
      <w:adjustRightInd w:val="0"/>
      <w:ind w:left="100" w:leftChars="2500"/>
    </w:pPr>
    <w:rPr>
      <w:rFonts w:ascii="宋体"/>
      <w:sz w:val="24"/>
      <w:szCs w:val="21"/>
      <w:lang w:val="zh-CN"/>
    </w:rPr>
  </w:style>
  <w:style w:type="paragraph" w:styleId="36">
    <w:name w:val="Body Text Indent 2"/>
    <w:basedOn w:val="1"/>
    <w:link w:val="99"/>
    <w:qFormat/>
    <w:uiPriority w:val="0"/>
    <w:pPr>
      <w:adjustRightInd w:val="0"/>
      <w:spacing w:line="360" w:lineRule="auto"/>
      <w:ind w:firstLine="601"/>
      <w:textAlignment w:val="baseline"/>
    </w:pPr>
    <w:rPr>
      <w:rFonts w:ascii="宋体"/>
      <w:sz w:val="28"/>
    </w:rPr>
  </w:style>
  <w:style w:type="paragraph" w:styleId="37">
    <w:name w:val="Balloon Text"/>
    <w:basedOn w:val="1"/>
    <w:link w:val="100"/>
    <w:qFormat/>
    <w:uiPriority w:val="0"/>
    <w:pPr>
      <w:adjustRightInd w:val="0"/>
    </w:pPr>
    <w:rPr>
      <w:sz w:val="18"/>
      <w:szCs w:val="18"/>
    </w:rPr>
  </w:style>
  <w:style w:type="paragraph" w:styleId="38">
    <w:name w:val="footer"/>
    <w:basedOn w:val="1"/>
    <w:link w:val="80"/>
    <w:unhideWhenUsed/>
    <w:qFormat/>
    <w:uiPriority w:val="0"/>
    <w:pPr>
      <w:tabs>
        <w:tab w:val="center" w:pos="4153"/>
        <w:tab w:val="right" w:pos="8306"/>
      </w:tabs>
      <w:snapToGrid w:val="0"/>
      <w:jc w:val="left"/>
    </w:pPr>
    <w:rPr>
      <w:sz w:val="18"/>
      <w:szCs w:val="18"/>
    </w:rPr>
  </w:style>
  <w:style w:type="paragraph" w:styleId="39">
    <w:name w:val="header"/>
    <w:basedOn w:val="1"/>
    <w:link w:val="79"/>
    <w:unhideWhenUsed/>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101"/>
    <w:qFormat/>
    <w:uiPriority w:val="0"/>
    <w:pPr>
      <w:adjustRightInd w:val="0"/>
      <w:spacing w:after="600" w:line="312" w:lineRule="atLeast"/>
      <w:jc w:val="center"/>
      <w:textAlignment w:val="baseline"/>
    </w:pPr>
    <w:rPr>
      <w:rFonts w:eastAsia="仿宋_GB2312"/>
      <w:sz w:val="24"/>
    </w:rPr>
  </w:style>
  <w:style w:type="paragraph" w:styleId="41">
    <w:name w:val="toc 1"/>
    <w:basedOn w:val="1"/>
    <w:next w:val="1"/>
    <w:qFormat/>
    <w:uiPriority w:val="0"/>
    <w:pPr>
      <w:adjustRightInd w:val="0"/>
    </w:pPr>
    <w:rPr>
      <w:rFonts w:ascii="Times New Roman" w:hAnsi="Times New Roman" w:eastAsia="宋体" w:cs="Times New Roman"/>
      <w:szCs w:val="24"/>
    </w:rPr>
  </w:style>
  <w:style w:type="paragraph" w:styleId="42">
    <w:name w:val="toc 4"/>
    <w:basedOn w:val="1"/>
    <w:next w:val="1"/>
    <w:qFormat/>
    <w:uiPriority w:val="0"/>
    <w:pPr>
      <w:adjustRightInd w:val="0"/>
      <w:ind w:left="1260" w:leftChars="600"/>
    </w:pPr>
    <w:rPr>
      <w:rFonts w:ascii="Times New Roman" w:hAnsi="Times New Roman" w:eastAsia="宋体" w:cs="Times New Roman"/>
      <w:szCs w:val="24"/>
    </w:rPr>
  </w:style>
  <w:style w:type="paragraph" w:styleId="43">
    <w:name w:val="index heading"/>
    <w:basedOn w:val="1"/>
    <w:next w:val="44"/>
    <w:qFormat/>
    <w:uiPriority w:val="0"/>
    <w:pPr>
      <w:ind w:firstLine="200" w:firstLineChars="200"/>
    </w:pPr>
    <w:rPr>
      <w:rFonts w:ascii="Times New Roman" w:hAnsi="Times New Roman" w:eastAsia="宋体" w:cs="Times New Roman"/>
      <w:szCs w:val="24"/>
    </w:rPr>
  </w:style>
  <w:style w:type="paragraph" w:styleId="44">
    <w:name w:val="index 1"/>
    <w:basedOn w:val="1"/>
    <w:next w:val="1"/>
    <w:unhideWhenUsed/>
    <w:qFormat/>
    <w:uiPriority w:val="0"/>
  </w:style>
  <w:style w:type="paragraph" w:styleId="45">
    <w:name w:val="Subtitle"/>
    <w:link w:val="102"/>
    <w:qFormat/>
    <w:uiPriority w:val="0"/>
    <w:pPr>
      <w:adjustRightInd w:val="0"/>
      <w:snapToGrid w:val="0"/>
      <w:spacing w:before="240" w:after="480"/>
      <w:jc w:val="center"/>
    </w:pPr>
    <w:rPr>
      <w:rFonts w:ascii="Arial" w:hAnsi="Arial" w:eastAsia="隶书" w:cstheme="minorBidi"/>
      <w:b/>
      <w:bCs/>
      <w:kern w:val="28"/>
      <w:sz w:val="44"/>
      <w:szCs w:val="32"/>
      <w:lang w:val="en-US" w:eastAsia="zh-CN" w:bidi="ar-SA"/>
    </w:rPr>
  </w:style>
  <w:style w:type="paragraph" w:styleId="46">
    <w:name w:val="List Number 5"/>
    <w:basedOn w:val="1"/>
    <w:qFormat/>
    <w:uiPriority w:val="0"/>
    <w:pPr>
      <w:tabs>
        <w:tab w:val="left" w:pos="902"/>
      </w:tabs>
      <w:spacing w:line="400" w:lineRule="exact"/>
      <w:ind w:left="902" w:hanging="420"/>
    </w:pPr>
    <w:rPr>
      <w:rFonts w:ascii="Times New Roman" w:hAnsi="Times New Roman" w:eastAsia="宋体" w:cs="Times New Roman"/>
      <w:sz w:val="24"/>
      <w:szCs w:val="20"/>
    </w:rPr>
  </w:style>
  <w:style w:type="paragraph" w:styleId="47">
    <w:name w:val="List"/>
    <w:basedOn w:val="1"/>
    <w:next w:val="1"/>
    <w:qFormat/>
    <w:uiPriority w:val="0"/>
    <w:pPr>
      <w:adjustRightInd w:val="0"/>
      <w:ind w:left="200" w:hanging="200" w:hangingChars="200"/>
    </w:pPr>
    <w:rPr>
      <w:rFonts w:ascii="Times New Roman" w:hAnsi="Times New Roman" w:eastAsia="宋体" w:cs="Times New Roman"/>
      <w:szCs w:val="24"/>
    </w:rPr>
  </w:style>
  <w:style w:type="paragraph" w:styleId="48">
    <w:name w:val="footnote text"/>
    <w:basedOn w:val="16"/>
    <w:link w:val="103"/>
    <w:qFormat/>
    <w:uiPriority w:val="0"/>
    <w:pPr>
      <w:adjustRightInd/>
      <w:snapToGrid/>
      <w:spacing w:before="60" w:after="60" w:line="300" w:lineRule="exact"/>
      <w:ind w:firstLine="0"/>
    </w:pPr>
    <w:rPr>
      <w:rFonts w:asciiTheme="minorHAnsi" w:eastAsiaTheme="minorEastAsia"/>
      <w:snapToGrid/>
      <w:color w:val="0000FF"/>
      <w:kern w:val="2"/>
      <w:sz w:val="21"/>
    </w:rPr>
  </w:style>
  <w:style w:type="paragraph" w:styleId="49">
    <w:name w:val="toc 6"/>
    <w:basedOn w:val="1"/>
    <w:next w:val="1"/>
    <w:qFormat/>
    <w:uiPriority w:val="0"/>
    <w:pPr>
      <w:adjustRightInd w:val="0"/>
      <w:ind w:left="2100" w:leftChars="1000"/>
    </w:pPr>
    <w:rPr>
      <w:rFonts w:ascii="Times New Roman" w:hAnsi="Times New Roman" w:eastAsia="宋体" w:cs="Times New Roman"/>
      <w:szCs w:val="24"/>
    </w:rPr>
  </w:style>
  <w:style w:type="paragraph" w:styleId="50">
    <w:name w:val="List 5"/>
    <w:basedOn w:val="1"/>
    <w:qFormat/>
    <w:uiPriority w:val="0"/>
    <w:pPr>
      <w:ind w:left="100" w:leftChars="800" w:hanging="200" w:hangingChars="200"/>
    </w:pPr>
    <w:rPr>
      <w:rFonts w:ascii="Times New Roman" w:hAnsi="Times New Roman" w:eastAsia="宋体" w:cs="Times New Roman"/>
      <w:szCs w:val="24"/>
    </w:rPr>
  </w:style>
  <w:style w:type="paragraph" w:styleId="51">
    <w:name w:val="Body Text Indent 3"/>
    <w:basedOn w:val="1"/>
    <w:link w:val="104"/>
    <w:qFormat/>
    <w:uiPriority w:val="0"/>
    <w:pPr>
      <w:adjustRightInd w:val="0"/>
      <w:spacing w:line="360" w:lineRule="auto"/>
      <w:ind w:firstLine="420"/>
    </w:pPr>
    <w:rPr>
      <w:sz w:val="24"/>
    </w:rPr>
  </w:style>
  <w:style w:type="paragraph" w:styleId="52">
    <w:name w:val="toc 2"/>
    <w:basedOn w:val="1"/>
    <w:next w:val="1"/>
    <w:qFormat/>
    <w:uiPriority w:val="0"/>
    <w:pPr>
      <w:adjustRightInd w:val="0"/>
      <w:ind w:left="420" w:leftChars="200"/>
    </w:pPr>
    <w:rPr>
      <w:rFonts w:ascii="Times New Roman" w:hAnsi="Times New Roman" w:eastAsia="宋体" w:cs="Times New Roman"/>
      <w:szCs w:val="24"/>
    </w:rPr>
  </w:style>
  <w:style w:type="paragraph" w:styleId="53">
    <w:name w:val="toc 9"/>
    <w:basedOn w:val="1"/>
    <w:next w:val="1"/>
    <w:qFormat/>
    <w:uiPriority w:val="0"/>
    <w:pPr>
      <w:adjustRightInd w:val="0"/>
      <w:ind w:left="3360" w:leftChars="1600"/>
    </w:pPr>
    <w:rPr>
      <w:rFonts w:ascii="Times New Roman" w:hAnsi="Times New Roman" w:eastAsia="宋体" w:cs="Times New Roman"/>
      <w:szCs w:val="24"/>
    </w:rPr>
  </w:style>
  <w:style w:type="paragraph" w:styleId="54">
    <w:name w:val="Body Text 2"/>
    <w:basedOn w:val="1"/>
    <w:link w:val="279"/>
    <w:qFormat/>
    <w:uiPriority w:val="0"/>
    <w:pPr>
      <w:adjustRightInd w:val="0"/>
      <w:spacing w:after="120" w:line="480" w:lineRule="auto"/>
    </w:pPr>
    <w:rPr>
      <w:rFonts w:ascii="Times New Roman" w:hAnsi="Times New Roman" w:eastAsia="宋体" w:cs="Times New Roman"/>
      <w:szCs w:val="24"/>
      <w:lang w:val="zh-CN"/>
    </w:rPr>
  </w:style>
  <w:style w:type="paragraph" w:styleId="55">
    <w:name w:val="List 4"/>
    <w:basedOn w:val="1"/>
    <w:semiHidden/>
    <w:unhideWhenUsed/>
    <w:qFormat/>
    <w:uiPriority w:val="0"/>
    <w:pPr>
      <w:ind w:left="100" w:leftChars="600" w:hanging="200" w:hangingChars="200"/>
    </w:pPr>
    <w:rPr>
      <w:rFonts w:ascii="Times New Roman" w:hAnsi="Times New Roman" w:eastAsia="宋体" w:cs="Times New Roman"/>
      <w:sz w:val="28"/>
      <w:szCs w:val="24"/>
    </w:rPr>
  </w:style>
  <w:style w:type="paragraph" w:styleId="56">
    <w:name w:val="HTML Preformatted"/>
    <w:basedOn w:val="1"/>
    <w:link w:val="1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ascii="黑体" w:hAnsi="Courier New" w:eastAsia="黑体"/>
    </w:rPr>
  </w:style>
  <w:style w:type="paragraph" w:styleId="57">
    <w:name w:val="Normal (Web)"/>
    <w:basedOn w:val="1"/>
    <w:qFormat/>
    <w:uiPriority w:val="0"/>
    <w:pPr>
      <w:widowControl/>
      <w:adjustRightInd w:val="0"/>
      <w:spacing w:before="100" w:beforeAutospacing="1" w:after="100" w:afterAutospacing="1"/>
      <w:jc w:val="left"/>
    </w:pPr>
    <w:rPr>
      <w:rFonts w:ascii="宋体" w:hAnsi="宋体" w:eastAsia="宋体" w:cs="Times New Roman"/>
      <w:kern w:val="0"/>
      <w:sz w:val="24"/>
      <w:szCs w:val="24"/>
    </w:rPr>
  </w:style>
  <w:style w:type="paragraph" w:styleId="58">
    <w:name w:val="Title"/>
    <w:basedOn w:val="1"/>
    <w:link w:val="295"/>
    <w:qFormat/>
    <w:uiPriority w:val="0"/>
    <w:pPr>
      <w:widowControl/>
      <w:overflowPunct w:val="0"/>
      <w:autoSpaceDE w:val="0"/>
      <w:autoSpaceDN w:val="0"/>
      <w:adjustRightInd w:val="0"/>
      <w:jc w:val="center"/>
      <w:textAlignment w:val="baseline"/>
    </w:pPr>
    <w:rPr>
      <w:rFonts w:ascii="Times New Roman" w:hAnsi="Times New Roman" w:eastAsia="宋体" w:cs="Times New Roman"/>
      <w:b/>
      <w:kern w:val="0"/>
      <w:sz w:val="24"/>
      <w:szCs w:val="20"/>
      <w:lang w:val="en-GB"/>
    </w:rPr>
  </w:style>
  <w:style w:type="paragraph" w:styleId="59">
    <w:name w:val="annotation subject"/>
    <w:basedOn w:val="21"/>
    <w:next w:val="21"/>
    <w:link w:val="290"/>
    <w:qFormat/>
    <w:uiPriority w:val="0"/>
    <w:rPr>
      <w:b/>
      <w:bCs/>
      <w:lang w:val="zh-CN"/>
    </w:rPr>
  </w:style>
  <w:style w:type="paragraph" w:styleId="60">
    <w:name w:val="Body Text First Indent"/>
    <w:basedOn w:val="1"/>
    <w:next w:val="47"/>
    <w:link w:val="109"/>
    <w:qFormat/>
    <w:uiPriority w:val="0"/>
    <w:pPr>
      <w:ind w:firstLine="420"/>
    </w:pPr>
    <w:rPr>
      <w:rFonts w:hAnsiTheme="minorHAnsi" w:eastAsiaTheme="minorEastAsia" w:cstheme="minorBidi"/>
      <w:snapToGrid/>
      <w:szCs w:val="22"/>
    </w:rPr>
  </w:style>
  <w:style w:type="paragraph" w:styleId="61">
    <w:name w:val="Body Text First Indent 2"/>
    <w:basedOn w:val="17"/>
    <w:link w:val="110"/>
    <w:qFormat/>
    <w:uiPriority w:val="0"/>
    <w:pPr>
      <w:adjustRightInd/>
      <w:ind w:firstLine="210" w:firstLineChars="200"/>
    </w:pPr>
    <w:rPr>
      <w:rFonts w:ascii="宋体" w:hAnsi="宋体" w:eastAsiaTheme="minorEastAsia" w:cstheme="minorBidi"/>
    </w:rPr>
  </w:style>
  <w:style w:type="table" w:styleId="63">
    <w:name w:val="Table Grid"/>
    <w:basedOn w:val="62"/>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rPr>
      <w:rFonts w:ascii="Times New Roman" w:hAnsi="Times New Roman" w:eastAsia="宋体" w:cs="Times New Roman"/>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rPr>
      <w:rFonts w:ascii="Times New Roman" w:hAnsi="Times New Roman" w:eastAsia="宋体" w:cs="Times New Roman"/>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rPr>
      <w:rFonts w:ascii="Times New Roman" w:hAnsi="Times New Roman" w:eastAsia="宋体" w:cs="Times New Roman"/>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rPr>
      <w:rFonts w:ascii="Times New Roman" w:hAnsi="Times New Roman" w:eastAsia="宋体" w:cs="Times New Roman"/>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0"/>
    <w:rPr>
      <w:b/>
      <w:bCs/>
    </w:rPr>
  </w:style>
  <w:style w:type="character" w:styleId="71">
    <w:name w:val="page number"/>
    <w:basedOn w:val="69"/>
    <w:qFormat/>
    <w:uiPriority w:val="0"/>
    <w:rPr>
      <w:rFonts w:ascii="Arial" w:hAnsi="Arial" w:eastAsia="黑体" w:cs="Arial"/>
      <w:snapToGrid w:val="0"/>
      <w:kern w:val="0"/>
      <w:szCs w:val="21"/>
    </w:rPr>
  </w:style>
  <w:style w:type="character" w:styleId="72">
    <w:name w:val="FollowedHyperlink"/>
    <w:qFormat/>
    <w:uiPriority w:val="0"/>
    <w:rPr>
      <w:rFonts w:ascii="Arial" w:hAnsi="Arial" w:eastAsia="黑体" w:cs="Arial"/>
      <w:snapToGrid w:val="0"/>
      <w:color w:val="000000"/>
      <w:kern w:val="0"/>
      <w:sz w:val="18"/>
      <w:szCs w:val="18"/>
      <w:u w:val="none"/>
    </w:rPr>
  </w:style>
  <w:style w:type="character" w:styleId="73">
    <w:name w:val="Emphasis"/>
    <w:qFormat/>
    <w:uiPriority w:val="0"/>
    <w:rPr>
      <w:color w:val="CC0033"/>
    </w:rPr>
  </w:style>
  <w:style w:type="character" w:styleId="74">
    <w:name w:val="line number"/>
    <w:basedOn w:val="69"/>
    <w:qFormat/>
    <w:uiPriority w:val="0"/>
    <w:rPr>
      <w:rFonts w:ascii="Arial" w:hAnsi="Arial" w:eastAsia="黑体" w:cs="Arial"/>
      <w:snapToGrid w:val="0"/>
      <w:kern w:val="0"/>
      <w:szCs w:val="21"/>
    </w:rPr>
  </w:style>
  <w:style w:type="character" w:styleId="75">
    <w:name w:val="Hyperlink"/>
    <w:qFormat/>
    <w:uiPriority w:val="0"/>
    <w:rPr>
      <w:rFonts w:ascii="Arial" w:hAnsi="Arial" w:eastAsia="黑体" w:cs="Arial"/>
      <w:snapToGrid w:val="0"/>
      <w:color w:val="000000"/>
      <w:kern w:val="0"/>
      <w:sz w:val="18"/>
      <w:szCs w:val="18"/>
      <w:u w:val="none"/>
    </w:rPr>
  </w:style>
  <w:style w:type="character" w:styleId="76">
    <w:name w:val="HTML Code"/>
    <w:qFormat/>
    <w:uiPriority w:val="0"/>
    <w:rPr>
      <w:rFonts w:ascii="黑体" w:hAnsi="Courier New" w:eastAsia="黑体" w:cs="楷体_GB2312"/>
      <w:sz w:val="20"/>
      <w:szCs w:val="20"/>
    </w:rPr>
  </w:style>
  <w:style w:type="character" w:styleId="77">
    <w:name w:val="annotation reference"/>
    <w:qFormat/>
    <w:uiPriority w:val="0"/>
    <w:rPr>
      <w:sz w:val="21"/>
      <w:szCs w:val="21"/>
    </w:rPr>
  </w:style>
  <w:style w:type="paragraph" w:customStyle="1" w:styleId="78">
    <w:name w:val="Default"/>
    <w:link w:val="833"/>
    <w:qFormat/>
    <w:uiPriority w:val="0"/>
    <w:pPr>
      <w:widowControl w:val="0"/>
      <w:autoSpaceDE w:val="0"/>
      <w:autoSpaceDN w:val="0"/>
      <w:adjustRightInd w:val="0"/>
    </w:pPr>
    <w:rPr>
      <w:rFonts w:ascii="仿宋_GB2312" w:hAnsi="Times New Roman" w:eastAsia="仿宋_GB2312" w:cs="Times New Roman"/>
      <w:color w:val="000000"/>
      <w:sz w:val="24"/>
      <w:szCs w:val="24"/>
      <w:lang w:val="en-US" w:eastAsia="zh-CN" w:bidi="ar-SA"/>
    </w:rPr>
  </w:style>
  <w:style w:type="character" w:customStyle="1" w:styleId="79">
    <w:name w:val="页眉 Char"/>
    <w:basedOn w:val="69"/>
    <w:link w:val="39"/>
    <w:qFormat/>
    <w:uiPriority w:val="0"/>
    <w:rPr>
      <w:sz w:val="18"/>
      <w:szCs w:val="18"/>
    </w:rPr>
  </w:style>
  <w:style w:type="character" w:customStyle="1" w:styleId="80">
    <w:name w:val="页脚 Char"/>
    <w:basedOn w:val="69"/>
    <w:link w:val="38"/>
    <w:qFormat/>
    <w:uiPriority w:val="0"/>
    <w:rPr>
      <w:sz w:val="18"/>
      <w:szCs w:val="18"/>
    </w:rPr>
  </w:style>
  <w:style w:type="character" w:customStyle="1" w:styleId="81">
    <w:name w:val="标题 1 Char"/>
    <w:basedOn w:val="69"/>
    <w:link w:val="3"/>
    <w:qFormat/>
    <w:uiPriority w:val="0"/>
    <w:rPr>
      <w:rFonts w:ascii="Times New Roman" w:hAnsi="Times New Roman" w:eastAsia="宋体" w:cs="Times New Roman"/>
      <w:b/>
      <w:bCs/>
      <w:kern w:val="44"/>
      <w:sz w:val="44"/>
      <w:szCs w:val="44"/>
      <w:lang w:val="zh-CN"/>
    </w:rPr>
  </w:style>
  <w:style w:type="character" w:customStyle="1" w:styleId="82">
    <w:name w:val="标题 2 Char"/>
    <w:basedOn w:val="69"/>
    <w:link w:val="4"/>
    <w:qFormat/>
    <w:uiPriority w:val="0"/>
    <w:rPr>
      <w:rFonts w:ascii="仿宋_GB2312" w:hAnsi="仿宋" w:eastAsia="仿宋_GB2312" w:cs="Times New Roman"/>
      <w:b/>
      <w:bCs/>
      <w:sz w:val="32"/>
      <w:szCs w:val="32"/>
      <w:lang w:val="zh-CN"/>
    </w:rPr>
  </w:style>
  <w:style w:type="character" w:customStyle="1" w:styleId="83">
    <w:name w:val="标题 3 Char"/>
    <w:basedOn w:val="69"/>
    <w:link w:val="5"/>
    <w:qFormat/>
    <w:uiPriority w:val="0"/>
    <w:rPr>
      <w:rFonts w:ascii="Times New Roman" w:hAnsi="Times New Roman" w:eastAsia="宋体" w:cs="Times New Roman"/>
      <w:b/>
      <w:bCs/>
      <w:sz w:val="32"/>
      <w:szCs w:val="32"/>
    </w:rPr>
  </w:style>
  <w:style w:type="character" w:customStyle="1" w:styleId="84">
    <w:name w:val="标题 4 Char"/>
    <w:basedOn w:val="69"/>
    <w:link w:val="6"/>
    <w:qFormat/>
    <w:uiPriority w:val="0"/>
    <w:rPr>
      <w:rFonts w:ascii="Arial" w:hAnsi="Arial" w:eastAsia="黑体" w:cs="Times New Roman"/>
      <w:b/>
      <w:bCs/>
      <w:sz w:val="28"/>
      <w:szCs w:val="28"/>
      <w:lang w:val="zh-CN"/>
    </w:rPr>
  </w:style>
  <w:style w:type="character" w:customStyle="1" w:styleId="85">
    <w:name w:val="标题 5 Char"/>
    <w:basedOn w:val="69"/>
    <w:link w:val="7"/>
    <w:qFormat/>
    <w:uiPriority w:val="0"/>
    <w:rPr>
      <w:rFonts w:ascii="Times New Roman" w:hAnsi="Times New Roman" w:eastAsia="宋体" w:cs="Times New Roman"/>
      <w:b/>
      <w:bCs/>
      <w:sz w:val="28"/>
      <w:szCs w:val="28"/>
      <w:lang w:val="zh-CN"/>
    </w:rPr>
  </w:style>
  <w:style w:type="character" w:customStyle="1" w:styleId="86">
    <w:name w:val="标题 6 Char"/>
    <w:basedOn w:val="69"/>
    <w:link w:val="8"/>
    <w:qFormat/>
    <w:uiPriority w:val="0"/>
    <w:rPr>
      <w:rFonts w:ascii="Arial" w:hAnsi="Arial" w:eastAsia="黑体" w:cs="Times New Roman"/>
      <w:b/>
      <w:bCs/>
      <w:sz w:val="24"/>
      <w:szCs w:val="24"/>
      <w:lang w:val="zh-CN"/>
    </w:rPr>
  </w:style>
  <w:style w:type="character" w:customStyle="1" w:styleId="87">
    <w:name w:val="标题 7 Char"/>
    <w:basedOn w:val="69"/>
    <w:link w:val="9"/>
    <w:qFormat/>
    <w:uiPriority w:val="0"/>
    <w:rPr>
      <w:rFonts w:ascii="Times New Roman" w:hAnsi="Times New Roman" w:eastAsia="宋体" w:cs="Times New Roman"/>
      <w:b/>
      <w:bCs/>
      <w:sz w:val="24"/>
      <w:szCs w:val="24"/>
      <w:lang w:val="zh-CN"/>
    </w:rPr>
  </w:style>
  <w:style w:type="character" w:customStyle="1" w:styleId="88">
    <w:name w:val="标题 8 Char"/>
    <w:basedOn w:val="69"/>
    <w:link w:val="10"/>
    <w:qFormat/>
    <w:uiPriority w:val="0"/>
    <w:rPr>
      <w:rFonts w:ascii="Arial" w:hAnsi="Arial" w:eastAsia="黑体" w:cs="Times New Roman"/>
      <w:sz w:val="24"/>
      <w:szCs w:val="24"/>
      <w:lang w:val="zh-CN"/>
    </w:rPr>
  </w:style>
  <w:style w:type="character" w:customStyle="1" w:styleId="89">
    <w:name w:val="标题 9 Char"/>
    <w:basedOn w:val="69"/>
    <w:link w:val="11"/>
    <w:qFormat/>
    <w:uiPriority w:val="0"/>
    <w:rPr>
      <w:rFonts w:ascii="Arial" w:hAnsi="Arial" w:eastAsia="黑体" w:cs="Times New Roman"/>
      <w:szCs w:val="21"/>
      <w:lang w:val="zh-CN"/>
    </w:rPr>
  </w:style>
  <w:style w:type="character" w:customStyle="1" w:styleId="90">
    <w:name w:val="文档结构图 Char"/>
    <w:basedOn w:val="69"/>
    <w:qFormat/>
    <w:uiPriority w:val="0"/>
    <w:rPr>
      <w:rFonts w:ascii="宋体" w:eastAsia="宋体"/>
      <w:sz w:val="18"/>
      <w:szCs w:val="18"/>
    </w:rPr>
  </w:style>
  <w:style w:type="character" w:customStyle="1" w:styleId="91">
    <w:name w:val="批注文字 Char"/>
    <w:basedOn w:val="69"/>
    <w:qFormat/>
    <w:uiPriority w:val="99"/>
  </w:style>
  <w:style w:type="character" w:customStyle="1" w:styleId="92">
    <w:name w:val="称呼 Char"/>
    <w:basedOn w:val="69"/>
    <w:link w:val="22"/>
    <w:qFormat/>
    <w:uiPriority w:val="0"/>
    <w:rPr>
      <w:rFonts w:ascii="仿宋_GB2312" w:eastAsia="仿宋_GB2312"/>
      <w:sz w:val="28"/>
    </w:rPr>
  </w:style>
  <w:style w:type="character" w:customStyle="1" w:styleId="93">
    <w:name w:val="正文文本 3 Char"/>
    <w:basedOn w:val="69"/>
    <w:link w:val="23"/>
    <w:qFormat/>
    <w:uiPriority w:val="0"/>
  </w:style>
  <w:style w:type="character" w:customStyle="1" w:styleId="94">
    <w:name w:val="正文文本 Char"/>
    <w:basedOn w:val="69"/>
    <w:qFormat/>
    <w:uiPriority w:val="0"/>
  </w:style>
  <w:style w:type="character" w:customStyle="1" w:styleId="95">
    <w:name w:val="正文文本缩进 Char"/>
    <w:basedOn w:val="69"/>
    <w:qFormat/>
    <w:uiPriority w:val="0"/>
  </w:style>
  <w:style w:type="character" w:customStyle="1" w:styleId="96">
    <w:name w:val="HTML 地址 Char"/>
    <w:basedOn w:val="69"/>
    <w:link w:val="29"/>
    <w:qFormat/>
    <w:uiPriority w:val="0"/>
    <w:rPr>
      <w:rFonts w:ascii="宋体" w:hAnsi="宋体"/>
      <w:i/>
      <w:iCs/>
      <w:sz w:val="24"/>
      <w:szCs w:val="24"/>
    </w:rPr>
  </w:style>
  <w:style w:type="character" w:customStyle="1" w:styleId="97">
    <w:name w:val="纯文本 Char"/>
    <w:basedOn w:val="69"/>
    <w:link w:val="32"/>
    <w:qFormat/>
    <w:uiPriority w:val="0"/>
    <w:rPr>
      <w:rFonts w:ascii="宋体" w:hAnsi="Courier New" w:eastAsia="宋体" w:cs="Arial"/>
      <w:snapToGrid w:val="0"/>
      <w:szCs w:val="21"/>
    </w:rPr>
  </w:style>
  <w:style w:type="character" w:customStyle="1" w:styleId="98">
    <w:name w:val="日期 Char"/>
    <w:basedOn w:val="69"/>
    <w:link w:val="35"/>
    <w:qFormat/>
    <w:uiPriority w:val="0"/>
    <w:rPr>
      <w:rFonts w:ascii="宋体"/>
      <w:sz w:val="24"/>
      <w:szCs w:val="21"/>
      <w:lang w:val="zh-CN"/>
    </w:rPr>
  </w:style>
  <w:style w:type="character" w:customStyle="1" w:styleId="99">
    <w:name w:val="正文文本缩进 2 Char"/>
    <w:basedOn w:val="69"/>
    <w:link w:val="36"/>
    <w:qFormat/>
    <w:uiPriority w:val="0"/>
    <w:rPr>
      <w:rFonts w:ascii="宋体"/>
      <w:sz w:val="28"/>
    </w:rPr>
  </w:style>
  <w:style w:type="character" w:customStyle="1" w:styleId="100">
    <w:name w:val="批注框文本 Char"/>
    <w:basedOn w:val="69"/>
    <w:link w:val="37"/>
    <w:qFormat/>
    <w:uiPriority w:val="0"/>
    <w:rPr>
      <w:sz w:val="18"/>
      <w:szCs w:val="18"/>
    </w:rPr>
  </w:style>
  <w:style w:type="character" w:customStyle="1" w:styleId="101">
    <w:name w:val="签名 Char"/>
    <w:basedOn w:val="69"/>
    <w:link w:val="40"/>
    <w:qFormat/>
    <w:uiPriority w:val="0"/>
    <w:rPr>
      <w:rFonts w:eastAsia="仿宋_GB2312"/>
      <w:sz w:val="24"/>
    </w:rPr>
  </w:style>
  <w:style w:type="character" w:customStyle="1" w:styleId="102">
    <w:name w:val="副标题 Char"/>
    <w:basedOn w:val="69"/>
    <w:link w:val="45"/>
    <w:qFormat/>
    <w:uiPriority w:val="0"/>
    <w:rPr>
      <w:rFonts w:ascii="Arial" w:hAnsi="Arial" w:eastAsia="隶书"/>
      <w:b/>
      <w:bCs/>
      <w:kern w:val="28"/>
      <w:sz w:val="44"/>
      <w:szCs w:val="32"/>
    </w:rPr>
  </w:style>
  <w:style w:type="character" w:customStyle="1" w:styleId="103">
    <w:name w:val="脚注文本 Char"/>
    <w:basedOn w:val="69"/>
    <w:link w:val="48"/>
    <w:qFormat/>
    <w:uiPriority w:val="0"/>
    <w:rPr>
      <w:color w:val="0000FF"/>
    </w:rPr>
  </w:style>
  <w:style w:type="character" w:customStyle="1" w:styleId="104">
    <w:name w:val="正文文本缩进 3 Char"/>
    <w:basedOn w:val="69"/>
    <w:link w:val="51"/>
    <w:qFormat/>
    <w:uiPriority w:val="0"/>
    <w:rPr>
      <w:sz w:val="24"/>
    </w:rPr>
  </w:style>
  <w:style w:type="character" w:customStyle="1" w:styleId="105">
    <w:name w:val="正文文本 2 Char"/>
    <w:basedOn w:val="69"/>
    <w:qFormat/>
    <w:uiPriority w:val="0"/>
  </w:style>
  <w:style w:type="character" w:customStyle="1" w:styleId="106">
    <w:name w:val="HTML 预设格式 Char"/>
    <w:basedOn w:val="69"/>
    <w:link w:val="56"/>
    <w:qFormat/>
    <w:uiPriority w:val="0"/>
    <w:rPr>
      <w:rFonts w:ascii="黑体" w:hAnsi="Courier New" w:eastAsia="黑体"/>
    </w:rPr>
  </w:style>
  <w:style w:type="character" w:customStyle="1" w:styleId="107">
    <w:name w:val="标题 Char"/>
    <w:basedOn w:val="69"/>
    <w:qFormat/>
    <w:uiPriority w:val="0"/>
    <w:rPr>
      <w:rFonts w:eastAsia="宋体" w:asciiTheme="majorHAnsi" w:hAnsiTheme="majorHAnsi" w:cstheme="majorBidi"/>
      <w:b/>
      <w:bCs/>
      <w:sz w:val="32"/>
      <w:szCs w:val="32"/>
    </w:rPr>
  </w:style>
  <w:style w:type="character" w:customStyle="1" w:styleId="108">
    <w:name w:val="批注主题 Char"/>
    <w:basedOn w:val="91"/>
    <w:qFormat/>
    <w:uiPriority w:val="0"/>
    <w:rPr>
      <w:b/>
      <w:bCs/>
    </w:rPr>
  </w:style>
  <w:style w:type="character" w:customStyle="1" w:styleId="109">
    <w:name w:val="正文首行缩进 Char"/>
    <w:basedOn w:val="94"/>
    <w:link w:val="60"/>
    <w:qFormat/>
    <w:uiPriority w:val="0"/>
    <w:rPr>
      <w:rFonts w:ascii="宋体"/>
      <w:sz w:val="24"/>
      <w:lang w:val="zh-CN"/>
    </w:rPr>
  </w:style>
  <w:style w:type="character" w:customStyle="1" w:styleId="110">
    <w:name w:val="正文首行缩进 2 Char"/>
    <w:basedOn w:val="95"/>
    <w:link w:val="61"/>
    <w:qFormat/>
    <w:uiPriority w:val="0"/>
    <w:rPr>
      <w:rFonts w:ascii="宋体" w:hAnsi="宋体"/>
      <w:szCs w:val="24"/>
    </w:rPr>
  </w:style>
  <w:style w:type="character" w:customStyle="1" w:styleId="111">
    <w:name w:val="solutionfonts"/>
    <w:qFormat/>
    <w:uiPriority w:val="0"/>
  </w:style>
  <w:style w:type="character" w:customStyle="1" w:styleId="112">
    <w:name w:val="Font Style82"/>
    <w:qFormat/>
    <w:uiPriority w:val="99"/>
    <w:rPr>
      <w:rFonts w:ascii="宋体" w:eastAsia="宋体" w:cs="宋体"/>
      <w:color w:val="000000"/>
      <w:sz w:val="14"/>
      <w:szCs w:val="14"/>
    </w:rPr>
  </w:style>
  <w:style w:type="character" w:customStyle="1" w:styleId="113">
    <w:name w:val="此正文 Char"/>
    <w:link w:val="114"/>
    <w:qFormat/>
    <w:uiPriority w:val="0"/>
    <w:rPr>
      <w:sz w:val="24"/>
      <w:szCs w:val="24"/>
    </w:rPr>
  </w:style>
  <w:style w:type="paragraph" w:customStyle="1" w:styleId="114">
    <w:name w:val="此正文"/>
    <w:basedOn w:val="1"/>
    <w:link w:val="113"/>
    <w:qFormat/>
    <w:uiPriority w:val="0"/>
    <w:pPr>
      <w:spacing w:line="360" w:lineRule="auto"/>
      <w:ind w:firstLine="200" w:firstLineChars="200"/>
    </w:pPr>
    <w:rPr>
      <w:sz w:val="24"/>
      <w:szCs w:val="24"/>
    </w:rPr>
  </w:style>
  <w:style w:type="character" w:customStyle="1" w:styleId="115">
    <w:name w:val="Char Char10"/>
    <w:semiHidden/>
    <w:qFormat/>
    <w:uiPriority w:val="0"/>
    <w:rPr>
      <w:rFonts w:ascii="宋体" w:hAnsi="宋体"/>
      <w:kern w:val="2"/>
      <w:sz w:val="21"/>
      <w:szCs w:val="24"/>
      <w:lang w:val="en-US" w:eastAsia="zh-CN"/>
    </w:rPr>
  </w:style>
  <w:style w:type="character" w:customStyle="1" w:styleId="116">
    <w:name w:val="h Char Char"/>
    <w:qFormat/>
    <w:uiPriority w:val="0"/>
    <w:rPr>
      <w:rFonts w:eastAsia="宋体"/>
      <w:kern w:val="2"/>
      <w:sz w:val="18"/>
      <w:lang w:val="en-US" w:eastAsia="zh-CN" w:bidi="ar-SA"/>
    </w:rPr>
  </w:style>
  <w:style w:type="character" w:customStyle="1" w:styleId="117">
    <w:name w:val="Bold"/>
    <w:qFormat/>
    <w:uiPriority w:val="0"/>
    <w:rPr>
      <w:rFonts w:ascii="Arial" w:hAnsi="Arial" w:eastAsia="黑体" w:cs="Times New Roman"/>
      <w:b/>
      <w:kern w:val="2"/>
      <w:sz w:val="32"/>
      <w:szCs w:val="32"/>
      <w:lang w:val="en-US" w:eastAsia="zh-CN" w:bidi="ar-SA"/>
    </w:rPr>
  </w:style>
  <w:style w:type="character" w:customStyle="1" w:styleId="118">
    <w:name w:val="Ò³Ã¼ Char Char"/>
    <w:qFormat/>
    <w:uiPriority w:val="0"/>
    <w:rPr>
      <w:rFonts w:eastAsia="宋体"/>
      <w:kern w:val="2"/>
      <w:sz w:val="18"/>
      <w:lang w:val="en-US" w:eastAsia="zh-CN" w:bidi="ar-SA"/>
    </w:rPr>
  </w:style>
  <w:style w:type="character" w:customStyle="1" w:styleId="119">
    <w:name w:val="标准正文格式 Char"/>
    <w:qFormat/>
    <w:uiPriority w:val="0"/>
    <w:rPr>
      <w:rFonts w:ascii="宋体" w:eastAsia="仿宋_GB2312" w:cs="宋体"/>
      <w:color w:val="000000"/>
      <w:sz w:val="24"/>
      <w:lang w:val="en-US" w:eastAsia="zh-CN" w:bidi="ar-SA"/>
    </w:rPr>
  </w:style>
  <w:style w:type="character" w:customStyle="1" w:styleId="120">
    <w:name w:val="Char Char8"/>
    <w:qFormat/>
    <w:uiPriority w:val="0"/>
    <w:rPr>
      <w:rFonts w:eastAsia="宋体"/>
      <w:b/>
      <w:sz w:val="24"/>
      <w:lang w:val="en-GB" w:eastAsia="zh-CN"/>
    </w:rPr>
  </w:style>
  <w:style w:type="character" w:customStyle="1" w:styleId="121">
    <w:name w:val="No Spacing Char"/>
    <w:link w:val="122"/>
    <w:qFormat/>
    <w:uiPriority w:val="1"/>
    <w:rPr>
      <w:rFonts w:ascii="Calibri" w:hAnsi="Calibri"/>
      <w:sz w:val="22"/>
    </w:rPr>
  </w:style>
  <w:style w:type="paragraph" w:customStyle="1" w:styleId="122">
    <w:name w:val="无间隔1"/>
    <w:link w:val="121"/>
    <w:qFormat/>
    <w:uiPriority w:val="1"/>
    <w:rPr>
      <w:rFonts w:ascii="Calibri" w:hAnsi="Calibri" w:eastAsiaTheme="minorEastAsia" w:cstheme="minorBidi"/>
      <w:kern w:val="2"/>
      <w:sz w:val="22"/>
      <w:szCs w:val="22"/>
      <w:lang w:val="en-US" w:eastAsia="zh-CN" w:bidi="ar-SA"/>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highlight1"/>
    <w:qFormat/>
    <w:uiPriority w:val="0"/>
    <w:rPr>
      <w:rFonts w:ascii="仿宋_GB2312" w:eastAsia="微软雅黑"/>
      <w:b/>
      <w:kern w:val="2"/>
      <w:sz w:val="23"/>
      <w:szCs w:val="23"/>
      <w:lang w:val="en-US" w:eastAsia="zh-CN" w:bidi="ar-SA"/>
    </w:rPr>
  </w:style>
  <w:style w:type="character" w:customStyle="1" w:styleId="125">
    <w:name w:val="ca-131"/>
    <w:qFormat/>
    <w:uiPriority w:val="0"/>
    <w:rPr>
      <w:rFonts w:hint="eastAsia" w:ascii="仿宋_GB2312" w:eastAsia="仿宋_GB2312"/>
      <w:b/>
      <w:bCs/>
      <w:color w:val="000000"/>
      <w:spacing w:val="-20"/>
      <w:sz w:val="24"/>
      <w:szCs w:val="24"/>
    </w:rPr>
  </w:style>
  <w:style w:type="character" w:customStyle="1" w:styleId="126">
    <w:name w:val="h3 Char"/>
    <w:qFormat/>
    <w:uiPriority w:val="0"/>
    <w:rPr>
      <w:rFonts w:eastAsia="宋体"/>
      <w:b/>
      <w:kern w:val="2"/>
      <w:sz w:val="32"/>
      <w:lang w:val="en-US" w:eastAsia="zh-CN" w:bidi="ar-SA"/>
    </w:rPr>
  </w:style>
  <w:style w:type="character" w:customStyle="1" w:styleId="127">
    <w:name w:val="Char Char12"/>
    <w:qFormat/>
    <w:uiPriority w:val="0"/>
    <w:rPr>
      <w:rFonts w:ascii="仿宋_GB2312" w:eastAsia="仿宋_GB2312"/>
      <w:b/>
      <w:bCs/>
      <w:kern w:val="2"/>
      <w:sz w:val="24"/>
      <w:szCs w:val="24"/>
      <w:lang w:val="zh-CN" w:eastAsia="zh-CN" w:bidi="ar-SA"/>
    </w:rPr>
  </w:style>
  <w:style w:type="character" w:customStyle="1" w:styleId="128">
    <w:name w:val="Comment Text Char"/>
    <w:qFormat/>
    <w:locked/>
    <w:uiPriority w:val="0"/>
    <w:rPr>
      <w:rFonts w:ascii="宋体" w:hAnsi="宋体" w:eastAsia="宋体"/>
      <w:kern w:val="2"/>
      <w:sz w:val="24"/>
      <w:lang w:val="en-US" w:eastAsia="zh-CN" w:bidi="ar-SA"/>
    </w:rPr>
  </w:style>
  <w:style w:type="character" w:customStyle="1" w:styleId="129">
    <w:name w:val="仿宋正文 Char"/>
    <w:link w:val="130"/>
    <w:qFormat/>
    <w:uiPriority w:val="0"/>
    <w:rPr>
      <w:rFonts w:ascii="仿宋_GB2312" w:eastAsia="仿宋_GB2312"/>
      <w:sz w:val="24"/>
    </w:rPr>
  </w:style>
  <w:style w:type="paragraph" w:customStyle="1" w:styleId="130">
    <w:name w:val="仿宋正文"/>
    <w:basedOn w:val="1"/>
    <w:link w:val="129"/>
    <w:qFormat/>
    <w:uiPriority w:val="0"/>
    <w:pPr>
      <w:spacing w:line="360" w:lineRule="auto"/>
      <w:ind w:firstLine="480" w:firstLineChars="200"/>
    </w:pPr>
    <w:rPr>
      <w:rFonts w:ascii="仿宋_GB2312" w:eastAsia="仿宋_GB2312"/>
      <w:sz w:val="24"/>
    </w:rPr>
  </w:style>
  <w:style w:type="character" w:customStyle="1" w:styleId="131">
    <w:name w:val="style91"/>
    <w:qFormat/>
    <w:uiPriority w:val="0"/>
    <w:rPr>
      <w:color w:val="333333"/>
    </w:rPr>
  </w:style>
  <w:style w:type="character" w:customStyle="1" w:styleId="132">
    <w:name w:val="Char Char4"/>
    <w:qFormat/>
    <w:uiPriority w:val="0"/>
    <w:rPr>
      <w:rFonts w:eastAsia="宋体"/>
      <w:b/>
      <w:sz w:val="24"/>
      <w:lang w:val="en-GB" w:eastAsia="zh-CN" w:bidi="ar-SA"/>
    </w:rPr>
  </w:style>
  <w:style w:type="character" w:customStyle="1" w:styleId="133">
    <w:name w:val="Char Char2"/>
    <w:qFormat/>
    <w:uiPriority w:val="0"/>
    <w:rPr>
      <w:rFonts w:eastAsia="宋体"/>
      <w:b/>
      <w:bCs/>
      <w:kern w:val="2"/>
      <w:sz w:val="21"/>
      <w:szCs w:val="24"/>
      <w:lang w:val="en-US" w:eastAsia="zh-CN" w:bidi="ar-SA"/>
    </w:rPr>
  </w:style>
  <w:style w:type="character" w:customStyle="1" w:styleId="134">
    <w:name w:val="正文 项目2 Char"/>
    <w:basedOn w:val="135"/>
    <w:qFormat/>
    <w:uiPriority w:val="0"/>
    <w:rPr>
      <w:rFonts w:ascii="仿宋_GB2312" w:hAnsi="仿宋_GB2312" w:eastAsia="仿宋_GB2312"/>
      <w:kern w:val="2"/>
      <w:sz w:val="24"/>
      <w:lang w:bidi="ar-SA"/>
    </w:rPr>
  </w:style>
  <w:style w:type="character" w:customStyle="1" w:styleId="135">
    <w:name w:val="正文 项目 Char"/>
    <w:qFormat/>
    <w:uiPriority w:val="0"/>
    <w:rPr>
      <w:rFonts w:ascii="仿宋_GB2312" w:hAnsi="仿宋_GB2312" w:eastAsia="仿宋_GB2312"/>
      <w:kern w:val="2"/>
      <w:sz w:val="24"/>
      <w:lang w:bidi="ar-SA"/>
    </w:rPr>
  </w:style>
  <w:style w:type="character" w:customStyle="1" w:styleId="136">
    <w:name w:val="页眉 Char1"/>
    <w:qFormat/>
    <w:uiPriority w:val="0"/>
    <w:rPr>
      <w:rFonts w:eastAsia="宋体"/>
      <w:kern w:val="2"/>
      <w:sz w:val="18"/>
      <w:szCs w:val="18"/>
      <w:lang w:val="en-US" w:eastAsia="zh-CN" w:bidi="ar-SA"/>
    </w:rPr>
  </w:style>
  <w:style w:type="character" w:customStyle="1" w:styleId="137">
    <w:name w:val="正文文本缩进 Char1"/>
    <w:qFormat/>
    <w:uiPriority w:val="0"/>
    <w:rPr>
      <w:rFonts w:ascii="宋体" w:hAnsi="宋体"/>
      <w:kern w:val="2"/>
      <w:sz w:val="24"/>
      <w:szCs w:val="24"/>
    </w:rPr>
  </w:style>
  <w:style w:type="character" w:customStyle="1" w:styleId="138">
    <w:name w:val="big1"/>
    <w:qFormat/>
    <w:uiPriority w:val="0"/>
    <w:rPr>
      <w:rFonts w:hint="eastAsia" w:ascii="宋体" w:hAnsi="宋体" w:eastAsia="宋体"/>
      <w:color w:val="333333"/>
      <w:sz w:val="22"/>
      <w:szCs w:val="22"/>
    </w:rPr>
  </w:style>
  <w:style w:type="character" w:customStyle="1" w:styleId="139">
    <w:name w:val="h Char Char1"/>
    <w:qFormat/>
    <w:uiPriority w:val="0"/>
    <w:rPr>
      <w:rFonts w:eastAsia="宋体"/>
      <w:kern w:val="2"/>
      <w:sz w:val="18"/>
      <w:szCs w:val="18"/>
      <w:lang w:val="en-US" w:eastAsia="zh-CN" w:bidi="ar-SA"/>
    </w:rPr>
  </w:style>
  <w:style w:type="character" w:customStyle="1" w:styleId="140">
    <w:name w:val="样式8 Char"/>
    <w:qFormat/>
    <w:uiPriority w:val="0"/>
    <w:rPr>
      <w:rFonts w:ascii="仿宋_GB2312" w:hAnsi="宋体" w:eastAsia="仿宋_GB2312"/>
      <w:b/>
      <w:bCs/>
      <w:kern w:val="2"/>
      <w:sz w:val="24"/>
      <w:szCs w:val="24"/>
    </w:rPr>
  </w:style>
  <w:style w:type="character" w:customStyle="1" w:styleId="141">
    <w:name w:val="页脚 Char1"/>
    <w:qFormat/>
    <w:uiPriority w:val="0"/>
    <w:rPr>
      <w:rFonts w:eastAsia="宋体"/>
      <w:kern w:val="2"/>
      <w:sz w:val="18"/>
      <w:szCs w:val="18"/>
      <w:lang w:val="en-US" w:eastAsia="zh-CN" w:bidi="ar-SA"/>
    </w:rPr>
  </w:style>
  <w:style w:type="character" w:customStyle="1" w:styleId="142">
    <w:name w:val="myp11"/>
    <w:qFormat/>
    <w:uiPriority w:val="0"/>
    <w:rPr>
      <w:rFonts w:ascii="仿宋_GB2312" w:eastAsia="微软雅黑"/>
      <w:b/>
      <w:kern w:val="2"/>
      <w:sz w:val="32"/>
      <w:szCs w:val="32"/>
      <w:lang w:val="en-US" w:eastAsia="zh-CN" w:bidi="ar-SA"/>
    </w:rPr>
  </w:style>
  <w:style w:type="character" w:customStyle="1" w:styleId="143">
    <w:name w:val="tw4winTerm"/>
    <w:qFormat/>
    <w:uiPriority w:val="0"/>
    <w:rPr>
      <w:color w:val="0000FF"/>
    </w:rPr>
  </w:style>
  <w:style w:type="character" w:customStyle="1" w:styleId="144">
    <w:name w:val="标题 2 Char Char"/>
    <w:qFormat/>
    <w:uiPriority w:val="0"/>
    <w:rPr>
      <w:rFonts w:ascii="楷体_GB2312" w:hAnsi="Arial" w:eastAsia="楷体_GB2312"/>
      <w:b/>
      <w:bCs/>
      <w:kern w:val="2"/>
      <w:sz w:val="24"/>
      <w:szCs w:val="32"/>
      <w:lang w:val="en-US" w:eastAsia="zh-CN" w:bidi="ar-SA"/>
    </w:rPr>
  </w:style>
  <w:style w:type="character" w:customStyle="1" w:styleId="145">
    <w:name w:val="hei16b1"/>
    <w:qFormat/>
    <w:uiPriority w:val="0"/>
    <w:rPr>
      <w:rFonts w:hint="default" w:ascii="Arial" w:hAnsi="Arial" w:cs="Arial"/>
      <w:b/>
      <w:bCs/>
      <w:color w:val="000000"/>
      <w:sz w:val="24"/>
      <w:szCs w:val="24"/>
    </w:rPr>
  </w:style>
  <w:style w:type="character" w:customStyle="1" w:styleId="146">
    <w:name w:val="Heading 7 Char"/>
    <w:qFormat/>
    <w:locked/>
    <w:uiPriority w:val="0"/>
    <w:rPr>
      <w:rFonts w:ascii="宋体" w:hAnsi="宋体" w:eastAsia="宋体"/>
      <w:b/>
      <w:bCs/>
      <w:kern w:val="2"/>
      <w:sz w:val="24"/>
      <w:szCs w:val="24"/>
      <w:lang w:val="en-US" w:eastAsia="zh-CN" w:bidi="ar-SA"/>
    </w:rPr>
  </w:style>
  <w:style w:type="character" w:customStyle="1" w:styleId="147">
    <w:name w:val="Char Char6"/>
    <w:qFormat/>
    <w:uiPriority w:val="0"/>
    <w:rPr>
      <w:rFonts w:eastAsia="宋体"/>
      <w:kern w:val="2"/>
      <w:sz w:val="21"/>
      <w:szCs w:val="24"/>
      <w:lang w:val="en-US" w:eastAsia="zh-CN" w:bidi="ar-SA"/>
    </w:rPr>
  </w:style>
  <w:style w:type="character" w:customStyle="1" w:styleId="148">
    <w:name w:val="哈哈正文 Char"/>
    <w:link w:val="149"/>
    <w:qFormat/>
    <w:uiPriority w:val="0"/>
    <w:rPr>
      <w:rFonts w:ascii="宋体" w:hAnsi="宋体" w:eastAsia="宋体"/>
      <w:sz w:val="24"/>
    </w:rPr>
  </w:style>
  <w:style w:type="paragraph" w:customStyle="1" w:styleId="149">
    <w:name w:val="哈哈正文"/>
    <w:basedOn w:val="1"/>
    <w:link w:val="148"/>
    <w:qFormat/>
    <w:uiPriority w:val="0"/>
    <w:pPr>
      <w:spacing w:line="360" w:lineRule="auto"/>
      <w:ind w:firstLine="200" w:firstLineChars="200"/>
    </w:pPr>
    <w:rPr>
      <w:rFonts w:ascii="宋体" w:hAnsi="宋体" w:eastAsia="宋体"/>
      <w:sz w:val="24"/>
    </w:rPr>
  </w:style>
  <w:style w:type="character" w:customStyle="1" w:styleId="150">
    <w:name w:val="pt141"/>
    <w:qFormat/>
    <w:uiPriority w:val="0"/>
    <w:rPr>
      <w:color w:val="330066"/>
      <w:sz w:val="22"/>
      <w:szCs w:val="22"/>
    </w:rPr>
  </w:style>
  <w:style w:type="character" w:customStyle="1" w:styleId="151">
    <w:name w:val="普通文字 Char3"/>
    <w:qFormat/>
    <w:uiPriority w:val="0"/>
    <w:rPr>
      <w:rFonts w:ascii="宋体" w:hAnsi="Courier New" w:eastAsia="宋体"/>
      <w:kern w:val="2"/>
      <w:sz w:val="21"/>
      <w:lang w:val="en-US" w:eastAsia="zh-CN" w:bidi="ar-SA"/>
    </w:rPr>
  </w:style>
  <w:style w:type="character" w:customStyle="1" w:styleId="152">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53">
    <w:name w:val="正文文本 Char1"/>
    <w:link w:val="2"/>
    <w:qFormat/>
    <w:uiPriority w:val="0"/>
    <w:rPr>
      <w:rFonts w:ascii="宋体" w:hAnsi="Arial" w:eastAsia="宋体" w:cs="Arial"/>
      <w:snapToGrid w:val="0"/>
      <w:sz w:val="24"/>
      <w:szCs w:val="21"/>
      <w:lang w:val="zh-CN"/>
    </w:rPr>
  </w:style>
  <w:style w:type="character" w:customStyle="1" w:styleId="154">
    <w:name w:val="正文2 Char"/>
    <w:qFormat/>
    <w:uiPriority w:val="0"/>
    <w:rPr>
      <w:rFonts w:eastAsia="宋体"/>
      <w:kern w:val="2"/>
      <w:sz w:val="24"/>
      <w:lang w:val="en-US" w:eastAsia="zh-CN" w:bidi="ar-SA"/>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ader Char"/>
    <w:qFormat/>
    <w:locked/>
    <w:uiPriority w:val="0"/>
    <w:rPr>
      <w:rFonts w:eastAsia="宋体"/>
      <w:kern w:val="2"/>
      <w:sz w:val="18"/>
      <w:szCs w:val="18"/>
      <w:lang w:val="en-US" w:eastAsia="zh-CN" w:bidi="ar-SA"/>
    </w:rPr>
  </w:style>
  <w:style w:type="character" w:customStyle="1" w:styleId="157">
    <w:name w:val="Footer-Even Char1"/>
    <w:qFormat/>
    <w:uiPriority w:val="0"/>
    <w:rPr>
      <w:rFonts w:eastAsia="宋体"/>
      <w:kern w:val="2"/>
      <w:sz w:val="18"/>
      <w:szCs w:val="18"/>
      <w:lang w:val="en-US" w:eastAsia="zh-CN" w:bidi="ar-SA"/>
    </w:rPr>
  </w:style>
  <w:style w:type="character" w:customStyle="1" w:styleId="158">
    <w:name w:val="unnamed31"/>
    <w:qFormat/>
    <w:uiPriority w:val="0"/>
    <w:rPr>
      <w:rFonts w:ascii="Tahoma" w:hAnsi="Tahoma" w:eastAsia="宋体"/>
      <w:b/>
      <w:kern w:val="2"/>
      <w:sz w:val="24"/>
      <w:szCs w:val="32"/>
      <w:u w:val="none"/>
      <w:lang w:val="en-US" w:eastAsia="zh-CN" w:bidi="ar-SA"/>
    </w:rPr>
  </w:style>
  <w:style w:type="character" w:customStyle="1" w:styleId="159">
    <w:name w:val="纯文本 Char Char Char"/>
    <w:qFormat/>
    <w:uiPriority w:val="0"/>
    <w:rPr>
      <w:rFonts w:ascii="宋体" w:hAnsi="Courier New" w:eastAsia="宋体"/>
      <w:kern w:val="2"/>
      <w:sz w:val="21"/>
      <w:lang w:val="en-US" w:eastAsia="zh-CN" w:bidi="ar-SA"/>
    </w:rPr>
  </w:style>
  <w:style w:type="character" w:customStyle="1" w:styleId="160">
    <w:name w:val="Body Text(ch) Char Char"/>
    <w:qFormat/>
    <w:uiPriority w:val="0"/>
    <w:rPr>
      <w:rFonts w:ascii="宋体"/>
      <w:kern w:val="2"/>
      <w:sz w:val="24"/>
      <w:szCs w:val="21"/>
      <w:lang w:val="zh-CN"/>
    </w:rPr>
  </w:style>
  <w:style w:type="character" w:customStyle="1" w:styleId="161">
    <w:name w:val="插图说明 Char"/>
    <w:qFormat/>
    <w:uiPriority w:val="0"/>
    <w:rPr>
      <w:rFonts w:eastAsia="黑体"/>
      <w:sz w:val="24"/>
      <w:lang w:val="en-US" w:eastAsia="zh-CN"/>
    </w:rPr>
  </w:style>
  <w:style w:type="character" w:customStyle="1" w:styleId="162">
    <w:name w:val="tw4winExternal"/>
    <w:qFormat/>
    <w:uiPriority w:val="0"/>
    <w:rPr>
      <w:rFonts w:ascii="Courier New" w:hAnsi="Courier New" w:cs="Courier New"/>
      <w:color w:val="808080"/>
      <w:lang w:val="en-US" w:eastAsia="zh-CN"/>
    </w:rPr>
  </w:style>
  <w:style w:type="character" w:customStyle="1" w:styleId="163">
    <w:name w:val="font21"/>
    <w:basedOn w:val="69"/>
    <w:qFormat/>
    <w:uiPriority w:val="0"/>
    <w:rPr>
      <w:rFonts w:hint="eastAsia" w:ascii="宋体" w:hAnsi="宋体" w:eastAsia="宋体"/>
      <w:kern w:val="2"/>
      <w:sz w:val="28"/>
      <w:szCs w:val="28"/>
      <w:lang w:val="en-US" w:eastAsia="zh-CN" w:bidi="ar-SA"/>
    </w:rPr>
  </w:style>
  <w:style w:type="character" w:customStyle="1" w:styleId="164">
    <w:name w:val="标书正文格式 Char"/>
    <w:qFormat/>
    <w:uiPriority w:val="0"/>
    <w:rPr>
      <w:rFonts w:eastAsia="楷体_GB2312"/>
      <w:kern w:val="2"/>
      <w:sz w:val="24"/>
      <w:szCs w:val="24"/>
      <w:lang w:bidi="ar-SA"/>
    </w:rPr>
  </w:style>
  <w:style w:type="character" w:customStyle="1" w:styleId="165">
    <w:name w:val="javascript"/>
    <w:qFormat/>
    <w:uiPriority w:val="0"/>
  </w:style>
  <w:style w:type="character" w:customStyle="1" w:styleId="166">
    <w:name w:val="Balloon Text Char"/>
    <w:qFormat/>
    <w:locked/>
    <w:uiPriority w:val="0"/>
    <w:rPr>
      <w:rFonts w:eastAsia="宋体"/>
      <w:kern w:val="2"/>
      <w:sz w:val="18"/>
      <w:szCs w:val="18"/>
      <w:lang w:val="en-US" w:eastAsia="zh-CN" w:bidi="ar-SA"/>
    </w:rPr>
  </w:style>
  <w:style w:type="character" w:customStyle="1" w:styleId="167">
    <w:name w:val="Char Char5"/>
    <w:qFormat/>
    <w:uiPriority w:val="0"/>
    <w:rPr>
      <w:rFonts w:ascii="宋体" w:hAnsi="Courier New" w:eastAsia="宋体"/>
      <w:kern w:val="2"/>
      <w:sz w:val="21"/>
      <w:lang w:val="en-US" w:eastAsia="zh-CN"/>
    </w:rPr>
  </w:style>
  <w:style w:type="character" w:customStyle="1" w:styleId="168">
    <w:name w:val="Char Char"/>
    <w:qFormat/>
    <w:uiPriority w:val="0"/>
    <w:rPr>
      <w:rFonts w:ascii="宋体" w:hAnsi="Courier New" w:eastAsia="宋体"/>
      <w:kern w:val="2"/>
      <w:sz w:val="21"/>
      <w:lang w:val="en-US" w:eastAsia="zh-CN" w:bidi="ar-SA"/>
    </w:rPr>
  </w:style>
  <w:style w:type="character" w:customStyle="1" w:styleId="169">
    <w:name w:val="mdeck"/>
    <w:qFormat/>
    <w:uiPriority w:val="0"/>
    <w:rPr>
      <w:rFonts w:ascii="仿宋_GB2312" w:eastAsia="微软雅黑"/>
      <w:b/>
      <w:kern w:val="2"/>
      <w:sz w:val="32"/>
      <w:szCs w:val="32"/>
      <w:lang w:val="en-US" w:eastAsia="zh-CN" w:bidi="ar-SA"/>
    </w:rPr>
  </w:style>
  <w:style w:type="character" w:customStyle="1" w:styleId="170">
    <w:name w:val="content"/>
    <w:qFormat/>
    <w:uiPriority w:val="0"/>
  </w:style>
  <w:style w:type="character" w:customStyle="1" w:styleId="171">
    <w:name w:val="Char Char3"/>
    <w:qFormat/>
    <w:uiPriority w:val="0"/>
    <w:rPr>
      <w:rFonts w:eastAsia="宋体"/>
      <w:kern w:val="2"/>
      <w:sz w:val="21"/>
      <w:szCs w:val="24"/>
      <w:lang w:val="en-US" w:eastAsia="zh-CN" w:bidi="ar-SA"/>
    </w:rPr>
  </w:style>
  <w:style w:type="character" w:customStyle="1" w:styleId="172">
    <w:name w:val="Char Char811"/>
    <w:qFormat/>
    <w:uiPriority w:val="0"/>
    <w:rPr>
      <w:rFonts w:eastAsia="宋体"/>
      <w:b/>
      <w:sz w:val="24"/>
      <w:lang w:val="en-GB" w:eastAsia="zh-CN"/>
    </w:rPr>
  </w:style>
  <w:style w:type="character" w:customStyle="1" w:styleId="173">
    <w:name w:val="b11_01b Char"/>
    <w:link w:val="174"/>
    <w:qFormat/>
    <w:uiPriority w:val="0"/>
    <w:rPr>
      <w:rFonts w:ascii="Verdana" w:hAnsi="Verdana"/>
      <w:b/>
      <w:bCs/>
      <w:color w:val="4A82CA"/>
      <w:sz w:val="17"/>
      <w:szCs w:val="17"/>
    </w:rPr>
  </w:style>
  <w:style w:type="paragraph" w:customStyle="1" w:styleId="174">
    <w:name w:val="b11_01b"/>
    <w:basedOn w:val="1"/>
    <w:next w:val="1"/>
    <w:link w:val="173"/>
    <w:qFormat/>
    <w:uiPriority w:val="0"/>
    <w:pPr>
      <w:widowControl/>
      <w:spacing w:before="100" w:beforeAutospacing="1" w:after="100" w:afterAutospacing="1" w:line="384" w:lineRule="auto"/>
      <w:jc w:val="left"/>
    </w:pPr>
    <w:rPr>
      <w:rFonts w:ascii="Verdana" w:hAnsi="Verdana"/>
      <w:b/>
      <w:bCs/>
      <w:color w:val="4A82CA"/>
      <w:sz w:val="17"/>
      <w:szCs w:val="17"/>
    </w:rPr>
  </w:style>
  <w:style w:type="character" w:customStyle="1" w:styleId="175">
    <w:name w:val="标题4-dyf Char"/>
    <w:link w:val="176"/>
    <w:qFormat/>
    <w:uiPriority w:val="0"/>
    <w:rPr>
      <w:rFonts w:ascii="Cambria" w:hAnsi="Cambria"/>
      <w:b/>
      <w:bCs/>
      <w:color w:val="000000"/>
      <w:szCs w:val="21"/>
    </w:rPr>
  </w:style>
  <w:style w:type="paragraph" w:customStyle="1" w:styleId="176">
    <w:name w:val="标题4-dyf"/>
    <w:basedOn w:val="6"/>
    <w:link w:val="175"/>
    <w:qFormat/>
    <w:uiPriority w:val="0"/>
    <w:pPr>
      <w:numPr>
        <w:numId w:val="0"/>
      </w:numPr>
      <w:tabs>
        <w:tab w:val="left" w:pos="851"/>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177">
    <w:name w:val="标题 3 Char2"/>
    <w:qFormat/>
    <w:uiPriority w:val="0"/>
    <w:rPr>
      <w:rFonts w:eastAsia="宋体"/>
      <w:b/>
      <w:bCs/>
      <w:kern w:val="2"/>
      <w:sz w:val="32"/>
      <w:szCs w:val="32"/>
      <w:lang w:val="en-US" w:eastAsia="zh-CN" w:bidi="ar-SA"/>
    </w:rPr>
  </w:style>
  <w:style w:type="character" w:customStyle="1" w:styleId="178">
    <w:name w:val="gray6"/>
    <w:basedOn w:val="69"/>
    <w:qFormat/>
    <w:uiPriority w:val="0"/>
    <w:rPr>
      <w:rFonts w:ascii="Arial" w:hAnsi="Arial" w:eastAsia="黑体" w:cs="Arial"/>
      <w:snapToGrid w:val="0"/>
      <w:kern w:val="0"/>
      <w:szCs w:val="21"/>
    </w:rPr>
  </w:style>
  <w:style w:type="character" w:customStyle="1" w:styleId="179">
    <w:name w:val="正文首行缩进两字 Char"/>
    <w:qFormat/>
    <w:uiPriority w:val="0"/>
    <w:rPr>
      <w:sz w:val="24"/>
      <w:szCs w:val="24"/>
      <w:lang w:val="en-US" w:eastAsia="zh-CN" w:bidi="ar-SA"/>
    </w:rPr>
  </w:style>
  <w:style w:type="character" w:customStyle="1" w:styleId="180">
    <w:name w:val="Char Char511"/>
    <w:qFormat/>
    <w:uiPriority w:val="0"/>
    <w:rPr>
      <w:rFonts w:ascii="宋体" w:hAnsi="Courier New" w:eastAsia="宋体"/>
      <w:kern w:val="2"/>
      <w:sz w:val="21"/>
      <w:lang w:val="en-US" w:eastAsia="zh-CN"/>
    </w:rPr>
  </w:style>
  <w:style w:type="character" w:customStyle="1" w:styleId="181">
    <w:name w:val="带编号样式 Char"/>
    <w:qFormat/>
    <w:uiPriority w:val="0"/>
    <w:rPr>
      <w:rFonts w:ascii="仿宋_GB2312" w:eastAsia="仿宋_GB2312"/>
      <w:color w:val="000000"/>
      <w:sz w:val="24"/>
      <w:lang w:bidi="ar-SA"/>
    </w:rPr>
  </w:style>
  <w:style w:type="character" w:customStyle="1" w:styleId="182">
    <w:name w:val="Footer-Even Char"/>
    <w:qFormat/>
    <w:uiPriority w:val="0"/>
    <w:rPr>
      <w:rFonts w:eastAsia="宋体"/>
      <w:kern w:val="2"/>
      <w:sz w:val="18"/>
      <w:lang w:val="en-US" w:eastAsia="zh-CN" w:bidi="ar-SA"/>
    </w:rPr>
  </w:style>
  <w:style w:type="character" w:customStyle="1" w:styleId="183">
    <w:name w:val="样式4 Char"/>
    <w:qFormat/>
    <w:uiPriority w:val="0"/>
    <w:rPr>
      <w:rFonts w:ascii="仿宋_GB2312" w:hAnsi="仿宋" w:eastAsia="仿宋_GB2312"/>
      <w:b/>
      <w:kern w:val="2"/>
      <w:sz w:val="32"/>
      <w:szCs w:val="32"/>
      <w:lang w:bidi="ar-SA"/>
    </w:rPr>
  </w:style>
  <w:style w:type="character" w:customStyle="1" w:styleId="184">
    <w:name w:val="样式 标题 4h4H4Fab-4T5Ref Heading 1rh1Heading sqlsect 1.2.3.... Char"/>
    <w:link w:val="185"/>
    <w:qFormat/>
    <w:uiPriority w:val="0"/>
    <w:rPr>
      <w:rFonts w:ascii="微软雅黑" w:hAnsi="微软雅黑" w:eastAsia="微软雅黑"/>
      <w:b/>
      <w:bCs/>
      <w:sz w:val="24"/>
      <w:szCs w:val="28"/>
    </w:rPr>
  </w:style>
  <w:style w:type="paragraph" w:customStyle="1" w:styleId="185">
    <w:name w:val="样式 标题 4h4H4Fab-4T5Ref Heading 1rh1Heading sqlsect 1.2.3...."/>
    <w:basedOn w:val="6"/>
    <w:link w:val="184"/>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cstheme="minorBidi"/>
      <w:sz w:val="24"/>
      <w:lang w:val="en-US"/>
    </w:rPr>
  </w:style>
  <w:style w:type="character" w:customStyle="1" w:styleId="186">
    <w:name w:val="dandyren_title1"/>
    <w:qFormat/>
    <w:uiPriority w:val="0"/>
    <w:rPr>
      <w:b/>
      <w:bCs/>
      <w:color w:val="FF6633"/>
      <w:sz w:val="18"/>
      <w:szCs w:val="18"/>
    </w:rPr>
  </w:style>
  <w:style w:type="character" w:customStyle="1" w:styleId="187">
    <w:name w:val="普通文字 Char Char1"/>
    <w:qFormat/>
    <w:uiPriority w:val="0"/>
    <w:rPr>
      <w:rFonts w:ascii="宋体" w:hAnsi="Courier New"/>
      <w:kern w:val="2"/>
      <w:sz w:val="21"/>
    </w:rPr>
  </w:style>
  <w:style w:type="character" w:customStyle="1" w:styleId="188">
    <w:name w:val="PI Char"/>
    <w:qFormat/>
    <w:uiPriority w:val="0"/>
    <w:rPr>
      <w:rFonts w:ascii="宋体" w:hAnsi="宋体" w:eastAsia="宋体"/>
      <w:kern w:val="2"/>
      <w:sz w:val="24"/>
      <w:szCs w:val="24"/>
      <w:lang w:val="en-US" w:eastAsia="zh-CN" w:bidi="ar-SA"/>
    </w:rPr>
  </w:style>
  <w:style w:type="character" w:customStyle="1" w:styleId="189">
    <w:name w:val="Char Char11"/>
    <w:qFormat/>
    <w:locked/>
    <w:uiPriority w:val="0"/>
    <w:rPr>
      <w:rFonts w:ascii="宋体" w:hAnsi="宋体" w:eastAsia="宋体"/>
      <w:b/>
      <w:kern w:val="2"/>
      <w:sz w:val="24"/>
      <w:szCs w:val="24"/>
      <w:lang w:val="en-US" w:eastAsia="zh-CN" w:bidi="ar-SA"/>
    </w:rPr>
  </w:style>
  <w:style w:type="character" w:customStyle="1" w:styleId="19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91">
    <w:name w:val="Document Map Char"/>
    <w:qFormat/>
    <w:locked/>
    <w:uiPriority w:val="0"/>
    <w:rPr>
      <w:rFonts w:eastAsia="宋体"/>
      <w:kern w:val="2"/>
      <w:sz w:val="21"/>
      <w:szCs w:val="24"/>
      <w:lang w:val="en-US" w:eastAsia="zh-CN" w:bidi="ar-SA"/>
    </w:rPr>
  </w:style>
  <w:style w:type="character" w:customStyle="1" w:styleId="192">
    <w:name w:val="文本正文 Char Char"/>
    <w:qFormat/>
    <w:locked/>
    <w:uiPriority w:val="0"/>
    <w:rPr>
      <w:sz w:val="24"/>
      <w:lang w:bidi="ar-SA"/>
    </w:rPr>
  </w:style>
  <w:style w:type="character" w:customStyle="1" w:styleId="193">
    <w:name w:val="样式7 Char"/>
    <w:qFormat/>
    <w:uiPriority w:val="0"/>
    <w:rPr>
      <w:rFonts w:ascii="仿宋_GB2312" w:hAnsi="仿宋" w:eastAsia="仿宋_GB2312"/>
      <w:b/>
      <w:kern w:val="2"/>
      <w:sz w:val="24"/>
      <w:szCs w:val="24"/>
    </w:rPr>
  </w:style>
  <w:style w:type="character" w:customStyle="1" w:styleId="194">
    <w:name w:val="样式3 Char"/>
    <w:basedOn w:val="195"/>
    <w:qFormat/>
    <w:uiPriority w:val="0"/>
    <w:rPr>
      <w:rFonts w:ascii="仿宋_GB2312" w:hAnsi="仿宋" w:eastAsia="仿宋_GB2312" w:cs="仿宋_GB2312"/>
      <w:sz w:val="32"/>
      <w:szCs w:val="30"/>
      <w:lang w:val="zh-CN"/>
    </w:rPr>
  </w:style>
  <w:style w:type="character" w:customStyle="1" w:styleId="195">
    <w:name w:val="样式2 Char"/>
    <w:qFormat/>
    <w:uiPriority w:val="0"/>
    <w:rPr>
      <w:rFonts w:ascii="仿宋_GB2312" w:hAnsi="仿宋" w:eastAsia="仿宋_GB2312" w:cs="仿宋_GB2312"/>
      <w:b/>
      <w:bCs/>
      <w:sz w:val="32"/>
      <w:szCs w:val="30"/>
      <w:lang w:val="zh-CN"/>
    </w:rPr>
  </w:style>
  <w:style w:type="character" w:customStyle="1" w:styleId="196">
    <w:name w:val="二级标题 Char Char"/>
    <w:qFormat/>
    <w:uiPriority w:val="0"/>
    <w:rPr>
      <w:rFonts w:ascii="宋体" w:hAnsi="宋体" w:eastAsia="宋体"/>
      <w:b/>
      <w:snapToGrid w:val="0"/>
      <w:kern w:val="2"/>
      <w:sz w:val="24"/>
      <w:szCs w:val="24"/>
      <w:lang w:val="en-US" w:eastAsia="zh-CN" w:bidi="ar-SA"/>
    </w:rPr>
  </w:style>
  <w:style w:type="character" w:customStyle="1" w:styleId="197">
    <w:name w:val="Table Text Char1"/>
    <w:qFormat/>
    <w:uiPriority w:val="0"/>
    <w:rPr>
      <w:rFonts w:eastAsia="宋体"/>
      <w:sz w:val="24"/>
      <w:szCs w:val="24"/>
      <w:lang w:val="en-US" w:eastAsia="zh-CN" w:bidi="ar-SA"/>
    </w:rPr>
  </w:style>
  <w:style w:type="character" w:customStyle="1" w:styleId="198">
    <w:name w:val="shadow11"/>
    <w:qFormat/>
    <w:uiPriority w:val="0"/>
    <w:rPr>
      <w:color w:val="000000"/>
      <w:sz w:val="21"/>
    </w:rPr>
  </w:style>
  <w:style w:type="character" w:customStyle="1" w:styleId="199">
    <w:name w:val="Char Char212"/>
    <w:qFormat/>
    <w:uiPriority w:val="0"/>
    <w:rPr>
      <w:rFonts w:eastAsia="宋体"/>
      <w:b/>
      <w:bCs/>
      <w:kern w:val="2"/>
      <w:sz w:val="21"/>
      <w:szCs w:val="24"/>
      <w:lang w:val="en-US" w:eastAsia="zh-CN" w:bidi="ar-SA"/>
    </w:rPr>
  </w:style>
  <w:style w:type="character" w:customStyle="1" w:styleId="200">
    <w:name w:val="h3 Char1"/>
    <w:qFormat/>
    <w:uiPriority w:val="0"/>
    <w:rPr>
      <w:rFonts w:eastAsia="宋体"/>
      <w:b/>
      <w:bCs/>
      <w:kern w:val="2"/>
      <w:sz w:val="32"/>
      <w:szCs w:val="32"/>
      <w:lang w:bidi="ar-SA"/>
    </w:rPr>
  </w:style>
  <w:style w:type="character" w:customStyle="1" w:styleId="201">
    <w:name w:val="FA正文 Char Char"/>
    <w:qFormat/>
    <w:uiPriority w:val="0"/>
    <w:rPr>
      <w:rFonts w:hAnsi="宋体"/>
      <w:kern w:val="2"/>
      <w:sz w:val="24"/>
      <w:lang w:bidi="ar-SA"/>
    </w:rPr>
  </w:style>
  <w:style w:type="character" w:customStyle="1" w:styleId="202">
    <w:name w:val="首行缩进 Char"/>
    <w:qFormat/>
    <w:uiPriority w:val="0"/>
    <w:rPr>
      <w:rFonts w:ascii="宋体" w:eastAsia="宋体"/>
      <w:kern w:val="2"/>
      <w:sz w:val="24"/>
      <w:lang w:val="en-US" w:eastAsia="zh-CN" w:bidi="ar-SA"/>
    </w:rPr>
  </w:style>
  <w:style w:type="character" w:customStyle="1" w:styleId="203">
    <w:name w:val="Char Char7"/>
    <w:semiHidden/>
    <w:qFormat/>
    <w:uiPriority w:val="0"/>
    <w:rPr>
      <w:rFonts w:eastAsia="宋体"/>
      <w:kern w:val="2"/>
      <w:sz w:val="21"/>
      <w:szCs w:val="24"/>
      <w:lang w:val="en-US" w:eastAsia="zh-CN" w:bidi="ar-SA"/>
    </w:rPr>
  </w:style>
  <w:style w:type="character" w:customStyle="1" w:styleId="204">
    <w:name w:val="hui"/>
    <w:basedOn w:val="69"/>
    <w:qFormat/>
    <w:uiPriority w:val="0"/>
    <w:rPr>
      <w:rFonts w:ascii="Arial" w:hAnsi="Arial" w:eastAsia="黑体" w:cs="Arial"/>
      <w:snapToGrid w:val="0"/>
      <w:kern w:val="0"/>
      <w:szCs w:val="21"/>
    </w:rPr>
  </w:style>
  <w:style w:type="character" w:customStyle="1" w:styleId="205">
    <w:name w:val="正文缩进 Char"/>
    <w:qFormat/>
    <w:uiPriority w:val="0"/>
    <w:rPr>
      <w:rFonts w:eastAsia="宋体"/>
      <w:kern w:val="2"/>
      <w:sz w:val="21"/>
      <w:lang w:val="en-US" w:eastAsia="zh-CN"/>
    </w:rPr>
  </w:style>
  <w:style w:type="character" w:customStyle="1" w:styleId="206">
    <w:name w:val="正文1 Char"/>
    <w:qFormat/>
    <w:uiPriority w:val="0"/>
    <w:rPr>
      <w:rFonts w:ascii="宋体" w:eastAsia="宋体"/>
      <w:snapToGrid w:val="0"/>
      <w:color w:val="000000"/>
      <w:kern w:val="28"/>
      <w:sz w:val="28"/>
      <w:lang w:val="en-US" w:eastAsia="zh-CN" w:bidi="ar-SA"/>
    </w:rPr>
  </w:style>
  <w:style w:type="character" w:customStyle="1" w:styleId="207">
    <w:name w:val="Char Char611"/>
    <w:qFormat/>
    <w:uiPriority w:val="0"/>
    <w:rPr>
      <w:rFonts w:eastAsia="宋体"/>
      <w:kern w:val="2"/>
      <w:sz w:val="21"/>
      <w:szCs w:val="24"/>
      <w:lang w:val="en-US" w:eastAsia="zh-CN" w:bidi="ar-SA"/>
    </w:rPr>
  </w:style>
  <w:style w:type="character" w:customStyle="1" w:styleId="208">
    <w:name w:val="message1"/>
    <w:qFormat/>
    <w:uiPriority w:val="0"/>
    <w:rPr>
      <w:rFonts w:hint="default" w:ascii="Tahoma" w:hAnsi="Tahoma" w:cs="Tahoma"/>
      <w:sz w:val="18"/>
      <w:szCs w:val="18"/>
    </w:rPr>
  </w:style>
  <w:style w:type="character" w:customStyle="1" w:styleId="209">
    <w:name w:val="Heading 2 Hidden Char"/>
    <w:qFormat/>
    <w:uiPriority w:val="0"/>
    <w:rPr>
      <w:rFonts w:ascii="仿宋_GB2312" w:eastAsia="仿宋_GB2312"/>
      <w:b/>
      <w:bCs/>
      <w:kern w:val="2"/>
      <w:sz w:val="24"/>
      <w:szCs w:val="24"/>
      <w:lang w:val="zh-CN" w:eastAsia="zh-CN" w:bidi="ar-SA"/>
    </w:rPr>
  </w:style>
  <w:style w:type="character" w:customStyle="1" w:styleId="210">
    <w:name w:val="DO_NOT_TRANSLATE"/>
    <w:qFormat/>
    <w:uiPriority w:val="0"/>
    <w:rPr>
      <w:rFonts w:ascii="Courier New" w:hAnsi="Courier New" w:cs="Courier New"/>
      <w:color w:val="800000"/>
      <w:lang w:val="en-US" w:eastAsia="zh-CN"/>
    </w:rPr>
  </w:style>
  <w:style w:type="character" w:customStyle="1" w:styleId="211">
    <w:name w:val="unnamed11"/>
    <w:qFormat/>
    <w:uiPriority w:val="0"/>
    <w:rPr>
      <w:sz w:val="20"/>
      <w:szCs w:val="20"/>
    </w:rPr>
  </w:style>
  <w:style w:type="character" w:customStyle="1" w:styleId="212">
    <w:name w:val="tw4winInternal"/>
    <w:qFormat/>
    <w:uiPriority w:val="0"/>
    <w:rPr>
      <w:rFonts w:ascii="Courier New" w:hAnsi="Courier New" w:cs="Courier New"/>
      <w:color w:val="FF0000"/>
      <w:lang w:val="en-US" w:eastAsia="zh-CN"/>
    </w:rPr>
  </w:style>
  <w:style w:type="character" w:customStyle="1" w:styleId="213">
    <w:name w:val="正文（缩进2汉字） Char"/>
    <w:link w:val="214"/>
    <w:qFormat/>
    <w:uiPriority w:val="0"/>
    <w:rPr>
      <w:rFonts w:ascii="宋体"/>
    </w:rPr>
  </w:style>
  <w:style w:type="paragraph" w:customStyle="1" w:styleId="214">
    <w:name w:val="正文（缩进2汉字）"/>
    <w:basedOn w:val="1"/>
    <w:link w:val="213"/>
    <w:qFormat/>
    <w:uiPriority w:val="0"/>
    <w:pPr>
      <w:tabs>
        <w:tab w:val="left" w:pos="525"/>
      </w:tabs>
      <w:spacing w:before="100" w:beforeAutospacing="1" w:after="100" w:afterAutospacing="1"/>
      <w:ind w:left="120" w:leftChars="50" w:firstLine="494" w:firstLineChars="206"/>
    </w:pPr>
    <w:rPr>
      <w:rFonts w:ascii="宋体"/>
    </w:rPr>
  </w:style>
  <w:style w:type="character" w:customStyle="1" w:styleId="215">
    <w:name w:val="正文缩进 Char1"/>
    <w:qFormat/>
    <w:uiPriority w:val="0"/>
    <w:rPr>
      <w:rFonts w:ascii="宋体" w:eastAsia="宋体"/>
      <w:snapToGrid w:val="0"/>
      <w:color w:val="000000"/>
      <w:kern w:val="28"/>
      <w:sz w:val="28"/>
      <w:lang w:val="en-US" w:eastAsia="zh-CN" w:bidi="ar-SA"/>
    </w:rPr>
  </w:style>
  <w:style w:type="character" w:customStyle="1" w:styleId="216">
    <w:name w:val="style36"/>
    <w:basedOn w:val="69"/>
    <w:qFormat/>
    <w:uiPriority w:val="0"/>
    <w:rPr>
      <w:rFonts w:ascii="Arial" w:hAnsi="Arial" w:eastAsia="黑体" w:cs="Arial"/>
      <w:snapToGrid w:val="0"/>
      <w:kern w:val="0"/>
      <w:szCs w:val="21"/>
    </w:rPr>
  </w:style>
  <w:style w:type="character" w:customStyle="1" w:styleId="217">
    <w:name w:val="hui3"/>
    <w:qFormat/>
    <w:uiPriority w:val="0"/>
    <w:rPr>
      <w:color w:val="333333"/>
    </w:rPr>
  </w:style>
  <w:style w:type="character" w:customStyle="1" w:styleId="218">
    <w:name w:val="方案正文 Char"/>
    <w:qFormat/>
    <w:uiPriority w:val="0"/>
    <w:rPr>
      <w:rFonts w:ascii="仿宋_GB2312" w:eastAsia="仿宋_GB2312"/>
      <w:b/>
      <w:color w:val="000000"/>
      <w:kern w:val="2"/>
      <w:sz w:val="24"/>
      <w:lang w:val="en-US" w:eastAsia="zh-CN" w:bidi="ar-SA"/>
    </w:rPr>
  </w:style>
  <w:style w:type="character" w:customStyle="1" w:styleId="219">
    <w:name w:val="apple-converted-space"/>
    <w:qFormat/>
    <w:uiPriority w:val="0"/>
  </w:style>
  <w:style w:type="character" w:customStyle="1" w:styleId="220">
    <w:name w:val="正文非缩进 Char3"/>
    <w:qFormat/>
    <w:uiPriority w:val="0"/>
    <w:rPr>
      <w:rFonts w:ascii="宋体" w:eastAsia="宋体"/>
      <w:snapToGrid w:val="0"/>
      <w:color w:val="000000"/>
      <w:kern w:val="28"/>
      <w:sz w:val="28"/>
      <w:lang w:val="en-US" w:eastAsia="zh-CN" w:bidi="ar-SA"/>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t21"/>
    <w:qFormat/>
    <w:uiPriority w:val="0"/>
    <w:rPr>
      <w:rFonts w:ascii="仿宋_GB2312" w:eastAsia="微软雅黑"/>
      <w:b/>
      <w:kern w:val="2"/>
      <w:sz w:val="23"/>
      <w:szCs w:val="23"/>
      <w:lang w:val="en-US" w:eastAsia="zh-CN" w:bidi="ar-SA"/>
    </w:rPr>
  </w:style>
  <w:style w:type="character" w:customStyle="1" w:styleId="223">
    <w:name w:val="副标题 Char1"/>
    <w:qFormat/>
    <w:uiPriority w:val="11"/>
    <w:rPr>
      <w:rFonts w:ascii="Cambria" w:hAnsi="Cambria" w:eastAsia="宋体" w:cs="Times New Roman"/>
      <w:b/>
      <w:bCs/>
      <w:snapToGrid w:val="0"/>
      <w:kern w:val="28"/>
      <w:sz w:val="32"/>
      <w:szCs w:val="32"/>
    </w:rPr>
  </w:style>
  <w:style w:type="character" w:customStyle="1" w:styleId="224">
    <w:name w:val="px14"/>
    <w:qFormat/>
    <w:uiPriority w:val="0"/>
    <w:rPr>
      <w:rFonts w:ascii="仿宋_GB2312" w:eastAsia="微软雅黑" w:cs="Times New Roman"/>
      <w:b/>
      <w:kern w:val="2"/>
      <w:sz w:val="32"/>
      <w:szCs w:val="32"/>
      <w:lang w:val="en-US" w:eastAsia="zh-CN" w:bidi="ar-SA"/>
    </w:rPr>
  </w:style>
  <w:style w:type="character" w:customStyle="1" w:styleId="225">
    <w:name w:val="Normal Indent Char Char"/>
    <w:qFormat/>
    <w:uiPriority w:val="0"/>
    <w:rPr>
      <w:rFonts w:eastAsia="宋体"/>
      <w:kern w:val="2"/>
      <w:sz w:val="21"/>
      <w:lang w:val="en-US" w:eastAsia="zh-CN" w:bidi="ar-SA"/>
    </w:rPr>
  </w:style>
  <w:style w:type="character" w:customStyle="1" w:styleId="226">
    <w:name w:val="f141"/>
    <w:qFormat/>
    <w:uiPriority w:val="0"/>
    <w:rPr>
      <w:rFonts w:ascii="Tahoma" w:hAnsi="Tahoma" w:eastAsia="宋体"/>
      <w:b/>
      <w:kern w:val="2"/>
      <w:sz w:val="21"/>
      <w:szCs w:val="21"/>
      <w:lang w:val="en-US" w:eastAsia="zh-CN" w:bidi="ar-SA"/>
    </w:rPr>
  </w:style>
  <w:style w:type="character" w:customStyle="1" w:styleId="227">
    <w:name w:val="myp1111"/>
    <w:qFormat/>
    <w:uiPriority w:val="0"/>
    <w:rPr>
      <w:rFonts w:hint="default" w:ascii="ˎ̥" w:hAnsi="ˎ̥"/>
      <w:color w:val="000000"/>
      <w:sz w:val="20"/>
      <w:szCs w:val="20"/>
      <w:u w:val="none"/>
    </w:rPr>
  </w:style>
  <w:style w:type="character" w:customStyle="1" w:styleId="228">
    <w:name w:val="标书1 Char"/>
    <w:qFormat/>
    <w:uiPriority w:val="0"/>
    <w:rPr>
      <w:rFonts w:eastAsia="宋体"/>
      <w:b/>
      <w:bCs/>
      <w:kern w:val="44"/>
      <w:sz w:val="44"/>
      <w:szCs w:val="44"/>
      <w:lang w:val="en-US" w:eastAsia="zh-CN" w:bidi="ar-SA"/>
    </w:rPr>
  </w:style>
  <w:style w:type="character" w:customStyle="1" w:styleId="229">
    <w:name w:val="链接"/>
    <w:qFormat/>
    <w:uiPriority w:val="0"/>
    <w:rPr>
      <w:color w:val="0000FF"/>
      <w:sz w:val="21"/>
      <w:szCs w:val="21"/>
      <w:u w:val="single"/>
    </w:rPr>
  </w:style>
  <w:style w:type="character" w:customStyle="1" w:styleId="230">
    <w:name w:val="正文首行缩进 Char Char Char Char Char Char"/>
    <w:qFormat/>
    <w:uiPriority w:val="0"/>
    <w:rPr>
      <w:rFonts w:ascii="宋体" w:eastAsia="宋体"/>
      <w:kern w:val="2"/>
      <w:sz w:val="24"/>
      <w:lang w:val="zh-CN" w:bidi="ar-SA"/>
    </w:rPr>
  </w:style>
  <w:style w:type="character" w:customStyle="1" w:styleId="231">
    <w:name w:val="正文2 Char Char"/>
    <w:link w:val="232"/>
    <w:qFormat/>
    <w:uiPriority w:val="0"/>
    <w:rPr>
      <w:rFonts w:eastAsia="宋体"/>
      <w:sz w:val="24"/>
    </w:rPr>
  </w:style>
  <w:style w:type="paragraph" w:customStyle="1" w:styleId="232">
    <w:name w:val="正文2"/>
    <w:basedOn w:val="1"/>
    <w:link w:val="231"/>
    <w:qFormat/>
    <w:uiPriority w:val="0"/>
    <w:pPr>
      <w:adjustRightInd w:val="0"/>
      <w:spacing w:before="156" w:line="360" w:lineRule="auto"/>
      <w:ind w:firstLine="510" w:firstLineChars="200"/>
    </w:pPr>
    <w:rPr>
      <w:rFonts w:eastAsia="宋体"/>
      <w:sz w:val="24"/>
    </w:rPr>
  </w:style>
  <w:style w:type="character" w:customStyle="1" w:styleId="233">
    <w:name w:val="tw4winError"/>
    <w:qFormat/>
    <w:uiPriority w:val="0"/>
    <w:rPr>
      <w:rFonts w:ascii="Courier New" w:hAnsi="Courier New" w:cs="Courier New"/>
      <w:color w:val="00FF00"/>
      <w:sz w:val="40"/>
      <w:szCs w:val="40"/>
    </w:rPr>
  </w:style>
  <w:style w:type="character" w:customStyle="1" w:styleId="234">
    <w:name w:val="正文1 Char1"/>
    <w:qFormat/>
    <w:uiPriority w:val="0"/>
    <w:rPr>
      <w:rFonts w:ascii="仿宋_GB2312" w:hAnsi="Courier New" w:eastAsia="仿宋_GB2312"/>
      <w:kern w:val="28"/>
      <w:sz w:val="24"/>
      <w:szCs w:val="24"/>
      <w:lang w:val="en-US" w:eastAsia="zh-CN"/>
    </w:rPr>
  </w:style>
  <w:style w:type="character" w:customStyle="1" w:styleId="235">
    <w:name w:val="Used by Word for text of Help footnotes Char Char"/>
    <w:qFormat/>
    <w:uiPriority w:val="0"/>
    <w:rPr>
      <w:rFonts w:ascii="Times New Roman" w:hAnsi="Times New Roman" w:eastAsia="宋体" w:cs="Times New Roman"/>
      <w:sz w:val="20"/>
      <w:szCs w:val="20"/>
    </w:rPr>
  </w:style>
  <w:style w:type="character" w:customStyle="1" w:styleId="236">
    <w:name w:val="c7 style3"/>
    <w:qFormat/>
    <w:uiPriority w:val="0"/>
  </w:style>
  <w:style w:type="character" w:customStyle="1" w:styleId="237">
    <w:name w:val="Char Char3111"/>
    <w:qFormat/>
    <w:uiPriority w:val="0"/>
    <w:rPr>
      <w:rFonts w:ascii="Times New Roman" w:hAnsi="Times New Roman" w:eastAsia="宋体" w:cs="Times New Roman"/>
      <w:b/>
      <w:kern w:val="2"/>
      <w:sz w:val="32"/>
      <w:szCs w:val="24"/>
      <w:lang w:val="en-US" w:eastAsia="zh-CN" w:bidi="ar-SA"/>
    </w:rPr>
  </w:style>
  <w:style w:type="character" w:customStyle="1" w:styleId="238">
    <w:name w:val="表正文 Char"/>
    <w:qFormat/>
    <w:uiPriority w:val="0"/>
    <w:rPr>
      <w:rFonts w:ascii="宋体" w:eastAsia="宋体"/>
      <w:snapToGrid w:val="0"/>
      <w:color w:val="000000"/>
      <w:kern w:val="28"/>
      <w:sz w:val="28"/>
      <w:lang w:val="en-US" w:eastAsia="zh-CN" w:bidi="ar-SA"/>
    </w:rPr>
  </w:style>
  <w:style w:type="character" w:customStyle="1" w:styleId="239">
    <w:name w:val="普通文字 Char1 Char"/>
    <w:qFormat/>
    <w:uiPriority w:val="0"/>
    <w:rPr>
      <w:rFonts w:ascii="宋体" w:hAnsi="Courier New" w:eastAsia="宋体"/>
      <w:kern w:val="2"/>
      <w:sz w:val="21"/>
      <w:szCs w:val="24"/>
      <w:lang w:val="en-US" w:eastAsia="zh-CN" w:bidi="ar-SA"/>
    </w:rPr>
  </w:style>
  <w:style w:type="character" w:customStyle="1" w:styleId="240">
    <w:name w:val="pt9"/>
    <w:qFormat/>
    <w:uiPriority w:val="0"/>
    <w:rPr>
      <w:rFonts w:ascii="仿宋_GB2312" w:eastAsia="微软雅黑"/>
      <w:b/>
      <w:kern w:val="2"/>
      <w:sz w:val="32"/>
      <w:szCs w:val="32"/>
      <w:lang w:val="en-US" w:eastAsia="zh-CN" w:bidi="ar-SA"/>
    </w:rPr>
  </w:style>
  <w:style w:type="character" w:customStyle="1" w:styleId="241">
    <w:name w:val="表正文 Char1"/>
    <w:qFormat/>
    <w:uiPriority w:val="0"/>
    <w:rPr>
      <w:rFonts w:ascii="宋体" w:eastAsia="宋体"/>
      <w:snapToGrid w:val="0"/>
      <w:color w:val="000000"/>
      <w:kern w:val="28"/>
      <w:sz w:val="28"/>
    </w:rPr>
  </w:style>
  <w:style w:type="character" w:customStyle="1" w:styleId="242">
    <w:name w:val="正文非缩进 Char"/>
    <w:qFormat/>
    <w:uiPriority w:val="0"/>
    <w:rPr>
      <w:rFonts w:ascii="宋体" w:eastAsia="宋体"/>
      <w:snapToGrid w:val="0"/>
      <w:color w:val="000000"/>
      <w:kern w:val="28"/>
      <w:sz w:val="28"/>
      <w:lang w:val="en-US" w:eastAsia="zh-CN" w:bidi="ar-SA"/>
    </w:rPr>
  </w:style>
  <w:style w:type="character" w:customStyle="1" w:styleId="243">
    <w:name w:val="冯广丽 Char"/>
    <w:link w:val="244"/>
    <w:qFormat/>
    <w:uiPriority w:val="0"/>
    <w:rPr>
      <w:rFonts w:ascii="宋体" w:hAnsi="宋体"/>
      <w:sz w:val="24"/>
    </w:rPr>
  </w:style>
  <w:style w:type="paragraph" w:customStyle="1" w:styleId="244">
    <w:name w:val="冯广丽"/>
    <w:basedOn w:val="1"/>
    <w:link w:val="243"/>
    <w:qFormat/>
    <w:uiPriority w:val="0"/>
    <w:pPr>
      <w:spacing w:line="360" w:lineRule="auto"/>
      <w:ind w:firstLine="480" w:firstLineChars="200"/>
    </w:pPr>
    <w:rPr>
      <w:rFonts w:ascii="宋体" w:hAnsi="宋体"/>
      <w:sz w:val="24"/>
    </w:rPr>
  </w:style>
  <w:style w:type="character" w:customStyle="1" w:styleId="245">
    <w:name w:val="large1"/>
    <w:qFormat/>
    <w:uiPriority w:val="0"/>
    <w:rPr>
      <w:rFonts w:hint="eastAsia" w:ascii="宋体" w:hAnsi="宋体" w:eastAsia="宋体"/>
      <w:sz w:val="21"/>
      <w:szCs w:val="21"/>
    </w:rPr>
  </w:style>
  <w:style w:type="character" w:customStyle="1" w:styleId="246">
    <w:name w:val="样式 样式 标题 4h4H4Fab-4T5Ref Heading 1rh1Heading sqlsect 1.2.3.... +... Char"/>
    <w:link w:val="247"/>
    <w:qFormat/>
    <w:uiPriority w:val="0"/>
    <w:rPr>
      <w:rFonts w:ascii="微软雅黑" w:hAnsi="微软雅黑" w:eastAsia="微软雅黑"/>
      <w:b/>
      <w:bCs/>
      <w:sz w:val="24"/>
      <w:szCs w:val="28"/>
    </w:rPr>
  </w:style>
  <w:style w:type="paragraph" w:customStyle="1" w:styleId="247">
    <w:name w:val="样式 样式 标题 4h4H4Fab-4T5Ref Heading 1rh1Heading sqlsect 1.2.3.... +..."/>
    <w:basedOn w:val="185"/>
    <w:link w:val="246"/>
    <w:qFormat/>
    <w:uiPriority w:val="0"/>
  </w:style>
  <w:style w:type="character" w:customStyle="1" w:styleId="248">
    <w:name w:val="标题 1 Char Char"/>
    <w:qFormat/>
    <w:uiPriority w:val="0"/>
    <w:rPr>
      <w:rFonts w:hint="eastAsia" w:ascii="宋体" w:hAnsi="宋体" w:eastAsia="宋体"/>
      <w:b/>
      <w:spacing w:val="-2"/>
      <w:sz w:val="24"/>
      <w:lang w:val="en-US" w:eastAsia="zh-CN" w:bidi="ar-SA"/>
    </w:rPr>
  </w:style>
  <w:style w:type="character" w:customStyle="1" w:styleId="249">
    <w:name w:val="标题 4 Char1"/>
    <w:qFormat/>
    <w:uiPriority w:val="0"/>
    <w:rPr>
      <w:rFonts w:ascii="Cambria" w:hAnsi="Cambria" w:eastAsia="宋体" w:cs="Times New Roman"/>
      <w:b/>
      <w:bCs/>
      <w:kern w:val="2"/>
      <w:sz w:val="28"/>
      <w:szCs w:val="28"/>
    </w:rPr>
  </w:style>
  <w:style w:type="character" w:customStyle="1" w:styleId="250">
    <w:name w:val="zbggmain style9"/>
    <w:qFormat/>
    <w:uiPriority w:val="0"/>
  </w:style>
  <w:style w:type="character" w:customStyle="1" w:styleId="251">
    <w:name w:val="tw4winMark"/>
    <w:qFormat/>
    <w:uiPriority w:val="0"/>
    <w:rPr>
      <w:rFonts w:ascii="Courier New" w:hAnsi="Courier New" w:cs="Courier New"/>
      <w:vanish/>
      <w:color w:val="800080"/>
      <w:sz w:val="24"/>
      <w:szCs w:val="24"/>
      <w:vertAlign w:val="subscript"/>
    </w:rPr>
  </w:style>
  <w:style w:type="character" w:customStyle="1" w:styleId="252">
    <w:name w:val="tw4winPopup"/>
    <w:qFormat/>
    <w:uiPriority w:val="0"/>
    <w:rPr>
      <w:rFonts w:ascii="Courier New" w:hAnsi="Courier New" w:cs="Courier New"/>
      <w:color w:val="008000"/>
      <w:lang w:val="en-US" w:eastAsia="zh-CN"/>
    </w:rPr>
  </w:style>
  <w:style w:type="character" w:customStyle="1" w:styleId="253">
    <w:name w:val="样式 宋体"/>
    <w:qFormat/>
    <w:uiPriority w:val="0"/>
    <w:rPr>
      <w:rFonts w:ascii="宋体" w:hAnsi="宋体"/>
      <w:sz w:val="24"/>
    </w:rPr>
  </w:style>
  <w:style w:type="character" w:customStyle="1" w:styleId="254">
    <w:name w:val="正文缩进 Char2"/>
    <w:link w:val="16"/>
    <w:qFormat/>
    <w:uiPriority w:val="0"/>
    <w:rPr>
      <w:rFonts w:ascii="宋体" w:eastAsia="宋体"/>
      <w:snapToGrid w:val="0"/>
      <w:color w:val="000000"/>
      <w:kern w:val="28"/>
      <w:sz w:val="28"/>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批注文字 Char1"/>
    <w:qFormat/>
    <w:uiPriority w:val="99"/>
    <w:rPr>
      <w:kern w:val="2"/>
      <w:sz w:val="21"/>
      <w:szCs w:val="24"/>
    </w:rPr>
  </w:style>
  <w:style w:type="character" w:customStyle="1" w:styleId="257">
    <w:name w:val="公文正文 Char"/>
    <w:qFormat/>
    <w:uiPriority w:val="0"/>
    <w:rPr>
      <w:rFonts w:ascii="仿宋_GB2312" w:eastAsia="仿宋_GB2312"/>
      <w:kern w:val="2"/>
      <w:sz w:val="24"/>
      <w:szCs w:val="24"/>
      <w:lang w:val="en-US" w:eastAsia="zh-CN" w:bidi="ar-SA"/>
    </w:rPr>
  </w:style>
  <w:style w:type="character" w:customStyle="1" w:styleId="258">
    <w:name w:val="Footer Char"/>
    <w:qFormat/>
    <w:locked/>
    <w:uiPriority w:val="0"/>
    <w:rPr>
      <w:rFonts w:eastAsia="宋体"/>
      <w:kern w:val="2"/>
      <w:sz w:val="18"/>
      <w:lang w:val="en-US" w:eastAsia="zh-CN" w:bidi="ar-SA"/>
    </w:rPr>
  </w:style>
  <w:style w:type="character" w:customStyle="1" w:styleId="259">
    <w:name w:val="Char Char411"/>
    <w:qFormat/>
    <w:uiPriority w:val="0"/>
    <w:rPr>
      <w:rFonts w:eastAsia="宋体"/>
      <w:b/>
      <w:sz w:val="24"/>
      <w:lang w:val="en-GB" w:eastAsia="zh-CN" w:bidi="ar-SA"/>
    </w:rPr>
  </w:style>
  <w:style w:type="character" w:customStyle="1" w:styleId="260">
    <w:name w:val="Char Char911"/>
    <w:qFormat/>
    <w:uiPriority w:val="0"/>
    <w:rPr>
      <w:rFonts w:eastAsia="宋体"/>
      <w:kern w:val="2"/>
      <w:sz w:val="18"/>
      <w:szCs w:val="18"/>
      <w:lang w:val="en-US" w:eastAsia="zh-CN" w:bidi="ar-SA"/>
    </w:rPr>
  </w:style>
  <w:style w:type="character" w:customStyle="1" w:styleId="261">
    <w:name w:val="列出段落 Char"/>
    <w:qFormat/>
    <w:uiPriority w:val="0"/>
    <w:rPr>
      <w:rFonts w:eastAsia="楷体_GB2312" w:cs="Lucida Sans"/>
      <w:kern w:val="2"/>
      <w:sz w:val="24"/>
      <w:szCs w:val="24"/>
      <w:lang w:val="en-US" w:eastAsia="zh-CN" w:bidi="ar-SA"/>
    </w:rPr>
  </w:style>
  <w:style w:type="character" w:customStyle="1" w:styleId="262">
    <w:name w:val="gf正文1 Char"/>
    <w:qFormat/>
    <w:uiPriority w:val="0"/>
    <w:rPr>
      <w:rFonts w:ascii="宋体" w:hAnsi="宋体" w:eastAsia="宋体" w:cs="宋体"/>
      <w:kern w:val="2"/>
      <w:sz w:val="24"/>
      <w:szCs w:val="24"/>
      <w:lang w:val="en-US" w:eastAsia="zh-CN" w:bidi="ar-SA"/>
    </w:rPr>
  </w:style>
  <w:style w:type="character" w:customStyle="1" w:styleId="263">
    <w:name w:val="标书表格字体格式 Char"/>
    <w:qFormat/>
    <w:uiPriority w:val="0"/>
    <w:rPr>
      <w:kern w:val="2"/>
      <w:sz w:val="21"/>
      <w:szCs w:val="24"/>
      <w:lang w:bidi="ar-SA"/>
    </w:rPr>
  </w:style>
  <w:style w:type="character" w:customStyle="1" w:styleId="264">
    <w:name w:val="样式6 Char"/>
    <w:qFormat/>
    <w:uiPriority w:val="0"/>
    <w:rPr>
      <w:rFonts w:ascii="仿宋_GB2312" w:hAnsi="宋体" w:eastAsia="仿宋_GB2312"/>
      <w:b/>
      <w:bCs/>
      <w:kern w:val="2"/>
      <w:sz w:val="24"/>
      <w:szCs w:val="24"/>
      <w:lang w:val="en-US" w:eastAsia="zh-CN" w:bidi="ar-SA"/>
    </w:rPr>
  </w:style>
  <w:style w:type="character" w:customStyle="1" w:styleId="265">
    <w:name w:val="冯 Char"/>
    <w:link w:val="266"/>
    <w:qFormat/>
    <w:uiPriority w:val="0"/>
    <w:rPr>
      <w:rFonts w:ascii="宋体" w:hAnsi="宋体"/>
      <w:color w:val="000000"/>
      <w:sz w:val="24"/>
      <w:szCs w:val="24"/>
    </w:rPr>
  </w:style>
  <w:style w:type="paragraph" w:customStyle="1" w:styleId="266">
    <w:name w:val="冯"/>
    <w:basedOn w:val="1"/>
    <w:link w:val="265"/>
    <w:qFormat/>
    <w:uiPriority w:val="0"/>
    <w:pPr>
      <w:widowControl/>
      <w:spacing w:line="360" w:lineRule="auto"/>
      <w:ind w:firstLine="480" w:firstLineChars="200"/>
    </w:pPr>
    <w:rPr>
      <w:rFonts w:ascii="宋体" w:hAnsi="宋体"/>
      <w:color w:val="000000"/>
      <w:sz w:val="24"/>
      <w:szCs w:val="24"/>
    </w:rPr>
  </w:style>
  <w:style w:type="character" w:customStyle="1" w:styleId="267">
    <w:name w:val="Ò³Ã¼ Char Char1"/>
    <w:qFormat/>
    <w:uiPriority w:val="0"/>
    <w:rPr>
      <w:rFonts w:eastAsia="宋体"/>
      <w:kern w:val="2"/>
      <w:sz w:val="18"/>
      <w:szCs w:val="18"/>
      <w:lang w:val="en-US" w:eastAsia="zh-CN" w:bidi="ar-SA"/>
    </w:rPr>
  </w:style>
  <w:style w:type="character" w:customStyle="1" w:styleId="268">
    <w:name w:val="md"/>
    <w:basedOn w:val="69"/>
    <w:qFormat/>
    <w:uiPriority w:val="0"/>
    <w:rPr>
      <w:rFonts w:ascii="Arial" w:hAnsi="Arial" w:eastAsia="黑体" w:cs="Arial"/>
      <w:snapToGrid w:val="0"/>
      <w:kern w:val="0"/>
      <w:szCs w:val="21"/>
    </w:rPr>
  </w:style>
  <w:style w:type="character" w:customStyle="1" w:styleId="269">
    <w:name w:val="样式5 Char"/>
    <w:qFormat/>
    <w:uiPriority w:val="0"/>
    <w:rPr>
      <w:rFonts w:ascii="仿宋_GB2312" w:hAnsi="仿宋" w:eastAsia="仿宋_GB2312"/>
      <w:kern w:val="2"/>
      <w:sz w:val="24"/>
      <w:szCs w:val="24"/>
    </w:rPr>
  </w:style>
  <w:style w:type="character" w:customStyle="1" w:styleId="270">
    <w:name w:val="表格 Char Char"/>
    <w:qFormat/>
    <w:uiPriority w:val="0"/>
    <w:rPr>
      <w:rFonts w:ascii="宋体" w:hAnsi="宋体" w:eastAsia="宋体"/>
      <w:lang w:bidi="ar-SA"/>
    </w:rPr>
  </w:style>
  <w:style w:type="character" w:customStyle="1" w:styleId="271">
    <w:name w:val="font12gray1"/>
    <w:qFormat/>
    <w:uiPriority w:val="0"/>
    <w:rPr>
      <w:rFonts w:ascii="仿宋_GB2312" w:eastAsia="微软雅黑"/>
      <w:b/>
      <w:spacing w:val="300"/>
      <w:kern w:val="2"/>
      <w:sz w:val="18"/>
      <w:szCs w:val="18"/>
      <w:lang w:val="en-US" w:eastAsia="zh-CN" w:bidi="ar-SA"/>
    </w:rPr>
  </w:style>
  <w:style w:type="character" w:customStyle="1" w:styleId="272">
    <w:name w:val="txt"/>
    <w:qFormat/>
    <w:uiPriority w:val="0"/>
    <w:rPr>
      <w:rFonts w:ascii="仿宋_GB2312" w:eastAsia="微软雅黑"/>
      <w:b/>
      <w:kern w:val="2"/>
      <w:sz w:val="32"/>
      <w:szCs w:val="32"/>
      <w:lang w:val="en-US" w:eastAsia="zh-CN" w:bidi="ar-SA"/>
    </w:rPr>
  </w:style>
  <w:style w:type="character" w:customStyle="1" w:styleId="273">
    <w:name w:val="tw4winJump"/>
    <w:qFormat/>
    <w:uiPriority w:val="0"/>
    <w:rPr>
      <w:rFonts w:ascii="Courier New" w:hAnsi="Courier New" w:cs="Courier New"/>
      <w:color w:val="008080"/>
      <w:lang w:val="en-US" w:eastAsia="zh-CN"/>
    </w:rPr>
  </w:style>
  <w:style w:type="character" w:customStyle="1" w:styleId="274">
    <w:name w:val="Item List Char"/>
    <w:link w:val="275"/>
    <w:qFormat/>
    <w:uiPriority w:val="0"/>
    <w:rPr>
      <w:rFonts w:ascii="Arial"/>
      <w:bCs/>
      <w:szCs w:val="21"/>
    </w:rPr>
  </w:style>
  <w:style w:type="paragraph" w:customStyle="1" w:styleId="275">
    <w:name w:val="Item List"/>
    <w:link w:val="274"/>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276">
    <w:name w:val="Char Char1211"/>
    <w:qFormat/>
    <w:uiPriority w:val="0"/>
    <w:rPr>
      <w:rFonts w:ascii="仿宋_GB2312" w:eastAsia="仿宋_GB2312"/>
      <w:b/>
      <w:bCs/>
      <w:kern w:val="2"/>
      <w:sz w:val="24"/>
      <w:szCs w:val="24"/>
      <w:lang w:val="zh-CN" w:eastAsia="zh-CN" w:bidi="ar-SA"/>
    </w:rPr>
  </w:style>
  <w:style w:type="character" w:customStyle="1" w:styleId="277">
    <w:name w:val="签名 Char1"/>
    <w:basedOn w:val="69"/>
    <w:qFormat/>
    <w:uiPriority w:val="99"/>
    <w:rPr>
      <w:rFonts w:ascii="Times New Roman" w:hAnsi="Times New Roman" w:eastAsia="宋体" w:cs="Times New Roman"/>
      <w:szCs w:val="24"/>
    </w:rPr>
  </w:style>
  <w:style w:type="character" w:customStyle="1" w:styleId="278">
    <w:name w:val="HTML 预设格式 Char1"/>
    <w:basedOn w:val="69"/>
    <w:qFormat/>
    <w:uiPriority w:val="99"/>
    <w:rPr>
      <w:rFonts w:ascii="Courier New" w:hAnsi="Courier New" w:eastAsia="宋体" w:cs="Courier New"/>
      <w:sz w:val="20"/>
      <w:szCs w:val="20"/>
    </w:rPr>
  </w:style>
  <w:style w:type="character" w:customStyle="1" w:styleId="279">
    <w:name w:val="正文文本 2 Char1"/>
    <w:basedOn w:val="69"/>
    <w:link w:val="54"/>
    <w:qFormat/>
    <w:uiPriority w:val="0"/>
    <w:rPr>
      <w:rFonts w:ascii="Times New Roman" w:hAnsi="Times New Roman" w:eastAsia="宋体" w:cs="Times New Roman"/>
      <w:szCs w:val="24"/>
      <w:lang w:val="zh-CN"/>
    </w:rPr>
  </w:style>
  <w:style w:type="character" w:customStyle="1" w:styleId="280">
    <w:name w:val="副标题 Char2"/>
    <w:basedOn w:val="69"/>
    <w:qFormat/>
    <w:uiPriority w:val="0"/>
    <w:rPr>
      <w:rFonts w:eastAsia="宋体" w:asciiTheme="majorHAnsi" w:hAnsiTheme="majorHAnsi" w:cstheme="majorBidi"/>
      <w:b/>
      <w:bCs/>
      <w:kern w:val="28"/>
      <w:sz w:val="32"/>
      <w:szCs w:val="32"/>
    </w:rPr>
  </w:style>
  <w:style w:type="character" w:customStyle="1" w:styleId="281">
    <w:name w:val="纯文本 Char1"/>
    <w:basedOn w:val="69"/>
    <w:link w:val="282"/>
    <w:qFormat/>
    <w:uiPriority w:val="0"/>
    <w:rPr>
      <w:rFonts w:ascii="宋体" w:hAnsi="Courier New" w:eastAsia="宋体" w:cs="Courier New"/>
      <w:szCs w:val="21"/>
    </w:rPr>
  </w:style>
  <w:style w:type="paragraph" w:customStyle="1" w:styleId="282">
    <w:name w:val="纯文本1"/>
    <w:basedOn w:val="1"/>
    <w:link w:val="281"/>
    <w:qFormat/>
    <w:uiPriority w:val="0"/>
    <w:rPr>
      <w:rFonts w:ascii="宋体" w:hAnsi="Courier New" w:eastAsia="宋体" w:cs="Courier New"/>
      <w:szCs w:val="21"/>
    </w:rPr>
  </w:style>
  <w:style w:type="character" w:customStyle="1" w:styleId="283">
    <w:name w:val="HTML 地址 Char1"/>
    <w:basedOn w:val="69"/>
    <w:qFormat/>
    <w:uiPriority w:val="99"/>
    <w:rPr>
      <w:rFonts w:ascii="Times New Roman" w:hAnsi="Times New Roman" w:eastAsia="宋体" w:cs="Times New Roman"/>
      <w:i/>
      <w:iCs/>
      <w:szCs w:val="24"/>
    </w:rPr>
  </w:style>
  <w:style w:type="character" w:customStyle="1" w:styleId="284">
    <w:name w:val="正文文本缩进 3 Char1"/>
    <w:basedOn w:val="69"/>
    <w:semiHidden/>
    <w:qFormat/>
    <w:uiPriority w:val="99"/>
    <w:rPr>
      <w:rFonts w:ascii="Times New Roman" w:hAnsi="Times New Roman" w:eastAsia="宋体" w:cs="Times New Roman"/>
      <w:sz w:val="16"/>
      <w:szCs w:val="16"/>
    </w:rPr>
  </w:style>
  <w:style w:type="character" w:customStyle="1" w:styleId="285">
    <w:name w:val="正文文本 3 Char1"/>
    <w:basedOn w:val="69"/>
    <w:semiHidden/>
    <w:qFormat/>
    <w:uiPriority w:val="99"/>
    <w:rPr>
      <w:rFonts w:ascii="Times New Roman" w:hAnsi="Times New Roman" w:eastAsia="宋体" w:cs="Times New Roman"/>
      <w:sz w:val="16"/>
      <w:szCs w:val="16"/>
    </w:rPr>
  </w:style>
  <w:style w:type="character" w:customStyle="1" w:styleId="286">
    <w:name w:val="脚注文本 Char1"/>
    <w:basedOn w:val="69"/>
    <w:qFormat/>
    <w:uiPriority w:val="99"/>
    <w:rPr>
      <w:rFonts w:ascii="Times New Roman" w:hAnsi="Times New Roman" w:eastAsia="宋体" w:cs="Times New Roman"/>
      <w:sz w:val="18"/>
      <w:szCs w:val="18"/>
    </w:rPr>
  </w:style>
  <w:style w:type="character" w:customStyle="1" w:styleId="287">
    <w:name w:val="正文文本缩进 Char2"/>
    <w:basedOn w:val="69"/>
    <w:link w:val="17"/>
    <w:qFormat/>
    <w:uiPriority w:val="0"/>
    <w:rPr>
      <w:rFonts w:ascii="Times New Roman" w:hAnsi="Times New Roman" w:eastAsia="宋体" w:cs="Times New Roman"/>
      <w:szCs w:val="24"/>
    </w:rPr>
  </w:style>
  <w:style w:type="character" w:customStyle="1" w:styleId="288">
    <w:name w:val="正文首行缩进 2 Char1"/>
    <w:basedOn w:val="287"/>
    <w:qFormat/>
    <w:uiPriority w:val="99"/>
    <w:rPr>
      <w:rFonts w:ascii="Times New Roman" w:hAnsi="Times New Roman" w:eastAsia="宋体" w:cs="Times New Roman"/>
      <w:szCs w:val="24"/>
    </w:rPr>
  </w:style>
  <w:style w:type="character" w:customStyle="1" w:styleId="289">
    <w:name w:val="批注文字 Char2"/>
    <w:basedOn w:val="69"/>
    <w:link w:val="21"/>
    <w:qFormat/>
    <w:uiPriority w:val="99"/>
    <w:rPr>
      <w:rFonts w:ascii="Times New Roman" w:hAnsi="Times New Roman" w:eastAsia="宋体" w:cs="Times New Roman"/>
      <w:szCs w:val="24"/>
    </w:rPr>
  </w:style>
  <w:style w:type="character" w:customStyle="1" w:styleId="290">
    <w:name w:val="批注主题 Char1"/>
    <w:basedOn w:val="289"/>
    <w:link w:val="59"/>
    <w:qFormat/>
    <w:uiPriority w:val="0"/>
    <w:rPr>
      <w:rFonts w:ascii="Times New Roman" w:hAnsi="Times New Roman" w:eastAsia="宋体" w:cs="Times New Roman"/>
      <w:b/>
      <w:bCs/>
      <w:szCs w:val="24"/>
      <w:lang w:val="zh-CN"/>
    </w:rPr>
  </w:style>
  <w:style w:type="character" w:customStyle="1" w:styleId="291">
    <w:name w:val="日期 Char1"/>
    <w:basedOn w:val="69"/>
    <w:semiHidden/>
    <w:qFormat/>
    <w:uiPriority w:val="99"/>
    <w:rPr>
      <w:rFonts w:ascii="Times New Roman" w:hAnsi="Times New Roman" w:eastAsia="宋体" w:cs="Times New Roman"/>
      <w:szCs w:val="24"/>
    </w:rPr>
  </w:style>
  <w:style w:type="character" w:customStyle="1" w:styleId="292">
    <w:name w:val="称呼 Char1"/>
    <w:basedOn w:val="69"/>
    <w:qFormat/>
    <w:uiPriority w:val="99"/>
    <w:rPr>
      <w:rFonts w:ascii="Times New Roman" w:hAnsi="Times New Roman" w:eastAsia="宋体" w:cs="Times New Roman"/>
      <w:szCs w:val="24"/>
    </w:rPr>
  </w:style>
  <w:style w:type="character" w:customStyle="1" w:styleId="293">
    <w:name w:val="正文文本 Char2"/>
    <w:basedOn w:val="69"/>
    <w:semiHidden/>
    <w:qFormat/>
    <w:uiPriority w:val="99"/>
    <w:rPr>
      <w:rFonts w:ascii="Times New Roman" w:hAnsi="Times New Roman" w:eastAsia="宋体" w:cs="Times New Roman"/>
      <w:szCs w:val="24"/>
    </w:rPr>
  </w:style>
  <w:style w:type="character" w:customStyle="1" w:styleId="294">
    <w:name w:val="文档结构图 Char1"/>
    <w:basedOn w:val="69"/>
    <w:link w:val="20"/>
    <w:qFormat/>
    <w:uiPriority w:val="0"/>
    <w:rPr>
      <w:rFonts w:ascii="Times New Roman" w:hAnsi="Times New Roman" w:eastAsia="宋体" w:cs="Times New Roman"/>
      <w:szCs w:val="24"/>
      <w:shd w:val="clear" w:color="auto" w:fill="000080"/>
      <w:lang w:val="zh-CN"/>
    </w:rPr>
  </w:style>
  <w:style w:type="character" w:customStyle="1" w:styleId="295">
    <w:name w:val="标题 Char1"/>
    <w:basedOn w:val="69"/>
    <w:link w:val="58"/>
    <w:qFormat/>
    <w:uiPriority w:val="0"/>
    <w:rPr>
      <w:rFonts w:ascii="Times New Roman" w:hAnsi="Times New Roman" w:eastAsia="宋体" w:cs="Times New Roman"/>
      <w:b/>
      <w:kern w:val="0"/>
      <w:sz w:val="24"/>
      <w:szCs w:val="20"/>
      <w:lang w:val="en-GB"/>
    </w:rPr>
  </w:style>
  <w:style w:type="character" w:customStyle="1" w:styleId="296">
    <w:name w:val="正文首行缩进 Char1"/>
    <w:basedOn w:val="293"/>
    <w:semiHidden/>
    <w:qFormat/>
    <w:uiPriority w:val="99"/>
    <w:rPr>
      <w:rFonts w:ascii="Times New Roman" w:hAnsi="Times New Roman" w:eastAsia="宋体" w:cs="Times New Roman"/>
      <w:szCs w:val="24"/>
    </w:rPr>
  </w:style>
  <w:style w:type="character" w:customStyle="1" w:styleId="297">
    <w:name w:val="批注框文本 Char1"/>
    <w:basedOn w:val="69"/>
    <w:semiHidden/>
    <w:qFormat/>
    <w:uiPriority w:val="99"/>
    <w:rPr>
      <w:rFonts w:ascii="Times New Roman" w:hAnsi="Times New Roman" w:eastAsia="宋体" w:cs="Times New Roman"/>
      <w:sz w:val="18"/>
      <w:szCs w:val="18"/>
    </w:rPr>
  </w:style>
  <w:style w:type="character" w:customStyle="1" w:styleId="298">
    <w:name w:val="正文文本缩进 2 Char1"/>
    <w:basedOn w:val="69"/>
    <w:semiHidden/>
    <w:qFormat/>
    <w:uiPriority w:val="99"/>
    <w:rPr>
      <w:rFonts w:ascii="Times New Roman" w:hAnsi="Times New Roman" w:eastAsia="宋体" w:cs="Times New Roman"/>
      <w:szCs w:val="24"/>
    </w:rPr>
  </w:style>
  <w:style w:type="paragraph" w:customStyle="1" w:styleId="299">
    <w:name w:val="标准正文格式"/>
    <w:basedOn w:val="1"/>
    <w:qFormat/>
    <w:uiPriority w:val="0"/>
    <w:pPr>
      <w:widowControl/>
      <w:adjustRightInd w:val="0"/>
      <w:spacing w:before="60" w:after="120" w:line="360" w:lineRule="auto"/>
      <w:ind w:firstLine="200" w:firstLineChars="200"/>
      <w:textAlignment w:val="baseline"/>
    </w:pPr>
    <w:rPr>
      <w:rFonts w:ascii="宋体" w:hAnsi="Times New Roman" w:eastAsia="仿宋_GB2312" w:cs="宋体"/>
      <w:color w:val="000000"/>
      <w:kern w:val="0"/>
      <w:sz w:val="24"/>
      <w:szCs w:val="20"/>
    </w:rPr>
  </w:style>
  <w:style w:type="paragraph" w:customStyle="1" w:styleId="300">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301">
    <w:name w:val="4"/>
    <w:basedOn w:val="1"/>
    <w:next w:val="36"/>
    <w:qFormat/>
    <w:uiPriority w:val="0"/>
    <w:pPr>
      <w:adjustRightInd w:val="0"/>
      <w:spacing w:after="120" w:line="480" w:lineRule="auto"/>
      <w:ind w:left="420" w:leftChars="200"/>
    </w:pPr>
    <w:rPr>
      <w:rFonts w:ascii="Times New Roman" w:hAnsi="Times New Roman" w:eastAsia="宋体" w:cs="Times New Roman"/>
      <w:sz w:val="24"/>
      <w:szCs w:val="20"/>
    </w:rPr>
  </w:style>
  <w:style w:type="paragraph" w:customStyle="1" w:styleId="302">
    <w:name w:val="Char Char1"/>
    <w:basedOn w:val="1"/>
    <w:qFormat/>
    <w:uiPriority w:val="0"/>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303">
    <w:name w:val="La0b"/>
    <w:basedOn w:val="1"/>
    <w:qFormat/>
    <w:uiPriority w:val="0"/>
    <w:pPr>
      <w:tabs>
        <w:tab w:val="left" w:pos="1500"/>
      </w:tabs>
      <w:spacing w:after="100" w:line="240" w:lineRule="exact"/>
      <w:ind w:left="1500" w:hanging="420" w:firstLineChars="200"/>
    </w:pPr>
    <w:rPr>
      <w:rFonts w:ascii="宋体" w:hAnsi="宋体" w:eastAsia="微软雅黑" w:cs="Times New Roman"/>
      <w:b/>
      <w:sz w:val="24"/>
      <w:szCs w:val="20"/>
    </w:rPr>
  </w:style>
  <w:style w:type="paragraph" w:customStyle="1" w:styleId="304">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305">
    <w:name w:val="默认段落样式"/>
    <w:basedOn w:val="232"/>
    <w:qFormat/>
    <w:uiPriority w:val="0"/>
    <w:pPr>
      <w:spacing w:before="0"/>
      <w:ind w:firstLine="480"/>
      <w:outlineLvl w:val="2"/>
    </w:pPr>
    <w:rPr>
      <w:rFonts w:ascii="仿宋_GB2312" w:hAnsi="宋体" w:eastAsia="仿宋_GB2312"/>
      <w:color w:val="000000"/>
      <w:szCs w:val="24"/>
    </w:rPr>
  </w:style>
  <w:style w:type="paragraph" w:customStyle="1" w:styleId="306">
    <w:name w:val="Char Char1 Char Char Char Char Char Char"/>
    <w:basedOn w:val="1"/>
    <w:qFormat/>
    <w:uiPriority w:val="0"/>
    <w:pPr>
      <w:adjustRightInd w:val="0"/>
    </w:pPr>
    <w:rPr>
      <w:rFonts w:ascii="仿宋_GB2312" w:hAnsi="Times New Roman" w:eastAsia="仿宋_GB2312" w:cs="Times New Roman"/>
      <w:b/>
      <w:sz w:val="32"/>
      <w:szCs w:val="20"/>
    </w:rPr>
  </w:style>
  <w:style w:type="paragraph" w:customStyle="1" w:styleId="307">
    <w:name w:val="正文4"/>
    <w:basedOn w:val="1"/>
    <w:qFormat/>
    <w:uiPriority w:val="0"/>
    <w:pPr>
      <w:tabs>
        <w:tab w:val="left" w:pos="720"/>
      </w:tabs>
      <w:spacing w:before="60" w:after="60" w:line="360" w:lineRule="auto"/>
      <w:ind w:left="575" w:leftChars="400" w:hanging="175" w:hangingChars="175"/>
    </w:pPr>
    <w:rPr>
      <w:rFonts w:ascii="Times New Roman" w:hAnsi="Times New Roman" w:eastAsia="宋体" w:cs="Times New Roman"/>
      <w:sz w:val="24"/>
      <w:szCs w:val="24"/>
    </w:rPr>
  </w:style>
  <w:style w:type="paragraph" w:customStyle="1" w:styleId="308">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309">
    <w:name w:val="文本正文 Char"/>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310">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311">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312">
    <w:name w:val="文章标题"/>
    <w:next w:val="31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313">
    <w:name w:val="封面公司名"/>
    <w:qFormat/>
    <w:uiPriority w:val="0"/>
    <w:pPr>
      <w:jc w:val="center"/>
    </w:pPr>
    <w:rPr>
      <w:rFonts w:ascii="Arial" w:hAnsi="Arial" w:eastAsia="楷体_GB2312" w:cs="宋体"/>
      <w:bCs/>
      <w:kern w:val="2"/>
      <w:sz w:val="28"/>
      <w:lang w:val="en-US" w:eastAsia="zh-CN" w:bidi="ar-SA"/>
    </w:rPr>
  </w:style>
  <w:style w:type="paragraph" w:customStyle="1" w:styleId="314">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315">
    <w:name w:val="默认段落字体 Para Char Char Char Char Char Char Char"/>
    <w:basedOn w:val="1"/>
    <w:qFormat/>
    <w:uiPriority w:val="0"/>
    <w:pPr>
      <w:adjustRightInd w:val="0"/>
    </w:pPr>
    <w:rPr>
      <w:rFonts w:ascii="Times New Roman" w:hAnsi="Times New Roman" w:eastAsia="仿宋_GB2312" w:cs="Times New Roman"/>
      <w:sz w:val="28"/>
      <w:szCs w:val="20"/>
    </w:rPr>
  </w:style>
  <w:style w:type="paragraph" w:customStyle="1" w:styleId="316">
    <w:name w:val="样式 仿宋_GB2312 小三 左侧:  1.06 厘米"/>
    <w:basedOn w:val="1"/>
    <w:qFormat/>
    <w:uiPriority w:val="0"/>
    <w:pPr>
      <w:adjustRightInd w:val="0"/>
      <w:spacing w:line="360" w:lineRule="auto"/>
      <w:ind w:left="601"/>
    </w:pPr>
    <w:rPr>
      <w:rFonts w:ascii="仿宋_GB2312" w:hAnsi="Times New Roman" w:eastAsia="仿宋_GB2312" w:cs="Times New Roman"/>
      <w:sz w:val="24"/>
      <w:szCs w:val="20"/>
    </w:rPr>
  </w:style>
  <w:style w:type="paragraph" w:customStyle="1" w:styleId="317">
    <w:name w:val="模板普通正文"/>
    <w:basedOn w:val="17"/>
    <w:qFormat/>
    <w:uiPriority w:val="0"/>
    <w:pPr>
      <w:adjustRightInd/>
      <w:spacing w:before="156" w:beforeLines="50" w:after="10" w:line="360" w:lineRule="auto"/>
      <w:ind w:left="0" w:leftChars="0" w:firstLine="175" w:firstLineChars="175"/>
      <w:jc w:val="left"/>
    </w:pPr>
    <w:rPr>
      <w:sz w:val="24"/>
      <w:lang w:val="zh-CN"/>
    </w:rPr>
  </w:style>
  <w:style w:type="paragraph" w:customStyle="1" w:styleId="318">
    <w:name w:val="trademark"/>
    <w:qFormat/>
    <w:uiPriority w:val="0"/>
    <w:pPr>
      <w:spacing w:after="60"/>
    </w:pPr>
    <w:rPr>
      <w:rFonts w:ascii="Futura Bk" w:hAnsi="Futura Bk" w:eastAsia="宋体" w:cs="Times New Roman"/>
      <w:sz w:val="15"/>
      <w:lang w:val="en-US" w:eastAsia="en-US" w:bidi="ar-SA"/>
    </w:rPr>
  </w:style>
  <w:style w:type="paragraph" w:customStyle="1" w:styleId="31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20">
    <w:name w:val="Char3"/>
    <w:basedOn w:val="1"/>
    <w:qFormat/>
    <w:uiPriority w:val="0"/>
    <w:rPr>
      <w:rFonts w:ascii="仿宋_GB2312" w:hAnsi="Times New Roman" w:eastAsia="仿宋_GB2312" w:cs="Times New Roman"/>
      <w:b/>
      <w:sz w:val="32"/>
      <w:szCs w:val="32"/>
    </w:rPr>
  </w:style>
  <w:style w:type="paragraph" w:customStyle="1" w:styleId="321">
    <w:name w:val="默认段落字体 Para Char"/>
    <w:basedOn w:val="1"/>
    <w:qFormat/>
    <w:uiPriority w:val="0"/>
    <w:pPr>
      <w:adjustRightInd w:val="0"/>
    </w:pPr>
    <w:rPr>
      <w:rFonts w:ascii="Tahoma" w:hAnsi="Tahoma" w:eastAsia="宋体" w:cs="Times New Roman"/>
      <w:sz w:val="24"/>
      <w:szCs w:val="20"/>
    </w:rPr>
  </w:style>
  <w:style w:type="paragraph" w:customStyle="1" w:styleId="322">
    <w:name w:val="solutionfonts1"/>
    <w:basedOn w:val="1"/>
    <w:qFormat/>
    <w:uiPriority w:val="0"/>
    <w:pPr>
      <w:widowControl/>
      <w:spacing w:before="100" w:beforeAutospacing="1" w:after="100" w:afterAutospacing="1"/>
      <w:ind w:firstLine="200" w:firstLineChars="200"/>
      <w:jc w:val="left"/>
    </w:pPr>
    <w:rPr>
      <w:rFonts w:ascii="宋体" w:hAnsi="宋体" w:eastAsia="宋体" w:cs="宋体"/>
      <w:kern w:val="0"/>
      <w:sz w:val="24"/>
      <w:szCs w:val="24"/>
    </w:rPr>
  </w:style>
  <w:style w:type="paragraph" w:customStyle="1" w:styleId="323">
    <w:name w:val="Char Char Char Char Char Char Char Char Char Char Char Char1 Char"/>
    <w:basedOn w:val="1"/>
    <w:qFormat/>
    <w:uiPriority w:val="0"/>
    <w:pPr>
      <w:adjustRightInd w:val="0"/>
    </w:pPr>
    <w:rPr>
      <w:rFonts w:ascii="Tahoma" w:hAnsi="Tahoma" w:eastAsia="宋体" w:cs="仿宋_GB2312"/>
      <w:sz w:val="24"/>
      <w:szCs w:val="20"/>
    </w:rPr>
  </w:style>
  <w:style w:type="paragraph" w:customStyle="1" w:styleId="324">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325">
    <w:name w:val="Char22"/>
    <w:basedOn w:val="1"/>
    <w:qFormat/>
    <w:uiPriority w:val="0"/>
    <w:pPr>
      <w:spacing w:line="360" w:lineRule="auto"/>
      <w:ind w:firstLine="480" w:firstLineChars="200"/>
    </w:pPr>
    <w:rPr>
      <w:rFonts w:ascii="仿宋_GB2312" w:hAnsi="Times New Roman" w:eastAsia="仿宋_GB2312" w:cs="Times New Roman"/>
      <w:b/>
      <w:sz w:val="32"/>
      <w:szCs w:val="32"/>
    </w:rPr>
  </w:style>
  <w:style w:type="paragraph" w:customStyle="1" w:styleId="326">
    <w:name w:val="Table Contents"/>
    <w:basedOn w:val="1"/>
    <w:qFormat/>
    <w:uiPriority w:val="0"/>
    <w:pPr>
      <w:suppressAutoHyphens/>
      <w:autoSpaceDE w:val="0"/>
      <w:adjustRightInd w:val="0"/>
      <w:spacing w:after="120"/>
      <w:jc w:val="left"/>
    </w:pPr>
    <w:rPr>
      <w:rFonts w:ascii="Helvetica" w:hAnsi="Helvetica" w:eastAsia="宋体" w:cs="Times New Roman"/>
      <w:kern w:val="1"/>
      <w:sz w:val="20"/>
      <w:szCs w:val="20"/>
    </w:rPr>
  </w:style>
  <w:style w:type="paragraph" w:customStyle="1" w:styleId="327">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328">
    <w:name w:val="Char Char11 Char Char Char Char Char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329">
    <w:name w:val="Char1 Char Char Char Char Char Char Char Char Char Char Char1 Char Char Char Char Char Char Char Char Char Char Char Char Char Char1 Char Char Char Char"/>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330">
    <w:name w:val="正文缩进1"/>
    <w:basedOn w:val="1"/>
    <w:next w:val="17"/>
    <w:qFormat/>
    <w:uiPriority w:val="0"/>
    <w:pPr>
      <w:autoSpaceDE w:val="0"/>
      <w:autoSpaceDN w:val="0"/>
      <w:adjustRightInd w:val="0"/>
      <w:snapToGrid w:val="0"/>
      <w:spacing w:after="120" w:line="360" w:lineRule="auto"/>
      <w:ind w:left="420" w:leftChars="200" w:firstLine="480" w:firstLineChars="200"/>
    </w:pPr>
    <w:rPr>
      <w:rFonts w:ascii="Times New Roman" w:hAnsi="Times New Roman" w:eastAsia="宋体" w:cs="Times New Roman"/>
      <w:sz w:val="24"/>
      <w:szCs w:val="21"/>
    </w:rPr>
  </w:style>
  <w:style w:type="paragraph" w:customStyle="1" w:styleId="331">
    <w:name w:val="左对齐表格文字"/>
    <w:basedOn w:val="1"/>
    <w:qFormat/>
    <w:uiPriority w:val="0"/>
    <w:pPr>
      <w:ind w:firstLine="200" w:firstLineChars="200"/>
      <w:jc w:val="right"/>
    </w:pPr>
    <w:rPr>
      <w:rFonts w:ascii="Times New Roman" w:hAnsi="Times New Roman" w:eastAsia="宋体" w:cs="Times New Roman"/>
      <w:szCs w:val="24"/>
    </w:rPr>
  </w:style>
  <w:style w:type="paragraph" w:customStyle="1" w:styleId="332">
    <w:name w:val="Char311"/>
    <w:basedOn w:val="1"/>
    <w:qFormat/>
    <w:uiPriority w:val="0"/>
    <w:pPr>
      <w:ind w:firstLine="200" w:firstLineChars="200"/>
    </w:pPr>
    <w:rPr>
      <w:rFonts w:ascii="Tahoma" w:hAnsi="Tahoma" w:eastAsia="宋体" w:cs="Times New Roman"/>
      <w:sz w:val="24"/>
      <w:szCs w:val="20"/>
    </w:rPr>
  </w:style>
  <w:style w:type="paragraph" w:customStyle="1" w:styleId="33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34">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cs="Times New Roman"/>
      <w:bCs/>
      <w:kern w:val="0"/>
      <w:sz w:val="44"/>
      <w:szCs w:val="44"/>
    </w:rPr>
  </w:style>
  <w:style w:type="paragraph" w:customStyle="1" w:styleId="33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36">
    <w:name w:val="彩色列表 - 强调文字颜色 11"/>
    <w:basedOn w:val="1"/>
    <w:qFormat/>
    <w:uiPriority w:val="0"/>
    <w:pPr>
      <w:ind w:firstLine="420" w:firstLineChars="200"/>
    </w:pPr>
    <w:rPr>
      <w:rFonts w:ascii="Calibri" w:hAnsi="Calibri" w:eastAsia="宋体" w:cs="Times New Roman"/>
    </w:rPr>
  </w:style>
  <w:style w:type="paragraph" w:customStyle="1" w:styleId="337">
    <w:name w:val="小节标题"/>
    <w:basedOn w:val="1"/>
    <w:qFormat/>
    <w:uiPriority w:val="0"/>
    <w:pPr>
      <w:autoSpaceDE w:val="0"/>
      <w:autoSpaceDN w:val="0"/>
      <w:adjustRightInd w:val="0"/>
      <w:spacing w:before="175" w:after="102" w:line="351" w:lineRule="atLeast"/>
      <w:ind w:firstLine="200" w:firstLineChars="200"/>
    </w:pPr>
    <w:rPr>
      <w:rFonts w:ascii="Times New Roman" w:hAnsi="Times New Roman" w:eastAsia="宋体" w:cs="Times New Roman"/>
      <w:color w:val="000000"/>
      <w:kern w:val="0"/>
      <w:szCs w:val="21"/>
    </w:rPr>
  </w:style>
  <w:style w:type="paragraph" w:customStyle="1" w:styleId="338">
    <w:name w:val="MM Topic 3"/>
    <w:basedOn w:val="5"/>
    <w:qFormat/>
    <w:uiPriority w:val="0"/>
    <w:pPr>
      <w:numPr>
        <w:numId w:val="5"/>
      </w:numPr>
      <w:tabs>
        <w:tab w:val="left" w:pos="840"/>
        <w:tab w:val="left" w:pos="1680"/>
      </w:tabs>
      <w:adjustRightInd/>
    </w:pPr>
  </w:style>
  <w:style w:type="paragraph" w:customStyle="1" w:styleId="339">
    <w:name w:val="Normal0"/>
    <w:qFormat/>
    <w:uiPriority w:val="0"/>
    <w:rPr>
      <w:rFonts w:ascii="Times New Roman" w:hAnsi="Times New Roman" w:eastAsia="宋体" w:cs="Times New Roman"/>
      <w:lang w:val="en-US" w:eastAsia="en-US" w:bidi="ar-SA"/>
    </w:rPr>
  </w:style>
  <w:style w:type="paragraph" w:customStyle="1" w:styleId="340">
    <w:name w:val="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341">
    <w:name w:val="Char Char Char Char Char Char Char Char Char"/>
    <w:basedOn w:val="1"/>
    <w:qFormat/>
    <w:uiPriority w:val="0"/>
    <w:pPr>
      <w:ind w:firstLine="200" w:firstLineChars="200"/>
    </w:pPr>
    <w:rPr>
      <w:rFonts w:ascii="Tahoma" w:hAnsi="Tahoma" w:eastAsia="宋体" w:cs="Times New Roman"/>
      <w:sz w:val="24"/>
      <w:szCs w:val="20"/>
    </w:rPr>
  </w:style>
  <w:style w:type="paragraph" w:customStyle="1" w:styleId="342">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43">
    <w:name w:val="小项目标题"/>
    <w:basedOn w:val="1"/>
    <w:qFormat/>
    <w:uiPriority w:val="0"/>
    <w:pPr>
      <w:spacing w:before="100" w:beforeAutospacing="1" w:after="100" w:afterAutospacing="1" w:line="360" w:lineRule="auto"/>
      <w:ind w:left="480" w:leftChars="200" w:firstLine="200" w:firstLineChars="200"/>
      <w:jc w:val="left"/>
    </w:pPr>
    <w:rPr>
      <w:rFonts w:ascii="Times New Roman" w:hAnsi="Times New Roman" w:eastAsia="宋体" w:cs="Times New Roman"/>
      <w:sz w:val="24"/>
      <w:szCs w:val="24"/>
    </w:rPr>
  </w:style>
  <w:style w:type="paragraph" w:customStyle="1" w:styleId="34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45">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346">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347">
    <w:name w:val="Char2"/>
    <w:basedOn w:val="1"/>
    <w:qFormat/>
    <w:uiPriority w:val="0"/>
    <w:pPr>
      <w:adjustRightInd w:val="0"/>
    </w:pPr>
    <w:rPr>
      <w:rFonts w:ascii="仿宋_GB2312" w:hAnsi="Times New Roman" w:eastAsia="仿宋_GB2312" w:cs="Times New Roman"/>
      <w:b/>
      <w:sz w:val="32"/>
      <w:szCs w:val="32"/>
    </w:rPr>
  </w:style>
  <w:style w:type="paragraph" w:customStyle="1" w:styleId="348">
    <w:name w:val="Char1 Char Char Char Char Char Char Char Char Char"/>
    <w:basedOn w:val="1"/>
    <w:qFormat/>
    <w:uiPriority w:val="0"/>
    <w:pPr>
      <w:spacing w:before="240" w:after="120" w:line="288" w:lineRule="auto"/>
      <w:ind w:firstLine="200" w:firstLineChars="200"/>
      <w:jc w:val="left"/>
    </w:pPr>
    <w:rPr>
      <w:rFonts w:ascii="Tahoma" w:hAnsi="Tahoma" w:eastAsia="宋体" w:cs="Times New Roman"/>
      <w:sz w:val="24"/>
      <w:szCs w:val="24"/>
    </w:rPr>
  </w:style>
  <w:style w:type="paragraph" w:customStyle="1" w:styleId="349">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cs="Times New Roman"/>
      <w:kern w:val="0"/>
      <w:sz w:val="32"/>
      <w:szCs w:val="32"/>
    </w:rPr>
  </w:style>
  <w:style w:type="paragraph" w:customStyle="1" w:styleId="350">
    <w:name w:val="样式 正文文本缩进 2 + 仿宋_GB2312 黑色 行距: 1.5 倍行距"/>
    <w:basedOn w:val="36"/>
    <w:qFormat/>
    <w:uiPriority w:val="0"/>
    <w:pPr>
      <w:adjustRightInd/>
      <w:ind w:firstLine="560" w:firstLineChars="200"/>
      <w:textAlignment w:val="auto"/>
    </w:pPr>
    <w:rPr>
      <w:rFonts w:hAnsi="宋体" w:cs="宋体"/>
      <w:color w:val="000000"/>
      <w:sz w:val="24"/>
    </w:rPr>
  </w:style>
  <w:style w:type="paragraph" w:customStyle="1" w:styleId="351">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352">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宋体" w:cs="Times New Roman"/>
      <w:kern w:val="0"/>
      <w:sz w:val="20"/>
      <w:szCs w:val="20"/>
      <w:lang w:eastAsia="en-US"/>
    </w:rPr>
  </w:style>
  <w:style w:type="paragraph" w:customStyle="1" w:styleId="353">
    <w:name w:val="插图说明"/>
    <w:basedOn w:val="1"/>
    <w:qFormat/>
    <w:uiPriority w:val="0"/>
    <w:pPr>
      <w:adjustRightInd w:val="0"/>
      <w:spacing w:after="240"/>
      <w:ind w:firstLine="200" w:firstLineChars="200"/>
      <w:jc w:val="center"/>
      <w:textAlignment w:val="baseline"/>
    </w:pPr>
    <w:rPr>
      <w:rFonts w:ascii="Times New Roman" w:hAnsi="Times New Roman" w:eastAsia="黑体" w:cs="Times New Roman"/>
      <w:sz w:val="24"/>
      <w:szCs w:val="20"/>
    </w:rPr>
  </w:style>
  <w:style w:type="paragraph" w:customStyle="1" w:styleId="354">
    <w:name w:val="Char Char Char"/>
    <w:basedOn w:val="1"/>
    <w:qFormat/>
    <w:uiPriority w:val="0"/>
    <w:pPr>
      <w:adjustRightInd w:val="0"/>
    </w:pPr>
    <w:rPr>
      <w:rFonts w:ascii="Tahoma" w:hAnsi="Tahoma" w:eastAsia="宋体" w:cs="Times New Roman"/>
      <w:sz w:val="24"/>
      <w:szCs w:val="20"/>
    </w:rPr>
  </w:style>
  <w:style w:type="paragraph" w:customStyle="1" w:styleId="355">
    <w:name w:val="MM Topic 4"/>
    <w:basedOn w:val="6"/>
    <w:qFormat/>
    <w:uiPriority w:val="0"/>
    <w:pPr>
      <w:numPr>
        <w:numId w:val="5"/>
      </w:numPr>
      <w:tabs>
        <w:tab w:val="left" w:pos="840"/>
        <w:tab w:val="left" w:pos="2100"/>
        <w:tab w:val="clear" w:pos="864"/>
      </w:tabs>
      <w:adjustRightInd/>
    </w:pPr>
    <w:rPr>
      <w:lang w:val="en-US"/>
    </w:rPr>
  </w:style>
  <w:style w:type="paragraph" w:customStyle="1" w:styleId="356">
    <w:name w:val="标准小四"/>
    <w:basedOn w:val="1"/>
    <w:qFormat/>
    <w:uiPriority w:val="0"/>
    <w:pPr>
      <w:adjustRightInd w:val="0"/>
      <w:spacing w:line="360" w:lineRule="auto"/>
      <w:ind w:firstLine="480" w:firstLineChars="200"/>
    </w:pPr>
    <w:rPr>
      <w:rFonts w:ascii="Arial" w:hAnsi="Arial" w:eastAsia="宋体" w:cs="Times New Roman"/>
      <w:sz w:val="24"/>
      <w:szCs w:val="21"/>
    </w:rPr>
  </w:style>
  <w:style w:type="paragraph" w:customStyle="1" w:styleId="357">
    <w:name w:val="MM Topic 2"/>
    <w:basedOn w:val="4"/>
    <w:qFormat/>
    <w:uiPriority w:val="0"/>
    <w:pPr>
      <w:numPr>
        <w:ilvl w:val="1"/>
        <w:numId w:val="5"/>
      </w:numPr>
    </w:pPr>
    <w:rPr>
      <w:rFonts w:ascii="Arial" w:hAnsi="Arial" w:eastAsia="黑体"/>
      <w:lang w:val="en-US"/>
    </w:rPr>
  </w:style>
  <w:style w:type="paragraph" w:customStyle="1" w:styleId="358">
    <w:name w:val="表格标题2"/>
    <w:basedOn w:val="359"/>
    <w:qFormat/>
    <w:uiPriority w:val="0"/>
    <w:rPr>
      <w:b/>
    </w:rPr>
  </w:style>
  <w:style w:type="paragraph" w:customStyle="1" w:styleId="359">
    <w:name w:val="表格内文"/>
    <w:basedOn w:val="1"/>
    <w:qFormat/>
    <w:uiPriority w:val="0"/>
    <w:pPr>
      <w:spacing w:line="360" w:lineRule="auto"/>
    </w:pPr>
    <w:rPr>
      <w:rFonts w:ascii="宋体" w:hAnsi="宋体" w:eastAsia="宋体" w:cs="宋体"/>
      <w:color w:val="000000"/>
      <w:szCs w:val="20"/>
    </w:rPr>
  </w:style>
  <w:style w:type="paragraph" w:customStyle="1" w:styleId="360">
    <w:name w:val="Preformatted Text"/>
    <w:basedOn w:val="1"/>
    <w:qFormat/>
    <w:uiPriority w:val="0"/>
    <w:pPr>
      <w:suppressAutoHyphens/>
      <w:ind w:firstLine="200" w:firstLineChars="200"/>
    </w:pPr>
    <w:rPr>
      <w:rFonts w:ascii="Cumberland" w:hAnsi="Cumberland" w:eastAsia="方正宋体" w:cs="Times New Roman"/>
      <w:kern w:val="1"/>
      <w:sz w:val="20"/>
      <w:szCs w:val="20"/>
      <w:lang w:eastAsia="ar-SA"/>
    </w:rPr>
  </w:style>
  <w:style w:type="paragraph" w:customStyle="1" w:styleId="361">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cs="Times New Roman"/>
      <w:kern w:val="0"/>
      <w:sz w:val="20"/>
      <w:szCs w:val="20"/>
    </w:rPr>
  </w:style>
  <w:style w:type="paragraph" w:customStyle="1" w:styleId="362">
    <w:name w:val="Char Char11 Char Char Char Char Char Char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363">
    <w:name w:val="Char Char Char Char Char Char Char Char Char Char Char1 Char"/>
    <w:basedOn w:val="1"/>
    <w:qFormat/>
    <w:uiPriority w:val="0"/>
    <w:rPr>
      <w:rFonts w:ascii="Tahoma" w:hAnsi="Tahoma" w:eastAsia="宋体" w:cs="Times New Roman"/>
      <w:sz w:val="24"/>
      <w:szCs w:val="24"/>
    </w:rPr>
  </w:style>
  <w:style w:type="paragraph" w:customStyle="1" w:styleId="364">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65">
    <w:name w:val="a1"/>
    <w:basedOn w:val="1"/>
    <w:qFormat/>
    <w:uiPriority w:val="0"/>
    <w:pPr>
      <w:widowControl/>
      <w:adjustRightInd w:val="0"/>
      <w:spacing w:line="300" w:lineRule="atLeast"/>
      <w:jc w:val="left"/>
    </w:pPr>
    <w:rPr>
      <w:rFonts w:ascii="宋体" w:hAnsi="宋体" w:eastAsia="宋体" w:cs="Times New Roman"/>
      <w:kern w:val="0"/>
      <w:sz w:val="18"/>
      <w:szCs w:val="20"/>
    </w:rPr>
  </w:style>
  <w:style w:type="paragraph" w:customStyle="1" w:styleId="366">
    <w:name w:val="font8"/>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paragraph" w:customStyle="1" w:styleId="367">
    <w:name w:val="Char"/>
    <w:basedOn w:val="1"/>
    <w:qFormat/>
    <w:uiPriority w:val="0"/>
    <w:pPr>
      <w:adjustRightInd w:val="0"/>
    </w:pPr>
    <w:rPr>
      <w:rFonts w:ascii="仿宋_GB2312" w:hAnsi="Times New Roman" w:eastAsia="仿宋_GB2312" w:cs="Times New Roman"/>
      <w:b/>
      <w:sz w:val="32"/>
      <w:szCs w:val="32"/>
    </w:rPr>
  </w:style>
  <w:style w:type="paragraph" w:customStyle="1" w:styleId="368">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369">
    <w:name w:val="正文（首行缩进）"/>
    <w:basedOn w:val="17"/>
    <w:qFormat/>
    <w:uiPriority w:val="0"/>
    <w:pPr>
      <w:widowControl/>
      <w:tabs>
        <w:tab w:val="left" w:pos="840"/>
      </w:tabs>
      <w:overflowPunct w:val="0"/>
      <w:autoSpaceDE w:val="0"/>
      <w:autoSpaceDN w:val="0"/>
      <w:spacing w:before="156" w:beforeLines="50" w:line="400" w:lineRule="exact"/>
      <w:ind w:left="200" w:firstLine="200" w:firstLineChars="200"/>
      <w:jc w:val="left"/>
      <w:textAlignment w:val="baseline"/>
    </w:pPr>
    <w:rPr>
      <w:spacing w:val="10"/>
      <w:kern w:val="0"/>
      <w:sz w:val="24"/>
      <w:szCs w:val="20"/>
      <w:lang w:val="zh-CN"/>
    </w:rPr>
  </w:style>
  <w:style w:type="paragraph" w:customStyle="1" w:styleId="370">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371">
    <w:name w:val="Char Char11 Char Char Char Char Char Char Char Char Char Char Char Char Char111"/>
    <w:basedOn w:val="1"/>
    <w:qFormat/>
    <w:uiPriority w:val="0"/>
    <w:pPr>
      <w:spacing w:line="360" w:lineRule="auto"/>
    </w:pPr>
    <w:rPr>
      <w:rFonts w:ascii="Arial" w:hAnsi="Arial" w:eastAsia="黑体" w:cs="Arial"/>
      <w:snapToGrid w:val="0"/>
      <w:kern w:val="0"/>
      <w:szCs w:val="21"/>
    </w:rPr>
  </w:style>
  <w:style w:type="paragraph" w:customStyle="1" w:styleId="372">
    <w:name w:val="Char3 Char Char Char"/>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373">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374">
    <w:name w:val="正文1"/>
    <w:basedOn w:val="31"/>
    <w:link w:val="878"/>
    <w:qFormat/>
    <w:uiPriority w:val="0"/>
    <w:pPr>
      <w:ind w:left="0" w:leftChars="0" w:firstLine="480" w:firstLineChars="200"/>
    </w:pPr>
    <w:rPr>
      <w:rFonts w:ascii="仿宋_GB2312" w:hAnsi="Courier New" w:eastAsia="仿宋_GB2312"/>
      <w:kern w:val="28"/>
      <w:sz w:val="24"/>
    </w:rPr>
  </w:style>
  <w:style w:type="paragraph" w:customStyle="1" w:styleId="37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376">
    <w:name w:val="段"/>
    <w:link w:val="879"/>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78">
    <w:name w:val="样式 正文文本缩进 + 左侧:  2 字符 首行缩进:  2 字符"/>
    <w:basedOn w:val="17"/>
    <w:qFormat/>
    <w:uiPriority w:val="0"/>
    <w:pPr>
      <w:tabs>
        <w:tab w:val="left" w:pos="360"/>
        <w:tab w:val="left" w:pos="540"/>
      </w:tabs>
      <w:adjustRightInd/>
      <w:spacing w:after="0" w:line="520" w:lineRule="exact"/>
      <w:ind w:left="200" w:leftChars="0" w:firstLine="560" w:firstLineChars="200"/>
    </w:pPr>
    <w:rPr>
      <w:rFonts w:ascii="仿宋_GB2312" w:eastAsia="仿宋_GB2312"/>
      <w:sz w:val="28"/>
      <w:szCs w:val="20"/>
      <w:lang w:val="zh-CN"/>
    </w:rPr>
  </w:style>
  <w:style w:type="paragraph" w:customStyle="1" w:styleId="379">
    <w:name w:val="中等深浅网格 1 - 强调文字颜色 21"/>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380">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eastAsia="宋体" w:cs="Times New Roman"/>
      <w:kern w:val="0"/>
      <w:sz w:val="18"/>
      <w:szCs w:val="20"/>
    </w:rPr>
  </w:style>
  <w:style w:type="paragraph" w:customStyle="1" w:styleId="381">
    <w:name w:val="Char Char1 Char Char1 Char Char1"/>
    <w:basedOn w:val="1"/>
    <w:qFormat/>
    <w:uiPriority w:val="0"/>
    <w:pPr>
      <w:tabs>
        <w:tab w:val="left" w:pos="840"/>
      </w:tabs>
      <w:adjustRightInd w:val="0"/>
      <w:ind w:left="840" w:hanging="420"/>
    </w:pPr>
    <w:rPr>
      <w:rFonts w:ascii="Tahoma" w:hAnsi="Tahoma" w:eastAsia="宋体" w:cs="Times New Roman"/>
      <w:sz w:val="24"/>
      <w:szCs w:val="24"/>
    </w:rPr>
  </w:style>
  <w:style w:type="paragraph" w:customStyle="1" w:styleId="382">
    <w:name w:val="zTableCellBody"/>
    <w:basedOn w:val="1"/>
    <w:qFormat/>
    <w:uiPriority w:val="0"/>
    <w:pPr>
      <w:keepNext/>
      <w:keepLines/>
      <w:widowControl/>
      <w:spacing w:line="320" w:lineRule="exact"/>
      <w:ind w:firstLine="200" w:firstLineChars="200"/>
      <w:jc w:val="left"/>
    </w:pPr>
    <w:rPr>
      <w:rFonts w:ascii="Arial" w:hAnsi="Arial" w:eastAsia="宋体" w:cs="Times New Roman"/>
      <w:kern w:val="0"/>
      <w:sz w:val="24"/>
      <w:szCs w:val="24"/>
      <w:lang w:eastAsia="en-US"/>
    </w:rPr>
  </w:style>
  <w:style w:type="paragraph" w:customStyle="1" w:styleId="383">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84">
    <w:name w:val="默认段落字体 Para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385">
    <w:name w:val="公文正文"/>
    <w:basedOn w:val="1"/>
    <w:link w:val="784"/>
    <w:qFormat/>
    <w:uiPriority w:val="0"/>
    <w:pPr>
      <w:spacing w:before="156" w:line="360" w:lineRule="auto"/>
      <w:ind w:firstLine="360" w:firstLineChars="200"/>
    </w:pPr>
    <w:rPr>
      <w:rFonts w:ascii="仿宋_GB2312" w:hAnsi="Times New Roman" w:eastAsia="仿宋_GB2312" w:cs="Times New Roman"/>
      <w:sz w:val="24"/>
      <w:szCs w:val="24"/>
      <w:lang w:val="zh-CN"/>
    </w:rPr>
  </w:style>
  <w:style w:type="paragraph" w:customStyle="1" w:styleId="38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7">
    <w:name w:val="样式 宋体 行距: 1.5 倍行距 首行缩进:  2 字符"/>
    <w:basedOn w:val="1"/>
    <w:qFormat/>
    <w:uiPriority w:val="0"/>
    <w:pPr>
      <w:spacing w:line="360" w:lineRule="auto"/>
      <w:ind w:firstLine="420" w:firstLineChars="200"/>
    </w:pPr>
    <w:rPr>
      <w:rFonts w:ascii="宋体" w:hAnsi="宋体" w:eastAsia="宋体" w:cs="Times New Roman"/>
      <w:sz w:val="24"/>
      <w:szCs w:val="20"/>
    </w:rPr>
  </w:style>
  <w:style w:type="paragraph" w:customStyle="1" w:styleId="388">
    <w:name w:val="f9a style88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389">
    <w:name w:val="正文21"/>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390">
    <w:name w:val="列出段落2"/>
    <w:basedOn w:val="1"/>
    <w:qFormat/>
    <w:uiPriority w:val="0"/>
    <w:pPr>
      <w:ind w:firstLine="420" w:firstLineChars="200"/>
    </w:pPr>
    <w:rPr>
      <w:rFonts w:ascii="宋体" w:hAnsi="宋体" w:eastAsia="宋体" w:cs="Times New Roman"/>
      <w:sz w:val="24"/>
      <w:szCs w:val="24"/>
    </w:rPr>
  </w:style>
  <w:style w:type="paragraph" w:customStyle="1" w:styleId="391">
    <w:name w:val="封面"/>
    <w:basedOn w:val="1"/>
    <w:qFormat/>
    <w:uiPriority w:val="0"/>
    <w:pPr>
      <w:adjustRightInd w:val="0"/>
      <w:spacing w:line="360" w:lineRule="atLeast"/>
      <w:jc w:val="right"/>
      <w:textAlignment w:val="baseline"/>
    </w:pPr>
    <w:rPr>
      <w:rFonts w:ascii="Symbol" w:hAnsi="Symbol" w:eastAsia="宋体" w:cs="Times New Roman"/>
      <w:kern w:val="0"/>
      <w:szCs w:val="20"/>
    </w:rPr>
  </w:style>
  <w:style w:type="paragraph" w:customStyle="1" w:styleId="392">
    <w:name w:val="Char Char1 Char"/>
    <w:basedOn w:val="1"/>
    <w:qFormat/>
    <w:uiPriority w:val="0"/>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393">
    <w:name w:val="Char Char Char Char Char Char1 Char"/>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39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395">
    <w:name w:val="Char Char1 Char Char Char Char Char Char11"/>
    <w:basedOn w:val="1"/>
    <w:qFormat/>
    <w:uiPriority w:val="0"/>
    <w:pPr>
      <w:adjustRightInd w:val="0"/>
    </w:pPr>
    <w:rPr>
      <w:rFonts w:ascii="仿宋_GB2312" w:hAnsi="Times New Roman" w:eastAsia="仿宋_GB2312" w:cs="Times New Roman"/>
      <w:b/>
      <w:sz w:val="32"/>
      <w:szCs w:val="20"/>
    </w:rPr>
  </w:style>
  <w:style w:type="paragraph" w:customStyle="1" w:styleId="396">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397">
    <w:name w:val="样式 正1 + 首行缩进:  2 字符"/>
    <w:basedOn w:val="1"/>
    <w:qFormat/>
    <w:uiPriority w:val="0"/>
    <w:pPr>
      <w:spacing w:line="360" w:lineRule="auto"/>
      <w:ind w:firstLine="480" w:firstLineChars="200"/>
    </w:pPr>
    <w:rPr>
      <w:rFonts w:ascii="仿宋_GB2312" w:hAnsi="Times New Roman" w:eastAsia="仿宋_GB2312" w:cs="Times New Roman"/>
      <w:sz w:val="24"/>
      <w:szCs w:val="24"/>
    </w:rPr>
  </w:style>
  <w:style w:type="paragraph" w:customStyle="1" w:styleId="398">
    <w:name w:val="样式4"/>
    <w:basedOn w:val="1"/>
    <w:qFormat/>
    <w:uiPriority w:val="0"/>
    <w:pPr>
      <w:adjustRightInd w:val="0"/>
      <w:spacing w:line="360" w:lineRule="auto"/>
      <w:ind w:firstLine="420"/>
      <w:jc w:val="center"/>
      <w:outlineLvl w:val="2"/>
    </w:pPr>
    <w:rPr>
      <w:rFonts w:ascii="仿宋_GB2312" w:hAnsi="仿宋" w:eastAsia="仿宋_GB2312" w:cs="Times New Roman"/>
      <w:b/>
      <w:sz w:val="32"/>
      <w:szCs w:val="32"/>
    </w:rPr>
  </w:style>
  <w:style w:type="paragraph" w:customStyle="1" w:styleId="399">
    <w:name w:val="正文（首行缩进2字符）"/>
    <w:basedOn w:val="1"/>
    <w:qFormat/>
    <w:uiPriority w:val="0"/>
    <w:pPr>
      <w:spacing w:line="360" w:lineRule="auto"/>
      <w:ind w:firstLine="480" w:firstLineChars="200"/>
    </w:pPr>
    <w:rPr>
      <w:rFonts w:ascii="Times New Roman" w:hAnsi="Times New Roman" w:eastAsia="宋体" w:cs="Times New Roman"/>
      <w:sz w:val="24"/>
      <w:szCs w:val="20"/>
    </w:rPr>
  </w:style>
  <w:style w:type="paragraph" w:customStyle="1" w:styleId="40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01">
    <w:name w:val="表文字"/>
    <w:qFormat/>
    <w:uiPriority w:val="0"/>
    <w:rPr>
      <w:rFonts w:ascii="宋体" w:hAnsi="Times New Roman" w:eastAsia="宋体" w:cs="Times New Roman"/>
      <w:kern w:val="2"/>
      <w:lang w:val="en-US" w:eastAsia="zh-CN" w:bidi="ar-SA"/>
    </w:rPr>
  </w:style>
  <w:style w:type="paragraph" w:customStyle="1" w:styleId="402">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403">
    <w:name w:val="Char1"/>
    <w:basedOn w:val="1"/>
    <w:qFormat/>
    <w:uiPriority w:val="0"/>
    <w:pPr>
      <w:widowControl/>
      <w:adjustRightInd w:val="0"/>
      <w:spacing w:after="160" w:line="240" w:lineRule="exact"/>
      <w:jc w:val="left"/>
    </w:pPr>
    <w:rPr>
      <w:rFonts w:ascii="Verdana" w:hAnsi="Verdana" w:eastAsia="仿宋_GB2312" w:cs="Times New Roman"/>
      <w:kern w:val="0"/>
      <w:sz w:val="24"/>
      <w:szCs w:val="20"/>
      <w:lang w:eastAsia="en-US"/>
    </w:rPr>
  </w:style>
  <w:style w:type="paragraph" w:customStyle="1" w:styleId="404">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hAnsi="Times New Roman" w:eastAsia="新宋体" w:cs="Times New Roman"/>
      <w:sz w:val="24"/>
      <w:szCs w:val="20"/>
    </w:rPr>
  </w:style>
  <w:style w:type="paragraph" w:customStyle="1" w:styleId="405">
    <w:name w:val="有符号正文"/>
    <w:basedOn w:val="1"/>
    <w:qFormat/>
    <w:uiPriority w:val="0"/>
    <w:pPr>
      <w:spacing w:line="400" w:lineRule="exact"/>
      <w:ind w:firstLine="200" w:firstLineChars="200"/>
    </w:pPr>
    <w:rPr>
      <w:rFonts w:ascii="Arial" w:hAnsi="Arial" w:eastAsia="宋体" w:cs="Times New Roman"/>
      <w:szCs w:val="24"/>
    </w:rPr>
  </w:style>
  <w:style w:type="paragraph" w:customStyle="1" w:styleId="406">
    <w:name w:val="数字标题5"/>
    <w:basedOn w:val="7"/>
    <w:next w:val="1"/>
    <w:qFormat/>
    <w:uiPriority w:val="0"/>
    <w:pPr>
      <w:numPr>
        <w:numId w:val="6"/>
      </w:numPr>
      <w:tabs>
        <w:tab w:val="left" w:pos="480"/>
        <w:tab w:val="left" w:pos="1080"/>
      </w:tabs>
    </w:pPr>
  </w:style>
  <w:style w:type="paragraph" w:customStyle="1" w:styleId="407">
    <w:name w:val="Char1111"/>
    <w:basedOn w:val="1"/>
    <w:qFormat/>
    <w:uiPriority w:val="0"/>
    <w:pPr>
      <w:adjustRightInd w:val="0"/>
    </w:pPr>
    <w:rPr>
      <w:rFonts w:ascii="仿宋_GB2312" w:hAnsi="Times New Roman" w:eastAsia="仿宋_GB2312" w:cs="Times New Roman"/>
      <w:b/>
      <w:sz w:val="32"/>
      <w:szCs w:val="32"/>
    </w:rPr>
  </w:style>
  <w:style w:type="paragraph" w:customStyle="1" w:styleId="408">
    <w:name w:val="规范正文"/>
    <w:basedOn w:val="1"/>
    <w:qFormat/>
    <w:uiPriority w:val="0"/>
    <w:pPr>
      <w:tabs>
        <w:tab w:val="left" w:pos="840"/>
      </w:tabs>
      <w:adjustRightInd w:val="0"/>
      <w:spacing w:before="156" w:beforeLines="50" w:line="360" w:lineRule="auto"/>
      <w:ind w:left="840" w:hanging="420"/>
      <w:textAlignment w:val="baseline"/>
    </w:pPr>
    <w:rPr>
      <w:rFonts w:ascii="Times New Roman" w:hAnsi="Times New Roman" w:eastAsia="宋体" w:cs="Times New Roman"/>
      <w:szCs w:val="20"/>
    </w:rPr>
  </w:style>
  <w:style w:type="paragraph" w:customStyle="1" w:styleId="40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410">
    <w:name w:val="加粗正文"/>
    <w:basedOn w:val="1"/>
    <w:qFormat/>
    <w:uiPriority w:val="0"/>
    <w:pPr>
      <w:spacing w:before="156" w:beforeLines="50" w:after="156" w:afterLines="50" w:line="360" w:lineRule="auto"/>
      <w:ind w:firstLine="422" w:firstLineChars="200"/>
    </w:pPr>
    <w:rPr>
      <w:rFonts w:ascii="Times New Roman" w:hAnsi="Times New Roman" w:eastAsia="宋体" w:cs="Times New Roman"/>
      <w:b/>
      <w:bCs/>
      <w:szCs w:val="21"/>
    </w:rPr>
  </w:style>
  <w:style w:type="paragraph" w:customStyle="1" w:styleId="411">
    <w:name w:val="Char Char11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412">
    <w:name w:val="Char Char Char11"/>
    <w:basedOn w:val="1"/>
    <w:qFormat/>
    <w:uiPriority w:val="0"/>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413">
    <w:name w:val="Char Char1111"/>
    <w:basedOn w:val="1"/>
    <w:qFormat/>
    <w:uiPriority w:val="0"/>
    <w:pPr>
      <w:adjustRightInd w:val="0"/>
      <w:spacing w:line="360" w:lineRule="auto"/>
    </w:pPr>
    <w:rPr>
      <w:rFonts w:ascii="Times New Roman" w:hAnsi="Times New Roman" w:eastAsia="宋体" w:cs="Times New Roman"/>
      <w:szCs w:val="20"/>
    </w:rPr>
  </w:style>
  <w:style w:type="paragraph" w:customStyle="1" w:styleId="414">
    <w:name w:val="文档正文"/>
    <w:basedOn w:val="1"/>
    <w:qFormat/>
    <w:uiPriority w:val="0"/>
    <w:pPr>
      <w:adjustRightInd w:val="0"/>
      <w:spacing w:line="480" w:lineRule="atLeast"/>
      <w:ind w:firstLine="567"/>
      <w:textAlignment w:val="baseline"/>
    </w:pPr>
    <w:rPr>
      <w:rFonts w:ascii="Times New Roman" w:hAnsi="Times New Roman" w:eastAsia="宋体" w:cs="Times New Roman"/>
      <w:kern w:val="0"/>
      <w:sz w:val="24"/>
      <w:szCs w:val="20"/>
    </w:rPr>
  </w:style>
  <w:style w:type="paragraph" w:customStyle="1" w:styleId="415">
    <w:name w:val="legal"/>
    <w:basedOn w:val="1"/>
    <w:qFormat/>
    <w:uiPriority w:val="0"/>
    <w:pPr>
      <w:widowControl/>
      <w:spacing w:line="180" w:lineRule="exact"/>
      <w:ind w:firstLine="200" w:firstLineChars="200"/>
      <w:jc w:val="left"/>
    </w:pPr>
    <w:rPr>
      <w:rFonts w:ascii="Futura Bk" w:hAnsi="Futura Bk" w:eastAsia="宋体" w:cs="Futura Bk"/>
      <w:kern w:val="0"/>
      <w:sz w:val="13"/>
      <w:szCs w:val="13"/>
    </w:rPr>
  </w:style>
  <w:style w:type="paragraph" w:customStyle="1" w:styleId="416">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417">
    <w:name w:val="Char1 Char Char Char3"/>
    <w:basedOn w:val="1"/>
    <w:qFormat/>
    <w:uiPriority w:val="0"/>
    <w:pPr>
      <w:ind w:firstLine="200" w:firstLineChars="200"/>
    </w:pPr>
    <w:rPr>
      <w:rFonts w:ascii="Tahoma" w:hAnsi="Tahoma" w:eastAsia="宋体" w:cs="Times New Roman"/>
      <w:sz w:val="24"/>
      <w:szCs w:val="20"/>
    </w:rPr>
  </w:style>
  <w:style w:type="paragraph" w:customStyle="1" w:styleId="418">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419">
    <w:name w:val="样式 左侧:  0.85 厘米 首行缩进:  0.85 厘米"/>
    <w:basedOn w:val="1"/>
    <w:qFormat/>
    <w:uiPriority w:val="0"/>
    <w:pPr>
      <w:spacing w:line="360" w:lineRule="auto"/>
      <w:ind w:firstLine="482"/>
    </w:pPr>
    <w:rPr>
      <w:rFonts w:ascii="Times New Roman" w:hAnsi="Times New Roman" w:eastAsia="宋体" w:cs="宋体"/>
      <w:sz w:val="24"/>
      <w:szCs w:val="20"/>
    </w:rPr>
  </w:style>
  <w:style w:type="paragraph" w:customStyle="1" w:styleId="420">
    <w:name w:val="Char2 Char Char Char"/>
    <w:basedOn w:val="1"/>
    <w:qFormat/>
    <w:uiPriority w:val="0"/>
    <w:pPr>
      <w:adjustRightInd w:val="0"/>
    </w:pPr>
    <w:rPr>
      <w:rFonts w:ascii="仿宋_GB2312" w:hAnsi="Times New Roman" w:eastAsia="仿宋_GB2312" w:cs="Times New Roman"/>
      <w:b/>
      <w:sz w:val="32"/>
      <w:szCs w:val="32"/>
    </w:rPr>
  </w:style>
  <w:style w:type="paragraph" w:customStyle="1" w:styleId="421">
    <w:name w:val="Body"/>
    <w:basedOn w:val="1"/>
    <w:qFormat/>
    <w:uiPriority w:val="0"/>
    <w:pPr>
      <w:widowControl/>
      <w:spacing w:before="120" w:after="120" w:line="240" w:lineRule="exact"/>
      <w:ind w:firstLine="200" w:firstLineChars="200"/>
      <w:jc w:val="left"/>
    </w:pPr>
    <w:rPr>
      <w:rFonts w:ascii="Arial" w:hAnsi="Arial" w:eastAsia="宋体" w:cs="Times New Roman"/>
      <w:kern w:val="0"/>
      <w:sz w:val="20"/>
      <w:szCs w:val="20"/>
      <w:lang w:eastAsia="en-US"/>
    </w:rPr>
  </w:style>
  <w:style w:type="paragraph" w:customStyle="1" w:styleId="422">
    <w:name w:val="MM Topic 5"/>
    <w:basedOn w:val="7"/>
    <w:qFormat/>
    <w:uiPriority w:val="0"/>
    <w:pPr>
      <w:numPr>
        <w:numId w:val="5"/>
      </w:numPr>
      <w:tabs>
        <w:tab w:val="left" w:pos="840"/>
        <w:tab w:val="left" w:pos="2520"/>
      </w:tabs>
      <w:adjustRightInd/>
    </w:pPr>
  </w:style>
  <w:style w:type="paragraph" w:customStyle="1" w:styleId="42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424">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eastAsia="宋体" w:cs="Times New Roman"/>
      <w:color w:val="000000"/>
      <w:kern w:val="0"/>
      <w:sz w:val="28"/>
      <w:szCs w:val="28"/>
    </w:rPr>
  </w:style>
  <w:style w:type="paragraph" w:customStyle="1" w:styleId="425">
    <w:name w:val="默认段落字体 Para Char Char Char Char Char Char Char Char Char Char Char Char Char Char Char Char Char Char Char"/>
    <w:basedOn w:val="1"/>
    <w:qFormat/>
    <w:uiPriority w:val="0"/>
    <w:pPr>
      <w:adjustRightInd w:val="0"/>
    </w:pPr>
    <w:rPr>
      <w:rFonts w:ascii="Tahoma" w:hAnsi="Tahoma" w:eastAsia="宋体" w:cs="Times New Roman"/>
      <w:sz w:val="24"/>
      <w:szCs w:val="20"/>
    </w:rPr>
  </w:style>
  <w:style w:type="paragraph" w:customStyle="1" w:styleId="426">
    <w:name w:val="Char1 Char Char Char2"/>
    <w:basedOn w:val="1"/>
    <w:qFormat/>
    <w:uiPriority w:val="0"/>
    <w:pPr>
      <w:ind w:firstLine="200" w:firstLineChars="200"/>
    </w:pPr>
    <w:rPr>
      <w:rFonts w:ascii="Tahoma" w:hAnsi="Tahoma" w:eastAsia="宋体" w:cs="Times New Roman"/>
      <w:sz w:val="24"/>
      <w:szCs w:val="20"/>
    </w:rPr>
  </w:style>
  <w:style w:type="paragraph" w:customStyle="1" w:styleId="427">
    <w:name w:val="列出段落1"/>
    <w:basedOn w:val="1"/>
    <w:qFormat/>
    <w:uiPriority w:val="0"/>
    <w:pPr>
      <w:spacing w:line="360" w:lineRule="auto"/>
      <w:ind w:firstLine="420" w:firstLineChars="200"/>
    </w:pPr>
    <w:rPr>
      <w:rFonts w:ascii="Calibri" w:hAnsi="Calibri" w:eastAsia="宋体" w:cs="Times New Roman"/>
      <w:sz w:val="24"/>
    </w:rPr>
  </w:style>
  <w:style w:type="paragraph" w:customStyle="1" w:styleId="428">
    <w:name w:val="Char1 Char Char Char"/>
    <w:basedOn w:val="1"/>
    <w:qFormat/>
    <w:uiPriority w:val="0"/>
    <w:pPr>
      <w:adjustRightInd w:val="0"/>
    </w:pPr>
    <w:rPr>
      <w:rFonts w:ascii="Tahoma" w:hAnsi="Tahoma" w:eastAsia="宋体" w:cs="Times New Roman"/>
      <w:sz w:val="24"/>
      <w:szCs w:val="20"/>
    </w:rPr>
  </w:style>
  <w:style w:type="paragraph" w:customStyle="1" w:styleId="429">
    <w:name w:val="正文文本 22"/>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430">
    <w:name w:val="正文3"/>
    <w:basedOn w:val="1"/>
    <w:qFormat/>
    <w:uiPriority w:val="0"/>
    <w:pPr>
      <w:spacing w:before="156" w:beforeLines="50" w:after="156" w:afterLines="50" w:line="360" w:lineRule="auto"/>
      <w:outlineLvl w:val="8"/>
    </w:pPr>
    <w:rPr>
      <w:rFonts w:ascii="Segoe UI" w:hAnsi="宋体" w:eastAsia="楷体_GB2312" w:cs="Latha"/>
      <w:sz w:val="24"/>
      <w:szCs w:val="21"/>
    </w:rPr>
  </w:style>
  <w:style w:type="paragraph" w:customStyle="1" w:styleId="431">
    <w:name w:val="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432">
    <w:name w:val="Char2 Char Char Char11"/>
    <w:basedOn w:val="1"/>
    <w:qFormat/>
    <w:uiPriority w:val="0"/>
    <w:pPr>
      <w:adjustRightInd w:val="0"/>
    </w:pPr>
    <w:rPr>
      <w:rFonts w:ascii="仿宋_GB2312" w:hAnsi="Times New Roman" w:eastAsia="仿宋_GB2312" w:cs="Times New Roman"/>
      <w:b/>
      <w:sz w:val="32"/>
      <w:szCs w:val="32"/>
    </w:rPr>
  </w:style>
  <w:style w:type="paragraph" w:customStyle="1" w:styleId="433">
    <w:name w:val="Char Char11 Char Char Char Char Char Char Char Char Char Char Char Char Char"/>
    <w:basedOn w:val="1"/>
    <w:qFormat/>
    <w:uiPriority w:val="0"/>
    <w:pPr>
      <w:spacing w:line="360" w:lineRule="auto"/>
    </w:pPr>
    <w:rPr>
      <w:rFonts w:ascii="Arial" w:hAnsi="Arial" w:eastAsia="黑体" w:cs="Times New Roman"/>
      <w:snapToGrid w:val="0"/>
      <w:kern w:val="0"/>
      <w:sz w:val="20"/>
      <w:szCs w:val="21"/>
    </w:rPr>
  </w:style>
  <w:style w:type="paragraph" w:customStyle="1" w:styleId="434">
    <w:name w:val="0"/>
    <w:basedOn w:val="1"/>
    <w:qFormat/>
    <w:uiPriority w:val="0"/>
    <w:pPr>
      <w:widowControl/>
      <w:adjustRightInd w:val="0"/>
    </w:pPr>
    <w:rPr>
      <w:rFonts w:ascii="Times New Roman" w:hAnsi="Times New Roman" w:eastAsia="宋体" w:cs="Times New Roman"/>
      <w:kern w:val="0"/>
      <w:sz w:val="24"/>
      <w:szCs w:val="20"/>
    </w:rPr>
  </w:style>
  <w:style w:type="paragraph" w:customStyle="1" w:styleId="435">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36">
    <w:name w:val="样式5"/>
    <w:basedOn w:val="1"/>
    <w:qFormat/>
    <w:uiPriority w:val="0"/>
    <w:pPr>
      <w:adjustRightInd w:val="0"/>
      <w:spacing w:line="440" w:lineRule="exact"/>
      <w:ind w:left="2" w:firstLine="480" w:firstLineChars="200"/>
    </w:pPr>
    <w:rPr>
      <w:rFonts w:ascii="仿宋_GB2312" w:hAnsi="仿宋" w:eastAsia="仿宋_GB2312" w:cs="Times New Roman"/>
      <w:sz w:val="24"/>
      <w:szCs w:val="24"/>
    </w:rPr>
  </w:style>
  <w:style w:type="paragraph" w:customStyle="1" w:styleId="437">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438">
    <w:name w:val="默认段落字体 Para Char Char Char1 Char"/>
    <w:basedOn w:val="1"/>
    <w:qFormat/>
    <w:uiPriority w:val="0"/>
    <w:pPr>
      <w:adjustRightInd w:val="0"/>
      <w:spacing w:line="240" w:lineRule="atLeast"/>
      <w:ind w:left="420" w:firstLine="420"/>
    </w:pPr>
    <w:rPr>
      <w:rFonts w:ascii="Times New Roman" w:hAnsi="Times New Roman" w:eastAsia="宋体" w:cs="Times New Roman"/>
      <w:sz w:val="24"/>
      <w:szCs w:val="24"/>
    </w:rPr>
  </w:style>
  <w:style w:type="paragraph" w:customStyle="1" w:styleId="439">
    <w:name w:val="样式 正文文本缩进 + 段前: 2 字符"/>
    <w:basedOn w:val="1"/>
    <w:qFormat/>
    <w:uiPriority w:val="0"/>
    <w:pPr>
      <w:ind w:left="420" w:leftChars="200"/>
      <w:jc w:val="left"/>
    </w:pPr>
    <w:rPr>
      <w:rFonts w:ascii="Times New Roman" w:hAnsi="Times New Roman" w:eastAsia="宋体" w:cs="Times New Roman"/>
      <w:sz w:val="28"/>
      <w:szCs w:val="20"/>
      <w:lang w:eastAsia="zh-TW"/>
    </w:rPr>
  </w:style>
  <w:style w:type="paragraph" w:customStyle="1" w:styleId="440">
    <w:name w:val="标书标题2"/>
    <w:basedOn w:val="4"/>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41">
    <w:name w:val="表格"/>
    <w:basedOn w:val="1"/>
    <w:qFormat/>
    <w:uiPriority w:val="0"/>
    <w:pPr>
      <w:adjustRightInd w:val="0"/>
      <w:snapToGrid w:val="0"/>
      <w:ind w:firstLine="42" w:firstLineChars="21"/>
    </w:pPr>
    <w:rPr>
      <w:rFonts w:ascii="宋体" w:hAnsi="宋体" w:eastAsia="宋体" w:cs="Times New Roman"/>
      <w:kern w:val="0"/>
      <w:sz w:val="20"/>
      <w:szCs w:val="20"/>
    </w:rPr>
  </w:style>
  <w:style w:type="paragraph" w:customStyle="1" w:styleId="44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443">
    <w:name w:val="样式 标题 3标题 3 Char第二层条h33Bold Headbh章标题1小标题level_3PIM 3..."/>
    <w:basedOn w:val="5"/>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44">
    <w:name w:val="数字标题6"/>
    <w:basedOn w:val="8"/>
    <w:next w:val="1"/>
    <w:qFormat/>
    <w:uiPriority w:val="0"/>
    <w:pPr>
      <w:numPr>
        <w:numId w:val="6"/>
      </w:numPr>
      <w:tabs>
        <w:tab w:val="left" w:pos="480"/>
        <w:tab w:val="left" w:pos="1080"/>
      </w:tabs>
    </w:pPr>
    <w:rPr>
      <w:rFonts w:ascii="Times New Roman" w:hAnsi="Times New Roman" w:eastAsia="宋体"/>
      <w:i/>
    </w:rPr>
  </w:style>
  <w:style w:type="paragraph" w:customStyle="1" w:styleId="445">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46">
    <w:name w:val="P1"/>
    <w:basedOn w:val="1"/>
    <w:qFormat/>
    <w:uiPriority w:val="0"/>
    <w:pPr>
      <w:spacing w:line="288" w:lineRule="auto"/>
      <w:ind w:firstLine="425" w:firstLineChars="200"/>
    </w:pPr>
    <w:rPr>
      <w:rFonts w:ascii="Times New Roman" w:hAnsi="Times New Roman" w:eastAsia="宋体" w:cs="Times New Roman"/>
      <w:szCs w:val="24"/>
    </w:rPr>
  </w:style>
  <w:style w:type="paragraph" w:customStyle="1" w:styleId="447">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448">
    <w:name w:val="标1"/>
    <w:basedOn w:val="1"/>
    <w:qFormat/>
    <w:uiPriority w:val="0"/>
    <w:pPr>
      <w:widowControl/>
      <w:tabs>
        <w:tab w:val="left" w:pos="1020"/>
      </w:tabs>
      <w:adjustRightInd w:val="0"/>
      <w:snapToGrid w:val="0"/>
      <w:spacing w:before="312" w:beforeLines="100" w:line="360" w:lineRule="auto"/>
      <w:ind w:left="1020" w:hanging="420" w:firstLineChars="200"/>
      <w:jc w:val="left"/>
      <w:outlineLvl w:val="0"/>
    </w:pPr>
    <w:rPr>
      <w:rFonts w:ascii="Arial Narrow" w:hAnsi="Arial Narrow" w:eastAsia="仿宋_GB2312" w:cs="Times New Roman"/>
      <w:b/>
      <w:spacing w:val="20"/>
      <w:kern w:val="0"/>
      <w:sz w:val="24"/>
      <w:szCs w:val="24"/>
    </w:rPr>
  </w:style>
  <w:style w:type="paragraph" w:customStyle="1" w:styleId="449">
    <w:name w:val="正文文字 2"/>
    <w:basedOn w:val="78"/>
    <w:next w:val="78"/>
    <w:qFormat/>
    <w:uiPriority w:val="0"/>
    <w:rPr>
      <w:rFonts w:ascii="宋体" w:eastAsia="宋体"/>
      <w:color w:val="auto"/>
    </w:rPr>
  </w:style>
  <w:style w:type="paragraph" w:customStyle="1" w:styleId="450">
    <w:name w:val="Bullet"/>
    <w:basedOn w:val="1"/>
    <w:qFormat/>
    <w:uiPriority w:val="0"/>
    <w:pPr>
      <w:widowControl/>
      <w:tabs>
        <w:tab w:val="left" w:pos="288"/>
      </w:tabs>
      <w:ind w:left="288" w:hanging="360" w:firstLineChars="200"/>
      <w:jc w:val="left"/>
    </w:pPr>
    <w:rPr>
      <w:rFonts w:ascii="Arial" w:hAnsi="Arial" w:eastAsia="宋体" w:cs="Times New Roman"/>
      <w:kern w:val="0"/>
      <w:sz w:val="20"/>
      <w:szCs w:val="20"/>
    </w:rPr>
  </w:style>
  <w:style w:type="paragraph" w:customStyle="1" w:styleId="451">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452">
    <w:name w:val="Char3 Char 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53">
    <w:name w:val="_Style 12"/>
    <w:basedOn w:val="20"/>
    <w:qFormat/>
    <w:uiPriority w:val="0"/>
    <w:pPr>
      <w:snapToGrid w:val="0"/>
      <w:spacing w:line="360" w:lineRule="auto"/>
    </w:pPr>
  </w:style>
  <w:style w:type="paragraph" w:customStyle="1" w:styleId="454">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55">
    <w:name w:val="Char Char1 Char11"/>
    <w:basedOn w:val="1"/>
    <w:qFormat/>
    <w:uiPriority w:val="0"/>
    <w:pPr>
      <w:adjustRightInd w:val="0"/>
    </w:pPr>
    <w:rPr>
      <w:rFonts w:ascii="仿宋_GB2312" w:hAnsi="Times New Roman" w:eastAsia="仿宋_GB2312" w:cs="Times New Roman"/>
      <w:b/>
      <w:sz w:val="32"/>
      <w:szCs w:val="32"/>
    </w:rPr>
  </w:style>
  <w:style w:type="paragraph" w:customStyle="1" w:styleId="456">
    <w:name w:val="Char2 Char Char"/>
    <w:basedOn w:val="1"/>
    <w:qFormat/>
    <w:uiPriority w:val="0"/>
    <w:rPr>
      <w:rFonts w:ascii="Tahoma" w:hAnsi="Tahoma" w:eastAsia="宋体" w:cs="Times New Roman"/>
      <w:sz w:val="24"/>
      <w:szCs w:val="20"/>
    </w:rPr>
  </w:style>
  <w:style w:type="paragraph" w:customStyle="1" w:styleId="457">
    <w:name w:val="Char Char Char Char Char Char1 Char1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458">
    <w:name w:val="MM Empty"/>
    <w:basedOn w:val="1"/>
    <w:qFormat/>
    <w:uiPriority w:val="0"/>
    <w:rPr>
      <w:rFonts w:ascii="Times New Roman" w:hAnsi="Times New Roman" w:eastAsia="宋体" w:cs="Times New Roman"/>
      <w:szCs w:val="24"/>
    </w:rPr>
  </w:style>
  <w:style w:type="paragraph" w:customStyle="1" w:styleId="459">
    <w:name w:val="正文表标题"/>
    <w:next w:val="376"/>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60">
    <w:name w:val="style82 f9a f9a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46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62">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463">
    <w:name w:val="Char2 Char Char11"/>
    <w:basedOn w:val="1"/>
    <w:qFormat/>
    <w:uiPriority w:val="0"/>
    <w:rPr>
      <w:rFonts w:ascii="Tahoma" w:hAnsi="Tahoma" w:eastAsia="宋体" w:cs="Times New Roman"/>
      <w:sz w:val="24"/>
      <w:szCs w:val="20"/>
    </w:rPr>
  </w:style>
  <w:style w:type="paragraph" w:customStyle="1" w:styleId="464">
    <w:name w:val="数字标题3"/>
    <w:basedOn w:val="5"/>
    <w:next w:val="1"/>
    <w:qFormat/>
    <w:uiPriority w:val="0"/>
    <w:pPr>
      <w:numPr>
        <w:numId w:val="0"/>
      </w:numPr>
      <w:spacing w:line="240" w:lineRule="auto"/>
    </w:pPr>
    <w:rPr>
      <w:sz w:val="28"/>
      <w:szCs w:val="28"/>
    </w:rPr>
  </w:style>
  <w:style w:type="paragraph" w:customStyle="1" w:styleId="465">
    <w:name w:val="彩色列表 - 强调文字颜色 12"/>
    <w:basedOn w:val="1"/>
    <w:qFormat/>
    <w:uiPriority w:val="0"/>
    <w:pPr>
      <w:ind w:firstLine="420" w:firstLineChars="200"/>
    </w:pPr>
    <w:rPr>
      <w:rFonts w:ascii="Calibri" w:hAnsi="Calibri" w:eastAsia="宋体" w:cs="Times New Roman"/>
    </w:rPr>
  </w:style>
  <w:style w:type="paragraph" w:customStyle="1" w:styleId="466">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67">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468">
    <w:name w:val="正文（标题三）"/>
    <w:basedOn w:val="1"/>
    <w:qFormat/>
    <w:uiPriority w:val="0"/>
    <w:pPr>
      <w:adjustRightInd w:val="0"/>
      <w:spacing w:line="360" w:lineRule="auto"/>
      <w:ind w:firstLine="200" w:firstLineChars="200"/>
    </w:pPr>
    <w:rPr>
      <w:rFonts w:ascii="Times New Roman" w:hAnsi="Times New Roman" w:eastAsia="宋体" w:cs="Times New Roman"/>
      <w:sz w:val="24"/>
      <w:szCs w:val="24"/>
    </w:rPr>
  </w:style>
  <w:style w:type="paragraph" w:customStyle="1" w:styleId="469">
    <w:name w:val="Char Char Char1 Char"/>
    <w:basedOn w:val="1"/>
    <w:qFormat/>
    <w:uiPriority w:val="0"/>
    <w:pPr>
      <w:adjustRightInd w:val="0"/>
    </w:pPr>
    <w:rPr>
      <w:rFonts w:ascii="Times New Roman" w:hAnsi="Times New Roman" w:eastAsia="宋体" w:cs="Times New Roman"/>
      <w:szCs w:val="20"/>
    </w:rPr>
  </w:style>
  <w:style w:type="paragraph" w:customStyle="1" w:styleId="470">
    <w:name w:val="tabletext"/>
    <w:basedOn w:val="1"/>
    <w:qFormat/>
    <w:uiPriority w:val="0"/>
    <w:pPr>
      <w:widowControl/>
      <w:adjustRightInd w:val="0"/>
      <w:spacing w:before="100" w:beforeAutospacing="1" w:after="100" w:afterAutospacing="1"/>
      <w:jc w:val="left"/>
    </w:pPr>
    <w:rPr>
      <w:rFonts w:ascii="宋体" w:hAnsi="宋体" w:eastAsia="宋体" w:cs="宋体"/>
      <w:kern w:val="0"/>
      <w:sz w:val="24"/>
      <w:szCs w:val="24"/>
    </w:rPr>
  </w:style>
  <w:style w:type="paragraph" w:customStyle="1" w:styleId="471">
    <w:name w:val="正文文字缩进项目"/>
    <w:basedOn w:val="17"/>
    <w:qFormat/>
    <w:uiPriority w:val="0"/>
    <w:pPr>
      <w:tabs>
        <w:tab w:val="left" w:pos="840"/>
      </w:tabs>
      <w:adjustRightInd/>
      <w:ind w:left="0" w:leftChars="0" w:hanging="420"/>
    </w:pPr>
    <w:rPr>
      <w:rFonts w:ascii="Tahoma" w:hAnsi="Tahoma"/>
      <w:sz w:val="22"/>
      <w:szCs w:val="20"/>
      <w:lang w:val="zh-CN"/>
    </w:rPr>
  </w:style>
  <w:style w:type="paragraph" w:customStyle="1" w:styleId="472">
    <w:name w:val="标题五"/>
    <w:basedOn w:val="1"/>
    <w:qFormat/>
    <w:uiPriority w:val="0"/>
    <w:pPr>
      <w:spacing w:before="156" w:beforeLines="50" w:line="360" w:lineRule="auto"/>
    </w:pPr>
    <w:rPr>
      <w:rFonts w:ascii="Times New Roman" w:hAnsi="Times New Roman" w:eastAsia="宋体" w:cs="Times New Roman"/>
      <w:b/>
      <w:sz w:val="24"/>
      <w:szCs w:val="24"/>
    </w:rPr>
  </w:style>
  <w:style w:type="paragraph" w:customStyle="1" w:styleId="473">
    <w:name w:val="Char Char Char Char Char Char Char Char Char Char Char Char1 Char11"/>
    <w:basedOn w:val="1"/>
    <w:qFormat/>
    <w:uiPriority w:val="0"/>
    <w:pPr>
      <w:adjustRightInd w:val="0"/>
    </w:pPr>
    <w:rPr>
      <w:rFonts w:ascii="Tahoma" w:hAnsi="Tahoma" w:eastAsia="宋体" w:cs="仿宋_GB2312"/>
      <w:sz w:val="24"/>
      <w:szCs w:val="20"/>
    </w:rPr>
  </w:style>
  <w:style w:type="paragraph" w:customStyle="1" w:styleId="474">
    <w:name w:val="Bulleted List"/>
    <w:basedOn w:val="1"/>
    <w:qFormat/>
    <w:uiPriority w:val="0"/>
    <w:pPr>
      <w:tabs>
        <w:tab w:val="left" w:pos="1260"/>
      </w:tabs>
      <w:ind w:left="1260" w:hanging="420"/>
    </w:pPr>
    <w:rPr>
      <w:rFonts w:ascii="Times New Roman" w:hAnsi="Times New Roman" w:eastAsia="宋体" w:cs="Times New Roman"/>
      <w:szCs w:val="24"/>
    </w:rPr>
  </w:style>
  <w:style w:type="paragraph" w:customStyle="1" w:styleId="475">
    <w:name w:val="Char Char1 Char Char Char"/>
    <w:basedOn w:val="1"/>
    <w:qFormat/>
    <w:uiPriority w:val="0"/>
    <w:pPr>
      <w:adjustRightInd w:val="0"/>
    </w:pPr>
    <w:rPr>
      <w:rFonts w:ascii="仿宋_GB2312" w:hAnsi="Times New Roman" w:eastAsia="仿宋_GB2312" w:cs="Times New Roman"/>
      <w:b/>
      <w:sz w:val="32"/>
      <w:szCs w:val="20"/>
    </w:rPr>
  </w:style>
  <w:style w:type="paragraph" w:customStyle="1" w:styleId="476">
    <w:name w:val="金宏发行正文"/>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477">
    <w:name w:val="数字标题2"/>
    <w:basedOn w:val="4"/>
    <w:next w:val="1"/>
    <w:qFormat/>
    <w:uiPriority w:val="0"/>
    <w:pPr>
      <w:numPr>
        <w:ilvl w:val="1"/>
        <w:numId w:val="6"/>
      </w:numPr>
    </w:pPr>
    <w:rPr>
      <w:rFonts w:ascii="Times New Roman" w:eastAsia="宋体"/>
      <w:i/>
      <w:sz w:val="36"/>
      <w:szCs w:val="36"/>
      <w:lang w:val="en-US"/>
    </w:rPr>
  </w:style>
  <w:style w:type="paragraph" w:customStyle="1" w:styleId="478">
    <w:name w:val="小节"/>
    <w:basedOn w:val="5"/>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79">
    <w:name w:val="Char21"/>
    <w:basedOn w:val="1"/>
    <w:qFormat/>
    <w:uiPriority w:val="0"/>
    <w:pPr>
      <w:ind w:firstLine="200" w:firstLineChars="200"/>
    </w:pPr>
    <w:rPr>
      <w:rFonts w:ascii="仿宋_GB2312" w:hAnsi="Times New Roman" w:eastAsia="仿宋_GB2312" w:cs="Times New Roman"/>
      <w:b/>
      <w:sz w:val="32"/>
      <w:szCs w:val="32"/>
    </w:rPr>
  </w:style>
  <w:style w:type="paragraph" w:customStyle="1" w:styleId="48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81">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2">
    <w:name w:val="font7"/>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483">
    <w:name w:val="表格标题1"/>
    <w:basedOn w:val="1"/>
    <w:qFormat/>
    <w:uiPriority w:val="0"/>
    <w:pPr>
      <w:spacing w:line="360" w:lineRule="auto"/>
      <w:jc w:val="center"/>
    </w:pPr>
    <w:rPr>
      <w:rFonts w:ascii="宋体" w:hAnsi="宋体" w:eastAsia="宋体" w:cs="宋体"/>
      <w:b/>
      <w:bCs/>
      <w:color w:val="000000"/>
      <w:sz w:val="24"/>
      <w:szCs w:val="21"/>
    </w:rPr>
  </w:style>
  <w:style w:type="paragraph" w:customStyle="1" w:styleId="484">
    <w:name w:val="批注框文本1"/>
    <w:basedOn w:val="1"/>
    <w:qFormat/>
    <w:uiPriority w:val="0"/>
    <w:pPr>
      <w:autoSpaceDE w:val="0"/>
      <w:autoSpaceDN w:val="0"/>
      <w:adjustRightInd w:val="0"/>
      <w:spacing w:line="351" w:lineRule="atLeast"/>
      <w:ind w:firstLine="419" w:firstLineChars="200"/>
    </w:pPr>
    <w:rPr>
      <w:rFonts w:ascii="Times New Roman" w:hAnsi="Times New Roman" w:eastAsia="宋体" w:cs="Times New Roman"/>
      <w:color w:val="000000"/>
      <w:kern w:val="0"/>
      <w:sz w:val="18"/>
      <w:szCs w:val="18"/>
    </w:rPr>
  </w:style>
  <w:style w:type="paragraph" w:customStyle="1" w:styleId="485">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486">
    <w:name w:val="标书表格字体格式"/>
    <w:next w:val="335"/>
    <w:qFormat/>
    <w:uiPriority w:val="0"/>
    <w:rPr>
      <w:rFonts w:ascii="Times New Roman" w:hAnsi="Times New Roman" w:eastAsia="宋体" w:cs="Times New Roman"/>
      <w:kern w:val="2"/>
      <w:sz w:val="21"/>
      <w:szCs w:val="24"/>
      <w:lang w:val="en-US" w:eastAsia="zh-CN" w:bidi="ar-SA"/>
    </w:rPr>
  </w:style>
  <w:style w:type="paragraph" w:customStyle="1" w:styleId="487">
    <w:name w:val="xl30"/>
    <w:basedOn w:val="1"/>
    <w:qFormat/>
    <w:uiPriority w:val="0"/>
    <w:pPr>
      <w:widowControl/>
      <w:pBdr>
        <w:left w:val="single" w:color="auto" w:sz="4" w:space="0"/>
        <w:right w:val="single" w:color="auto" w:sz="4" w:space="0"/>
      </w:pBdr>
      <w:spacing w:before="100" w:beforeAutospacing="1" w:after="100" w:afterAutospacing="1"/>
      <w:jc w:val="center"/>
    </w:pPr>
    <w:rPr>
      <w:rFonts w:ascii="Times New Roman" w:hAnsi="Times New Roman" w:eastAsia="Arial Unicode MS" w:cs="Times New Roman"/>
      <w:kern w:val="0"/>
      <w:szCs w:val="21"/>
    </w:rPr>
  </w:style>
  <w:style w:type="paragraph" w:customStyle="1" w:styleId="48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89">
    <w:name w:val="五级条标题"/>
    <w:basedOn w:val="490"/>
    <w:next w:val="376"/>
    <w:qFormat/>
    <w:uiPriority w:val="0"/>
    <w:pPr>
      <w:numPr>
        <w:ilvl w:val="6"/>
      </w:numPr>
      <w:tabs>
        <w:tab w:val="left" w:pos="1260"/>
        <w:tab w:val="left" w:pos="1680"/>
        <w:tab w:val="left" w:pos="2100"/>
        <w:tab w:val="left" w:pos="2520"/>
        <w:tab w:val="left" w:pos="2940"/>
      </w:tabs>
      <w:outlineLvl w:val="6"/>
    </w:pPr>
  </w:style>
  <w:style w:type="paragraph" w:customStyle="1" w:styleId="490">
    <w:name w:val="四级条标题"/>
    <w:basedOn w:val="491"/>
    <w:next w:val="376"/>
    <w:qFormat/>
    <w:uiPriority w:val="0"/>
    <w:pPr>
      <w:numPr>
        <w:ilvl w:val="5"/>
        <w:numId w:val="5"/>
      </w:numPr>
      <w:tabs>
        <w:tab w:val="left" w:pos="1260"/>
        <w:tab w:val="left" w:pos="1680"/>
        <w:tab w:val="left" w:pos="2100"/>
        <w:tab w:val="left" w:pos="2520"/>
      </w:tabs>
      <w:outlineLvl w:val="5"/>
    </w:pPr>
  </w:style>
  <w:style w:type="paragraph" w:customStyle="1" w:styleId="491">
    <w:name w:val="三级条标题"/>
    <w:basedOn w:val="492"/>
    <w:next w:val="376"/>
    <w:qFormat/>
    <w:uiPriority w:val="0"/>
    <w:pPr>
      <w:tabs>
        <w:tab w:val="left" w:pos="1260"/>
        <w:tab w:val="left" w:pos="1680"/>
        <w:tab w:val="left" w:pos="2100"/>
        <w:tab w:val="left" w:pos="2520"/>
      </w:tabs>
      <w:ind w:left="2520"/>
      <w:outlineLvl w:val="4"/>
    </w:pPr>
  </w:style>
  <w:style w:type="paragraph" w:customStyle="1" w:styleId="492">
    <w:name w:val="二级条标题"/>
    <w:basedOn w:val="493"/>
    <w:next w:val="376"/>
    <w:qFormat/>
    <w:uiPriority w:val="0"/>
    <w:pPr>
      <w:tabs>
        <w:tab w:val="left" w:pos="1260"/>
        <w:tab w:val="left" w:pos="1680"/>
        <w:tab w:val="left" w:pos="2100"/>
      </w:tabs>
      <w:ind w:left="0"/>
      <w:outlineLvl w:val="3"/>
    </w:pPr>
  </w:style>
  <w:style w:type="paragraph" w:customStyle="1" w:styleId="493">
    <w:name w:val="一级条标题"/>
    <w:basedOn w:val="494"/>
    <w:next w:val="376"/>
    <w:qFormat/>
    <w:uiPriority w:val="0"/>
    <w:pPr>
      <w:tabs>
        <w:tab w:val="left" w:pos="1260"/>
        <w:tab w:val="left" w:pos="1680"/>
      </w:tabs>
      <w:spacing w:before="0" w:beforeLines="0" w:after="0" w:afterLines="0"/>
      <w:ind w:left="1680"/>
      <w:outlineLvl w:val="2"/>
    </w:pPr>
  </w:style>
  <w:style w:type="paragraph" w:customStyle="1" w:styleId="494">
    <w:name w:val="章标题"/>
    <w:next w:val="376"/>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95">
    <w:name w:val="数字标题4"/>
    <w:basedOn w:val="6"/>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96">
    <w:name w:val="普通正文"/>
    <w:basedOn w:val="1"/>
    <w:link w:val="901"/>
    <w:qFormat/>
    <w:uiPriority w:val="0"/>
    <w:pPr>
      <w:tabs>
        <w:tab w:val="left" w:pos="2280"/>
      </w:tabs>
      <w:adjustRightInd w:val="0"/>
      <w:spacing w:before="120" w:after="120" w:line="360" w:lineRule="auto"/>
      <w:ind w:firstLine="480" w:firstLineChars="200"/>
      <w:jc w:val="left"/>
      <w:textAlignment w:val="baseline"/>
    </w:pPr>
    <w:rPr>
      <w:rFonts w:ascii="Arial" w:hAnsi="Arial" w:eastAsia="宋体" w:cs="Times New Roman"/>
      <w:kern w:val="0"/>
      <w:sz w:val="24"/>
      <w:szCs w:val="24"/>
    </w:rPr>
  </w:style>
  <w:style w:type="paragraph" w:customStyle="1" w:styleId="497">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498">
    <w:name w:val="Bullet with text 4"/>
    <w:basedOn w:val="1"/>
    <w:qFormat/>
    <w:uiPriority w:val="0"/>
    <w:pPr>
      <w:widowControl/>
      <w:tabs>
        <w:tab w:val="left" w:pos="1440"/>
      </w:tabs>
      <w:ind w:left="1440" w:hanging="360" w:firstLineChars="200"/>
      <w:jc w:val="left"/>
    </w:pPr>
    <w:rPr>
      <w:rFonts w:ascii="Arial" w:hAnsi="Arial" w:eastAsia="宋体" w:cs="Times New Roman"/>
      <w:kern w:val="0"/>
      <w:sz w:val="20"/>
      <w:szCs w:val="20"/>
      <w:lang w:val="en-GB" w:eastAsia="en-US"/>
    </w:rPr>
  </w:style>
  <w:style w:type="paragraph" w:customStyle="1" w:styleId="499">
    <w:name w:val="font5"/>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18"/>
      <w:szCs w:val="18"/>
    </w:rPr>
  </w:style>
  <w:style w:type="paragraph" w:customStyle="1" w:styleId="500">
    <w:name w:val="数字标题1"/>
    <w:basedOn w:val="3"/>
    <w:next w:val="1"/>
    <w:qFormat/>
    <w:uiPriority w:val="0"/>
    <w:pPr>
      <w:numPr>
        <w:numId w:val="6"/>
      </w:numPr>
      <w:tabs>
        <w:tab w:val="left" w:pos="480"/>
      </w:tabs>
    </w:pPr>
  </w:style>
  <w:style w:type="paragraph" w:customStyle="1" w:styleId="501">
    <w:name w:val="正文 项目2"/>
    <w:basedOn w:val="402"/>
    <w:qFormat/>
    <w:uiPriority w:val="0"/>
    <w:pPr>
      <w:numPr>
        <w:ilvl w:val="0"/>
        <w:numId w:val="7"/>
      </w:numPr>
      <w:tabs>
        <w:tab w:val="clear" w:pos="840"/>
      </w:tabs>
      <w:spacing w:after="0"/>
    </w:pPr>
  </w:style>
  <w:style w:type="paragraph" w:customStyle="1" w:styleId="502">
    <w:name w:val="样式 仿宋_GB2312 三号 加粗 黑色 居中 行距: 1.5 倍行距"/>
    <w:basedOn w:val="1"/>
    <w:qFormat/>
    <w:uiPriority w:val="0"/>
    <w:pPr>
      <w:adjustRightInd w:val="0"/>
      <w:spacing w:line="360" w:lineRule="auto"/>
      <w:jc w:val="center"/>
    </w:pPr>
    <w:rPr>
      <w:rFonts w:ascii="仿宋_GB2312" w:hAnsi="Times New Roman" w:eastAsia="仿宋_GB2312" w:cs="宋体"/>
      <w:b/>
      <w:bCs/>
      <w:color w:val="000000"/>
      <w:sz w:val="28"/>
      <w:szCs w:val="20"/>
    </w:rPr>
  </w:style>
  <w:style w:type="paragraph" w:customStyle="1" w:styleId="503">
    <w:name w:val="Char Char Char Char1"/>
    <w:basedOn w:val="1"/>
    <w:qFormat/>
    <w:uiPriority w:val="0"/>
    <w:pPr>
      <w:tabs>
        <w:tab w:val="left" w:pos="0"/>
      </w:tabs>
      <w:ind w:firstLine="200" w:firstLineChars="200"/>
    </w:pPr>
    <w:rPr>
      <w:rFonts w:ascii="宋体" w:hAnsi="宋体" w:eastAsia="仿宋_GB2312" w:cs="Times New Roman"/>
      <w:sz w:val="28"/>
      <w:szCs w:val="24"/>
    </w:rPr>
  </w:style>
  <w:style w:type="paragraph" w:customStyle="1" w:styleId="50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505">
    <w:name w:val="节标题"/>
    <w:basedOn w:val="1"/>
    <w:qFormat/>
    <w:uiPriority w:val="0"/>
    <w:pPr>
      <w:autoSpaceDE w:val="0"/>
      <w:autoSpaceDN w:val="0"/>
      <w:adjustRightInd w:val="0"/>
      <w:spacing w:line="289" w:lineRule="atLeast"/>
      <w:ind w:firstLine="200" w:firstLineChars="200"/>
      <w:jc w:val="center"/>
    </w:pPr>
    <w:rPr>
      <w:rFonts w:ascii="Times New Roman" w:hAnsi="Times New Roman" w:eastAsia="宋体" w:cs="Times New Roman"/>
      <w:color w:val="000000"/>
      <w:kern w:val="0"/>
      <w:sz w:val="28"/>
      <w:szCs w:val="28"/>
    </w:rPr>
  </w:style>
  <w:style w:type="paragraph" w:customStyle="1" w:styleId="50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507">
    <w:name w:val="Char Char Char1 Char11"/>
    <w:basedOn w:val="1"/>
    <w:qFormat/>
    <w:uiPriority w:val="0"/>
    <w:pPr>
      <w:adjustRightInd w:val="0"/>
    </w:pPr>
    <w:rPr>
      <w:rFonts w:ascii="Times New Roman" w:hAnsi="Times New Roman" w:eastAsia="宋体" w:cs="Times New Roman"/>
      <w:szCs w:val="20"/>
    </w:rPr>
  </w:style>
  <w:style w:type="paragraph" w:customStyle="1" w:styleId="508">
    <w:name w:val="Char1 Char Char Char4"/>
    <w:basedOn w:val="1"/>
    <w:qFormat/>
    <w:uiPriority w:val="0"/>
    <w:pPr>
      <w:ind w:firstLine="200" w:firstLineChars="200"/>
    </w:pPr>
    <w:rPr>
      <w:rFonts w:ascii="Tahoma" w:hAnsi="Tahoma" w:eastAsia="宋体" w:cs="Times New Roman"/>
      <w:sz w:val="24"/>
      <w:szCs w:val="20"/>
    </w:rPr>
  </w:style>
  <w:style w:type="paragraph" w:customStyle="1" w:styleId="509">
    <w:name w:val="TOC 标题2"/>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510">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511">
    <w:name w:val="表格文字（大）"/>
    <w:basedOn w:val="1"/>
    <w:qFormat/>
    <w:uiPriority w:val="0"/>
    <w:pPr>
      <w:spacing w:before="20" w:after="20"/>
      <w:ind w:firstLine="200" w:firstLineChars="200"/>
    </w:pPr>
    <w:rPr>
      <w:rFonts w:ascii="Century Gothic" w:hAnsi="Century Gothic" w:eastAsia="宋体" w:cs="Times New Roman"/>
      <w:sz w:val="24"/>
      <w:szCs w:val="20"/>
    </w:rPr>
  </w:style>
  <w:style w:type="paragraph" w:customStyle="1" w:styleId="512">
    <w:name w:val="样式1"/>
    <w:basedOn w:val="1"/>
    <w:link w:val="884"/>
    <w:qFormat/>
    <w:uiPriority w:val="0"/>
    <w:pPr>
      <w:widowControl/>
      <w:tabs>
        <w:tab w:val="left" w:pos="1212"/>
        <w:tab w:val="left" w:pos="3888"/>
      </w:tabs>
      <w:adjustRightInd w:val="0"/>
      <w:snapToGrid w:val="0"/>
      <w:spacing w:line="336" w:lineRule="auto"/>
      <w:ind w:firstLine="432"/>
      <w:jc w:val="left"/>
    </w:pPr>
    <w:rPr>
      <w:rFonts w:ascii="宋体" w:hAnsi="宋体" w:eastAsia="宋体" w:cs="Times New Roman"/>
      <w:kern w:val="0"/>
      <w:sz w:val="24"/>
      <w:szCs w:val="20"/>
    </w:rPr>
  </w:style>
  <w:style w:type="paragraph" w:customStyle="1" w:styleId="513">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cs="Times New Roman"/>
      <w:b/>
      <w:bCs/>
      <w:kern w:val="0"/>
      <w:sz w:val="32"/>
      <w:szCs w:val="30"/>
      <w:lang w:val="zh-CN"/>
    </w:rPr>
  </w:style>
  <w:style w:type="paragraph" w:customStyle="1" w:styleId="514">
    <w:name w:val="章正文"/>
    <w:basedOn w:val="1"/>
    <w:qFormat/>
    <w:uiPriority w:val="0"/>
    <w:pPr>
      <w:spacing w:before="156" w:beforeLines="50" w:after="120" w:line="300" w:lineRule="auto"/>
      <w:ind w:firstLine="480" w:firstLineChars="200"/>
    </w:pPr>
    <w:rPr>
      <w:rFonts w:ascii="Helvetica" w:hAnsi="Helvetica" w:eastAsia="宋体" w:cs="Times New Roman"/>
      <w:kern w:val="0"/>
      <w:sz w:val="24"/>
      <w:szCs w:val="24"/>
    </w:rPr>
  </w:style>
  <w:style w:type="paragraph" w:customStyle="1" w:styleId="515">
    <w:name w:val="style25"/>
    <w:basedOn w:val="1"/>
    <w:qFormat/>
    <w:uiPriority w:val="0"/>
    <w:pPr>
      <w:widowControl/>
      <w:spacing w:before="100" w:beforeAutospacing="1" w:after="100" w:afterAutospacing="1"/>
      <w:ind w:firstLine="200" w:firstLineChars="200"/>
      <w:jc w:val="left"/>
    </w:pPr>
    <w:rPr>
      <w:rFonts w:ascii="宋体" w:hAnsi="宋体" w:eastAsia="宋体" w:cs="宋体"/>
      <w:color w:val="557AAF"/>
      <w:kern w:val="0"/>
      <w:sz w:val="18"/>
      <w:szCs w:val="18"/>
    </w:rPr>
  </w:style>
  <w:style w:type="paragraph" w:customStyle="1" w:styleId="516">
    <w:name w:val="小标题"/>
    <w:basedOn w:val="1"/>
    <w:qFormat/>
    <w:uiPriority w:val="0"/>
    <w:pPr>
      <w:adjustRightInd w:val="0"/>
      <w:spacing w:before="120" w:line="360" w:lineRule="atLeast"/>
      <w:ind w:left="1134"/>
      <w:jc w:val="left"/>
      <w:textAlignment w:val="baseline"/>
    </w:pPr>
    <w:rPr>
      <w:rFonts w:ascii="Times New Roman" w:hAnsi="Times New Roman" w:eastAsia="黑体" w:cs="Times New Roman"/>
      <w:kern w:val="0"/>
      <w:szCs w:val="20"/>
    </w:rPr>
  </w:style>
  <w:style w:type="paragraph" w:customStyle="1" w:styleId="517">
    <w:name w:val="Char Char11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51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19">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520">
    <w:name w:val="Char Char Char Char Char Char Char Char"/>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521">
    <w:name w:val="表格（小）"/>
    <w:basedOn w:val="1"/>
    <w:qFormat/>
    <w:uiPriority w:val="0"/>
    <w:pPr>
      <w:snapToGrid w:val="0"/>
      <w:spacing w:line="300" w:lineRule="auto"/>
    </w:pPr>
    <w:rPr>
      <w:rFonts w:ascii="Times New Roman" w:hAnsi="Times New Roman" w:eastAsia="仿宋" w:cs="Times New Roman"/>
      <w:szCs w:val="21"/>
    </w:rPr>
  </w:style>
  <w:style w:type="paragraph" w:customStyle="1" w:styleId="522">
    <w:name w:val="列出段落3"/>
    <w:basedOn w:val="1"/>
    <w:qFormat/>
    <w:uiPriority w:val="0"/>
    <w:pPr>
      <w:spacing w:line="360" w:lineRule="auto"/>
      <w:ind w:firstLine="420" w:firstLineChars="200"/>
    </w:pPr>
    <w:rPr>
      <w:rFonts w:ascii="Calibri" w:hAnsi="Calibri" w:eastAsia="宋体" w:cs="Times New Roman"/>
      <w:sz w:val="24"/>
    </w:rPr>
  </w:style>
  <w:style w:type="paragraph" w:customStyle="1" w:styleId="523">
    <w:name w:val="样式"/>
    <w:basedOn w:val="1"/>
    <w:qFormat/>
    <w:uiPriority w:val="0"/>
    <w:pPr>
      <w:autoSpaceDE w:val="0"/>
      <w:autoSpaceDN w:val="0"/>
      <w:adjustRightInd w:val="0"/>
      <w:snapToGrid w:val="0"/>
      <w:spacing w:before="120" w:after="120" w:line="360" w:lineRule="auto"/>
    </w:pPr>
    <w:rPr>
      <w:rFonts w:ascii="宋体" w:hAnsi="Times New Roman" w:eastAsia="宋体" w:cs="Times New Roman"/>
      <w:sz w:val="24"/>
      <w:szCs w:val="20"/>
    </w:rPr>
  </w:style>
  <w:style w:type="paragraph" w:customStyle="1" w:styleId="524">
    <w:name w:val="List Paragraph1"/>
    <w:basedOn w:val="1"/>
    <w:qFormat/>
    <w:uiPriority w:val="34"/>
    <w:pPr>
      <w:adjustRightInd w:val="0"/>
      <w:spacing w:line="360" w:lineRule="auto"/>
      <w:ind w:firstLine="200" w:firstLineChars="200"/>
    </w:pPr>
    <w:rPr>
      <w:rFonts w:ascii="Times New Roman" w:hAnsi="Times New Roman" w:eastAsia="楷体_GB2312" w:cs="Lucida Sans"/>
      <w:sz w:val="24"/>
      <w:szCs w:val="24"/>
    </w:rPr>
  </w:style>
  <w:style w:type="paragraph" w:customStyle="1" w:styleId="525">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52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27">
    <w:name w:val="Char Char Char Char Char Char"/>
    <w:basedOn w:val="1"/>
    <w:qFormat/>
    <w:uiPriority w:val="0"/>
    <w:pPr>
      <w:widowControl/>
      <w:adjustRightInd w:val="0"/>
      <w:spacing w:before="156" w:beforeLines="50" w:after="156" w:afterLines="50" w:line="240" w:lineRule="exact"/>
      <w:jc w:val="left"/>
    </w:pPr>
    <w:rPr>
      <w:rFonts w:ascii="Verdana" w:hAnsi="Verdana" w:eastAsia="宋体" w:cs="Times New Roman"/>
      <w:kern w:val="0"/>
      <w:sz w:val="20"/>
      <w:szCs w:val="20"/>
      <w:lang w:eastAsia="en-US"/>
    </w:rPr>
  </w:style>
  <w:style w:type="paragraph" w:customStyle="1" w:styleId="528">
    <w:name w:val="Table Text"/>
    <w:basedOn w:val="1"/>
    <w:link w:val="849"/>
    <w:qFormat/>
    <w:uiPriority w:val="0"/>
    <w:pPr>
      <w:widowControl/>
      <w:adjustRightInd w:val="0"/>
      <w:spacing w:before="60" w:after="60"/>
      <w:jc w:val="left"/>
    </w:pPr>
    <w:rPr>
      <w:rFonts w:ascii="Times New Roman" w:hAnsi="Times New Roman" w:eastAsia="宋体" w:cs="Times New Roman"/>
      <w:kern w:val="0"/>
      <w:sz w:val="24"/>
      <w:szCs w:val="24"/>
      <w:lang w:val="zh-CN"/>
    </w:rPr>
  </w:style>
  <w:style w:type="paragraph" w:customStyle="1" w:styleId="529">
    <w:name w:val="标书标题3"/>
    <w:basedOn w:val="5"/>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30">
    <w:name w:val="Char231"/>
    <w:basedOn w:val="1"/>
    <w:qFormat/>
    <w:uiPriority w:val="0"/>
    <w:pPr>
      <w:adjustRightInd w:val="0"/>
    </w:pPr>
    <w:rPr>
      <w:rFonts w:ascii="仿宋_GB2312" w:hAnsi="Times New Roman" w:eastAsia="仿宋_GB2312" w:cs="Times New Roman"/>
      <w:b/>
      <w:sz w:val="32"/>
      <w:szCs w:val="32"/>
    </w:rPr>
  </w:style>
  <w:style w:type="paragraph" w:styleId="531">
    <w:name w:val="List Paragraph"/>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532">
    <w:name w:val="Char Char Char Char Char Char Char Char1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533">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534">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535">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536">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cs="Times New Roman"/>
      <w:sz w:val="24"/>
      <w:szCs w:val="24"/>
    </w:rPr>
  </w:style>
  <w:style w:type="paragraph" w:customStyle="1" w:styleId="537">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538">
    <w:name w:val="WW-正文文字缩进 2"/>
    <w:basedOn w:val="1"/>
    <w:qFormat/>
    <w:uiPriority w:val="0"/>
    <w:pPr>
      <w:suppressAutoHyphens/>
      <w:ind w:firstLine="420"/>
    </w:pPr>
    <w:rPr>
      <w:rFonts w:ascii="Times New Roman" w:hAnsi="Times New Roman" w:eastAsia="宋体" w:cs="Times New Roman"/>
      <w:kern w:val="1"/>
      <w:szCs w:val="20"/>
    </w:rPr>
  </w:style>
  <w:style w:type="paragraph" w:customStyle="1" w:styleId="539">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s="Times New Roman"/>
      <w:color w:val="666666"/>
      <w:kern w:val="0"/>
      <w:sz w:val="24"/>
      <w:szCs w:val="24"/>
    </w:rPr>
  </w:style>
  <w:style w:type="paragraph" w:customStyle="1" w:styleId="540">
    <w:name w:val="RFI Heading 3rd Level"/>
    <w:basedOn w:val="1"/>
    <w:qFormat/>
    <w:uiPriority w:val="0"/>
    <w:pPr>
      <w:widowControl/>
      <w:tabs>
        <w:tab w:val="left" w:pos="840"/>
      </w:tabs>
      <w:ind w:firstLine="200" w:firstLineChars="200"/>
      <w:jc w:val="left"/>
    </w:pPr>
    <w:rPr>
      <w:rFonts w:ascii="Arial (W1)" w:hAnsi="Arial (W1)" w:eastAsia="宋体" w:cs="Times New Roman"/>
      <w:color w:val="000000"/>
      <w:kern w:val="0"/>
      <w:sz w:val="24"/>
      <w:szCs w:val="24"/>
      <w:lang w:val="en-GB" w:eastAsia="en-US"/>
    </w:rPr>
  </w:style>
  <w:style w:type="paragraph" w:customStyle="1" w:styleId="541">
    <w:name w:val="标书标题4"/>
    <w:basedOn w:val="6"/>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4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43">
    <w:name w:val="四号　首行缩进"/>
    <w:basedOn w:val="1"/>
    <w:qFormat/>
    <w:uiPriority w:val="0"/>
    <w:pPr>
      <w:spacing w:line="360" w:lineRule="auto"/>
    </w:pPr>
    <w:rPr>
      <w:rFonts w:ascii="宋体" w:hAnsi="宋体" w:eastAsia="宋体" w:cs="Times New Roman"/>
      <w:szCs w:val="20"/>
    </w:rPr>
  </w:style>
  <w:style w:type="paragraph" w:customStyle="1" w:styleId="544">
    <w:name w:val="样式 标题 3H3 + 两端对齐"/>
    <w:basedOn w:val="5"/>
    <w:qFormat/>
    <w:uiPriority w:val="0"/>
    <w:pPr>
      <w:keepLines w:val="0"/>
      <w:numPr>
        <w:numId w:val="0"/>
      </w:numPr>
      <w:spacing w:before="0" w:after="0" w:line="240" w:lineRule="auto"/>
      <w:jc w:val="left"/>
    </w:pPr>
    <w:rPr>
      <w:rFonts w:cs="宋体"/>
      <w:sz w:val="21"/>
      <w:szCs w:val="20"/>
    </w:rPr>
  </w:style>
  <w:style w:type="paragraph" w:customStyle="1" w:styleId="545">
    <w:name w:val="bullet"/>
    <w:basedOn w:val="1"/>
    <w:qFormat/>
    <w:uiPriority w:val="0"/>
    <w:pPr>
      <w:tabs>
        <w:tab w:val="left" w:pos="840"/>
      </w:tabs>
      <w:ind w:left="840" w:hanging="420"/>
    </w:pPr>
    <w:rPr>
      <w:rFonts w:ascii="Times New Roman" w:hAnsi="Times New Roman" w:eastAsia="宋体" w:cs="Times New Roman"/>
      <w:szCs w:val="24"/>
    </w:rPr>
  </w:style>
  <w:style w:type="paragraph" w:customStyle="1" w:styleId="546">
    <w:name w:val="正文样式 首行缩进:  0.74 厘米"/>
    <w:basedOn w:val="1"/>
    <w:qFormat/>
    <w:uiPriority w:val="0"/>
    <w:pPr>
      <w:spacing w:before="156" w:beforeLines="50" w:line="360" w:lineRule="auto"/>
      <w:ind w:firstLine="420"/>
    </w:pPr>
    <w:rPr>
      <w:rFonts w:ascii="Times New Roman" w:hAnsi="Times New Roman" w:eastAsia="宋体" w:cs="宋体"/>
      <w:sz w:val="24"/>
      <w:szCs w:val="20"/>
    </w:rPr>
  </w:style>
  <w:style w:type="paragraph" w:customStyle="1" w:styleId="547">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48">
    <w:name w:val="单元格居中"/>
    <w:basedOn w:val="1"/>
    <w:qFormat/>
    <w:uiPriority w:val="0"/>
    <w:pPr>
      <w:spacing w:line="360" w:lineRule="auto"/>
      <w:jc w:val="center"/>
    </w:pPr>
    <w:rPr>
      <w:rFonts w:ascii="Times New Roman" w:hAnsi="Times New Roman" w:eastAsia="宋体" w:cs="Times New Roman"/>
      <w:sz w:val="24"/>
      <w:szCs w:val="24"/>
    </w:rPr>
  </w:style>
  <w:style w:type="paragraph" w:customStyle="1" w:styleId="549">
    <w:name w:val="Char Char Char Char Char Char11"/>
    <w:basedOn w:val="1"/>
    <w:qFormat/>
    <w:uiPriority w:val="0"/>
    <w:pPr>
      <w:widowControl/>
      <w:adjustRightInd w:val="0"/>
      <w:spacing w:before="156" w:beforeLines="50" w:after="156" w:afterLines="50" w:line="240" w:lineRule="exact"/>
      <w:jc w:val="left"/>
    </w:pPr>
    <w:rPr>
      <w:rFonts w:ascii="Verdana" w:hAnsi="Verdana" w:eastAsia="宋体" w:cs="Times New Roman"/>
      <w:kern w:val="0"/>
      <w:sz w:val="20"/>
      <w:szCs w:val="20"/>
      <w:lang w:eastAsia="en-US"/>
    </w:rPr>
  </w:style>
  <w:style w:type="paragraph" w:customStyle="1" w:styleId="550">
    <w:name w:val="Char Char13"/>
    <w:basedOn w:val="1"/>
    <w:qFormat/>
    <w:uiPriority w:val="0"/>
    <w:pPr>
      <w:adjustRightInd w:val="0"/>
      <w:spacing w:line="360" w:lineRule="auto"/>
    </w:pPr>
    <w:rPr>
      <w:rFonts w:ascii="Tahoma" w:hAnsi="Tahoma" w:eastAsia="宋体" w:cs="Times New Roman"/>
      <w:sz w:val="24"/>
      <w:szCs w:val="20"/>
    </w:rPr>
  </w:style>
  <w:style w:type="paragraph" w:customStyle="1" w:styleId="551">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eastAsia="宋体" w:cs="Times New Roman"/>
      <w:color w:val="000000"/>
      <w:kern w:val="0"/>
      <w:sz w:val="54"/>
      <w:szCs w:val="54"/>
    </w:rPr>
  </w:style>
  <w:style w:type="paragraph" w:customStyle="1" w:styleId="552">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53">
    <w:name w:val="Char3 Char Char Char11"/>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554">
    <w:name w:val="Char Char Char 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555">
    <w:name w:val="标题 41"/>
    <w:basedOn w:val="1"/>
    <w:next w:val="1"/>
    <w:unhideWhenUsed/>
    <w:qFormat/>
    <w:uiPriority w:val="9"/>
    <w:pPr>
      <w:keepNext/>
      <w:keepLines/>
      <w:spacing w:before="280" w:after="290" w:line="376" w:lineRule="auto"/>
      <w:outlineLvl w:val="3"/>
    </w:pPr>
    <w:rPr>
      <w:rFonts w:ascii="Cambria" w:hAnsi="Cambria" w:eastAsia="宋体" w:cs="Times New Roman"/>
      <w:b/>
      <w:bCs/>
      <w:sz w:val="28"/>
      <w:szCs w:val="28"/>
    </w:rPr>
  </w:style>
  <w:style w:type="paragraph" w:customStyle="1" w:styleId="556">
    <w:name w:val="金宏发行正文 Char"/>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557">
    <w:name w:val="EB_表格"/>
    <w:basedOn w:val="1"/>
    <w:qFormat/>
    <w:uiPriority w:val="0"/>
    <w:pPr>
      <w:spacing w:line="300" w:lineRule="auto"/>
      <w:jc w:val="center"/>
    </w:pPr>
    <w:rPr>
      <w:rFonts w:ascii="Times New Roman" w:hAnsi="Times New Roman" w:eastAsia="宋体" w:cs="Times New Roman"/>
      <w:szCs w:val="24"/>
    </w:rPr>
  </w:style>
  <w:style w:type="paragraph" w:customStyle="1" w:styleId="558">
    <w:name w:val="Char41"/>
    <w:basedOn w:val="1"/>
    <w:qFormat/>
    <w:uiPriority w:val="0"/>
    <w:pPr>
      <w:adjustRightInd w:val="0"/>
    </w:pPr>
    <w:rPr>
      <w:rFonts w:ascii="仿宋_GB2312" w:hAnsi="Times New Roman" w:eastAsia="仿宋_GB2312" w:cs="Times New Roman"/>
      <w:b/>
      <w:sz w:val="32"/>
      <w:szCs w:val="32"/>
    </w:rPr>
  </w:style>
  <w:style w:type="paragraph" w:customStyle="1" w:styleId="55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60">
    <w:name w:val="Char4"/>
    <w:basedOn w:val="1"/>
    <w:qFormat/>
    <w:uiPriority w:val="0"/>
    <w:pPr>
      <w:tabs>
        <w:tab w:val="left" w:pos="432"/>
      </w:tabs>
      <w:spacing w:before="156" w:beforeLines="50" w:after="156" w:afterLines="50" w:line="360" w:lineRule="auto"/>
      <w:ind w:left="432" w:hanging="432" w:firstLineChars="200"/>
    </w:pPr>
    <w:rPr>
      <w:rFonts w:ascii="宋体" w:hAnsi="宋体" w:eastAsia="微软雅黑" w:cs="Times New Roman"/>
      <w:b/>
      <w:kern w:val="44"/>
      <w:sz w:val="32"/>
      <w:szCs w:val="32"/>
    </w:rPr>
  </w:style>
  <w:style w:type="paragraph" w:customStyle="1" w:styleId="561">
    <w:name w:val="font6"/>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20"/>
      <w:szCs w:val="20"/>
    </w:rPr>
  </w:style>
  <w:style w:type="paragraph" w:customStyle="1" w:styleId="562">
    <w:name w:val="表格题注"/>
    <w:next w:val="1"/>
    <w:qFormat/>
    <w:uiPriority w:val="0"/>
    <w:pPr>
      <w:keepLines/>
      <w:numPr>
        <w:ilvl w:val="8"/>
        <w:numId w:val="5"/>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6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64">
    <w:name w:val="MM Topic 1"/>
    <w:basedOn w:val="3"/>
    <w:qFormat/>
    <w:uiPriority w:val="0"/>
    <w:pPr>
      <w:numPr>
        <w:numId w:val="0"/>
      </w:numPr>
      <w:tabs>
        <w:tab w:val="left" w:pos="840"/>
      </w:tabs>
      <w:adjustRightInd/>
      <w:ind w:left="840" w:hanging="420"/>
    </w:pPr>
  </w:style>
  <w:style w:type="paragraph" w:customStyle="1" w:styleId="565">
    <w:name w:val="目录3"/>
    <w:basedOn w:val="1"/>
    <w:qFormat/>
    <w:uiPriority w:val="0"/>
    <w:pPr>
      <w:tabs>
        <w:tab w:val="left" w:leader="dot" w:pos="7370"/>
      </w:tabs>
      <w:autoSpaceDE w:val="0"/>
      <w:autoSpaceDN w:val="0"/>
      <w:adjustRightInd w:val="0"/>
      <w:spacing w:line="317" w:lineRule="atLeast"/>
      <w:ind w:firstLine="419" w:firstLineChars="200"/>
    </w:pPr>
    <w:rPr>
      <w:rFonts w:ascii="Times New Roman" w:hAnsi="Times New Roman" w:eastAsia="宋体" w:cs="Times New Roman"/>
      <w:color w:val="000000"/>
      <w:kern w:val="0"/>
      <w:szCs w:val="21"/>
    </w:rPr>
  </w:style>
  <w:style w:type="paragraph" w:customStyle="1" w:styleId="566">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567">
    <w:name w:val="插图题注"/>
    <w:next w:val="1"/>
    <w:qFormat/>
    <w:uiPriority w:val="0"/>
    <w:pPr>
      <w:numPr>
        <w:ilvl w:val="7"/>
        <w:numId w:val="5"/>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68">
    <w:name w:val="Char1 Char Char Char Char Char Char Char Char Char Char Char1 Char Char Char Char Char Char Char Char Char Char Char Char Char Char1 Char Char Char Char1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569">
    <w:name w:val="列表内容"/>
    <w:basedOn w:val="1"/>
    <w:next w:val="1"/>
    <w:qFormat/>
    <w:uiPriority w:val="0"/>
    <w:pPr>
      <w:widowControl/>
      <w:tabs>
        <w:tab w:val="left" w:pos="840"/>
      </w:tabs>
      <w:adjustRightInd w:val="0"/>
      <w:ind w:left="840" w:hanging="420"/>
      <w:jc w:val="left"/>
    </w:pPr>
    <w:rPr>
      <w:rFonts w:ascii="Times New Roman" w:hAnsi="Times New Roman" w:eastAsia="宋体" w:cs="Times New Roman"/>
      <w:kern w:val="0"/>
      <w:sz w:val="18"/>
      <w:szCs w:val="24"/>
    </w:rPr>
  </w:style>
  <w:style w:type="paragraph" w:customStyle="1" w:styleId="570">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71">
    <w:name w:val="正文文字格式"/>
    <w:basedOn w:val="1"/>
    <w:qFormat/>
    <w:uiPriority w:val="0"/>
    <w:pPr>
      <w:spacing w:line="460" w:lineRule="exact"/>
      <w:ind w:firstLine="505"/>
      <w:jc w:val="left"/>
    </w:pPr>
    <w:rPr>
      <w:rFonts w:ascii="宋体" w:hAnsi="Times New Roman" w:eastAsia="宋体" w:cs="Times New Roman"/>
      <w:kern w:val="24"/>
      <w:sz w:val="24"/>
      <w:szCs w:val="20"/>
    </w:rPr>
  </w:style>
  <w:style w:type="paragraph" w:customStyle="1" w:styleId="572">
    <w:name w:val="说明"/>
    <w:basedOn w:val="1"/>
    <w:qFormat/>
    <w:uiPriority w:val="0"/>
    <w:pPr>
      <w:autoSpaceDE w:val="0"/>
      <w:autoSpaceDN w:val="0"/>
      <w:adjustRightInd w:val="0"/>
      <w:spacing w:line="440" w:lineRule="exact"/>
      <w:ind w:firstLine="200" w:firstLineChars="200"/>
    </w:pPr>
    <w:rPr>
      <w:rFonts w:ascii="宋体" w:hAnsi="Times New Roman" w:eastAsia="宋体" w:cs="Times New Roman"/>
      <w:b/>
      <w:bCs/>
      <w:i/>
      <w:iCs/>
      <w:color w:val="0000FF"/>
      <w:kern w:val="0"/>
      <w:sz w:val="24"/>
      <w:szCs w:val="24"/>
    </w:rPr>
  </w:style>
  <w:style w:type="paragraph" w:customStyle="1" w:styleId="573">
    <w:name w:val="Char1 Char Char Char1"/>
    <w:basedOn w:val="1"/>
    <w:qFormat/>
    <w:uiPriority w:val="0"/>
    <w:pPr>
      <w:ind w:firstLine="200" w:firstLineChars="200"/>
    </w:pPr>
    <w:rPr>
      <w:rFonts w:ascii="Tahoma" w:hAnsi="Tahoma" w:eastAsia="宋体" w:cs="Times New Roman"/>
      <w:sz w:val="24"/>
      <w:szCs w:val="20"/>
    </w:rPr>
  </w:style>
  <w:style w:type="paragraph" w:customStyle="1" w:styleId="574">
    <w:name w:val="图中文字"/>
    <w:basedOn w:val="1"/>
    <w:qFormat/>
    <w:uiPriority w:val="0"/>
    <w:pPr>
      <w:adjustRightInd w:val="0"/>
      <w:snapToGrid w:val="0"/>
      <w:spacing w:line="0" w:lineRule="atLeast"/>
      <w:ind w:firstLine="200" w:firstLineChars="200"/>
      <w:jc w:val="center"/>
    </w:pPr>
    <w:rPr>
      <w:rFonts w:ascii="Times New Roman" w:hAnsi="Times New Roman" w:eastAsia="宋体" w:cs="Times New Roman"/>
      <w:sz w:val="24"/>
      <w:szCs w:val="20"/>
    </w:rPr>
  </w:style>
  <w:style w:type="paragraph" w:customStyle="1" w:styleId="575">
    <w:name w:val="正文段"/>
    <w:basedOn w:val="1"/>
    <w:link w:val="671"/>
    <w:qFormat/>
    <w:uiPriority w:val="0"/>
    <w:pPr>
      <w:widowControl/>
      <w:adjustRightInd w:val="0"/>
      <w:snapToGrid w:val="0"/>
      <w:spacing w:after="156" w:afterLines="50"/>
      <w:ind w:firstLine="200" w:firstLineChars="200"/>
    </w:pPr>
    <w:rPr>
      <w:rFonts w:ascii="Times New Roman" w:hAnsi="Times New Roman" w:eastAsia="宋体" w:cs="Times New Roman"/>
      <w:kern w:val="0"/>
      <w:sz w:val="24"/>
      <w:szCs w:val="20"/>
      <w:lang w:val="zh-CN"/>
    </w:rPr>
  </w:style>
  <w:style w:type="paragraph" w:customStyle="1" w:styleId="576">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cs="Times New Roman"/>
      <w:kern w:val="0"/>
      <w:sz w:val="24"/>
      <w:szCs w:val="20"/>
    </w:rPr>
  </w:style>
  <w:style w:type="paragraph" w:customStyle="1" w:styleId="577">
    <w:name w:val="font9"/>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578">
    <w:name w:val="样式 样式2 + 左侧:  1 字符 右侧:  1 字符"/>
    <w:basedOn w:val="51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79">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580">
    <w:name w:val="正文格式"/>
    <w:basedOn w:val="1"/>
    <w:qFormat/>
    <w:uiPriority w:val="0"/>
    <w:pPr>
      <w:widowControl/>
      <w:autoSpaceDE w:val="0"/>
      <w:autoSpaceDN w:val="0"/>
      <w:adjustRightInd w:val="0"/>
      <w:snapToGrid w:val="0"/>
      <w:spacing w:line="360" w:lineRule="atLeast"/>
      <w:ind w:firstLine="200" w:firstLineChars="200"/>
      <w:textAlignment w:val="baseline"/>
    </w:pPr>
    <w:rPr>
      <w:rFonts w:ascii="Times New Roman" w:hAnsi="Times New Roman" w:eastAsia="宋体" w:cs="Times New Roman"/>
      <w:kern w:val="0"/>
      <w:sz w:val="24"/>
      <w:szCs w:val="20"/>
    </w:rPr>
  </w:style>
  <w:style w:type="paragraph" w:customStyle="1" w:styleId="581">
    <w:name w:val="ÕýÎÄÊ×ÐÐËõ½ø"/>
    <w:basedOn w:val="1"/>
    <w:qFormat/>
    <w:uiPriority w:val="0"/>
    <w:pPr>
      <w:widowControl/>
      <w:overflowPunct w:val="0"/>
      <w:autoSpaceDE w:val="0"/>
      <w:autoSpaceDN w:val="0"/>
      <w:adjustRightInd w:val="0"/>
      <w:spacing w:line="360" w:lineRule="auto"/>
      <w:ind w:left="1134"/>
      <w:textAlignment w:val="baseline"/>
    </w:pPr>
    <w:rPr>
      <w:rFonts w:ascii="Times New Roman" w:hAnsi="Times New Roman" w:eastAsia="Times New Roman" w:cs="Times New Roman"/>
      <w:kern w:val="0"/>
      <w:szCs w:val="20"/>
    </w:rPr>
  </w:style>
  <w:style w:type="paragraph" w:customStyle="1" w:styleId="582">
    <w:name w:val="Char Char Char 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583">
    <w:name w:val="注释"/>
    <w:basedOn w:val="1"/>
    <w:qFormat/>
    <w:uiPriority w:val="0"/>
    <w:pPr>
      <w:spacing w:line="360" w:lineRule="auto"/>
      <w:ind w:firstLine="480"/>
    </w:pPr>
    <w:rPr>
      <w:rFonts w:ascii="Times New Roman" w:hAnsi="Times New Roman" w:eastAsia="宋体" w:cs="Times New Roman"/>
      <w:sz w:val="24"/>
      <w:szCs w:val="24"/>
    </w:rPr>
  </w:style>
  <w:style w:type="paragraph" w:customStyle="1" w:styleId="584">
    <w:name w:val="a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5">
    <w:name w:val="chart text"/>
    <w:basedOn w:val="1"/>
    <w:qFormat/>
    <w:uiPriority w:val="0"/>
    <w:pPr>
      <w:widowControl/>
      <w:spacing w:line="180" w:lineRule="exact"/>
      <w:ind w:firstLine="200" w:firstLineChars="200"/>
      <w:jc w:val="left"/>
    </w:pPr>
    <w:rPr>
      <w:rFonts w:ascii="Futura Bk" w:hAnsi="Futura Bk" w:eastAsia="宋体" w:cs="Futura Bk"/>
      <w:kern w:val="0"/>
      <w:sz w:val="14"/>
      <w:szCs w:val="14"/>
    </w:rPr>
  </w:style>
  <w:style w:type="paragraph" w:customStyle="1" w:styleId="586">
    <w:name w:val="RFI Heading 2nd Level"/>
    <w:basedOn w:val="1"/>
    <w:qFormat/>
    <w:uiPriority w:val="0"/>
    <w:pPr>
      <w:widowControl/>
      <w:tabs>
        <w:tab w:val="left" w:pos="1260"/>
      </w:tabs>
      <w:ind w:firstLine="200" w:firstLineChars="200"/>
      <w:jc w:val="left"/>
    </w:pPr>
    <w:rPr>
      <w:rFonts w:ascii="Arial (W1)" w:hAnsi="Arial (W1)" w:eastAsia="宋体" w:cs="Times New Roman"/>
      <w:b/>
      <w:bCs/>
      <w:color w:val="0000FF"/>
      <w:kern w:val="0"/>
      <w:sz w:val="28"/>
      <w:szCs w:val="24"/>
      <w:lang w:val="en-GB" w:eastAsia="en-US"/>
    </w:rPr>
  </w:style>
  <w:style w:type="paragraph" w:customStyle="1" w:styleId="587">
    <w:name w:val="正文 首行缩进:  2 字符 Char"/>
    <w:basedOn w:val="1"/>
    <w:qFormat/>
    <w:uiPriority w:val="0"/>
    <w:pPr>
      <w:spacing w:line="360" w:lineRule="auto"/>
      <w:ind w:firstLine="480"/>
    </w:pPr>
    <w:rPr>
      <w:rFonts w:ascii="Times New Roman" w:hAnsi="Times New Roman" w:eastAsia="宋体" w:cs="宋体"/>
      <w:sz w:val="24"/>
      <w:szCs w:val="20"/>
    </w:rPr>
  </w:style>
  <w:style w:type="paragraph" w:customStyle="1" w:styleId="588">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eastAsia="宋体" w:cs="Times New Roman"/>
      <w:kern w:val="0"/>
      <w:sz w:val="20"/>
      <w:szCs w:val="20"/>
    </w:rPr>
  </w:style>
  <w:style w:type="paragraph" w:customStyle="1" w:styleId="589">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590">
    <w:name w:val="标题4_自定义"/>
    <w:basedOn w:val="6"/>
    <w:qFormat/>
    <w:uiPriority w:val="0"/>
    <w:pPr>
      <w:numPr>
        <w:numId w:val="0"/>
      </w:numPr>
      <w:adjustRightInd/>
      <w:spacing w:before="0" w:after="0" w:line="360" w:lineRule="auto"/>
    </w:pPr>
    <w:rPr>
      <w:rFonts w:ascii="Verdana" w:eastAsia="Verdana"/>
      <w:sz w:val="21"/>
      <w:lang w:val="en-US"/>
    </w:rPr>
  </w:style>
  <w:style w:type="paragraph" w:customStyle="1" w:styleId="591">
    <w:name w:val="样式7"/>
    <w:basedOn w:val="398"/>
    <w:next w:val="1"/>
    <w:qFormat/>
    <w:uiPriority w:val="0"/>
    <w:pPr>
      <w:spacing w:after="156" w:afterLines="50"/>
      <w:jc w:val="left"/>
      <w:outlineLvl w:val="3"/>
    </w:pPr>
    <w:rPr>
      <w:sz w:val="24"/>
      <w:szCs w:val="24"/>
    </w:rPr>
  </w:style>
  <w:style w:type="paragraph" w:customStyle="1" w:styleId="592">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593">
    <w:name w:val="单元格左对齐"/>
    <w:basedOn w:val="1"/>
    <w:qFormat/>
    <w:uiPriority w:val="0"/>
    <w:pPr>
      <w:spacing w:line="360" w:lineRule="auto"/>
    </w:pPr>
    <w:rPr>
      <w:rFonts w:ascii="Times New Roman" w:hAnsi="Times New Roman" w:eastAsia="宋体" w:cs="Times New Roman"/>
      <w:sz w:val="24"/>
      <w:szCs w:val="24"/>
    </w:rPr>
  </w:style>
  <w:style w:type="paragraph" w:customStyle="1" w:styleId="594">
    <w:name w:val="Char Char1 Char Char Char11"/>
    <w:basedOn w:val="1"/>
    <w:qFormat/>
    <w:uiPriority w:val="0"/>
    <w:pPr>
      <w:adjustRightInd w:val="0"/>
    </w:pPr>
    <w:rPr>
      <w:rFonts w:ascii="仿宋_GB2312" w:hAnsi="Times New Roman" w:eastAsia="仿宋_GB2312" w:cs="Times New Roman"/>
      <w:b/>
      <w:sz w:val="32"/>
      <w:szCs w:val="32"/>
    </w:rPr>
  </w:style>
  <w:style w:type="paragraph" w:customStyle="1" w:styleId="595">
    <w:name w:val="文章附标题"/>
    <w:basedOn w:val="1"/>
    <w:qFormat/>
    <w:uiPriority w:val="0"/>
    <w:pPr>
      <w:autoSpaceDE w:val="0"/>
      <w:autoSpaceDN w:val="0"/>
      <w:adjustRightInd w:val="0"/>
      <w:spacing w:before="187" w:after="175" w:line="374" w:lineRule="atLeast"/>
      <w:ind w:firstLine="200" w:firstLineChars="200"/>
      <w:jc w:val="center"/>
    </w:pPr>
    <w:rPr>
      <w:rFonts w:ascii="Times New Roman" w:hAnsi="Times New Roman" w:eastAsia="宋体" w:cs="Times New Roman"/>
      <w:color w:val="000000"/>
      <w:kern w:val="0"/>
      <w:sz w:val="36"/>
      <w:szCs w:val="36"/>
    </w:rPr>
  </w:style>
  <w:style w:type="paragraph" w:customStyle="1" w:styleId="596">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rPr>
  </w:style>
  <w:style w:type="paragraph" w:customStyle="1" w:styleId="597">
    <w:name w:val="正文文字表格居中"/>
    <w:basedOn w:val="1"/>
    <w:next w:val="54"/>
    <w:qFormat/>
    <w:uiPriority w:val="0"/>
    <w:pPr>
      <w:adjustRightInd w:val="0"/>
      <w:snapToGrid w:val="0"/>
      <w:spacing w:line="360" w:lineRule="auto"/>
    </w:pPr>
    <w:rPr>
      <w:rFonts w:ascii="宋体" w:hAnsi="Times New Roman" w:eastAsia="宋体" w:cs="Times New Roman"/>
      <w:b/>
      <w:sz w:val="24"/>
      <w:szCs w:val="20"/>
    </w:rPr>
  </w:style>
  <w:style w:type="paragraph" w:customStyle="1" w:styleId="598">
    <w:name w:val="Z5"/>
    <w:basedOn w:val="1"/>
    <w:next w:val="1"/>
    <w:qFormat/>
    <w:uiPriority w:val="0"/>
    <w:pPr>
      <w:tabs>
        <w:tab w:val="left" w:pos="2100"/>
      </w:tabs>
      <w:spacing w:before="240"/>
      <w:ind w:firstLine="200" w:firstLineChars="200"/>
      <w:outlineLvl w:val="4"/>
    </w:pPr>
    <w:rPr>
      <w:rFonts w:ascii="Tahoma" w:hAnsi="Tahoma" w:eastAsia="幼圆" w:cs="Times New Roman"/>
      <w:szCs w:val="24"/>
    </w:rPr>
  </w:style>
  <w:style w:type="paragraph" w:customStyle="1" w:styleId="599">
    <w:name w:val="深色列表 - 强调文字颜色 51"/>
    <w:basedOn w:val="1"/>
    <w:qFormat/>
    <w:uiPriority w:val="0"/>
    <w:pPr>
      <w:spacing w:line="360" w:lineRule="auto"/>
      <w:ind w:firstLine="200" w:firstLineChars="200"/>
    </w:pPr>
    <w:rPr>
      <w:rFonts w:ascii="Times New Roman" w:hAnsi="Times New Roman" w:eastAsia="楷体_GB2312" w:cs="Lucida Sans"/>
      <w:sz w:val="24"/>
      <w:szCs w:val="24"/>
    </w:rPr>
  </w:style>
  <w:style w:type="paragraph" w:customStyle="1" w:styleId="600">
    <w:name w:val="封面表格文本"/>
    <w:basedOn w:val="1"/>
    <w:qFormat/>
    <w:uiPriority w:val="0"/>
    <w:pPr>
      <w:autoSpaceDE w:val="0"/>
      <w:autoSpaceDN w:val="0"/>
      <w:adjustRightInd w:val="0"/>
      <w:ind w:firstLine="200" w:firstLineChars="200"/>
      <w:jc w:val="center"/>
    </w:pPr>
    <w:rPr>
      <w:rFonts w:ascii="Arial" w:hAnsi="Arial" w:eastAsia="宋体" w:cs="Times New Roman"/>
      <w:kern w:val="0"/>
      <w:szCs w:val="21"/>
    </w:rPr>
  </w:style>
  <w:style w:type="paragraph" w:customStyle="1" w:styleId="601">
    <w:name w:val="Thf"/>
    <w:basedOn w:val="542"/>
    <w:qFormat/>
    <w:uiPriority w:val="0"/>
    <w:pPr>
      <w:ind w:left="0"/>
    </w:pPr>
  </w:style>
  <w:style w:type="paragraph" w:customStyle="1" w:styleId="602">
    <w:name w:val="Char Char Char Char"/>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60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604">
    <w:name w:val="Char19"/>
    <w:basedOn w:val="1"/>
    <w:qFormat/>
    <w:uiPriority w:val="0"/>
    <w:rPr>
      <w:rFonts w:ascii="Times New Roman" w:hAnsi="Times New Roman" w:eastAsia="宋体" w:cs="Times New Roman"/>
      <w:szCs w:val="20"/>
    </w:rPr>
  </w:style>
  <w:style w:type="paragraph" w:customStyle="1" w:styleId="605">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eastAsia="宋体" w:cs="Times New Roman"/>
      <w:color w:val="000000"/>
      <w:spacing w:val="565"/>
      <w:kern w:val="0"/>
      <w:sz w:val="54"/>
      <w:szCs w:val="54"/>
    </w:rPr>
  </w:style>
  <w:style w:type="paragraph" w:customStyle="1" w:styleId="606">
    <w:name w:val="样式3"/>
    <w:basedOn w:val="513"/>
    <w:qFormat/>
    <w:uiPriority w:val="0"/>
    <w:pPr>
      <w:spacing w:before="312" w:beforeLines="100"/>
      <w:jc w:val="left"/>
    </w:pPr>
  </w:style>
  <w:style w:type="paragraph" w:customStyle="1" w:styleId="607">
    <w:name w:val="首行缩进"/>
    <w:basedOn w:val="1"/>
    <w:qFormat/>
    <w:uiPriority w:val="0"/>
    <w:pPr>
      <w:adjustRightInd w:val="0"/>
      <w:spacing w:line="360" w:lineRule="auto"/>
      <w:ind w:firstLine="480" w:firstLineChars="200"/>
    </w:pPr>
    <w:rPr>
      <w:rFonts w:ascii="宋体" w:hAnsi="Times New Roman" w:eastAsia="宋体" w:cs="Times New Roman"/>
      <w:sz w:val="24"/>
      <w:szCs w:val="20"/>
    </w:rPr>
  </w:style>
  <w:style w:type="paragraph" w:customStyle="1" w:styleId="608">
    <w:name w:val="方案正文"/>
    <w:basedOn w:val="1"/>
    <w:qFormat/>
    <w:uiPriority w:val="0"/>
    <w:pPr>
      <w:adjustRightInd w:val="0"/>
      <w:snapToGrid w:val="0"/>
      <w:spacing w:line="324" w:lineRule="auto"/>
      <w:ind w:firstLine="482" w:firstLineChars="200"/>
    </w:pPr>
    <w:rPr>
      <w:rFonts w:ascii="仿宋_GB2312" w:hAnsi="Times New Roman" w:eastAsia="仿宋_GB2312" w:cs="Times New Roman"/>
      <w:b/>
      <w:color w:val="000000"/>
      <w:sz w:val="24"/>
      <w:szCs w:val="20"/>
    </w:rPr>
  </w:style>
  <w:style w:type="paragraph" w:customStyle="1" w:styleId="609">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610">
    <w:name w:val="样式 标题 4PIM 4H4h4bulletblbbH41H42H43H44H45H46H47H48...1"/>
    <w:basedOn w:val="6"/>
    <w:qFormat/>
    <w:uiPriority w:val="0"/>
    <w:pPr>
      <w:widowControl/>
      <w:jc w:val="left"/>
    </w:pPr>
    <w:rPr>
      <w:rFonts w:cs="宋体"/>
      <w:sz w:val="24"/>
      <w:szCs w:val="20"/>
    </w:rPr>
  </w:style>
  <w:style w:type="paragraph" w:customStyle="1" w:styleId="611">
    <w:name w:val="button"/>
    <w:basedOn w:val="1"/>
    <w:qFormat/>
    <w:uiPriority w:val="0"/>
    <w:pPr>
      <w:widowControl/>
      <w:adjustRightInd w:val="0"/>
      <w:spacing w:before="100" w:beforeAutospacing="1" w:after="100" w:afterAutospacing="1"/>
      <w:jc w:val="left"/>
    </w:pPr>
    <w:rPr>
      <w:rFonts w:ascii="Arial Unicode MS" w:hAnsi="Arial Unicode MS" w:eastAsia="宋体" w:cs="Times New Roman"/>
      <w:color w:val="000000"/>
      <w:kern w:val="0"/>
      <w:sz w:val="24"/>
      <w:szCs w:val="24"/>
    </w:rPr>
  </w:style>
  <w:style w:type="paragraph" w:customStyle="1" w:styleId="612">
    <w:name w:val="样式 正文缩进 + 首行缩进:  2 字符"/>
    <w:basedOn w:val="16"/>
    <w:link w:val="674"/>
    <w:qFormat/>
    <w:uiPriority w:val="0"/>
    <w:pPr>
      <w:widowControl w:val="0"/>
      <w:adjustRightInd/>
      <w:snapToGrid/>
      <w:spacing w:line="360" w:lineRule="auto"/>
      <w:ind w:firstLine="200" w:firstLineChars="200"/>
    </w:pPr>
    <w:rPr>
      <w:rFonts w:ascii="Times New Roman"/>
      <w:snapToGrid/>
      <w:color w:val="auto"/>
      <w:kern w:val="2"/>
      <w:sz w:val="24"/>
      <w:lang w:val="zh-CN"/>
    </w:rPr>
  </w:style>
  <w:style w:type="paragraph" w:customStyle="1" w:styleId="613">
    <w:name w:val="默认段落字体 Para Char Char Char Char Char Char Char Char Char Char"/>
    <w:basedOn w:val="1"/>
    <w:qFormat/>
    <w:uiPriority w:val="0"/>
    <w:rPr>
      <w:rFonts w:ascii="Tahoma" w:hAnsi="Tahoma" w:eastAsia="宋体" w:cs="Times New Roman"/>
      <w:color w:val="000000"/>
      <w:sz w:val="24"/>
      <w:szCs w:val="20"/>
    </w:rPr>
  </w:style>
  <w:style w:type="paragraph" w:customStyle="1" w:styleId="614">
    <w:name w:val="样式8"/>
    <w:basedOn w:val="1"/>
    <w:qFormat/>
    <w:uiPriority w:val="0"/>
    <w:pPr>
      <w:adjustRightInd w:val="0"/>
      <w:spacing w:before="156" w:beforeLines="50" w:after="156" w:afterLines="50"/>
      <w:ind w:firstLine="200" w:firstLineChars="200"/>
      <w:outlineLvl w:val="4"/>
    </w:pPr>
    <w:rPr>
      <w:rFonts w:ascii="仿宋_GB2312" w:hAnsi="宋体" w:eastAsia="仿宋_GB2312" w:cs="Times New Roman"/>
      <w:b/>
      <w:bCs/>
      <w:sz w:val="24"/>
      <w:szCs w:val="24"/>
    </w:rPr>
  </w:style>
  <w:style w:type="paragraph" w:customStyle="1" w:styleId="615">
    <w:name w:val="正文文字缩进"/>
    <w:basedOn w:val="1"/>
    <w:qFormat/>
    <w:uiPriority w:val="0"/>
    <w:pPr>
      <w:widowControl/>
      <w:tabs>
        <w:tab w:val="left" w:pos="180"/>
      </w:tabs>
      <w:spacing w:line="240" w:lineRule="exact"/>
      <w:ind w:left="187" w:hanging="187" w:firstLineChars="200"/>
      <w:jc w:val="left"/>
    </w:pPr>
    <w:rPr>
      <w:rFonts w:ascii="Futura Bk" w:hAnsi="Futura Bk" w:eastAsia="宋体" w:cs="Futura Bk"/>
      <w:kern w:val="0"/>
      <w:sz w:val="18"/>
      <w:szCs w:val="18"/>
    </w:rPr>
  </w:style>
  <w:style w:type="paragraph" w:customStyle="1" w:styleId="616">
    <w:name w:val="正文文本 21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617">
    <w:name w:val="xl23"/>
    <w:basedOn w:val="1"/>
    <w:qFormat/>
    <w:uiPriority w:val="0"/>
    <w:pPr>
      <w:widowControl/>
      <w:spacing w:before="100" w:beforeAutospacing="1" w:after="100" w:afterAutospacing="1" w:line="360" w:lineRule="auto"/>
      <w:ind w:firstLine="200" w:firstLineChars="200"/>
      <w:textAlignment w:val="top"/>
    </w:pPr>
    <w:rPr>
      <w:rFonts w:ascii="Times New Roman" w:hAnsi="Times New Roman" w:eastAsia="宋体" w:cs="Times New Roman"/>
      <w:kern w:val="0"/>
      <w:sz w:val="24"/>
      <w:szCs w:val="24"/>
    </w:rPr>
  </w:style>
  <w:style w:type="paragraph" w:customStyle="1" w:styleId="618">
    <w:name w:val="xl25"/>
    <w:basedOn w:val="1"/>
    <w:qFormat/>
    <w:uiPriority w:val="0"/>
    <w:pPr>
      <w:widowControl/>
      <w:adjustRightInd w:val="0"/>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619">
    <w:name w:val="目录2"/>
    <w:basedOn w:val="1"/>
    <w:qFormat/>
    <w:uiPriority w:val="0"/>
    <w:pPr>
      <w:tabs>
        <w:tab w:val="left" w:leader="dot" w:pos="7370"/>
      </w:tabs>
      <w:autoSpaceDE w:val="0"/>
      <w:autoSpaceDN w:val="0"/>
      <w:adjustRightInd w:val="0"/>
      <w:spacing w:line="317" w:lineRule="atLeast"/>
      <w:ind w:firstLine="209" w:firstLineChars="200"/>
    </w:pPr>
    <w:rPr>
      <w:rFonts w:ascii="Times New Roman" w:hAnsi="Times New Roman" w:eastAsia="宋体" w:cs="Times New Roman"/>
      <w:color w:val="000000"/>
      <w:kern w:val="0"/>
      <w:szCs w:val="21"/>
    </w:rPr>
  </w:style>
  <w:style w:type="paragraph" w:customStyle="1" w:styleId="620">
    <w:name w:val="缺省文本"/>
    <w:basedOn w:val="1"/>
    <w:qFormat/>
    <w:uiPriority w:val="0"/>
    <w:pPr>
      <w:widowControl/>
      <w:overflowPunct w:val="0"/>
      <w:autoSpaceDE w:val="0"/>
      <w:autoSpaceDN w:val="0"/>
      <w:adjustRightInd w:val="0"/>
      <w:spacing w:line="360" w:lineRule="auto"/>
      <w:ind w:firstLine="720" w:firstLineChars="200"/>
      <w:textAlignment w:val="baseline"/>
    </w:pPr>
    <w:rPr>
      <w:rFonts w:ascii="宋体" w:hAnsi="Times New Roman" w:eastAsia="仿宋_GB2312" w:cs="Times New Roman"/>
      <w:kern w:val="0"/>
      <w:sz w:val="28"/>
      <w:szCs w:val="20"/>
    </w:rPr>
  </w:style>
  <w:style w:type="paragraph" w:customStyle="1" w:styleId="621">
    <w:name w:val="p0"/>
    <w:basedOn w:val="1"/>
    <w:qFormat/>
    <w:uiPriority w:val="0"/>
    <w:pPr>
      <w:widowControl/>
    </w:pPr>
    <w:rPr>
      <w:rFonts w:ascii="Times New Roman" w:hAnsi="Times New Roman" w:eastAsia="宋体" w:cs="Times New Roman"/>
      <w:kern w:val="0"/>
      <w:szCs w:val="21"/>
    </w:rPr>
  </w:style>
  <w:style w:type="paragraph" w:customStyle="1" w:styleId="622">
    <w:name w:val="修订1"/>
    <w:qFormat/>
    <w:uiPriority w:val="3"/>
    <w:rPr>
      <w:rFonts w:ascii="Times New Roman" w:hAnsi="Times New Roman" w:eastAsia="宋体" w:cs="Times New Roman"/>
      <w:kern w:val="2"/>
      <w:sz w:val="21"/>
      <w:lang w:val="en-US" w:eastAsia="zh-CN" w:bidi="ar-SA"/>
    </w:rPr>
  </w:style>
  <w:style w:type="paragraph" w:customStyle="1" w:styleId="623">
    <w:name w:val="gf正文1"/>
    <w:basedOn w:val="1"/>
    <w:link w:val="787"/>
    <w:qFormat/>
    <w:uiPriority w:val="0"/>
    <w:pPr>
      <w:tabs>
        <w:tab w:val="left" w:pos="3240"/>
        <w:tab w:val="left" w:pos="3960"/>
      </w:tabs>
      <w:adjustRightInd w:val="0"/>
      <w:snapToGrid w:val="0"/>
      <w:spacing w:line="360" w:lineRule="auto"/>
      <w:ind w:firstLine="480" w:firstLineChars="200"/>
    </w:pPr>
    <w:rPr>
      <w:rFonts w:ascii="宋体" w:hAnsi="宋体" w:eastAsia="宋体" w:cs="Times New Roman"/>
      <w:sz w:val="24"/>
      <w:szCs w:val="24"/>
      <w:lang w:val="zh-CN"/>
    </w:rPr>
  </w:style>
  <w:style w:type="paragraph" w:customStyle="1" w:styleId="624">
    <w:name w:val="表格文字"/>
    <w:basedOn w:val="1"/>
    <w:next w:val="16"/>
    <w:qFormat/>
    <w:uiPriority w:val="0"/>
    <w:pPr>
      <w:ind w:firstLine="200" w:firstLineChars="200"/>
    </w:pPr>
    <w:rPr>
      <w:rFonts w:ascii="Arial" w:hAnsi="Arial" w:eastAsia="宋体" w:cs="Times New Roman"/>
      <w:spacing w:val="-5"/>
      <w:kern w:val="0"/>
      <w:sz w:val="24"/>
      <w:szCs w:val="20"/>
    </w:rPr>
  </w:style>
  <w:style w:type="paragraph" w:customStyle="1" w:styleId="625">
    <w:name w:val="部分1"/>
    <w:basedOn w:val="1"/>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paragraph" w:customStyle="1" w:styleId="626">
    <w:name w:val="Char Char14"/>
    <w:basedOn w:val="1"/>
    <w:qFormat/>
    <w:uiPriority w:val="0"/>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62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28">
    <w:name w:val="FA正文"/>
    <w:basedOn w:val="1"/>
    <w:qFormat/>
    <w:uiPriority w:val="0"/>
    <w:pPr>
      <w:adjustRightInd w:val="0"/>
      <w:spacing w:line="360" w:lineRule="auto"/>
      <w:ind w:firstLine="480" w:firstLineChars="200"/>
    </w:pPr>
    <w:rPr>
      <w:rFonts w:ascii="Times New Roman" w:hAnsi="宋体" w:eastAsia="宋体" w:cs="Times New Roman"/>
      <w:sz w:val="24"/>
      <w:szCs w:val="20"/>
    </w:rPr>
  </w:style>
  <w:style w:type="paragraph" w:customStyle="1" w:styleId="629">
    <w:name w:val="CM14"/>
    <w:basedOn w:val="78"/>
    <w:next w:val="78"/>
    <w:qFormat/>
    <w:uiPriority w:val="0"/>
    <w:pPr>
      <w:spacing w:after="68"/>
    </w:pPr>
    <w:rPr>
      <w:rFonts w:ascii="FHLHE E+ Futura Bk" w:eastAsia="FHLHE E+ Futura Bk"/>
      <w:color w:val="auto"/>
    </w:rPr>
  </w:style>
  <w:style w:type="paragraph" w:customStyle="1" w:styleId="630">
    <w:name w:val="Char Char Char Char2"/>
    <w:basedOn w:val="1"/>
    <w:qFormat/>
    <w:uiPriority w:val="0"/>
    <w:pPr>
      <w:adjustRightInd w:val="0"/>
    </w:pPr>
    <w:rPr>
      <w:rFonts w:ascii="Tahoma" w:hAnsi="Tahoma" w:eastAsia="宋体" w:cs="Times New Roman"/>
      <w:sz w:val="24"/>
      <w:szCs w:val="20"/>
    </w:rPr>
  </w:style>
  <w:style w:type="paragraph" w:customStyle="1" w:styleId="631">
    <w:name w:val="Char11"/>
    <w:basedOn w:val="1"/>
    <w:qFormat/>
    <w:uiPriority w:val="0"/>
    <w:pPr>
      <w:tabs>
        <w:tab w:val="left" w:pos="432"/>
      </w:tabs>
      <w:spacing w:before="156" w:beforeLines="50" w:after="156" w:afterLines="50"/>
      <w:ind w:left="432" w:hanging="432" w:firstLineChars="200"/>
    </w:pPr>
    <w:rPr>
      <w:rFonts w:ascii="Times New Roman" w:hAnsi="Times New Roman" w:eastAsia="宋体" w:cs="Times New Roman"/>
      <w:sz w:val="24"/>
      <w:szCs w:val="24"/>
    </w:rPr>
  </w:style>
  <w:style w:type="paragraph" w:customStyle="1" w:styleId="632">
    <w:name w:val="样式1 + (中宋体"/>
    <w:basedOn w:val="51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33">
    <w:name w:val="标准正文"/>
    <w:basedOn w:val="1"/>
    <w:link w:val="873"/>
    <w:qFormat/>
    <w:uiPriority w:val="0"/>
    <w:pPr>
      <w:tabs>
        <w:tab w:val="left" w:pos="780"/>
      </w:tabs>
      <w:spacing w:line="360" w:lineRule="auto"/>
      <w:ind w:left="200" w:leftChars="200" w:firstLine="200" w:firstLineChars="200"/>
    </w:pPr>
    <w:rPr>
      <w:rFonts w:ascii="Times New Roman" w:hAnsi="Times New Roman" w:eastAsia="宋体" w:cs="Times New Roman"/>
      <w:sz w:val="24"/>
      <w:szCs w:val="24"/>
    </w:rPr>
  </w:style>
  <w:style w:type="paragraph" w:customStyle="1" w:styleId="634">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635">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636">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37">
    <w:name w:val="Picture"/>
    <w:basedOn w:val="1"/>
    <w:next w:val="18"/>
    <w:qFormat/>
    <w:uiPriority w:val="0"/>
    <w:pPr>
      <w:keepNext/>
      <w:widowControl/>
      <w:ind w:firstLine="200" w:firstLineChars="200"/>
    </w:pPr>
    <w:rPr>
      <w:rFonts w:ascii="楷体" w:hAnsi="Arial" w:eastAsia="楷体" w:cs="Times New Roman"/>
      <w:b/>
      <w:spacing w:val="-5"/>
      <w:w w:val="98"/>
      <w:kern w:val="0"/>
      <w:sz w:val="24"/>
      <w:szCs w:val="20"/>
    </w:rPr>
  </w:style>
  <w:style w:type="paragraph" w:customStyle="1" w:styleId="638">
    <w:name w:val="规划正文"/>
    <w:basedOn w:val="1"/>
    <w:qFormat/>
    <w:uiPriority w:val="0"/>
    <w:pPr>
      <w:spacing w:before="312" w:beforeLines="100" w:line="360" w:lineRule="auto"/>
      <w:jc w:val="left"/>
    </w:pPr>
    <w:rPr>
      <w:rFonts w:ascii="Arial" w:hAnsi="Arial" w:eastAsia="仿宋_GB2312" w:cs="Times New Roman"/>
      <w:bCs/>
      <w:sz w:val="28"/>
      <w:szCs w:val="24"/>
    </w:rPr>
  </w:style>
  <w:style w:type="paragraph" w:customStyle="1" w:styleId="639">
    <w:name w:val="Char1 Char Char Char51"/>
    <w:basedOn w:val="1"/>
    <w:qFormat/>
    <w:uiPriority w:val="0"/>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640">
    <w:name w:val="目录4"/>
    <w:basedOn w:val="1"/>
    <w:qFormat/>
    <w:uiPriority w:val="0"/>
    <w:pPr>
      <w:tabs>
        <w:tab w:val="left" w:leader="dot" w:pos="7370"/>
      </w:tabs>
      <w:autoSpaceDE w:val="0"/>
      <w:autoSpaceDN w:val="0"/>
      <w:adjustRightInd w:val="0"/>
      <w:spacing w:line="317" w:lineRule="atLeast"/>
      <w:ind w:firstLine="629" w:firstLineChars="200"/>
    </w:pPr>
    <w:rPr>
      <w:rFonts w:ascii="Times New Roman" w:hAnsi="Times New Roman" w:eastAsia="宋体" w:cs="Times New Roman"/>
      <w:color w:val="000000"/>
      <w:kern w:val="0"/>
      <w:szCs w:val="21"/>
    </w:rPr>
  </w:style>
  <w:style w:type="paragraph" w:customStyle="1" w:styleId="641">
    <w:name w:val="Char1 Char Char Char5"/>
    <w:basedOn w:val="1"/>
    <w:qFormat/>
    <w:uiPriority w:val="0"/>
    <w:pPr>
      <w:ind w:firstLine="200" w:firstLineChars="200"/>
    </w:pPr>
    <w:rPr>
      <w:rFonts w:ascii="Tahoma" w:hAnsi="Tahoma" w:eastAsia="宋体" w:cs="Times New Roman"/>
      <w:sz w:val="24"/>
      <w:szCs w:val="20"/>
    </w:rPr>
  </w:style>
  <w:style w:type="paragraph" w:customStyle="1" w:styleId="642">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43">
    <w:name w:val="trs_edito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44">
    <w:name w:val="Char Char28"/>
    <w:basedOn w:val="1"/>
    <w:qFormat/>
    <w:uiPriority w:val="0"/>
    <w:pPr>
      <w:snapToGrid w:val="0"/>
      <w:spacing w:line="360" w:lineRule="auto"/>
    </w:pPr>
    <w:rPr>
      <w:rFonts w:ascii="Arial" w:hAnsi="Arial" w:eastAsia="黑体" w:cs="Times New Roman"/>
      <w:snapToGrid w:val="0"/>
      <w:kern w:val="0"/>
      <w:sz w:val="20"/>
      <w:szCs w:val="21"/>
    </w:rPr>
  </w:style>
  <w:style w:type="paragraph" w:customStyle="1" w:styleId="645">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6">
    <w:name w:val="纯文本_0_0"/>
    <w:basedOn w:val="645"/>
    <w:link w:val="647"/>
    <w:qFormat/>
    <w:uiPriority w:val="0"/>
    <w:rPr>
      <w:rFonts w:ascii="宋体" w:hAnsi="Courier New"/>
      <w:szCs w:val="21"/>
    </w:rPr>
  </w:style>
  <w:style w:type="character" w:customStyle="1" w:styleId="647">
    <w:name w:val="纯文本 Char_0"/>
    <w:link w:val="646"/>
    <w:qFormat/>
    <w:uiPriority w:val="0"/>
    <w:rPr>
      <w:rFonts w:ascii="宋体" w:hAnsi="Courier New" w:eastAsia="宋体" w:cs="Times New Roman"/>
      <w:szCs w:val="21"/>
    </w:rPr>
  </w:style>
  <w:style w:type="paragraph" w:customStyle="1" w:styleId="648">
    <w:name w:val="索引 11"/>
    <w:basedOn w:val="1"/>
    <w:next w:val="1"/>
    <w:qFormat/>
    <w:uiPriority w:val="0"/>
    <w:pPr>
      <w:spacing w:line="360" w:lineRule="auto"/>
    </w:pPr>
    <w:rPr>
      <w:rFonts w:ascii="仿宋_GB2312" w:hAnsi="Times New Roman" w:eastAsia="仿宋_GB2312" w:cs="Times New Roman"/>
      <w:sz w:val="24"/>
      <w:szCs w:val="20"/>
    </w:rPr>
  </w:style>
  <w:style w:type="character" w:customStyle="1" w:styleId="649">
    <w:name w:val="Char Char34"/>
    <w:qFormat/>
    <w:uiPriority w:val="6"/>
    <w:rPr>
      <w:b/>
      <w:kern w:val="1"/>
      <w:sz w:val="28"/>
      <w:szCs w:val="28"/>
    </w:rPr>
  </w:style>
  <w:style w:type="character" w:customStyle="1" w:styleId="650">
    <w:name w:val="Char Char22"/>
    <w:qFormat/>
    <w:uiPriority w:val="6"/>
    <w:rPr>
      <w:rFonts w:ascii="宋体" w:hAnsi="宋体"/>
      <w:kern w:val="1"/>
      <w:sz w:val="24"/>
      <w:szCs w:val="24"/>
    </w:rPr>
  </w:style>
  <w:style w:type="character" w:customStyle="1" w:styleId="651">
    <w:name w:val="Char Char141"/>
    <w:qFormat/>
    <w:uiPriority w:val="0"/>
    <w:rPr>
      <w:rFonts w:ascii="黑体" w:hAnsi="黑体" w:eastAsia="黑体"/>
    </w:rPr>
  </w:style>
  <w:style w:type="character" w:customStyle="1" w:styleId="652">
    <w:name w:val="Char Char61"/>
    <w:qFormat/>
    <w:uiPriority w:val="6"/>
    <w:rPr>
      <w:rFonts w:eastAsia="宋体"/>
      <w:kern w:val="2"/>
      <w:sz w:val="21"/>
      <w:szCs w:val="24"/>
      <w:lang w:val="en-US" w:eastAsia="zh-CN" w:bidi="ar-SA"/>
    </w:rPr>
  </w:style>
  <w:style w:type="character" w:customStyle="1" w:styleId="653">
    <w:name w:val="Char Char24"/>
    <w:qFormat/>
    <w:uiPriority w:val="6"/>
    <w:rPr>
      <w:kern w:val="1"/>
      <w:sz w:val="21"/>
    </w:rPr>
  </w:style>
  <w:style w:type="character" w:customStyle="1" w:styleId="654">
    <w:name w:val="Heading 1 Char"/>
    <w:qFormat/>
    <w:uiPriority w:val="6"/>
    <w:rPr>
      <w:rFonts w:ascii="Times New Roman" w:hAnsi="Times New Roman" w:eastAsia="黑体" w:cs="Times New Roman"/>
      <w:b/>
      <w:kern w:val="0"/>
      <w:sz w:val="24"/>
      <w:szCs w:val="24"/>
    </w:rPr>
  </w:style>
  <w:style w:type="character" w:customStyle="1" w:styleId="655">
    <w:name w:val="Char Char19"/>
    <w:qFormat/>
    <w:uiPriority w:val="0"/>
    <w:rPr>
      <w:rFonts w:ascii="宋体" w:hAnsi="宋体"/>
      <w:i/>
      <w:sz w:val="24"/>
      <w:szCs w:val="24"/>
    </w:rPr>
  </w:style>
  <w:style w:type="character" w:customStyle="1" w:styleId="656">
    <w:name w:val="纯文本 Char2"/>
    <w:semiHidden/>
    <w:qFormat/>
    <w:uiPriority w:val="99"/>
    <w:rPr>
      <w:rFonts w:ascii="宋体" w:hAnsi="Courier New" w:eastAsia="宋体" w:cs="Courier New"/>
    </w:rPr>
  </w:style>
  <w:style w:type="character" w:customStyle="1" w:styleId="657">
    <w:name w:val="Char Char32"/>
    <w:qFormat/>
    <w:uiPriority w:val="6"/>
    <w:rPr>
      <w:b/>
      <w:kern w:val="1"/>
      <w:sz w:val="24"/>
      <w:szCs w:val="24"/>
    </w:rPr>
  </w:style>
  <w:style w:type="character" w:customStyle="1" w:styleId="658">
    <w:name w:val="Char Char36"/>
    <w:qFormat/>
    <w:uiPriority w:val="6"/>
    <w:rPr>
      <w:rFonts w:ascii="仿宋_GB2312" w:hAnsi="仿宋_GB2312" w:eastAsia="仿宋_GB2312" w:cs="Arial"/>
      <w:b/>
      <w:kern w:val="1"/>
      <w:sz w:val="32"/>
      <w:szCs w:val="32"/>
      <w:lang w:val="zh-CN" w:eastAsia="zh-CN" w:bidi="ar-SA"/>
    </w:rPr>
  </w:style>
  <w:style w:type="character" w:customStyle="1" w:styleId="659">
    <w:name w:val="Char Char101"/>
    <w:qFormat/>
    <w:uiPriority w:val="6"/>
    <w:rPr>
      <w:rFonts w:ascii="宋体" w:hAnsi="宋体"/>
      <w:kern w:val="2"/>
      <w:sz w:val="21"/>
      <w:szCs w:val="24"/>
      <w:lang w:val="en-US" w:eastAsia="zh-CN"/>
    </w:rPr>
  </w:style>
  <w:style w:type="character" w:customStyle="1" w:styleId="660">
    <w:name w:val="Char Char17"/>
    <w:qFormat/>
    <w:uiPriority w:val="0"/>
    <w:rPr>
      <w:rFonts w:eastAsia="仿宋_GB2312"/>
      <w:sz w:val="24"/>
    </w:rPr>
  </w:style>
  <w:style w:type="character" w:customStyle="1" w:styleId="661">
    <w:name w:val="Char Char121"/>
    <w:qFormat/>
    <w:uiPriority w:val="6"/>
    <w:rPr>
      <w:rFonts w:ascii="仿宋_GB2312" w:eastAsia="仿宋_GB2312"/>
      <w:b/>
      <w:bCs/>
      <w:kern w:val="2"/>
      <w:sz w:val="24"/>
      <w:szCs w:val="24"/>
      <w:lang w:val="zh-CN" w:eastAsia="zh-CN" w:bidi="ar-SA"/>
    </w:rPr>
  </w:style>
  <w:style w:type="character" w:customStyle="1" w:styleId="662">
    <w:name w:val="Char Char91"/>
    <w:qFormat/>
    <w:uiPriority w:val="0"/>
    <w:rPr>
      <w:rFonts w:eastAsia="宋体"/>
      <w:kern w:val="2"/>
      <w:sz w:val="18"/>
      <w:szCs w:val="18"/>
      <w:lang w:val="en-US" w:eastAsia="zh-CN" w:bidi="ar-SA"/>
    </w:rPr>
  </w:style>
  <w:style w:type="character" w:customStyle="1" w:styleId="663">
    <w:name w:val="param-name"/>
    <w:qFormat/>
    <w:uiPriority w:val="99"/>
    <w:rPr>
      <w:rFonts w:ascii="Arial" w:hAnsi="Arial" w:eastAsia="黑体" w:cs="Arial"/>
      <w:snapToGrid/>
      <w:kern w:val="0"/>
      <w:szCs w:val="21"/>
    </w:rPr>
  </w:style>
  <w:style w:type="character" w:customStyle="1" w:styleId="664">
    <w:name w:val="Char Char31"/>
    <w:qFormat/>
    <w:uiPriority w:val="6"/>
    <w:rPr>
      <w:rFonts w:ascii="Arial" w:hAnsi="Arial" w:eastAsia="黑体"/>
      <w:kern w:val="1"/>
      <w:sz w:val="24"/>
      <w:szCs w:val="24"/>
    </w:rPr>
  </w:style>
  <w:style w:type="character" w:customStyle="1" w:styleId="665">
    <w:name w:val="Char Char27"/>
    <w:qFormat/>
    <w:uiPriority w:val="6"/>
    <w:rPr>
      <w:rFonts w:ascii="宋体" w:hAnsi="宋体" w:eastAsia="宋体"/>
      <w:color w:val="000000"/>
      <w:kern w:val="1"/>
      <w:sz w:val="28"/>
      <w:lang w:val="en-US" w:eastAsia="zh-CN" w:bidi="ar-SA"/>
    </w:rPr>
  </w:style>
  <w:style w:type="character" w:customStyle="1" w:styleId="666">
    <w:name w:val="Char Char16"/>
    <w:qFormat/>
    <w:uiPriority w:val="6"/>
    <w:rPr>
      <w:kern w:val="1"/>
      <w:sz w:val="18"/>
      <w:szCs w:val="18"/>
    </w:rPr>
  </w:style>
  <w:style w:type="character" w:customStyle="1" w:styleId="667">
    <w:name w:val="页眉 Char2"/>
    <w:qFormat/>
    <w:uiPriority w:val="0"/>
    <w:rPr>
      <w:kern w:val="2"/>
      <w:sz w:val="18"/>
      <w:szCs w:val="18"/>
    </w:rPr>
  </w:style>
  <w:style w:type="character" w:customStyle="1" w:styleId="668">
    <w:name w:val="表格名称[858D7CFB-ED40-4347-BF05-701D383B685F]"/>
    <w:link w:val="669"/>
    <w:qFormat/>
    <w:uiPriority w:val="0"/>
    <w:rPr>
      <w:sz w:val="32"/>
    </w:rPr>
  </w:style>
  <w:style w:type="paragraph" w:customStyle="1" w:styleId="669">
    <w:name w:val="表格名称"/>
    <w:basedOn w:val="4"/>
    <w:link w:val="668"/>
    <w:qFormat/>
    <w:uiPriority w:val="0"/>
    <w:pPr>
      <w:numPr>
        <w:numId w:val="0"/>
      </w:numPr>
      <w:snapToGrid w:val="0"/>
      <w:spacing w:before="240" w:after="240" w:line="240" w:lineRule="auto"/>
      <w:jc w:val="center"/>
    </w:pPr>
    <w:rPr>
      <w:rFonts w:asciiTheme="minorHAnsi" w:hAnsiTheme="minorHAnsi" w:eastAsiaTheme="minorEastAsia" w:cstheme="minorBidi"/>
      <w:b w:val="0"/>
      <w:bCs w:val="0"/>
      <w:szCs w:val="22"/>
      <w:lang w:val="en-US"/>
    </w:rPr>
  </w:style>
  <w:style w:type="character" w:customStyle="1" w:styleId="670">
    <w:name w:val="Char Char41"/>
    <w:qFormat/>
    <w:uiPriority w:val="0"/>
    <w:rPr>
      <w:rFonts w:eastAsia="宋体"/>
      <w:b/>
      <w:sz w:val="24"/>
      <w:lang w:val="en-GB" w:eastAsia="zh-CN" w:bidi="ar-SA"/>
    </w:rPr>
  </w:style>
  <w:style w:type="character" w:customStyle="1" w:styleId="671">
    <w:name w:val="正文段 Char"/>
    <w:link w:val="575"/>
    <w:qFormat/>
    <w:uiPriority w:val="0"/>
    <w:rPr>
      <w:rFonts w:ascii="Times New Roman" w:hAnsi="Times New Roman" w:eastAsia="宋体" w:cs="Times New Roman"/>
      <w:kern w:val="0"/>
      <w:sz w:val="24"/>
      <w:szCs w:val="20"/>
      <w:lang w:val="zh-CN"/>
    </w:rPr>
  </w:style>
  <w:style w:type="character" w:customStyle="1" w:styleId="672">
    <w:name w:val="Char Char29"/>
    <w:qFormat/>
    <w:uiPriority w:val="6"/>
    <w:rPr>
      <w:rFonts w:ascii="Arial" w:hAnsi="Arial" w:eastAsia="微软雅黑"/>
      <w:b/>
      <w:kern w:val="1"/>
      <w:sz w:val="44"/>
      <w:szCs w:val="32"/>
      <w:lang w:val="en-US" w:eastAsia="zh-CN" w:bidi="ar-SA"/>
    </w:rPr>
  </w:style>
  <w:style w:type="character" w:customStyle="1" w:styleId="673">
    <w:name w:val="Char Char211"/>
    <w:qFormat/>
    <w:uiPriority w:val="0"/>
    <w:rPr>
      <w:rFonts w:eastAsia="宋体"/>
      <w:b/>
      <w:bCs/>
      <w:kern w:val="2"/>
      <w:sz w:val="21"/>
      <w:szCs w:val="24"/>
      <w:lang w:val="en-US" w:eastAsia="zh-CN" w:bidi="ar-SA"/>
    </w:rPr>
  </w:style>
  <w:style w:type="character" w:customStyle="1" w:styleId="674">
    <w:name w:val="样式 正文缩进 + 首行缩进:  2 字符 Char Char"/>
    <w:link w:val="612"/>
    <w:qFormat/>
    <w:uiPriority w:val="0"/>
    <w:rPr>
      <w:rFonts w:ascii="Times New Roman" w:eastAsia="宋体"/>
      <w:sz w:val="24"/>
      <w:lang w:val="zh-CN"/>
    </w:rPr>
  </w:style>
  <w:style w:type="character" w:customStyle="1" w:styleId="675">
    <w:name w:val="Char Char131"/>
    <w:qFormat/>
    <w:uiPriority w:val="0"/>
    <w:rPr>
      <w:rFonts w:ascii="宋体" w:hAnsi="宋体"/>
      <w:kern w:val="1"/>
      <w:sz w:val="21"/>
      <w:szCs w:val="24"/>
    </w:rPr>
  </w:style>
  <w:style w:type="character" w:customStyle="1" w:styleId="676">
    <w:name w:val="Char Char33"/>
    <w:qFormat/>
    <w:uiPriority w:val="6"/>
    <w:rPr>
      <w:rFonts w:ascii="Arial" w:hAnsi="Arial" w:eastAsia="黑体"/>
      <w:b/>
      <w:kern w:val="1"/>
      <w:sz w:val="24"/>
      <w:szCs w:val="24"/>
    </w:rPr>
  </w:style>
  <w:style w:type="character" w:customStyle="1" w:styleId="677">
    <w:name w:val="正文说明 Char"/>
    <w:link w:val="678"/>
    <w:qFormat/>
    <w:uiPriority w:val="0"/>
    <w:rPr>
      <w:sz w:val="24"/>
      <w:szCs w:val="24"/>
    </w:rPr>
  </w:style>
  <w:style w:type="paragraph" w:customStyle="1" w:styleId="678">
    <w:name w:val="正文说明"/>
    <w:basedOn w:val="1"/>
    <w:link w:val="677"/>
    <w:qFormat/>
    <w:uiPriority w:val="0"/>
    <w:pPr>
      <w:spacing w:line="360" w:lineRule="auto"/>
    </w:pPr>
    <w:rPr>
      <w:sz w:val="24"/>
      <w:szCs w:val="24"/>
    </w:rPr>
  </w:style>
  <w:style w:type="character" w:customStyle="1" w:styleId="679">
    <w:name w:val="页脚 Char2"/>
    <w:qFormat/>
    <w:locked/>
    <w:uiPriority w:val="0"/>
    <w:rPr>
      <w:kern w:val="2"/>
      <w:sz w:val="18"/>
      <w:szCs w:val="18"/>
    </w:rPr>
  </w:style>
  <w:style w:type="character" w:customStyle="1" w:styleId="680">
    <w:name w:val="Char Char711"/>
    <w:qFormat/>
    <w:uiPriority w:val="0"/>
    <w:rPr>
      <w:rFonts w:eastAsia="宋体"/>
      <w:kern w:val="2"/>
      <w:sz w:val="21"/>
      <w:szCs w:val="24"/>
      <w:lang w:val="en-US" w:eastAsia="zh-CN" w:bidi="ar-SA"/>
    </w:rPr>
  </w:style>
  <w:style w:type="character" w:customStyle="1" w:styleId="681">
    <w:name w:val="Char Char21"/>
    <w:qFormat/>
    <w:uiPriority w:val="6"/>
    <w:rPr>
      <w:rFonts w:ascii="宋体" w:hAnsi="宋体"/>
      <w:kern w:val="1"/>
      <w:sz w:val="24"/>
      <w:szCs w:val="21"/>
      <w:lang w:val="zh-CN"/>
    </w:rPr>
  </w:style>
  <w:style w:type="character" w:customStyle="1" w:styleId="682">
    <w:name w:val="Char Char281"/>
    <w:qFormat/>
    <w:uiPriority w:val="6"/>
    <w:rPr>
      <w:rFonts w:ascii="仿宋_GB2312" w:hAnsi="仿宋_GB2312" w:eastAsia="仿宋_GB2312"/>
      <w:kern w:val="1"/>
      <w:sz w:val="28"/>
    </w:rPr>
  </w:style>
  <w:style w:type="character" w:customStyle="1" w:styleId="683">
    <w:name w:val="Char Char30"/>
    <w:qFormat/>
    <w:uiPriority w:val="6"/>
    <w:rPr>
      <w:rFonts w:ascii="Arial" w:hAnsi="Arial" w:eastAsia="黑体"/>
      <w:kern w:val="1"/>
      <w:sz w:val="21"/>
      <w:szCs w:val="21"/>
    </w:rPr>
  </w:style>
  <w:style w:type="character" w:customStyle="1" w:styleId="684">
    <w:name w:val="question-title2"/>
    <w:qFormat/>
    <w:uiPriority w:val="6"/>
    <w:rPr>
      <w:rFonts w:ascii="Arial" w:hAnsi="Arial" w:eastAsia="黑体" w:cs="Arial"/>
      <w:snapToGrid/>
      <w:kern w:val="0"/>
      <w:szCs w:val="21"/>
    </w:rPr>
  </w:style>
  <w:style w:type="character" w:customStyle="1" w:styleId="685">
    <w:name w:val="Char Char20"/>
    <w:qFormat/>
    <w:uiPriority w:val="6"/>
    <w:rPr>
      <w:kern w:val="1"/>
      <w:sz w:val="24"/>
    </w:rPr>
  </w:style>
  <w:style w:type="character" w:customStyle="1" w:styleId="686">
    <w:name w:val="Char Char311"/>
    <w:qFormat/>
    <w:uiPriority w:val="0"/>
    <w:rPr>
      <w:rFonts w:eastAsia="宋体"/>
      <w:kern w:val="2"/>
      <w:sz w:val="21"/>
      <w:szCs w:val="24"/>
      <w:lang w:val="en-US" w:eastAsia="zh-CN" w:bidi="ar-SA"/>
    </w:rPr>
  </w:style>
  <w:style w:type="character" w:customStyle="1" w:styleId="687">
    <w:name w:val="Char Char15"/>
    <w:qFormat/>
    <w:uiPriority w:val="0"/>
    <w:rPr>
      <w:rFonts w:ascii="宋体" w:hAnsi="宋体"/>
      <w:kern w:val="1"/>
      <w:sz w:val="21"/>
    </w:rPr>
  </w:style>
  <w:style w:type="character" w:customStyle="1" w:styleId="688">
    <w:name w:val="Char Char26"/>
    <w:qFormat/>
    <w:uiPriority w:val="6"/>
    <w:rPr>
      <w:kern w:val="1"/>
      <w:sz w:val="21"/>
      <w:szCs w:val="24"/>
    </w:rPr>
  </w:style>
  <w:style w:type="character" w:customStyle="1" w:styleId="689">
    <w:name w:val="Char Char51"/>
    <w:qFormat/>
    <w:uiPriority w:val="0"/>
    <w:rPr>
      <w:rFonts w:ascii="宋体" w:hAnsi="Courier New" w:eastAsia="宋体"/>
      <w:kern w:val="2"/>
      <w:sz w:val="21"/>
      <w:lang w:val="en-US" w:eastAsia="zh-CN"/>
    </w:rPr>
  </w:style>
  <w:style w:type="character" w:customStyle="1" w:styleId="690">
    <w:name w:val="Char Char71"/>
    <w:semiHidden/>
    <w:qFormat/>
    <w:uiPriority w:val="0"/>
    <w:rPr>
      <w:rFonts w:eastAsia="宋体"/>
      <w:kern w:val="2"/>
      <w:sz w:val="21"/>
      <w:szCs w:val="24"/>
      <w:lang w:val="en-US" w:eastAsia="zh-CN" w:bidi="ar-SA"/>
    </w:rPr>
  </w:style>
  <w:style w:type="character" w:customStyle="1" w:styleId="691">
    <w:name w:val="Char Char18"/>
    <w:qFormat/>
    <w:uiPriority w:val="0"/>
    <w:rPr>
      <w:rFonts w:ascii="宋体" w:hAnsi="宋体"/>
      <w:sz w:val="28"/>
    </w:rPr>
  </w:style>
  <w:style w:type="character" w:customStyle="1" w:styleId="692">
    <w:name w:val="Char Char81"/>
    <w:qFormat/>
    <w:uiPriority w:val="6"/>
    <w:rPr>
      <w:rFonts w:eastAsia="宋体"/>
      <w:b/>
      <w:sz w:val="24"/>
      <w:lang w:val="en-GB" w:eastAsia="zh-CN"/>
    </w:rPr>
  </w:style>
  <w:style w:type="character" w:customStyle="1" w:styleId="693">
    <w:name w:val="Char Char37"/>
    <w:qFormat/>
    <w:uiPriority w:val="6"/>
    <w:rPr>
      <w:b/>
      <w:kern w:val="1"/>
      <w:sz w:val="44"/>
      <w:szCs w:val="44"/>
    </w:rPr>
  </w:style>
  <w:style w:type="character" w:customStyle="1" w:styleId="694">
    <w:name w:val="Char Char102"/>
    <w:semiHidden/>
    <w:qFormat/>
    <w:uiPriority w:val="0"/>
    <w:rPr>
      <w:rFonts w:ascii="宋体" w:hAnsi="宋体"/>
      <w:kern w:val="2"/>
      <w:sz w:val="21"/>
      <w:szCs w:val="24"/>
      <w:lang w:val="en-US" w:eastAsia="zh-CN"/>
    </w:rPr>
  </w:style>
  <w:style w:type="character" w:customStyle="1" w:styleId="695">
    <w:name w:val="Char Char23"/>
    <w:qFormat/>
    <w:uiPriority w:val="6"/>
    <w:rPr>
      <w:color w:val="0000FF"/>
      <w:sz w:val="21"/>
    </w:rPr>
  </w:style>
  <w:style w:type="character" w:customStyle="1" w:styleId="696">
    <w:name w:val="Char Char25"/>
    <w:qFormat/>
    <w:uiPriority w:val="6"/>
    <w:rPr>
      <w:rFonts w:ascii="宋体" w:hAnsi="宋体"/>
      <w:kern w:val="1"/>
      <w:sz w:val="24"/>
      <w:lang w:val="zh-CN"/>
    </w:rPr>
  </w:style>
  <w:style w:type="character" w:customStyle="1" w:styleId="697">
    <w:name w:val="Char Char35"/>
    <w:qFormat/>
    <w:uiPriority w:val="6"/>
    <w:rPr>
      <w:rFonts w:ascii="Arial" w:hAnsi="Arial" w:eastAsia="黑体"/>
      <w:b/>
      <w:kern w:val="1"/>
      <w:sz w:val="28"/>
      <w:szCs w:val="28"/>
      <w:lang w:val="zh-CN"/>
    </w:rPr>
  </w:style>
  <w:style w:type="character" w:customStyle="1" w:styleId="698">
    <w:name w:val="font81"/>
    <w:qFormat/>
    <w:uiPriority w:val="0"/>
    <w:rPr>
      <w:rFonts w:ascii="微软雅黑" w:hAnsi="微软雅黑" w:eastAsia="微软雅黑" w:cs="微软雅黑"/>
      <w:color w:val="000000"/>
      <w:sz w:val="20"/>
      <w:szCs w:val="20"/>
      <w:u w:val="none"/>
    </w:rPr>
  </w:style>
  <w:style w:type="character" w:customStyle="1" w:styleId="699">
    <w:name w:val="font51"/>
    <w:qFormat/>
    <w:uiPriority w:val="0"/>
    <w:rPr>
      <w:rFonts w:hint="eastAsia" w:ascii="仿宋" w:hAnsi="仿宋" w:eastAsia="仿宋" w:cs="仿宋"/>
      <w:color w:val="000000"/>
      <w:sz w:val="20"/>
      <w:szCs w:val="20"/>
      <w:u w:val="none"/>
    </w:rPr>
  </w:style>
  <w:style w:type="character" w:customStyle="1" w:styleId="700">
    <w:name w:val="font31"/>
    <w:basedOn w:val="69"/>
    <w:qFormat/>
    <w:uiPriority w:val="0"/>
    <w:rPr>
      <w:rFonts w:hint="eastAsia" w:ascii="仿宋" w:hAnsi="仿宋" w:eastAsia="仿宋" w:cs="仿宋"/>
      <w:color w:val="000000"/>
      <w:sz w:val="20"/>
      <w:szCs w:val="20"/>
      <w:u w:val="none"/>
    </w:rPr>
  </w:style>
  <w:style w:type="character" w:customStyle="1" w:styleId="701">
    <w:name w:val="font01"/>
    <w:basedOn w:val="69"/>
    <w:qFormat/>
    <w:uiPriority w:val="0"/>
    <w:rPr>
      <w:rFonts w:hint="eastAsia" w:ascii="微软雅黑" w:hAnsi="微软雅黑" w:eastAsia="微软雅黑" w:cs="微软雅黑"/>
      <w:color w:val="000000"/>
      <w:sz w:val="20"/>
      <w:szCs w:val="20"/>
      <w:u w:val="none"/>
    </w:rPr>
  </w:style>
  <w:style w:type="character" w:customStyle="1" w:styleId="702">
    <w:name w:val="font61"/>
    <w:qFormat/>
    <w:uiPriority w:val="0"/>
    <w:rPr>
      <w:rFonts w:hint="eastAsia" w:ascii="仿宋" w:hAnsi="仿宋" w:eastAsia="仿宋" w:cs="仿宋"/>
      <w:color w:val="000000"/>
      <w:sz w:val="20"/>
      <w:szCs w:val="20"/>
      <w:u w:val="none"/>
    </w:rPr>
  </w:style>
  <w:style w:type="paragraph" w:customStyle="1" w:styleId="703">
    <w:name w:val="Char1 Char Char Char6"/>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704">
    <w:name w:val="Char Char Char Char Char Char Char1"/>
    <w:basedOn w:val="1"/>
    <w:qFormat/>
    <w:uiPriority w:val="6"/>
    <w:pPr>
      <w:adjustRightInd w:val="0"/>
    </w:pPr>
    <w:rPr>
      <w:rFonts w:ascii="仿宋_GB2312" w:hAnsi="Times New Roman" w:eastAsia="仿宋_GB2312" w:cs="Times New Roman"/>
      <w:b/>
      <w:sz w:val="32"/>
      <w:szCs w:val="32"/>
    </w:rPr>
  </w:style>
  <w:style w:type="paragraph" w:customStyle="1" w:styleId="705">
    <w:name w:val="TOC 标题11"/>
    <w:basedOn w:val="3"/>
    <w:next w:val="1"/>
    <w:unhideWhenUsed/>
    <w:qFormat/>
    <w:uiPriority w:val="4"/>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706">
    <w:name w:val="Char Char1 Char Char Char Char Char Char1"/>
    <w:basedOn w:val="1"/>
    <w:qFormat/>
    <w:uiPriority w:val="0"/>
    <w:pPr>
      <w:adjustRightInd w:val="0"/>
    </w:pPr>
    <w:rPr>
      <w:rFonts w:ascii="仿宋_GB2312" w:hAnsi="Times New Roman" w:eastAsia="仿宋_GB2312" w:cs="Times New Roman"/>
      <w:b/>
      <w:sz w:val="32"/>
      <w:szCs w:val="20"/>
    </w:rPr>
  </w:style>
  <w:style w:type="paragraph" w:customStyle="1" w:styleId="707">
    <w:name w:val="Char Char Char Char Char Char1"/>
    <w:basedOn w:val="1"/>
    <w:qFormat/>
    <w:uiPriority w:val="6"/>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708">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70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710">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11">
    <w:name w:val="Char23"/>
    <w:basedOn w:val="1"/>
    <w:qFormat/>
    <w:uiPriority w:val="0"/>
    <w:pPr>
      <w:adjustRightInd w:val="0"/>
    </w:pPr>
    <w:rPr>
      <w:rFonts w:ascii="仿宋_GB2312" w:hAnsi="Times New Roman" w:eastAsia="仿宋_GB2312" w:cs="Times New Roman"/>
      <w:b/>
      <w:sz w:val="32"/>
      <w:szCs w:val="32"/>
    </w:rPr>
  </w:style>
  <w:style w:type="paragraph" w:customStyle="1" w:styleId="712">
    <w:name w:val="样式 宋体 三号 加粗 居中"/>
    <w:basedOn w:val="1"/>
    <w:qFormat/>
    <w:uiPriority w:val="0"/>
    <w:pPr>
      <w:spacing w:line="360" w:lineRule="auto"/>
      <w:jc w:val="center"/>
    </w:pPr>
    <w:rPr>
      <w:rFonts w:ascii="宋体" w:hAnsi="宋体" w:eastAsia="宋体" w:cs="宋体"/>
      <w:b/>
      <w:bCs/>
      <w:sz w:val="24"/>
      <w:szCs w:val="20"/>
    </w:rPr>
  </w:style>
  <w:style w:type="paragraph" w:customStyle="1" w:styleId="713">
    <w:name w:val="正文 New New New New"/>
    <w:qFormat/>
    <w:uiPriority w:val="2"/>
    <w:pPr>
      <w:widowControl w:val="0"/>
      <w:jc w:val="both"/>
    </w:pPr>
    <w:rPr>
      <w:rFonts w:ascii="Times New Roman" w:hAnsi="Times New Roman" w:eastAsia="宋体" w:cs="Times New Roman"/>
      <w:color w:val="000000"/>
      <w:szCs w:val="24"/>
      <w:lang w:val="en-US" w:eastAsia="zh-CN" w:bidi="ar-SA"/>
    </w:rPr>
  </w:style>
  <w:style w:type="paragraph" w:customStyle="1" w:styleId="71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715">
    <w:name w:val="Char111"/>
    <w:basedOn w:val="1"/>
    <w:qFormat/>
    <w:uiPriority w:val="0"/>
    <w:pPr>
      <w:adjustRightInd w:val="0"/>
    </w:pPr>
    <w:rPr>
      <w:rFonts w:ascii="仿宋_GB2312" w:hAnsi="Times New Roman" w:eastAsia="仿宋_GB2312" w:cs="Times New Roman"/>
      <w:b/>
      <w:sz w:val="32"/>
      <w:szCs w:val="32"/>
    </w:rPr>
  </w:style>
  <w:style w:type="paragraph" w:customStyle="1" w:styleId="716">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717">
    <w:name w:val="列出段落*"/>
    <w:basedOn w:val="1"/>
    <w:qFormat/>
    <w:uiPriority w:val="0"/>
    <w:pPr>
      <w:spacing w:line="360" w:lineRule="auto"/>
      <w:ind w:firstLine="200"/>
    </w:pPr>
    <w:rPr>
      <w:rFonts w:ascii="Times New Roman" w:hAnsi="Times New Roman" w:eastAsia="楷体_GB2312" w:cs="Lucida Sans Unicode"/>
      <w:color w:val="000000"/>
      <w:kern w:val="1"/>
      <w:sz w:val="24"/>
      <w:szCs w:val="24"/>
    </w:rPr>
  </w:style>
  <w:style w:type="paragraph" w:customStyle="1" w:styleId="718">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719">
    <w:name w:val="Char2 Char Char1"/>
    <w:basedOn w:val="1"/>
    <w:qFormat/>
    <w:uiPriority w:val="6"/>
    <w:rPr>
      <w:rFonts w:ascii="Tahoma" w:hAnsi="Tahoma" w:eastAsia="宋体" w:cs="Times New Roman"/>
      <w:sz w:val="24"/>
      <w:szCs w:val="20"/>
    </w:rPr>
  </w:style>
  <w:style w:type="paragraph" w:customStyle="1" w:styleId="720">
    <w:name w:val="xl94"/>
    <w:basedOn w:val="1"/>
    <w:qFormat/>
    <w:uiPriority w:val="0"/>
    <w:pPr>
      <w:widowControl/>
      <w:spacing w:before="100" w:beforeAutospacing="1" w:after="100" w:afterAutospacing="1"/>
      <w:jc w:val="center"/>
    </w:pPr>
    <w:rPr>
      <w:rFonts w:ascii="仿宋" w:hAnsi="仿宋" w:eastAsia="仿宋" w:cs="宋体"/>
      <w:kern w:val="0"/>
      <w:sz w:val="20"/>
      <w:szCs w:val="20"/>
    </w:rPr>
  </w:style>
  <w:style w:type="paragraph" w:customStyle="1" w:styleId="721">
    <w:name w:val="Char Char1 Char1"/>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722">
    <w:name w:val="xl80"/>
    <w:basedOn w:val="1"/>
    <w:qFormat/>
    <w:uiPriority w:val="0"/>
    <w:pPr>
      <w:widowControl/>
      <w:spacing w:before="100" w:beforeAutospacing="1" w:after="100" w:afterAutospacing="1"/>
      <w:jc w:val="left"/>
    </w:pPr>
    <w:rPr>
      <w:rFonts w:ascii="仿宋" w:hAnsi="仿宋" w:eastAsia="仿宋" w:cs="宋体"/>
      <w:kern w:val="0"/>
      <w:sz w:val="20"/>
      <w:szCs w:val="20"/>
    </w:rPr>
  </w:style>
  <w:style w:type="paragraph" w:customStyle="1" w:styleId="72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724">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725">
    <w:name w:val="列出段落5"/>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726">
    <w:name w:val="Char Char11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727">
    <w:name w:val="Char Char Char Char11"/>
    <w:basedOn w:val="1"/>
    <w:qFormat/>
    <w:uiPriority w:val="0"/>
    <w:pPr>
      <w:adjustRightInd w:val="0"/>
    </w:pPr>
    <w:rPr>
      <w:rFonts w:ascii="Tahoma" w:hAnsi="Tahoma" w:eastAsia="宋体" w:cs="Times New Roman"/>
      <w:sz w:val="24"/>
      <w:szCs w:val="20"/>
    </w:rPr>
  </w:style>
  <w:style w:type="paragraph" w:customStyle="1" w:styleId="728">
    <w:name w:val="Char1 Char Char Char Char Char Char Char Char Char Char Char1 Char Char Char Char Char Char Char Char Char Char Char Char Char Char1 Char Char Char Char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729">
    <w:name w:val="xl73"/>
    <w:basedOn w:val="1"/>
    <w:qFormat/>
    <w:uiPriority w:val="0"/>
    <w:pPr>
      <w:widowControl/>
      <w:spacing w:before="100" w:beforeAutospacing="1" w:after="100" w:afterAutospacing="1"/>
      <w:jc w:val="left"/>
    </w:pPr>
    <w:rPr>
      <w:rFonts w:ascii="微软雅黑" w:hAnsi="微软雅黑" w:eastAsia="微软雅黑" w:cs="宋体"/>
      <w:kern w:val="0"/>
      <w:sz w:val="20"/>
      <w:szCs w:val="20"/>
    </w:rPr>
  </w:style>
  <w:style w:type="paragraph" w:customStyle="1" w:styleId="730">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31">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32">
    <w:name w:val="Char Char Char Char Char Char Char Char Char Char1"/>
    <w:basedOn w:val="1"/>
    <w:qFormat/>
    <w:uiPriority w:val="0"/>
    <w:pPr>
      <w:adjustRightInd w:val="0"/>
    </w:pPr>
    <w:rPr>
      <w:rFonts w:ascii="仿宋_GB2312" w:hAnsi="Times New Roman" w:eastAsia="仿宋_GB2312" w:cs="Times New Roman"/>
      <w:b/>
      <w:sz w:val="32"/>
      <w:szCs w:val="32"/>
    </w:rPr>
  </w:style>
  <w:style w:type="paragraph" w:customStyle="1" w:styleId="733">
    <w:name w:val="Char Char11 Char Char Char Char Char Char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734">
    <w:name w:val="Char Char110"/>
    <w:basedOn w:val="1"/>
    <w:qFormat/>
    <w:uiPriority w:val="6"/>
    <w:pPr>
      <w:adjustRightInd w:val="0"/>
      <w:spacing w:line="360" w:lineRule="auto"/>
    </w:pPr>
    <w:rPr>
      <w:rFonts w:ascii="Tahoma" w:hAnsi="Tahoma" w:eastAsia="宋体" w:cs="Times New Roman"/>
      <w:sz w:val="24"/>
      <w:szCs w:val="20"/>
    </w:rPr>
  </w:style>
  <w:style w:type="paragraph" w:customStyle="1" w:styleId="73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73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73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738">
    <w:name w:val="Char31"/>
    <w:basedOn w:val="1"/>
    <w:qFormat/>
    <w:uiPriority w:val="0"/>
    <w:rPr>
      <w:rFonts w:ascii="仿宋_GB2312" w:hAnsi="Times New Roman" w:eastAsia="仿宋_GB2312" w:cs="Times New Roman"/>
      <w:b/>
      <w:sz w:val="32"/>
      <w:szCs w:val="32"/>
    </w:rPr>
  </w:style>
  <w:style w:type="paragraph" w:customStyle="1" w:styleId="739">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szCs w:val="20"/>
    </w:rPr>
  </w:style>
  <w:style w:type="paragraph" w:customStyle="1" w:styleId="74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0"/>
      <w:szCs w:val="20"/>
    </w:rPr>
  </w:style>
  <w:style w:type="paragraph" w:customStyle="1" w:styleId="74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color w:val="000000"/>
      <w:kern w:val="0"/>
      <w:sz w:val="20"/>
      <w:szCs w:val="20"/>
    </w:rPr>
  </w:style>
  <w:style w:type="paragraph" w:customStyle="1" w:styleId="742">
    <w:name w:val="修订2"/>
    <w:qFormat/>
    <w:uiPriority w:val="0"/>
    <w:rPr>
      <w:rFonts w:ascii="Times New Roman" w:hAnsi="Times New Roman" w:eastAsia="宋体" w:cs="Times New Roman"/>
      <w:kern w:val="2"/>
      <w:sz w:val="21"/>
      <w:lang w:val="en-US" w:eastAsia="zh-CN" w:bidi="ar-SA"/>
    </w:rPr>
  </w:style>
  <w:style w:type="paragraph" w:customStyle="1" w:styleId="74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szCs w:val="20"/>
    </w:rPr>
  </w:style>
  <w:style w:type="paragraph" w:customStyle="1" w:styleId="744">
    <w:name w:val="Char Char112"/>
    <w:basedOn w:val="1"/>
    <w:qFormat/>
    <w:uiPriority w:val="6"/>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745">
    <w:name w:val="Char5"/>
    <w:basedOn w:val="1"/>
    <w:qFormat/>
    <w:uiPriority w:val="0"/>
    <w:pPr>
      <w:adjustRightInd w:val="0"/>
    </w:pPr>
    <w:rPr>
      <w:rFonts w:ascii="仿宋_GB2312" w:hAnsi="Times New Roman" w:eastAsia="仿宋_GB2312" w:cs="Times New Roman"/>
      <w:b/>
      <w:sz w:val="32"/>
      <w:szCs w:val="32"/>
    </w:rPr>
  </w:style>
  <w:style w:type="paragraph" w:customStyle="1" w:styleId="746">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47">
    <w:name w:val="Char Char Char Char Char Char Char Char Char Char Char Char1 Char1"/>
    <w:basedOn w:val="1"/>
    <w:qFormat/>
    <w:uiPriority w:val="6"/>
    <w:pPr>
      <w:adjustRightInd w:val="0"/>
    </w:pPr>
    <w:rPr>
      <w:rFonts w:ascii="Tahoma" w:hAnsi="Tahoma" w:eastAsia="宋体" w:cs="仿宋_GB2312"/>
      <w:sz w:val="24"/>
      <w:szCs w:val="20"/>
    </w:rPr>
  </w:style>
  <w:style w:type="paragraph" w:customStyle="1" w:styleId="748">
    <w:name w:val="无间隔*"/>
    <w:qFormat/>
    <w:uiPriority w:val="0"/>
    <w:pPr>
      <w:widowControl w:val="0"/>
      <w:jc w:val="both"/>
    </w:pPr>
    <w:rPr>
      <w:rFonts w:ascii="Calibri" w:hAnsi="Calibri" w:eastAsia="宋体" w:cs="Calibri"/>
      <w:color w:val="000000"/>
      <w:kern w:val="1"/>
      <w:sz w:val="21"/>
      <w:szCs w:val="22"/>
      <w:lang w:val="en-US" w:eastAsia="zh-CN" w:bidi="ar-SA"/>
    </w:rPr>
  </w:style>
  <w:style w:type="paragraph" w:customStyle="1" w:styleId="749">
    <w:name w:val="Body Text 2*"/>
    <w:basedOn w:val="1"/>
    <w:qFormat/>
    <w:uiPriority w:val="6"/>
    <w:pPr>
      <w:widowControl/>
      <w:ind w:left="720" w:hanging="720"/>
    </w:pPr>
    <w:rPr>
      <w:rFonts w:ascii="Times New Roman" w:hAnsi="Times New Roman" w:eastAsia="宋体" w:cs="Times New Roman"/>
      <w:color w:val="000000"/>
      <w:kern w:val="0"/>
      <w:sz w:val="24"/>
      <w:szCs w:val="20"/>
      <w:lang w:val="en-GB"/>
    </w:rPr>
  </w:style>
  <w:style w:type="paragraph" w:customStyle="1" w:styleId="750">
    <w:name w:val="样式 左侧:  0.85 厘米"/>
    <w:basedOn w:val="1"/>
    <w:qFormat/>
    <w:uiPriority w:val="2"/>
    <w:pPr>
      <w:spacing w:line="360" w:lineRule="auto"/>
    </w:pPr>
    <w:rPr>
      <w:rFonts w:ascii="Times New Roman" w:hAnsi="Times New Roman" w:eastAsia="宋体" w:cs="宋体"/>
      <w:sz w:val="24"/>
      <w:szCs w:val="20"/>
    </w:rPr>
  </w:style>
  <w:style w:type="paragraph" w:customStyle="1" w:styleId="751">
    <w:name w:val="Char Char Char1"/>
    <w:basedOn w:val="1"/>
    <w:qFormat/>
    <w:uiPriority w:val="6"/>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752">
    <w:name w:val="列出段落31"/>
    <w:basedOn w:val="1"/>
    <w:qFormat/>
    <w:uiPriority w:val="0"/>
    <w:pPr>
      <w:spacing w:line="360" w:lineRule="auto"/>
      <w:ind w:firstLine="420" w:firstLineChars="200"/>
    </w:pPr>
    <w:rPr>
      <w:rFonts w:ascii="Calibri" w:hAnsi="Calibri" w:eastAsia="宋体" w:cs="Times New Roman"/>
      <w:sz w:val="24"/>
    </w:rPr>
  </w:style>
  <w:style w:type="paragraph" w:customStyle="1" w:styleId="753">
    <w:name w:val="Char Char111"/>
    <w:basedOn w:val="1"/>
    <w:qFormat/>
    <w:uiPriority w:val="0"/>
    <w:pPr>
      <w:adjustRightInd w:val="0"/>
      <w:spacing w:line="360" w:lineRule="auto"/>
    </w:pPr>
    <w:rPr>
      <w:rFonts w:ascii="Times New Roman" w:hAnsi="Times New Roman" w:eastAsia="宋体" w:cs="Times New Roman"/>
      <w:szCs w:val="20"/>
    </w:rPr>
  </w:style>
  <w:style w:type="paragraph" w:customStyle="1" w:styleId="754">
    <w:name w:val="List Paragraph*"/>
    <w:basedOn w:val="1"/>
    <w:qFormat/>
    <w:uiPriority w:val="7"/>
    <w:pPr>
      <w:spacing w:line="360" w:lineRule="auto"/>
      <w:ind w:firstLine="420"/>
    </w:pPr>
    <w:rPr>
      <w:rFonts w:ascii="Calibri" w:hAnsi="Calibri" w:eastAsia="宋体" w:cs="Calibri"/>
      <w:color w:val="000000"/>
      <w:kern w:val="1"/>
      <w:sz w:val="24"/>
    </w:rPr>
  </w:style>
  <w:style w:type="paragraph" w:customStyle="1" w:styleId="75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szCs w:val="20"/>
    </w:rPr>
  </w:style>
  <w:style w:type="paragraph" w:customStyle="1" w:styleId="756">
    <w:name w:val="方形箭头"/>
    <w:basedOn w:val="1"/>
    <w:qFormat/>
    <w:uiPriority w:val="0"/>
    <w:pPr>
      <w:widowControl/>
      <w:tabs>
        <w:tab w:val="left" w:pos="840"/>
      </w:tabs>
      <w:spacing w:before="93" w:line="60" w:lineRule="atLeast"/>
      <w:ind w:left="420" w:right="200" w:hanging="420"/>
      <w:jc w:val="left"/>
    </w:pPr>
    <w:rPr>
      <w:rFonts w:ascii="Calibri" w:hAnsi="Calibri" w:eastAsia="宋体" w:cs="Calibri"/>
      <w:color w:val="000000"/>
      <w:kern w:val="0"/>
      <w:sz w:val="16"/>
    </w:rPr>
  </w:style>
  <w:style w:type="paragraph" w:customStyle="1" w:styleId="75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0"/>
      <w:szCs w:val="20"/>
    </w:rPr>
  </w:style>
  <w:style w:type="paragraph" w:customStyle="1" w:styleId="758">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759">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760">
    <w:name w:val="Char Char1 Char Char Char1"/>
    <w:basedOn w:val="1"/>
    <w:qFormat/>
    <w:uiPriority w:val="6"/>
    <w:pPr>
      <w:adjustRightInd w:val="0"/>
    </w:pPr>
    <w:rPr>
      <w:rFonts w:ascii="仿宋_GB2312" w:hAnsi="Times New Roman" w:eastAsia="仿宋_GB2312" w:cs="Times New Roman"/>
      <w:b/>
      <w:sz w:val="32"/>
      <w:szCs w:val="20"/>
    </w:rPr>
  </w:style>
  <w:style w:type="paragraph" w:customStyle="1" w:styleId="761">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szCs w:val="20"/>
    </w:rPr>
  </w:style>
  <w:style w:type="paragraph" w:customStyle="1" w:styleId="762">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eastAsia="宋体" w:cs="Times New Roman"/>
      <w:b/>
      <w:bCs/>
      <w:sz w:val="24"/>
      <w:szCs w:val="24"/>
    </w:rPr>
  </w:style>
  <w:style w:type="paragraph" w:customStyle="1" w:styleId="76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szCs w:val="20"/>
    </w:rPr>
  </w:style>
  <w:style w:type="paragraph" w:customStyle="1" w:styleId="764">
    <w:name w:val="正文文本 2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765">
    <w:name w:val="xl74"/>
    <w:basedOn w:val="1"/>
    <w:qFormat/>
    <w:uiPriority w:val="0"/>
    <w:pPr>
      <w:widowControl/>
      <w:spacing w:before="100" w:beforeAutospacing="1" w:after="100" w:afterAutospacing="1"/>
      <w:jc w:val="center"/>
    </w:pPr>
    <w:rPr>
      <w:rFonts w:ascii="微软雅黑" w:hAnsi="微软雅黑" w:eastAsia="微软雅黑" w:cs="宋体"/>
      <w:b/>
      <w:bCs/>
      <w:kern w:val="0"/>
      <w:sz w:val="20"/>
      <w:szCs w:val="20"/>
    </w:rPr>
  </w:style>
  <w:style w:type="paragraph" w:customStyle="1" w:styleId="76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767">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768">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769">
    <w:name w:val="Plain Text1"/>
    <w:basedOn w:val="1"/>
    <w:qFormat/>
    <w:uiPriority w:val="7"/>
    <w:rPr>
      <w:rFonts w:ascii="宋体" w:hAnsi="Courier New" w:eastAsia="宋体" w:cs="Times New Roman"/>
      <w:szCs w:val="24"/>
    </w:rPr>
  </w:style>
  <w:style w:type="paragraph" w:customStyle="1" w:styleId="77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771">
    <w:name w:val="列出段落4"/>
    <w:basedOn w:val="1"/>
    <w:qFormat/>
    <w:uiPriority w:val="0"/>
    <w:pPr>
      <w:spacing w:line="360" w:lineRule="auto"/>
      <w:ind w:firstLine="420" w:firstLineChars="200"/>
    </w:pPr>
    <w:rPr>
      <w:rFonts w:ascii="Calibri" w:hAnsi="Calibri" w:eastAsia="宋体" w:cs="Times New Roman"/>
      <w:sz w:val="24"/>
    </w:rPr>
  </w:style>
  <w:style w:type="paragraph" w:customStyle="1" w:styleId="772">
    <w:name w:val="表内文字"/>
    <w:basedOn w:val="1"/>
    <w:qFormat/>
    <w:uiPriority w:val="0"/>
    <w:pPr>
      <w:tabs>
        <w:tab w:val="left" w:pos="1418"/>
      </w:tabs>
      <w:spacing w:line="360" w:lineRule="auto"/>
      <w:ind w:firstLine="420" w:firstLineChars="200"/>
      <w:jc w:val="center"/>
    </w:pPr>
    <w:rPr>
      <w:rFonts w:ascii="仿宋_GB2312" w:hAnsi="Times New Roman" w:eastAsia="仿宋_GB2312" w:cs="Times New Roman"/>
      <w:spacing w:val="-20"/>
      <w:kern w:val="0"/>
      <w:sz w:val="24"/>
      <w:szCs w:val="24"/>
    </w:rPr>
  </w:style>
  <w:style w:type="paragraph" w:customStyle="1" w:styleId="773">
    <w:name w:val="Char Char Char1 Char1"/>
    <w:basedOn w:val="1"/>
    <w:qFormat/>
    <w:uiPriority w:val="6"/>
    <w:pPr>
      <w:adjustRightInd w:val="0"/>
    </w:pPr>
    <w:rPr>
      <w:rFonts w:ascii="Times New Roman" w:hAnsi="Times New Roman" w:eastAsia="宋体" w:cs="Times New Roman"/>
      <w:szCs w:val="20"/>
    </w:rPr>
  </w:style>
  <w:style w:type="paragraph" w:customStyle="1" w:styleId="774">
    <w:name w:val="Char Char Char Char Char Char1 Char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775">
    <w:name w:val="Char3 Char Char Char1"/>
    <w:basedOn w:val="1"/>
    <w:qFormat/>
    <w:uiPriority w:val="6"/>
    <w:pPr>
      <w:widowControl/>
      <w:spacing w:after="160" w:line="240" w:lineRule="exact"/>
      <w:jc w:val="left"/>
    </w:pPr>
    <w:rPr>
      <w:rFonts w:ascii="Times New Roman" w:hAnsi="Times New Roman" w:eastAsia="宋体" w:cs="Times New Roman"/>
      <w:szCs w:val="20"/>
    </w:rPr>
  </w:style>
  <w:style w:type="paragraph" w:customStyle="1" w:styleId="776">
    <w:name w:val="Char Char Char Char Char Char Char Char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777">
    <w:name w:val="Char2 Char Char Char1"/>
    <w:basedOn w:val="1"/>
    <w:qFormat/>
    <w:uiPriority w:val="6"/>
    <w:pPr>
      <w:adjustRightInd w:val="0"/>
    </w:pPr>
    <w:rPr>
      <w:rFonts w:ascii="仿宋_GB2312" w:hAnsi="Times New Roman" w:eastAsia="仿宋_GB2312" w:cs="Times New Roman"/>
      <w:b/>
      <w:sz w:val="32"/>
      <w:szCs w:val="32"/>
    </w:rPr>
  </w:style>
  <w:style w:type="paragraph" w:customStyle="1" w:styleId="778">
    <w:name w:val="xl72"/>
    <w:basedOn w:val="1"/>
    <w:qFormat/>
    <w:uiPriority w:val="0"/>
    <w:pPr>
      <w:widowControl/>
      <w:spacing w:before="100" w:beforeAutospacing="1" w:after="100" w:afterAutospacing="1"/>
      <w:jc w:val="center"/>
    </w:pPr>
    <w:rPr>
      <w:rFonts w:ascii="微软雅黑" w:hAnsi="微软雅黑" w:eastAsia="微软雅黑" w:cs="宋体"/>
      <w:kern w:val="0"/>
      <w:sz w:val="20"/>
      <w:szCs w:val="20"/>
    </w:rPr>
  </w:style>
  <w:style w:type="paragraph" w:customStyle="1" w:styleId="779">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78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781">
    <w:name w:val="Char Char11 Char Char Char Char Char Char Char Char Char Char Char Char Char2"/>
    <w:basedOn w:val="1"/>
    <w:qFormat/>
    <w:uiPriority w:val="0"/>
    <w:pPr>
      <w:spacing w:line="360" w:lineRule="auto"/>
    </w:pPr>
    <w:rPr>
      <w:rFonts w:ascii="Arial" w:hAnsi="Arial" w:eastAsia="黑体" w:cs="Times New Roman"/>
      <w:snapToGrid w:val="0"/>
      <w:kern w:val="0"/>
      <w:sz w:val="20"/>
      <w:szCs w:val="21"/>
    </w:rPr>
  </w:style>
  <w:style w:type="character" w:customStyle="1" w:styleId="782">
    <w:name w:val="正文样式 Char"/>
    <w:link w:val="783"/>
    <w:qFormat/>
    <w:uiPriority w:val="0"/>
    <w:rPr>
      <w:rFonts w:ascii="Calibri" w:hAnsi="Calibri"/>
      <w:sz w:val="24"/>
      <w:szCs w:val="24"/>
    </w:rPr>
  </w:style>
  <w:style w:type="paragraph" w:customStyle="1" w:styleId="783">
    <w:name w:val="正文样式"/>
    <w:basedOn w:val="1"/>
    <w:link w:val="782"/>
    <w:qFormat/>
    <w:uiPriority w:val="0"/>
    <w:pPr>
      <w:spacing w:line="360" w:lineRule="auto"/>
      <w:ind w:firstLine="480" w:firstLineChars="200"/>
    </w:pPr>
    <w:rPr>
      <w:rFonts w:ascii="Calibri" w:hAnsi="Calibri"/>
      <w:sz w:val="24"/>
      <w:szCs w:val="24"/>
    </w:rPr>
  </w:style>
  <w:style w:type="character" w:customStyle="1" w:styleId="784">
    <w:name w:val="公文正文 Char Char"/>
    <w:link w:val="385"/>
    <w:qFormat/>
    <w:uiPriority w:val="0"/>
    <w:rPr>
      <w:rFonts w:ascii="仿宋_GB2312" w:hAnsi="Times New Roman" w:eastAsia="仿宋_GB2312" w:cs="Times New Roman"/>
      <w:sz w:val="24"/>
      <w:szCs w:val="24"/>
      <w:lang w:val="zh-CN"/>
    </w:rPr>
  </w:style>
  <w:style w:type="character" w:customStyle="1" w:styleId="785">
    <w:name w:val="题注 Char"/>
    <w:link w:val="18"/>
    <w:qFormat/>
    <w:uiPriority w:val="0"/>
    <w:rPr>
      <w:rFonts w:ascii="Times New Roman" w:hAnsi="Times New Roman" w:eastAsia="宋体" w:cs="Times New Roman"/>
      <w:b/>
      <w:sz w:val="28"/>
      <w:szCs w:val="20"/>
      <w:lang w:val="zh-CN"/>
    </w:rPr>
  </w:style>
  <w:style w:type="character" w:customStyle="1" w:styleId="786">
    <w:name w:val="表正文 Char3"/>
    <w:qFormat/>
    <w:uiPriority w:val="0"/>
    <w:rPr>
      <w:rFonts w:eastAsia="宋体"/>
    </w:rPr>
  </w:style>
  <w:style w:type="character" w:customStyle="1" w:styleId="787">
    <w:name w:val="gf正文1 Char Char"/>
    <w:link w:val="623"/>
    <w:qFormat/>
    <w:uiPriority w:val="0"/>
    <w:rPr>
      <w:rFonts w:ascii="宋体" w:hAnsi="宋体" w:eastAsia="宋体" w:cs="Times New Roman"/>
      <w:sz w:val="24"/>
      <w:szCs w:val="24"/>
      <w:lang w:val="zh-CN"/>
    </w:rPr>
  </w:style>
  <w:style w:type="character" w:customStyle="1" w:styleId="788">
    <w:name w:val="h Char1"/>
    <w:qFormat/>
    <w:uiPriority w:val="0"/>
    <w:rPr>
      <w:sz w:val="18"/>
      <w:szCs w:val="18"/>
    </w:rPr>
  </w:style>
  <w:style w:type="character" w:customStyle="1" w:styleId="789">
    <w:name w:val="Char Char161"/>
    <w:qFormat/>
    <w:uiPriority w:val="0"/>
    <w:rPr>
      <w:rFonts w:eastAsia="宋体"/>
      <w:b/>
      <w:kern w:val="2"/>
      <w:sz w:val="32"/>
      <w:lang w:val="en-US" w:eastAsia="zh-CN"/>
    </w:rPr>
  </w:style>
  <w:style w:type="character" w:customStyle="1" w:styleId="790">
    <w:name w:val="编号，小四 Char"/>
    <w:link w:val="791"/>
    <w:qFormat/>
    <w:uiPriority w:val="0"/>
    <w:rPr>
      <w:rFonts w:ascii="Arial" w:hAnsi="Arial"/>
      <w:sz w:val="24"/>
    </w:rPr>
  </w:style>
  <w:style w:type="paragraph" w:customStyle="1" w:styleId="791">
    <w:name w:val="编号，小四"/>
    <w:basedOn w:val="1"/>
    <w:link w:val="790"/>
    <w:qFormat/>
    <w:uiPriority w:val="0"/>
    <w:pPr>
      <w:tabs>
        <w:tab w:val="left" w:pos="432"/>
      </w:tabs>
      <w:spacing w:line="360" w:lineRule="auto"/>
      <w:ind w:left="432" w:hanging="432"/>
    </w:pPr>
    <w:rPr>
      <w:rFonts w:ascii="Arial" w:hAnsi="Arial"/>
      <w:sz w:val="24"/>
    </w:rPr>
  </w:style>
  <w:style w:type="character" w:customStyle="1" w:styleId="792">
    <w:name w:val="段落 Char Char"/>
    <w:link w:val="793"/>
    <w:qFormat/>
    <w:uiPriority w:val="0"/>
    <w:rPr>
      <w:rFonts w:ascii="宋体" w:hAnsi="宋体"/>
      <w:sz w:val="24"/>
    </w:rPr>
  </w:style>
  <w:style w:type="paragraph" w:customStyle="1" w:styleId="793">
    <w:name w:val="段落"/>
    <w:basedOn w:val="1"/>
    <w:link w:val="792"/>
    <w:qFormat/>
    <w:uiPriority w:val="0"/>
    <w:pPr>
      <w:spacing w:line="360" w:lineRule="auto"/>
      <w:ind w:firstLine="480" w:firstLineChars="200"/>
    </w:pPr>
    <w:rPr>
      <w:rFonts w:ascii="宋体" w:hAnsi="宋体"/>
      <w:sz w:val="24"/>
    </w:rPr>
  </w:style>
  <w:style w:type="character" w:customStyle="1" w:styleId="794">
    <w:name w:val="maywed421"/>
    <w:qFormat/>
    <w:uiPriority w:val="0"/>
    <w:rPr>
      <w:color w:val="366FB6"/>
      <w:u w:val="none"/>
    </w:rPr>
  </w:style>
  <w:style w:type="character" w:customStyle="1" w:styleId="795">
    <w:name w:val="哈哈正文 Char Char"/>
    <w:qFormat/>
    <w:uiPriority w:val="0"/>
    <w:rPr>
      <w:rFonts w:ascii="宋体" w:hAnsi="宋体" w:eastAsia="宋体" w:cs="宋体"/>
      <w:kern w:val="2"/>
      <w:sz w:val="24"/>
      <w:lang w:val="en-US" w:eastAsia="zh-CN" w:bidi="ar-SA"/>
    </w:rPr>
  </w:style>
  <w:style w:type="character" w:customStyle="1" w:styleId="796">
    <w:name w:val="font11"/>
    <w:qFormat/>
    <w:uiPriority w:val="0"/>
    <w:rPr>
      <w:rFonts w:hint="default" w:ascii="Times New Roman" w:hAnsi="Times New Roman" w:cs="Times New Roman"/>
      <w:color w:val="000000"/>
      <w:sz w:val="22"/>
      <w:szCs w:val="22"/>
      <w:u w:val="none"/>
    </w:rPr>
  </w:style>
  <w:style w:type="character" w:customStyle="1" w:styleId="797">
    <w:name w:val="font41"/>
    <w:basedOn w:val="69"/>
    <w:qFormat/>
    <w:uiPriority w:val="0"/>
    <w:rPr>
      <w:rFonts w:hint="eastAsia" w:ascii="仿宋_GB2312" w:eastAsia="仿宋_GB2312" w:cs="仿宋_GB2312"/>
      <w:color w:val="000000"/>
      <w:sz w:val="22"/>
      <w:szCs w:val="22"/>
      <w:u w:val="none"/>
    </w:rPr>
  </w:style>
  <w:style w:type="character" w:customStyle="1" w:styleId="798">
    <w:name w:val="5正文 Char"/>
    <w:link w:val="799"/>
    <w:qFormat/>
    <w:uiPriority w:val="0"/>
    <w:rPr>
      <w:rFonts w:ascii="仿宋_GB2312" w:hAnsi="微软雅黑" w:eastAsia="仿宋_GB2312"/>
      <w:sz w:val="28"/>
      <w:szCs w:val="21"/>
    </w:rPr>
  </w:style>
  <w:style w:type="paragraph" w:customStyle="1" w:styleId="799">
    <w:name w:val="5正文"/>
    <w:basedOn w:val="1"/>
    <w:link w:val="798"/>
    <w:qFormat/>
    <w:uiPriority w:val="0"/>
    <w:pPr>
      <w:spacing w:line="360" w:lineRule="auto"/>
      <w:ind w:firstLine="566" w:firstLineChars="202"/>
      <w:jc w:val="left"/>
    </w:pPr>
    <w:rPr>
      <w:rFonts w:ascii="仿宋_GB2312" w:hAnsi="微软雅黑" w:eastAsia="仿宋_GB2312"/>
      <w:sz w:val="28"/>
      <w:szCs w:val="21"/>
    </w:rPr>
  </w:style>
  <w:style w:type="character" w:customStyle="1" w:styleId="800">
    <w:name w:val="正文缩进 字符"/>
    <w:qFormat/>
    <w:uiPriority w:val="0"/>
    <w:rPr>
      <w:rFonts w:ascii="宋体" w:eastAsia="宋体"/>
      <w:snapToGrid w:val="0"/>
      <w:color w:val="000000"/>
      <w:kern w:val="28"/>
      <w:sz w:val="28"/>
      <w:lang w:val="en-US" w:eastAsia="zh-CN" w:bidi="ar-SA"/>
    </w:rPr>
  </w:style>
  <w:style w:type="character" w:customStyle="1" w:styleId="801">
    <w:name w:val="U_正文 Char"/>
    <w:link w:val="802"/>
    <w:qFormat/>
    <w:uiPriority w:val="0"/>
    <w:rPr>
      <w:sz w:val="24"/>
      <w:szCs w:val="24"/>
    </w:rPr>
  </w:style>
  <w:style w:type="paragraph" w:customStyle="1" w:styleId="802">
    <w:name w:val="U_正文"/>
    <w:basedOn w:val="1"/>
    <w:link w:val="801"/>
    <w:qFormat/>
    <w:uiPriority w:val="0"/>
    <w:pPr>
      <w:spacing w:beforeLines="20" w:afterLines="20" w:line="300" w:lineRule="auto"/>
      <w:ind w:firstLine="200" w:firstLineChars="200"/>
    </w:pPr>
    <w:rPr>
      <w:sz w:val="24"/>
      <w:szCs w:val="24"/>
    </w:rPr>
  </w:style>
  <w:style w:type="paragraph" w:customStyle="1" w:styleId="803">
    <w:name w:val="标题2"/>
    <w:basedOn w:val="4"/>
    <w:next w:val="1"/>
    <w:qFormat/>
    <w:uiPriority w:val="0"/>
    <w:pPr>
      <w:numPr>
        <w:numId w:val="0"/>
      </w:numPr>
      <w:tabs>
        <w:tab w:val="left" w:pos="578"/>
        <w:tab w:val="left" w:pos="900"/>
        <w:tab w:val="left" w:pos="1440"/>
      </w:tabs>
      <w:ind w:left="1440" w:hanging="360"/>
    </w:pPr>
    <w:rPr>
      <w:rFonts w:ascii="仿宋" w:eastAsia="仿宋" w:cs="宋体"/>
      <w:bCs w:val="0"/>
      <w:szCs w:val="28"/>
    </w:rPr>
  </w:style>
  <w:style w:type="paragraph" w:customStyle="1" w:styleId="804">
    <w:name w:val="_Style 8"/>
    <w:basedOn w:val="1"/>
    <w:qFormat/>
    <w:uiPriority w:val="34"/>
    <w:pPr>
      <w:ind w:firstLine="420" w:firstLineChars="200"/>
    </w:pPr>
    <w:rPr>
      <w:rFonts w:ascii="Times New Roman" w:hAnsi="Times New Roman" w:eastAsia="仿宋_GB2312" w:cs="Times New Roman"/>
      <w:sz w:val="28"/>
      <w:szCs w:val="24"/>
    </w:rPr>
  </w:style>
  <w:style w:type="paragraph" w:customStyle="1" w:styleId="805">
    <w:name w:val="GP正文(首行缩进)"/>
    <w:basedOn w:val="1"/>
    <w:qFormat/>
    <w:uiPriority w:val="0"/>
    <w:pPr>
      <w:spacing w:line="360" w:lineRule="auto"/>
      <w:ind w:firstLine="200" w:firstLineChars="200"/>
    </w:pPr>
    <w:rPr>
      <w:rFonts w:ascii="Times New Roman" w:hAnsi="Times New Roman" w:eastAsia="仿宋_GB2312" w:cs="Times New Roman"/>
      <w:sz w:val="28"/>
      <w:szCs w:val="21"/>
    </w:rPr>
  </w:style>
  <w:style w:type="paragraph" w:customStyle="1" w:styleId="80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07">
    <w:name w:val="批注框文本 Char Char"/>
    <w:basedOn w:val="1"/>
    <w:qFormat/>
    <w:uiPriority w:val="0"/>
    <w:rPr>
      <w:rFonts w:ascii="Times New Roman" w:hAnsi="Times New Roman" w:eastAsia="宋体" w:cs="Times New Roman"/>
      <w:sz w:val="18"/>
      <w:szCs w:val="20"/>
    </w:rPr>
  </w:style>
  <w:style w:type="paragraph" w:customStyle="1" w:styleId="808">
    <w:name w:val="_Style 11"/>
    <w:basedOn w:val="1"/>
    <w:qFormat/>
    <w:uiPriority w:val="34"/>
    <w:pPr>
      <w:ind w:firstLine="420" w:firstLineChars="200"/>
    </w:pPr>
    <w:rPr>
      <w:rFonts w:ascii="Times New Roman" w:hAnsi="Times New Roman" w:eastAsia="仿宋_GB2312" w:cs="Times New Roman"/>
      <w:sz w:val="28"/>
      <w:szCs w:val="24"/>
    </w:rPr>
  </w:style>
  <w:style w:type="paragraph" w:customStyle="1" w:styleId="809">
    <w:name w:val="大汉方案正文"/>
    <w:basedOn w:val="1"/>
    <w:qFormat/>
    <w:uiPriority w:val="0"/>
    <w:pPr>
      <w:spacing w:line="360" w:lineRule="auto"/>
      <w:ind w:firstLine="200" w:firstLineChars="200"/>
    </w:pPr>
    <w:rPr>
      <w:rFonts w:ascii="Arial" w:hAnsi="Arial" w:eastAsia="宋体" w:cs="Times New Roman"/>
      <w:sz w:val="24"/>
      <w:szCs w:val="20"/>
    </w:rPr>
  </w:style>
  <w:style w:type="paragraph" w:customStyle="1" w:styleId="810">
    <w:name w:val="标题3"/>
    <w:basedOn w:val="5"/>
    <w:next w:val="51"/>
    <w:qFormat/>
    <w:uiPriority w:val="0"/>
    <w:pPr>
      <w:tabs>
        <w:tab w:val="clear" w:pos="900"/>
      </w:tabs>
      <w:spacing w:after="0" w:line="360" w:lineRule="auto"/>
    </w:pPr>
    <w:rPr>
      <w:rFonts w:ascii="仿宋" w:hAnsi="仿宋" w:eastAsia="仿宋" w:cs="仿宋"/>
    </w:rPr>
  </w:style>
  <w:style w:type="paragraph" w:customStyle="1" w:styleId="811">
    <w:name w:val="_正文段落"/>
    <w:basedOn w:val="1"/>
    <w:qFormat/>
    <w:uiPriority w:val="0"/>
    <w:pPr>
      <w:ind w:firstLine="560"/>
    </w:pPr>
    <w:rPr>
      <w:rFonts w:ascii="仿宋_GB2312" w:hAnsi="仿宋" w:eastAsia="仿宋_GB2312" w:cs="Times New Roman"/>
      <w:kern w:val="0"/>
      <w:sz w:val="28"/>
      <w:szCs w:val="28"/>
    </w:rPr>
  </w:style>
  <w:style w:type="paragraph" w:customStyle="1" w:styleId="812">
    <w:name w:val="样式 样式 宋体 小四 段前: 7.8 磅 段后: 7.8 磅 行距: 1.5 倍行距 + 小二 首行缩进:  2 字符"/>
    <w:basedOn w:val="1"/>
    <w:qFormat/>
    <w:uiPriority w:val="0"/>
    <w:pPr>
      <w:spacing w:line="360" w:lineRule="auto"/>
      <w:ind w:firstLine="480" w:firstLineChars="200"/>
    </w:pPr>
    <w:rPr>
      <w:rFonts w:ascii="宋体" w:hAnsi="宋体" w:eastAsia="宋体" w:cs="宋体"/>
      <w:sz w:val="24"/>
      <w:szCs w:val="20"/>
    </w:rPr>
  </w:style>
  <w:style w:type="paragraph" w:customStyle="1" w:styleId="813">
    <w:name w:val="_Style 5"/>
    <w:basedOn w:val="1"/>
    <w:qFormat/>
    <w:uiPriority w:val="34"/>
    <w:pPr>
      <w:ind w:firstLine="420" w:firstLineChars="200"/>
    </w:pPr>
    <w:rPr>
      <w:rFonts w:ascii="Times New Roman" w:hAnsi="Times New Roman" w:eastAsia="仿宋_GB2312" w:cs="Times New Roman"/>
      <w:sz w:val="28"/>
      <w:szCs w:val="24"/>
    </w:rPr>
  </w:style>
  <w:style w:type="paragraph" w:customStyle="1" w:styleId="814">
    <w:name w:val="_Style 3"/>
    <w:basedOn w:val="1"/>
    <w:qFormat/>
    <w:uiPriority w:val="34"/>
    <w:pPr>
      <w:ind w:firstLine="420" w:firstLineChars="200"/>
    </w:pPr>
    <w:rPr>
      <w:rFonts w:ascii="Times New Roman" w:hAnsi="Times New Roman" w:eastAsia="仿宋_GB2312" w:cs="Times New Roman"/>
      <w:sz w:val="28"/>
      <w:szCs w:val="24"/>
    </w:rPr>
  </w:style>
  <w:style w:type="paragraph" w:customStyle="1" w:styleId="815">
    <w:name w:val="_Style 6"/>
    <w:basedOn w:val="1"/>
    <w:qFormat/>
    <w:uiPriority w:val="34"/>
    <w:pPr>
      <w:ind w:firstLine="420" w:firstLineChars="200"/>
    </w:pPr>
    <w:rPr>
      <w:rFonts w:ascii="Times New Roman" w:hAnsi="Times New Roman" w:eastAsia="仿宋_GB2312" w:cs="Times New Roman"/>
      <w:sz w:val="28"/>
      <w:szCs w:val="24"/>
    </w:rPr>
  </w:style>
  <w:style w:type="paragraph" w:customStyle="1" w:styleId="816">
    <w:name w:val="_Style 1"/>
    <w:basedOn w:val="1"/>
    <w:qFormat/>
    <w:uiPriority w:val="34"/>
    <w:pPr>
      <w:ind w:firstLine="420" w:firstLineChars="200"/>
    </w:pPr>
    <w:rPr>
      <w:rFonts w:ascii="Times New Roman" w:hAnsi="Times New Roman" w:eastAsia="仿宋_GB2312" w:cs="Times New Roman"/>
      <w:sz w:val="28"/>
      <w:szCs w:val="24"/>
    </w:rPr>
  </w:style>
  <w:style w:type="paragraph" w:customStyle="1" w:styleId="817">
    <w:name w:val="样式 标题 2 + 四号"/>
    <w:basedOn w:val="4"/>
    <w:qFormat/>
    <w:uiPriority w:val="0"/>
    <w:pPr>
      <w:numPr>
        <w:numId w:val="0"/>
      </w:numPr>
      <w:spacing w:before="120" w:after="120"/>
      <w:jc w:val="both"/>
    </w:pPr>
    <w:rPr>
      <w:rFonts w:ascii="宋体" w:hAnsi="Arial" w:eastAsia="宋体"/>
      <w:sz w:val="28"/>
      <w:lang w:val="en-US"/>
    </w:rPr>
  </w:style>
  <w:style w:type="paragraph" w:customStyle="1" w:styleId="818">
    <w:name w:val="样式 首行缩进:  2 字符4"/>
    <w:basedOn w:val="1"/>
    <w:qFormat/>
    <w:uiPriority w:val="0"/>
    <w:pPr>
      <w:spacing w:before="120" w:line="360" w:lineRule="auto"/>
      <w:ind w:firstLine="480" w:firstLineChars="200"/>
    </w:pPr>
    <w:rPr>
      <w:rFonts w:ascii="Times New Roman" w:hAnsi="Times New Roman" w:eastAsia="仿宋_GB2312" w:cs="宋体"/>
      <w:sz w:val="28"/>
      <w:szCs w:val="20"/>
    </w:rPr>
  </w:style>
  <w:style w:type="paragraph" w:customStyle="1" w:styleId="819">
    <w:name w:val="样式 首行缩进:  0 字符"/>
    <w:basedOn w:val="1"/>
    <w:qFormat/>
    <w:uiPriority w:val="0"/>
    <w:pPr>
      <w:spacing w:line="360" w:lineRule="auto"/>
      <w:ind w:firstLine="200" w:firstLineChars="200"/>
    </w:pPr>
    <w:rPr>
      <w:rFonts w:ascii="Arial" w:hAnsi="Arial" w:eastAsia="宋体" w:cs="宋体"/>
      <w:sz w:val="24"/>
      <w:szCs w:val="20"/>
    </w:rPr>
  </w:style>
  <w:style w:type="paragraph" w:customStyle="1" w:styleId="820">
    <w:name w:val="正文1.25"/>
    <w:basedOn w:val="1"/>
    <w:qFormat/>
    <w:uiPriority w:val="0"/>
    <w:pPr>
      <w:spacing w:line="300" w:lineRule="auto"/>
      <w:ind w:firstLine="480" w:firstLineChars="200"/>
    </w:pPr>
    <w:rPr>
      <w:rFonts w:ascii="Times New Roman" w:hAnsi="Times New Roman" w:eastAsia="宋体" w:cs="Times New Roman"/>
      <w:sz w:val="24"/>
      <w:szCs w:val="20"/>
    </w:rPr>
  </w:style>
  <w:style w:type="paragraph" w:customStyle="1" w:styleId="821">
    <w:name w:val="U_编号2"/>
    <w:basedOn w:val="1"/>
    <w:qFormat/>
    <w:uiPriority w:val="0"/>
    <w:pPr>
      <w:tabs>
        <w:tab w:val="left" w:pos="785"/>
      </w:tabs>
      <w:spacing w:beforeLines="10" w:afterLines="10" w:line="300" w:lineRule="auto"/>
    </w:pPr>
    <w:rPr>
      <w:rFonts w:ascii="Times New Roman" w:hAnsi="Times New Roman" w:eastAsia="宋体" w:cs="Times New Roman"/>
      <w:sz w:val="24"/>
      <w:szCs w:val="24"/>
    </w:rPr>
  </w:style>
  <w:style w:type="paragraph" w:customStyle="1" w:styleId="822">
    <w:name w:val="列表1"/>
    <w:basedOn w:val="1"/>
    <w:next w:val="531"/>
    <w:link w:val="829"/>
    <w:qFormat/>
    <w:uiPriority w:val="0"/>
    <w:pPr>
      <w:widowControl/>
      <w:spacing w:after="200" w:line="360" w:lineRule="auto"/>
      <w:ind w:left="720" w:firstLine="200" w:firstLineChars="200"/>
      <w:jc w:val="left"/>
    </w:pPr>
    <w:rPr>
      <w:rFonts w:ascii="Calibri" w:hAnsi="Calibri" w:eastAsia="宋体" w:cs="Times New Roman"/>
      <w:kern w:val="0"/>
      <w:sz w:val="24"/>
      <w:szCs w:val="20"/>
      <w:lang w:val="zh-CN" w:eastAsia="en-US"/>
    </w:rPr>
  </w:style>
  <w:style w:type="character" w:customStyle="1" w:styleId="823">
    <w:name w:val="正文首行缩进 Char Char Char Char Char Char1"/>
    <w:qFormat/>
    <w:uiPriority w:val="0"/>
    <w:rPr>
      <w:rFonts w:ascii="宋体" w:eastAsia="宋体"/>
      <w:kern w:val="2"/>
      <w:sz w:val="24"/>
      <w:szCs w:val="24"/>
      <w:lang w:val="zh-CN" w:bidi="ar-SA"/>
    </w:rPr>
  </w:style>
  <w:style w:type="character" w:customStyle="1" w:styleId="824">
    <w:name w:val="正文首行缩进 Char Char Char Char Char"/>
    <w:qFormat/>
    <w:uiPriority w:val="0"/>
    <w:rPr>
      <w:rFonts w:ascii="宋体"/>
      <w:kern w:val="2"/>
      <w:sz w:val="24"/>
      <w:lang w:val="zh-CN"/>
    </w:rPr>
  </w:style>
  <w:style w:type="character" w:customStyle="1" w:styleId="825">
    <w:name w:val="Used by Word for text of Help footnotes Char Char1"/>
    <w:qFormat/>
    <w:uiPriority w:val="0"/>
    <w:rPr>
      <w:color w:val="0000FF"/>
      <w:sz w:val="21"/>
    </w:rPr>
  </w:style>
  <w:style w:type="character" w:customStyle="1" w:styleId="826">
    <w:name w:val="H5 Char"/>
    <w:qFormat/>
    <w:uiPriority w:val="0"/>
    <w:rPr>
      <w:b/>
      <w:bCs/>
      <w:kern w:val="2"/>
      <w:sz w:val="28"/>
      <w:szCs w:val="28"/>
    </w:rPr>
  </w:style>
  <w:style w:type="character" w:customStyle="1" w:styleId="827">
    <w:name w:val="正文缩进 Char3"/>
    <w:qFormat/>
    <w:uiPriority w:val="0"/>
    <w:rPr>
      <w:rFonts w:ascii="宋体" w:eastAsia="宋体"/>
      <w:snapToGrid w:val="0"/>
      <w:color w:val="000000"/>
      <w:kern w:val="28"/>
      <w:sz w:val="28"/>
      <w:lang w:val="en-US" w:eastAsia="zh-CN" w:bidi="ar-SA"/>
    </w:rPr>
  </w:style>
  <w:style w:type="character" w:customStyle="1" w:styleId="828">
    <w:name w:val="表名 Char"/>
    <w:qFormat/>
    <w:uiPriority w:val="0"/>
    <w:rPr>
      <w:rFonts w:eastAsia="宋体"/>
      <w:b/>
      <w:bCs/>
      <w:kern w:val="2"/>
      <w:sz w:val="24"/>
      <w:szCs w:val="24"/>
      <w:lang w:val="en-US" w:eastAsia="zh-CN" w:bidi="ar-SA"/>
    </w:rPr>
  </w:style>
  <w:style w:type="character" w:customStyle="1" w:styleId="829">
    <w:name w:val="列出段落 Char1"/>
    <w:link w:val="822"/>
    <w:qFormat/>
    <w:uiPriority w:val="0"/>
    <w:rPr>
      <w:rFonts w:ascii="Calibri" w:hAnsi="Calibri" w:eastAsia="宋体" w:cs="Times New Roman"/>
      <w:kern w:val="0"/>
      <w:sz w:val="24"/>
      <w:szCs w:val="20"/>
      <w:lang w:val="zh-CN" w:eastAsia="en-US"/>
    </w:rPr>
  </w:style>
  <w:style w:type="character" w:customStyle="1" w:styleId="830">
    <w:name w:val="图名 Char"/>
    <w:qFormat/>
    <w:uiPriority w:val="0"/>
    <w:rPr>
      <w:rFonts w:ascii="Arial" w:hAnsi="Arial" w:eastAsia="黑体"/>
      <w:kern w:val="2"/>
      <w:sz w:val="24"/>
      <w:szCs w:val="24"/>
      <w:lang w:val="en-US" w:eastAsia="zh-CN" w:bidi="ar-SA"/>
    </w:rPr>
  </w:style>
  <w:style w:type="character" w:customStyle="1" w:styleId="831">
    <w:name w:val="PI Char1"/>
    <w:qFormat/>
    <w:uiPriority w:val="0"/>
    <w:rPr>
      <w:rFonts w:ascii="宋体" w:hAnsi="宋体"/>
      <w:kern w:val="2"/>
      <w:sz w:val="24"/>
      <w:szCs w:val="24"/>
    </w:rPr>
  </w:style>
  <w:style w:type="character" w:customStyle="1" w:styleId="832">
    <w:name w:val="H6 Char"/>
    <w:qFormat/>
    <w:uiPriority w:val="0"/>
    <w:rPr>
      <w:rFonts w:ascii="Arial" w:hAnsi="Arial" w:eastAsia="黑体"/>
      <w:b/>
      <w:bCs/>
      <w:kern w:val="2"/>
      <w:sz w:val="24"/>
      <w:szCs w:val="24"/>
    </w:rPr>
  </w:style>
  <w:style w:type="character" w:customStyle="1" w:styleId="833">
    <w:name w:val="Default Char"/>
    <w:link w:val="78"/>
    <w:qFormat/>
    <w:uiPriority w:val="0"/>
    <w:rPr>
      <w:rFonts w:ascii="仿宋_GB2312" w:hAnsi="Times New Roman" w:eastAsia="仿宋_GB2312" w:cs="Times New Roman"/>
      <w:color w:val="000000"/>
      <w:kern w:val="0"/>
      <w:sz w:val="24"/>
      <w:szCs w:val="24"/>
    </w:rPr>
  </w:style>
  <w:style w:type="character" w:customStyle="1" w:styleId="834">
    <w:name w:val="标书1 Char1"/>
    <w:qFormat/>
    <w:uiPriority w:val="0"/>
    <w:rPr>
      <w:rFonts w:eastAsia="宋体"/>
      <w:b/>
      <w:bCs/>
      <w:kern w:val="44"/>
      <w:sz w:val="44"/>
      <w:szCs w:val="44"/>
      <w:lang w:val="en-US" w:eastAsia="zh-CN" w:bidi="ar-SA"/>
    </w:rPr>
  </w:style>
  <w:style w:type="character" w:customStyle="1" w:styleId="835">
    <w:name w:val="h4 Char"/>
    <w:qFormat/>
    <w:uiPriority w:val="0"/>
    <w:rPr>
      <w:rFonts w:ascii="Arial" w:hAnsi="Arial" w:eastAsia="黑体"/>
      <w:b/>
      <w:bCs/>
      <w:kern w:val="2"/>
      <w:sz w:val="28"/>
      <w:szCs w:val="28"/>
      <w:lang w:val="zh-CN" w:eastAsia="zh-CN" w:bidi="ar-SA"/>
    </w:rPr>
  </w:style>
  <w:style w:type="character" w:customStyle="1" w:styleId="836">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837">
    <w:name w:val="未用 Char"/>
    <w:qFormat/>
    <w:uiPriority w:val="0"/>
    <w:rPr>
      <w:rFonts w:ascii="Arial" w:hAnsi="Arial" w:eastAsia="黑体"/>
      <w:kern w:val="2"/>
      <w:sz w:val="21"/>
      <w:szCs w:val="21"/>
      <w:lang w:val="en-US" w:eastAsia="zh-CN" w:bidi="ar-SA"/>
    </w:rPr>
  </w:style>
  <w:style w:type="character" w:customStyle="1" w:styleId="838">
    <w:name w:val="正文文字缩进 2 Char Char"/>
    <w:qFormat/>
    <w:uiPriority w:val="0"/>
    <w:rPr>
      <w:rFonts w:ascii="宋体"/>
      <w:sz w:val="28"/>
    </w:rPr>
  </w:style>
  <w:style w:type="paragraph" w:customStyle="1" w:styleId="83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840">
    <w:name w:val="Char Char Char 字元 字元"/>
    <w:basedOn w:val="1"/>
    <w:qFormat/>
    <w:uiPriority w:val="0"/>
    <w:pPr>
      <w:spacing w:line="360" w:lineRule="auto"/>
      <w:ind w:firstLine="200" w:firstLineChars="200"/>
    </w:pPr>
    <w:rPr>
      <w:rFonts w:ascii="Times New Roman" w:hAnsi="Times New Roman" w:eastAsia="宋体" w:cs="Times New Roman"/>
      <w:szCs w:val="20"/>
    </w:rPr>
  </w:style>
  <w:style w:type="paragraph" w:customStyle="1" w:styleId="841">
    <w:name w:val="五级无标题条"/>
    <w:basedOn w:val="1"/>
    <w:qFormat/>
    <w:uiPriority w:val="0"/>
    <w:rPr>
      <w:rFonts w:ascii="Times New Roman" w:hAnsi="Times New Roman" w:eastAsia="宋体" w:cs="Times New Roman"/>
      <w:szCs w:val="24"/>
    </w:rPr>
  </w:style>
  <w:style w:type="paragraph" w:customStyle="1" w:styleId="842">
    <w:name w:val="样式9"/>
    <w:basedOn w:val="1"/>
    <w:qFormat/>
    <w:uiPriority w:val="0"/>
    <w:pPr>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4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844">
    <w:name w:val="中文标题 3"/>
    <w:basedOn w:val="17"/>
    <w:qFormat/>
    <w:uiPriority w:val="0"/>
    <w:pPr>
      <w:adjustRightInd/>
      <w:spacing w:before="100" w:beforeAutospacing="1" w:after="100" w:afterAutospacing="1" w:line="360" w:lineRule="auto"/>
      <w:ind w:left="0" w:leftChars="0" w:firstLine="482"/>
    </w:pPr>
    <w:rPr>
      <w:rFonts w:eastAsia="楷体_GB2312"/>
      <w:kern w:val="28"/>
      <w:sz w:val="24"/>
      <w:lang w:val="zh-CN"/>
    </w:rPr>
  </w:style>
  <w:style w:type="paragraph" w:customStyle="1" w:styleId="845">
    <w:name w:val="xl55"/>
    <w:basedOn w:val="1"/>
    <w:qFormat/>
    <w:uiPriority w:val="0"/>
    <w:pPr>
      <w:widowControl/>
      <w:spacing w:before="100" w:beforeAutospacing="1" w:after="100" w:afterAutospacing="1"/>
      <w:jc w:val="center"/>
      <w:textAlignment w:val="center"/>
    </w:pPr>
    <w:rPr>
      <w:rFonts w:ascii="Arial Unicode MS" w:hAnsi="Arial Unicode MS" w:eastAsia="宋体" w:cs="Times New Roman"/>
      <w:kern w:val="0"/>
      <w:sz w:val="24"/>
      <w:szCs w:val="24"/>
    </w:rPr>
  </w:style>
  <w:style w:type="paragraph" w:customStyle="1" w:styleId="846">
    <w:name w:val="方案正文无缩进"/>
    <w:qFormat/>
    <w:uiPriority w:val="0"/>
    <w:pPr>
      <w:spacing w:line="360" w:lineRule="auto"/>
    </w:pPr>
    <w:rPr>
      <w:rFonts w:ascii="Calibri" w:hAnsi="Calibri" w:eastAsia="宋体" w:cs="Times New Roman"/>
      <w:kern w:val="2"/>
      <w:sz w:val="24"/>
      <w:szCs w:val="24"/>
      <w:lang w:val="en-US" w:eastAsia="zh-CN" w:bidi="ar-SA"/>
    </w:rPr>
  </w:style>
  <w:style w:type="paragraph" w:customStyle="1" w:styleId="847">
    <w:name w:val="表格非标题文字"/>
    <w:link w:val="848"/>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8">
    <w:name w:val="表格非标题文字 Char"/>
    <w:link w:val="847"/>
    <w:qFormat/>
    <w:uiPriority w:val="0"/>
    <w:rPr>
      <w:rFonts w:ascii="Futura Bk" w:hAnsi="Futura Bk" w:eastAsia="宋体" w:cs="Times New Roman"/>
      <w:sz w:val="18"/>
      <w:szCs w:val="21"/>
    </w:rPr>
  </w:style>
  <w:style w:type="character" w:customStyle="1" w:styleId="849">
    <w:name w:val="Table Text Char"/>
    <w:link w:val="528"/>
    <w:qFormat/>
    <w:uiPriority w:val="0"/>
    <w:rPr>
      <w:rFonts w:ascii="Times New Roman" w:hAnsi="Times New Roman" w:eastAsia="宋体" w:cs="Times New Roman"/>
      <w:kern w:val="0"/>
      <w:sz w:val="24"/>
      <w:szCs w:val="24"/>
      <w:lang w:val="zh-CN"/>
    </w:rPr>
  </w:style>
  <w:style w:type="character" w:customStyle="1" w:styleId="850">
    <w:name w:val="页眉 字符"/>
    <w:qFormat/>
    <w:uiPriority w:val="99"/>
    <w:rPr>
      <w:kern w:val="2"/>
      <w:sz w:val="18"/>
      <w:szCs w:val="18"/>
    </w:rPr>
  </w:style>
  <w:style w:type="character" w:customStyle="1" w:styleId="851">
    <w:name w:val="页脚 字符"/>
    <w:qFormat/>
    <w:uiPriority w:val="99"/>
    <w:rPr>
      <w:kern w:val="2"/>
      <w:sz w:val="18"/>
      <w:szCs w:val="18"/>
    </w:rPr>
  </w:style>
  <w:style w:type="character" w:customStyle="1" w:styleId="852">
    <w:name w:val="列表段落 字符"/>
    <w:qFormat/>
    <w:uiPriority w:val="34"/>
  </w:style>
  <w:style w:type="paragraph" w:customStyle="1" w:styleId="853">
    <w:name w:val="列表段落1"/>
    <w:basedOn w:val="1"/>
    <w:qFormat/>
    <w:uiPriority w:val="34"/>
    <w:pPr>
      <w:ind w:right="238" w:firstLine="420"/>
    </w:pPr>
    <w:rPr>
      <w:rFonts w:ascii="Calibri" w:hAnsi="Calibri" w:eastAsia="宋体" w:cs="Times New Roman"/>
      <w:sz w:val="24"/>
      <w:szCs w:val="24"/>
    </w:rPr>
  </w:style>
  <w:style w:type="character" w:customStyle="1" w:styleId="854">
    <w:name w:val="标题 2 字符"/>
    <w:qFormat/>
    <w:uiPriority w:val="9"/>
    <w:rPr>
      <w:rFonts w:ascii="仿宋_GB2312" w:hAnsi="Times New Roman" w:eastAsia="仿宋_GB2312" w:cs="Times New Roman"/>
      <w:b/>
      <w:kern w:val="2"/>
      <w:sz w:val="24"/>
      <w:lang w:val="zh-CN"/>
    </w:rPr>
  </w:style>
  <w:style w:type="paragraph" w:customStyle="1" w:styleId="855">
    <w:name w:val="样式 标题 3h33rd level3BOD 0H3l3CTHeading 3 - oldLevel 3 He..."/>
    <w:basedOn w:val="5"/>
    <w:qFormat/>
    <w:uiPriority w:val="99"/>
    <w:pPr>
      <w:keepLines w:val="0"/>
      <w:widowControl/>
      <w:numPr>
        <w:ilvl w:val="0"/>
        <w:numId w:val="8"/>
      </w:numPr>
      <w:tabs>
        <w:tab w:val="clear" w:pos="900"/>
      </w:tabs>
      <w:adjustRightInd/>
      <w:spacing w:before="240" w:after="240" w:line="360" w:lineRule="auto"/>
      <w:ind w:left="851" w:right="407" w:rightChars="194" w:hanging="851"/>
      <w:jc w:val="left"/>
    </w:pPr>
    <w:rPr>
      <w:rFonts w:ascii="宋体" w:hAnsi="Arial"/>
      <w:snapToGrid w:val="0"/>
      <w:kern w:val="0"/>
      <w:sz w:val="28"/>
      <w:szCs w:val="20"/>
      <w:lang w:val="zh-CN"/>
    </w:rPr>
  </w:style>
  <w:style w:type="paragraph" w:customStyle="1" w:styleId="856">
    <w:name w:val="4级标题"/>
    <w:basedOn w:val="531"/>
    <w:qFormat/>
    <w:uiPriority w:val="0"/>
    <w:pPr>
      <w:keepLines/>
      <w:numPr>
        <w:ilvl w:val="3"/>
        <w:numId w:val="8"/>
      </w:numPr>
      <w:adjustRightInd/>
      <w:ind w:firstLineChars="0"/>
      <w:jc w:val="left"/>
      <w:outlineLvl w:val="3"/>
    </w:pPr>
    <w:rPr>
      <w:rFonts w:ascii="黑体" w:hAnsi="黑体" w:eastAsia="黑体" w:cs="Times New Roman"/>
      <w:kern w:val="0"/>
      <w:sz w:val="28"/>
      <w:lang w:val="zh-CN" w:eastAsia="en-US" w:bidi="en-US"/>
    </w:rPr>
  </w:style>
  <w:style w:type="paragraph" w:customStyle="1" w:styleId="857">
    <w:name w:val="3级"/>
    <w:basedOn w:val="855"/>
    <w:link w:val="858"/>
    <w:qFormat/>
    <w:uiPriority w:val="0"/>
    <w:pPr>
      <w:ind w:left="0" w:right="466" w:firstLine="288"/>
    </w:pPr>
    <w:rPr>
      <w:rFonts w:hAnsi="宋体"/>
    </w:rPr>
  </w:style>
  <w:style w:type="character" w:customStyle="1" w:styleId="858">
    <w:name w:val="3级 Char"/>
    <w:link w:val="857"/>
    <w:qFormat/>
    <w:uiPriority w:val="0"/>
    <w:rPr>
      <w:rFonts w:ascii="宋体" w:hAnsi="宋体" w:eastAsia="宋体" w:cs="Times New Roman"/>
      <w:b/>
      <w:bCs/>
      <w:snapToGrid w:val="0"/>
      <w:kern w:val="0"/>
      <w:sz w:val="28"/>
      <w:szCs w:val="20"/>
      <w:lang w:val="zh-CN"/>
    </w:rPr>
  </w:style>
  <w:style w:type="character" w:customStyle="1" w:styleId="859">
    <w:name w:val="标题 3 字符"/>
    <w:qFormat/>
    <w:uiPriority w:val="9"/>
    <w:rPr>
      <w:b/>
      <w:bCs/>
      <w:kern w:val="2"/>
      <w:sz w:val="32"/>
      <w:szCs w:val="32"/>
    </w:rPr>
  </w:style>
  <w:style w:type="character" w:customStyle="1" w:styleId="860">
    <w:name w:val="标题 4 字符"/>
    <w:qFormat/>
    <w:uiPriority w:val="9"/>
    <w:rPr>
      <w:rFonts w:ascii="等线 Light" w:hAnsi="等线 Light" w:eastAsia="等线 Light" w:cs="Times New Roman"/>
      <w:b/>
      <w:bCs/>
      <w:snapToGrid/>
      <w:kern w:val="0"/>
      <w:sz w:val="28"/>
      <w:szCs w:val="28"/>
    </w:rPr>
  </w:style>
  <w:style w:type="character" w:customStyle="1" w:styleId="861">
    <w:name w:val="标题 1 字符"/>
    <w:qFormat/>
    <w:uiPriority w:val="9"/>
    <w:rPr>
      <w:rFonts w:ascii="Arial" w:hAnsi="Arial" w:eastAsia="黑体" w:cs="Arial"/>
      <w:b/>
      <w:bCs/>
      <w:snapToGrid/>
      <w:kern w:val="44"/>
      <w:sz w:val="44"/>
      <w:szCs w:val="44"/>
    </w:rPr>
  </w:style>
  <w:style w:type="character" w:customStyle="1" w:styleId="862">
    <w:name w:val="批注文字 字符"/>
    <w:qFormat/>
    <w:uiPriority w:val="0"/>
    <w:rPr>
      <w:rFonts w:ascii="Arial" w:hAnsi="Arial" w:eastAsia="黑体" w:cs="Arial"/>
      <w:snapToGrid/>
      <w:kern w:val="0"/>
      <w:szCs w:val="21"/>
    </w:rPr>
  </w:style>
  <w:style w:type="character" w:customStyle="1" w:styleId="863">
    <w:name w:val="批注框文本 字符"/>
    <w:semiHidden/>
    <w:qFormat/>
    <w:uiPriority w:val="99"/>
    <w:rPr>
      <w:rFonts w:ascii="Arial" w:hAnsi="Arial" w:eastAsia="黑体" w:cs="Arial"/>
      <w:snapToGrid/>
      <w:kern w:val="0"/>
      <w:sz w:val="18"/>
      <w:szCs w:val="18"/>
    </w:rPr>
  </w:style>
  <w:style w:type="paragraph" w:customStyle="1" w:styleId="864">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character" w:customStyle="1" w:styleId="865">
    <w:name w:val="纯文本 字符"/>
    <w:qFormat/>
    <w:uiPriority w:val="0"/>
    <w:rPr>
      <w:rFonts w:ascii="宋体" w:hAnsi="Courier New" w:eastAsia="宋体" w:cs="Arial"/>
      <w:snapToGrid w:val="0"/>
      <w:kern w:val="2"/>
      <w:sz w:val="21"/>
      <w:szCs w:val="21"/>
      <w:lang w:val="en-US" w:eastAsia="zh-CN" w:bidi="ar-SA"/>
    </w:rPr>
  </w:style>
  <w:style w:type="paragraph" w:customStyle="1" w:styleId="866">
    <w:name w:val="_标题2"/>
    <w:basedOn w:val="867"/>
    <w:next w:val="86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867">
    <w:name w:val="__正文"/>
    <w:link w:val="868"/>
    <w:qFormat/>
    <w:uiPriority w:val="0"/>
    <w:pPr>
      <w:spacing w:line="360" w:lineRule="auto"/>
      <w:ind w:firstLine="200" w:firstLineChars="200"/>
    </w:pPr>
    <w:rPr>
      <w:rFonts w:ascii="Calibri" w:hAnsi="Calibri" w:eastAsia="等线" w:cs="Times New Roman"/>
      <w:kern w:val="2"/>
      <w:sz w:val="24"/>
      <w:szCs w:val="21"/>
      <w:lang w:val="en-US" w:eastAsia="zh-CN" w:bidi="ar-SA"/>
    </w:rPr>
  </w:style>
  <w:style w:type="character" w:customStyle="1" w:styleId="868">
    <w:name w:val="__正文 Char"/>
    <w:link w:val="867"/>
    <w:qFormat/>
    <w:uiPriority w:val="0"/>
    <w:rPr>
      <w:rFonts w:ascii="Calibri" w:hAnsi="Calibri" w:eastAsia="等线" w:cs="Times New Roman"/>
      <w:sz w:val="24"/>
      <w:szCs w:val="21"/>
    </w:rPr>
  </w:style>
  <w:style w:type="paragraph" w:customStyle="1" w:styleId="869">
    <w:name w:val="l正文"/>
    <w:basedOn w:val="1"/>
    <w:qFormat/>
    <w:uiPriority w:val="0"/>
    <w:pPr>
      <w:adjustRightInd w:val="0"/>
      <w:spacing w:line="360" w:lineRule="auto"/>
      <w:ind w:firstLine="200" w:firstLineChars="200"/>
    </w:pPr>
    <w:rPr>
      <w:rFonts w:ascii="宋体" w:hAnsi="宋体" w:eastAsia="宋体" w:cs="Times New Roman"/>
      <w:sz w:val="24"/>
      <w:szCs w:val="24"/>
    </w:rPr>
  </w:style>
  <w:style w:type="paragraph" w:customStyle="1" w:styleId="870">
    <w:name w:val="_标题3"/>
    <w:basedOn w:val="867"/>
    <w:next w:val="867"/>
    <w:qFormat/>
    <w:uiPriority w:val="0"/>
    <w:pPr>
      <w:widowControl w:val="0"/>
      <w:spacing w:before="50" w:beforeLines="50" w:after="50" w:afterLines="50"/>
      <w:ind w:firstLine="0" w:firstLineChars="0"/>
      <w:outlineLvl w:val="2"/>
    </w:pPr>
    <w:rPr>
      <w:rFonts w:eastAsia="宋体"/>
      <w:b/>
      <w:sz w:val="32"/>
    </w:rPr>
  </w:style>
  <w:style w:type="paragraph" w:customStyle="1" w:styleId="871">
    <w:name w:val="_标题1"/>
    <w:basedOn w:val="867"/>
    <w:next w:val="867"/>
    <w:qFormat/>
    <w:uiPriority w:val="0"/>
    <w:pPr>
      <w:widowControl w:val="0"/>
      <w:spacing w:before="156" w:beforeLines="50" w:after="156" w:afterLines="50"/>
      <w:ind w:firstLine="0" w:firstLineChars="0"/>
      <w:outlineLvl w:val="0"/>
    </w:pPr>
    <w:rPr>
      <w:rFonts w:eastAsia="黑体"/>
      <w:b/>
      <w:sz w:val="32"/>
    </w:rPr>
  </w:style>
  <w:style w:type="paragraph" w:customStyle="1" w:styleId="872">
    <w:name w:val="_标题5"/>
    <w:basedOn w:val="867"/>
    <w:next w:val="867"/>
    <w:qFormat/>
    <w:uiPriority w:val="0"/>
    <w:pPr>
      <w:spacing w:before="120" w:after="120"/>
      <w:ind w:left="4679" w:firstLine="0" w:firstLineChars="0"/>
      <w:outlineLvl w:val="4"/>
    </w:pPr>
    <w:rPr>
      <w:rFonts w:ascii="仿宋" w:hAnsi="仿宋" w:eastAsia="仿宋"/>
      <w:b/>
      <w:sz w:val="28"/>
    </w:rPr>
  </w:style>
  <w:style w:type="character" w:customStyle="1" w:styleId="873">
    <w:name w:val="标准正文 Char"/>
    <w:link w:val="633"/>
    <w:qFormat/>
    <w:uiPriority w:val="0"/>
    <w:rPr>
      <w:rFonts w:ascii="Times New Roman" w:hAnsi="Times New Roman" w:eastAsia="宋体" w:cs="Times New Roman"/>
      <w:sz w:val="24"/>
      <w:szCs w:val="24"/>
    </w:rPr>
  </w:style>
  <w:style w:type="paragraph" w:customStyle="1" w:styleId="874">
    <w:name w:val="样式_杭州市局"/>
    <w:basedOn w:val="1"/>
    <w:qFormat/>
    <w:uiPriority w:val="0"/>
    <w:pPr>
      <w:adjustRightInd w:val="0"/>
      <w:ind w:firstLine="200" w:firstLineChars="200"/>
    </w:pPr>
    <w:rPr>
      <w:rFonts w:ascii="仿宋" w:hAnsi="仿宋" w:eastAsia="仿宋" w:cs="黑体"/>
      <w:sz w:val="28"/>
      <w:szCs w:val="28"/>
    </w:rPr>
  </w:style>
  <w:style w:type="paragraph" w:customStyle="1" w:styleId="875">
    <w:name w:val="！正文（四号字）"/>
    <w:link w:val="876"/>
    <w:qFormat/>
    <w:uiPriority w:val="0"/>
    <w:pPr>
      <w:snapToGrid w:val="0"/>
      <w:spacing w:before="211" w:beforeLines="50" w:line="360" w:lineRule="auto"/>
      <w:ind w:firstLine="480" w:firstLineChars="200"/>
      <w:jc w:val="both"/>
    </w:pPr>
    <w:rPr>
      <w:rFonts w:ascii="等线" w:hAnsi="等线" w:eastAsia="仿宋_GB2312" w:cs="黑体"/>
      <w:kern w:val="2"/>
      <w:sz w:val="24"/>
      <w:szCs w:val="28"/>
      <w:lang w:val="en-US" w:eastAsia="zh-CN" w:bidi="ar-SA"/>
    </w:rPr>
  </w:style>
  <w:style w:type="character" w:customStyle="1" w:styleId="876">
    <w:name w:val="！正文（四号字） Char"/>
    <w:link w:val="875"/>
    <w:qFormat/>
    <w:uiPriority w:val="0"/>
    <w:rPr>
      <w:rFonts w:ascii="等线" w:hAnsi="等线" w:eastAsia="仿宋_GB2312" w:cs="黑体"/>
      <w:sz w:val="24"/>
      <w:szCs w:val="28"/>
    </w:rPr>
  </w:style>
  <w:style w:type="table" w:customStyle="1" w:styleId="877">
    <w:name w:val="Table Normal"/>
    <w:unhideWhenUsed/>
    <w:qFormat/>
    <w:uiPriority w:val="2"/>
    <w:pPr>
      <w:widowControl w:val="0"/>
      <w:autoSpaceDE w:val="0"/>
      <w:autoSpaceDN w:val="0"/>
    </w:pPr>
    <w:rPr>
      <w:rFonts w:ascii="Calibri" w:hAnsi="Calibri" w:eastAsia="宋体" w:cs="Times New Roman"/>
      <w:sz w:val="22"/>
      <w:lang w:eastAsia="en-US"/>
    </w:rPr>
    <w:tblPr>
      <w:tblCellMar>
        <w:top w:w="0" w:type="dxa"/>
        <w:left w:w="0" w:type="dxa"/>
        <w:bottom w:w="0" w:type="dxa"/>
        <w:right w:w="0" w:type="dxa"/>
      </w:tblCellMar>
    </w:tblPr>
  </w:style>
  <w:style w:type="character" w:customStyle="1" w:styleId="878">
    <w:name w:val="正文1 Char Char"/>
    <w:link w:val="374"/>
    <w:qFormat/>
    <w:locked/>
    <w:uiPriority w:val="0"/>
    <w:rPr>
      <w:rFonts w:ascii="仿宋_GB2312" w:hAnsi="Courier New" w:eastAsia="仿宋_GB2312" w:cs="Times New Roman"/>
      <w:kern w:val="28"/>
      <w:sz w:val="24"/>
      <w:szCs w:val="24"/>
    </w:rPr>
  </w:style>
  <w:style w:type="character" w:customStyle="1" w:styleId="879">
    <w:name w:val="段 Char"/>
    <w:link w:val="376"/>
    <w:qFormat/>
    <w:locked/>
    <w:uiPriority w:val="0"/>
    <w:rPr>
      <w:rFonts w:ascii="宋体" w:hAnsi="Times New Roman" w:eastAsia="宋体" w:cs="Times New Roman"/>
      <w:kern w:val="0"/>
      <w:szCs w:val="20"/>
    </w:rPr>
  </w:style>
  <w:style w:type="paragraph" w:customStyle="1" w:styleId="880">
    <w:name w:val="Char Char Char Char Char Char2 Char Char Char Char"/>
    <w:basedOn w:val="1"/>
    <w:qFormat/>
    <w:uiPriority w:val="0"/>
    <w:rPr>
      <w:rFonts w:ascii="Times New Roman" w:hAnsi="Times New Roman" w:eastAsia="宋体" w:cs="Times New Roman"/>
      <w:szCs w:val="24"/>
    </w:rPr>
  </w:style>
  <w:style w:type="character" w:customStyle="1" w:styleId="881">
    <w:name w:val="正文(首行缩进) Char"/>
    <w:link w:val="882"/>
    <w:qFormat/>
    <w:locked/>
    <w:uiPriority w:val="0"/>
    <w:rPr>
      <w:rFonts w:ascii="Arial" w:hAnsi="Arial" w:cs="Arial"/>
      <w:szCs w:val="24"/>
    </w:rPr>
  </w:style>
  <w:style w:type="paragraph" w:customStyle="1" w:styleId="882">
    <w:name w:val="正文(首行缩进)"/>
    <w:basedOn w:val="1"/>
    <w:next w:val="1"/>
    <w:link w:val="881"/>
    <w:qFormat/>
    <w:uiPriority w:val="0"/>
    <w:pPr>
      <w:snapToGrid w:val="0"/>
      <w:spacing w:before="10" w:line="360" w:lineRule="auto"/>
      <w:ind w:firstLine="482"/>
    </w:pPr>
    <w:rPr>
      <w:rFonts w:ascii="Arial" w:hAnsi="Arial" w:cs="Arial"/>
      <w:szCs w:val="24"/>
    </w:rPr>
  </w:style>
  <w:style w:type="paragraph" w:customStyle="1" w:styleId="883">
    <w:name w:val="条目2"/>
    <w:basedOn w:val="32"/>
    <w:qFormat/>
    <w:uiPriority w:val="0"/>
    <w:pPr>
      <w:tabs>
        <w:tab w:val="left" w:pos="420"/>
      </w:tabs>
      <w:adjustRightInd/>
      <w:spacing w:line="360" w:lineRule="auto"/>
      <w:ind w:left="420" w:hanging="420"/>
    </w:pPr>
    <w:rPr>
      <w:rFonts w:cs="Courier New"/>
      <w:snapToGrid/>
      <w:color w:val="000000"/>
      <w:sz w:val="24"/>
    </w:rPr>
  </w:style>
  <w:style w:type="character" w:customStyle="1" w:styleId="884">
    <w:name w:val="样式1 Char"/>
    <w:link w:val="512"/>
    <w:qFormat/>
    <w:locked/>
    <w:uiPriority w:val="0"/>
    <w:rPr>
      <w:rFonts w:ascii="宋体" w:hAnsi="宋体" w:eastAsia="宋体" w:cs="Times New Roman"/>
      <w:kern w:val="0"/>
      <w:sz w:val="24"/>
      <w:szCs w:val="20"/>
    </w:rPr>
  </w:style>
  <w:style w:type="paragraph" w:customStyle="1" w:styleId="885">
    <w:name w:val="HD正文1"/>
    <w:basedOn w:val="1"/>
    <w:next w:val="17"/>
    <w:qFormat/>
    <w:uiPriority w:val="0"/>
    <w:pPr>
      <w:spacing w:line="360" w:lineRule="auto"/>
      <w:ind w:firstLine="480" w:firstLineChars="200"/>
    </w:pPr>
    <w:rPr>
      <w:rFonts w:ascii="宋体" w:hAnsi="宋体" w:eastAsia="宋体" w:cs="Times New Roman"/>
      <w:sz w:val="24"/>
      <w:szCs w:val="21"/>
    </w:rPr>
  </w:style>
  <w:style w:type="paragraph" w:customStyle="1" w:styleId="886">
    <w:name w:val="正文00"/>
    <w:basedOn w:val="1"/>
    <w:qFormat/>
    <w:uiPriority w:val="0"/>
    <w:pPr>
      <w:tabs>
        <w:tab w:val="left" w:pos="0"/>
      </w:tabs>
      <w:spacing w:line="360" w:lineRule="auto"/>
      <w:ind w:firstLine="480" w:firstLineChars="200"/>
    </w:pPr>
    <w:rPr>
      <w:rFonts w:ascii="宋体" w:hAnsi="宋体" w:eastAsia="宋体" w:cs="Times New Roman"/>
      <w:kern w:val="28"/>
      <w:sz w:val="24"/>
      <w:szCs w:val="24"/>
    </w:rPr>
  </w:style>
  <w:style w:type="paragraph" w:customStyle="1" w:styleId="887">
    <w:name w:val="注×："/>
    <w:qFormat/>
    <w:uiPriority w:val="0"/>
    <w:pPr>
      <w:widowControl w:val="0"/>
      <w:tabs>
        <w:tab w:val="left" w:pos="791"/>
      </w:tabs>
      <w:autoSpaceDE w:val="0"/>
      <w:autoSpaceDN w:val="0"/>
      <w:ind w:left="420" w:hanging="420"/>
      <w:jc w:val="both"/>
    </w:pPr>
    <w:rPr>
      <w:rFonts w:ascii="宋体" w:hAnsi="Times New Roman" w:eastAsia="宋体" w:cs="Times New Roman"/>
      <w:sz w:val="18"/>
      <w:szCs w:val="18"/>
      <w:lang w:val="en-US" w:eastAsia="zh-CN" w:bidi="ar-SA"/>
    </w:rPr>
  </w:style>
  <w:style w:type="paragraph" w:customStyle="1" w:styleId="888">
    <w:name w:val="xl13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889">
    <w:name w:val="Char Char Char Char Char Char Char Char Char Char Char"/>
    <w:basedOn w:val="1"/>
    <w:qFormat/>
    <w:uiPriority w:val="0"/>
    <w:rPr>
      <w:rFonts w:ascii="Tahoma" w:hAnsi="Tahoma" w:eastAsia="宋体" w:cs="Times New Roman"/>
      <w:sz w:val="24"/>
      <w:szCs w:val="20"/>
    </w:rPr>
  </w:style>
  <w:style w:type="paragraph" w:customStyle="1" w:styleId="890">
    <w:name w:val="Char Char Char Char Char Char Char Char Char Char Char Char Char Char Char Char Char Char Char Char Char Char Char Char Char"/>
    <w:basedOn w:val="1"/>
    <w:qFormat/>
    <w:uiPriority w:val="0"/>
    <w:rPr>
      <w:rFonts w:ascii="Tahoma" w:hAnsi="Tahoma" w:eastAsia="宋体" w:cs="Times New Roman"/>
      <w:sz w:val="24"/>
      <w:szCs w:val="20"/>
    </w:rPr>
  </w:style>
  <w:style w:type="paragraph" w:customStyle="1" w:styleId="891">
    <w:name w:val="正文文本 23"/>
    <w:basedOn w:val="1"/>
    <w:qFormat/>
    <w:uiPriority w:val="0"/>
    <w:pPr>
      <w:widowControl/>
      <w:overflowPunct w:val="0"/>
      <w:autoSpaceDE w:val="0"/>
      <w:autoSpaceDN w:val="0"/>
      <w:adjustRightInd w:val="0"/>
      <w:ind w:left="720" w:hanging="720"/>
    </w:pPr>
    <w:rPr>
      <w:rFonts w:ascii="Times New Roman" w:hAnsi="Times New Roman" w:eastAsia="宋体" w:cs="Times New Roman"/>
      <w:kern w:val="0"/>
      <w:sz w:val="24"/>
      <w:szCs w:val="20"/>
      <w:lang w:val="en-GB"/>
    </w:rPr>
  </w:style>
  <w:style w:type="paragraph" w:customStyle="1" w:styleId="892">
    <w:name w:val="条目3"/>
    <w:basedOn w:val="32"/>
    <w:qFormat/>
    <w:uiPriority w:val="0"/>
    <w:pPr>
      <w:adjustRightInd/>
      <w:spacing w:line="360" w:lineRule="auto"/>
    </w:pPr>
    <w:rPr>
      <w:rFonts w:cs="Courier New"/>
      <w:snapToGrid/>
      <w:color w:val="000000"/>
      <w:sz w:val="24"/>
    </w:rPr>
  </w:style>
  <w:style w:type="paragraph" w:customStyle="1" w:styleId="893">
    <w:name w:val="标准段落"/>
    <w:basedOn w:val="1"/>
    <w:qFormat/>
    <w:uiPriority w:val="0"/>
    <w:pPr>
      <w:tabs>
        <w:tab w:val="left" w:pos="709"/>
      </w:tabs>
      <w:topLinePunct/>
      <w:autoSpaceDE w:val="0"/>
      <w:autoSpaceDN w:val="0"/>
      <w:spacing w:beforeLines="50" w:afterLines="50" w:line="360" w:lineRule="auto"/>
      <w:ind w:firstLine="640" w:firstLineChars="200"/>
      <w:jc w:val="left"/>
    </w:pPr>
    <w:rPr>
      <w:rFonts w:ascii="仿宋_GB2312" w:hAnsi="宋体" w:eastAsia="仿宋_GB2312" w:cs="Arial"/>
      <w:sz w:val="32"/>
      <w:szCs w:val="21"/>
      <w:lang w:bidi="th-TH"/>
    </w:rPr>
  </w:style>
  <w:style w:type="paragraph" w:customStyle="1" w:styleId="894">
    <w:name w:val="列出段落6"/>
    <w:basedOn w:val="1"/>
    <w:qFormat/>
    <w:uiPriority w:val="0"/>
    <w:pPr>
      <w:spacing w:line="360" w:lineRule="auto"/>
      <w:ind w:firstLine="420" w:firstLineChars="200"/>
    </w:pPr>
    <w:rPr>
      <w:rFonts w:ascii="Calibri" w:hAnsi="Calibri" w:eastAsia="宋体" w:cs="Times New Roman"/>
      <w:sz w:val="24"/>
    </w:rPr>
  </w:style>
  <w:style w:type="paragraph" w:customStyle="1" w:styleId="895">
    <w:name w:val="No Spacing1"/>
    <w:qFormat/>
    <w:uiPriority w:val="1"/>
    <w:pPr>
      <w:widowControl w:val="0"/>
      <w:jc w:val="both"/>
    </w:pPr>
    <w:rPr>
      <w:rFonts w:ascii="Calibri" w:hAnsi="Calibri" w:eastAsia="宋体" w:cs="Times New Roman"/>
      <w:kern w:val="2"/>
      <w:sz w:val="21"/>
      <w:szCs w:val="22"/>
      <w:lang w:val="en-US" w:eastAsia="zh-CN" w:bidi="ar-SA"/>
    </w:rPr>
  </w:style>
  <w:style w:type="character" w:customStyle="1" w:styleId="896">
    <w:name w:val="DN-正文 Char"/>
    <w:link w:val="897"/>
    <w:qFormat/>
    <w:locked/>
    <w:uiPriority w:val="0"/>
    <w:rPr>
      <w:rFonts w:ascii="Arial" w:hAnsi="Arial" w:cs="Arial"/>
      <w:szCs w:val="24"/>
    </w:rPr>
  </w:style>
  <w:style w:type="paragraph" w:customStyle="1" w:styleId="897">
    <w:name w:val="DN-正文"/>
    <w:basedOn w:val="16"/>
    <w:link w:val="896"/>
    <w:qFormat/>
    <w:uiPriority w:val="0"/>
    <w:pPr>
      <w:widowControl w:val="0"/>
      <w:adjustRightInd/>
      <w:spacing w:line="400" w:lineRule="exact"/>
      <w:ind w:firstLine="200" w:firstLineChars="200"/>
    </w:pPr>
    <w:rPr>
      <w:rFonts w:ascii="Arial" w:hAnsi="Arial" w:cs="Arial" w:eastAsiaTheme="minorEastAsia"/>
      <w:snapToGrid/>
      <w:color w:val="auto"/>
      <w:kern w:val="2"/>
      <w:sz w:val="21"/>
      <w:szCs w:val="24"/>
    </w:rPr>
  </w:style>
  <w:style w:type="paragraph" w:customStyle="1" w:styleId="898">
    <w:name w:val="Char Char1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899">
    <w:name w:val="文字列表"/>
    <w:basedOn w:val="60"/>
    <w:qFormat/>
    <w:uiPriority w:val="0"/>
    <w:pPr>
      <w:tabs>
        <w:tab w:val="left" w:pos="840"/>
      </w:tabs>
      <w:autoSpaceDE/>
      <w:autoSpaceDN/>
      <w:adjustRightInd/>
      <w:ind w:left="900" w:leftChars="200" w:hanging="432"/>
    </w:pPr>
    <w:rPr>
      <w:rFonts w:hAnsi="宋体" w:eastAsia="宋体" w:cs="Arial"/>
      <w:szCs w:val="24"/>
      <w:lang w:val="en-US"/>
    </w:rPr>
  </w:style>
  <w:style w:type="paragraph" w:customStyle="1" w:styleId="900">
    <w:name w:val="批注主题 Char Char"/>
    <w:basedOn w:val="21"/>
    <w:next w:val="21"/>
    <w:qFormat/>
    <w:uiPriority w:val="0"/>
    <w:pPr>
      <w:adjustRightInd/>
    </w:pPr>
    <w:rPr>
      <w:rFonts w:ascii="仿宋_GB2312"/>
      <w:b/>
      <w:bCs/>
      <w:sz w:val="32"/>
      <w:szCs w:val="32"/>
    </w:rPr>
  </w:style>
  <w:style w:type="character" w:customStyle="1" w:styleId="901">
    <w:name w:val="普通正文 Char Char"/>
    <w:link w:val="496"/>
    <w:qFormat/>
    <w:locked/>
    <w:uiPriority w:val="0"/>
    <w:rPr>
      <w:rFonts w:ascii="Arial" w:hAnsi="Arial" w:eastAsia="宋体" w:cs="Times New Roman"/>
      <w:kern w:val="0"/>
      <w:sz w:val="24"/>
      <w:szCs w:val="24"/>
    </w:rPr>
  </w:style>
  <w:style w:type="paragraph" w:customStyle="1" w:styleId="902">
    <w:name w:val="无间隔3"/>
    <w:qFormat/>
    <w:uiPriority w:val="0"/>
    <w:rPr>
      <w:rFonts w:ascii="Calibri" w:hAnsi="Calibri" w:eastAsia="宋体" w:cs="Times New Roman"/>
      <w:sz w:val="22"/>
      <w:szCs w:val="22"/>
      <w:lang w:val="en-US" w:eastAsia="en-US" w:bidi="ar-SA"/>
    </w:rPr>
  </w:style>
  <w:style w:type="character" w:customStyle="1" w:styleId="903">
    <w:name w:val="Body Text(ch) Char Char1"/>
    <w:qFormat/>
    <w:uiPriority w:val="0"/>
    <w:rPr>
      <w:rFonts w:hint="eastAsia" w:ascii="宋体" w:hAnsi="Arial" w:eastAsia="宋体" w:cs="Arial"/>
      <w:snapToGrid w:val="0"/>
      <w:kern w:val="2"/>
      <w:sz w:val="24"/>
      <w:szCs w:val="21"/>
      <w:lang w:val="zh-CN" w:eastAsia="zh-CN" w:bidi="ar-SA"/>
    </w:rPr>
  </w:style>
  <w:style w:type="character" w:customStyle="1" w:styleId="904">
    <w:name w:val="c1"/>
    <w:qFormat/>
    <w:uiPriority w:val="0"/>
    <w:rPr>
      <w:rFonts w:hint="eastAsia" w:ascii="仿宋_GB2312" w:hAnsi="Arial" w:eastAsia="宋体" w:cs="Arial"/>
      <w:b/>
      <w:snapToGrid w:val="0"/>
      <w:kern w:val="2"/>
      <w:sz w:val="21"/>
      <w:szCs w:val="21"/>
      <w:lang w:val="en-US" w:eastAsia="zh-CN" w:bidi="ar-SA"/>
    </w:rPr>
  </w:style>
  <w:style w:type="character" w:customStyle="1" w:styleId="905">
    <w:name w:val="H6 Char1"/>
    <w:qFormat/>
    <w:uiPriority w:val="0"/>
    <w:rPr>
      <w:rFonts w:hint="default" w:ascii="Arial" w:hAnsi="Arial" w:eastAsia="黑体" w:cs="Arial"/>
      <w:b/>
      <w:bCs/>
      <w:snapToGrid w:val="0"/>
      <w:kern w:val="2"/>
      <w:sz w:val="24"/>
      <w:szCs w:val="24"/>
      <w:lang w:val="en-US" w:eastAsia="zh-CN" w:bidi="ar-SA"/>
    </w:rPr>
  </w:style>
  <w:style w:type="character" w:customStyle="1" w:styleId="906">
    <w:name w:val="l151"/>
    <w:qFormat/>
    <w:uiPriority w:val="0"/>
    <w:rPr>
      <w:rFonts w:hint="eastAsia" w:ascii="仿宋_GB2312" w:hAnsi="Arial" w:eastAsia="宋体" w:cs="Arial"/>
      <w:b/>
      <w:snapToGrid w:val="0"/>
      <w:kern w:val="2"/>
      <w:sz w:val="24"/>
      <w:szCs w:val="24"/>
      <w:lang w:val="en-US" w:eastAsia="zh-CN" w:bidi="ar-SA"/>
    </w:rPr>
  </w:style>
  <w:style w:type="character" w:customStyle="1" w:styleId="907">
    <w:name w:val="Heading sql Char2"/>
    <w:qFormat/>
    <w:uiPriority w:val="0"/>
    <w:rPr>
      <w:rFonts w:hint="default" w:ascii="Arial" w:hAnsi="Arial" w:eastAsia="黑体" w:cs="Arial"/>
      <w:b/>
      <w:bCs/>
      <w:snapToGrid w:val="0"/>
      <w:kern w:val="2"/>
      <w:sz w:val="28"/>
      <w:szCs w:val="28"/>
      <w:lang w:val="zh-CN" w:eastAsia="zh-CN" w:bidi="ar-SA"/>
    </w:rPr>
  </w:style>
  <w:style w:type="character" w:customStyle="1" w:styleId="908">
    <w:name w:val="标题 8 Char1"/>
    <w:qFormat/>
    <w:uiPriority w:val="0"/>
    <w:rPr>
      <w:rFonts w:hint="default" w:ascii="Cambria" w:hAnsi="Cambria" w:eastAsia="宋体" w:cs="Times New Roman"/>
      <w:snapToGrid w:val="0"/>
      <w:kern w:val="2"/>
      <w:sz w:val="24"/>
      <w:szCs w:val="24"/>
    </w:rPr>
  </w:style>
  <w:style w:type="character" w:customStyle="1" w:styleId="909">
    <w:name w:val="标题 7 Char1"/>
    <w:qFormat/>
    <w:uiPriority w:val="0"/>
    <w:rPr>
      <w:rFonts w:hint="default" w:ascii="Times New Roman" w:hAnsi="Times New Roman" w:eastAsia="黑体" w:cs="Arial"/>
      <w:b/>
      <w:bCs/>
      <w:snapToGrid w:val="0"/>
      <w:kern w:val="2"/>
      <w:sz w:val="24"/>
      <w:szCs w:val="24"/>
    </w:rPr>
  </w:style>
  <w:style w:type="character" w:customStyle="1" w:styleId="910">
    <w:name w:val="表名 Char Char"/>
    <w:qFormat/>
    <w:uiPriority w:val="0"/>
    <w:rPr>
      <w:rFonts w:hint="default" w:ascii="Arial" w:hAnsi="Arial" w:eastAsia="宋体" w:cs="Arial"/>
      <w:b/>
      <w:bCs/>
      <w:snapToGrid w:val="0"/>
      <w:kern w:val="2"/>
      <w:sz w:val="24"/>
      <w:szCs w:val="24"/>
      <w:lang w:val="en-US" w:eastAsia="zh-CN" w:bidi="ar-SA"/>
    </w:rPr>
  </w:style>
  <w:style w:type="character" w:customStyle="1" w:styleId="911">
    <w:name w:val="标题 9 Char1"/>
    <w:qFormat/>
    <w:uiPriority w:val="0"/>
    <w:rPr>
      <w:rFonts w:hint="default" w:ascii="Cambria" w:hAnsi="Cambria" w:eastAsia="宋体" w:cs="Times New Roman"/>
      <w:snapToGrid w:val="0"/>
      <w:kern w:val="2"/>
      <w:sz w:val="21"/>
      <w:szCs w:val="21"/>
    </w:rPr>
  </w:style>
  <w:style w:type="character" w:customStyle="1" w:styleId="912">
    <w:name w:val="未用 Char Char"/>
    <w:qFormat/>
    <w:uiPriority w:val="0"/>
    <w:rPr>
      <w:rFonts w:hint="default" w:ascii="Arial" w:hAnsi="Arial" w:eastAsia="黑体" w:cs="Arial"/>
      <w:snapToGrid w:val="0"/>
      <w:kern w:val="2"/>
      <w:sz w:val="21"/>
      <w:szCs w:val="21"/>
      <w:lang w:val="en-US" w:eastAsia="zh-CN" w:bidi="ar-SA"/>
    </w:rPr>
  </w:style>
  <w:style w:type="character" w:customStyle="1" w:styleId="913">
    <w:name w:val="图名 Char Char"/>
    <w:qFormat/>
    <w:uiPriority w:val="0"/>
    <w:rPr>
      <w:rFonts w:hint="default" w:ascii="Arial" w:hAnsi="Arial" w:eastAsia="黑体" w:cs="Arial"/>
      <w:snapToGrid w:val="0"/>
      <w:kern w:val="2"/>
      <w:sz w:val="24"/>
      <w:szCs w:val="24"/>
      <w:lang w:val="en-US" w:eastAsia="zh-CN" w:bidi="ar-SA"/>
    </w:rPr>
  </w:style>
  <w:style w:type="character" w:customStyle="1" w:styleId="914">
    <w:name w:val="标题 3 Char1"/>
    <w:semiHidden/>
    <w:qFormat/>
    <w:locked/>
    <w:uiPriority w:val="0"/>
    <w:rPr>
      <w:rFonts w:ascii="Times New Roman" w:hAnsi="Times New Roman" w:eastAsia="宋体" w:cs="Times New Roman"/>
      <w:b/>
      <w:bCs/>
      <w:sz w:val="32"/>
      <w:szCs w:val="32"/>
    </w:rPr>
  </w:style>
  <w:style w:type="character" w:customStyle="1" w:styleId="915">
    <w:name w:val="标题 5 Char1"/>
    <w:qFormat/>
    <w:uiPriority w:val="0"/>
    <w:rPr>
      <w:rFonts w:hint="default" w:ascii="Times New Roman" w:hAnsi="Times New Roman" w:eastAsia="黑体" w:cs="Arial"/>
      <w:b/>
      <w:bCs/>
      <w:snapToGrid w:val="0"/>
      <w:kern w:val="2"/>
      <w:sz w:val="28"/>
      <w:szCs w:val="28"/>
    </w:rPr>
  </w:style>
  <w:style w:type="character" w:customStyle="1" w:styleId="916">
    <w:name w:val="未用 Char3"/>
    <w:qFormat/>
    <w:uiPriority w:val="0"/>
    <w:rPr>
      <w:rFonts w:hint="default" w:ascii="Arial" w:hAnsi="Arial" w:eastAsia="黑体" w:cs="Arial"/>
      <w:kern w:val="2"/>
      <w:sz w:val="21"/>
      <w:szCs w:val="21"/>
      <w:lang w:bidi="ar-SA"/>
    </w:rPr>
  </w:style>
  <w:style w:type="character" w:customStyle="1" w:styleId="917">
    <w:name w:val="PI Char3"/>
    <w:qFormat/>
    <w:uiPriority w:val="0"/>
    <w:rPr>
      <w:rFonts w:hint="eastAsia" w:ascii="宋体" w:hAnsi="宋体" w:eastAsia="宋体"/>
      <w:kern w:val="2"/>
      <w:sz w:val="24"/>
      <w:szCs w:val="24"/>
    </w:rPr>
  </w:style>
  <w:style w:type="character" w:customStyle="1" w:styleId="918">
    <w:name w:val="图名 Char3"/>
    <w:qFormat/>
    <w:uiPriority w:val="0"/>
    <w:rPr>
      <w:rFonts w:hint="default" w:ascii="Arial" w:hAnsi="Arial" w:eastAsia="黑体" w:cs="Arial"/>
      <w:kern w:val="2"/>
      <w:sz w:val="24"/>
      <w:szCs w:val="24"/>
      <w:lang w:bidi="ar-SA"/>
    </w:rPr>
  </w:style>
  <w:style w:type="character" w:customStyle="1" w:styleId="919">
    <w:name w:val="表名 Char3"/>
    <w:qFormat/>
    <w:uiPriority w:val="0"/>
    <w:rPr>
      <w:rFonts w:hint="eastAsia" w:ascii="宋体" w:hAnsi="宋体" w:eastAsia="宋体"/>
      <w:b/>
      <w:bCs/>
      <w:kern w:val="2"/>
      <w:sz w:val="24"/>
      <w:szCs w:val="24"/>
      <w:lang w:bidi="ar-SA"/>
    </w:rPr>
  </w:style>
  <w:style w:type="character" w:customStyle="1" w:styleId="920">
    <w:name w:val="Heading sql Char3"/>
    <w:qFormat/>
    <w:uiPriority w:val="0"/>
    <w:rPr>
      <w:rFonts w:hint="default" w:ascii="Arial" w:hAnsi="Arial" w:eastAsia="黑体" w:cs="Arial"/>
      <w:b/>
      <w:bCs/>
      <w:kern w:val="2"/>
      <w:sz w:val="28"/>
      <w:szCs w:val="28"/>
      <w:lang w:val="zh-CN" w:bidi="ar-SA"/>
    </w:rPr>
  </w:style>
  <w:style w:type="character" w:customStyle="1" w:styleId="921">
    <w:name w:val="H6 Char3"/>
    <w:qFormat/>
    <w:uiPriority w:val="0"/>
    <w:rPr>
      <w:rFonts w:hint="default" w:ascii="Arial" w:hAnsi="Arial" w:eastAsia="黑体" w:cs="Arial"/>
      <w:b/>
      <w:bCs/>
      <w:kern w:val="2"/>
      <w:sz w:val="24"/>
      <w:szCs w:val="24"/>
      <w:lang w:bidi="ar-SA"/>
    </w:rPr>
  </w:style>
  <w:style w:type="character" w:customStyle="1" w:styleId="922">
    <w:name w:val="正文首行缩进 Char Char"/>
    <w:qFormat/>
    <w:uiPriority w:val="0"/>
    <w:rPr>
      <w:rFonts w:hint="eastAsia" w:ascii="宋体" w:hAnsi="宋体" w:eastAsia="宋体"/>
      <w:kern w:val="2"/>
      <w:sz w:val="21"/>
      <w:szCs w:val="24"/>
      <w:lang w:val="en-US" w:eastAsia="zh-CN" w:bidi="ar-SA"/>
    </w:rPr>
  </w:style>
  <w:style w:type="character" w:customStyle="1" w:styleId="923">
    <w:name w:val="签名 Char Char"/>
    <w:qFormat/>
    <w:uiPriority w:val="0"/>
    <w:rPr>
      <w:rFonts w:hint="default" w:ascii="Arial" w:hAnsi="Arial" w:eastAsia="宋体" w:cs="Arial"/>
      <w:snapToGrid w:val="0"/>
      <w:kern w:val="0"/>
      <w:szCs w:val="24"/>
      <w:lang w:bidi="ar-SA"/>
    </w:rPr>
  </w:style>
  <w:style w:type="character" w:customStyle="1" w:styleId="924">
    <w:name w:val="正文(首行缩进) Char Char"/>
    <w:qFormat/>
    <w:uiPriority w:val="0"/>
    <w:rPr>
      <w:rFonts w:hint="default" w:ascii="Arial" w:hAnsi="Arial" w:eastAsia="宋体" w:cs="Arial"/>
      <w:snapToGrid w:val="0"/>
      <w:kern w:val="2"/>
      <w:sz w:val="21"/>
      <w:szCs w:val="24"/>
      <w:lang w:val="en-US" w:eastAsia="zh-CN" w:bidi="ar-SA"/>
    </w:rPr>
  </w:style>
  <w:style w:type="character" w:customStyle="1" w:styleId="925">
    <w:name w:val="DN-正文 Char Char"/>
    <w:qFormat/>
    <w:uiPriority w:val="0"/>
    <w:rPr>
      <w:rFonts w:hint="default" w:ascii="Arial" w:hAnsi="Arial" w:eastAsia="宋体" w:cs="Arial"/>
      <w:snapToGrid w:val="0"/>
      <w:kern w:val="2"/>
      <w:sz w:val="21"/>
      <w:szCs w:val="24"/>
      <w:lang w:val="en-US" w:eastAsia="zh-CN" w:bidi="ar-SA"/>
    </w:rPr>
  </w:style>
  <w:style w:type="character" w:customStyle="1" w:styleId="926">
    <w:name w:val="称呼 Char Char"/>
    <w:qFormat/>
    <w:uiPriority w:val="0"/>
    <w:rPr>
      <w:rFonts w:hint="default" w:ascii="Arial" w:hAnsi="Arial" w:eastAsia="宋体" w:cs="Arial"/>
      <w:b/>
      <w:bCs/>
      <w:snapToGrid w:val="0"/>
      <w:kern w:val="0"/>
      <w:szCs w:val="24"/>
      <w:lang w:bidi="ar-SA"/>
    </w:rPr>
  </w:style>
  <w:style w:type="character" w:customStyle="1" w:styleId="927">
    <w:name w:val="正文文本缩进 Char3"/>
    <w:basedOn w:val="69"/>
    <w:semiHidden/>
    <w:qFormat/>
    <w:uiPriority w:val="99"/>
    <w:rPr>
      <w:rFonts w:hint="default" w:ascii="Arial" w:hAnsi="Arial" w:eastAsia="黑体" w:cs="Arial"/>
      <w:snapToGrid w:val="0"/>
      <w:kern w:val="2"/>
      <w:sz w:val="21"/>
      <w:szCs w:val="24"/>
    </w:rPr>
  </w:style>
  <w:style w:type="character" w:customStyle="1" w:styleId="928">
    <w:name w:val="正文文本 Char3"/>
    <w:basedOn w:val="69"/>
    <w:semiHidden/>
    <w:qFormat/>
    <w:uiPriority w:val="99"/>
    <w:rPr>
      <w:rFonts w:hint="default" w:ascii="Arial" w:hAnsi="Arial" w:eastAsia="黑体" w:cs="Arial"/>
      <w:snapToGrid w:val="0"/>
      <w:kern w:val="2"/>
      <w:sz w:val="21"/>
      <w:szCs w:val="24"/>
    </w:rPr>
  </w:style>
  <w:style w:type="character" w:customStyle="1" w:styleId="929">
    <w:name w:val="标题 Char2"/>
    <w:basedOn w:val="69"/>
    <w:qFormat/>
    <w:uiPriority w:val="10"/>
    <w:rPr>
      <w:rFonts w:hint="default" w:eastAsia="黑体" w:asciiTheme="majorHAnsi" w:hAnsiTheme="majorHAnsi" w:cstheme="majorBidi"/>
      <w:b/>
      <w:bCs/>
      <w:snapToGrid w:val="0"/>
      <w:kern w:val="2"/>
      <w:sz w:val="32"/>
      <w:szCs w:val="32"/>
    </w:rPr>
  </w:style>
  <w:style w:type="paragraph" w:customStyle="1" w:styleId="930">
    <w:name w:val="_Style 657"/>
    <w:basedOn w:val="1"/>
    <w:qFormat/>
    <w:uiPriority w:val="0"/>
    <w:pPr>
      <w:snapToGrid w:val="0"/>
      <w:spacing w:line="360" w:lineRule="auto"/>
    </w:pPr>
    <w:rPr>
      <w:rFonts w:ascii="Arial" w:hAnsi="Arial" w:eastAsia="黑体" w:cs="Times New Roman"/>
      <w:snapToGrid w:val="0"/>
      <w:kern w:val="0"/>
      <w:sz w:val="20"/>
      <w:szCs w:val="21"/>
    </w:rPr>
  </w:style>
  <w:style w:type="paragraph" w:customStyle="1" w:styleId="931">
    <w:name w:val="修订3"/>
    <w:hidden/>
    <w:unhideWhenUsed/>
    <w:qFormat/>
    <w:uiPriority w:val="99"/>
    <w:rPr>
      <w:rFonts w:ascii="Times New Roman" w:hAnsi="Times New Roman" w:eastAsia="宋体" w:cs="Times New Roman"/>
      <w:kern w:val="2"/>
      <w:sz w:val="21"/>
      <w:szCs w:val="24"/>
      <w:lang w:val="en-US" w:eastAsia="zh-CN" w:bidi="ar-SA"/>
    </w:rPr>
  </w:style>
  <w:style w:type="paragraph" w:customStyle="1" w:styleId="932">
    <w:name w:val="[Normal]"/>
    <w:qFormat/>
    <w:uiPriority w:val="0"/>
    <w:rPr>
      <w:rFonts w:ascii="宋体" w:hAnsi="宋体" w:eastAsia="宋体" w:cs="Times New Roman"/>
      <w:sz w:val="24"/>
      <w:szCs w:val="22"/>
      <w:lang w:val="zh-CN" w:eastAsia="zh-CN" w:bidi="ar-SA"/>
    </w:rPr>
  </w:style>
  <w:style w:type="paragraph" w:customStyle="1" w:styleId="933">
    <w:name w:val="小标题4级"/>
    <w:basedOn w:val="531"/>
    <w:qFormat/>
    <w:uiPriority w:val="0"/>
    <w:pPr>
      <w:numPr>
        <w:ilvl w:val="0"/>
        <w:numId w:val="9"/>
      </w:numPr>
      <w:ind w:firstLine="480"/>
    </w:pPr>
    <w:rPr>
      <w:rFonts w:ascii="Calibri" w:hAnsi="Calibri" w:eastAsia="宋体" w:cs="Times New Roman"/>
      <w:sz w:val="21"/>
    </w:rPr>
  </w:style>
  <w:style w:type="paragraph" w:customStyle="1" w:styleId="934">
    <w:name w:val="小标题3级"/>
    <w:basedOn w:val="531"/>
    <w:qFormat/>
    <w:uiPriority w:val="0"/>
    <w:pPr>
      <w:numPr>
        <w:ilvl w:val="0"/>
        <w:numId w:val="10"/>
      </w:numPr>
      <w:tabs>
        <w:tab w:val="left" w:pos="240"/>
      </w:tabs>
      <w:ind w:firstLine="0" w:firstLineChars="0"/>
    </w:pPr>
    <w:rPr>
      <w:bCs/>
    </w:rPr>
  </w:style>
  <w:style w:type="paragraph" w:customStyle="1" w:styleId="935">
    <w:name w:val="表-图"/>
    <w:basedOn w:val="1"/>
    <w:qFormat/>
    <w:uiPriority w:val="0"/>
    <w:pPr>
      <w:ind w:firstLine="0" w:firstLineChars="0"/>
      <w:jc w:val="center"/>
    </w:pPr>
    <w:rPr>
      <w:iCs/>
      <w:snapToGrid w:val="0"/>
      <w:szCs w:val="21"/>
    </w:rPr>
  </w:style>
  <w:style w:type="paragraph" w:customStyle="1" w:styleId="936">
    <w:name w:val="C503-正文格式"/>
    <w:basedOn w:val="1"/>
    <w:qFormat/>
    <w:uiPriority w:val="0"/>
    <w:pPr>
      <w:ind w:firstLine="480"/>
    </w:pPr>
    <w:rPr>
      <w:rFonts w:ascii="Times New Roman" w:hAnsi="Times New Roman" w:cs="宋体"/>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customXml" Target="../customXml/item2.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5.png"/><Relationship Id="rId26" Type="http://schemas.openxmlformats.org/officeDocument/2006/relationships/image" Target="media/image4.png"/><Relationship Id="rId25" Type="http://schemas.openxmlformats.org/officeDocument/2006/relationships/image" Target="media/image3.png"/><Relationship Id="rId24" Type="http://schemas.openxmlformats.org/officeDocument/2006/relationships/image" Target="media/image2.jpeg"/><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86B8738-B03B-413D-B900-FEE6809823C5}">
  <ds:schemaRefs/>
</ds:datastoreItem>
</file>

<file path=docProps/app.xml><?xml version="1.0" encoding="utf-8"?>
<Properties xmlns="http://schemas.openxmlformats.org/officeDocument/2006/extended-properties" xmlns:vt="http://schemas.openxmlformats.org/officeDocument/2006/docPropsVTypes">
  <Template>Normal.dotm</Template>
  <Pages>75</Pages>
  <Words>6831</Words>
  <Characters>38942</Characters>
  <Lines>324</Lines>
  <Paragraphs>91</Paragraphs>
  <TotalTime>60</TotalTime>
  <ScaleCrop>false</ScaleCrop>
  <LinksUpToDate>false</LinksUpToDate>
  <CharactersWithSpaces>45682</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2021-03-04T02:54:00Z</dcterms:created>
  <dc:creator>mb</dc:creator>
  <cp:lastModifiedBy>Administrator</cp:lastModifiedBy>
  <dcterms:modified xsi:type="dcterms:W3CDTF">2021-11-04T08:47:35Z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F0D3B767158F4509A37E4175EB2E56E9</vt:lpwstr>
  </property>
</Properties>
</file>