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spacing w:line="360" w:lineRule="auto"/>
        <w:jc w:val="center"/>
        <w:rPr>
          <w:rFonts w:hint="eastAsia" w:ascii="仿宋_GB2312" w:hAnsi="仿宋" w:eastAsia="仿宋_GB2312" w:cs="仿宋_GB2312"/>
          <w:sz w:val="48"/>
          <w:szCs w:val="48"/>
        </w:rPr>
      </w:pPr>
      <w:r>
        <w:rPr>
          <w:rFonts w:hint="eastAsia" w:ascii="仿宋_GB2312" w:hAnsi="仿宋" w:eastAsia="仿宋_GB2312" w:cs="仿宋_GB2312"/>
          <w:sz w:val="48"/>
          <w:szCs w:val="48"/>
        </w:rPr>
        <w:t>杭州市临安区数据中心GPU和网闸采购集成建设项目</w:t>
      </w:r>
    </w:p>
    <w:p>
      <w:pPr>
        <w:spacing w:line="360" w:lineRule="auto"/>
        <w:jc w:val="center"/>
        <w:rPr>
          <w:rFonts w:ascii="仿宋_GB2312" w:hAnsi="仿宋" w:eastAsia="仿宋_GB2312" w:cs="仿宋_GB2312"/>
          <w:b/>
          <w:sz w:val="72"/>
          <w:szCs w:val="72"/>
        </w:rPr>
      </w:pPr>
      <w:r>
        <w:rPr>
          <w:rFonts w:hint="eastAsia" w:ascii="仿宋_GB2312" w:hAnsi="仿宋" w:eastAsia="仿宋_GB2312" w:cs="仿宋_GB2312"/>
          <w:b/>
          <w:sz w:val="72"/>
          <w:szCs w:val="72"/>
        </w:rPr>
        <w:t>招标文件</w:t>
      </w:r>
    </w:p>
    <w:p>
      <w:pPr>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（电子招投标）</w:t>
      </w:r>
    </w:p>
    <w:p>
      <w:pPr>
        <w:adjustRightInd w:val="0"/>
        <w:spacing w:line="360" w:lineRule="auto"/>
        <w:jc w:val="center"/>
        <w:rPr>
          <w:rFonts w:ascii="仿宋_GB2312" w:hAnsi="仿宋" w:eastAsia="仿宋_GB2312" w:cs="仿宋_GB2312"/>
          <w:b/>
          <w:sz w:val="24"/>
          <w:szCs w:val="24"/>
        </w:rPr>
      </w:pPr>
    </w:p>
    <w:p>
      <w:pPr>
        <w:adjustRightInd w:val="0"/>
        <w:snapToGrid w:val="0"/>
        <w:spacing w:line="360" w:lineRule="auto"/>
        <w:jc w:val="center"/>
        <w:rPr>
          <w:rFonts w:hint="default" w:ascii="仿宋_GB2312" w:hAnsi="仿宋" w:eastAsia="仿宋_GB2312" w:cs="仿宋_GB2312"/>
          <w:sz w:val="30"/>
          <w:szCs w:val="30"/>
          <w:lang w:val="en-US" w:eastAsia="zh-CN"/>
        </w:rPr>
      </w:pPr>
      <w:r>
        <w:rPr>
          <w:rFonts w:hint="eastAsia" w:ascii="仿宋_GB2312" w:hAnsi="仿宋" w:eastAsia="仿宋_GB2312" w:cs="仿宋_GB2312"/>
          <w:sz w:val="30"/>
          <w:szCs w:val="30"/>
        </w:rPr>
        <w:t>编号:</w:t>
      </w:r>
      <w:r>
        <w:rPr>
          <w:rFonts w:hint="eastAsia" w:ascii="仿宋_GB2312" w:hAnsi="仿宋" w:eastAsia="仿宋_GB2312" w:cs="仿宋_GB2312"/>
          <w:sz w:val="30"/>
          <w:szCs w:val="30"/>
          <w:lang w:val="en-US" w:eastAsia="zh-CN"/>
        </w:rPr>
        <w:t>LZC</w:t>
      </w:r>
      <w:r>
        <w:rPr>
          <w:rFonts w:hint="eastAsia" w:ascii="仿宋_GB2312" w:hAnsi="仿宋" w:eastAsia="仿宋_GB2312" w:cs="仿宋_GB2312"/>
          <w:sz w:val="30"/>
          <w:szCs w:val="30"/>
        </w:rPr>
        <w:t>-</w:t>
      </w:r>
      <w:r>
        <w:rPr>
          <w:rFonts w:hint="eastAsia" w:ascii="仿宋_GB2312" w:hAnsi="仿宋" w:eastAsia="仿宋_GB2312" w:cs="仿宋_GB2312"/>
          <w:sz w:val="30"/>
          <w:szCs w:val="30"/>
          <w:lang w:val="en-US" w:eastAsia="zh-CN"/>
        </w:rPr>
        <w:t>GK-</w:t>
      </w:r>
      <w:r>
        <w:rPr>
          <w:rFonts w:hint="eastAsia" w:ascii="仿宋_GB2312" w:hAnsi="仿宋" w:eastAsia="仿宋_GB2312" w:cs="仿宋_GB2312"/>
          <w:sz w:val="30"/>
          <w:szCs w:val="30"/>
        </w:rPr>
        <w:t>2021-</w:t>
      </w:r>
      <w:r>
        <w:rPr>
          <w:rFonts w:hint="eastAsia" w:ascii="仿宋_GB2312" w:hAnsi="仿宋" w:eastAsia="仿宋_GB2312" w:cs="仿宋_GB2312"/>
          <w:sz w:val="30"/>
          <w:szCs w:val="30"/>
          <w:lang w:val="en-US" w:eastAsia="zh-CN"/>
        </w:rPr>
        <w:t>11086</w:t>
      </w: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rPr>
      </w:pPr>
      <w:r>
        <w:rPr>
          <w:rFonts w:hint="eastAsia" w:ascii="仿宋_GB2312" w:hAnsi="仿宋" w:eastAsia="仿宋_GB2312" w:cs="仿宋_GB2312"/>
          <w:bCs/>
          <w:sz w:val="32"/>
          <w:szCs w:val="32"/>
        </w:rPr>
        <w:t>杭州市临安区数据资源管理局</w:t>
      </w:r>
    </w:p>
    <w:p>
      <w:pPr>
        <w:adjustRightInd w:val="0"/>
        <w:spacing w:line="360" w:lineRule="auto"/>
        <w:jc w:val="center"/>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杭州市公共资源交易中心</w:t>
      </w:r>
      <w:r>
        <w:rPr>
          <w:rFonts w:hint="eastAsia" w:ascii="仿宋_GB2312" w:hAnsi="仿宋" w:eastAsia="仿宋_GB2312" w:cs="仿宋_GB2312"/>
          <w:bCs/>
          <w:sz w:val="32"/>
          <w:szCs w:val="32"/>
          <w:lang w:eastAsia="zh-CN"/>
        </w:rPr>
        <w:t>临安分中心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宋体" w:hAnsi="宋体" w:eastAsia="宋体" w:cs="宋体"/>
          <w:bCs/>
          <w:sz w:val="32"/>
          <w:szCs w:val="32"/>
        </w:rPr>
        <w:t>〇</w:t>
      </w:r>
      <w:r>
        <w:rPr>
          <w:rFonts w:hint="eastAsia" w:ascii="仿宋_GB2312" w:hAnsi="仿宋" w:eastAsia="仿宋_GB2312" w:cs="仿宋_GB2312"/>
          <w:bCs/>
          <w:sz w:val="32"/>
          <w:szCs w:val="32"/>
        </w:rPr>
        <w:t>二</w:t>
      </w:r>
      <w:r>
        <w:rPr>
          <w:rFonts w:hint="eastAsia" w:ascii="宋体" w:hAnsi="宋体" w:eastAsia="宋体" w:cs="宋体"/>
          <w:bCs/>
          <w:sz w:val="32"/>
          <w:szCs w:val="32"/>
        </w:rPr>
        <w:t>一</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eastAsia="zh-CN"/>
        </w:rPr>
        <w:t>十一</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eastAsia="zh-CN"/>
        </w:rPr>
        <w:t>八</w:t>
      </w:r>
      <w:r>
        <w:rPr>
          <w:rFonts w:hint="eastAsia" w:ascii="仿宋_GB2312" w:hAnsi="仿宋" w:eastAsia="仿宋_GB2312" w:cs="仿宋_GB2312"/>
          <w:bCs/>
          <w:sz w:val="32"/>
          <w:szCs w:val="32"/>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sz w:val="24"/>
          <w:szCs w:val="24"/>
        </w:rPr>
        <w:t>.</w:t>
      </w:r>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评标方法及评分标准</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杭州市临安区数据中心GPU和网闸采购集成建设项目招标项目的潜在投标人应在政采云平台（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仿宋_GB2312" w:hAnsi="仿宋" w:eastAsia="仿宋_GB2312" w:cs="Times New Roman"/>
          <w:sz w:val="24"/>
          <w:szCs w:val="24"/>
          <w:highlight w:val="none"/>
        </w:rPr>
        <w:t>https://www.zcygov.cn/）获取（下载）招标文件，并于2021年</w:t>
      </w:r>
      <w:r>
        <w:rPr>
          <w:rFonts w:hint="eastAsia" w:ascii="仿宋_GB2312" w:hAnsi="仿宋" w:eastAsia="仿宋_GB2312" w:cs="Times New Roman"/>
          <w:sz w:val="24"/>
          <w:szCs w:val="24"/>
          <w:highlight w:val="none"/>
        </w:rPr>
        <w:fldChar w:fldCharType="end"/>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日</w:t>
      </w:r>
      <w:r>
        <w:rPr>
          <w:rFonts w:hint="eastAsia" w:ascii="仿宋_GB2312" w:hAnsi="仿宋" w:eastAsia="仿宋_GB2312" w:cs="Times New Roman"/>
          <w:sz w:val="24"/>
          <w:szCs w:val="24"/>
          <w:highlight w:val="none"/>
          <w:lang w:val="en-US" w:eastAsia="zh-CN"/>
        </w:rPr>
        <w:t>13</w:t>
      </w:r>
      <w:r>
        <w:rPr>
          <w:rFonts w:hint="eastAsia" w:ascii="仿宋_GB2312" w:hAnsi="仿宋" w:eastAsia="仿宋_GB2312" w:cs="Times New Roman"/>
          <w:sz w:val="24"/>
          <w:szCs w:val="24"/>
          <w:highlight w:val="none"/>
        </w:rPr>
        <w:t>点</w:t>
      </w:r>
      <w:r>
        <w:rPr>
          <w:rFonts w:hint="eastAsia" w:ascii="仿宋_GB2312" w:hAnsi="仿宋" w:eastAsia="仿宋_GB2312" w:cs="Times New Roman"/>
          <w:sz w:val="24"/>
          <w:szCs w:val="24"/>
          <w:highlight w:val="none"/>
          <w:lang w:val="en-US" w:eastAsia="zh-CN"/>
        </w:rPr>
        <w:t>30</w:t>
      </w:r>
      <w:r>
        <w:rPr>
          <w:rFonts w:hint="eastAsia" w:ascii="仿宋_GB2312" w:hAnsi="仿宋" w:eastAsia="仿宋_GB2312" w:cs="Times New Roman"/>
          <w:sz w:val="24"/>
          <w:szCs w:val="24"/>
          <w:highlight w:val="none"/>
        </w:rPr>
        <w:t>分00</w:t>
      </w:r>
      <w:r>
        <w:rPr>
          <w:rFonts w:hint="eastAsia" w:ascii="仿宋_GB2312" w:hAnsi="仿宋" w:eastAsia="仿宋_GB2312" w:cs="Times New Roman"/>
          <w:sz w:val="24"/>
          <w:szCs w:val="24"/>
        </w:rPr>
        <w:t xml:space="preserve">秒（北京时间）前递交（上传）投标文件。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ascii="仿宋_GB2312" w:hAnsi="仿宋" w:eastAsia="仿宋_GB2312" w:cs="Times New Roman"/>
          <w:b w:val="0"/>
          <w:bCs/>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b w:val="0"/>
          <w:bCs/>
          <w:sz w:val="24"/>
          <w:szCs w:val="24"/>
          <w:lang w:val="en-US" w:eastAsia="zh-CN"/>
        </w:rPr>
        <w:t>LZC</w:t>
      </w:r>
      <w:r>
        <w:rPr>
          <w:rFonts w:hint="eastAsia" w:ascii="仿宋_GB2312" w:hAnsi="仿宋" w:eastAsia="仿宋_GB2312" w:cs="Times New Roman"/>
          <w:b w:val="0"/>
          <w:bCs/>
          <w:sz w:val="24"/>
          <w:szCs w:val="24"/>
        </w:rPr>
        <w:t>-</w:t>
      </w:r>
      <w:r>
        <w:rPr>
          <w:rFonts w:hint="eastAsia" w:ascii="仿宋_GB2312" w:hAnsi="仿宋" w:eastAsia="仿宋_GB2312" w:cs="Times New Roman"/>
          <w:b w:val="0"/>
          <w:bCs/>
          <w:sz w:val="24"/>
          <w:szCs w:val="24"/>
          <w:lang w:val="en-US" w:eastAsia="zh-CN"/>
        </w:rPr>
        <w:t>GK-</w:t>
      </w:r>
      <w:r>
        <w:rPr>
          <w:rFonts w:hint="eastAsia" w:ascii="仿宋_GB2312" w:hAnsi="仿宋" w:eastAsia="仿宋_GB2312" w:cs="Times New Roman"/>
          <w:b w:val="0"/>
          <w:bCs/>
          <w:sz w:val="24"/>
          <w:szCs w:val="24"/>
        </w:rPr>
        <w:t>2021-</w:t>
      </w:r>
      <w:r>
        <w:rPr>
          <w:rFonts w:hint="eastAsia" w:ascii="仿宋_GB2312" w:hAnsi="仿宋" w:eastAsia="仿宋_GB2312" w:cs="Times New Roman"/>
          <w:b w:val="0"/>
          <w:bCs/>
          <w:sz w:val="24"/>
          <w:szCs w:val="24"/>
          <w:lang w:val="en-US" w:eastAsia="zh-CN"/>
        </w:rPr>
        <w:t>11086</w:t>
      </w:r>
    </w:p>
    <w:p>
      <w:pPr>
        <w:adjustRightInd w:val="0"/>
        <w:spacing w:line="360" w:lineRule="auto"/>
        <w:rPr>
          <w:rFonts w:ascii="仿宋_GB2312" w:hAnsi="仿宋" w:eastAsia="仿宋_GB2312" w:cs="Times New Roman"/>
          <w:b w:val="0"/>
          <w:bCs/>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rPr>
        <w:t>杭州市临安区数据中心GPU和网闸采购集成建设项目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1150000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Times New Roman"/>
          <w:b/>
          <w:sz w:val="24"/>
          <w:szCs w:val="24"/>
          <w:lang w:val="en-US" w:eastAsia="zh-CN"/>
        </w:rPr>
        <w:t>1150000</w:t>
      </w:r>
      <w:r>
        <w:rPr>
          <w:rFonts w:hint="eastAsia" w:ascii="仿宋_GB2312" w:hAnsi="仿宋" w:eastAsia="仿宋_GB2312" w:cs="Times New Roman"/>
          <w:sz w:val="24"/>
          <w:szCs w:val="24"/>
        </w:rPr>
        <w:t xml:space="preserve"> </w:t>
      </w:r>
    </w:p>
    <w:p>
      <w:pPr>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采购需求：</w:t>
      </w:r>
      <w:r>
        <w:rPr>
          <w:rFonts w:hint="eastAsia" w:ascii="FangSong_GB2312" w:hAnsi="FangSong_GB2312" w:eastAsia="FangSong_GB2312" w:cs="FangSong_GB2312"/>
          <w:sz w:val="24"/>
          <w:szCs w:val="24"/>
        </w:rPr>
        <w:t>在保证业务稳定、高性能的基础上，增加GPU资源承载能力，全面提高网络边界的政务数据安全交换能力，重点加强项目方案可实施性，易运维管理性，提升方案实施和日常运维效率。</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备注：无</w:t>
      </w:r>
      <w:r>
        <w:rPr>
          <w:rFonts w:hint="eastAsia" w:ascii="仿宋_GB2312" w:hAnsi="Times New Roman" w:eastAsia="仿宋_GB2312" w:cs="Times New Roman"/>
          <w:sz w:val="24"/>
          <w:szCs w:val="24"/>
        </w:rPr>
        <w:t xml:space="preserve"> </w:t>
      </w:r>
    </w:p>
    <w:p>
      <w:pPr>
        <w:adjustRightInd w:val="0"/>
        <w:spacing w:line="360" w:lineRule="auto"/>
        <w:rPr>
          <w:rFonts w:ascii="仿宋_GB2312" w:hAnsi="Times New Roman" w:eastAsia="仿宋_GB2312" w:cs="Times New Roman"/>
          <w:b w:val="0"/>
          <w:bCs/>
          <w:sz w:val="24"/>
          <w:szCs w:val="24"/>
          <w:highlight w:val="none"/>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w:t>
      </w:r>
      <w:r>
        <w:rPr>
          <w:rFonts w:hint="eastAsia" w:ascii="仿宋_GB2312" w:hAnsi="仿宋" w:eastAsia="仿宋_GB2312" w:cs="Times New Roman"/>
          <w:b/>
          <w:sz w:val="24"/>
          <w:szCs w:val="24"/>
          <w:highlight w:val="none"/>
        </w:rPr>
        <w:t>同履约期限：</w:t>
      </w:r>
      <w:r>
        <w:rPr>
          <w:rFonts w:hint="eastAsia" w:ascii="仿宋_GB2312" w:hAnsi="仿宋" w:eastAsia="仿宋_GB2312" w:cs="Times New Roman"/>
          <w:b w:val="0"/>
          <w:bCs/>
          <w:sz w:val="24"/>
          <w:szCs w:val="24"/>
          <w:highlight w:val="none"/>
        </w:rPr>
        <w:t>建设总工期4个月，项目建设1个月，试运行3个月</w:t>
      </w:r>
      <w:r>
        <w:rPr>
          <w:rFonts w:hint="eastAsia" w:ascii="仿宋_GB2312" w:hAnsi="仿宋" w:eastAsia="仿宋_GB2312" w:cs="Times New Roman"/>
          <w:b w:val="0"/>
          <w:bCs/>
          <w:sz w:val="24"/>
          <w:szCs w:val="24"/>
          <w:highlight w:val="none"/>
          <w:lang w:eastAsia="zh-CN"/>
        </w:rPr>
        <w:t>。</w:t>
      </w:r>
      <w:r>
        <w:rPr>
          <w:rFonts w:hint="eastAsia" w:ascii="仿宋_GB2312" w:hAnsi="Times New Roman" w:eastAsia="仿宋_GB2312" w:cs="Times New Roman"/>
          <w:b w:val="0"/>
          <w:bCs/>
          <w:sz w:val="24"/>
          <w:szCs w:val="24"/>
          <w:highlight w:val="none"/>
        </w:rPr>
        <w:t xml:space="preserve"> </w:t>
      </w:r>
    </w:p>
    <w:p>
      <w:pPr>
        <w:adjustRightInd w:val="0"/>
        <w:spacing w:line="360" w:lineRule="auto"/>
        <w:ind w:firstLine="480"/>
        <w:rPr>
          <w:rFonts w:ascii="仿宋_GB2312" w:hAnsi="仿宋" w:eastAsia="仿宋_GB2312" w:cs="Times New Roman"/>
          <w:b/>
          <w:sz w:val="24"/>
          <w:szCs w:val="24"/>
        </w:rPr>
      </w:pPr>
      <w:r>
        <w:rPr>
          <w:rFonts w:hint="eastAsia" w:ascii="仿宋_GB2312" w:hAnsi="仿宋" w:eastAsia="仿宋_GB2312" w:cs="Times New Roman"/>
          <w:b/>
          <w:sz w:val="24"/>
          <w:szCs w:val="24"/>
          <w:highlight w:val="none"/>
        </w:rPr>
        <w:t>本项目（否）接受</w:t>
      </w:r>
      <w:r>
        <w:rPr>
          <w:rFonts w:hint="eastAsia" w:ascii="仿宋_GB2312" w:hAnsi="仿宋" w:eastAsia="仿宋_GB2312" w:cs="Times New Roman"/>
          <w:b/>
          <w:sz w:val="24"/>
          <w:szCs w:val="24"/>
        </w:rPr>
        <w:t>联合体投标。</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1.满足《中华人民共和国政府采购法》第二十二条规定；</w:t>
      </w:r>
    </w:p>
    <w:p>
      <w:pPr>
        <w:adjustRightInd w:val="0"/>
        <w:spacing w:line="360" w:lineRule="auto"/>
        <w:ind w:firstLine="480" w:firstLineChars="200"/>
        <w:rPr>
          <w:rFonts w:hint="eastAsia" w:ascii="仿宋_GB2312" w:hAnsi="仿宋" w:eastAsia="仿宋_GB2312" w:cs="Times New Roman"/>
          <w:b/>
          <w:bCs/>
          <w:color w:val="auto"/>
          <w:sz w:val="24"/>
          <w:szCs w:val="24"/>
          <w:u w:val="single"/>
        </w:rPr>
      </w:pPr>
      <w:r>
        <w:rPr>
          <w:rFonts w:hint="eastAsia" w:ascii="仿宋_GB2312" w:hAnsi="仿宋" w:eastAsia="仿宋_GB2312" w:cs="Times New Roman"/>
          <w:sz w:val="24"/>
          <w:szCs w:val="24"/>
        </w:rPr>
        <w:t>2.落实政府采购政策需满足的资格要求：</w:t>
      </w:r>
      <w:r>
        <w:rPr>
          <w:rFonts w:hint="eastAsia" w:ascii="仿宋_GB2312" w:hAnsi="仿宋" w:eastAsia="仿宋_GB2312" w:cs="Times New Roman"/>
          <w:b/>
          <w:bCs/>
          <w:color w:val="auto"/>
          <w:sz w:val="24"/>
          <w:szCs w:val="24"/>
          <w:u w:val="single"/>
        </w:rPr>
        <w:t>专门面向中小企业，服务全部由符合政策要求的中小企业承接，提供中小企业声明函；</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3.本项目的特定资格要求：无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以联合体形式投标的，提供联合体协议；本项目不接受联合体投标或者投标人不以联合体形式投标的，则不需要提供。</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三、获取招标文</w:t>
      </w:r>
      <w:r>
        <w:rPr>
          <w:rFonts w:hint="eastAsia" w:ascii="仿宋_GB2312" w:hAnsi="仿宋" w:eastAsia="仿宋_GB2312" w:cs="Times New Roman"/>
          <w:b/>
          <w:sz w:val="24"/>
          <w:szCs w:val="24"/>
          <w:highlight w:val="none"/>
        </w:rPr>
        <w:t xml:space="preserve">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/至2021年</w:t>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日 ，每天上</w:t>
      </w:r>
      <w:r>
        <w:rPr>
          <w:rFonts w:hint="eastAsia" w:ascii="仿宋_GB2312" w:hAnsi="仿宋" w:eastAsia="仿宋_GB2312" w:cs="Times New Roman"/>
          <w:sz w:val="24"/>
          <w:szCs w:val="24"/>
        </w:rPr>
        <w:t>午00:00至12:00 ，下午12:00至23:59（北京时间，线上获取法定节假日均可，线下获取文件法定节假日除外）</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地点（网址）：</w:t>
      </w:r>
      <w:r>
        <w:rPr>
          <w:rFonts w:hint="eastAsia" w:ascii="仿宋_GB2312" w:hAnsi="仿宋" w:eastAsia="仿宋_GB2312" w:cs="Times New Roman"/>
          <w:b w:val="0"/>
          <w:bCs/>
          <w:sz w:val="24"/>
          <w:szCs w:val="24"/>
          <w:lang w:eastAsia="zh-CN"/>
        </w:rPr>
        <w:t>浙江政府采购网</w:t>
      </w:r>
      <w:r>
        <w:rPr>
          <w:rFonts w:hint="eastAsia" w:ascii="仿宋_GB2312" w:hAnsi="仿宋" w:eastAsia="仿宋_GB2312" w:cs="Times New Roman"/>
          <w:b w:val="0"/>
          <w:bCs/>
          <w:sz w:val="24"/>
          <w:szCs w:val="24"/>
        </w:rPr>
        <w:t>（</w:t>
      </w:r>
      <w:r>
        <w:rPr>
          <w:rFonts w:hint="eastAsia" w:ascii="仿宋_GB2312" w:hAnsi="仿宋" w:eastAsia="仿宋_GB2312" w:cs="Times New Roman"/>
          <w:sz w:val="24"/>
          <w:szCs w:val="24"/>
        </w:rPr>
        <w:t xml:space="preserve">https://zfcg.czt.zj.gov.cn/）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方式：</w:t>
      </w:r>
      <w:r>
        <w:rPr>
          <w:rFonts w:hint="eastAsia" w:ascii="仿宋_GB2312" w:hAnsi="仿宋" w:eastAsia="仿宋_GB2312" w:cs="Times New Roman"/>
          <w:sz w:val="24"/>
          <w:szCs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四、提交投标文件截止时间、开</w:t>
      </w:r>
      <w:r>
        <w:rPr>
          <w:rFonts w:hint="eastAsia" w:ascii="仿宋_GB2312" w:hAnsi="仿宋" w:eastAsia="仿宋_GB2312" w:cs="Times New Roman"/>
          <w:b/>
          <w:sz w:val="24"/>
          <w:szCs w:val="24"/>
          <w:highlight w:val="none"/>
        </w:rPr>
        <w:t>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2021年</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2021年</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2.2电子招投标的说明：2.2.1采购人、采购机构将依托政采云平台完成本项目的电子交易活动，平台不接受未按上述方式获取招标文件的供应商进行投标活动； 2.2.2对未按上述方式获取招标文件的供应商对该文件提出的质疑，采购人或采购代理机构将不予处理；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2.2.6招标文件的获取：使用账号登录或者使用CA登录政采云平台；进入“项目采购”应用，在获取采购文件菜单中选择项目，获取招标文件；2.2.7投标文件的制作：在“政采云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采云平台“服务中心-帮助文档-项目采购-操作流程-电子招投标-政府采购项目电子交易管理操作指南-供应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hint="eastAsia"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称：杭州市临安区数据资源管理局</w:t>
      </w:r>
    </w:p>
    <w:p>
      <w:pPr>
        <w:adjustRightInd w:val="0"/>
        <w:spacing w:line="360" w:lineRule="auto"/>
        <w:rPr>
          <w:rFonts w:hint="eastAsia" w:ascii="仿宋_GB2312" w:hAnsi="仿宋" w:eastAsia="仿宋_GB2312" w:cs="Times New Roman"/>
          <w:sz w:val="24"/>
          <w:szCs w:val="24"/>
        </w:rPr>
      </w:pPr>
      <w:r>
        <w:rPr>
          <w:rFonts w:hint="eastAsia" w:ascii="仿宋_GB2312" w:hAnsi="仿宋" w:eastAsia="仿宋_GB2312" w:cs="Times New Roman"/>
          <w:sz w:val="24"/>
          <w:szCs w:val="24"/>
        </w:rPr>
        <w:t xml:space="preserve">    地    址：市民中心2号楼4楼423室</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项目联系人（询问）：方忠平</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项目联系方式（询问）：0571-63700016</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质疑联系人：童益林</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质疑联系方式：0571-58606723</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kern w:val="0"/>
                <w:sz w:val="24"/>
                <w:szCs w:val="24"/>
                <w:lang w:val="zh-CN"/>
              </w:rPr>
              <w:t>有关本项目建设所需的费用均计入报价。</w:t>
            </w:r>
            <w:r>
              <w:rPr>
                <w:rFonts w:hint="eastAsia" w:ascii="仿宋_GB2312" w:hAnsi="仿宋" w:eastAsia="仿宋_GB2312" w:cs="Times New Roman"/>
                <w:sz w:val="24"/>
                <w:szCs w:val="24"/>
              </w:rPr>
              <w:t>《投标（开标）一览表》是报价的唯一载体</w:t>
            </w:r>
            <w:r>
              <w:rPr>
                <w:rFonts w:hint="eastAsia" w:ascii="仿宋_GB2312" w:hAnsi="仿宋" w:eastAsia="仿宋_GB2312" w:cs="仿宋_GB2312"/>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4"/>
                <w:lang w:val="zh-CN"/>
              </w:rPr>
              <w:t>。</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投标报价出现下列情形的，投标无效：</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kern w:val="0"/>
                <w:sz w:val="24"/>
                <w:szCs w:val="24"/>
                <w:lang w:val="zh-CN"/>
              </w:rPr>
              <w:t>投标文件出现不是唯一的、有选择性投标报价的；</w:t>
            </w:r>
          </w:p>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4"/>
              </w:rPr>
              <w:t>投标报价高于本项目采购预算或者最高限价的;</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Times New Roman"/>
                <w:b/>
                <w:sz w:val="24"/>
                <w:szCs w:val="24"/>
              </w:rPr>
              <w:t>▲</w:t>
            </w:r>
            <w:r>
              <w:rPr>
                <w:rFonts w:hint="eastAsia" w:ascii="仿宋_GB2312" w:hAnsi="仿宋" w:eastAsia="仿宋_GB2312" w:cs="Arial"/>
                <w:b/>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sz w:val="24"/>
                <w:szCs w:val="21"/>
              </w:rPr>
              <w:t>;</w:t>
            </w:r>
          </w:p>
          <w:p>
            <w:pPr>
              <w:adjustRightInd w:val="0"/>
              <w:spacing w:line="360" w:lineRule="auto"/>
              <w:rPr>
                <w:rFonts w:ascii="仿宋_GB2312" w:hAnsi="仿宋" w:eastAsia="仿宋_GB2312" w:cs="仿宋_GB2312"/>
                <w:sz w:val="24"/>
                <w:szCs w:val="21"/>
              </w:rPr>
            </w:pPr>
            <w:r>
              <w:rPr>
                <w:rFonts w:hint="eastAsia" w:ascii="仿宋_GB2312" w:hAnsi="仿宋" w:eastAsia="仿宋_GB2312" w:cs="Times New Roman"/>
                <w:b/>
                <w:sz w:val="24"/>
                <w:szCs w:val="24"/>
              </w:rPr>
              <w:t>▲《投标（开标）一览表》填写不完整或字迹不能辨认或有漏项的；</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szCs w:val="24"/>
              </w:rPr>
              <w:t>▲投标人对根据修正原则修正后的报价不确认的</w:t>
            </w:r>
            <w:r>
              <w:rPr>
                <w:rFonts w:hint="eastAsia" w:ascii="仿宋_GB2312" w:hAnsi="仿宋"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（1）采购人不同意分包</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Times New Roman"/>
                <w:sz w:val="24"/>
                <w:szCs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w:t>
            </w:r>
            <w:r>
              <w:rPr>
                <w:rFonts w:hint="eastAsia" w:ascii="仿宋_GB2312" w:hAnsi="仿宋" w:eastAsia="仿宋_GB2312" w:cs="仿宋_GB2312"/>
                <w:b/>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Arial"/>
                <w:snapToGrid w:val="0"/>
                <w:sz w:val="24"/>
                <w:szCs w:val="20"/>
                <w:highlight w:val="none"/>
              </w:rPr>
            </w:pPr>
            <w:r>
              <w:rPr>
                <w:rFonts w:hint="eastAsia" w:ascii="仿宋_GB2312" w:hAnsi="仿宋" w:eastAsia="仿宋_GB2312" w:cs="Times New Roman"/>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cs="Times New Roman"/>
                <w:b/>
                <w:sz w:val="24"/>
                <w:szCs w:val="24"/>
                <w:lang w:eastAsia="zh-CN"/>
              </w:rPr>
            </w:pPr>
            <w:r>
              <w:rPr>
                <w:rFonts w:hint="eastAsia" w:ascii="仿宋" w:hAnsi="仿宋" w:eastAsia="仿宋"/>
                <w:snapToGrid w:val="0"/>
                <w:kern w:val="28"/>
                <w:sz w:val="24"/>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s="Arial"/>
                <w:snapToGrid w:val="0"/>
                <w:sz w:val="24"/>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项目属性</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服务</w:t>
            </w:r>
            <w:r>
              <w:rPr>
                <w:rFonts w:hint="eastAsia" w:ascii="仿宋_GB2312" w:hAnsi="仿宋" w:eastAsia="仿宋_GB2312" w:cs="Times New Roman"/>
                <w:sz w:val="24"/>
                <w:szCs w:val="24"/>
              </w:rPr>
              <w:t>类</w:t>
            </w:r>
            <w:r>
              <w:rPr>
                <w:rFonts w:hint="eastAsia" w:ascii="仿宋_GB2312" w:hAnsi="仿宋"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color w:val="auto"/>
                <w:sz w:val="24"/>
                <w:szCs w:val="24"/>
              </w:rPr>
              <w:t>采购标的：</w:t>
            </w:r>
            <w:r>
              <w:rPr>
                <w:rFonts w:hint="eastAsia" w:ascii="仿宋_GB2312" w:hAnsi="仿宋" w:eastAsia="仿宋_GB2312" w:cs="Times New Roman"/>
                <w:b/>
                <w:bCs/>
                <w:color w:val="auto"/>
                <w:sz w:val="24"/>
                <w:szCs w:val="24"/>
                <w:u w:val="single"/>
              </w:rPr>
              <w:t>数据中</w:t>
            </w:r>
            <w:r>
              <w:rPr>
                <w:rFonts w:hint="eastAsia" w:ascii="仿宋_GB2312" w:hAnsi="仿宋" w:eastAsia="仿宋_GB2312" w:cs="Times New Roman"/>
                <w:b/>
                <w:bCs/>
                <w:color w:val="auto"/>
                <w:sz w:val="24"/>
                <w:szCs w:val="24"/>
                <w:highlight w:val="none"/>
                <w:u w:val="single"/>
              </w:rPr>
              <w:t>心GPU和网闸采购集成</w:t>
            </w:r>
            <w:r>
              <w:rPr>
                <w:rFonts w:hint="eastAsia" w:ascii="仿宋_GB2312" w:hAnsi="仿宋" w:eastAsia="仿宋_GB2312" w:cs="Times New Roman"/>
                <w:b/>
                <w:bCs/>
                <w:color w:val="auto"/>
                <w:sz w:val="24"/>
                <w:szCs w:val="24"/>
                <w:highlight w:val="none"/>
                <w:u w:val="single"/>
                <w:lang w:eastAsia="zh-CN"/>
              </w:rPr>
              <w:t>服务</w:t>
            </w:r>
            <w:r>
              <w:rPr>
                <w:rFonts w:hint="eastAsia" w:ascii="仿宋_GB2312" w:hAnsi="仿宋" w:eastAsia="仿宋_GB2312" w:cs="Times New Roman"/>
                <w:color w:val="auto"/>
                <w:sz w:val="24"/>
                <w:szCs w:val="24"/>
                <w:highlight w:val="none"/>
              </w:rPr>
              <w:t>，所属行业：</w:t>
            </w:r>
            <w:r>
              <w:rPr>
                <w:rFonts w:hint="eastAsia" w:ascii="仿宋_GB2312" w:hAnsi="仿宋" w:eastAsia="仿宋_GB2312" w:cs="Times New Roman"/>
                <w:b/>
                <w:bCs/>
                <w:color w:val="auto"/>
                <w:sz w:val="24"/>
                <w:szCs w:val="24"/>
                <w:highlight w:val="none"/>
                <w:u w:val="single"/>
                <w:lang w:eastAsia="zh-CN"/>
              </w:rPr>
              <w:t>软件和信息技术服务业</w:t>
            </w:r>
            <w:r>
              <w:rPr>
                <w:rFonts w:hint="eastAsia" w:ascii="仿宋_GB2312" w:hAnsi="仿宋" w:eastAsia="仿宋_GB2312"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是否适宜中小企业情况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根据《政府采购促进中小企业发展管理办法》财库〔</w:t>
            </w:r>
            <w:r>
              <w:rPr>
                <w:rFonts w:ascii="仿宋_GB2312" w:hAnsi="仿宋" w:eastAsia="仿宋_GB2312" w:cs="Times New Roman"/>
                <w:sz w:val="24"/>
                <w:szCs w:val="24"/>
              </w:rPr>
              <w:t>2020〕46</w:t>
            </w:r>
            <w:r>
              <w:rPr>
                <w:rFonts w:ascii="仿宋_GB2312" w:hAnsi="仿宋" w:eastAsia="仿宋_GB2312" w:cs="Times New Roman"/>
                <w:sz w:val="24"/>
                <w:szCs w:val="24"/>
                <w:highlight w:val="none"/>
              </w:rPr>
              <w:t>号</w:t>
            </w:r>
            <w:r>
              <w:rPr>
                <w:rFonts w:hint="eastAsia" w:ascii="仿宋_GB2312" w:hAnsi="仿宋" w:eastAsia="仿宋_GB2312" w:cs="Times New Roman"/>
                <w:sz w:val="24"/>
                <w:szCs w:val="24"/>
                <w:highlight w:val="none"/>
              </w:rPr>
              <w:t>文件的规定，</w:t>
            </w:r>
            <w:r>
              <w:rPr>
                <w:rFonts w:hint="eastAsia" w:ascii="仿宋_GB2312" w:hAnsi="仿宋" w:eastAsia="仿宋_GB2312"/>
                <w:sz w:val="24"/>
                <w:highlight w:val="none"/>
              </w:rPr>
              <w:t>本项目适宜由中小企业提供，专门面向中小企业采购。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2.5“电子签名”系指数据电文中以电子形式所含、所附用于识别签名人身份并表明签名人认可其中内容的数据。</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2.7 “▲” 系指实质性要求条款，“★”系产品采购项目中单一产品或核心产品。</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 节能环保要求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3.2.2▲</w:t>
      </w:r>
      <w:r>
        <w:rPr>
          <w:rFonts w:hint="eastAsia" w:ascii="仿宋_GB2312" w:hAnsi="仿宋" w:eastAsia="仿宋_GB2312" w:cs="Times New Roman"/>
          <w:b/>
          <w:sz w:val="24"/>
          <w:szCs w:val="24"/>
        </w:rPr>
        <w:t>采购人拟采购的产品属于政府强制采购的节能产品品目清单范围的，投标人未按招标文件要求提供国家确定的认证机构出具的、处于有效期之内的节能产品认证证书，投标无效。</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w:t>
      </w:r>
      <w:r>
        <w:rPr>
          <w:rFonts w:hint="eastAsia" w:ascii="仿宋_GB2312" w:hAnsi="仿宋" w:eastAsia="仿宋_GB2312" w:cs="Times New Roman"/>
          <w:bCs/>
          <w:sz w:val="24"/>
          <w:szCs w:val="24"/>
        </w:rPr>
        <w:t>支持中小企业发展</w:t>
      </w:r>
      <w:r>
        <w:rPr>
          <w:rFonts w:hint="eastAsia" w:ascii="仿宋_GB2312" w:hAnsi="仿宋" w:eastAsia="仿宋_GB2312" w:cs="Times New Roman"/>
          <w:sz w:val="24"/>
          <w:szCs w:val="24"/>
        </w:rPr>
        <w:t>。</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符合中小企业划分标准的个体工商户，在政府采购活动中视同中小企业。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ascii="仿宋_GB2312" w:hAnsi="Times New Roman" w:eastAsia="仿宋_GB2312" w:cs="Times New Roman"/>
          <w:bCs/>
          <w:color w:val="auto"/>
          <w:sz w:val="24"/>
          <w:szCs w:val="24"/>
        </w:rPr>
        <w:t>3.3.2</w:t>
      </w:r>
      <w:r>
        <w:rPr>
          <w:rFonts w:hint="eastAsia" w:ascii="仿宋_GB2312" w:hAnsi="宋体" w:eastAsia="仿宋_GB2312" w:cs="宋体"/>
          <w:color w:val="auto"/>
          <w:kern w:val="0"/>
          <w:sz w:val="24"/>
          <w:szCs w:val="24"/>
        </w:rPr>
        <w:t>在政府采购活动中，投标人提供的货物、工程或者服务符合下列情形的，享受中小企业扶持政策：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1）在货物采购项目中，货物由中小企业制造，即货物由中小企业生产且使用该中小企业商号或者注册商标；</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2）在工程采购项目中，工程由中小企业承建，即工程施工单位为中小企业；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3）在服务采购项目中，服务由中小企业承接，即提供服务的人员为中小企业依照《中华人民共和国劳动合同法》订立劳动合同的从业人员。</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在货物采购项目中，投标人提供的货物既有中小企业制造货物，也有大型企业制造货物的，不享受中小企业扶持政策。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以联合体形式参加政府采购活动，联合体各方均为中小企业的，联合体视同中小企业。其中，联合体各方均为小微企业的，联合体视同小微企业。</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3.3.3</w:t>
      </w:r>
      <w:r>
        <w:rPr>
          <w:rFonts w:hint="eastAsia" w:ascii="仿宋_GB2312" w:hAnsi="仿宋" w:eastAsia="仿宋_GB2312" w:cs="Times New Roman"/>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Times New Roman"/>
          <w:color w:val="auto"/>
          <w:sz w:val="24"/>
          <w:szCs w:val="24"/>
        </w:rPr>
        <w:t>10%的扣除，用扣除后的价格参与评审。</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3.3.4接受大中型企业与小微企业组成联合体或者允许大中型企业向一家或者多家小微企业分包的</w:t>
      </w:r>
      <w:r>
        <w:rPr>
          <w:rFonts w:hint="eastAsia" w:ascii="仿宋_GB2312" w:hAnsi="仿宋" w:eastAsia="仿宋_GB2312" w:cs="Times New Roman"/>
          <w:color w:val="auto"/>
          <w:sz w:val="24"/>
          <w:szCs w:val="24"/>
        </w:rPr>
        <w:t>政府</w:t>
      </w:r>
      <w:r>
        <w:rPr>
          <w:rFonts w:ascii="仿宋_GB2312" w:hAnsi="仿宋" w:eastAsia="仿宋_GB2312" w:cs="Times New Roman"/>
          <w:color w:val="auto"/>
          <w:sz w:val="24"/>
          <w:szCs w:val="24"/>
        </w:rPr>
        <w:t>采购</w:t>
      </w:r>
      <w:r>
        <w:rPr>
          <w:rFonts w:hint="eastAsia" w:ascii="仿宋_GB2312" w:hAnsi="仿宋" w:eastAsia="仿宋_GB2312" w:cs="Times New Roman"/>
          <w:color w:val="auto"/>
          <w:sz w:val="24"/>
          <w:szCs w:val="24"/>
        </w:rPr>
        <w:t>货物或服务</w:t>
      </w:r>
      <w:r>
        <w:rPr>
          <w:rFonts w:ascii="仿宋_GB2312" w:hAnsi="仿宋" w:eastAsia="仿宋_GB2312" w:cs="Times New Roman"/>
          <w:color w:val="auto"/>
          <w:sz w:val="24"/>
          <w:szCs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color w:val="auto"/>
          <w:sz w:val="24"/>
          <w:szCs w:val="24"/>
        </w:rPr>
        <w:t>3.3.5</w:t>
      </w:r>
      <w:r>
        <w:rPr>
          <w:rFonts w:hint="eastAsia" w:ascii="仿宋_GB2312" w:hAnsi="仿宋" w:eastAsia="仿宋_GB2312" w:cs="Times New Roman"/>
          <w:color w:val="auto"/>
          <w:sz w:val="24"/>
          <w:szCs w:val="24"/>
        </w:rPr>
        <w:t>符合《关于促进残疾人就业政府采购政策的通知》（财库〔</w:t>
      </w:r>
      <w:r>
        <w:rPr>
          <w:rFonts w:ascii="仿宋_GB2312" w:hAnsi="仿宋" w:eastAsia="仿宋_GB2312" w:cs="Times New Roman"/>
          <w:color w:val="auto"/>
          <w:sz w:val="24"/>
          <w:szCs w:val="24"/>
        </w:rPr>
        <w:t>2017〕</w:t>
      </w:r>
      <w:r>
        <w:rPr>
          <w:rFonts w:ascii="仿宋_GB2312" w:hAnsi="仿宋" w:eastAsia="仿宋_GB2312" w:cs="Times New Roman"/>
          <w:sz w:val="24"/>
          <w:szCs w:val="24"/>
        </w:rPr>
        <w:t>141号）规定的条件并提供《残疾人福利性单位声明函》（附件1）的残疾人福利性单位视同小型、微型企业；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3.3.6</w:t>
      </w:r>
      <w:r>
        <w:rPr>
          <w:rFonts w:hint="eastAsia" w:ascii="仿宋_GB2312" w:hAnsi="仿宋" w:eastAsia="仿宋_GB2312" w:cs="Times New Roman"/>
          <w:sz w:val="24"/>
          <w:szCs w:val="24"/>
        </w:rPr>
        <w:t>符合《关于政府采购支持监狱企业发展有关问题的通知》（财库</w:t>
      </w:r>
      <w:r>
        <w:rPr>
          <w:rFonts w:ascii="仿宋_GB2312" w:hAnsi="仿宋" w:eastAsia="仿宋_GB2312" w:cs="Times New Roman"/>
          <w:sz w:val="24"/>
          <w:szCs w:val="24"/>
        </w:rPr>
        <w:t>[2014]68号）规定的监狱企业并提供由省级以上监狱管理局、戒毒管理局（含新疆生产建设兵团）出具的属于监狱企业证明文件的，视同为小型、微型企业。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3.3.7</w:t>
      </w:r>
      <w:r>
        <w:rPr>
          <w:rFonts w:hint="eastAsia" w:ascii="仿宋_GB2312" w:hAnsi="仿宋" w:eastAsia="仿宋_GB2312" w:cs="Times New Roman"/>
          <w:sz w:val="24"/>
          <w:szCs w:val="24"/>
        </w:rPr>
        <w:t>可享受</w:t>
      </w:r>
      <w:r>
        <w:rPr>
          <w:rFonts w:hint="eastAsia" w:ascii="仿宋_GB2312" w:hAnsi="宋体" w:eastAsia="仿宋_GB2312" w:cs="宋体"/>
          <w:kern w:val="0"/>
          <w:sz w:val="24"/>
          <w:szCs w:val="24"/>
        </w:rPr>
        <w:t>中小企业扶持政策</w:t>
      </w:r>
      <w:r>
        <w:rPr>
          <w:rFonts w:hint="eastAsia" w:ascii="仿宋_GB2312" w:hAnsi="仿宋" w:eastAsia="仿宋_GB2312" w:cs="Times New Roman"/>
          <w:sz w:val="24"/>
          <w:szCs w:val="24"/>
        </w:rPr>
        <w:t>的投标人应按照招标文件格式要求提供《中小企业声明函》。</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3.3.8</w:t>
      </w:r>
      <w:r>
        <w:rPr>
          <w:rFonts w:hint="eastAsia" w:ascii="仿宋_GB2312" w:hAnsi="仿宋" w:eastAsia="仿宋_GB2312" w:cs="Times New Roman"/>
          <w:sz w:val="24"/>
          <w:szCs w:val="24"/>
        </w:rPr>
        <w:t>中小企业</w:t>
      </w:r>
      <w:r>
        <w:rPr>
          <w:rFonts w:ascii="仿宋_GB2312" w:hAnsi="仿宋" w:eastAsia="仿宋_GB2312" w:cs="Times New Roman"/>
          <w:sz w:val="24"/>
          <w:szCs w:val="24"/>
        </w:rPr>
        <w:t>享受扶持政策获得政府采购合同的，小微企业不得将合同分包给大中型企业，中型企业不得将合同分包给大型企业</w:t>
      </w:r>
      <w:r>
        <w:rPr>
          <w:rFonts w:hint="eastAsia" w:ascii="仿宋_GB2312" w:hAnsi="仿宋" w:eastAsia="仿宋_GB2312" w:cs="Times New Roman"/>
          <w:sz w:val="24"/>
          <w:szCs w:val="24"/>
        </w:rPr>
        <w:t>。</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3.4</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r>
        <w:rPr>
          <w:rFonts w:hint="eastAsia" w:ascii="仿宋_GB2312" w:hAnsi="仿宋" w:eastAsia="仿宋_GB2312" w:cs="Times New Roman"/>
          <w:sz w:val="24"/>
          <w:szCs w:val="24"/>
        </w:rPr>
        <w:cr/>
      </w: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4.2供应商质疑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widowControl/>
        <w:adjustRightInd w:val="0"/>
        <w:snapToGrid w:val="0"/>
        <w:spacing w:line="360" w:lineRule="auto"/>
        <w:ind w:firstLine="434" w:firstLineChars="181"/>
        <w:rPr>
          <w:rFonts w:ascii="仿宋_GB2312" w:hAnsi="仿宋" w:eastAsia="仿宋_GB2312"/>
          <w:sz w:val="24"/>
        </w:rPr>
      </w:pPr>
      <w:r>
        <w:rPr>
          <w:rFonts w:hint="eastAsia" w:ascii="仿宋_GB2312" w:hAnsi="仿宋" w:eastAsia="仿宋_GB231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4.2.2.3对采购结果提出质疑的，质疑期限自采购结果公告期限届满之日起计算。对采购结果提出质疑的，采购机构负责答复。</w:t>
      </w:r>
    </w:p>
    <w:p>
      <w:pPr>
        <w:adjustRightInd w:val="0"/>
        <w:snapToGrid w:val="0"/>
        <w:spacing w:line="360" w:lineRule="auto"/>
        <w:ind w:firstLine="480" w:firstLineChars="200"/>
        <w:contextualSpacing/>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4.2.3</w:t>
      </w:r>
      <w:r>
        <w:rPr>
          <w:rFonts w:hint="eastAsia" w:ascii="仿宋_GB2312" w:hAnsi="仿宋" w:eastAsia="仿宋_GB2312" w:cs="Arial"/>
          <w:snapToGrid w:val="0"/>
          <w:sz w:val="24"/>
          <w:szCs w:val="21"/>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4.2.3.1</w:t>
      </w:r>
      <w:r>
        <w:rPr>
          <w:rFonts w:hint="eastAsia" w:ascii="仿宋_GB2312" w:hAnsi="仿宋" w:eastAsia="仿宋_GB2312" w:cs="Arial"/>
          <w:snapToGrid w:val="0"/>
          <w:sz w:val="24"/>
          <w:szCs w:val="21"/>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4.2.3.2</w:t>
      </w:r>
      <w:r>
        <w:rPr>
          <w:rFonts w:hint="eastAsia" w:ascii="仿宋_GB2312" w:hAnsi="仿宋" w:eastAsia="仿宋_GB2312" w:cs="Arial"/>
          <w:snapToGrid w:val="0"/>
          <w:sz w:val="24"/>
          <w:szCs w:val="21"/>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4.2.3.3</w:t>
      </w:r>
      <w:r>
        <w:rPr>
          <w:rFonts w:hint="eastAsia" w:ascii="仿宋_GB2312" w:hAnsi="仿宋" w:eastAsia="仿宋_GB2312" w:cs="Arial"/>
          <w:snapToGrid w:val="0"/>
          <w:sz w:val="24"/>
          <w:szCs w:val="21"/>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4.2.3.4</w:t>
      </w:r>
      <w:r>
        <w:rPr>
          <w:rFonts w:hint="eastAsia" w:ascii="仿宋_GB2312" w:hAnsi="仿宋" w:eastAsia="仿宋_GB2312" w:cs="Arial"/>
          <w:snapToGrid w:val="0"/>
          <w:sz w:val="24"/>
          <w:szCs w:val="21"/>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4.2.3.5</w:t>
      </w:r>
      <w:r>
        <w:rPr>
          <w:rFonts w:hint="eastAsia" w:ascii="仿宋_GB2312" w:hAnsi="仿宋" w:eastAsia="仿宋_GB2312" w:cs="Arial"/>
          <w:snapToGrid w:val="0"/>
          <w:sz w:val="24"/>
          <w:szCs w:val="21"/>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sz w:val="24"/>
          <w:szCs w:val="21"/>
        </w:rPr>
      </w:pPr>
      <w:r>
        <w:rPr>
          <w:rFonts w:hint="eastAsia" w:ascii="仿宋_GB2312" w:hAnsi="仿宋" w:eastAsia="仿宋_GB2312" w:cs="微软雅黑"/>
          <w:kern w:val="0"/>
          <w:sz w:val="24"/>
          <w:szCs w:val="24"/>
          <w:lang w:val="zh-CN"/>
        </w:rPr>
        <w:t>4.2.3.6</w:t>
      </w:r>
      <w:r>
        <w:rPr>
          <w:rFonts w:hint="eastAsia" w:ascii="仿宋_GB2312" w:hAnsi="仿宋" w:eastAsia="仿宋_GB2312" w:cs="Arial"/>
          <w:snapToGrid w:val="0"/>
          <w:sz w:val="24"/>
          <w:szCs w:val="21"/>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质疑函范本及制作说明详见附件</w:t>
      </w:r>
      <w:r>
        <w:rPr>
          <w:rFonts w:hint="eastAsia" w:ascii="仿宋_GB2312" w:hAnsi="仿宋" w:eastAsia="仿宋_GB2312" w:cs="宋体"/>
          <w:kern w:val="0"/>
          <w:sz w:val="24"/>
          <w:szCs w:val="24"/>
          <w:lang w:val="en-US" w:eastAsia="zh-CN"/>
        </w:rPr>
        <w:t>4</w:t>
      </w:r>
      <w:r>
        <w:rPr>
          <w:rFonts w:hint="eastAsia" w:ascii="仿宋_GB2312" w:hAnsi="仿宋" w:eastAsia="仿宋_GB2312" w:cs="宋体"/>
          <w:kern w:val="0"/>
          <w:sz w:val="24"/>
          <w:szCs w:val="24"/>
        </w:rPr>
        <w:t>。</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4.3供应商投诉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w:t>
      </w:r>
      <w:r>
        <w:rPr>
          <w:rFonts w:hint="eastAsia" w:ascii="仿宋_GB2312" w:hAnsi="仿宋" w:eastAsia="仿宋_GB2312" w:cs="微软雅黑"/>
          <w:kern w:val="0"/>
          <w:sz w:val="24"/>
          <w:szCs w:val="24"/>
          <w:lang w:val="zh-CN"/>
        </w:rPr>
        <w:t>2</w:t>
      </w:r>
      <w:r>
        <w:rPr>
          <w:rFonts w:hint="eastAsia" w:ascii="仿宋_GB2312" w:hAnsi="仿宋" w:eastAsia="仿宋_GB2312" w:cs="宋体"/>
          <w:kern w:val="0"/>
          <w:sz w:val="24"/>
          <w:szCs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投诉书范本及制作说明详见附件</w:t>
      </w:r>
      <w:r>
        <w:rPr>
          <w:rFonts w:hint="eastAsia" w:ascii="仿宋_GB2312" w:hAnsi="仿宋" w:eastAsia="仿宋_GB2312" w:cs="宋体"/>
          <w:kern w:val="0"/>
          <w:sz w:val="24"/>
          <w:szCs w:val="24"/>
          <w:lang w:val="en-US" w:eastAsia="zh-CN"/>
        </w:rPr>
        <w:t>5</w:t>
      </w:r>
      <w:r>
        <w:rPr>
          <w:rFonts w:hint="eastAsia" w:ascii="仿宋_GB2312" w:hAnsi="仿宋" w:eastAsia="仿宋_GB2312" w:cs="宋体"/>
          <w:kern w:val="0"/>
          <w:sz w:val="24"/>
          <w:szCs w:val="24"/>
        </w:rPr>
        <w:t>。</w:t>
      </w:r>
    </w:p>
    <w:p>
      <w:pPr>
        <w:adjustRightInd w:val="0"/>
        <w:snapToGrid w:val="0"/>
        <w:spacing w:after="120" w:line="360" w:lineRule="auto"/>
        <w:ind w:firstLine="360" w:firstLineChars="200"/>
        <w:rPr>
          <w:rFonts w:ascii="仿宋_GB2312" w:hAnsi="仿宋" w:eastAsia="仿宋_GB2312" w:cs="仿宋_GB2312"/>
          <w:sz w:val="18"/>
          <w:szCs w:val="18"/>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5.1 招标文件包括下列文件及附件</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第一部分 招标公告</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第二部分 投标人须知</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第三部分 采购需求</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第四部分 评标方法及评分标准</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第五部分 拟签订的合同文本</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第六部分 应提交的有关格式范例</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5.2与本项目有关的</w:t>
      </w:r>
      <w:r>
        <w:rPr>
          <w:rFonts w:hint="eastAsia" w:ascii="仿宋_GB2312" w:hAnsi="仿宋" w:eastAsia="仿宋_GB2312" w:cs="Times New Roman"/>
          <w:bCs/>
          <w:sz w:val="24"/>
          <w:szCs w:val="24"/>
        </w:rPr>
        <w:t>澄清或者修改的内容为招标文件的组成部分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sz w:val="24"/>
        </w:rPr>
      </w:pPr>
      <w:r>
        <w:rPr>
          <w:rFonts w:hint="eastAsia" w:ascii="仿宋_GB2312" w:hAnsi="仿宋" w:eastAsia="仿宋_GB2312"/>
          <w:sz w:val="24"/>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djustRightInd w:val="0"/>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1"/>
        </w:rPr>
        <w:t>投标文件未按招标文件的澄清、修改的内容编制，又不符合实质性要求的，投标无效。</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adjustRightInd w:val="0"/>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s="Arial"/>
          <w:snapToGrid w:val="0"/>
          <w:sz w:val="24"/>
          <w:szCs w:val="24"/>
        </w:rPr>
        <w:t>采购人组织潜在投标人现场考察或者召开开标前答疑会的，潜在投标人按前附表的规定参加现场考察或者开标前答疑会。</w:t>
      </w:r>
    </w:p>
    <w:p>
      <w:pPr>
        <w:adjustRightInd w:val="0"/>
        <w:spacing w:line="360" w:lineRule="auto"/>
        <w:rPr>
          <w:rFonts w:hint="eastAsia" w:ascii="仿宋_GB2312" w:hAnsi="仿宋_GB2312" w:eastAsia="仿宋_GB2312" w:cs="仿宋_GB2312"/>
          <w:b/>
          <w:snapToGrid w:val="0"/>
          <w:szCs w:val="24"/>
        </w:rPr>
      </w:pPr>
      <w:r>
        <w:rPr>
          <w:rFonts w:hint="eastAsia" w:ascii="仿宋_GB2312" w:hAnsi="仿宋" w:eastAsia="仿宋_GB2312" w:cs="Arial"/>
          <w:b/>
          <w:snapToGrid w:val="0"/>
          <w:kern w:val="28"/>
          <w:sz w:val="24"/>
          <w:szCs w:val="24"/>
        </w:rPr>
        <w:t>9.</w:t>
      </w:r>
      <w:r>
        <w:rPr>
          <w:rFonts w:hint="eastAsia" w:ascii="仿宋_GB2312" w:hAnsi="仿宋_GB2312" w:eastAsia="仿宋_GB2312" w:cs="仿宋_GB2312"/>
          <w:b/>
          <w:snapToGrid w:val="0"/>
          <w:kern w:val="28"/>
          <w:sz w:val="24"/>
          <w:szCs w:val="24"/>
        </w:rPr>
        <w:t>投标保证金</w:t>
      </w:r>
    </w:p>
    <w:p>
      <w:pPr>
        <w:widowControl/>
        <w:adjustRightInd w:val="0"/>
        <w:snapToGrid w:val="0"/>
        <w:spacing w:line="360" w:lineRule="auto"/>
        <w:ind w:firstLine="470" w:firstLineChars="196"/>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本项目不需要交纳投标保证金。</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投标文件及投标人与采购有关的来往通知、函件和文件均应使用中文。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kern w:val="0"/>
          <w:sz w:val="24"/>
          <w:szCs w:val="24"/>
        </w:rPr>
        <w:t>投标文件应当包括以下主要内容：</w:t>
      </w:r>
      <w:r>
        <w:rPr>
          <w:rFonts w:hint="eastAsia" w:ascii="仿宋_GB2312" w:hAnsi="仿宋_GB2312" w:eastAsia="仿宋_GB2312" w:cs="仿宋_GB2312"/>
          <w:b/>
          <w:snapToGrid w:val="0"/>
          <w:sz w:val="24"/>
          <w:szCs w:val="24"/>
        </w:rPr>
        <w:t>资格文件、报价文件、商务技术文件</w:t>
      </w:r>
      <w:r>
        <w:rPr>
          <w:rFonts w:hint="eastAsia" w:ascii="仿宋_GB2312" w:hAnsi="仿宋_GB2312" w:eastAsia="仿宋_GB2312" w:cs="仿宋_GB2312"/>
          <w:snapToGrid w:val="0"/>
          <w:sz w:val="24"/>
          <w:szCs w:val="24"/>
        </w:rPr>
        <w:t>。投标文件应当对招标文件提出的要求和条件作出明确响应。</w:t>
      </w:r>
    </w:p>
    <w:p>
      <w:pPr>
        <w:adjustRightInd w:val="0"/>
        <w:snapToGrid w:val="0"/>
        <w:spacing w:line="360" w:lineRule="auto"/>
        <w:ind w:firstLine="480" w:firstLineChars="200"/>
        <w:rPr>
          <w:rFonts w:hint="eastAsia" w:ascii="仿宋_GB2312" w:hAnsi="仿宋_GB2312" w:eastAsia="仿宋_GB2312" w:cs="仿宋_GB2312"/>
          <w:b/>
          <w:kern w:val="0"/>
          <w:sz w:val="24"/>
          <w:szCs w:val="24"/>
        </w:rPr>
      </w:pPr>
      <w:r>
        <w:rPr>
          <w:rFonts w:hint="eastAsia" w:ascii="仿宋_GB2312" w:hAnsi="仿宋_GB2312" w:eastAsia="仿宋_GB2312" w:cs="仿宋_GB2312"/>
          <w:sz w:val="24"/>
          <w:szCs w:val="24"/>
        </w:rPr>
        <w:t>11.1</w:t>
      </w:r>
      <w:r>
        <w:rPr>
          <w:rFonts w:hint="eastAsia" w:ascii="仿宋_GB2312" w:hAnsi="仿宋_GB2312" w:eastAsia="仿宋_GB2312" w:cs="仿宋_GB2312"/>
          <w:b/>
          <w:sz w:val="24"/>
          <w:szCs w:val="24"/>
        </w:rPr>
        <w:t>资格文件</w:t>
      </w:r>
      <w:r>
        <w:rPr>
          <w:rFonts w:hint="eastAsia" w:ascii="仿宋_GB2312" w:hAnsi="仿宋_GB2312" w:eastAsia="仿宋_GB2312" w:cs="仿宋_GB2312"/>
          <w:sz w:val="24"/>
          <w:szCs w:val="24"/>
        </w:rPr>
        <w:t>应包括以下内容（均需使用电子签名）：</w:t>
      </w:r>
      <w:r>
        <w:rPr>
          <w:rFonts w:hint="eastAsia" w:ascii="仿宋_GB2312" w:hAnsi="仿宋_GB2312" w:eastAsia="仿宋_GB2312" w:cs="仿宋_GB2312"/>
          <w:kern w:val="0"/>
          <w:sz w:val="24"/>
          <w:szCs w:val="24"/>
        </w:rPr>
        <w:t>证明其符合《中华人民共和国政府采购法》规定的供应商基本条件和采购项目对供应商的特定条件</w:t>
      </w:r>
      <w:r>
        <w:rPr>
          <w:rFonts w:hint="eastAsia" w:ascii="仿宋_GB2312" w:hAnsi="仿宋_GB2312" w:eastAsia="仿宋_GB2312" w:cs="仿宋_GB2312"/>
          <w:sz w:val="24"/>
          <w:szCs w:val="24"/>
        </w:rPr>
        <w:t>（如果项目要求）</w:t>
      </w:r>
      <w:r>
        <w:rPr>
          <w:rFonts w:hint="eastAsia" w:ascii="仿宋_GB2312" w:hAnsi="仿宋_GB2312" w:eastAsia="仿宋_GB2312" w:cs="仿宋_GB2312"/>
          <w:kern w:val="0"/>
          <w:sz w:val="24"/>
          <w:szCs w:val="24"/>
        </w:rPr>
        <w:t>的有关资格证明文件。</w:t>
      </w:r>
      <w:r>
        <w:rPr>
          <w:rFonts w:hint="eastAsia" w:ascii="仿宋_GB2312" w:hAnsi="仿宋_GB2312" w:eastAsia="仿宋_GB2312" w:cs="仿宋_GB2312"/>
          <w:b/>
          <w:kern w:val="0"/>
          <w:sz w:val="24"/>
          <w:szCs w:val="24"/>
        </w:rPr>
        <w:t>（以联合体形式进行政府采购的，参加联合体的供应商均应当提供）</w:t>
      </w:r>
    </w:p>
    <w:p>
      <w:pPr>
        <w:pStyle w:val="33"/>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sz w:val="24"/>
        </w:rPr>
        <w:t>11</w:t>
      </w:r>
      <w:r>
        <w:rPr>
          <w:rFonts w:hint="eastAsia" w:ascii="仿宋_GB2312" w:hAnsi="仿宋_GB2312" w:eastAsia="仿宋_GB2312" w:cs="仿宋_GB2312"/>
          <w:color w:val="auto"/>
          <w:sz w:val="24"/>
        </w:rPr>
        <w:t>.1.1</w:t>
      </w:r>
      <w:r>
        <w:rPr>
          <w:rFonts w:hint="eastAsia" w:ascii="仿宋_GB2312" w:hAnsi="仿宋_GB2312" w:eastAsia="仿宋_GB2312" w:cs="仿宋_GB2312"/>
          <w:snapToGrid w:val="0"/>
          <w:color w:val="auto"/>
          <w:sz w:val="24"/>
          <w:szCs w:val="21"/>
        </w:rPr>
        <w:t>营业执照(或事业法人登记证或其他工商等登记证明材料)复印件（投标人为自然人的，提供</w:t>
      </w:r>
      <w:r>
        <w:rPr>
          <w:rFonts w:hint="eastAsia" w:ascii="仿宋_GB2312" w:hAnsi="仿宋_GB2312" w:eastAsia="仿宋_GB2312" w:cs="仿宋_GB2312"/>
          <w:snapToGrid w:val="0"/>
          <w:color w:val="auto"/>
          <w:kern w:val="0"/>
          <w:sz w:val="24"/>
          <w:szCs w:val="21"/>
        </w:rPr>
        <w:t>自然人的身份证明</w:t>
      </w:r>
      <w:r>
        <w:rPr>
          <w:rFonts w:hint="eastAsia" w:ascii="仿宋_GB2312" w:hAnsi="仿宋_GB2312" w:eastAsia="仿宋_GB2312" w:cs="仿宋_GB2312"/>
          <w:snapToGrid w:val="0"/>
          <w:color w:val="auto"/>
          <w:sz w:val="24"/>
          <w:szCs w:val="21"/>
        </w:rPr>
        <w:t>）复印件；</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w:t>
      </w:r>
      <w:r>
        <w:rPr>
          <w:rFonts w:hint="eastAsia" w:ascii="仿宋_GB2312" w:hAnsi="仿宋_GB2312" w:eastAsia="仿宋_GB2312" w:cs="仿宋_GB2312"/>
          <w:sz w:val="24"/>
        </w:rPr>
        <w:t>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rPr>
        <w:t>11.1.2</w:t>
      </w:r>
      <w:r>
        <w:rPr>
          <w:rFonts w:hint="eastAsia" w:ascii="仿宋_GB2312" w:hAnsi="仿宋_GB2312" w:eastAsia="仿宋_GB2312" w:cs="仿宋_GB2312"/>
          <w:sz w:val="24"/>
          <w:lang w:eastAsia="zh-CN"/>
        </w:rPr>
        <w:t>法人</w:t>
      </w:r>
      <w:r>
        <w:rPr>
          <w:rFonts w:hint="eastAsia" w:ascii="仿宋_GB2312" w:hAnsi="仿宋_GB2312" w:eastAsia="仿宋_GB2312" w:cs="仿宋_GB2312"/>
          <w:sz w:val="24"/>
        </w:rPr>
        <w:t>授权书（如法定代表人直接参加投标并对相应文件签字的，只需提供其身份证复印件正反面；如以联合体形式参加政府采购活动的，按招标文件有关格式范例提供联合</w:t>
      </w:r>
      <w:r>
        <w:rPr>
          <w:rFonts w:hint="eastAsia" w:ascii="仿宋_GB2312" w:hAnsi="仿宋_GB2312" w:eastAsia="仿宋_GB2312" w:cs="仿宋_GB2312"/>
          <w:sz w:val="24"/>
          <w:highlight w:val="none"/>
        </w:rPr>
        <w:t>体投标授权书）；▲</w:t>
      </w:r>
      <w:r>
        <w:rPr>
          <w:rFonts w:hint="eastAsia" w:ascii="仿宋_GB2312" w:hAnsi="仿宋_GB2312" w:eastAsia="仿宋_GB2312" w:cs="仿宋_GB2312"/>
          <w:b/>
          <w:sz w:val="24"/>
          <w:highlight w:val="none"/>
        </w:rPr>
        <w:t>投标文件中法人授权书所载内容与本项目内容有异的，投标无效</w:t>
      </w:r>
      <w:r>
        <w:rPr>
          <w:rFonts w:hint="eastAsia" w:ascii="仿宋_GB2312" w:hAnsi="仿宋_GB2312" w:eastAsia="仿宋_GB2312" w:cs="仿宋_GB2312"/>
          <w:b/>
          <w:sz w:val="24"/>
          <w:highlight w:val="none"/>
          <w:lang w:eastAsia="zh-CN"/>
        </w:rPr>
        <w:t>；</w:t>
      </w:r>
    </w:p>
    <w:p>
      <w:pPr>
        <w:pStyle w:val="33"/>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11.1.3法定代表人及其授权代表的身份证（复印件）</w:t>
      </w:r>
      <w:r>
        <w:rPr>
          <w:rFonts w:hint="eastAsia" w:ascii="仿宋_GB2312" w:hAnsi="仿宋_GB2312" w:eastAsia="仿宋_GB2312" w:cs="仿宋_GB2312"/>
          <w:sz w:val="24"/>
          <w:highlight w:val="none"/>
          <w:lang w:eastAsia="zh-CN"/>
        </w:rPr>
        <w:t>；</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11.1.4</w:t>
      </w:r>
      <w:r>
        <w:rPr>
          <w:rFonts w:hint="eastAsia" w:ascii="仿宋_GB2312" w:hAnsi="仿宋" w:eastAsia="仿宋_GB2312" w:cs="仿宋_GB2312"/>
          <w:sz w:val="24"/>
        </w:rPr>
        <w:t>符合参与政府采购活动的资格条件并且没有税收缴纳、社会保障等方面的失信记录的承诺函；</w:t>
      </w:r>
    </w:p>
    <w:p>
      <w:pPr>
        <w:pStyle w:val="33"/>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11.1.5具有履行合同所必需的设备和专业技术能力的承诺函；</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11.1.6参加政府采购活动前三年内，在经营活动中没有重大违法记录的声明；</w:t>
      </w:r>
    </w:p>
    <w:p>
      <w:pPr>
        <w:snapToGrid w:val="0"/>
        <w:spacing w:line="360" w:lineRule="auto"/>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11.1.7</w:t>
      </w:r>
      <w:r>
        <w:rPr>
          <w:rFonts w:hint="eastAsia" w:ascii="仿宋_GB2312" w:hAnsi="仿宋_GB2312" w:eastAsia="仿宋_GB2312" w:cs="仿宋_GB2312"/>
          <w:sz w:val="24"/>
          <w:szCs w:val="20"/>
          <w:highlight w:val="none"/>
        </w:rPr>
        <w:t>具有良好商业信誉的声明；</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11.1.8</w:t>
      </w:r>
      <w:r>
        <w:rPr>
          <w:rFonts w:hint="eastAsia" w:ascii="仿宋_GB2312" w:hAnsi="仿宋_GB2312" w:eastAsia="仿宋_GB2312" w:cs="仿宋_GB2312"/>
          <w:sz w:val="24"/>
        </w:rPr>
        <w:t>符合特定资格条件（如果项目要求）的有关证明材料（复印件）；</w:t>
      </w:r>
    </w:p>
    <w:p>
      <w:pPr>
        <w:adjustRightInd w:val="0"/>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以联合体形式投标的，提供联合体协议；本项目不接受联合体投标或者投标人不</w:t>
      </w:r>
      <w:r>
        <w:rPr>
          <w:rFonts w:hint="eastAsia" w:ascii="仿宋_GB2312" w:hAnsi="仿宋_GB2312" w:eastAsia="仿宋_GB2312" w:cs="仿宋_GB2312"/>
          <w:color w:val="auto"/>
          <w:sz w:val="24"/>
        </w:rPr>
        <w:t>以联合体形式投标的，则不需要提供</w:t>
      </w:r>
      <w:r>
        <w:rPr>
          <w:rFonts w:hint="eastAsia" w:ascii="仿宋_GB2312" w:hAnsi="仿宋_GB2312" w:eastAsia="仿宋_GB2312" w:cs="仿宋_GB2312"/>
          <w:color w:val="auto"/>
          <w:sz w:val="24"/>
          <w:lang w:eastAsia="zh-CN"/>
        </w:rPr>
        <w:t>；</w:t>
      </w:r>
    </w:p>
    <w:p>
      <w:pPr>
        <w:adjustRightInd w:val="0"/>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rPr>
        <w:t>11.1.</w:t>
      </w:r>
      <w:r>
        <w:rPr>
          <w:rFonts w:hint="eastAsia" w:ascii="仿宋_GB2312" w:hAnsi="仿宋_GB2312" w:eastAsia="仿宋_GB2312" w:cs="仿宋_GB2312"/>
          <w:color w:val="auto"/>
          <w:sz w:val="24"/>
          <w:lang w:val="en-US" w:eastAsia="zh-CN"/>
        </w:rPr>
        <w:t>10中小企业声明函</w:t>
      </w:r>
      <w:r>
        <w:rPr>
          <w:rFonts w:hint="eastAsia" w:ascii="仿宋_GB2312" w:hAnsi="仿宋_GB2312" w:eastAsia="仿宋_GB2312" w:cs="仿宋_GB2312"/>
          <w:color w:val="auto"/>
          <w:sz w:val="24"/>
          <w:szCs w:val="24"/>
          <w:lang w:eastAsia="zh-CN"/>
        </w:rPr>
        <w:t>。</w:t>
      </w:r>
    </w:p>
    <w:p>
      <w:pPr>
        <w:adjustRightInd w:val="0"/>
        <w:spacing w:line="360" w:lineRule="auto"/>
        <w:ind w:firstLine="480" w:firstLineChars="200"/>
        <w:rPr>
          <w:rFonts w:hint="eastAsia" w:ascii="仿宋_GB2312" w:hAnsi="仿宋_GB2312" w:eastAsia="仿宋_GB2312" w:cs="仿宋_GB2312"/>
          <w:sz w:val="24"/>
          <w:szCs w:val="24"/>
          <w:u w:val="single"/>
          <w:lang w:val="zh-CN"/>
        </w:rPr>
      </w:pPr>
      <w:r>
        <w:rPr>
          <w:rFonts w:hint="eastAsia" w:ascii="仿宋_GB2312" w:hAnsi="仿宋_GB2312" w:eastAsia="仿宋_GB2312" w:cs="仿宋_GB2312"/>
          <w:kern w:val="0"/>
          <w:sz w:val="24"/>
          <w:szCs w:val="24"/>
          <w:lang w:val="zh-CN"/>
        </w:rPr>
        <w:t xml:space="preserve">11.2 </w:t>
      </w:r>
      <w:r>
        <w:rPr>
          <w:rFonts w:hint="eastAsia" w:ascii="仿宋_GB2312" w:hAnsi="仿宋_GB2312" w:eastAsia="仿宋_GB2312" w:cs="仿宋_GB2312"/>
          <w:sz w:val="24"/>
          <w:szCs w:val="24"/>
        </w:rPr>
        <w:t>投标人的</w:t>
      </w:r>
      <w:r>
        <w:rPr>
          <w:rFonts w:hint="eastAsia" w:ascii="仿宋_GB2312" w:hAnsi="仿宋_GB2312" w:eastAsia="仿宋_GB2312" w:cs="仿宋_GB2312"/>
          <w:b/>
          <w:sz w:val="24"/>
          <w:szCs w:val="24"/>
        </w:rPr>
        <w:t>报价文件</w:t>
      </w:r>
      <w:r>
        <w:rPr>
          <w:rFonts w:hint="eastAsia" w:ascii="仿宋_GB2312" w:hAnsi="仿宋_GB2312" w:eastAsia="仿宋_GB2312" w:cs="仿宋_GB2312"/>
          <w:sz w:val="24"/>
          <w:szCs w:val="24"/>
        </w:rPr>
        <w:t>应包括以下内容（均需使用电子签名）：</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11.2.1</w:t>
      </w:r>
      <w:r>
        <w:rPr>
          <w:rFonts w:hint="eastAsia" w:ascii="仿宋_GB2312" w:hAnsi="仿宋_GB2312" w:eastAsia="仿宋_GB2312" w:cs="仿宋_GB2312"/>
          <w:kern w:val="0"/>
          <w:sz w:val="24"/>
          <w:szCs w:val="24"/>
        </w:rPr>
        <w:t>投标响应函</w:t>
      </w:r>
      <w:r>
        <w:rPr>
          <w:rFonts w:hint="eastAsia" w:ascii="仿宋_GB2312" w:hAnsi="仿宋_GB2312" w:eastAsia="仿宋_GB2312" w:cs="仿宋_GB2312"/>
          <w:sz w:val="24"/>
          <w:szCs w:val="24"/>
        </w:rPr>
        <w:t>；</w:t>
      </w:r>
    </w:p>
    <w:p>
      <w:pPr>
        <w:adjustRightInd w:val="0"/>
        <w:snapToGrid w:val="0"/>
        <w:spacing w:line="360" w:lineRule="auto"/>
        <w:ind w:firstLine="480" w:firstLineChars="200"/>
        <w:rPr>
          <w:rFonts w:hint="eastAsia" w:ascii="仿宋_GB2312" w:hAnsi="仿宋_GB2312" w:eastAsia="仿宋_GB2312" w:cs="仿宋_GB2312"/>
          <w:snapToGrid w:val="0"/>
          <w:sz w:val="24"/>
          <w:szCs w:val="24"/>
          <w:lang w:eastAsia="zh-CN"/>
        </w:rPr>
      </w:pPr>
      <w:r>
        <w:rPr>
          <w:rFonts w:hint="eastAsia" w:ascii="仿宋_GB2312" w:hAnsi="仿宋_GB2312" w:eastAsia="仿宋_GB2312" w:cs="仿宋_GB2312"/>
          <w:snapToGrid w:val="0"/>
          <w:sz w:val="24"/>
          <w:szCs w:val="24"/>
        </w:rPr>
        <w:t>11.2.2投标(开标)一览表</w:t>
      </w:r>
      <w:r>
        <w:rPr>
          <w:rFonts w:hint="eastAsia" w:ascii="仿宋_GB2312" w:hAnsi="仿宋_GB2312" w:eastAsia="仿宋_GB2312" w:cs="仿宋_GB2312"/>
          <w:snapToGrid w:val="0"/>
          <w:sz w:val="24"/>
          <w:szCs w:val="24"/>
          <w:lang w:eastAsia="zh-CN"/>
        </w:rPr>
        <w:t>。</w:t>
      </w:r>
    </w:p>
    <w:p>
      <w:pPr>
        <w:adjustRightInd w:val="0"/>
        <w:spacing w:line="360" w:lineRule="auto"/>
        <w:ind w:firstLine="480" w:firstLineChars="200"/>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kern w:val="0"/>
          <w:sz w:val="24"/>
          <w:szCs w:val="24"/>
          <w:lang w:val="zh-CN"/>
        </w:rPr>
        <w:t>11.3  投标人的</w:t>
      </w:r>
      <w:r>
        <w:rPr>
          <w:rFonts w:hint="eastAsia" w:ascii="仿宋_GB2312" w:hAnsi="仿宋_GB2312" w:eastAsia="仿宋_GB2312" w:cs="仿宋_GB2312"/>
          <w:b/>
          <w:snapToGrid w:val="0"/>
          <w:sz w:val="24"/>
          <w:szCs w:val="24"/>
        </w:rPr>
        <w:t>商务技术</w:t>
      </w:r>
      <w:r>
        <w:rPr>
          <w:rFonts w:hint="eastAsia" w:ascii="仿宋_GB2312" w:hAnsi="仿宋_GB2312" w:eastAsia="仿宋_GB2312" w:cs="仿宋_GB2312"/>
          <w:b/>
          <w:snapToGrid w:val="0"/>
          <w:kern w:val="0"/>
          <w:sz w:val="24"/>
          <w:szCs w:val="24"/>
          <w:lang w:val="zh-CN"/>
        </w:rPr>
        <w:t>文件应</w:t>
      </w:r>
      <w:r>
        <w:rPr>
          <w:rFonts w:hint="eastAsia" w:ascii="仿宋_GB2312" w:hAnsi="仿宋_GB2312" w:eastAsia="仿宋_GB2312" w:cs="仿宋_GB2312"/>
          <w:snapToGrid w:val="0"/>
          <w:kern w:val="0"/>
          <w:sz w:val="24"/>
          <w:szCs w:val="24"/>
          <w:lang w:val="zh-CN"/>
        </w:rPr>
        <w:t>包括以下内容</w:t>
      </w:r>
      <w:r>
        <w:rPr>
          <w:rFonts w:hint="eastAsia" w:ascii="仿宋_GB2312" w:hAnsi="仿宋_GB2312" w:eastAsia="仿宋_GB2312" w:cs="仿宋_GB2312"/>
          <w:snapToGrid w:val="0"/>
          <w:sz w:val="24"/>
          <w:szCs w:val="24"/>
        </w:rPr>
        <w:t>（均需使用电子签名）</w:t>
      </w:r>
      <w:r>
        <w:rPr>
          <w:rFonts w:hint="eastAsia" w:ascii="仿宋_GB2312" w:hAnsi="仿宋_GB2312" w:eastAsia="仿宋_GB2312" w:cs="仿宋_GB2312"/>
          <w:snapToGrid w:val="0"/>
          <w:kern w:val="0"/>
          <w:sz w:val="24"/>
          <w:szCs w:val="24"/>
          <w:lang w:val="zh-CN"/>
        </w:rPr>
        <w:t>：</w:t>
      </w:r>
      <w:r>
        <w:rPr>
          <w:rFonts w:hint="eastAsia" w:ascii="仿宋_GB2312" w:hAnsi="仿宋_GB2312" w:eastAsia="仿宋_GB2312" w:cs="仿宋_GB2312"/>
          <w:snapToGrid w:val="0"/>
          <w:sz w:val="24"/>
          <w:szCs w:val="24"/>
          <w:lang w:val="zh-CN"/>
        </w:rPr>
        <w:t xml:space="preserve"> </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资信文件：</w:t>
      </w:r>
      <w:r>
        <w:rPr>
          <w:rFonts w:hint="eastAsia" w:ascii="仿宋_GB2312" w:hAnsi="仿宋_GB2312" w:eastAsia="仿宋_GB2312" w:cs="仿宋_GB2312"/>
          <w:kern w:val="0"/>
          <w:sz w:val="24"/>
          <w:szCs w:val="20"/>
        </w:rPr>
        <w:t>见投标须知前附表所述；</w:t>
      </w:r>
    </w:p>
    <w:p>
      <w:pPr>
        <w:pStyle w:val="232"/>
        <w:snapToGrid w:val="0"/>
        <w:spacing w:before="0"/>
        <w:ind w:firstLine="480"/>
        <w:rPr>
          <w:rFonts w:hint="eastAsia" w:ascii="仿宋_GB2312" w:hAnsi="仿宋_GB2312" w:eastAsia="仿宋_GB2312" w:cs="仿宋_GB2312"/>
          <w:kern w:val="0"/>
          <w:lang w:val="zh-CN"/>
        </w:rPr>
      </w:pPr>
      <w:r>
        <w:rPr>
          <w:rFonts w:hint="eastAsia" w:ascii="仿宋_GB2312" w:hAnsi="仿宋_GB2312" w:eastAsia="仿宋_GB2312" w:cs="仿宋_GB2312"/>
          <w:lang w:val="zh-CN"/>
        </w:rPr>
        <w:t>11.3.</w:t>
      </w:r>
      <w:r>
        <w:rPr>
          <w:rFonts w:hint="eastAsia" w:ascii="仿宋_GB2312" w:hAnsi="仿宋_GB2312" w:eastAsia="仿宋_GB2312" w:cs="仿宋_GB2312"/>
          <w:lang w:val="en-US" w:eastAsia="zh-CN"/>
        </w:rPr>
        <w:t>2</w:t>
      </w:r>
      <w:r>
        <w:rPr>
          <w:rFonts w:hint="eastAsia" w:ascii="仿宋_GB2312" w:hAnsi="仿宋_GB2312" w:eastAsia="仿宋_GB2312" w:cs="仿宋_GB2312"/>
          <w:kern w:val="0"/>
        </w:rPr>
        <w:t>投标人的主要业绩证明材料即</w:t>
      </w:r>
      <w:r>
        <w:rPr>
          <w:rFonts w:hint="eastAsia" w:ascii="仿宋_GB2312" w:hAnsi="仿宋_GB2312" w:eastAsia="仿宋_GB2312" w:cs="仿宋_GB2312"/>
          <w:lang w:val="zh-CN"/>
        </w:rPr>
        <w:t>合同</w:t>
      </w:r>
      <w:r>
        <w:rPr>
          <w:rFonts w:hint="eastAsia" w:ascii="仿宋_GB2312" w:hAnsi="仿宋_GB2312" w:eastAsia="仿宋_GB2312" w:cs="仿宋_GB2312"/>
        </w:rPr>
        <w:t>和用户验收报告</w:t>
      </w:r>
      <w:r>
        <w:rPr>
          <w:rFonts w:hint="eastAsia" w:ascii="仿宋_GB2312" w:hAnsi="仿宋_GB2312" w:eastAsia="仿宋_GB2312" w:cs="仿宋_GB2312"/>
          <w:lang w:eastAsia="zh-CN"/>
        </w:rPr>
        <w:t>（如需要）</w:t>
      </w:r>
      <w:r>
        <w:rPr>
          <w:rFonts w:hint="eastAsia" w:ascii="仿宋_GB2312" w:hAnsi="仿宋_GB2312" w:eastAsia="仿宋_GB2312" w:cs="仿宋_GB2312"/>
          <w:szCs w:val="24"/>
        </w:rPr>
        <w:t>（</w:t>
      </w:r>
      <w:r>
        <w:rPr>
          <w:rFonts w:hint="eastAsia" w:ascii="仿宋_GB2312" w:hAnsi="仿宋_GB2312" w:eastAsia="仿宋_GB2312" w:cs="仿宋_GB2312"/>
        </w:rPr>
        <w:t>联合体投标的，联合体各方</w:t>
      </w:r>
      <w:r>
        <w:rPr>
          <w:rFonts w:hint="eastAsia" w:ascii="仿宋_GB2312" w:hAnsi="仿宋_GB2312" w:eastAsia="仿宋_GB2312" w:cs="仿宋_GB2312"/>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_GB2312" w:eastAsia="仿宋_GB2312" w:cs="仿宋_GB2312"/>
          <w:szCs w:val="24"/>
        </w:rPr>
        <w:t>)</w:t>
      </w:r>
      <w:r>
        <w:rPr>
          <w:rFonts w:hint="eastAsia" w:ascii="仿宋_GB2312" w:hAnsi="仿宋_GB2312" w:eastAsia="仿宋_GB2312" w:cs="仿宋_GB2312"/>
          <w:kern w:val="0"/>
        </w:rPr>
        <w:t>；</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kern w:val="0"/>
          <w:sz w:val="24"/>
          <w:lang w:val="zh-CN"/>
        </w:rPr>
        <w:t>投标人认为需要的其他商务文件或说明；</w:t>
      </w:r>
      <w:r>
        <w:rPr>
          <w:rFonts w:hint="eastAsia" w:ascii="仿宋_GB2312" w:hAnsi="仿宋_GB2312" w:eastAsia="仿宋_GB2312" w:cs="仿宋_GB2312"/>
          <w:sz w:val="24"/>
        </w:rPr>
        <w:t xml:space="preserve"> </w:t>
      </w:r>
    </w:p>
    <w:p>
      <w:pPr>
        <w:pStyle w:val="33"/>
        <w:snapToGrid w:val="0"/>
        <w:spacing w:line="360" w:lineRule="auto"/>
        <w:ind w:firstLine="480" w:firstLineChars="200"/>
        <w:rPr>
          <w:rFonts w:hint="eastAsia" w:ascii="仿宋_GB2312" w:hAnsi="仿宋_GB2312" w:eastAsia="仿宋_GB2312" w:cs="仿宋_GB2312"/>
          <w:b/>
          <w:kern w:val="0"/>
          <w:sz w:val="24"/>
          <w:szCs w:val="24"/>
          <w:highlight w:val="yellow"/>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4</w:t>
      </w:r>
      <w:r>
        <w:rPr>
          <w:rFonts w:hint="eastAsia" w:ascii="仿宋_GB2312" w:hAnsi="仿宋" w:eastAsia="仿宋_GB2312" w:cs="仿宋_GB2312"/>
          <w:sz w:val="24"/>
          <w:lang w:val="zh-CN"/>
        </w:rPr>
        <w:t>投标人应提供针对项目</w:t>
      </w:r>
      <w:r>
        <w:rPr>
          <w:rFonts w:hint="eastAsia" w:ascii="仿宋_GB2312" w:hAnsi="仿宋" w:eastAsia="仿宋_GB2312" w:cs="仿宋_GB2312"/>
          <w:sz w:val="24"/>
          <w:highlight w:val="none"/>
          <w:lang w:val="zh-CN"/>
        </w:rPr>
        <w:t>的完整技术解决方案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投标人根据项目采购需求、评分标准等提出合理的技术</w:t>
      </w:r>
      <w:r>
        <w:rPr>
          <w:rFonts w:hint="eastAsia" w:ascii="仿宋_GB2312" w:hAnsi="仿宋_GB2312" w:eastAsia="仿宋_GB2312" w:cs="仿宋_GB2312"/>
          <w:b/>
          <w:sz w:val="24"/>
          <w:szCs w:val="24"/>
          <w:highlight w:val="none"/>
          <w:lang w:eastAsia="zh-CN"/>
        </w:rPr>
        <w:t>解决</w:t>
      </w:r>
      <w:r>
        <w:rPr>
          <w:rFonts w:hint="eastAsia" w:ascii="仿宋_GB2312" w:hAnsi="仿宋_GB2312" w:eastAsia="仿宋_GB2312" w:cs="仿宋_GB2312"/>
          <w:b/>
          <w:sz w:val="24"/>
          <w:szCs w:val="24"/>
          <w:highlight w:val="none"/>
        </w:rPr>
        <w:t>方案</w:t>
      </w:r>
      <w:r>
        <w:rPr>
          <w:rFonts w:hint="eastAsia" w:ascii="仿宋_GB2312" w:hAnsi="仿宋_GB2312" w:eastAsia="仿宋_GB2312" w:cs="仿宋_GB2312"/>
          <w:b/>
          <w:kern w:val="0"/>
          <w:sz w:val="24"/>
          <w:szCs w:val="24"/>
          <w:highlight w:val="none"/>
          <w:lang w:val="zh-CN"/>
        </w:rPr>
        <w:t>；</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33"/>
        <w:snapToGrid w:val="0"/>
        <w:spacing w:line="360" w:lineRule="auto"/>
        <w:ind w:firstLine="482" w:firstLineChars="200"/>
        <w:rPr>
          <w:rFonts w:hint="eastAsia" w:ascii="仿宋_GB2312" w:hAnsi="仿宋" w:eastAsia="仿宋_GB2312" w:cs="仿宋_GB2312"/>
          <w:sz w:val="24"/>
        </w:rPr>
      </w:pPr>
      <w:r>
        <w:rPr>
          <w:rFonts w:hint="eastAsia" w:ascii="仿宋_GB2312" w:hAnsi="仿宋" w:eastAsia="仿宋_GB2312"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kern w:val="0"/>
          <w:sz w:val="24"/>
          <w:lang w:val="zh-CN"/>
        </w:rPr>
        <w:t>任何含糊不清的</w:t>
      </w:r>
      <w:r>
        <w:rPr>
          <w:rFonts w:hint="eastAsia" w:ascii="仿宋_GB2312" w:hAnsi="仿宋" w:eastAsia="仿宋_GB2312" w:cs="仿宋_GB2312"/>
          <w:b/>
          <w:sz w:val="24"/>
        </w:rPr>
        <w:t>表述导致</w:t>
      </w:r>
      <w:r>
        <w:rPr>
          <w:rFonts w:hint="eastAsia" w:ascii="仿宋_GB2312" w:hAnsi="仿宋" w:eastAsia="仿宋_GB2312" w:cs="仿宋_GB2312"/>
          <w:b/>
          <w:kern w:val="0"/>
          <w:sz w:val="24"/>
          <w:lang w:val="zh-CN"/>
        </w:rPr>
        <w:t>评标委员会技术扣分直至认定为投标无效都将是投标人的责任</w:t>
      </w:r>
      <w:r>
        <w:rPr>
          <w:rFonts w:hint="eastAsia" w:ascii="仿宋_GB2312" w:hAnsi="仿宋" w:eastAsia="仿宋_GB2312" w:cs="仿宋_GB2312"/>
          <w:sz w:val="24"/>
        </w:rPr>
        <w:t>。</w:t>
      </w:r>
    </w:p>
    <w:p>
      <w:pPr>
        <w:pStyle w:val="33"/>
        <w:snapToGrid w:val="0"/>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rPr>
        <w:t>本项目如需采购政府强制采购的节能产品的或</w:t>
      </w:r>
      <w:r>
        <w:rPr>
          <w:rFonts w:hint="eastAsia" w:ascii="仿宋_GB2312" w:hAnsi="仿宋" w:eastAsia="仿宋_GB2312"/>
          <w:sz w:val="24"/>
        </w:rPr>
        <w:t>投标人提供的产品是环境标志产品，</w:t>
      </w:r>
      <w:r>
        <w:rPr>
          <w:rFonts w:hint="eastAsia" w:ascii="仿宋_GB2312" w:hAnsi="仿宋" w:eastAsia="仿宋_GB2312" w:cs="仿宋_GB2312"/>
          <w:sz w:val="24"/>
        </w:rPr>
        <w:t>投标人</w:t>
      </w:r>
      <w:r>
        <w:rPr>
          <w:rFonts w:hint="eastAsia" w:ascii="仿宋_GB2312" w:hAnsi="仿宋" w:eastAsia="仿宋_GB2312" w:cs="仿宋_GB2312"/>
          <w:sz w:val="24"/>
          <w:lang w:eastAsia="zh-CN"/>
        </w:rPr>
        <w:t>需</w:t>
      </w:r>
      <w:r>
        <w:rPr>
          <w:rFonts w:hint="eastAsia" w:ascii="仿宋_GB2312" w:hAnsi="仿宋" w:eastAsia="仿宋_GB2312" w:cs="仿宋_GB2312"/>
          <w:sz w:val="24"/>
        </w:rPr>
        <w:t>提供节能产品、环境标志产品认证证书复印件；</w:t>
      </w:r>
    </w:p>
    <w:p>
      <w:pPr>
        <w:adjustRightInd w:val="0"/>
        <w:snapToGrid w:val="0"/>
        <w:spacing w:line="360" w:lineRule="auto"/>
        <w:ind w:firstLine="480" w:firstLineChars="200"/>
        <w:rPr>
          <w:rFonts w:hint="eastAsia" w:ascii="仿宋_GB2312" w:hAnsi="仿宋" w:eastAsia="仿宋_GB2312" w:cs="仿宋_GB2312"/>
          <w:kern w:val="0"/>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5</w:t>
      </w:r>
      <w:r>
        <w:rPr>
          <w:rFonts w:hint="eastAsia" w:ascii="仿宋_GB2312" w:hAnsi="仿宋" w:eastAsia="仿宋_GB2312" w:cs="仿宋_GB2312"/>
          <w:sz w:val="24"/>
        </w:rPr>
        <w:t>投标人在投标文件技术偏离说明表中，</w:t>
      </w:r>
      <w:r>
        <w:rPr>
          <w:rFonts w:hint="eastAsia" w:ascii="仿宋_GB2312" w:hAnsi="仿宋" w:eastAsia="仿宋_GB2312" w:cs="仿宋_GB2312"/>
          <w:kern w:val="0"/>
          <w:sz w:val="24"/>
          <w:lang w:val="zh-CN"/>
        </w:rPr>
        <w:t>应对</w:t>
      </w:r>
      <w:r>
        <w:rPr>
          <w:rFonts w:hint="eastAsia" w:ascii="仿宋_GB2312" w:hAnsi="仿宋" w:eastAsia="仿宋_GB2312" w:cs="仿宋_GB2312"/>
          <w:sz w:val="24"/>
        </w:rPr>
        <w:t>采购需求</w:t>
      </w:r>
      <w:r>
        <w:rPr>
          <w:rFonts w:hint="eastAsia" w:ascii="仿宋_GB2312" w:hAnsi="仿宋"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adjustRightInd w:val="0"/>
        <w:snapToGrid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kern w:val="0"/>
          <w:sz w:val="24"/>
          <w:szCs w:val="24"/>
          <w:highlight w:val="none"/>
          <w:lang w:val="zh-CN"/>
        </w:rPr>
        <w:t>组织实施方案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投标人根据项目采购需求、评分标准等提出组织实施方案</w:t>
      </w:r>
      <w:r>
        <w:rPr>
          <w:rFonts w:hint="eastAsia" w:ascii="仿宋_GB2312" w:hAnsi="仿宋_GB2312" w:eastAsia="仿宋_GB2312" w:cs="仿宋_GB2312"/>
          <w:b/>
          <w:kern w:val="0"/>
          <w:sz w:val="24"/>
          <w:szCs w:val="24"/>
          <w:highlight w:val="none"/>
          <w:lang w:val="zh-CN"/>
        </w:rPr>
        <w:t>；</w:t>
      </w:r>
    </w:p>
    <w:p>
      <w:pPr>
        <w:adjustRightInd w:val="0"/>
        <w:snapToGrid w:val="0"/>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7</w:t>
      </w:r>
      <w:r>
        <w:rPr>
          <w:rFonts w:hint="eastAsia" w:ascii="仿宋_GB2312" w:hAnsi="仿宋" w:eastAsia="仿宋_GB2312"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tabs>
          <w:tab w:val="left" w:pos="0"/>
          <w:tab w:val="left" w:pos="840"/>
        </w:tabs>
        <w:autoSpaceDE w:val="0"/>
        <w:autoSpaceDN w:val="0"/>
        <w:spacing w:line="360" w:lineRule="auto"/>
        <w:ind w:firstLine="360" w:firstLineChars="15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8</w:t>
      </w:r>
      <w:r>
        <w:rPr>
          <w:rFonts w:hint="eastAsia" w:ascii="仿宋_GB2312" w:hAnsi="仿宋" w:eastAsia="仿宋_GB2312"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w:t>
      </w:r>
      <w:r>
        <w:rPr>
          <w:rFonts w:hint="eastAsia" w:ascii="仿宋_GB2312" w:hAnsi="仿宋_GB2312" w:eastAsia="仿宋_GB2312" w:cs="仿宋_GB2312"/>
          <w:sz w:val="24"/>
          <w:lang w:val="zh-CN"/>
        </w:rPr>
        <w:t>在项目中的责任)，资质情况等；</w:t>
      </w:r>
    </w:p>
    <w:p>
      <w:pPr>
        <w:tabs>
          <w:tab w:val="left" w:pos="0"/>
          <w:tab w:val="left" w:pos="840"/>
        </w:tabs>
        <w:autoSpaceDE w:val="0"/>
        <w:autoSpaceDN w:val="0"/>
        <w:spacing w:line="360" w:lineRule="auto"/>
        <w:ind w:firstLine="360" w:firstLineChars="15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eastAsia="zh-CN"/>
        </w:rPr>
        <w:t>11.3.9</w:t>
      </w:r>
      <w:r>
        <w:rPr>
          <w:rFonts w:hint="eastAsia" w:ascii="仿宋_GB2312" w:hAnsi="仿宋_GB2312" w:eastAsia="仿宋_GB2312" w:cs="仿宋_GB2312"/>
          <w:sz w:val="24"/>
          <w:lang w:val="zh-CN"/>
        </w:rPr>
        <w:t>优惠条件及特殊承诺；</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en-US" w:eastAsia="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10</w:t>
      </w:r>
      <w:r>
        <w:rPr>
          <w:rFonts w:hint="eastAsia" w:ascii="仿宋_GB2312" w:hAnsi="仿宋" w:eastAsia="仿宋_GB2312"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w:t>
      </w:r>
      <w:r>
        <w:rPr>
          <w:rFonts w:hint="eastAsia" w:ascii="仿宋_GB2312" w:hAnsi="仿宋" w:eastAsia="仿宋_GB2312" w:cs="仿宋_GB2312"/>
          <w:kern w:val="0"/>
          <w:sz w:val="24"/>
          <w:lang w:val="en-US" w:eastAsia="zh-CN"/>
        </w:rPr>
        <w:t>11</w:t>
      </w:r>
      <w:r>
        <w:rPr>
          <w:rFonts w:hint="eastAsia" w:ascii="仿宋_GB2312" w:hAnsi="仿宋" w:eastAsia="仿宋_GB2312" w:cs="仿宋_GB2312"/>
          <w:kern w:val="0"/>
          <w:sz w:val="24"/>
          <w:lang w:val="zh-CN"/>
        </w:rPr>
        <w:t>培训计划；（如果有）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lang w:val="zh-CN"/>
        </w:rPr>
        <w:t>投标人认为需要的其他技术文件或说明；</w:t>
      </w:r>
    </w:p>
    <w:p>
      <w:pPr>
        <w:tabs>
          <w:tab w:val="left" w:pos="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sz w:val="24"/>
          <w:lang w:val="zh-CN"/>
        </w:rPr>
        <w:t>11.3.1</w:t>
      </w:r>
      <w:r>
        <w:rPr>
          <w:rFonts w:hint="eastAsia" w:ascii="仿宋_GB2312" w:hAnsi="仿宋" w:eastAsia="仿宋_GB2312" w:cs="仿宋_GB2312"/>
          <w:sz w:val="24"/>
          <w:lang w:val="en-US" w:eastAsia="zh-CN"/>
        </w:rPr>
        <w:t>3</w:t>
      </w:r>
      <w:r>
        <w:rPr>
          <w:rFonts w:hint="eastAsia" w:ascii="仿宋_GB2312" w:hAnsi="仿宋" w:eastAsia="仿宋_GB2312" w:cs="仿宋_GB2312"/>
          <w:kern w:val="0"/>
          <w:sz w:val="24"/>
          <w:lang w:val="zh-CN"/>
        </w:rPr>
        <w:t>关于对招标文件商务、合同中有关条款的拒绝声明（如果有）；</w:t>
      </w:r>
    </w:p>
    <w:p>
      <w:pPr>
        <w:tabs>
          <w:tab w:val="left" w:pos="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11.3.1</w:t>
      </w:r>
      <w:r>
        <w:rPr>
          <w:rFonts w:hint="eastAsia" w:ascii="仿宋_GB2312" w:hAnsi="仿宋" w:eastAsia="仿宋_GB2312" w:cs="仿宋_GB2312"/>
          <w:kern w:val="0"/>
          <w:sz w:val="24"/>
          <w:lang w:val="en-US" w:eastAsia="zh-CN"/>
        </w:rPr>
        <w:t>4</w:t>
      </w:r>
      <w:r>
        <w:rPr>
          <w:rFonts w:hint="eastAsia" w:ascii="仿宋_GB2312" w:hAnsi="仿宋" w:eastAsia="仿宋_GB2312" w:cs="仿宋_GB2312"/>
          <w:kern w:val="0"/>
          <w:sz w:val="24"/>
          <w:lang w:val="zh-CN"/>
        </w:rPr>
        <w:t>廉政承诺书。</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▲投标文件组成漏项，内容不全或内容字迹模糊辨认不清的，投标无效；</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▲投标文件含有采购人不能接受的附加条件的，投标无效；</w:t>
      </w:r>
    </w:p>
    <w:p>
      <w:pPr>
        <w:adjustRightInd w:val="0"/>
        <w:spacing w:line="360" w:lineRule="auto"/>
        <w:ind w:firstLine="482" w:firstLineChars="200"/>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4"/>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adjustRightInd w:val="0"/>
        <w:spacing w:line="360" w:lineRule="auto"/>
        <w:ind w:firstLine="480" w:firstLineChars="200"/>
        <w:rPr>
          <w:rFonts w:ascii="仿宋_GB2312" w:hAnsi="仿宋" w:eastAsia="仿宋_GB2312" w:cs="仿宋_GB2312"/>
          <w:b/>
          <w:sz w:val="24"/>
          <w:szCs w:val="24"/>
        </w:rPr>
      </w:pPr>
      <w:r>
        <w:rPr>
          <w:rFonts w:hint="eastAsia" w:ascii="仿宋_GB2312" w:hAnsi="仿宋_GB2312" w:eastAsia="仿宋_GB2312" w:cs="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_GB2312" w:eastAsia="仿宋_GB2312" w:cs="仿宋_GB2312"/>
          <w:b/>
          <w:sz w:val="24"/>
          <w:szCs w:val="24"/>
        </w:rPr>
        <w:t>▲</w:t>
      </w:r>
      <w:r>
        <w:rPr>
          <w:rFonts w:hint="eastAsia" w:ascii="仿宋_GB2312" w:hAnsi="仿宋" w:eastAsia="仿宋_GB2312" w:cs="仿宋_GB2312"/>
          <w:b/>
          <w:sz w:val="24"/>
          <w:szCs w:val="24"/>
        </w:rPr>
        <w:t>投标文件未按规定的格式编制的，投标无效；</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13.投标文件的签署、盖章</w:t>
      </w:r>
    </w:p>
    <w:p>
      <w:pPr>
        <w:adjustRightInd w:val="0"/>
        <w:snapToGrid w:val="0"/>
        <w:spacing w:after="120" w:line="360" w:lineRule="auto"/>
        <w:ind w:firstLine="480" w:firstLineChars="200"/>
        <w:rPr>
          <w:rFonts w:ascii="仿宋_GB2312" w:hAnsi="仿宋" w:eastAsia="仿宋_GB2312" w:cs="仿宋_GB2312"/>
          <w:b/>
          <w:sz w:val="24"/>
        </w:rPr>
      </w:pPr>
      <w:r>
        <w:rPr>
          <w:rFonts w:hint="eastAsia" w:ascii="仿宋_GB2312" w:hAnsi="仿宋" w:eastAsia="仿宋_GB2312" w:cs="仿宋_GB2312"/>
          <w:sz w:val="24"/>
          <w:szCs w:val="24"/>
        </w:rPr>
        <w:t>13.1投标文件按照招标文件第六部分格式要</w:t>
      </w:r>
      <w:r>
        <w:rPr>
          <w:rFonts w:hint="eastAsia" w:ascii="仿宋_GB2312" w:hAnsi="仿宋" w:eastAsia="仿宋_GB2312" w:cs="仿宋_GB2312"/>
          <w:sz w:val="24"/>
        </w:rPr>
        <w:t>求进行签署、盖章。</w:t>
      </w:r>
      <w:r>
        <w:rPr>
          <w:rFonts w:hint="eastAsia" w:ascii="仿宋" w:hAnsi="仿宋" w:eastAsia="仿宋" w:cs="仿宋"/>
          <w:b/>
          <w:sz w:val="24"/>
        </w:rPr>
        <w:t>▲</w:t>
      </w:r>
      <w:r>
        <w:rPr>
          <w:rFonts w:hint="eastAsia" w:ascii="仿宋_GB2312" w:hAnsi="仿宋" w:eastAsia="仿宋_GB2312" w:cs="仿宋_GB2312"/>
          <w:b/>
          <w:sz w:val="24"/>
        </w:rPr>
        <w:t>投标人的投标文件未按照招标文件要求签署、盖章的，其投标无效</w:t>
      </w:r>
      <w:r>
        <w:rPr>
          <w:rFonts w:hint="eastAsia" w:ascii="仿宋_GB2312" w:hAnsi="仿宋" w:eastAsia="仿宋_GB2312" w:cs="仿宋_GB2312"/>
          <w:sz w:val="24"/>
          <w:szCs w:val="24"/>
        </w:rPr>
        <w:t>。</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14. 投标文件的提交、补充、修改、撤回</w:t>
      </w:r>
    </w:p>
    <w:p>
      <w:pPr>
        <w:adjustRightInd w:val="0"/>
        <w:spacing w:before="156"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14.3采购机构可以视情况延长投标文件提交的截止时间。在上述情况下，采购机构与投标人以前在投标截止期方面的全部权利、责任和义务，将适用于延长至新的投标截止期。</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adjustRightInd w:val="0"/>
        <w:spacing w:line="360" w:lineRule="auto"/>
        <w:ind w:firstLine="360" w:firstLineChars="15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napToGrid w:val="0"/>
          <w:sz w:val="24"/>
          <w:szCs w:val="24"/>
        </w:rPr>
        <w:t>但采购人、采购机构不强制或变相强制投标人提交备份投标文件。</w:t>
      </w:r>
    </w:p>
    <w:p>
      <w:pPr>
        <w:adjustRightInd w:val="0"/>
        <w:spacing w:line="360" w:lineRule="auto"/>
        <w:ind w:firstLine="480" w:firstLineChars="20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15.2备份投标文件须在“政采云投标客户端”制作生成，并储存</w:t>
      </w:r>
      <w:r>
        <w:rPr>
          <w:rFonts w:hint="eastAsia" w:ascii="仿宋_GB2312" w:hAnsi="仿宋" w:eastAsia="仿宋_GB2312" w:cs="仿宋_GB2312"/>
          <w:snapToGrid w:val="0"/>
          <w:color w:val="auto"/>
          <w:sz w:val="24"/>
          <w:szCs w:val="24"/>
        </w:rPr>
        <w:t>在不可修改的</w:t>
      </w:r>
      <w:r>
        <w:rPr>
          <w:rFonts w:hint="eastAsia" w:ascii="仿宋_GB2312" w:hAnsi="仿宋" w:eastAsia="仿宋_GB2312" w:cs="Arial"/>
          <w:snapToGrid w:val="0"/>
          <w:color w:val="auto"/>
          <w:sz w:val="24"/>
          <w:szCs w:val="21"/>
        </w:rPr>
        <w:t>电子光盘</w:t>
      </w:r>
      <w:r>
        <w:rPr>
          <w:rFonts w:hint="eastAsia" w:ascii="仿宋_GB2312" w:hAnsi="仿宋" w:eastAsia="仿宋_GB2312" w:cs="仿宋_GB2312"/>
          <w:snapToGrid w:val="0"/>
          <w:color w:val="auto"/>
          <w:sz w:val="24"/>
          <w:szCs w:val="24"/>
        </w:rPr>
        <w:t>中。备份投标文件应当密封包装并在包装上加盖公章并注明投标项目名称，</w:t>
      </w:r>
      <w:r>
        <w:rPr>
          <w:rFonts w:hint="eastAsia" w:ascii="仿宋_GB2312" w:hAnsi="仿宋" w:eastAsia="仿宋_GB2312" w:cs="仿宋_GB2312"/>
          <w:snapToGrid w:val="0"/>
          <w:sz w:val="24"/>
          <w:szCs w:val="24"/>
        </w:rPr>
        <w:t>投标人名称(联合体投标的，包装物封面需注明联合体投标，并注明联合体成员各方的名称和联合体协议中约定的牵头人的名称)</w:t>
      </w:r>
      <w:r>
        <w:rPr>
          <w:rFonts w:hint="eastAsia" w:ascii="仿宋_GB2312" w:hAnsi="仿宋" w:eastAsia="仿宋_GB2312" w:cs="Arial"/>
          <w:b/>
          <w:snapToGrid w:val="0"/>
          <w:sz w:val="24"/>
          <w:szCs w:val="21"/>
        </w:rPr>
        <w:t>▲不符合上述制作、</w:t>
      </w:r>
      <w:r>
        <w:rPr>
          <w:rFonts w:hint="eastAsia" w:ascii="仿宋_GB2312" w:hAnsi="仿宋" w:eastAsia="仿宋_GB2312" w:cs="仿宋_GB2312"/>
          <w:b/>
          <w:snapToGrid w:val="0"/>
          <w:sz w:val="24"/>
          <w:szCs w:val="24"/>
        </w:rPr>
        <w:t>存储、密封规定的备份投标文件将被视为无效或者被拒绝接收。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15.3直接提交备份投标文件的，投标人应于投标截止时间前在招标公告中载明的开标地点将备份投标文件提交给采购机构，采购机构将拒绝接受逾期送达的备份投标文件。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15.4以邮政快递方式递交备份投标文件的，投标人应先将备份投标文件按要求密封和标记，再进行邮政快递包装后邮寄。备份投标文件须在投标截止时间之前送达杭州市</w:t>
      </w:r>
      <w:r>
        <w:rPr>
          <w:rFonts w:hint="eastAsia" w:ascii="仿宋_GB2312" w:hAnsi="仿宋" w:eastAsia="仿宋_GB2312" w:cs="仿宋_GB2312"/>
          <w:snapToGrid w:val="0"/>
          <w:sz w:val="24"/>
          <w:szCs w:val="24"/>
          <w:lang w:eastAsia="zh-CN"/>
        </w:rPr>
        <w:t>临安区锦北街道科技大道</w:t>
      </w:r>
      <w:r>
        <w:rPr>
          <w:rFonts w:hint="eastAsia" w:ascii="仿宋_GB2312" w:hAnsi="仿宋" w:eastAsia="仿宋_GB2312" w:cs="仿宋_GB2312"/>
          <w:snapToGrid w:val="0"/>
          <w:sz w:val="24"/>
          <w:szCs w:val="24"/>
          <w:lang w:val="en-US" w:eastAsia="zh-CN"/>
        </w:rPr>
        <w:t>4398号市民中心B座B448室</w:t>
      </w:r>
      <w:r>
        <w:rPr>
          <w:rFonts w:hint="eastAsia" w:ascii="仿宋_GB2312" w:hAnsi="仿宋" w:eastAsia="仿宋_GB2312" w:cs="仿宋_GB2312"/>
          <w:snapToGrid w:val="0"/>
          <w:sz w:val="24"/>
          <w:szCs w:val="24"/>
        </w:rPr>
        <w:t>（杭州市公共资源交易中心</w:t>
      </w:r>
      <w:r>
        <w:rPr>
          <w:rFonts w:hint="eastAsia" w:ascii="仿宋_GB2312" w:hAnsi="仿宋" w:eastAsia="仿宋_GB2312" w:cs="仿宋_GB2312"/>
          <w:snapToGrid w:val="0"/>
          <w:sz w:val="24"/>
          <w:szCs w:val="24"/>
          <w:lang w:eastAsia="zh-CN"/>
        </w:rPr>
        <w:t>临安分中心</w:t>
      </w:r>
      <w:r>
        <w:rPr>
          <w:rFonts w:hint="eastAsia" w:ascii="仿宋_GB2312" w:hAnsi="仿宋" w:eastAsia="仿宋_GB2312" w:cs="仿宋_GB2312"/>
          <w:snapToGrid w:val="0"/>
          <w:sz w:val="24"/>
          <w:szCs w:val="24"/>
        </w:rPr>
        <w:t>政府采购</w:t>
      </w:r>
      <w:r>
        <w:rPr>
          <w:rFonts w:hint="eastAsia" w:ascii="仿宋_GB2312" w:hAnsi="仿宋" w:eastAsia="仿宋_GB2312" w:cs="仿宋_GB2312"/>
          <w:snapToGrid w:val="0"/>
          <w:sz w:val="24"/>
          <w:szCs w:val="24"/>
          <w:lang w:eastAsia="zh-CN"/>
        </w:rPr>
        <w:t>科</w:t>
      </w:r>
      <w:r>
        <w:rPr>
          <w:rFonts w:hint="eastAsia" w:ascii="仿宋_GB2312" w:hAnsi="仿宋" w:eastAsia="仿宋_GB2312" w:cs="仿宋_GB2312"/>
          <w:snapToGrid w:val="0"/>
          <w:sz w:val="24"/>
          <w:szCs w:val="24"/>
        </w:rPr>
        <w:t>）；送达时间以签收人签收时间为准（签收人：</w:t>
      </w:r>
      <w:r>
        <w:rPr>
          <w:rFonts w:hint="eastAsia" w:ascii="仿宋_GB2312" w:hAnsi="仿宋" w:eastAsia="仿宋_GB2312" w:cs="仿宋_GB2312"/>
          <w:snapToGrid w:val="0"/>
          <w:sz w:val="24"/>
          <w:szCs w:val="24"/>
          <w:lang w:eastAsia="zh-CN"/>
        </w:rPr>
        <w:t>杨颖</w:t>
      </w:r>
      <w:r>
        <w:rPr>
          <w:rFonts w:hint="eastAsia" w:ascii="仿宋_GB2312" w:hAnsi="仿宋" w:eastAsia="仿宋_GB2312" w:cs="仿宋_GB2312"/>
          <w:snapToGrid w:val="0"/>
          <w:sz w:val="24"/>
          <w:szCs w:val="24"/>
        </w:rPr>
        <w:t>， 联系电话：0571-</w:t>
      </w:r>
      <w:r>
        <w:rPr>
          <w:rFonts w:hint="eastAsia" w:ascii="仿宋_GB2312" w:hAnsi="仿宋" w:eastAsia="仿宋_GB2312" w:cs="仿宋_GB2312"/>
          <w:snapToGrid w:val="0"/>
          <w:sz w:val="24"/>
          <w:szCs w:val="24"/>
          <w:lang w:val="en-US" w:eastAsia="zh-CN"/>
        </w:rPr>
        <w:t>23616011</w:t>
      </w:r>
      <w:r>
        <w:rPr>
          <w:rFonts w:hint="eastAsia" w:ascii="仿宋_GB2312" w:hAnsi="仿宋" w:eastAsia="仿宋_GB2312" w:cs="仿宋_GB2312"/>
          <w:snapToGrid w:val="0"/>
          <w:sz w:val="24"/>
          <w:szCs w:val="24"/>
        </w:rPr>
        <w:t>）。采购机构将拒绝接受逾期送达的备份投标文件。邮寄过程中，电子备份投标文件发生泄露、遗失、损坏或延期送达等情况的，由投标人自行负责。</w:t>
      </w:r>
    </w:p>
    <w:p>
      <w:pPr>
        <w:adjustRightInd w:val="0"/>
        <w:spacing w:line="360" w:lineRule="auto"/>
        <w:ind w:firstLine="361" w:firstLineChars="150"/>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w:t>
      </w:r>
      <w:r>
        <w:rPr>
          <w:rFonts w:hint="eastAsia" w:ascii="仿宋_GB2312" w:hAnsi="仿宋" w:eastAsia="仿宋_GB2312" w:cs="仿宋_GB2312"/>
          <w:sz w:val="24"/>
          <w:szCs w:val="20"/>
        </w:rPr>
        <w:t>▲</w:t>
      </w:r>
      <w:r>
        <w:rPr>
          <w:rFonts w:hint="eastAsia" w:ascii="仿宋_GB2312" w:hAnsi="仿宋" w:eastAsia="仿宋_GB2312" w:cs="仿宋_GB2312"/>
          <w:b/>
          <w:snapToGrid w:val="0"/>
          <w:sz w:val="24"/>
          <w:szCs w:val="24"/>
        </w:rPr>
        <w:t>投标人仅提交备份投标文件，没有在电子交易平台传输递交投标文件的，投标无效。</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adjustRightInd w:val="0"/>
        <w:spacing w:after="120"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adjustRightInd w:val="0"/>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18.2开标时，电子交易平台按开标时间自动提取所有投标文件。采购机构依托电子交易平台发起开始解密指令，投标人按照平台提示和招标文件的规定在半小时内完成在线解密。</w:t>
      </w:r>
    </w:p>
    <w:p>
      <w:pPr>
        <w:autoSpaceDE w:val="0"/>
        <w:autoSpaceDN w:val="0"/>
        <w:adjustRightInd w:val="0"/>
        <w:spacing w:line="360" w:lineRule="auto"/>
        <w:ind w:firstLine="240" w:firstLineChars="100"/>
        <w:contextualSpacing/>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pStyle w:val="526"/>
        <w:spacing w:before="0" w:line="360" w:lineRule="auto"/>
        <w:ind w:left="0" w:leftChars="0" w:firstLine="480" w:firstLineChars="200"/>
        <w:contextualSpacing/>
        <w:rPr>
          <w:rFonts w:hint="eastAsia" w:ascii="仿宋_GB2312" w:hAnsi="仿宋_GB2312" w:eastAsia="仿宋_GB2312" w:cs="仿宋_GB2312"/>
        </w:rPr>
      </w:pPr>
      <w:r>
        <w:rPr>
          <w:rFonts w:hint="eastAsia" w:ascii="仿宋_GB2312" w:hAnsi="仿宋_GB2312" w:eastAsia="仿宋_GB2312" w:cs="仿宋_GB2312"/>
          <w:b w:val="0"/>
          <w:bCs w:val="0"/>
          <w:sz w:val="24"/>
          <w:szCs w:val="22"/>
          <w:lang w:val="en-US" w:eastAsia="zh-CN"/>
        </w:rPr>
        <w:t>18.4开标记录开启后，请将附件2《政府采购活动现场确认声明书》填写完整发送至邮箱：649656585@qq.com。</w:t>
      </w:r>
    </w:p>
    <w:p>
      <w:pPr>
        <w:widowControl/>
        <w:adjustRightInd w:val="0"/>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adjustRightInd w:val="0"/>
        <w:spacing w:after="120"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19.1开标后，采购人或采购机构将依法对投标人的资格进行审查。</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Arial"/>
          <w:kern w:val="0"/>
          <w:sz w:val="24"/>
          <w:szCs w:val="24"/>
        </w:rPr>
        <w:t>19.2</w:t>
      </w:r>
      <w:r>
        <w:rPr>
          <w:rFonts w:hint="eastAsia" w:ascii="仿宋_GB2312" w:hAnsi="仿宋" w:eastAsia="仿宋_GB2312" w:cs="仿宋_GB2312"/>
          <w:sz w:val="24"/>
          <w:szCs w:val="24"/>
        </w:rPr>
        <w:t>采购人或采购机构依据法律法规和招标文件的规定，对投标人的基本资格条件、特定资格条件进行审查。</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19.3投标人未按照招标文件要求提供与</w:t>
      </w:r>
      <w:r>
        <w:rPr>
          <w:rFonts w:hint="eastAsia" w:ascii="仿宋_GB2312" w:hAnsi="仿宋" w:eastAsia="仿宋_GB2312" w:cs="仿宋_GB2312"/>
          <w:sz w:val="24"/>
        </w:rPr>
        <w:t>基本资格条件、特定资格条件相应的</w:t>
      </w:r>
      <w:r>
        <w:rPr>
          <w:rFonts w:hint="eastAsia" w:ascii="仿宋_GB2312" w:hAnsi="仿宋" w:eastAsia="仿宋_GB2312" w:cs="Arial"/>
          <w:kern w:val="0"/>
          <w:sz w:val="24"/>
          <w:szCs w:val="24"/>
        </w:rPr>
        <w:t>有效资格证明材料的，视为</w:t>
      </w:r>
      <w:r>
        <w:rPr>
          <w:rFonts w:hint="eastAsia" w:ascii="仿宋_GB2312" w:hAnsi="仿宋" w:eastAsia="仿宋_GB2312" w:cs="仿宋_GB2312"/>
          <w:sz w:val="24"/>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szCs w:val="24"/>
        </w:rPr>
        <w:t>详见招标文件第四部分“评标方法及评分标准”</w:t>
      </w:r>
    </w:p>
    <w:p>
      <w:pPr>
        <w:adjustRightInd w:val="0"/>
        <w:spacing w:line="360" w:lineRule="auto"/>
        <w:rPr>
          <w:rFonts w:ascii="仿宋_GB2312" w:hAnsi="仿宋" w:eastAsia="仿宋_GB2312" w:cs="仿宋_GB2312"/>
          <w:b/>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七、合同</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widowControl/>
        <w:shd w:val="clear" w:color="auto" w:fill="FFFFFF"/>
        <w:adjustRightInd w:val="0"/>
        <w:spacing w:line="360" w:lineRule="auto"/>
        <w:ind w:firstLine="480"/>
        <w:jc w:val="left"/>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采购人与中标人应当通过电子交易平台在中标通知书发出之日起三十日内，按照招标文件确定的事项签订政府采购合同，并在规定时间内依法发布合同公告。</w:t>
      </w:r>
    </w:p>
    <w:p>
      <w:pPr>
        <w:adjustRightInd w:val="0"/>
        <w:snapToGrid w:val="0"/>
        <w:spacing w:after="120" w:line="360" w:lineRule="auto"/>
        <w:ind w:firstLine="480" w:firstLineChars="200"/>
        <w:rPr>
          <w:rFonts w:ascii="仿宋_GB2312" w:hAnsi="仿宋" w:eastAsia="仿宋_GB2312"/>
          <w:kern w:val="0"/>
          <w:sz w:val="24"/>
        </w:rPr>
      </w:pPr>
      <w:r>
        <w:rPr>
          <w:rFonts w:hint="eastAsia" w:ascii="仿宋_GB2312" w:hAnsi="仿宋" w:eastAsia="仿宋_GB2312" w:cs="仿宋_GB2312"/>
          <w:kern w:val="0"/>
          <w:sz w:val="24"/>
          <w:lang w:val="zh-CN"/>
        </w:rPr>
        <w:t>25.2</w:t>
      </w:r>
      <w:r>
        <w:rPr>
          <w:rFonts w:hint="eastAsia" w:ascii="仿宋_GB2312" w:hAnsi="仿宋" w:eastAsia="仿宋_GB2312"/>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sz w:val="24"/>
        </w:rPr>
      </w:pPr>
      <w:r>
        <w:rPr>
          <w:rFonts w:ascii="仿宋_GB2312" w:hAnsi="仿宋" w:eastAsia="仿宋_GB2312" w:cs="仿宋_GB2312"/>
          <w:sz w:val="24"/>
        </w:rPr>
        <w:t>25.5采购合同由采购人与中标供应商根据</w:t>
      </w:r>
      <w:r>
        <w:rPr>
          <w:rFonts w:hint="eastAsia" w:ascii="仿宋_GB2312" w:hAnsi="仿宋" w:eastAsia="仿宋_GB2312" w:cs="仿宋_GB2312"/>
          <w:sz w:val="24"/>
        </w:rPr>
        <w:t>招标文件、投标文件等内容通过政府采购电子交易平台在线签订，自动备案。</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tabs>
          <w:tab w:val="left" w:pos="0"/>
        </w:tabs>
        <w:adjustRightInd w:val="0"/>
        <w:spacing w:line="360" w:lineRule="auto"/>
        <w:ind w:firstLine="480"/>
        <w:rPr>
          <w:rFonts w:ascii="仿宋_GB2312" w:hAnsi="仿宋" w:eastAsia="仿宋_GB2312" w:cs="Times New Roman"/>
          <w:sz w:val="24"/>
          <w:szCs w:val="24"/>
        </w:rPr>
      </w:pPr>
      <w:r>
        <w:rPr>
          <w:rFonts w:hint="eastAsia" w:ascii="仿宋_GB2312" w:hAnsi="仿宋" w:eastAsia="仿宋_GB2312" w:cs="Helvetica"/>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Times New Roman"/>
          <w:sz w:val="24"/>
          <w:szCs w:val="24"/>
        </w:rPr>
        <w:t>。履约保证金的数额不得超过政府采购合同金额的5%。</w:t>
      </w:r>
      <w:r>
        <w:rPr>
          <w:rFonts w:hint="eastAsia" w:ascii="仿宋_GB2312" w:hAnsi="仿宋" w:eastAsia="仿宋_GB2312" w:cs="Times New Roman"/>
          <w:b/>
          <w:sz w:val="24"/>
          <w:szCs w:val="24"/>
        </w:rPr>
        <w:t>采购人不得拒收履约保函。</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firstLine="3357" w:firstLineChars="1045"/>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27.5其他无法保证电子交易的公平、公正和安全的情况。</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0" w:name="_Hlt68073093"/>
      <w:bookmarkEnd w:id="10"/>
      <w:bookmarkStart w:id="11" w:name="_Hlt75236101"/>
      <w:bookmarkEnd w:id="11"/>
      <w:bookmarkStart w:id="12" w:name="_Hlt74729768"/>
      <w:bookmarkEnd w:id="12"/>
      <w:bookmarkStart w:id="13" w:name="_Hlt74714665"/>
      <w:bookmarkEnd w:id="13"/>
      <w:bookmarkStart w:id="14" w:name="_Hlt74707468"/>
      <w:bookmarkEnd w:id="14"/>
      <w:bookmarkStart w:id="15" w:name="_Hlt68072990"/>
      <w:bookmarkEnd w:id="15"/>
      <w:bookmarkStart w:id="16" w:name="_Hlt75236011"/>
      <w:bookmarkEnd w:id="16"/>
      <w:bookmarkStart w:id="17" w:name="_Hlt68403820"/>
      <w:bookmarkEnd w:id="17"/>
      <w:bookmarkStart w:id="18" w:name="_Hlt75236290"/>
      <w:bookmarkEnd w:id="18"/>
      <w:bookmarkStart w:id="19" w:name="_Hlt68057669"/>
      <w:bookmarkEnd w:id="19"/>
      <w:bookmarkStart w:id="20" w:name="_Hlt74730295"/>
      <w:bookmarkEnd w:id="20"/>
      <w:bookmarkStart w:id="21" w:name="_Hlt68072998"/>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rPr>
      </w:pPr>
      <w:r>
        <w:rPr>
          <w:rFonts w:hint="eastAsia" w:ascii="仿宋_GB2312" w:hAnsi="仿宋_GB2312" w:eastAsia="仿宋_GB2312" w:cs="仿宋_GB2312"/>
          <w:sz w:val="24"/>
        </w:rPr>
        <w:t>属于实质性要求条款的，已用符号“▲”标明，否则属于非实质性要求。</w:t>
      </w:r>
    </w:p>
    <w:p>
      <w:pPr>
        <w:tabs>
          <w:tab w:val="left" w:pos="8280"/>
        </w:tabs>
        <w:autoSpaceDE w:val="0"/>
        <w:autoSpaceDN w:val="0"/>
        <w:adjustRightInd w:val="0"/>
        <w:spacing w:line="360" w:lineRule="auto"/>
        <w:ind w:right="25"/>
        <w:rPr>
          <w:rFonts w:hint="eastAsia" w:ascii="仿宋_GB2312" w:hAnsi="仿宋_GB2312" w:eastAsia="仿宋_GB2312" w:cs="仿宋_GB2312"/>
          <w:b/>
          <w:sz w:val="24"/>
          <w:szCs w:val="24"/>
        </w:rPr>
      </w:pPr>
      <w:bookmarkStart w:id="25" w:name="_Toc495537794"/>
      <w:bookmarkStart w:id="26" w:name="_Toc29065_WPSOffice_Level2"/>
      <w:bookmarkStart w:id="27" w:name="_Toc515371180"/>
      <w:bookmarkStart w:id="28" w:name="_Toc471944895"/>
      <w:bookmarkStart w:id="29" w:name="_Toc502875122"/>
      <w:bookmarkStart w:id="30" w:name="_Toc53389701"/>
      <w:bookmarkStart w:id="31" w:name="_Toc5860_WPSOffice_Level2"/>
      <w:bookmarkStart w:id="32" w:name="_Toc461407890"/>
      <w:r>
        <w:rPr>
          <w:rFonts w:hint="eastAsia" w:ascii="仿宋_GB2312" w:hAnsi="仿宋_GB2312" w:eastAsia="仿宋_GB2312" w:cs="仿宋_GB2312"/>
          <w:b/>
          <w:sz w:val="24"/>
          <w:szCs w:val="24"/>
        </w:rPr>
        <w:t>一、采购内容及技术需求</w:t>
      </w:r>
    </w:p>
    <w:bookmarkEnd w:id="25"/>
    <w:bookmarkEnd w:id="26"/>
    <w:bookmarkEnd w:id="27"/>
    <w:bookmarkEnd w:id="28"/>
    <w:bookmarkEnd w:id="29"/>
    <w:bookmarkEnd w:id="30"/>
    <w:bookmarkEnd w:id="31"/>
    <w:bookmarkEnd w:id="32"/>
    <w:p>
      <w:pPr>
        <w:pStyle w:val="5"/>
        <w:numPr>
          <w:ilvl w:val="1"/>
          <w:numId w:val="0"/>
        </w:numPr>
        <w:tabs>
          <w:tab w:val="left" w:pos="0"/>
        </w:tabs>
        <w:spacing w:line="360" w:lineRule="auto"/>
        <w:rPr>
          <w:rFonts w:hint="eastAsia" w:ascii="仿宋_GB2312" w:hAnsi="仿宋_GB2312" w:eastAsia="仿宋_GB2312" w:cs="仿宋_GB2312"/>
          <w:b/>
          <w:bCs/>
          <w:sz w:val="24"/>
          <w:szCs w:val="24"/>
          <w:lang w:eastAsia="zh-CN"/>
        </w:rPr>
      </w:pPr>
      <w:bookmarkStart w:id="33" w:name="_Toc53389706"/>
      <w:r>
        <w:rPr>
          <w:rFonts w:hint="eastAsia" w:hAnsi="仿宋_GB2312" w:cs="仿宋_GB2312"/>
          <w:b/>
          <w:bCs/>
          <w:sz w:val="24"/>
          <w:szCs w:val="24"/>
          <w:lang w:val="en-US" w:eastAsia="zh-CN"/>
        </w:rPr>
        <w:t>1、</w:t>
      </w:r>
      <w:r>
        <w:rPr>
          <w:rFonts w:hint="eastAsia" w:ascii="仿宋_GB2312" w:hAnsi="仿宋_GB2312" w:eastAsia="仿宋_GB2312" w:cs="仿宋_GB2312"/>
          <w:b/>
          <w:bCs/>
          <w:sz w:val="24"/>
          <w:szCs w:val="24"/>
        </w:rPr>
        <w:t>项目建设思路</w:t>
      </w:r>
      <w:r>
        <w:rPr>
          <w:rFonts w:hint="eastAsia" w:hAnsi="仿宋_GB2312" w:cs="仿宋_GB2312"/>
          <w:b/>
          <w:bCs/>
          <w:sz w:val="24"/>
          <w:szCs w:val="24"/>
          <w:lang w:eastAsia="zh-CN"/>
        </w:rPr>
        <w:t>：</w:t>
      </w:r>
    </w:p>
    <w:bookmarkEnd w:id="33"/>
    <w:p>
      <w:pPr>
        <w:spacing w:line="360" w:lineRule="auto"/>
        <w:ind w:firstLine="480" w:firstLineChars="200"/>
        <w:rPr>
          <w:rFonts w:hint="eastAsia" w:ascii="仿宋_GB2312" w:hAnsi="仿宋_GB2312" w:eastAsia="仿宋_GB2312" w:cs="仿宋_GB2312"/>
          <w:sz w:val="24"/>
          <w:szCs w:val="24"/>
        </w:rPr>
      </w:pPr>
      <w:bookmarkStart w:id="34" w:name="_Toc515371188"/>
      <w:bookmarkStart w:id="35" w:name="_Toc502875130"/>
      <w:bookmarkStart w:id="36" w:name="_Toc495537799"/>
      <w:r>
        <w:rPr>
          <w:rFonts w:hint="eastAsia" w:ascii="仿宋_GB2312" w:hAnsi="仿宋_GB2312" w:eastAsia="仿宋_GB2312" w:cs="仿宋_GB2312"/>
          <w:sz w:val="24"/>
          <w:szCs w:val="24"/>
        </w:rPr>
        <w:t>临安区数据中心扩容及网络安全升级项目主要建设思路是：在保证业务稳定、高性能的基础上，增加GPU资源承载能力，全面提高网络边界的政务数据安全交换能力，重点加强项目方案可实施性，易运维管理性，提升方案实施和日常运维效率。相关思路如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（1）增加两节点GPU服务器及配套的虚拟化平台授权，以此提供高性能、高稳定、高可靠的GPU资源平台。</w:t>
      </w:r>
    </w:p>
    <w:p>
      <w:pPr>
        <w:pStyle w:val="933"/>
        <w:ind w:firstLine="420"/>
        <w:rPr>
          <w:rFonts w:hint="eastAsia" w:ascii="仿宋_GB2312" w:hAnsi="仿宋_GB2312" w:eastAsia="仿宋_GB2312" w:cs="仿宋_GB2312"/>
          <w:kern w:val="2"/>
          <w:sz w:val="24"/>
          <w:szCs w:val="24"/>
          <w:shd w:val="clear" w:color="auto" w:fill="auto"/>
        </w:rPr>
      </w:pPr>
      <w:r>
        <w:rPr>
          <w:rFonts w:hint="eastAsia" w:ascii="仿宋_GB2312" w:hAnsi="仿宋_GB2312" w:eastAsia="仿宋_GB2312" w:cs="仿宋_GB2312"/>
          <w:kern w:val="2"/>
          <w:sz w:val="24"/>
          <w:szCs w:val="24"/>
          <w:shd w:val="clear" w:color="auto" w:fill="auto"/>
        </w:rPr>
        <w:t>（2）构建安全的政务网络边界。增加一台数据网闸设备及视频网闸设备，通过数据交换设备构建政务网间数据交换体系，建设需具备标准防护能力，依据国际最高安全等级设计，采取三权分立，满足等级保护需要，方案需要基于“双主机+隔离硬件”的硬件架构，结合专业定制的网络安全操作系统和高强度的协议分析控制功能，以此构建一个在网络边界处抵御已知和新型攻击行为的高安全屏障。</w:t>
      </w:r>
    </w:p>
    <w:p>
      <w:pPr>
        <w:pStyle w:val="6"/>
        <w:numPr>
          <w:ilvl w:val="2"/>
          <w:numId w:val="0"/>
        </w:numPr>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2、项目建设目标</w:t>
      </w:r>
    </w:p>
    <w:bookmarkEnd w:id="34"/>
    <w:bookmarkEnd w:id="35"/>
    <w:bookmarkEnd w:id="36"/>
    <w:p>
      <w:pPr>
        <w:pStyle w:val="934"/>
        <w:ind w:firstLineChars="200"/>
        <w:rPr>
          <w:rFonts w:hint="eastAsia" w:ascii="仿宋_GB2312" w:hAnsi="仿宋_GB2312" w:eastAsia="仿宋_GB2312" w:cs="仿宋_GB2312"/>
          <w:kern w:val="2"/>
          <w:sz w:val="24"/>
          <w:szCs w:val="24"/>
          <w:shd w:val="clear" w:color="auto" w:fill="auto"/>
        </w:rPr>
      </w:pPr>
      <w:bookmarkStart w:id="37" w:name="_Toc12777_WPSOffice_Level2"/>
      <w:bookmarkStart w:id="38" w:name="_Toc53389707"/>
      <w:bookmarkStart w:id="39" w:name="_Toc471944901"/>
      <w:bookmarkStart w:id="40" w:name="_Toc502875138"/>
      <w:bookmarkStart w:id="41" w:name="_Toc18051_WPSOffice_Level2"/>
      <w:bookmarkStart w:id="42" w:name="_Toc515371192"/>
      <w:bookmarkStart w:id="43" w:name="_Toc495537800"/>
      <w:r>
        <w:rPr>
          <w:rFonts w:hint="eastAsia" w:ascii="仿宋_GB2312" w:hAnsi="仿宋_GB2312" w:eastAsia="仿宋_GB2312" w:cs="仿宋_GB2312"/>
          <w:kern w:val="2"/>
          <w:sz w:val="24"/>
          <w:szCs w:val="24"/>
          <w:shd w:val="clear" w:color="auto" w:fill="auto"/>
        </w:rPr>
        <w:t>针对目前存在的问题，对临安区政务数据中心及网络安全进行规划建设，保障业务的安全与稳定运行，建设主要内容如下：</w:t>
      </w:r>
    </w:p>
    <w:p>
      <w:pPr>
        <w:pStyle w:val="933"/>
        <w:ind w:firstLineChars="0"/>
        <w:rPr>
          <w:rFonts w:hint="eastAsia" w:ascii="仿宋_GB2312" w:hAnsi="仿宋_GB2312" w:eastAsia="仿宋_GB2312" w:cs="仿宋_GB2312"/>
          <w:kern w:val="2"/>
          <w:sz w:val="24"/>
          <w:szCs w:val="24"/>
          <w:shd w:val="clear" w:color="auto" w:fill="auto"/>
        </w:rPr>
      </w:pPr>
      <w:r>
        <w:rPr>
          <w:rFonts w:hint="eastAsia" w:ascii="仿宋_GB2312" w:hAnsi="仿宋_GB2312" w:eastAsia="仿宋_GB2312" w:cs="仿宋_GB2312"/>
          <w:kern w:val="2"/>
          <w:sz w:val="24"/>
          <w:szCs w:val="24"/>
          <w:shd w:val="clear" w:color="auto" w:fill="auto"/>
        </w:rPr>
        <w:t>（1）完成数据中心-GPU资源节点扩容建设，以满足后续3D建模、GPU类型的资源承载需求；</w:t>
      </w:r>
    </w:p>
    <w:p>
      <w:pPr>
        <w:pStyle w:val="933"/>
        <w:ind w:firstLineChars="0"/>
        <w:rPr>
          <w:rFonts w:hint="eastAsia" w:ascii="仿宋_GB2312" w:hAnsi="仿宋_GB2312" w:eastAsia="仿宋_GB2312" w:cs="仿宋_GB2312"/>
          <w:kern w:val="2"/>
          <w:sz w:val="24"/>
          <w:szCs w:val="24"/>
          <w:shd w:val="clear" w:color="auto" w:fill="auto"/>
        </w:rPr>
      </w:pPr>
      <w:r>
        <w:rPr>
          <w:rFonts w:hint="eastAsia" w:ascii="仿宋_GB2312" w:hAnsi="仿宋_GB2312" w:eastAsia="仿宋_GB2312" w:cs="仿宋_GB2312"/>
          <w:kern w:val="2"/>
          <w:sz w:val="24"/>
          <w:szCs w:val="24"/>
          <w:shd w:val="clear" w:color="auto" w:fill="auto"/>
        </w:rPr>
        <w:t>（2）完成政务外网与视频监控专网、政务外网与互联网的数据安全交换体系的建设，以此解决数据资源碎片化、孤岛化问题，从而盘活资源，构建起网络架构合理、基础数据共享、行业管理独立、公共平台统一的可视化信息支撑平台，充分发挥资源的重要作用，实现信息资源共享和应用效益最大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建设完成后，将切实改善临安信息化现状，一方面可以对外提供GPU类型资源的承载，满足3D建模等业务的正常使用，有利于各项重要办公业务工作的正常开展，另一方面通过本项目中安全隔离与信息交换系统及其他配套设备建设，通过打通区域、内外网或网络为不同类型用户提供各种业务应用服务，可方位满足我单位科技创新体系及核心业务数字化建设需求，提高IT整体治理能力，进而提高机关工作效率，增强更好服务群众的能力。综上所述，通过项目建设临安数据资源管理局可获得巨大的收益。 </w:t>
      </w:r>
    </w:p>
    <w:p>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项目建设内容</w:t>
      </w:r>
    </w:p>
    <w:bookmarkEnd w:id="37"/>
    <w:bookmarkEnd w:id="38"/>
    <w:bookmarkEnd w:id="39"/>
    <w:bookmarkEnd w:id="40"/>
    <w:bookmarkEnd w:id="41"/>
    <w:bookmarkEnd w:id="42"/>
    <w:bookmarkEnd w:id="43"/>
    <w:p>
      <w:pPr>
        <w:pStyle w:val="933"/>
        <w:ind w:firstLine="420"/>
        <w:rPr>
          <w:rFonts w:hint="eastAsia" w:ascii="仿宋_GB2312" w:hAnsi="仿宋_GB2312" w:eastAsia="仿宋_GB2312" w:cs="仿宋_GB2312"/>
          <w:kern w:val="2"/>
          <w:sz w:val="24"/>
          <w:szCs w:val="24"/>
          <w:shd w:val="clear" w:color="auto" w:fill="auto"/>
        </w:rPr>
      </w:pPr>
      <w:bookmarkStart w:id="44" w:name="_Toc53338210"/>
      <w:bookmarkStart w:id="45" w:name="_Toc515371193"/>
      <w:bookmarkStart w:id="46" w:name="_Toc9321_WPSOffice_Level2"/>
      <w:bookmarkStart w:id="47" w:name="_Toc6359_WPSOffice_Level2"/>
      <w:r>
        <w:rPr>
          <w:rFonts w:hint="eastAsia" w:ascii="仿宋_GB2312" w:hAnsi="仿宋_GB2312" w:eastAsia="仿宋_GB2312" w:cs="仿宋_GB2312"/>
          <w:kern w:val="2"/>
          <w:sz w:val="24"/>
          <w:szCs w:val="24"/>
          <w:shd w:val="clear" w:color="auto" w:fill="auto"/>
        </w:rPr>
        <w:t>针对目前存在的问题，临安区数据资源管理局将通过两部分项目内容建设，满足上述项目建设目标，项目具体建设内容如下：</w:t>
      </w:r>
    </w:p>
    <w:p>
      <w:pPr>
        <w:pStyle w:val="934"/>
        <w:rPr>
          <w:rFonts w:hint="eastAsia" w:ascii="仿宋_GB2312" w:hAnsi="仿宋_GB2312" w:eastAsia="仿宋_GB2312" w:cs="仿宋_GB2312"/>
          <w:kern w:val="2"/>
          <w:sz w:val="24"/>
          <w:szCs w:val="24"/>
          <w:shd w:val="clear" w:color="auto" w:fill="auto"/>
        </w:rPr>
      </w:pPr>
      <w:r>
        <w:rPr>
          <w:rFonts w:hint="eastAsia" w:ascii="仿宋_GB2312" w:hAnsi="仿宋_GB2312" w:eastAsia="仿宋_GB2312" w:cs="仿宋_GB2312"/>
          <w:kern w:val="2"/>
          <w:sz w:val="24"/>
          <w:szCs w:val="24"/>
          <w:shd w:val="clear" w:color="auto" w:fill="auto"/>
        </w:rPr>
        <w:t>根据省大数据局关于开展数字孪生建设首批试点的工作要求，目前数字孪生已成为临安数据资源管理局信息化发展的关键举措，数字孪生建设理念已深入到各地新型智慧城市及新基建规划中，数字孪生，是指充分利用物理模型和物联网传感器采集的全生命周期的运行历史等数据，集成多学科、多物理量、多尺度、多概率的仿真过程，在虚拟空间中完成映射，从而反映相对应的实体对象的全生命周期过程，从技术实现上，数字孪生模型需要通过城市信息模型(CIM)及建筑信息模型（BIM）相关技术应用规范或导则来辅助呈现，结合目前目前临安区数据资源管理局现有数据中心虚拟化平台承载情况，需要在现有基础上增加GPU计算节点，以此才能具备诸如城市信息模型（CIM）、建筑信息模型（BIM）及地理信息系统（GIS）等建模平台的承载能力。</w:t>
      </w:r>
    </w:p>
    <w:p>
      <w:pPr>
        <w:pStyle w:val="934"/>
        <w:rPr>
          <w:rFonts w:hint="eastAsia" w:ascii="仿宋_GB2312" w:hAnsi="仿宋_GB2312" w:eastAsia="仿宋_GB2312" w:cs="仿宋_GB2312"/>
          <w:kern w:val="2"/>
          <w:sz w:val="24"/>
          <w:szCs w:val="24"/>
          <w:shd w:val="clear" w:color="auto" w:fill="auto"/>
        </w:rPr>
      </w:pPr>
      <w:r>
        <w:rPr>
          <w:rFonts w:hint="eastAsia" w:ascii="仿宋_GB2312" w:hAnsi="仿宋_GB2312" w:eastAsia="仿宋_GB2312" w:cs="仿宋_GB2312"/>
          <w:kern w:val="2"/>
          <w:sz w:val="24"/>
          <w:szCs w:val="24"/>
          <w:shd w:val="clear" w:color="auto" w:fill="auto"/>
        </w:rPr>
        <w:t>另外从安全维度上，数字孪生需要采集城市摄像头、传感器等多维度数据，并基于“城市大脑”发现问题并预警，对于视频监控专网和政务外网之间、政务外网和互联网之间的数据交换需要有规范化的管理的手段，着重加强对临安区政务数据安全交换的管理，基于此，需要在现有网络基础上建设安全隔离与信息交换系统体系，以此保障物理层面、协议层面、应用层面、内容层面的有效隔离，在此前提下，通过专有硬件实现网络间信息的实时交换，构建数据交换的可信体系。</w:t>
      </w:r>
    </w:p>
    <w:p>
      <w:pPr>
        <w:pStyle w:val="6"/>
        <w:numPr>
          <w:ilvl w:val="2"/>
          <w:numId w:val="0"/>
        </w:num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项目建设周期</w:t>
      </w:r>
      <w:bookmarkEnd w:id="44"/>
      <w:bookmarkEnd w:id="45"/>
      <w:bookmarkEnd w:id="46"/>
      <w:bookmarkEnd w:id="47"/>
    </w:p>
    <w:p>
      <w:pPr>
        <w:pStyle w:val="933"/>
        <w:ind w:firstLine="420"/>
        <w:rPr>
          <w:rFonts w:hint="eastAsia" w:ascii="仿宋_GB2312" w:hAnsi="仿宋_GB2312" w:eastAsia="仿宋_GB2312" w:cs="仿宋_GB2312"/>
          <w:kern w:val="2"/>
          <w:sz w:val="24"/>
          <w:szCs w:val="24"/>
          <w:shd w:val="clear" w:color="auto" w:fill="auto"/>
        </w:rPr>
      </w:pPr>
      <w:r>
        <w:rPr>
          <w:rFonts w:hint="eastAsia" w:ascii="仿宋_GB2312" w:hAnsi="仿宋_GB2312" w:eastAsia="仿宋_GB2312" w:cs="仿宋_GB2312"/>
          <w:kern w:val="2"/>
          <w:sz w:val="24"/>
          <w:szCs w:val="24"/>
          <w:shd w:val="clear" w:color="auto" w:fill="auto"/>
        </w:rPr>
        <w:t>建设总工期估算约4个月，项目建设1个月，试运行3个月。</w:t>
      </w:r>
    </w:p>
    <w:p>
      <w:pPr>
        <w:pStyle w:val="935"/>
        <w:ind w:firstLine="0" w:firstLineChars="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项目采购清单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54"/>
        <w:gridCol w:w="2551"/>
        <w:gridCol w:w="824"/>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6" w:type="pct"/>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序号</w:t>
            </w:r>
          </w:p>
        </w:tc>
        <w:tc>
          <w:tcPr>
            <w:tcW w:w="406" w:type="pct"/>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类别</w:t>
            </w:r>
          </w:p>
        </w:tc>
        <w:tc>
          <w:tcPr>
            <w:tcW w:w="1374" w:type="pct"/>
            <w:shd w:val="clear" w:color="auto" w:fill="auto"/>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产品名称</w:t>
            </w:r>
          </w:p>
        </w:tc>
        <w:tc>
          <w:tcPr>
            <w:tcW w:w="444" w:type="pct"/>
            <w:shd w:val="clear" w:color="auto" w:fill="auto"/>
            <w:noWrap/>
            <w:vAlign w:val="center"/>
          </w:tcPr>
          <w:p>
            <w:pPr>
              <w:widowControl/>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数量</w:t>
            </w:r>
          </w:p>
        </w:tc>
        <w:tc>
          <w:tcPr>
            <w:tcW w:w="2378" w:type="pct"/>
            <w:shd w:val="clear" w:color="auto" w:fill="auto"/>
            <w:noWrap/>
            <w:vAlign w:val="center"/>
          </w:tcPr>
          <w:p>
            <w:pPr>
              <w:widowControl/>
              <w:jc w:val="center"/>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406" w:type="pct"/>
            <w:vMerge w:val="restar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硬件</w:t>
            </w:r>
          </w:p>
        </w:tc>
        <w:tc>
          <w:tcPr>
            <w:tcW w:w="137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GPU节点</w:t>
            </w:r>
          </w:p>
        </w:tc>
        <w:tc>
          <w:tcPr>
            <w:tcW w:w="444" w:type="pct"/>
            <w:shd w:val="clear" w:color="auto" w:fill="auto"/>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2378" w:type="pct"/>
            <w:shd w:val="clear" w:color="auto" w:fill="auto"/>
            <w:noWrap/>
            <w:vAlign w:val="center"/>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96" w:type="pc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406" w:type="pct"/>
            <w:vMerge w:val="continue"/>
            <w:vAlign w:val="center"/>
          </w:tcPr>
          <w:p>
            <w:pPr>
              <w:widowControl/>
              <w:jc w:val="center"/>
              <w:rPr>
                <w:rFonts w:hint="eastAsia" w:ascii="仿宋_GB2312" w:hAnsi="仿宋_GB2312" w:eastAsia="仿宋_GB2312" w:cs="仿宋_GB2312"/>
                <w:color w:val="000000"/>
                <w:kern w:val="0"/>
                <w:sz w:val="21"/>
                <w:szCs w:val="21"/>
              </w:rPr>
            </w:pPr>
          </w:p>
        </w:tc>
        <w:tc>
          <w:tcPr>
            <w:tcW w:w="137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交换机</w:t>
            </w:r>
          </w:p>
        </w:tc>
        <w:tc>
          <w:tcPr>
            <w:tcW w:w="44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2378"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406" w:type="pct"/>
            <w:vMerge w:val="continue"/>
            <w:vAlign w:val="center"/>
          </w:tcPr>
          <w:p>
            <w:pPr>
              <w:widowControl/>
              <w:jc w:val="center"/>
              <w:rPr>
                <w:rFonts w:hint="eastAsia" w:ascii="仿宋_GB2312" w:hAnsi="仿宋_GB2312" w:eastAsia="仿宋_GB2312" w:cs="仿宋_GB2312"/>
                <w:color w:val="000000"/>
                <w:kern w:val="0"/>
                <w:sz w:val="21"/>
                <w:szCs w:val="21"/>
              </w:rPr>
            </w:pPr>
          </w:p>
        </w:tc>
        <w:tc>
          <w:tcPr>
            <w:tcW w:w="137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数据网闸</w:t>
            </w:r>
          </w:p>
        </w:tc>
        <w:tc>
          <w:tcPr>
            <w:tcW w:w="44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2378"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6" w:type="pc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406" w:type="pct"/>
            <w:vMerge w:val="continue"/>
            <w:vAlign w:val="center"/>
          </w:tcPr>
          <w:p>
            <w:pPr>
              <w:widowControl/>
              <w:jc w:val="center"/>
              <w:rPr>
                <w:rFonts w:hint="eastAsia" w:ascii="仿宋_GB2312" w:hAnsi="仿宋_GB2312" w:eastAsia="仿宋_GB2312" w:cs="仿宋_GB2312"/>
                <w:color w:val="000000"/>
                <w:kern w:val="0"/>
                <w:sz w:val="21"/>
                <w:szCs w:val="21"/>
              </w:rPr>
            </w:pPr>
          </w:p>
        </w:tc>
        <w:tc>
          <w:tcPr>
            <w:tcW w:w="137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视频网闸</w:t>
            </w:r>
          </w:p>
        </w:tc>
        <w:tc>
          <w:tcPr>
            <w:tcW w:w="44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2378"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96" w:type="pc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406" w:type="pct"/>
            <w:vMerge w:val="restar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软件</w:t>
            </w:r>
          </w:p>
        </w:tc>
        <w:tc>
          <w:tcPr>
            <w:tcW w:w="137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GPU节点虚拟化软件</w:t>
            </w:r>
          </w:p>
        </w:tc>
        <w:tc>
          <w:tcPr>
            <w:tcW w:w="44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2378" w:type="pct"/>
            <w:shd w:val="clear" w:color="auto" w:fill="auto"/>
            <w:vAlign w:val="center"/>
          </w:tcPr>
          <w:p>
            <w:pPr>
              <w:widowControl/>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xml:space="preserve">包含GPU节点虚拟化软件、GPU显卡授权软件、GPU云平台管理软件，GPU节点虚拟化软件。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96" w:type="pc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406" w:type="pct"/>
            <w:vMerge w:val="continue"/>
            <w:vAlign w:val="center"/>
          </w:tcPr>
          <w:p>
            <w:pPr>
              <w:widowControl/>
              <w:jc w:val="center"/>
              <w:rPr>
                <w:rFonts w:hint="eastAsia" w:ascii="仿宋_GB2312" w:hAnsi="仿宋_GB2312" w:eastAsia="仿宋_GB2312" w:cs="仿宋_GB2312"/>
                <w:color w:val="000000"/>
                <w:kern w:val="0"/>
                <w:sz w:val="21"/>
                <w:szCs w:val="21"/>
              </w:rPr>
            </w:pPr>
          </w:p>
        </w:tc>
        <w:tc>
          <w:tcPr>
            <w:tcW w:w="137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GPU节点显卡虚拟化软件</w:t>
            </w:r>
          </w:p>
        </w:tc>
        <w:tc>
          <w:tcPr>
            <w:tcW w:w="444" w:type="pct"/>
            <w:shd w:val="clear" w:color="auto"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2378" w:type="pct"/>
            <w:shd w:val="clear" w:color="auto" w:fill="auto"/>
            <w:vAlign w:val="center"/>
          </w:tcPr>
          <w:p>
            <w:pPr>
              <w:widowControl/>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具备英伟达显卡虚拟化全部功能，适用于GPU计算和专业图形场景，包含NVIDIA显卡授权永久许可及5年远程技术支持、软件升级。</w:t>
            </w:r>
          </w:p>
        </w:tc>
      </w:tr>
    </w:tbl>
    <w:p>
      <w:pPr>
        <w:pStyle w:val="2"/>
        <w:rPr>
          <w:rFonts w:ascii="仿宋" w:hAnsi="Arial"/>
          <w:b/>
          <w:kern w:val="0"/>
        </w:rPr>
      </w:pPr>
    </w:p>
    <w:p>
      <w:pPr>
        <w:pStyle w:val="5"/>
        <w:numPr>
          <w:ilvl w:val="0"/>
          <w:numId w:val="0"/>
        </w:numPr>
        <w:tabs>
          <w:tab w:val="left" w:pos="0"/>
        </w:tabs>
        <w:spacing w:line="360" w:lineRule="auto"/>
        <w:ind w:leftChars="0"/>
        <w:rPr>
          <w:rFonts w:ascii="宋体" w:hAnsi="宋体"/>
          <w:b/>
          <w:bCs/>
          <w:sz w:val="24"/>
          <w:szCs w:val="24"/>
        </w:rPr>
      </w:pPr>
      <w:r>
        <w:rPr>
          <w:rFonts w:hint="eastAsia" w:ascii="宋体" w:hAnsi="宋体"/>
          <w:b/>
          <w:bCs/>
          <w:sz w:val="24"/>
          <w:szCs w:val="24"/>
          <w:lang w:val="en-US" w:eastAsia="zh-CN"/>
        </w:rPr>
        <w:t>6</w:t>
      </w:r>
      <w:r>
        <w:rPr>
          <w:rFonts w:hint="eastAsia" w:ascii="宋体" w:hAnsi="宋体"/>
          <w:b/>
          <w:bCs/>
          <w:sz w:val="24"/>
          <w:szCs w:val="24"/>
          <w:lang w:eastAsia="zh-CN"/>
        </w:rPr>
        <w:t>、</w:t>
      </w:r>
      <w:r>
        <w:rPr>
          <w:rFonts w:hint="eastAsia" w:ascii="宋体" w:hAnsi="宋体"/>
          <w:b/>
          <w:bCs/>
          <w:sz w:val="24"/>
          <w:szCs w:val="24"/>
        </w:rPr>
        <w:t>招标参数</w:t>
      </w:r>
    </w:p>
    <w:p>
      <w:pPr>
        <w:rPr>
          <w:rFonts w:hint="eastAsia" w:ascii="仿宋_GB2312" w:hAnsi="仿宋_GB2312" w:eastAsia="仿宋_GB2312" w:cs="仿宋_GB2312"/>
          <w:b/>
          <w:bCs/>
        </w:rPr>
      </w:pPr>
      <w:r>
        <w:rPr>
          <w:rFonts w:hint="eastAsia" w:ascii="仿宋_GB2312" w:hAnsi="仿宋_GB2312" w:eastAsia="仿宋_GB2312" w:cs="仿宋_GB2312"/>
          <w:b/>
          <w:bCs/>
        </w:rPr>
        <w:t>1.GPU节点</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技术指标</w:t>
            </w:r>
          </w:p>
        </w:tc>
        <w:tc>
          <w:tcPr>
            <w:tcW w:w="4110"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硬件服务器参数要求</w:t>
            </w:r>
          </w:p>
        </w:tc>
        <w:tc>
          <w:tcPr>
            <w:tcW w:w="4110" w:type="pct"/>
            <w:vAlign w:val="center"/>
          </w:tcPr>
          <w:p>
            <w:pPr>
              <w:spacing w:line="360" w:lineRule="auto"/>
              <w:rPr>
                <w:rFonts w:hint="eastAsia" w:ascii="仿宋_GB2312" w:hAnsi="仿宋_GB2312" w:eastAsia="仿宋_GB2312" w:cs="仿宋_GB2312"/>
                <w:color w:val="000000" w:themeColor="text1"/>
                <w:highlight w:val="yellow"/>
                <w14:textFill>
                  <w14:solidFill>
                    <w14:schemeClr w14:val="tx1"/>
                  </w14:solidFill>
                </w14:textFill>
              </w:rPr>
            </w:pPr>
            <w:r>
              <w:rPr>
                <w:rFonts w:hint="eastAsia" w:ascii="仿宋_GB2312" w:hAnsi="仿宋_GB2312" w:eastAsia="仿宋_GB2312" w:cs="仿宋_GB2312"/>
                <w:szCs w:val="21"/>
              </w:rPr>
              <w:t>▲</w:t>
            </w:r>
            <w:r>
              <w:rPr>
                <w:rFonts w:hint="eastAsia" w:ascii="仿宋_GB2312" w:hAnsi="仿宋_GB2312" w:eastAsia="仿宋_GB2312" w:cs="仿宋_GB2312"/>
                <w:color w:val="000000" w:themeColor="text1"/>
                <w14:textFill>
                  <w14:solidFill>
                    <w14:schemeClr w14:val="tx1"/>
                  </w14:solidFill>
                </w14:textFill>
              </w:rPr>
              <w:t>本次提供2台GPU物理服务器，单台物理服务器配置：CPU：2颗Gold 6226R 2.9G（16C），内存：256GB，系统盘：1*240GB SATA SSD，2*T4显卡，缓存盘：2*1.92T，数据盘：6*8T，电源：白金，冗余电源，接口：6千兆电口+4万兆光口。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服务</w:t>
            </w:r>
          </w:p>
        </w:tc>
        <w:tc>
          <w:tcPr>
            <w:tcW w:w="4110" w:type="pct"/>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color w:val="000000" w:themeColor="text1"/>
                <w14:textFill>
                  <w14:solidFill>
                    <w14:schemeClr w14:val="tx1"/>
                  </w14:solidFill>
                </w14:textFill>
              </w:rPr>
              <w:t>提供三年原厂7*24服务，合同签订前提供原厂授权函及售后服务承诺函。设备生产商需在国内设有400技术服务热线。</w:t>
            </w:r>
          </w:p>
        </w:tc>
      </w:tr>
    </w:tbl>
    <w:p/>
    <w:p>
      <w:pPr>
        <w:rPr>
          <w:rFonts w:hint="eastAsia" w:ascii="仿宋_GB2312" w:hAnsi="仿宋_GB2312" w:eastAsia="仿宋_GB2312" w:cs="仿宋_GB2312"/>
          <w:b/>
          <w:bCs/>
        </w:rPr>
      </w:pPr>
      <w:r>
        <w:rPr>
          <w:rFonts w:hint="eastAsia" w:ascii="仿宋_GB2312" w:hAnsi="仿宋_GB2312" w:eastAsia="仿宋_GB2312" w:cs="仿宋_GB2312"/>
          <w:b/>
          <w:bCs/>
        </w:rPr>
        <w:t>2.GPU节点虚拟化软件</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技术指标</w:t>
            </w:r>
          </w:p>
        </w:tc>
        <w:tc>
          <w:tcPr>
            <w:tcW w:w="4110"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89"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品牌资质</w:t>
            </w:r>
          </w:p>
        </w:tc>
        <w:tc>
          <w:tcPr>
            <w:tcW w:w="4110"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非OEM产品，拥有自主知识产权，提供数据持续保护软件著作权登记证书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平台兼容性</w:t>
            </w:r>
          </w:p>
        </w:tc>
        <w:tc>
          <w:tcPr>
            <w:tcW w:w="4110" w:type="pct"/>
            <w:shd w:val="clear" w:color="000000" w:fill="FFFFFF"/>
            <w:vAlign w:val="center"/>
          </w:tcPr>
          <w:p>
            <w:pPr>
              <w:spacing w:line="360" w:lineRule="auto"/>
              <w:rPr>
                <w:rFonts w:hint="eastAsia" w:ascii="仿宋_GB2312" w:hAnsi="仿宋_GB2312" w:eastAsia="FangSong_GB2312" w:cs="仿宋_GB2312"/>
                <w:color w:val="000000" w:themeColor="text1"/>
                <w:lang w:val="en-US" w:eastAsia="zh-CN"/>
                <w14:textFill>
                  <w14:solidFill>
                    <w14:schemeClr w14:val="tx1"/>
                  </w14:solidFill>
                </w14:textFill>
              </w:rPr>
            </w:pPr>
            <w:r>
              <w:rPr>
                <w:rFonts w:hint="eastAsia" w:ascii="FangSong_GB2312" w:hAnsi="FangSong_GB2312" w:eastAsia="FangSong_GB2312" w:cs="FangSong_GB2312"/>
                <w:color w:val="auto"/>
                <w:szCs w:val="21"/>
              </w:rPr>
              <w:t>▲</w:t>
            </w:r>
            <w:r>
              <w:rPr>
                <w:rFonts w:hint="eastAsia" w:ascii="FangSong_GB2312" w:hAnsi="FangSong_GB2312" w:eastAsia="FangSong_GB2312" w:cs="FangSong_GB2312"/>
                <w:color w:val="auto"/>
              </w:rPr>
              <w:t>为</w:t>
            </w:r>
            <w:r>
              <w:rPr>
                <w:rFonts w:hint="eastAsia" w:ascii="FangSong_GB2312" w:hAnsi="FangSong_GB2312" w:eastAsia="FangSong_GB2312" w:cs="FangSong_GB2312"/>
                <w:color w:val="000000" w:themeColor="text1"/>
                <w14:textFill>
                  <w14:solidFill>
                    <w14:schemeClr w14:val="tx1"/>
                  </w14:solidFill>
                </w14:textFill>
              </w:rPr>
              <w:t>保证业务兼容性及稳定性，需要与现有临安政务云平台无缝对接，对接内容包含租户管理、工单审批、计量计费、虚拟机管理、账户体系、云内网络统一编排，能够通过原有平台进行统一虚拟机镜像下发，提供对应的研发技术对接支撑。（中标后7个工作日内提供相应原厂对接证明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restar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虚拟化功能参数</w:t>
            </w: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提供4个CPU 计算虚拟化、网络虚拟化、存储虚拟化授权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冗余性：冗余电源、风扇、控制器、缓存断电保护功能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存储分卷功能，以物理主机为单位划分为不同的存储卷，可将集群内全闪存的节点组成一个高性能存储池，满足高性能应用需求，将混闪节点组成一个大容量存储池，满足低性能大容量应用需求。所有类型不同性能磁盘均可支持分区，包含SSD，SAS，SATA，NL-SA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支持无代理跨物理主机的虚拟机USB映射，需要使用USB KEY时，无需再虚拟机上安装客户端插件，且虚拟机迁移到其它物理主机后，仍能正常使用迁移前所在物理主机上的USB资源，对于业务的自适应能力、使用便捷性更佳。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支持磁盘亚健康监测，包括PCIE SSD寿命告警、硬盘卡、慢的检测和告警、IO错误告警、RAID卡错误告警等。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支持设置告警类型（紧急和普通）、告警内容（集群、主机、虚拟机、CPU、内存、磁盘），针对告警信息平台可自动给出告警处理建议，同时支持将告警信息以短信和邮件方式发送给管理员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故障快速恢复：保障硬盘失效后的故障时间短，快速恢复数据，减少风险；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支持硬盘容量预测功能，并可根据客户设置的阈值进行容量告警，为用户扩容提供指导，并避免使用过程中突然出现容量不足问题（需提供产品功能截图）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物理硬件出现故障时业务能够实现自动漂移，保障业务系统快速恢复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为避免主机假死导致系列问题发生，支持识别假死主机并标签化为亚健康主机，通过邮件或短信告警提醒用户进行处理，并限制重要业务在亚健康主机上运行，规避风险。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与现有态势感知平台进行安全联动，实现当发生僵尸网络、勒索病毒、挖矿安全事故时，实现自动隔离中毒云主机，并提供故障前一刻的业务安全状态供恢复，将安全事故损失最小化，也支持将病毒虚拟机进行关机或挂起，避免挖坑云主机消耗整个平台的性能。（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89" w:type="pct"/>
            <w:vMerge w:val="restar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云管平台</w:t>
            </w: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提供4个CPU 云管平台授权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highlight w:val="yellow"/>
                <w:lang w:eastAsia="zh-CN"/>
                <w14:textFill>
                  <w14:solidFill>
                    <w14:schemeClr w14:val="tx1"/>
                  </w14:solidFill>
                </w14:textFill>
              </w:rPr>
            </w:pP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rPr>
              <w:t>本项目为基于现有使用成熟稳定的数据中心进行GPU能力扩容，构建数据中心灾备能力的基础平台，为保证数据中心业务连续性及数据安全，实现数据中心建设平滑演进，支持与原有平台业务虚拟机进行在线不中断迁移，为保证数据安全性以及运维便捷性，不得采用第三方软件实现在线业务迁移</w:t>
            </w:r>
            <w:r>
              <w:rPr>
                <w:rFonts w:hint="eastAsia" w:ascii="仿宋_GB2312" w:hAnsi="仿宋_GB2312" w:eastAsia="仿宋_GB2312" w:cs="仿宋_GB2312"/>
                <w:color w:val="000000"/>
                <w:szCs w:val="21"/>
                <w:lang w:eastAsia="zh-CN"/>
              </w:rPr>
              <w:t>。（中标后7个工作日内需提供厂商承诺函原件）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支持大屏展示便于客户直观查看虚拟化资源池的使用情况和健康状态，包括集群资源情况，各主机资源使用情况，存储资源池的IO次数、IO速率、IO时延、存储命中率、主机命中率，以及集群故障与告警，支持Top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提供统一的镜像管理功能，实现各个可用区上镜像的统一创建和管理，可实现一键快速生成云主机，要求可提供网络设备镜像，方便快速的部署虚拟化安全的组件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云资源的申请需要通过管理员审批方可使用，云操作系统支持多级审批流程，可以根据用户实际组织进行自定义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云平台应提供VPC网络服务，每个租户可构建一个隔离的VPC网络，并在VPC内自定义私网IP 地址、网关、静态路由、端口映射、ACL等，不同VPC之间逻辑隔离、无法进行通信。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支持纳管第三方主流虚拟化平台，提供对VMware平台上的虚拟机进行管理, 可在云管平台上直接编辑VMware的虚拟机配置，支持编辑其虚拟机的vCPU、内存、磁盘、网络等，支持对VMware资源进行多租户划分、工单审批等。（需提供产品功能截图）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pct"/>
            <w:vMerge w:val="restar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本地数据保护</w:t>
            </w: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支持扩展无代理持续数据CDP软件，支持快速浏览指定CDP备份内的文件，可快速的从CDP备份中找回数据文件，查看虚拟机文件目录的操作可做安全审计（需提供产品功能截图）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支持快照功能，恢复某个时间点的快照，其他时间点快照不丢失，支持克隆功能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支持无代理持续数据保护CDP软件模块，能够动态的开启和关闭，比如能够提供对正在运行的虚拟机，在不需要重启或中断业务的情况下，就可以开启CDP。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支持数据安全恢复机制，当主机或者磁盘故障后，自动利用集群内空闲磁盘空间，将故障数据重新恢复，并保证副本数量，确保用户数据的可靠性和安全性。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Merge w:val="restar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关键业务保障</w:t>
            </w: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为了便于部署关键业务系统，虚拟存储可支持Oracle RAC，支持共享盘，及共享块设备。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9" w:type="pct"/>
            <w:vMerge w:val="continue"/>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支持数据写入优化机制，将高速SSD作为写缓存，数据先写到SSD，再回写到机械硬盘，提升写IO性能。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restart"/>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安全性</w:t>
            </w: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具备分布式防火墙功能，能够对业务系统进行2-4层安全防护，以虚拟机为单位的安全策略部署，即使改变虚拟机的IP地址信息，安全策略依然生效。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支持扩展部署虚拟下一代防火墙，支持对常见应用服务（HTTP、FTP、SSH、SMTP、IMAP）和数据库软件（MySQL、Oracle、MSSQL）的口令暴力破解防护功能，全面保障业务的安全（需提供产品功能截图）。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具备对常见网络协议（SSH、FTP、RDP、VNC、Netbios）和数据库（MySQL、Oracle、MSSQL）的弱密码扫描功能，全面保障业务的安全（需提供产品功能截图）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支持B/S服务漏洞扫描功能，可扫描WEB网站是否存在SQL注入、XSS、跨站脚本、目录遍历、文件包含、命令执行等脚本漏洞，全面保障业务的安全（需提供产品功能截图）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分布式防火墙提供实时拦截日志显示，以及支持“数据直通ByPass”功能，方便出现问题快速定位问题。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云资源的申请需要通过管理员审批方可使用，云操作系统支持多级审批流程，可以根据用户实际组织进行自定义。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vMerge w:val="continue"/>
            <w:shd w:val="clear" w:color="auto" w:fill="auto"/>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支持部署虚拟分布式交换机、虚拟路由器、分布式防火墙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服务</w:t>
            </w:r>
          </w:p>
        </w:tc>
        <w:tc>
          <w:tcPr>
            <w:tcW w:w="4110" w:type="pct"/>
            <w:shd w:val="clear" w:color="000000" w:fill="FFFFFF"/>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提供三年原厂7*24服务，合同签</w:t>
            </w:r>
            <w:r>
              <w:rPr>
                <w:rFonts w:hint="eastAsia" w:ascii="仿宋_GB2312" w:hAnsi="仿宋_GB2312" w:eastAsia="仿宋_GB2312" w:cs="仿宋_GB2312"/>
                <w:color w:val="000000" w:themeColor="text1"/>
                <w:highlight w:val="none"/>
                <w14:textFill>
                  <w14:solidFill>
                    <w14:schemeClr w14:val="tx1"/>
                  </w14:solidFill>
                </w14:textFill>
              </w:rPr>
              <w:t>订前提供原厂授权函及售后服务承诺函。</w:t>
            </w:r>
            <w:r>
              <w:rPr>
                <w:rFonts w:hint="eastAsia" w:ascii="仿宋_GB2312" w:hAnsi="仿宋_GB2312" w:eastAsia="仿宋_GB2312" w:cs="仿宋_GB2312"/>
                <w:color w:val="000000" w:themeColor="text1"/>
                <w14:textFill>
                  <w14:solidFill>
                    <w14:schemeClr w14:val="tx1"/>
                  </w14:solidFill>
                </w14:textFill>
              </w:rPr>
              <w:t>设备生产商需在国内设有400技术服务热线。</w:t>
            </w:r>
          </w:p>
        </w:tc>
      </w:tr>
    </w:tbl>
    <w:p/>
    <w:p>
      <w:pPr>
        <w:rPr>
          <w:rFonts w:hint="eastAsia" w:ascii="仿宋_GB2312" w:hAnsi="仿宋_GB2312" w:eastAsia="仿宋_GB2312" w:cs="仿宋_GB2312"/>
          <w:b/>
          <w:bCs/>
        </w:rPr>
      </w:pPr>
      <w:r>
        <w:rPr>
          <w:rFonts w:hint="eastAsia" w:ascii="仿宋_GB2312" w:hAnsi="仿宋_GB2312" w:eastAsia="仿宋_GB2312" w:cs="仿宋_GB2312"/>
          <w:b/>
          <w:bCs/>
          <w:color w:val="000000" w:themeColor="text1"/>
          <w14:textFill>
            <w14:solidFill>
              <w14:schemeClr w14:val="tx1"/>
            </w14:solidFill>
          </w14:textFill>
        </w:rPr>
        <w:t>3.GPU节点显卡虚拟化软件</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77" w:type="pct"/>
            <w:vMerge w:val="restar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GPU节点显卡虚拟化软件</w:t>
            </w:r>
          </w:p>
        </w:tc>
        <w:tc>
          <w:tcPr>
            <w:tcW w:w="4122"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支持显卡资源池化调度，虚拟机关机后自动释放显卡资源到资源池，3D虚拟机启动后自动从资源池获取显卡资源，支持在不同时段将显卡切分为不同类型，供不同工作负载或场景使用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7" w:type="pct"/>
            <w:vMerge w:val="continue"/>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22"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支持与现有临安政务云平台对接，并与现有云管平台租户体系对接。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pct"/>
            <w:vMerge w:val="continue"/>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22" w:type="pct"/>
            <w:vAlign w:val="center"/>
          </w:tcPr>
          <w:p>
            <w:pPr>
              <w:spacing w:line="360" w:lineRule="auto"/>
              <w:rPr>
                <w:rFonts w:hint="eastAsia" w:ascii="仿宋_GB2312" w:hAnsi="仿宋_GB2312" w:eastAsia="仿宋_GB2312" w:cs="仿宋_GB2312"/>
                <w:color w:val="000000" w:themeColor="text1"/>
                <w:highlight w:val="yellow"/>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w:t>
            </w:r>
            <w:r>
              <w:rPr>
                <w:rFonts w:hint="eastAsia" w:ascii="仿宋_GB2312" w:hAnsi="仿宋_GB2312" w:eastAsia="仿宋_GB2312" w:cs="仿宋_GB2312"/>
                <w:color w:val="000000" w:themeColor="text1"/>
                <w:highlight w:val="none"/>
                <w14:textFill>
                  <w14:solidFill>
                    <w14:schemeClr w14:val="tx1"/>
                  </w14:solidFill>
                </w14:textFill>
              </w:rPr>
              <w:t>供NVIDIA显</w:t>
            </w:r>
            <w:r>
              <w:rPr>
                <w:rFonts w:hint="eastAsia" w:ascii="仿宋_GB2312" w:hAnsi="仿宋_GB2312" w:eastAsia="仿宋_GB2312" w:cs="仿宋_GB2312"/>
                <w:color w:val="000000" w:themeColor="text1"/>
                <w14:textFill>
                  <w14:solidFill>
                    <w14:schemeClr w14:val="tx1"/>
                  </w14:solidFill>
                </w14:textFill>
              </w:rPr>
              <w:t>卡授权永久许可-VDWS 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7" w:type="pct"/>
            <w:vMerge w:val="continue"/>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22"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支持显卡资源分配可视化，管理员可以实时查看主机、虚拟机和显卡核心分配情况，以及对应的3D虚拟机名称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7" w:type="pct"/>
            <w:vMerge w:val="continue"/>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p>
        </w:tc>
        <w:tc>
          <w:tcPr>
            <w:tcW w:w="4122"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支持基于KVM开源虚拟化平台的显卡虚拟化切片技术，能将显卡切片后直接绑定给某个虚拟机使用，虚拟机关机后自动释放显卡资源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77"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服务</w:t>
            </w:r>
          </w:p>
        </w:tc>
        <w:tc>
          <w:tcPr>
            <w:tcW w:w="4122" w:type="pct"/>
            <w:vAlign w:val="center"/>
          </w:tcPr>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提供五年原厂7*24服务，合同签订前提供原厂授权函及售后服务承诺函。设备生产商需在国内设有400技术服务热线。</w:t>
            </w:r>
          </w:p>
        </w:tc>
      </w:tr>
    </w:tbl>
    <w:p>
      <w:pPr>
        <w:pStyle w:val="2"/>
        <w:ind w:left="0" w:leftChars="0" w:firstLine="0" w:firstLineChars="0"/>
      </w:pPr>
    </w:p>
    <w:p>
      <w:pPr>
        <w:rPr>
          <w:rFonts w:hint="eastAsia" w:ascii="仿宋_GB2312" w:hAnsi="仿宋_GB2312" w:eastAsia="仿宋_GB2312" w:cs="仿宋_GB2312"/>
          <w:b/>
          <w:bCs/>
        </w:rPr>
      </w:pPr>
      <w:r>
        <w:rPr>
          <w:rFonts w:hint="eastAsia" w:ascii="仿宋_GB2312" w:hAnsi="仿宋_GB2312" w:eastAsia="仿宋_GB2312" w:cs="仿宋_GB2312"/>
          <w:b/>
          <w:bCs/>
        </w:rPr>
        <w:t>4.交换机</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3"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指标项</w:t>
            </w:r>
          </w:p>
        </w:tc>
        <w:tc>
          <w:tcPr>
            <w:tcW w:w="4106"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3"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szCs w:val="21"/>
              </w:rPr>
              <w:t>交换容量</w:t>
            </w:r>
          </w:p>
        </w:tc>
        <w:tc>
          <w:tcPr>
            <w:tcW w:w="4106"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rPr>
              <w:t>交换容量≥5.98Tbps；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3"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szCs w:val="21"/>
              </w:rPr>
              <w:t>包转发率</w:t>
            </w:r>
          </w:p>
        </w:tc>
        <w:tc>
          <w:tcPr>
            <w:tcW w:w="4106"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rPr>
              <w:t xml:space="preserve"> 包转发率≥222Mpps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3"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szCs w:val="21"/>
              </w:rPr>
              <w:t>端口</w:t>
            </w:r>
          </w:p>
        </w:tc>
        <w:tc>
          <w:tcPr>
            <w:tcW w:w="4106" w:type="pct"/>
            <w:vAlign w:val="center"/>
          </w:tcPr>
          <w:p>
            <w:pPr>
              <w:jc w:val="left"/>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rPr>
              <w:t>千兆电口≥24，千兆SFP≥4，万兆SFP+≥4，QSFP+≥2，标准USB接口≥1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3"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szCs w:val="21"/>
              </w:rPr>
              <w:t>路由</w:t>
            </w:r>
          </w:p>
        </w:tc>
        <w:tc>
          <w:tcPr>
            <w:tcW w:w="4106" w:type="pct"/>
            <w:vAlign w:val="center"/>
          </w:tcPr>
          <w:p>
            <w:pPr>
              <w:jc w:val="left"/>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rPr>
              <w:t>支持静态路由、RIP V1/2、RIPng、OSPF、OSPFv3、IS-IS、 IS-ISv6、BGP、BGP4+、ECMP、路由策略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3" w:type="pct"/>
            <w:vMerge w:val="restar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szCs w:val="21"/>
              </w:rPr>
              <w:t>管理维护</w:t>
            </w:r>
          </w:p>
        </w:tc>
        <w:tc>
          <w:tcPr>
            <w:tcW w:w="4106" w:type="pct"/>
            <w:vAlign w:val="center"/>
          </w:tcPr>
          <w:p>
            <w:pPr>
              <w:jc w:val="left"/>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rPr>
              <w:t xml:space="preserve">支持IGMP v1/v2/v3、PIM-SM、PIM-DM、PIM-SSM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93" w:type="pct"/>
            <w:vMerge w:val="continue"/>
            <w:vAlign w:val="center"/>
          </w:tcPr>
          <w:p>
            <w:pPr>
              <w:jc w:val="center"/>
              <w:rPr>
                <w:rFonts w:hint="eastAsia" w:ascii="仿宋_GB2312" w:hAnsi="仿宋_GB2312" w:eastAsia="仿宋_GB2312" w:cs="仿宋_GB2312"/>
                <w:b/>
                <w:color w:val="000000" w:themeColor="text1"/>
                <w14:textFill>
                  <w14:solidFill>
                    <w14:schemeClr w14:val="tx1"/>
                  </w14:solidFill>
                </w14:textFill>
              </w:rPr>
            </w:pPr>
          </w:p>
        </w:tc>
        <w:tc>
          <w:tcPr>
            <w:tcW w:w="4106" w:type="pct"/>
            <w:vAlign w:val="center"/>
          </w:tcPr>
          <w:p>
            <w:pPr>
              <w:jc w:val="left"/>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rPr>
              <w:t>支持IPFIX或Netstream网流分析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3" w:type="pct"/>
            <w:vMerge w:val="continue"/>
            <w:vAlign w:val="center"/>
          </w:tcPr>
          <w:p>
            <w:pPr>
              <w:jc w:val="center"/>
              <w:rPr>
                <w:rFonts w:hint="eastAsia" w:ascii="仿宋_GB2312" w:hAnsi="仿宋_GB2312" w:eastAsia="仿宋_GB2312" w:cs="仿宋_GB2312"/>
                <w:b/>
                <w:color w:val="000000" w:themeColor="text1"/>
                <w14:textFill>
                  <w14:solidFill>
                    <w14:schemeClr w14:val="tx1"/>
                  </w14:solidFill>
                </w14:textFill>
              </w:rPr>
            </w:pPr>
          </w:p>
        </w:tc>
        <w:tc>
          <w:tcPr>
            <w:tcW w:w="4106" w:type="pct"/>
            <w:vAlign w:val="center"/>
          </w:tcPr>
          <w:p>
            <w:pPr>
              <w:jc w:val="left"/>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rPr>
              <w:t>支持远程点灯功能，管理人员可以使用配置命令控制前面板sys灯在一段时间内快闪，从而可以在机房中快速定位设备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93" w:type="pct"/>
            <w:vMerge w:val="restar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szCs w:val="21"/>
              </w:rPr>
              <w:t>安全性</w:t>
            </w:r>
          </w:p>
        </w:tc>
        <w:tc>
          <w:tcPr>
            <w:tcW w:w="4106" w:type="pct"/>
            <w:vAlign w:val="center"/>
          </w:tcPr>
          <w:p>
            <w:pPr>
              <w:jc w:val="left"/>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rPr>
              <w:t>提供三层IP快速重路由功能，故障倒换时间小于50ms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93" w:type="pct"/>
            <w:vMerge w:val="continue"/>
            <w:vAlign w:val="center"/>
          </w:tcPr>
          <w:p>
            <w:pPr>
              <w:jc w:val="center"/>
              <w:rPr>
                <w:rFonts w:hint="eastAsia" w:ascii="仿宋_GB2312" w:hAnsi="仿宋_GB2312" w:eastAsia="仿宋_GB2312" w:cs="仿宋_GB2312"/>
                <w:szCs w:val="21"/>
              </w:rPr>
            </w:pPr>
          </w:p>
        </w:tc>
        <w:tc>
          <w:tcPr>
            <w:tcW w:w="4106"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提供CPU防攻击，攻击溯源；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3"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原交换机</w:t>
            </w:r>
            <w:r>
              <w:rPr>
                <w:rFonts w:hint="eastAsia" w:ascii="仿宋_GB2312" w:hAnsi="仿宋_GB2312" w:eastAsia="仿宋_GB2312" w:cs="仿宋_GB2312"/>
                <w:color w:val="000000"/>
                <w:kern w:val="0"/>
              </w:rPr>
              <w:t>增加电口板卡及模块</w:t>
            </w:r>
          </w:p>
        </w:tc>
        <w:tc>
          <w:tcPr>
            <w:tcW w:w="4106"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 xml:space="preserve">原华为S7706  </w:t>
            </w:r>
            <w:r>
              <w:rPr>
                <w:rFonts w:hint="eastAsia" w:ascii="仿宋_GB2312" w:hAnsi="仿宋_GB2312" w:eastAsia="仿宋_GB2312" w:cs="仿宋_GB2312"/>
                <w:color w:val="000000"/>
                <w:kern w:val="0"/>
              </w:rPr>
              <w:t>48千兆电口板卡*2，16个万兆多模</w:t>
            </w:r>
          </w:p>
        </w:tc>
      </w:tr>
    </w:tbl>
    <w:p>
      <w:pPr>
        <w:pStyle w:val="2"/>
      </w:pPr>
    </w:p>
    <w:p>
      <w:pPr>
        <w:rPr>
          <w:rFonts w:hint="eastAsia" w:ascii="仿宋_GB2312" w:hAnsi="仿宋_GB2312" w:eastAsia="仿宋_GB2312" w:cs="仿宋_GB2312"/>
        </w:rPr>
      </w:pPr>
      <w:r>
        <w:rPr>
          <w:rFonts w:hint="eastAsia" w:ascii="仿宋_GB2312" w:hAnsi="仿宋_GB2312" w:eastAsia="仿宋_GB2312" w:cs="仿宋_GB2312"/>
        </w:rPr>
        <w:t>5.数据网闸</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92"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技术指标</w:t>
            </w:r>
          </w:p>
        </w:tc>
        <w:tc>
          <w:tcPr>
            <w:tcW w:w="4007" w:type="pct"/>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系统架构</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2+1”系统结构，内外端机为TCP/IP网络协议的终点，阻断TCP/IP协议的直接贯通。内外端机之间采用专用硬件和专用协议进行连接，不可编程。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软硬件架构</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硬件架构由内端机、外端机、专有隔离硬件三部分组成。内端机和外端机各自具有独立主板、独立总线、独立的存储和运算单元；内端机和外端机之间非网线、USB线、SCSI线等线缆直连，基于光隔离技术专有硬件进行隔离和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为保障产品运行的安全及稳定性，要求产品设计、开发、生产及售后服务符合TL9000-H-S-V相关标准要求</w:t>
            </w:r>
            <w:r>
              <w:rPr>
                <w:rFonts w:hint="eastAsia" w:ascii="仿宋_GB2312" w:hAnsi="仿宋_GB2312" w:eastAsia="仿宋_GB2312" w:cs="仿宋_GB2312"/>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管理架构</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管理控制层和业务数据层分离，管理系统部署于内端机上， 只能通过内端机上的管理口对网闸进行配置，不允许外端机存在任何形式的管理接口。可避免黑客从外部网络入侵，导致隔离网闸被黑客完全控制的现象。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w:t>
            </w:r>
            <w:r>
              <w:rPr>
                <w:rFonts w:hint="eastAsia" w:ascii="仿宋_GB2312" w:hAnsi="仿宋_GB2312" w:eastAsia="仿宋_GB2312" w:cs="仿宋_GB2312"/>
                <w:color w:val="000000" w:themeColor="text1"/>
                <w14:textFill>
                  <w14:solidFill>
                    <w14:schemeClr w14:val="tx1"/>
                  </w14:solidFill>
                </w14:textFill>
              </w:rPr>
              <w:t>规格要求</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2U，标配双电源，内外端机双侧液晶屏，各1TB硬盘； 内端机6个10/100/1000Base-T接口，4个SFP插槽，4个SFP+插槽； 外端机6个10/100/1000Base-T接口，4个SFP插槽，4个SFP+插槽；。产品架构设计符合大数据分布式趋势。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网络吞吐量：4Gbps；并发连接数：30万；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rPr>
            </w:pPr>
            <w:r>
              <w:rPr>
                <w:rFonts w:hint="eastAsia" w:ascii="仿宋_GB2312" w:hAnsi="仿宋_GB2312" w:eastAsia="仿宋_GB2312" w:cs="仿宋_GB2312"/>
              </w:rPr>
              <w:t>标准配置包含安全浏览模块、文件传输模块、文件同步模块、邮件访问模块、VOIP访问模块、数据库访问模块、数据库同步模块、自定义访问模块、数据中心模块。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安全浏览功能</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提供HTTP页面访问和WEB代理上网功能。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支持IP地址、端口、时间以及基于源用户身份的访问控制策略；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支持访问控制日志记录和告警功能；支持最大活动会话数的控制和统计；支持IPV6扩展头的安全设置。（提供功能截图）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支持http消息头、消息体，上下行方向，命令及关键字的管控，支持允许、阻断、告警三种处理方式。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支持基于单一域名的黑白名单访问控制，支持基于URL分类地址库的访问控制，支持允许、阻断、告警三种处理方式。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支持50种以上文件类型特征识别，非扩展名过滤，包括可执行文件、文本文件、压缩文件、图片文件、多媒体文件等，支持上下行方向过滤单独控制，支持允许、阻断、告警三种处理方式。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支持JavaScript脚本、ActiveX插件过滤。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内置HTTP安全模块，支持URL过滤引擎、内容过滤引擎、文件过滤引擎、病毒过滤引擎、网页过滤引擎安全防护及单独启停控制。（提供功能截图）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安全文件传输</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提供基于FTP协议和TFTP协议的文件传输功能。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支持FTP协议内部命令及数据层内容过滤，支持允许、阻断、告警三种处理方式。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支持50种以上文件类型特征识别，非扩展名过滤，包括可执行文件、文本文件、压缩文件、图片文件、多媒体文件等，支持上下行方向过滤单独控制，支持允许、阻断、告警三种处理方式。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内置FTP安全模块，支持内容过滤引擎、文件过滤引擎、病毒过滤引擎安全防护及单独启停控制。（提供功能截图）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安全数据库访问</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提供对多种主流数据库,如：MYSQL、SQLSERVER、ORACLE、DB2等系统的安全访问。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支持IP地址、端口、时间以及基于源用户身份的访问控制策略；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内置数据库安全模块，支持内容过滤引擎，能够对数据库用户名、命令、关键字等内容进行管控，支持允许、阻断、告警三种处理方式。（提供功能截图）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安全VOIP功能</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提供音视频通话访问功能，支持SIP和H323协议。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支持访问控制日志记录和告警功能；支持最大活动会话数的控制和统计；支持IPV6扩展头的安全设置。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内置VOIP安全模块，内置VOIP安全引擎，支持主被叫用户黑名单的控制。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安全邮件功能</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提供安全的邮件访问功能，支持POP3、SMTP协议。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支持发件人、收件人、邮件标题、邮件正文等数据内容过滤，支持允许、阻断、告警三种处理方式。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内置邮件安全模块，支持内容过滤引擎、文件过滤引擎、病毒过滤引擎安全防护及单独启停控制。（提供功能截图）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文件同步功能</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提供有客户端和无客户端两种文件同步方式。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支持源文件处理策略，包括保留、删除、转存三种处理方式。支持同步删除、文件续传、子目录同步、日志记录开关控制；</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支持单一任务的线程数和缓冲时间设置，可手动设置同步任务的线程数；（提供功能截图）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支持基于文件大小和文件修改时间的同步策略，可手动指定上下限阈值。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数据库同步功能</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提供有客户端和无客户端两种数据据库同步方式。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支持网闸同侧数据库之间的数据同步，网闸可旁路部署实现数据库同步。（提供功能截图）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支持自动读取数据库表名和字段名，无需手动录入表名和字段名，降低配置复杂度。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快速配置支持全库表同步，可直接映射两个独立数据库进行同步，支持每策略映射表数量控制，支持每策略映射同步方向控制。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支持数据库同步冲突策略处理，包括覆盖、忽略、以源为准、以目的为准等处理方式。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安全防护功能</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提供连接保护功能，支持基于源和目的IP地址的并发连接数和新建连接数控制，并可以手动设置相关阈值，超过阈值后可选限制和警告两种处理方式。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为DDOS检测和网络流量监测的告警阈值提供日志文件，提高DDOS攻击检测准确性，支持网络流量检测阈值的计算。（要求提供国家权威机构证明文件）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提供IPV4\IPV6双栈IP+MAC绑定功能，支持基于物理接口和IP网段的IP+MAC主动探测，支持IP、MAC信息查询功能。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网络管理功能</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网络接口支持IPV4\IPV6双栈IP地址配置，支持MTU、双工模式、接口速度的手动设置。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提供服务器负载均衡功能，支持轮询、加权轮询、最少连接、加权最少连接等负载均衡算法。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系统管理功能</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管理端通过独立的管理口与网闸内端机相连，策略统一从内端机下发，不允许采用外端机上的任何网络接口进行管理。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提供ping、traceroute、tcp、udp等诊断诊断测试工具，支持设备健康记录和调试信息的导入导出。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提供告警功能，支持邮件、声音、控制台、SNMP等多种告警方式。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92" w:type="pct"/>
            <w:vAlign w:val="center"/>
          </w:tcPr>
          <w:p>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质量保障</w:t>
            </w:r>
          </w:p>
        </w:tc>
        <w:tc>
          <w:tcPr>
            <w:tcW w:w="4007" w:type="pct"/>
            <w:vAlign w:val="center"/>
          </w:tcPr>
          <w:p>
            <w:pP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提供IPv6 Ready Logo 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92" w:type="pc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服务要求</w:t>
            </w:r>
          </w:p>
        </w:tc>
        <w:tc>
          <w:tcPr>
            <w:tcW w:w="4007" w:type="pct"/>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3年原厂服务与质保</w:t>
            </w:r>
          </w:p>
        </w:tc>
      </w:tr>
    </w:tbl>
    <w:p/>
    <w:p/>
    <w:p>
      <w:pPr>
        <w:rPr>
          <w:rFonts w:hint="eastAsia" w:ascii="仿宋_GB2312" w:hAnsi="仿宋_GB2312" w:eastAsia="仿宋_GB2312" w:cs="仿宋_GB2312"/>
          <w:b/>
          <w:bCs/>
        </w:rPr>
      </w:pPr>
      <w:r>
        <w:rPr>
          <w:rFonts w:hint="eastAsia" w:ascii="仿宋_GB2312" w:hAnsi="仿宋_GB2312" w:eastAsia="仿宋_GB2312" w:cs="仿宋_GB2312"/>
          <w:b/>
          <w:bCs/>
        </w:rPr>
        <w:t>6.视频网闸</w:t>
      </w:r>
    </w:p>
    <w:tbl>
      <w:tblPr>
        <w:tblStyle w:val="62"/>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38" w:type="dxa"/>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指标项</w:t>
            </w:r>
          </w:p>
        </w:tc>
        <w:tc>
          <w:tcPr>
            <w:tcW w:w="7415" w:type="dxa"/>
            <w:vAlign w:val="center"/>
          </w:tcPr>
          <w:p>
            <w:pPr>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系统架构</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2+1”系统结构，内外端机为TCP/IP网络协议的终点，阻断TCP/IP协议的直接贯通。内外端机之间采用专用硬件和专用协议进行连接，不可编程。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软硬件架构</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硬件架构由内端机、外端机、专有隔离硬件三部分组成。内端机和外端机各自具有独立主板、独立总线、独立的存储和运算单元；内端机和外端机之间非网线、USB线、SCSI线等线缆直连，基于光隔离技术专有硬件进行隔离和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为保障产品运行的安全及稳定性，要求产品设计、开发、生产及售后服务符合TL9000-H-S-V相关标准要求；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管理架构</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管理控制层和业务数据层分离，管理系统部署于内端机上， 只能通过内端机上的管理口对网闸进行配置，不允许外端机存在任何形式的管理接口。可避免黑客从外部网络入侵，导致隔离网闸被黑客完全控制的现象。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w:t>
            </w:r>
            <w:r>
              <w:rPr>
                <w:rFonts w:hint="eastAsia" w:ascii="仿宋_GB2312" w:hAnsi="仿宋_GB2312" w:eastAsia="仿宋_GB2312" w:cs="仿宋_GB2312"/>
                <w:color w:val="000000" w:themeColor="text1"/>
                <w14:textFill>
                  <w14:solidFill>
                    <w14:schemeClr w14:val="tx1"/>
                  </w14:solidFill>
                </w14:textFill>
              </w:rPr>
              <w:t>规格要求</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2U，标配双电源，内外端机双侧液晶屏，各1TB硬盘； 内端机6个10/100/1000Base-T接口，4个SFP插槽，8个SFP+插槽，1个扩展槽位； 外端机6个10/100/1000Base-T接口，4个SFP插槽，8个SFP+插槽，1个扩展槽位。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网络吞吐量：10Gbps；并发连接数：60万；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rPr>
            </w:pPr>
            <w:r>
              <w:rPr>
                <w:rFonts w:hint="eastAsia" w:ascii="仿宋_GB2312" w:hAnsi="仿宋_GB2312" w:eastAsia="仿宋_GB2312" w:cs="仿宋_GB2312"/>
              </w:rPr>
              <w:t>标准配置包含安全浏览模块、文件传输模块、文件同步模块、邮件访问模块、VOIP访问模块、数据库访问模块、数据库同步模块、自定义访问模块、数据中心模块。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安全浏览功能</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提供HTTP页面访问和WEB代理上网功能。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支持IP地址、端口、时间以及基于源用户身份的访问控制策略；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支持访问控制日志记录和告警功能；支持最大活动会话数的控制和统计；支持IPV6扩展头的安全设置。（提供功能截图）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支持http消息头、消息体，上下行方向，命令及关键字的管控，支持允许、阻断、告警三种处理方式。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支持基于单一域名的黑白名单访问控制，支持基于URL分类地址库的访问控制，支持允许、阻断、告警三种处理方式。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支持50种以上文件类型特征识别，非扩展名过滤，包括可执行文件、文本文件、压缩文件、图片文件、多媒体文件等，支持上下行方向过滤单独控制，支持允许、阻断、告警三种处理方式。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支持JavaScript脚本、ActiveX插件过滤。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内置HTTP安全模块，支持URL过滤引擎、内容过滤引擎、文件过滤引擎、病毒过滤引擎、网页过滤引擎安全防护及单独启停控制。（提供功能截图）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安全文件传输</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提供基于FTP协议和TFTP协议的文件传输功能。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支持FTP协议内部命令及数据层内容过滤，支持允许、阻断、告警三种处理方式。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支持50种以上文件类型特征识别，非扩展名过滤，包括可执行文件、文本文件、压缩文件、图片文件、多媒体文件等，支持上下行方向过滤单独控制，支持允许、阻断、告警三种处理方式。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内置FTP安全模块，支持内容过滤引擎、文件过滤引擎、病毒过滤引擎安全防护及单独启停控制。（提供功能截图）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安全数据库访问</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提供对多种主流数据库,如：MYSQL、SQLSERVER、ORACLE、DB2等系统的安全访问。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支持IP地址、端口、时间以及基于源用户身份的访问控制策略；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内置数据库安全模块，支持内容过滤引擎，能够对数据库用户名、命令、关键字等内容进行管控，支持允许、阻断、告警三种处理方式。（提供功能截图）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安全VOIP功能</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提供音视频通话访问功能，支持SIP和H323协议。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支持访问控制日志记录和告警功能；支持最大活动会话数的控制和统计；支持IPV6扩展头的安全设置。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内置VOIP安全模块，内置VOIP安全引擎，支持主被叫用户黑名单的控制。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安全邮件功能</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提供安全的邮件访问功能，支持POP3、SMTP协议。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支持发件人、收件人、邮件标题、邮件正文等数据内容过滤，支持允许、阻断、告警三种处理方式。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内置邮件安全模块，支持内容过滤引擎、文件过滤引擎、病毒过滤引擎安全防护及单独启停控制。（提供功能截图）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文件同步功能</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提供有客户端和无客户端两种文件同步方式。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支持源文件处理策略，包括保留、删除、转存三种处理方式。支持同步删除、文件续传、子目录同步、日志记录开关控制；</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支持单一任务的线程数和缓冲时间设置，可手动设置同步任务的线程数；（提供功能截图）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支持基于文件大小和文件修改时间的同步策略，可手动指定上下限阈值。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数据库同步功能</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提供有客户端和无客户端两种数据据库同步方式。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支持网闸同侧数据库之间的数据同步，网闸可旁路部署实现数据库同步。（提供功能截图）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支持自动读取数据库表名和字段名，无需手动录入表名和字段名，降低配置复杂度。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快速配置支持全库表同步，可直接映射两个独立数据库进行同步，支持每策略映射表数量控制，支持每策略映射同步方向控制。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支持数据库同步冲突策略处理，包括覆盖、忽略、以源为准、以目的为准等处理方式。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安全防护功能</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提供连接保护功能，支持基于源和目的IP地址的并发连接数和新建连接数控制，并可以手动设置相关阈值，超过阈值后可选限制和警告两种处理方式。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为DDOS检测和网络流量监测的告警阈值提供日志文件，提高DDOS攻击检测准确性，支持网络流量检测阈值的计算。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提供IPV4\IPV6双栈IP+MAC绑定功能，支持基于物理接口和IP网段的IP+MAC主动探测，支持IP、MAC信息查询功能。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网络管理功能</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网络接口支持IPV4\IPV6双栈IP地址配置，支持MTU、双工模式、接口速度的手动设置。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提供服务器负载均衡功能，支持轮询、加权轮询、最少连接、加权最少连接等负载均衡算法。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restart"/>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系统管理功能</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管理端通过独立的管理口与网闸内端机相连，策略统一从内端机下发，不允许采用外端机上的任何网络接口进行管理。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提供ping、traceroute、tcp、udp等诊断诊断测试工具，支持设备健康记录和调试信息的导入导出。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Merge w:val="continue"/>
            <w:vAlign w:val="center"/>
          </w:tcPr>
          <w:p>
            <w:pPr>
              <w:jc w:val="center"/>
              <w:rPr>
                <w:rFonts w:hint="eastAsia" w:ascii="仿宋_GB2312" w:hAnsi="仿宋_GB2312" w:eastAsia="仿宋_GB2312" w:cs="仿宋_GB2312"/>
                <w:color w:val="000000" w:themeColor="text1"/>
                <w14:textFill>
                  <w14:solidFill>
                    <w14:schemeClr w14:val="tx1"/>
                  </w14:solidFill>
                </w14:textFill>
              </w:rPr>
            </w:pP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提供告警功能，支持邮件、声音、控制台、SNMP等多种告警方式。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838" w:type="dxa"/>
            <w:vAlign w:val="center"/>
          </w:tcPr>
          <w:p>
            <w:pPr>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质量保障</w:t>
            </w:r>
          </w:p>
        </w:tc>
        <w:tc>
          <w:tcPr>
            <w:tcW w:w="7415" w:type="dxa"/>
            <w:vAlign w:val="center"/>
          </w:tcPr>
          <w:p>
            <w:pP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提供IPv6 Ready Logo 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38"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服务要求</w:t>
            </w:r>
          </w:p>
        </w:tc>
        <w:tc>
          <w:tcPr>
            <w:tcW w:w="7415" w:type="dxa"/>
            <w:vAlign w:val="center"/>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3年原厂服务与质保</w:t>
            </w:r>
          </w:p>
        </w:tc>
      </w:tr>
    </w:tbl>
    <w:p>
      <w:pPr>
        <w:pStyle w:val="61"/>
        <w:ind w:firstLine="0" w:firstLineChars="0"/>
      </w:pPr>
    </w:p>
    <w:p>
      <w:pPr>
        <w:pStyle w:val="2"/>
        <w:numPr>
          <w:ilvl w:val="0"/>
          <w:numId w:val="9"/>
        </w:numPr>
        <w:ind w:firstLine="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项目验收标准</w:t>
      </w:r>
    </w:p>
    <w:p>
      <w:pPr>
        <w:pStyle w:val="2"/>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主要以采购文件定义的软、硬件技术参数要求为标准，严格按照各项参数要求对相应的硬件、软件及整体平台架构进行验收。中标单位制定具体的供货计划，并在到货前至少5个工作日通知采购人进行开箱验货准备。货到指定场所后，采购人及中标单位双方委派代表到现场检查货物外观是否完好，装箱数量、描述与供货清单是否一致，查检无误后双方签署货物签收单，如发现缺漏、外观损坏等，由中标单位负责制定并执行及时的补货换货措施；待中标单位完成补货换货后再由双方代表进行现场查验无误后签署货物签收单。系统试运行期为3个月，如系统在试运行期间发生故障或暴露缺陷，中标单位需进行修复，如3个月内未完成修复，试运行期顺延，直到遗留问题解决。</w:t>
      </w:r>
    </w:p>
    <w:p>
      <w:pPr>
        <w:pStyle w:val="2"/>
        <w:numPr>
          <w:ilvl w:val="0"/>
          <w:numId w:val="9"/>
        </w:numPr>
        <w:ind w:firstLine="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付款方式</w:t>
      </w:r>
    </w:p>
    <w:p>
      <w:pPr>
        <w:pStyle w:val="2"/>
        <w:numPr>
          <w:ilvl w:val="0"/>
          <w:numId w:val="0"/>
        </w:numPr>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napToGrid/>
          <w:kern w:val="2"/>
          <w:sz w:val="24"/>
          <w:szCs w:val="24"/>
          <w:highlight w:val="none"/>
          <w:lang w:val="zh-CN" w:eastAsia="zh-CN" w:bidi="ar-SA"/>
        </w:rPr>
        <w:t>合同签订后，十个工作日内支付合同总价的</w:t>
      </w:r>
      <w:r>
        <w:rPr>
          <w:rFonts w:hint="eastAsia" w:ascii="仿宋_GB2312" w:hAnsi="仿宋_GB2312" w:eastAsia="仿宋_GB2312" w:cs="仿宋_GB2312"/>
          <w:snapToGrid/>
          <w:kern w:val="2"/>
          <w:sz w:val="24"/>
          <w:szCs w:val="24"/>
          <w:highlight w:val="none"/>
          <w:lang w:val="en-US" w:eastAsia="zh-CN" w:bidi="ar-SA"/>
        </w:rPr>
        <w:t>30%；</w:t>
      </w:r>
      <w:r>
        <w:rPr>
          <w:rFonts w:hint="eastAsia" w:ascii="仿宋_GB2312" w:hAnsi="仿宋_GB2312" w:eastAsia="仿宋_GB2312" w:cs="仿宋_GB2312"/>
          <w:sz w:val="24"/>
          <w:szCs w:val="24"/>
          <w:highlight w:val="none"/>
          <w:lang w:val="zh-CN"/>
        </w:rPr>
        <w:t>到货款：主要硬件设备到货，设备安装调试结束，提交全部报告材料，调试完成并经采购人初验合格后十个工作日内，支付合同金额的40%。项目最终验收合格后十个工作日内，支付合同总价的</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zh-CN"/>
        </w:rPr>
        <w:t>%。验收合格日起满三年后十个工作日内，支付合同总价的</w:t>
      </w: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zh-CN"/>
        </w:rPr>
        <w:t>%。</w:t>
      </w:r>
    </w:p>
    <w:p>
      <w:pPr>
        <w:pStyle w:val="61"/>
        <w:ind w:firstLine="344"/>
        <w:rPr>
          <w:rFonts w:ascii="仿宋" w:hAnsi="仿宋" w:eastAsia="仿宋" w:cs="仿宋"/>
        </w:rPr>
      </w:pPr>
    </w:p>
    <w:p>
      <w:pPr>
        <w:widowControl/>
        <w:jc w:val="center"/>
        <w:rPr>
          <w:rFonts w:ascii="仿宋_GB2312" w:hAnsi="仿宋" w:eastAsia="仿宋_GB2312" w:cs="仿宋_GB2312"/>
          <w:b/>
          <w:sz w:val="36"/>
          <w:szCs w:val="36"/>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48" w:name="_Toc184312095"/>
      <w:bookmarkEnd w:id="48"/>
      <w:bookmarkStart w:id="49" w:name="_Toc184308063"/>
      <w:bookmarkEnd w:id="49"/>
      <w:bookmarkStart w:id="50" w:name="_Toc184308064"/>
      <w:bookmarkEnd w:id="50"/>
      <w:bookmarkStart w:id="51" w:name="_Toc184312075"/>
      <w:bookmarkEnd w:id="51"/>
      <w:bookmarkStart w:id="52" w:name="_Toc184313273"/>
      <w:bookmarkEnd w:id="52"/>
      <w:bookmarkStart w:id="53" w:name="_Toc184310274"/>
      <w:bookmarkEnd w:id="53"/>
      <w:bookmarkStart w:id="54" w:name="_Toc184314413"/>
      <w:bookmarkEnd w:id="54"/>
      <w:bookmarkStart w:id="55" w:name="_Toc184314472"/>
      <w:bookmarkEnd w:id="55"/>
      <w:bookmarkStart w:id="56" w:name="_Toc184312077"/>
      <w:bookmarkEnd w:id="56"/>
      <w:bookmarkStart w:id="57" w:name="_Toc184314482"/>
      <w:bookmarkEnd w:id="57"/>
      <w:bookmarkStart w:id="58" w:name="_Toc184312068"/>
      <w:bookmarkEnd w:id="58"/>
      <w:bookmarkStart w:id="59" w:name="_Toc184308091"/>
      <w:bookmarkEnd w:id="59"/>
      <w:bookmarkStart w:id="60" w:name="_Toc184313307"/>
      <w:bookmarkEnd w:id="60"/>
      <w:bookmarkStart w:id="61" w:name="_Toc184310330"/>
      <w:bookmarkEnd w:id="61"/>
      <w:bookmarkStart w:id="62" w:name="_Toc184308106"/>
      <w:bookmarkEnd w:id="62"/>
      <w:bookmarkStart w:id="63" w:name="_Toc184314418"/>
      <w:bookmarkEnd w:id="63"/>
      <w:bookmarkStart w:id="64" w:name="_Toc184313242"/>
      <w:bookmarkEnd w:id="64"/>
      <w:bookmarkStart w:id="65" w:name="_Toc184314465"/>
      <w:bookmarkEnd w:id="65"/>
      <w:bookmarkStart w:id="66" w:name="_Toc184308041"/>
      <w:bookmarkEnd w:id="66"/>
      <w:bookmarkStart w:id="67" w:name="_Toc184310280"/>
      <w:bookmarkEnd w:id="67"/>
      <w:bookmarkStart w:id="68" w:name="_Toc184308052"/>
      <w:bookmarkEnd w:id="68"/>
      <w:bookmarkStart w:id="69" w:name="_Toc184313267"/>
      <w:bookmarkEnd w:id="69"/>
      <w:bookmarkStart w:id="70" w:name="_Toc184308095"/>
      <w:bookmarkEnd w:id="70"/>
      <w:bookmarkStart w:id="71" w:name="_Toc184310319"/>
      <w:bookmarkEnd w:id="71"/>
      <w:bookmarkStart w:id="72" w:name="_Toc184312089"/>
      <w:bookmarkEnd w:id="72"/>
      <w:bookmarkStart w:id="73" w:name="_Toc184314452"/>
      <w:bookmarkEnd w:id="73"/>
      <w:bookmarkStart w:id="74" w:name="_Toc184314462"/>
      <w:bookmarkEnd w:id="74"/>
      <w:bookmarkStart w:id="75" w:name="_Toc184312126"/>
      <w:bookmarkEnd w:id="75"/>
      <w:bookmarkStart w:id="76" w:name="_Toc184308037"/>
      <w:bookmarkEnd w:id="76"/>
      <w:bookmarkStart w:id="77" w:name="_Toc184313244"/>
      <w:bookmarkEnd w:id="77"/>
      <w:bookmarkStart w:id="78" w:name="_Toc184310285"/>
      <w:bookmarkEnd w:id="78"/>
      <w:bookmarkStart w:id="79" w:name="_Toc184312113"/>
      <w:bookmarkEnd w:id="79"/>
      <w:bookmarkStart w:id="80" w:name="_Toc184310309"/>
      <w:bookmarkEnd w:id="80"/>
      <w:bookmarkStart w:id="81" w:name="_Toc184312128"/>
      <w:bookmarkEnd w:id="81"/>
      <w:bookmarkStart w:id="82" w:name="_Toc184310301"/>
      <w:bookmarkEnd w:id="82"/>
      <w:bookmarkStart w:id="83" w:name="_Toc184314422"/>
      <w:bookmarkEnd w:id="83"/>
      <w:bookmarkStart w:id="84" w:name="_Toc184310275"/>
      <w:bookmarkEnd w:id="84"/>
      <w:bookmarkStart w:id="85" w:name="_Toc184312132"/>
      <w:bookmarkEnd w:id="85"/>
      <w:bookmarkStart w:id="86" w:name="_Toc184313309"/>
      <w:bookmarkEnd w:id="86"/>
      <w:bookmarkStart w:id="87" w:name="_Toc184312104"/>
      <w:bookmarkEnd w:id="87"/>
      <w:bookmarkStart w:id="88" w:name="_Toc184313274"/>
      <w:bookmarkEnd w:id="88"/>
      <w:bookmarkStart w:id="89" w:name="_Toc184308092"/>
      <w:bookmarkEnd w:id="89"/>
      <w:bookmarkStart w:id="90" w:name="_Toc184312117"/>
      <w:bookmarkEnd w:id="90"/>
      <w:bookmarkStart w:id="91" w:name="_Toc184308093"/>
      <w:bookmarkEnd w:id="91"/>
      <w:bookmarkStart w:id="92" w:name="_Toc184314455"/>
      <w:bookmarkEnd w:id="92"/>
      <w:bookmarkStart w:id="93" w:name="_Toc184314429"/>
      <w:bookmarkEnd w:id="93"/>
      <w:bookmarkStart w:id="94" w:name="_Toc184312085"/>
      <w:bookmarkEnd w:id="94"/>
      <w:bookmarkStart w:id="95" w:name="_Toc184310333"/>
      <w:bookmarkEnd w:id="95"/>
      <w:bookmarkStart w:id="96" w:name="_Toc184310286"/>
      <w:bookmarkEnd w:id="96"/>
      <w:bookmarkStart w:id="97" w:name="_Toc184308087"/>
      <w:bookmarkEnd w:id="97"/>
      <w:bookmarkStart w:id="98" w:name="_Toc184308055"/>
      <w:bookmarkEnd w:id="98"/>
      <w:bookmarkStart w:id="99" w:name="_Toc184308056"/>
      <w:bookmarkEnd w:id="99"/>
      <w:bookmarkStart w:id="100" w:name="_Toc184313276"/>
      <w:bookmarkEnd w:id="100"/>
      <w:bookmarkStart w:id="101" w:name="_Toc184314411"/>
      <w:bookmarkEnd w:id="101"/>
      <w:bookmarkStart w:id="102" w:name="_Toc184310323"/>
      <w:bookmarkEnd w:id="102"/>
      <w:bookmarkStart w:id="103" w:name="_Toc184314474"/>
      <w:bookmarkEnd w:id="103"/>
      <w:bookmarkStart w:id="104" w:name="_Toc184308061"/>
      <w:bookmarkEnd w:id="104"/>
      <w:bookmarkStart w:id="105" w:name="_Toc184308072"/>
      <w:bookmarkEnd w:id="105"/>
      <w:bookmarkStart w:id="106" w:name="_Toc184308053"/>
      <w:bookmarkEnd w:id="106"/>
      <w:bookmarkStart w:id="107" w:name="_Toc184312081"/>
      <w:bookmarkEnd w:id="107"/>
      <w:bookmarkStart w:id="108" w:name="_Toc184310312"/>
      <w:bookmarkEnd w:id="108"/>
      <w:bookmarkStart w:id="109" w:name="_Toc184313308"/>
      <w:bookmarkEnd w:id="109"/>
      <w:bookmarkStart w:id="110" w:name="_Toc184312102"/>
      <w:bookmarkEnd w:id="110"/>
      <w:bookmarkStart w:id="111" w:name="_Toc184310296"/>
      <w:bookmarkEnd w:id="111"/>
      <w:bookmarkStart w:id="112" w:name="_Toc184314430"/>
      <w:bookmarkEnd w:id="112"/>
      <w:bookmarkStart w:id="113" w:name="_Toc184310293"/>
      <w:bookmarkEnd w:id="113"/>
      <w:bookmarkStart w:id="114" w:name="_Toc184310303"/>
      <w:bookmarkEnd w:id="114"/>
      <w:bookmarkStart w:id="115" w:name="_Toc184314463"/>
      <w:bookmarkEnd w:id="115"/>
      <w:bookmarkStart w:id="116" w:name="_Toc184313294"/>
      <w:bookmarkEnd w:id="116"/>
      <w:bookmarkStart w:id="117" w:name="_Toc184313287"/>
      <w:bookmarkEnd w:id="117"/>
      <w:bookmarkStart w:id="118" w:name="_Toc184313238"/>
      <w:bookmarkEnd w:id="118"/>
      <w:bookmarkStart w:id="119" w:name="_Toc184310302"/>
      <w:bookmarkEnd w:id="119"/>
      <w:bookmarkStart w:id="120" w:name="_Toc184310290"/>
      <w:bookmarkEnd w:id="120"/>
      <w:bookmarkStart w:id="121" w:name="_Toc184314410"/>
      <w:bookmarkEnd w:id="121"/>
      <w:bookmarkStart w:id="122" w:name="_Toc184310325"/>
      <w:bookmarkEnd w:id="122"/>
      <w:bookmarkStart w:id="123" w:name="_Toc184312125"/>
      <w:bookmarkEnd w:id="123"/>
      <w:bookmarkStart w:id="124" w:name="_Toc184310276"/>
      <w:bookmarkEnd w:id="124"/>
      <w:bookmarkStart w:id="125" w:name="_Toc184312123"/>
      <w:bookmarkEnd w:id="125"/>
      <w:bookmarkStart w:id="126" w:name="_Toc184310272"/>
      <w:bookmarkEnd w:id="126"/>
      <w:bookmarkStart w:id="127" w:name="_Toc184312074"/>
      <w:bookmarkEnd w:id="127"/>
      <w:bookmarkStart w:id="128" w:name="_Toc184310311"/>
      <w:bookmarkEnd w:id="128"/>
      <w:bookmarkStart w:id="129" w:name="_Toc184310294"/>
      <w:bookmarkEnd w:id="129"/>
      <w:bookmarkStart w:id="130" w:name="_Toc184313303"/>
      <w:bookmarkEnd w:id="130"/>
      <w:bookmarkStart w:id="131" w:name="_Toc184308042"/>
      <w:bookmarkEnd w:id="131"/>
      <w:bookmarkStart w:id="132" w:name="_Toc184314417"/>
      <w:bookmarkEnd w:id="132"/>
      <w:bookmarkStart w:id="133" w:name="_Toc184314424"/>
      <w:bookmarkEnd w:id="133"/>
      <w:bookmarkStart w:id="134" w:name="_Toc184308065"/>
      <w:bookmarkEnd w:id="134"/>
      <w:bookmarkStart w:id="135" w:name="_Toc184308083"/>
      <w:bookmarkEnd w:id="135"/>
      <w:bookmarkStart w:id="136" w:name="_Toc184310305"/>
      <w:bookmarkEnd w:id="136"/>
      <w:bookmarkStart w:id="137" w:name="_Toc184313277"/>
      <w:bookmarkEnd w:id="137"/>
      <w:bookmarkStart w:id="138" w:name="_Toc184308097"/>
      <w:bookmarkEnd w:id="138"/>
      <w:bookmarkStart w:id="139" w:name="_Toc184314478"/>
      <w:bookmarkEnd w:id="139"/>
      <w:bookmarkStart w:id="140" w:name="_Toc184314475"/>
      <w:bookmarkEnd w:id="140"/>
      <w:bookmarkStart w:id="141" w:name="_Toc184314426"/>
      <w:bookmarkEnd w:id="141"/>
      <w:bookmarkStart w:id="142" w:name="_Toc184313252"/>
      <w:bookmarkEnd w:id="142"/>
      <w:bookmarkStart w:id="143" w:name="_Toc184308039"/>
      <w:bookmarkEnd w:id="143"/>
      <w:bookmarkStart w:id="144" w:name="_Toc184312071"/>
      <w:bookmarkEnd w:id="144"/>
      <w:bookmarkStart w:id="145" w:name="_Toc184308078"/>
      <w:bookmarkEnd w:id="145"/>
      <w:bookmarkStart w:id="146" w:name="_Toc184313264"/>
      <w:bookmarkEnd w:id="146"/>
      <w:bookmarkStart w:id="147" w:name="_Toc184313290"/>
      <w:bookmarkEnd w:id="147"/>
      <w:bookmarkStart w:id="148" w:name="_Toc184314480"/>
      <w:bookmarkEnd w:id="148"/>
      <w:bookmarkStart w:id="149" w:name="_Toc184310321"/>
      <w:bookmarkEnd w:id="149"/>
      <w:bookmarkStart w:id="150" w:name="_Toc184312114"/>
      <w:bookmarkEnd w:id="150"/>
      <w:bookmarkStart w:id="151" w:name="_Toc184308089"/>
      <w:bookmarkEnd w:id="151"/>
      <w:bookmarkStart w:id="152" w:name="_Toc184310329"/>
      <w:bookmarkEnd w:id="152"/>
      <w:bookmarkStart w:id="153" w:name="_Toc184308068"/>
      <w:bookmarkEnd w:id="153"/>
      <w:bookmarkStart w:id="154" w:name="_Toc184313284"/>
      <w:bookmarkEnd w:id="154"/>
      <w:bookmarkStart w:id="155" w:name="_Toc184312076"/>
      <w:bookmarkEnd w:id="155"/>
      <w:bookmarkStart w:id="156" w:name="_Toc184314428"/>
      <w:bookmarkEnd w:id="156"/>
      <w:bookmarkStart w:id="157" w:name="_Toc184313266"/>
      <w:bookmarkEnd w:id="157"/>
      <w:bookmarkStart w:id="158" w:name="_Toc184312109"/>
      <w:bookmarkEnd w:id="158"/>
      <w:bookmarkStart w:id="159" w:name="_Toc184310326"/>
      <w:bookmarkEnd w:id="159"/>
      <w:bookmarkStart w:id="160" w:name="_Toc184314423"/>
      <w:bookmarkEnd w:id="160"/>
      <w:bookmarkStart w:id="161" w:name="_Toc184310310"/>
      <w:bookmarkEnd w:id="161"/>
      <w:bookmarkStart w:id="162" w:name="_Toc184313271"/>
      <w:bookmarkEnd w:id="162"/>
      <w:bookmarkStart w:id="163" w:name="_Toc184308079"/>
      <w:bookmarkEnd w:id="163"/>
      <w:bookmarkStart w:id="164" w:name="_Toc184308069"/>
      <w:bookmarkEnd w:id="164"/>
      <w:bookmarkStart w:id="165" w:name="_Toc184308077"/>
      <w:bookmarkEnd w:id="165"/>
      <w:bookmarkStart w:id="166" w:name="_Toc184313288"/>
      <w:bookmarkEnd w:id="166"/>
      <w:bookmarkStart w:id="167" w:name="_Toc184312127"/>
      <w:bookmarkEnd w:id="167"/>
      <w:bookmarkStart w:id="168" w:name="_Toc184312080"/>
      <w:bookmarkEnd w:id="168"/>
      <w:bookmarkStart w:id="169" w:name="_Toc184308045"/>
      <w:bookmarkEnd w:id="169"/>
      <w:bookmarkStart w:id="170" w:name="_Toc184308050"/>
      <w:bookmarkEnd w:id="170"/>
      <w:bookmarkStart w:id="171" w:name="_Toc184308070"/>
      <w:bookmarkEnd w:id="171"/>
      <w:bookmarkStart w:id="172" w:name="_Toc184308094"/>
      <w:bookmarkEnd w:id="172"/>
      <w:bookmarkStart w:id="173" w:name="_Toc184312090"/>
      <w:bookmarkEnd w:id="173"/>
      <w:bookmarkStart w:id="174" w:name="_Toc184310316"/>
      <w:bookmarkEnd w:id="174"/>
      <w:bookmarkStart w:id="175" w:name="_Toc184308085"/>
      <w:bookmarkEnd w:id="175"/>
      <w:bookmarkStart w:id="176" w:name="_Toc184312103"/>
      <w:bookmarkEnd w:id="176"/>
      <w:bookmarkStart w:id="177" w:name="_Toc184310284"/>
      <w:bookmarkEnd w:id="177"/>
      <w:bookmarkStart w:id="178" w:name="_Toc184312136"/>
      <w:bookmarkEnd w:id="178"/>
      <w:bookmarkStart w:id="179" w:name="_Toc184310334"/>
      <w:bookmarkEnd w:id="179"/>
      <w:bookmarkStart w:id="180" w:name="_Toc184310304"/>
      <w:bookmarkEnd w:id="180"/>
      <w:bookmarkStart w:id="181" w:name="_Toc184312091"/>
      <w:bookmarkEnd w:id="181"/>
      <w:bookmarkStart w:id="182" w:name="_Toc184312079"/>
      <w:bookmarkEnd w:id="182"/>
      <w:bookmarkStart w:id="183" w:name="_Toc184308058"/>
      <w:bookmarkEnd w:id="183"/>
      <w:bookmarkStart w:id="184" w:name="_Toc184310277"/>
      <w:bookmarkEnd w:id="184"/>
      <w:bookmarkStart w:id="185" w:name="_Toc184312084"/>
      <w:bookmarkEnd w:id="185"/>
      <w:bookmarkStart w:id="186" w:name="_Toc184308076"/>
      <w:bookmarkEnd w:id="186"/>
      <w:bookmarkStart w:id="187" w:name="_Toc184310341"/>
      <w:bookmarkEnd w:id="187"/>
      <w:bookmarkStart w:id="188" w:name="_Toc184313265"/>
      <w:bookmarkEnd w:id="188"/>
      <w:bookmarkStart w:id="189" w:name="_Toc184312070"/>
      <w:bookmarkEnd w:id="189"/>
      <w:bookmarkStart w:id="190" w:name="_Toc184314434"/>
      <w:bookmarkEnd w:id="190"/>
      <w:bookmarkStart w:id="191" w:name="_Toc184314477"/>
      <w:bookmarkEnd w:id="191"/>
      <w:bookmarkStart w:id="192" w:name="_Toc184313292"/>
      <w:bookmarkEnd w:id="192"/>
      <w:bookmarkStart w:id="193" w:name="_Toc184312138"/>
      <w:bookmarkEnd w:id="193"/>
      <w:bookmarkStart w:id="194" w:name="_Toc184310295"/>
      <w:bookmarkEnd w:id="194"/>
      <w:bookmarkStart w:id="195" w:name="_Toc184308088"/>
      <w:bookmarkEnd w:id="195"/>
      <w:bookmarkStart w:id="196" w:name="_Toc184313297"/>
      <w:bookmarkEnd w:id="196"/>
      <w:bookmarkStart w:id="197" w:name="_Toc184310342"/>
      <w:bookmarkEnd w:id="197"/>
      <w:bookmarkStart w:id="198" w:name="_Toc184313268"/>
      <w:bookmarkEnd w:id="198"/>
      <w:bookmarkStart w:id="199" w:name="_Toc184313272"/>
      <w:bookmarkEnd w:id="199"/>
      <w:bookmarkStart w:id="200" w:name="_Toc184314439"/>
      <w:bookmarkEnd w:id="200"/>
      <w:bookmarkStart w:id="201" w:name="_Toc184314445"/>
      <w:bookmarkEnd w:id="201"/>
      <w:bookmarkStart w:id="202" w:name="_Toc184313269"/>
      <w:bookmarkEnd w:id="202"/>
      <w:bookmarkStart w:id="203" w:name="_Toc184310298"/>
      <w:bookmarkEnd w:id="203"/>
      <w:bookmarkStart w:id="204" w:name="_Toc184308067"/>
      <w:bookmarkEnd w:id="204"/>
      <w:bookmarkStart w:id="205" w:name="_Toc184314425"/>
      <w:bookmarkEnd w:id="205"/>
      <w:bookmarkStart w:id="206" w:name="_Toc184313239"/>
      <w:bookmarkEnd w:id="206"/>
      <w:bookmarkStart w:id="207" w:name="_Toc184308101"/>
      <w:bookmarkEnd w:id="207"/>
      <w:bookmarkStart w:id="208" w:name="_Toc184313300"/>
      <w:bookmarkEnd w:id="208"/>
      <w:bookmarkStart w:id="209" w:name="_Toc184308098"/>
      <w:bookmarkEnd w:id="209"/>
      <w:bookmarkStart w:id="210" w:name="_Toc184308081"/>
      <w:bookmarkEnd w:id="210"/>
      <w:bookmarkStart w:id="211" w:name="_Toc184313285"/>
      <w:bookmarkEnd w:id="211"/>
      <w:bookmarkStart w:id="212" w:name="_Toc184308071"/>
      <w:bookmarkEnd w:id="212"/>
      <w:bookmarkStart w:id="213" w:name="_Toc184313306"/>
      <w:bookmarkEnd w:id="213"/>
      <w:bookmarkStart w:id="214" w:name="_Toc184314436"/>
      <w:bookmarkEnd w:id="214"/>
      <w:bookmarkStart w:id="215" w:name="_Toc184314442"/>
      <w:bookmarkEnd w:id="215"/>
      <w:bookmarkStart w:id="216" w:name="_Toc184313286"/>
      <w:bookmarkEnd w:id="216"/>
      <w:bookmarkStart w:id="217" w:name="_Toc184310340"/>
      <w:bookmarkEnd w:id="217"/>
      <w:bookmarkStart w:id="218" w:name="_Toc184314460"/>
      <w:bookmarkEnd w:id="218"/>
      <w:bookmarkStart w:id="219" w:name="_Toc184310331"/>
      <w:bookmarkEnd w:id="219"/>
      <w:bookmarkStart w:id="220" w:name="_Toc184314446"/>
      <w:bookmarkEnd w:id="220"/>
      <w:bookmarkStart w:id="221" w:name="_Toc184314469"/>
      <w:bookmarkEnd w:id="221"/>
      <w:bookmarkStart w:id="222" w:name="_Toc184314421"/>
      <w:bookmarkEnd w:id="222"/>
      <w:bookmarkStart w:id="223" w:name="_Toc184312093"/>
      <w:bookmarkEnd w:id="223"/>
      <w:bookmarkStart w:id="224" w:name="_Toc184313246"/>
      <w:bookmarkEnd w:id="224"/>
      <w:bookmarkStart w:id="225" w:name="_Toc184312118"/>
      <w:bookmarkEnd w:id="225"/>
      <w:bookmarkStart w:id="226" w:name="_Toc184313259"/>
      <w:bookmarkEnd w:id="226"/>
      <w:bookmarkStart w:id="227" w:name="_Toc184314444"/>
      <w:bookmarkEnd w:id="227"/>
      <w:bookmarkStart w:id="228" w:name="_Toc184313253"/>
      <w:bookmarkEnd w:id="228"/>
      <w:bookmarkStart w:id="229" w:name="_Toc184314443"/>
      <w:bookmarkEnd w:id="229"/>
      <w:bookmarkStart w:id="230" w:name="_Toc184308090"/>
      <w:bookmarkEnd w:id="230"/>
      <w:bookmarkStart w:id="231" w:name="_Toc184308082"/>
      <w:bookmarkEnd w:id="231"/>
      <w:bookmarkStart w:id="232" w:name="_Toc184308060"/>
      <w:bookmarkEnd w:id="232"/>
      <w:bookmarkStart w:id="233" w:name="_Toc184308038"/>
      <w:bookmarkEnd w:id="233"/>
      <w:bookmarkStart w:id="234" w:name="_Toc184308040"/>
      <w:bookmarkEnd w:id="234"/>
      <w:bookmarkStart w:id="235" w:name="_Toc184313254"/>
      <w:bookmarkEnd w:id="235"/>
      <w:bookmarkStart w:id="236" w:name="_Toc184312100"/>
      <w:bookmarkEnd w:id="236"/>
      <w:bookmarkStart w:id="237" w:name="_Toc184313279"/>
      <w:bookmarkEnd w:id="237"/>
      <w:bookmarkStart w:id="238" w:name="_Toc184312073"/>
      <w:bookmarkEnd w:id="238"/>
      <w:bookmarkStart w:id="239" w:name="_Toc184308051"/>
      <w:bookmarkEnd w:id="239"/>
      <w:bookmarkStart w:id="240" w:name="_Toc184314451"/>
      <w:bookmarkEnd w:id="240"/>
      <w:bookmarkStart w:id="241" w:name="_Toc184312107"/>
      <w:bookmarkEnd w:id="241"/>
      <w:bookmarkStart w:id="242" w:name="_Toc184308036"/>
      <w:bookmarkEnd w:id="242"/>
      <w:bookmarkStart w:id="243" w:name="_Toc184308107"/>
      <w:bookmarkEnd w:id="243"/>
      <w:bookmarkStart w:id="244" w:name="_Toc184312098"/>
      <w:bookmarkEnd w:id="244"/>
      <w:bookmarkStart w:id="245" w:name="_Toc184314470"/>
      <w:bookmarkEnd w:id="245"/>
      <w:bookmarkStart w:id="246" w:name="_Toc184312129"/>
      <w:bookmarkEnd w:id="246"/>
      <w:bookmarkStart w:id="247" w:name="_Toc184314473"/>
      <w:bookmarkEnd w:id="247"/>
      <w:bookmarkStart w:id="248" w:name="_Toc184314419"/>
      <w:bookmarkEnd w:id="248"/>
      <w:bookmarkStart w:id="249" w:name="_Toc184314437"/>
      <w:bookmarkEnd w:id="249"/>
      <w:bookmarkStart w:id="250" w:name="_Toc184308062"/>
      <w:bookmarkEnd w:id="250"/>
      <w:bookmarkStart w:id="251" w:name="_Toc184313282"/>
      <w:bookmarkEnd w:id="251"/>
      <w:bookmarkStart w:id="252" w:name="_Toc184314479"/>
      <w:bookmarkEnd w:id="252"/>
      <w:bookmarkStart w:id="253" w:name="_Toc184313295"/>
      <w:bookmarkEnd w:id="253"/>
      <w:bookmarkStart w:id="254" w:name="_Toc184310308"/>
      <w:bookmarkEnd w:id="254"/>
      <w:bookmarkStart w:id="255" w:name="_Toc184310317"/>
      <w:bookmarkEnd w:id="255"/>
      <w:bookmarkStart w:id="256" w:name="_Toc184314420"/>
      <w:bookmarkEnd w:id="256"/>
      <w:bookmarkStart w:id="257" w:name="_Toc184313298"/>
      <w:bookmarkEnd w:id="257"/>
      <w:bookmarkStart w:id="258" w:name="_Toc184308059"/>
      <w:bookmarkEnd w:id="258"/>
      <w:bookmarkStart w:id="259" w:name="_Toc184314454"/>
      <w:bookmarkEnd w:id="259"/>
      <w:bookmarkStart w:id="260" w:name="_Toc184308108"/>
      <w:bookmarkEnd w:id="260"/>
      <w:bookmarkStart w:id="261" w:name="_Toc184312069"/>
      <w:bookmarkEnd w:id="261"/>
      <w:bookmarkStart w:id="262" w:name="_Toc184314435"/>
      <w:bookmarkEnd w:id="262"/>
      <w:bookmarkStart w:id="263" w:name="_Toc184313291"/>
      <w:bookmarkEnd w:id="263"/>
      <w:bookmarkStart w:id="264" w:name="_Toc184314431"/>
      <w:bookmarkEnd w:id="264"/>
      <w:bookmarkStart w:id="265" w:name="_Toc184312092"/>
      <w:bookmarkEnd w:id="265"/>
      <w:bookmarkStart w:id="266" w:name="_Toc184313289"/>
      <w:bookmarkEnd w:id="266"/>
      <w:bookmarkStart w:id="267" w:name="_Toc184313258"/>
      <w:bookmarkEnd w:id="267"/>
      <w:bookmarkStart w:id="268" w:name="_Toc184312096"/>
      <w:bookmarkEnd w:id="268"/>
      <w:bookmarkStart w:id="269" w:name="_Toc184314466"/>
      <w:bookmarkEnd w:id="269"/>
      <w:bookmarkStart w:id="270" w:name="_Toc184312124"/>
      <w:bookmarkEnd w:id="270"/>
      <w:bookmarkStart w:id="271" w:name="_Toc184314433"/>
      <w:bookmarkEnd w:id="271"/>
      <w:bookmarkStart w:id="272" w:name="_Toc184314449"/>
      <w:bookmarkEnd w:id="272"/>
      <w:bookmarkStart w:id="273" w:name="_Toc184310297"/>
      <w:bookmarkEnd w:id="273"/>
      <w:bookmarkStart w:id="274" w:name="_Toc184313262"/>
      <w:bookmarkEnd w:id="274"/>
      <w:bookmarkStart w:id="275" w:name="_Toc184308103"/>
      <w:bookmarkEnd w:id="275"/>
      <w:bookmarkStart w:id="276" w:name="_Toc184312137"/>
      <w:bookmarkEnd w:id="276"/>
      <w:bookmarkStart w:id="277" w:name="_Toc184314481"/>
      <w:bookmarkEnd w:id="277"/>
      <w:bookmarkStart w:id="278" w:name="_Toc184314432"/>
      <w:bookmarkEnd w:id="278"/>
      <w:bookmarkStart w:id="279" w:name="_Toc184314461"/>
      <w:bookmarkEnd w:id="279"/>
      <w:bookmarkStart w:id="280" w:name="_Toc184313241"/>
      <w:bookmarkEnd w:id="280"/>
      <w:bookmarkStart w:id="281" w:name="_Toc184310283"/>
      <w:bookmarkEnd w:id="281"/>
      <w:bookmarkStart w:id="282" w:name="_Toc184313261"/>
      <w:bookmarkEnd w:id="282"/>
      <w:bookmarkStart w:id="283" w:name="_Toc184312112"/>
      <w:bookmarkEnd w:id="283"/>
      <w:bookmarkStart w:id="284" w:name="_Toc184310307"/>
      <w:bookmarkEnd w:id="284"/>
      <w:bookmarkStart w:id="285" w:name="_Toc184310343"/>
      <w:bookmarkEnd w:id="285"/>
      <w:bookmarkStart w:id="286" w:name="_Toc184312094"/>
      <w:bookmarkEnd w:id="286"/>
      <w:bookmarkStart w:id="287" w:name="_Toc184312083"/>
      <w:bookmarkEnd w:id="287"/>
      <w:bookmarkStart w:id="288" w:name="_Toc184308066"/>
      <w:bookmarkEnd w:id="288"/>
      <w:bookmarkStart w:id="289" w:name="_Toc184312097"/>
      <w:bookmarkEnd w:id="289"/>
      <w:bookmarkStart w:id="290" w:name="_Toc184310322"/>
      <w:bookmarkEnd w:id="290"/>
      <w:bookmarkStart w:id="291" w:name="_Toc184314464"/>
      <w:bookmarkEnd w:id="291"/>
      <w:bookmarkStart w:id="292" w:name="_Toc184308084"/>
      <w:bookmarkEnd w:id="292"/>
      <w:bookmarkStart w:id="293" w:name="_Toc184312105"/>
      <w:bookmarkEnd w:id="293"/>
      <w:bookmarkStart w:id="294" w:name="_Toc184308086"/>
      <w:bookmarkEnd w:id="294"/>
      <w:bookmarkStart w:id="295" w:name="_Toc184313310"/>
      <w:bookmarkEnd w:id="295"/>
      <w:bookmarkStart w:id="296" w:name="_Toc184314415"/>
      <w:bookmarkEnd w:id="296"/>
      <w:bookmarkStart w:id="297" w:name="_Toc184312072"/>
      <w:bookmarkEnd w:id="297"/>
      <w:bookmarkStart w:id="298" w:name="_Toc184310300"/>
      <w:bookmarkEnd w:id="298"/>
      <w:bookmarkStart w:id="299" w:name="_Toc184313260"/>
      <w:bookmarkEnd w:id="299"/>
      <w:bookmarkStart w:id="300" w:name="_Toc184312130"/>
      <w:bookmarkEnd w:id="300"/>
      <w:bookmarkStart w:id="301" w:name="_Toc184314453"/>
      <w:bookmarkEnd w:id="301"/>
      <w:bookmarkStart w:id="302" w:name="_Toc184308099"/>
      <w:bookmarkEnd w:id="302"/>
      <w:bookmarkStart w:id="303" w:name="_Toc184308043"/>
      <w:bookmarkEnd w:id="303"/>
      <w:bookmarkStart w:id="304" w:name="_Toc184313251"/>
      <w:bookmarkEnd w:id="304"/>
      <w:bookmarkStart w:id="305" w:name="_Toc184313255"/>
      <w:bookmarkEnd w:id="305"/>
      <w:bookmarkStart w:id="306" w:name="_Toc184314412"/>
      <w:bookmarkEnd w:id="306"/>
      <w:bookmarkStart w:id="307" w:name="_Toc184313250"/>
      <w:bookmarkEnd w:id="307"/>
      <w:bookmarkStart w:id="308" w:name="_Toc184312122"/>
      <w:bookmarkEnd w:id="308"/>
      <w:bookmarkStart w:id="309" w:name="_Toc184310291"/>
      <w:bookmarkEnd w:id="309"/>
      <w:bookmarkStart w:id="310" w:name="_Toc184313304"/>
      <w:bookmarkEnd w:id="310"/>
      <w:bookmarkStart w:id="311" w:name="_Toc184308073"/>
      <w:bookmarkEnd w:id="311"/>
      <w:bookmarkStart w:id="312" w:name="_Toc184313293"/>
      <w:bookmarkEnd w:id="312"/>
      <w:bookmarkStart w:id="313" w:name="_Toc184310287"/>
      <w:bookmarkEnd w:id="313"/>
      <w:bookmarkStart w:id="314" w:name="_Toc184310328"/>
      <w:bookmarkEnd w:id="314"/>
      <w:bookmarkStart w:id="315" w:name="_Toc184312115"/>
      <w:bookmarkEnd w:id="315"/>
      <w:bookmarkStart w:id="316" w:name="_Toc184314456"/>
      <w:bookmarkEnd w:id="316"/>
      <w:bookmarkStart w:id="317" w:name="_Toc184310279"/>
      <w:bookmarkEnd w:id="317"/>
      <w:bookmarkStart w:id="318" w:name="_Toc184313299"/>
      <w:bookmarkEnd w:id="318"/>
      <w:bookmarkStart w:id="319" w:name="_Toc184313257"/>
      <w:bookmarkEnd w:id="319"/>
      <w:bookmarkStart w:id="320" w:name="_Toc184310299"/>
      <w:bookmarkEnd w:id="320"/>
      <w:bookmarkStart w:id="321" w:name="_Toc184314459"/>
      <w:bookmarkEnd w:id="321"/>
      <w:bookmarkStart w:id="322" w:name="_Toc184314438"/>
      <w:bookmarkEnd w:id="322"/>
      <w:bookmarkStart w:id="323" w:name="_Toc184314447"/>
      <w:bookmarkEnd w:id="323"/>
      <w:bookmarkStart w:id="324" w:name="_Toc184310332"/>
      <w:bookmarkEnd w:id="324"/>
      <w:bookmarkStart w:id="325" w:name="_Toc184312121"/>
      <w:bookmarkEnd w:id="325"/>
      <w:bookmarkStart w:id="326" w:name="_Toc184314458"/>
      <w:bookmarkEnd w:id="326"/>
      <w:bookmarkStart w:id="327" w:name="_Toc184310289"/>
      <w:bookmarkEnd w:id="327"/>
      <w:bookmarkStart w:id="328" w:name="_Toc184308096"/>
      <w:bookmarkEnd w:id="328"/>
      <w:bookmarkStart w:id="329" w:name="_Toc184312078"/>
      <w:bookmarkEnd w:id="329"/>
      <w:bookmarkStart w:id="330" w:name="_Toc184313248"/>
      <w:bookmarkEnd w:id="330"/>
      <w:bookmarkStart w:id="331" w:name="_Toc184308048"/>
      <w:bookmarkEnd w:id="331"/>
      <w:bookmarkStart w:id="332" w:name="_Toc184314441"/>
      <w:bookmarkEnd w:id="332"/>
      <w:bookmarkStart w:id="333" w:name="_Toc184314414"/>
      <w:bookmarkEnd w:id="333"/>
      <w:bookmarkStart w:id="334" w:name="_Toc184310313"/>
      <w:bookmarkEnd w:id="334"/>
      <w:bookmarkStart w:id="335" w:name="_Toc184312088"/>
      <w:bookmarkEnd w:id="335"/>
      <w:bookmarkStart w:id="336" w:name="_Toc184312087"/>
      <w:bookmarkEnd w:id="336"/>
      <w:bookmarkStart w:id="337" w:name="_Toc184310315"/>
      <w:bookmarkEnd w:id="337"/>
      <w:bookmarkStart w:id="338" w:name="_Toc184313240"/>
      <w:bookmarkEnd w:id="338"/>
      <w:bookmarkStart w:id="339" w:name="_Toc184310281"/>
      <w:bookmarkEnd w:id="339"/>
      <w:bookmarkStart w:id="340" w:name="_Toc184310337"/>
      <w:bookmarkEnd w:id="340"/>
      <w:bookmarkStart w:id="341" w:name="_Toc184308102"/>
      <w:bookmarkEnd w:id="341"/>
      <w:bookmarkStart w:id="342" w:name="_Toc184314467"/>
      <w:bookmarkEnd w:id="342"/>
      <w:bookmarkStart w:id="343" w:name="_Toc184314457"/>
      <w:bookmarkEnd w:id="343"/>
      <w:bookmarkStart w:id="344" w:name="_Toc184310318"/>
      <w:bookmarkEnd w:id="344"/>
      <w:bookmarkStart w:id="345" w:name="_Toc184313301"/>
      <w:bookmarkEnd w:id="345"/>
      <w:bookmarkStart w:id="346" w:name="_Toc184312086"/>
      <w:bookmarkEnd w:id="346"/>
      <w:bookmarkStart w:id="347" w:name="_Toc184313249"/>
      <w:bookmarkEnd w:id="347"/>
      <w:bookmarkStart w:id="348" w:name="_Toc184308054"/>
      <w:bookmarkEnd w:id="348"/>
      <w:bookmarkStart w:id="349" w:name="_Toc184313245"/>
      <w:bookmarkEnd w:id="349"/>
      <w:bookmarkStart w:id="350" w:name="_Toc184308100"/>
      <w:bookmarkEnd w:id="350"/>
      <w:bookmarkStart w:id="351" w:name="_Toc184312120"/>
      <w:bookmarkEnd w:id="351"/>
      <w:bookmarkStart w:id="352" w:name="_Toc184312131"/>
      <w:bookmarkEnd w:id="352"/>
      <w:bookmarkStart w:id="353" w:name="_Toc184312134"/>
      <w:bookmarkEnd w:id="353"/>
      <w:bookmarkStart w:id="354" w:name="_Toc184308057"/>
      <w:bookmarkEnd w:id="354"/>
      <w:bookmarkStart w:id="355" w:name="_Toc184312111"/>
      <w:bookmarkEnd w:id="355"/>
      <w:bookmarkStart w:id="356" w:name="_Toc184312099"/>
      <w:bookmarkEnd w:id="356"/>
      <w:bookmarkStart w:id="357" w:name="_Toc184314416"/>
      <w:bookmarkEnd w:id="357"/>
      <w:bookmarkStart w:id="358" w:name="_Toc184310278"/>
      <w:bookmarkEnd w:id="358"/>
      <w:bookmarkStart w:id="359" w:name="_Toc184312135"/>
      <w:bookmarkEnd w:id="359"/>
      <w:bookmarkStart w:id="360" w:name="_Toc184313247"/>
      <w:bookmarkEnd w:id="360"/>
      <w:bookmarkStart w:id="361" w:name="_Toc184308044"/>
      <w:bookmarkEnd w:id="361"/>
      <w:bookmarkStart w:id="362" w:name="_Toc184312067"/>
      <w:bookmarkEnd w:id="362"/>
      <w:bookmarkStart w:id="363" w:name="_Toc184313302"/>
      <w:bookmarkEnd w:id="363"/>
      <w:bookmarkStart w:id="364" w:name="_Toc184310324"/>
      <w:bookmarkEnd w:id="364"/>
      <w:bookmarkStart w:id="365" w:name="_Toc184310338"/>
      <w:bookmarkEnd w:id="365"/>
      <w:bookmarkStart w:id="366" w:name="_Toc184313243"/>
      <w:bookmarkEnd w:id="366"/>
      <w:bookmarkStart w:id="367" w:name="_Toc184310282"/>
      <w:bookmarkEnd w:id="367"/>
      <w:bookmarkStart w:id="368" w:name="_Toc184310335"/>
      <w:bookmarkEnd w:id="368"/>
      <w:bookmarkStart w:id="369" w:name="_Toc184314468"/>
      <w:bookmarkEnd w:id="369"/>
      <w:bookmarkStart w:id="370" w:name="_Toc184313275"/>
      <w:bookmarkEnd w:id="370"/>
      <w:bookmarkStart w:id="371" w:name="_Toc184308047"/>
      <w:bookmarkEnd w:id="371"/>
      <w:bookmarkStart w:id="372" w:name="_Toc184310320"/>
      <w:bookmarkEnd w:id="372"/>
      <w:bookmarkStart w:id="373" w:name="_Toc184312108"/>
      <w:bookmarkEnd w:id="373"/>
      <w:bookmarkStart w:id="374" w:name="_Toc184310344"/>
      <w:bookmarkEnd w:id="374"/>
      <w:bookmarkStart w:id="375" w:name="_Toc184314427"/>
      <w:bookmarkEnd w:id="375"/>
      <w:bookmarkStart w:id="376" w:name="_Toc184312101"/>
      <w:bookmarkEnd w:id="376"/>
      <w:bookmarkStart w:id="377" w:name="_Toc184308080"/>
      <w:bookmarkEnd w:id="377"/>
      <w:bookmarkStart w:id="378" w:name="_Toc184310292"/>
      <w:bookmarkEnd w:id="378"/>
      <w:bookmarkStart w:id="379" w:name="_Toc184310288"/>
      <w:bookmarkEnd w:id="379"/>
      <w:bookmarkStart w:id="380" w:name="_Toc184314440"/>
      <w:bookmarkEnd w:id="380"/>
      <w:bookmarkStart w:id="381" w:name="_Toc184308104"/>
      <w:bookmarkEnd w:id="381"/>
      <w:bookmarkStart w:id="382" w:name="_Toc184312119"/>
      <w:bookmarkEnd w:id="382"/>
      <w:bookmarkStart w:id="383" w:name="_Toc184312139"/>
      <w:bookmarkEnd w:id="383"/>
      <w:bookmarkStart w:id="384" w:name="_Toc184313270"/>
      <w:bookmarkEnd w:id="384"/>
      <w:bookmarkStart w:id="385" w:name="_Toc184310306"/>
      <w:bookmarkEnd w:id="385"/>
      <w:bookmarkStart w:id="386" w:name="_Toc184313305"/>
      <w:bookmarkEnd w:id="386"/>
      <w:bookmarkStart w:id="387" w:name="_Toc184310327"/>
      <w:bookmarkEnd w:id="387"/>
      <w:bookmarkStart w:id="388" w:name="_Toc184313256"/>
      <w:bookmarkEnd w:id="388"/>
      <w:bookmarkStart w:id="389" w:name="_Toc184308074"/>
      <w:bookmarkEnd w:id="389"/>
      <w:bookmarkStart w:id="390" w:name="_Toc184314476"/>
      <w:bookmarkEnd w:id="390"/>
      <w:bookmarkStart w:id="391" w:name="_Toc184314448"/>
      <w:bookmarkEnd w:id="391"/>
      <w:bookmarkStart w:id="392" w:name="_Toc184313281"/>
      <w:bookmarkEnd w:id="392"/>
      <w:bookmarkStart w:id="393" w:name="_Toc184310273"/>
      <w:bookmarkEnd w:id="393"/>
      <w:bookmarkStart w:id="394" w:name="_Toc184312116"/>
      <w:bookmarkEnd w:id="394"/>
      <w:bookmarkStart w:id="395" w:name="_Toc184312110"/>
      <w:bookmarkEnd w:id="395"/>
      <w:bookmarkStart w:id="396" w:name="_Toc184310314"/>
      <w:bookmarkEnd w:id="396"/>
      <w:bookmarkStart w:id="397" w:name="_Toc184312082"/>
      <w:bookmarkEnd w:id="397"/>
      <w:bookmarkStart w:id="398" w:name="_Toc184310336"/>
      <w:bookmarkEnd w:id="398"/>
      <w:bookmarkStart w:id="399" w:name="_Toc184313278"/>
      <w:bookmarkEnd w:id="399"/>
      <w:bookmarkStart w:id="400" w:name="_Toc184310339"/>
      <w:bookmarkEnd w:id="400"/>
      <w:bookmarkStart w:id="401" w:name="_Toc184313296"/>
      <w:bookmarkEnd w:id="401"/>
      <w:bookmarkStart w:id="402" w:name="_Toc184308075"/>
      <w:bookmarkEnd w:id="402"/>
      <w:bookmarkStart w:id="403" w:name="_Toc184308049"/>
      <w:bookmarkEnd w:id="403"/>
      <w:bookmarkStart w:id="404" w:name="_Toc184313283"/>
      <w:bookmarkEnd w:id="404"/>
      <w:bookmarkStart w:id="405" w:name="_Toc184308105"/>
      <w:bookmarkEnd w:id="405"/>
      <w:bookmarkStart w:id="406" w:name="_Toc184308046"/>
      <w:bookmarkEnd w:id="406"/>
      <w:bookmarkStart w:id="407" w:name="_Toc184312133"/>
      <w:bookmarkEnd w:id="407"/>
      <w:bookmarkStart w:id="408" w:name="_Toc184313263"/>
      <w:bookmarkEnd w:id="408"/>
      <w:bookmarkStart w:id="409" w:name="_Toc184314471"/>
      <w:bookmarkEnd w:id="409"/>
      <w:bookmarkStart w:id="410" w:name="_Toc184314450"/>
      <w:bookmarkEnd w:id="410"/>
      <w:bookmarkStart w:id="411" w:name="_Toc184313280"/>
      <w:bookmarkEnd w:id="411"/>
      <w:bookmarkStart w:id="412" w:name="_Toc184312106"/>
      <w:bookmarkEnd w:id="412"/>
      <w:r>
        <w:rPr>
          <w:rFonts w:hint="eastAsia" w:ascii="仿宋_GB2312" w:hAnsi="仿宋" w:eastAsia="仿宋_GB2312" w:cs="仿宋_GB2312"/>
          <w:b/>
          <w:sz w:val="36"/>
          <w:szCs w:val="36"/>
        </w:rPr>
        <w:t>评标方法及评分标准</w:t>
      </w:r>
    </w:p>
    <w:p>
      <w:pPr>
        <w:adjustRightInd w:val="0"/>
        <w:snapToGrid w:val="0"/>
        <w:spacing w:line="360" w:lineRule="auto"/>
        <w:ind w:firstLine="3052" w:firstLineChars="950"/>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1.综合评分法。</w:t>
      </w:r>
      <w:r>
        <w:rPr>
          <w:rFonts w:hint="eastAsia" w:ascii="仿宋_GB2312" w:hAnsi="仿宋" w:eastAsia="仿宋_GB2312" w:cs="Arial"/>
          <w:kern w:val="0"/>
          <w:sz w:val="24"/>
          <w:szCs w:val="24"/>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_GB2312" w:cs="Arial"/>
          <w:kern w:val="0"/>
          <w:sz w:val="24"/>
          <w:szCs w:val="24"/>
        </w:rPr>
      </w:pPr>
    </w:p>
    <w:p>
      <w:pPr>
        <w:adjustRightInd w:val="0"/>
        <w:snapToGrid w:val="0"/>
        <w:spacing w:line="360" w:lineRule="auto"/>
        <w:ind w:left="120" w:leftChars="57" w:firstLine="422" w:firstLineChars="150"/>
        <w:jc w:val="center"/>
        <w:rPr>
          <w:rFonts w:ascii="仿宋_GB2312" w:hAnsi="仿宋" w:eastAsia="仿宋_GB2312" w:cs="仿宋_GB2312"/>
          <w:b/>
          <w:sz w:val="32"/>
          <w:szCs w:val="24"/>
        </w:rPr>
      </w:pPr>
      <w:r>
        <w:rPr>
          <w:rFonts w:hint="eastAsia" w:ascii="仿宋_GB2312" w:hAnsi="仿宋" w:eastAsia="仿宋_GB2312" w:cs="Times New Roman"/>
          <w:b/>
          <w:sz w:val="28"/>
          <w:szCs w:val="28"/>
        </w:rPr>
        <w:t xml:space="preserve">   </w:t>
      </w:r>
      <w:r>
        <w:rPr>
          <w:rFonts w:hint="eastAsia" w:ascii="仿宋_GB2312" w:hAnsi="仿宋" w:eastAsia="仿宋_GB2312" w:cs="仿宋_GB2312"/>
          <w:b/>
          <w:sz w:val="32"/>
          <w:szCs w:val="24"/>
        </w:rPr>
        <w:t>二、评标委员会的组成</w:t>
      </w:r>
    </w:p>
    <w:p>
      <w:pPr>
        <w:adjustRightInd w:val="0"/>
        <w:snapToGri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2.评标委员会的组成。</w:t>
      </w:r>
      <w:r>
        <w:rPr>
          <w:rFonts w:hint="eastAsia" w:ascii="仿宋_GB2312" w:hAnsi="仿宋" w:eastAsia="仿宋_GB2312" w:cs="Arial"/>
          <w:kern w:val="0"/>
          <w:sz w:val="24"/>
          <w:szCs w:val="24"/>
        </w:rPr>
        <w:t>评标委员会由采购人代表和评审专家组成，成员人数为5人以上单数，其中评审专家不少于成员总数的三分之二。</w:t>
      </w:r>
    </w:p>
    <w:p>
      <w:pPr>
        <w:adjustRightInd w:val="0"/>
        <w:spacing w:line="360" w:lineRule="auto"/>
        <w:rPr>
          <w:rFonts w:ascii="仿宋_GB2312" w:hAnsi="仿宋" w:eastAsia="仿宋_GB2312" w:cs="Arial"/>
          <w:kern w:val="0"/>
          <w:sz w:val="24"/>
        </w:rPr>
      </w:pPr>
      <w:r>
        <w:rPr>
          <w:rFonts w:hint="eastAsia" w:ascii="仿宋_GB2312" w:hAnsi="仿宋" w:eastAsia="仿宋_GB2312" w:cs="Arial"/>
          <w:b/>
          <w:kern w:val="0"/>
          <w:sz w:val="24"/>
        </w:rPr>
        <w:t>3.评</w:t>
      </w:r>
      <w:r>
        <w:rPr>
          <w:rFonts w:hint="eastAsia" w:ascii="仿宋_GB2312" w:hAnsi="仿宋" w:eastAsia="仿宋_GB2312" w:cs="Arial"/>
          <w:b/>
          <w:kern w:val="0"/>
          <w:sz w:val="24"/>
          <w:szCs w:val="24"/>
        </w:rPr>
        <w:t>标委员会的组成人员的回避。</w:t>
      </w:r>
      <w:r>
        <w:rPr>
          <w:rFonts w:hint="eastAsia" w:ascii="仿宋_GB2312" w:hAnsi="仿宋" w:eastAsia="仿宋_GB2312" w:cs="Arial"/>
          <w:kern w:val="0"/>
          <w:sz w:val="24"/>
        </w:rPr>
        <w:t>在政府采购活动中，评标委员会的组成人员与供应商有下列利害关系之一的，应当回避：</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3.1参加采购活动前3年内与供应商存在劳动关系；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3.2参加采购活动前3年内担任供应商的董事、监事；</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3.3参加采购活动前3年内是供应商的控股股东或者实际控制人；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3.4与供应商的法定代表人或者负责人有夫妻、直系血亲、三代以内旁系血亲或者近姻亲关系；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3.5与供应商有其他可能影响政府采购活动公平、公正进行的关系。</w:t>
      </w: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　</w:t>
      </w:r>
      <w:r>
        <w:rPr>
          <w:rFonts w:hint="eastAsia" w:ascii="仿宋_GB2312" w:hAnsi="仿宋" w:eastAsia="仿宋_GB2312" w:cs="仿宋_GB2312"/>
          <w:b/>
          <w:sz w:val="32"/>
          <w:szCs w:val="24"/>
        </w:rPr>
        <w:t>　三、评标委员会的职责</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4.评标委员会负责具体评标事务，并独立履行下列职责：</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4.1审查、评价投标文件是否符合招标文件的商务、技术等实质性要求；</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4.2要求投标人对投标文件有关事项作出澄清或者说明；</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4.3对投标文件进行比较和评价；</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4.4确定中标候选人名单，以及根据采购人委托直接确定中标人；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4.5向采购人、采购机构或者有关部门报告评标中发现的违法行为；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4.6法律、法规、规章、招标文件等规定的其它事项。</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5.评标委员会及其成员不得有下列行为：</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5.1确定参与评标至评标结束前私自接触投标人；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5.2接受投标人提出的与投标文件不一致的澄清或者说明，《政府采购货物和服务招标投标管理办法》（财政部令第87号）第五十一条规定的情形除外；</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5.3违反评标纪律发表倾向性意见或者征询采购人的倾向性意见；</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5.4对需要专业判断的主观评审因素协商评分；</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5.5在评标过程中擅离职守，影响评标程序正常进行的；</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5.6记录、复制或者带走任何评标资料；</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5.7其他不遵守评标纪律的行为。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评标委员会成员有5.1-5.</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行为之一的，其评审意见无效，并不得获取评审劳务报酬和报销异地评审差旅费。</w:t>
      </w:r>
    </w:p>
    <w:p>
      <w:pPr>
        <w:adjustRightInd w:val="0"/>
        <w:spacing w:line="360" w:lineRule="auto"/>
        <w:rPr>
          <w:rFonts w:ascii="仿宋_GB2312" w:hAnsi="仿宋" w:eastAsia="仿宋_GB2312" w:cs="Arial"/>
          <w:kern w:val="0"/>
          <w:sz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四、评审程序</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 xml:space="preserve">6.符合性审查。 </w:t>
      </w:r>
      <w:r>
        <w:rPr>
          <w:rFonts w:hint="eastAsia" w:ascii="仿宋_GB2312" w:hAnsi="仿宋" w:eastAsia="仿宋_GB2312" w:cs="Arial"/>
          <w:kern w:val="0"/>
          <w:sz w:val="24"/>
          <w:szCs w:val="24"/>
        </w:rPr>
        <w:t>评标委员会应当对符合资格的投标人的投标文件进行符合性审查，以确定其是否满足招标文件的实质性要求。符合投标无效情形的，投标无效。</w:t>
      </w:r>
    </w:p>
    <w:p>
      <w:pPr>
        <w:adjustRightInd w:val="0"/>
        <w:spacing w:line="360" w:lineRule="auto"/>
        <w:rPr>
          <w:rFonts w:hint="eastAsia" w:ascii="仿宋_GB2312" w:hAnsi="仿宋" w:eastAsia="仿宋_GB2312" w:cs="Arial"/>
          <w:b/>
          <w:kern w:val="0"/>
          <w:sz w:val="24"/>
          <w:szCs w:val="24"/>
        </w:rPr>
      </w:pPr>
      <w:r>
        <w:rPr>
          <w:rFonts w:hint="eastAsia" w:ascii="仿宋_GB2312" w:hAnsi="仿宋" w:eastAsia="仿宋_GB2312" w:cs="Arial"/>
          <w:b/>
          <w:kern w:val="0"/>
          <w:sz w:val="24"/>
          <w:szCs w:val="24"/>
        </w:rPr>
        <w:t>7.投标人澄清、说明或者补正。</w:t>
      </w:r>
    </w:p>
    <w:p>
      <w:pPr>
        <w:adjustRightInd w:val="0"/>
        <w:spacing w:line="360" w:lineRule="auto"/>
        <w:rPr>
          <w:rFonts w:hint="eastAsia" w:ascii="仿宋_GB2312" w:hAnsi="仿宋" w:eastAsia="仿宋_GB2312" w:cs="Arial"/>
          <w:kern w:val="0"/>
          <w:sz w:val="24"/>
          <w:szCs w:val="24"/>
        </w:rPr>
      </w:pPr>
      <w:r>
        <w:rPr>
          <w:rFonts w:hint="eastAsia" w:ascii="仿宋_GB2312" w:hAnsi="仿宋" w:eastAsia="仿宋_GB2312" w:cs="Arial"/>
          <w:b/>
          <w:kern w:val="0"/>
          <w:sz w:val="24"/>
          <w:szCs w:val="24"/>
          <w:lang w:val="en-US" w:eastAsia="zh-CN"/>
        </w:rPr>
        <w:t>7.1</w:t>
      </w:r>
      <w:r>
        <w:rPr>
          <w:rFonts w:hint="eastAsia" w:ascii="仿宋_GB2312" w:hAnsi="仿宋" w:eastAsia="仿宋_GB2312" w:cs="Arial"/>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rPr>
          <w:rFonts w:hint="default" w:ascii="仿宋_GB2312" w:hAnsi="仿宋" w:eastAsia="仿宋_GB2312" w:cs="Arial"/>
          <w:b/>
          <w:bCs/>
          <w:kern w:val="0"/>
          <w:sz w:val="24"/>
          <w:szCs w:val="24"/>
          <w:lang w:val="en-US" w:eastAsia="zh-CN"/>
        </w:rPr>
      </w:pPr>
      <w:r>
        <w:rPr>
          <w:rFonts w:hint="eastAsia" w:ascii="仿宋_GB2312" w:hAnsi="仿宋" w:eastAsia="仿宋_GB2312" w:cs="Arial"/>
          <w:b/>
          <w:bCs/>
          <w:kern w:val="0"/>
          <w:sz w:val="24"/>
          <w:szCs w:val="24"/>
          <w:lang w:val="en-US" w:eastAsia="zh-CN"/>
        </w:rPr>
        <w:t>7.2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8. 比较与评价。</w:t>
      </w:r>
      <w:r>
        <w:rPr>
          <w:rFonts w:hint="eastAsia" w:ascii="仿宋_GB2312" w:hAnsi="仿宋" w:eastAsia="仿宋_GB2312" w:cs="Arial"/>
          <w:kern w:val="0"/>
          <w:sz w:val="24"/>
          <w:szCs w:val="24"/>
        </w:rPr>
        <w:t>评标委员会应当按照评标标准，对符合性审查合格的投标文件进行商务和技术评估，综合比较与评价。</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9. 汇总（商务技术得分情况）。</w:t>
      </w:r>
      <w:r>
        <w:rPr>
          <w:rFonts w:hint="eastAsia" w:ascii="仿宋_GB2312" w:hAnsi="仿宋" w:eastAsia="仿宋_GB2312" w:cs="Arial"/>
          <w:kern w:val="0"/>
          <w:sz w:val="24"/>
          <w:szCs w:val="24"/>
        </w:rPr>
        <w:t>评标委员会各成员应当独立对每个投标人的商务和技术文件进行评价，并汇总商务技术得分情况。</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10. 报价审核。</w:t>
      </w:r>
      <w:r>
        <w:rPr>
          <w:rFonts w:hint="eastAsia" w:ascii="仿宋_GB2312" w:hAnsi="仿宋" w:eastAsia="仿宋_GB2312" w:cs="Arial"/>
          <w:kern w:val="0"/>
          <w:sz w:val="24"/>
          <w:szCs w:val="24"/>
        </w:rPr>
        <w:t>对经商务和技术评审符合采购需求的投标人的报价的合理性、准确性等进行审查核实。</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10.1评标委员会认为投标人的报价明显低于其他通过符合性审查投标人的报价，有可能影响产品质量或者不能诚信履约的，应当要求其在合理的时间内提供书面说明，必要时提交相关证明材料。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10.2根据财政部发布的《政府采购促进中小企业发展管理办法》规定，</w:t>
      </w:r>
      <w:r>
        <w:rPr>
          <w:rFonts w:ascii="仿宋_GB2312" w:hAnsi="仿宋" w:eastAsia="仿宋_GB2312" w:cs="Arial"/>
          <w:kern w:val="0"/>
          <w:sz w:val="24"/>
          <w:szCs w:val="24"/>
        </w:rPr>
        <w:t>对于经主管预算单位统筹后未预留份额专门面向中小企业采购的采购项目，以及预留份额项目中的非预留部分采购包，</w:t>
      </w:r>
      <w:r>
        <w:rPr>
          <w:rFonts w:hint="eastAsia" w:ascii="仿宋_GB2312" w:hAnsi="仿宋" w:eastAsia="仿宋_GB2312" w:cs="Arial"/>
          <w:kern w:val="0"/>
          <w:sz w:val="24"/>
          <w:szCs w:val="24"/>
        </w:rPr>
        <w:t>对小微企业报价给予一定的扣除，用扣除后的价格参与评审。</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10.3投标价格的修正原则。投标文件报价出现前后不一致的，按照下列规定修正：</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10.3.1投标文件中开标一览表(报价表)内容与投标文件中相应内容不一致的，以开标一览表(报价表)为准;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10.3.2大写金额和小写金额不一致的，以大写金额为准;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10.3.3单价金额小数点或者百分比有明显错位的，以开标一览表的总价为准，并修改单价;</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10.3.4总价金额与按单价汇总金额不一致的，以单价金额计算结果为准。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10.3.5同时出现两种以上不一致的，按照前款规定的顺序修正。修正后的报价按照财政部第87号令 《政府采购货物和服务招标投标管理办法》第五十一条第二款的规定经投标人确认后产生约束力。</w:t>
      </w:r>
    </w:p>
    <w:p>
      <w:pPr>
        <w:adjustRightInd w:val="0"/>
        <w:spacing w:line="360" w:lineRule="auto"/>
        <w:ind w:firstLine="480" w:firstLineChars="200"/>
        <w:rPr>
          <w:rFonts w:ascii="仿宋_GB2312" w:hAnsi="仿宋" w:eastAsia="仿宋_GB2312" w:cs="仿宋_GB2312"/>
          <w:b/>
          <w:bCs/>
          <w:sz w:val="24"/>
          <w:szCs w:val="24"/>
        </w:rPr>
      </w:pPr>
      <w:r>
        <w:rPr>
          <w:rFonts w:hint="eastAsia" w:ascii="仿宋_GB2312" w:hAnsi="仿宋" w:eastAsia="仿宋_GB2312" w:cs="仿宋_GB2312"/>
          <w:bCs/>
          <w:sz w:val="24"/>
          <w:szCs w:val="24"/>
        </w:rPr>
        <w:t>▲</w:t>
      </w:r>
      <w:r>
        <w:rPr>
          <w:rFonts w:hint="eastAsia" w:ascii="仿宋_GB2312" w:hAnsi="仿宋" w:eastAsia="仿宋_GB2312" w:cs="仿宋_GB2312"/>
          <w:b/>
          <w:bCs/>
          <w:sz w:val="24"/>
          <w:szCs w:val="24"/>
        </w:rPr>
        <w:t>投标人对根据修正原则修正后的报价不确认的，投标无效。</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11.汇总得分。</w:t>
      </w:r>
      <w:r>
        <w:rPr>
          <w:rFonts w:hint="eastAsia" w:ascii="仿宋_GB2312" w:hAnsi="仿宋" w:eastAsia="仿宋_GB2312" w:cs="Arial"/>
          <w:kern w:val="0"/>
          <w:sz w:val="24"/>
          <w:szCs w:val="24"/>
        </w:rPr>
        <w:t>评标委员会各成员应当独立对每个投标人的投标文件进行评价，并汇总每个投标人的得分。</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12.顺序排列与中标候选推荐。</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12.1评标结果按评审后得分由高到低顺序排列。得分相同的，按投标报价由低到高顺序排列。得分且投标报价相同的并列。得分最高的投标人为排名第一的中标候选人。</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after="120" w:line="360" w:lineRule="auto"/>
        <w:rPr>
          <w:rFonts w:ascii="仿宋_GB2312" w:hAnsi="仿宋" w:eastAsia="仿宋_GB2312" w:cs="仿宋_GB2312"/>
          <w:b/>
          <w:sz w:val="24"/>
          <w:szCs w:val="21"/>
        </w:rPr>
      </w:pPr>
      <w:r>
        <w:rPr>
          <w:rFonts w:hint="eastAsia" w:ascii="仿宋_GB2312" w:hAnsi="仿宋" w:eastAsia="仿宋_GB2312" w:cs="仿宋_GB2312"/>
          <w:b/>
          <w:sz w:val="24"/>
          <w:szCs w:val="21"/>
        </w:rPr>
        <w:t>13.投标无效。有下列情况之一的，投标无效：</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13.1单位负责人为同一人或者存在直接控股、管理关系的不同供应商参加同一合同项下的政府采购活动的（均无效）；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1"/>
        </w:rPr>
        <w:t>13.2为采购项目提供整体设计、规范编制或者项目管理、监理、检测等服务的供应商再参加该采购项</w:t>
      </w:r>
      <w:r>
        <w:rPr>
          <w:rFonts w:hint="eastAsia" w:ascii="仿宋_GB2312" w:hAnsi="仿宋" w:eastAsia="仿宋_GB2312" w:cs="仿宋_GB2312"/>
          <w:sz w:val="24"/>
          <w:szCs w:val="24"/>
        </w:rPr>
        <w:t xml:space="preserve">目的其他采购活动的； </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13.3</w:t>
      </w:r>
      <w:r>
        <w:rPr>
          <w:rFonts w:hint="eastAsia" w:ascii="仿宋_GB2312" w:hAnsi="仿宋" w:eastAsia="仿宋_GB2312" w:cs="仿宋_GB2312"/>
          <w:sz w:val="24"/>
          <w:szCs w:val="24"/>
        </w:rPr>
        <w:t>投标人不具备招标文件中规定的资格要求的（投标人未提供有效的资格证明文件的，视为投标人不具备招标文件中规定的资格要求）；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13.4</w:t>
      </w:r>
      <w:r>
        <w:rPr>
          <w:rFonts w:hint="eastAsia" w:ascii="仿宋_GB2312" w:hAnsi="仿宋" w:eastAsia="仿宋_GB2312" w:cs="仿宋_GB2312"/>
          <w:sz w:val="24"/>
          <w:szCs w:val="24"/>
        </w:rPr>
        <w:t>如以联合体形式参加政府采购活动的，联合体协议不符合招标文件规定的联合体协议要求的；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13.5</w:t>
      </w:r>
      <w:r>
        <w:rPr>
          <w:rFonts w:hint="eastAsia" w:ascii="仿宋_GB2312" w:hAnsi="仿宋" w:eastAsia="仿宋_GB2312" w:cs="仿宋_GB2312"/>
          <w:sz w:val="24"/>
          <w:szCs w:val="24"/>
        </w:rPr>
        <w:t>投标文件未按规定的格式编制的；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13.6</w:t>
      </w:r>
      <w:r>
        <w:rPr>
          <w:rFonts w:hint="eastAsia" w:ascii="仿宋_GB2312" w:hAnsi="仿宋" w:eastAsia="仿宋_GB2312" w:cs="仿宋_GB2312"/>
          <w:sz w:val="24"/>
          <w:szCs w:val="24"/>
        </w:rPr>
        <w:t>投标文件未按招标文件的澄清、修改的内容编制，又不符合实质性要求的；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13.7</w:t>
      </w:r>
      <w:r>
        <w:rPr>
          <w:rFonts w:hint="eastAsia" w:ascii="仿宋_GB2312" w:hAnsi="仿宋" w:eastAsia="仿宋_GB2312" w:cs="仿宋_GB2312"/>
          <w:sz w:val="24"/>
          <w:szCs w:val="24"/>
        </w:rPr>
        <w:t>投标文件组成漏项，内容不全或内容字迹模糊辨认不清的；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13.8</w:t>
      </w:r>
      <w:r>
        <w:rPr>
          <w:rFonts w:hint="eastAsia" w:ascii="仿宋_GB2312" w:hAnsi="仿宋" w:eastAsia="仿宋_GB2312" w:cs="仿宋_GB2312"/>
          <w:sz w:val="24"/>
          <w:szCs w:val="24"/>
        </w:rPr>
        <w:t>投标文件中法人授权书所载内容与本项目内容有异的；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13.9</w:t>
      </w:r>
      <w:r>
        <w:rPr>
          <w:rFonts w:hint="eastAsia" w:ascii="仿宋_GB2312" w:hAnsi="仿宋" w:eastAsia="仿宋_GB2312" w:cs="仿宋_GB2312"/>
          <w:sz w:val="24"/>
          <w:szCs w:val="24"/>
        </w:rPr>
        <w:t>投标文件未按照招标文件要求签署、盖章的；</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13.10</w:t>
      </w:r>
      <w:r>
        <w:rPr>
          <w:rFonts w:hint="eastAsia" w:ascii="仿宋_GB2312" w:hAnsi="仿宋" w:eastAsia="仿宋_GB2312" w:cs="仿宋_GB2312"/>
          <w:sz w:val="24"/>
          <w:szCs w:val="24"/>
        </w:rPr>
        <w:t>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13.11</w:t>
      </w:r>
      <w:r>
        <w:rPr>
          <w:rFonts w:hint="eastAsia" w:ascii="仿宋_GB2312" w:hAnsi="仿宋" w:eastAsia="仿宋_GB2312" w:cs="仿宋_GB2312"/>
          <w:sz w:val="24"/>
          <w:szCs w:val="24"/>
        </w:rPr>
        <w:t>投标文件含有采购人不能接受的附加条件的；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13.12</w:t>
      </w:r>
      <w:r>
        <w:rPr>
          <w:rFonts w:hint="eastAsia" w:ascii="仿宋_GB2312" w:hAnsi="仿宋" w:eastAsia="仿宋_GB2312" w:cs="仿宋_GB2312"/>
          <w:sz w:val="24"/>
          <w:szCs w:val="24"/>
        </w:rPr>
        <w:t>投标文件中承诺的投标有效期少于招标文件中载明的投标有效期的；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13.13</w:t>
      </w:r>
      <w:r>
        <w:rPr>
          <w:rFonts w:hint="eastAsia" w:ascii="仿宋_GB2312" w:hAnsi="仿宋" w:eastAsia="仿宋_GB2312" w:cs="仿宋_GB2312"/>
          <w:sz w:val="24"/>
          <w:szCs w:val="24"/>
        </w:rPr>
        <w:t>投标人所投内容不符合采购需求中实质性要求的；</w:t>
      </w:r>
    </w:p>
    <w:p>
      <w:pPr>
        <w:adjustRightInd w:val="0"/>
        <w:snapToGrid w:val="0"/>
        <w:spacing w:line="360" w:lineRule="auto"/>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13.14</w:t>
      </w:r>
      <w:r>
        <w:rPr>
          <w:rFonts w:hint="eastAsia" w:ascii="仿宋_GB2312" w:hAnsi="仿宋" w:eastAsia="仿宋_GB2312" w:cs="仿宋_GB2312"/>
          <w:sz w:val="24"/>
          <w:szCs w:val="24"/>
        </w:rPr>
        <w:t>投标文件出现不是唯一的、有选择性投标报价的;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13.15</w:t>
      </w:r>
      <w:r>
        <w:rPr>
          <w:rFonts w:hint="eastAsia" w:ascii="仿宋_GB2312" w:hAnsi="仿宋" w:eastAsia="仿宋_GB2312" w:cs="仿宋_GB2312"/>
          <w:sz w:val="24"/>
          <w:szCs w:val="24"/>
        </w:rPr>
        <w:t>投标报价高于本项目采购预算或者最高限价的;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13.16</w:t>
      </w:r>
      <w:r>
        <w:rPr>
          <w:rFonts w:hint="eastAsia" w:ascii="仿宋_GB2312" w:hAnsi="仿宋" w:eastAsia="仿宋_GB2312" w:cs="仿宋_GB2312"/>
          <w:sz w:val="24"/>
          <w:szCs w:val="24"/>
        </w:rPr>
        <w:t>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13.17</w:t>
      </w:r>
      <w:r>
        <w:rPr>
          <w:rFonts w:hint="eastAsia" w:ascii="仿宋_GB2312" w:hAnsi="仿宋" w:eastAsia="仿宋_GB2312" w:cs="仿宋_GB2312"/>
          <w:sz w:val="24"/>
          <w:szCs w:val="24"/>
        </w:rPr>
        <w:t>《投标（开标）一览表》填写不完整或字迹不能辨认或有漏项的；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13.18</w:t>
      </w:r>
      <w:r>
        <w:rPr>
          <w:rFonts w:hint="eastAsia" w:ascii="仿宋_GB2312" w:hAnsi="仿宋" w:eastAsia="仿宋_GB2312" w:cs="仿宋_GB2312"/>
          <w:sz w:val="24"/>
          <w:szCs w:val="24"/>
        </w:rPr>
        <w:t>投标人对根据修正原则修正后的报价不确认的；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13.19</w:t>
      </w:r>
      <w:r>
        <w:rPr>
          <w:rFonts w:hint="eastAsia" w:ascii="仿宋_GB2312" w:hAnsi="仿宋" w:eastAsia="仿宋_GB2312" w:cs="仿宋_GB2312"/>
          <w:sz w:val="24"/>
          <w:szCs w:val="24"/>
        </w:rPr>
        <w:t>投标人提供虚假材料投标的（包括但不限于以下情节）；</w:t>
      </w:r>
    </w:p>
    <w:p>
      <w:pPr>
        <w:adjustRightInd w:val="0"/>
        <w:spacing w:line="360" w:lineRule="auto"/>
        <w:ind w:firstLine="720" w:firstLineChars="300"/>
        <w:rPr>
          <w:rFonts w:ascii="仿宋_GB2312" w:hAnsi="仿宋" w:eastAsia="仿宋_GB2312" w:cs="仿宋_GB2312"/>
          <w:sz w:val="24"/>
          <w:szCs w:val="24"/>
        </w:rPr>
      </w:pPr>
      <w:r>
        <w:rPr>
          <w:rFonts w:hint="eastAsia" w:ascii="仿宋_GB2312" w:hAnsi="仿宋" w:eastAsia="仿宋_GB2312" w:cs="Times New Roman"/>
          <w:sz w:val="24"/>
          <w:szCs w:val="24"/>
        </w:rPr>
        <w:t>13.19.1</w:t>
      </w:r>
      <w:r>
        <w:rPr>
          <w:rFonts w:hint="eastAsia" w:ascii="仿宋_GB2312" w:hAnsi="仿宋" w:eastAsia="仿宋_GB2312" w:cs="仿宋_GB2312"/>
          <w:sz w:val="24"/>
          <w:szCs w:val="24"/>
        </w:rPr>
        <w:t>使用伪造、变造的许可证件；</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13.19.2</w:t>
      </w:r>
      <w:r>
        <w:rPr>
          <w:rFonts w:hint="eastAsia" w:ascii="仿宋_GB2312" w:hAnsi="仿宋" w:eastAsia="仿宋_GB2312" w:cs="仿宋_GB2312"/>
          <w:sz w:val="24"/>
          <w:szCs w:val="24"/>
        </w:rPr>
        <w:t>提供虚假的财务状况或者业绩；</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13.19.3</w:t>
      </w:r>
      <w:r>
        <w:rPr>
          <w:rFonts w:hint="eastAsia" w:ascii="仿宋_GB2312" w:hAnsi="仿宋" w:eastAsia="仿宋_GB2312" w:cs="仿宋_GB2312"/>
          <w:sz w:val="24"/>
          <w:szCs w:val="24"/>
        </w:rPr>
        <w:t>提供虚假的项目负责人或者主要技术人员简历、劳动关系证明；</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13.19.4</w:t>
      </w:r>
      <w:r>
        <w:rPr>
          <w:rFonts w:hint="eastAsia" w:ascii="仿宋_GB2312" w:hAnsi="仿宋" w:eastAsia="仿宋_GB2312" w:cs="仿宋_GB2312"/>
          <w:sz w:val="24"/>
          <w:szCs w:val="24"/>
        </w:rPr>
        <w:t>提供虚假的信用状况；</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13.19.5</w:t>
      </w:r>
      <w:r>
        <w:rPr>
          <w:rFonts w:hint="eastAsia" w:ascii="仿宋_GB2312" w:hAnsi="仿宋" w:eastAsia="仿宋_GB2312" w:cs="仿宋_GB2312"/>
          <w:sz w:val="24"/>
          <w:szCs w:val="24"/>
        </w:rPr>
        <w:t>其他弄虚作假的行为。</w:t>
      </w:r>
      <w:r>
        <w:rPr>
          <w:rFonts w:hint="eastAsia" w:ascii="仿宋_GB2312" w:hAnsi="仿宋" w:eastAsia="仿宋_GB2312" w:cs="仿宋_GB2312"/>
          <w:sz w:val="24"/>
          <w:szCs w:val="24"/>
        </w:rPr>
        <w:br w:type="textWrapping"/>
      </w:r>
      <w:r>
        <w:rPr>
          <w:rFonts w:hint="eastAsia" w:ascii="仿宋_GB2312" w:hAnsi="仿宋" w:eastAsia="仿宋_GB2312" w:cs="Times New Roman"/>
          <w:sz w:val="24"/>
          <w:szCs w:val="24"/>
        </w:rPr>
        <w:t xml:space="preserve">    13.20</w:t>
      </w:r>
      <w:r>
        <w:rPr>
          <w:rFonts w:hint="eastAsia" w:ascii="仿宋_GB2312" w:hAnsi="仿宋" w:eastAsia="仿宋_GB2312" w:cs="仿宋_GB2312"/>
          <w:sz w:val="24"/>
          <w:szCs w:val="24"/>
        </w:rPr>
        <w:t>投标人有恶意串通、妨碍其他投标人的竞争行为、损害采购人或者其他投标人的合法权益情形的；有下列情形之一的，属于或视为恶意串通，其投标无效：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w:t>
      </w:r>
      <w:r>
        <w:rPr>
          <w:rFonts w:hint="eastAsia" w:ascii="仿宋_GB2312" w:hAnsi="仿宋" w:eastAsia="仿宋_GB2312" w:cs="仿宋_GB2312"/>
          <w:sz w:val="24"/>
          <w:szCs w:val="24"/>
        </w:rPr>
        <w:t>供应商直接或者间接从采购人或者采购机构处获得其他供应商的相关情况并修改其投标文件或者响应文件；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13.20.2</w:t>
      </w:r>
      <w:r>
        <w:rPr>
          <w:rFonts w:hint="eastAsia" w:ascii="仿宋_GB2312" w:hAnsi="仿宋" w:eastAsia="仿宋_GB2312" w:cs="仿宋_GB2312"/>
          <w:sz w:val="24"/>
          <w:szCs w:val="24"/>
        </w:rPr>
        <w:t>供应商按照采购人或者采购机构的授意撤换、修改投标文件或者响应文件；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13.20.3</w:t>
      </w:r>
      <w:r>
        <w:rPr>
          <w:rFonts w:hint="eastAsia" w:ascii="仿宋_GB2312" w:hAnsi="仿宋" w:eastAsia="仿宋_GB2312" w:cs="仿宋_GB2312"/>
          <w:sz w:val="24"/>
          <w:szCs w:val="24"/>
        </w:rPr>
        <w:t>供应商之间协商报价、技术方案等投标文件或者响应文件的实质性内容；</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13.20.4</w:t>
      </w:r>
      <w:r>
        <w:rPr>
          <w:rFonts w:hint="eastAsia" w:ascii="仿宋_GB2312" w:hAnsi="仿宋" w:eastAsia="仿宋_GB2312" w:cs="仿宋_GB2312"/>
          <w:sz w:val="24"/>
          <w:szCs w:val="24"/>
        </w:rPr>
        <w:t>属于同一集团、协会、商会等组织成员的供应商按照该组织要求协同参加政府采购活动；</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13.20.5</w:t>
      </w:r>
      <w:r>
        <w:rPr>
          <w:rFonts w:hint="eastAsia" w:ascii="仿宋_GB2312" w:hAnsi="仿宋" w:eastAsia="仿宋_GB2312" w:cs="仿宋_GB2312"/>
          <w:sz w:val="24"/>
          <w:szCs w:val="24"/>
        </w:rPr>
        <w:t>供应商之间事先约定由某一特定供应商中标、成交；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13.20.6</w:t>
      </w:r>
      <w:r>
        <w:rPr>
          <w:rFonts w:hint="eastAsia" w:ascii="仿宋_GB2312" w:hAnsi="仿宋" w:eastAsia="仿宋_GB2312" w:cs="仿宋_GB2312"/>
          <w:sz w:val="24"/>
          <w:szCs w:val="24"/>
        </w:rPr>
        <w:t>供应商之间商定部分供应商放弃参加政府采购活动或者放弃中标、成交；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13.20.7</w:t>
      </w:r>
      <w:r>
        <w:rPr>
          <w:rFonts w:hint="eastAsia" w:ascii="仿宋_GB2312" w:hAnsi="仿宋" w:eastAsia="仿宋_GB2312" w:cs="仿宋_GB2312"/>
          <w:sz w:val="24"/>
          <w:szCs w:val="24"/>
        </w:rPr>
        <w:t>供应商与采购人或者采购机构之间、供应商相互之间，为谋求特定供应商中标、成交或者排斥其他供应商的其他串通行为。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13.20.8</w:t>
      </w:r>
      <w:r>
        <w:rPr>
          <w:rFonts w:hint="eastAsia" w:ascii="仿宋_GB2312" w:hAnsi="仿宋" w:eastAsia="仿宋_GB2312" w:cs="仿宋_GB2312"/>
          <w:sz w:val="24"/>
          <w:szCs w:val="24"/>
        </w:rPr>
        <w:t>不同投标人的投标文件由同一单位或者个人编制；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13.20.9</w:t>
      </w:r>
      <w:r>
        <w:rPr>
          <w:rFonts w:hint="eastAsia" w:ascii="仿宋_GB2312" w:hAnsi="仿宋" w:eastAsia="仿宋_GB2312" w:cs="仿宋_GB2312"/>
          <w:sz w:val="24"/>
          <w:szCs w:val="24"/>
        </w:rPr>
        <w:t>不同投标人委托同一单位或者个人办理投标事宜；</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13.20.10</w:t>
      </w:r>
      <w:r>
        <w:rPr>
          <w:rFonts w:hint="eastAsia" w:ascii="仿宋_GB2312" w:hAnsi="仿宋" w:eastAsia="仿宋_GB2312" w:cs="仿宋_GB2312"/>
          <w:sz w:val="24"/>
          <w:szCs w:val="24"/>
        </w:rPr>
        <w:t>不同投标人的投标文件载明的项目管理成员或者联系人员为同一人；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13.20.11</w:t>
      </w:r>
      <w:r>
        <w:rPr>
          <w:rFonts w:hint="eastAsia" w:ascii="仿宋_GB2312" w:hAnsi="仿宋" w:eastAsia="仿宋_GB2312" w:cs="仿宋_GB2312"/>
          <w:sz w:val="24"/>
          <w:szCs w:val="24"/>
        </w:rPr>
        <w:t>不同投标人的投标文件异常一致或者投标报价呈规律性差异；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13.20.12</w:t>
      </w:r>
      <w:r>
        <w:rPr>
          <w:rFonts w:hint="eastAsia" w:ascii="仿宋_GB2312" w:hAnsi="仿宋" w:eastAsia="仿宋_GB2312" w:cs="仿宋_GB2312"/>
          <w:sz w:val="24"/>
          <w:szCs w:val="24"/>
        </w:rPr>
        <w:t>不同投标人的投标文件相互混装；</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13.21</w:t>
      </w:r>
      <w:r>
        <w:rPr>
          <w:rFonts w:hint="eastAsia" w:ascii="仿宋_GB2312" w:hAnsi="仿宋" w:eastAsia="仿宋_GB2312" w:cs="仿宋_GB2312"/>
          <w:sz w:val="24"/>
          <w:szCs w:val="24"/>
        </w:rPr>
        <w:t>投标人仅提交备份投标文件，没有在电子交易平台传输递交投标文件的，投标无效；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13.22</w:t>
      </w:r>
      <w:r>
        <w:rPr>
          <w:rFonts w:hint="eastAsia" w:ascii="仿宋_GB2312" w:hAnsi="仿宋" w:eastAsia="仿宋_GB2312" w:cs="仿宋_GB2312"/>
          <w:sz w:val="24"/>
          <w:szCs w:val="24"/>
        </w:rPr>
        <w:t>法律、法规、规章（适用本市的）及省级以上规范性文件（适用本市的）规定的其他无效情形。</w:t>
      </w:r>
    </w:p>
    <w:p>
      <w:pPr>
        <w:adjustRightInd w:val="0"/>
        <w:spacing w:line="360" w:lineRule="auto"/>
        <w:ind w:firstLine="240" w:firstLineChars="100"/>
        <w:rPr>
          <w:rFonts w:ascii="仿宋_GB2312" w:hAnsi="仿宋" w:eastAsia="仿宋_GB2312" w:cs="仿宋_GB2312"/>
          <w:sz w:val="24"/>
          <w:szCs w:val="21"/>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 xml:space="preserve">五、评标报告。 </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14. 评标报告与推荐中标候选人。</w:t>
      </w:r>
      <w:r>
        <w:rPr>
          <w:rFonts w:hint="eastAsia" w:ascii="仿宋_GB2312" w:hAnsi="仿宋" w:eastAsia="仿宋_GB2312" w:cs="仿宋_GB2312"/>
          <w:sz w:val="24"/>
          <w:szCs w:val="24"/>
        </w:rPr>
        <w:t>评标委员会根据原始评标记录和评标结果编写评标报告，并通过电子交易平台向采购人、采购机构提交。</w:t>
      </w:r>
    </w:p>
    <w:p>
      <w:pPr>
        <w:widowControl/>
        <w:spacing w:before="100" w:beforeAutospacing="1" w:after="100" w:afterAutospacing="1" w:line="360" w:lineRule="auto"/>
        <w:jc w:val="left"/>
        <w:rPr>
          <w:rFonts w:ascii="仿宋_GB2312" w:hAnsi="仿宋" w:eastAsia="仿宋_GB2312" w:cs="仿宋_GB2312"/>
          <w:sz w:val="24"/>
          <w:szCs w:val="24"/>
        </w:rPr>
      </w:pPr>
      <w:r>
        <w:rPr>
          <w:rFonts w:hint="eastAsia" w:ascii="仿宋_GB2312" w:hAnsi="仿宋" w:eastAsia="仿宋_GB2312" w:cs="仿宋_GB2312"/>
          <w:b/>
          <w:sz w:val="24"/>
          <w:szCs w:val="24"/>
        </w:rPr>
        <w:t>15. 评标争议事项处理。</w:t>
      </w:r>
      <w:r>
        <w:rPr>
          <w:rFonts w:hint="eastAsia" w:ascii="仿宋_GB2312" w:hAnsi="仿宋" w:eastAsia="仿宋_GB2312" w:cs="仿宋_GB2312"/>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left"/>
        <w:rPr>
          <w:rFonts w:ascii="仿宋_GB2312" w:hAnsi="ˎ̥" w:eastAsia="仿宋_GB2312" w:cs="宋体"/>
          <w:kern w:val="0"/>
          <w:sz w:val="24"/>
          <w:szCs w:val="24"/>
        </w:rPr>
      </w:pPr>
      <w:r>
        <w:rPr>
          <w:rFonts w:hint="eastAsia" w:ascii="仿宋_GB2312" w:hAnsi="仿宋" w:eastAsia="仿宋_GB2312" w:cs="仿宋_GB2312"/>
          <w:sz w:val="24"/>
          <w:szCs w:val="24"/>
        </w:rPr>
        <w:t xml:space="preserve">                    </w:t>
      </w:r>
    </w:p>
    <w:p>
      <w:pPr>
        <w:widowControl/>
        <w:spacing w:before="100" w:beforeAutospacing="1" w:after="100" w:afterAutospacing="1" w:line="360" w:lineRule="auto"/>
        <w:jc w:val="center"/>
        <w:rPr>
          <w:rFonts w:ascii="仿宋_GB2312" w:hAnsi="仿宋" w:eastAsia="仿宋_GB2312" w:cs="仿宋_GB2312"/>
          <w:b/>
          <w:sz w:val="32"/>
          <w:szCs w:val="24"/>
        </w:rPr>
      </w:pPr>
      <w:r>
        <w:rPr>
          <w:rFonts w:hint="eastAsia" w:ascii="仿宋_GB2312" w:hAnsi="仿宋" w:eastAsia="仿宋_GB2312" w:cs="仿宋_GB2312"/>
          <w:b/>
          <w:sz w:val="32"/>
          <w:szCs w:val="24"/>
        </w:rPr>
        <w:t>六、 废标</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16.废标。</w:t>
      </w:r>
      <w:r>
        <w:rPr>
          <w:rFonts w:hint="eastAsia" w:ascii="仿宋_GB2312" w:hAnsi="仿宋" w:eastAsia="仿宋_GB2312" w:cs="仿宋_GB2312"/>
          <w:sz w:val="24"/>
          <w:szCs w:val="24"/>
        </w:rPr>
        <w:t>根据《中华人民共和国政府采购法》第三十六条之规定，在采购中，出现下列情形之一的，应予废标：</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16.1符合专业条件的供应商或者对招标文件作实质响应的供应商不足3家的；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16.2出现影响采购公正的违法、违规行为的；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16.3投标人的报价均超过了采购预算，采购人不能支付的；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16.4因重大变故，采购任务取消的。</w:t>
      </w:r>
    </w:p>
    <w:p>
      <w:pPr>
        <w:adjustRightInd w:val="0"/>
        <w:snapToGrid w:val="0"/>
        <w:spacing w:after="120" w:line="360" w:lineRule="auto"/>
        <w:ind w:left="420" w:leftChars="200"/>
        <w:rPr>
          <w:rFonts w:ascii="仿宋_GB2312" w:hAnsi="仿宋" w:eastAsia="仿宋_GB2312" w:cs="仿宋_GB2312"/>
          <w:sz w:val="24"/>
          <w:szCs w:val="24"/>
        </w:rPr>
      </w:pPr>
      <w:r>
        <w:rPr>
          <w:rFonts w:hint="eastAsia" w:ascii="仿宋_GB2312" w:hAnsi="仿宋" w:eastAsia="仿宋_GB2312" w:cs="仿宋_GB2312"/>
          <w:sz w:val="24"/>
          <w:szCs w:val="24"/>
        </w:rPr>
        <w:t>废标后，采购机构应当将废标理由通知所有投标人。</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 重新组织采购</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17.修改招标文件，重新组织采购活动。</w:t>
      </w:r>
      <w:r>
        <w:rPr>
          <w:rFonts w:hint="eastAsia" w:ascii="仿宋_GB2312" w:hAnsi="仿宋" w:eastAsia="仿宋_GB2312" w:cs="仿宋_GB2312"/>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after="120" w:line="360" w:lineRule="auto"/>
        <w:rPr>
          <w:rFonts w:ascii="仿宋_GB2312" w:hAnsi="仿宋" w:eastAsia="仿宋_GB2312" w:cs="仿宋_GB2312"/>
          <w:sz w:val="24"/>
          <w:szCs w:val="24"/>
        </w:rPr>
      </w:pPr>
      <w:r>
        <w:rPr>
          <w:rFonts w:hint="eastAsia" w:ascii="仿宋_GB2312" w:hAnsi="Helvetica" w:eastAsia="仿宋_GB2312" w:cs="Helvetica"/>
          <w:b/>
          <w:kern w:val="0"/>
          <w:sz w:val="24"/>
          <w:szCs w:val="24"/>
        </w:rPr>
        <w:t>18.重新开展采购。</w:t>
      </w:r>
      <w:r>
        <w:rPr>
          <w:rFonts w:hint="eastAsia" w:ascii="仿宋_GB2312" w:hAnsi="仿宋" w:eastAsia="仿宋_GB2312" w:cs="仿宋_GB2312"/>
          <w:sz w:val="24"/>
          <w:szCs w:val="24"/>
        </w:rPr>
        <w:t>有政府采购法第七十一条、第七十二条规定的违法行为之一，影响或者可能影响中标、成交结果的，依照下列规定处理：</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18.1未确定中标或者中标人的，终止本次政府采购活动，重新开展政府采购活动。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18.3政府采购合同已签订但尚未履行的，撤销合同，从合格的中标或者成交候选人中另行确定中标或者中标人；没有合格的中标或者成交候选人的，重新开展政府采购活动。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18.4政府采购合同已经履行，给采购人、供应商造成损失的，由责任人承担赔偿责任。</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18.5政府采购当事人有其他违反政府采购法或者本条例规定的行为，经改正后仍然影响或者可能影响中标、成交结果或者依法被认定为中标、成交无效的，依照18.1-18.4规定处理。</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八、评审过程的保密与录像</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19.保密。</w:t>
      </w:r>
      <w:r>
        <w:rPr>
          <w:rFonts w:hint="eastAsia" w:ascii="仿宋_GB2312" w:hAnsi="仿宋" w:eastAsia="仿宋_GB2312" w:cs="仿宋_GB2312"/>
          <w:sz w:val="24"/>
          <w:szCs w:val="24"/>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20.录音录像。</w:t>
      </w:r>
      <w:r>
        <w:rPr>
          <w:rFonts w:hint="eastAsia" w:ascii="仿宋_GB2312" w:hAnsi="仿宋" w:eastAsia="仿宋_GB2312" w:cs="仿宋_GB2312"/>
          <w:sz w:val="24"/>
          <w:szCs w:val="24"/>
        </w:rPr>
        <w:t>采购机构对评审工作现场进行全过程录音录像，录音录像资料作为采购项目文件随其他文件一并存档。</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九、具体评标标准</w:t>
      </w:r>
    </w:p>
    <w:p>
      <w:pPr>
        <w:autoSpaceDE w:val="0"/>
        <w:autoSpaceDN w:val="0"/>
        <w:adjustRightInd w:val="0"/>
        <w:spacing w:line="46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sz w:val="24"/>
          <w:szCs w:val="24"/>
        </w:rPr>
        <w:t>一、本项目采用综合评分法</w:t>
      </w:r>
      <w:r>
        <w:rPr>
          <w:rFonts w:hint="eastAsia" w:ascii="仿宋_GB2312" w:hAnsi="宋体" w:eastAsia="仿宋_GB2312" w:cs="Times New Roman"/>
          <w:sz w:val="24"/>
          <w:szCs w:val="24"/>
        </w:rPr>
        <w:t>，评标委员会将对各投标人的投标报价、</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_GB2312" w:hAnsi="仿宋" w:eastAsia="仿宋_GB2312" w:cs="仿宋_GB2312"/>
          <w:sz w:val="24"/>
          <w:szCs w:val="21"/>
        </w:rPr>
        <w:t>得分且投标报价相同的并列</w:t>
      </w:r>
      <w:r>
        <w:rPr>
          <w:rFonts w:hint="eastAsia" w:ascii="仿宋_GB2312" w:hAnsi="宋体" w:eastAsia="仿宋_GB2312" w:cs="Times New Roman"/>
          <w:sz w:val="24"/>
          <w:szCs w:val="24"/>
        </w:rPr>
        <w:t xml:space="preserve">，并形成评标意见。 </w:t>
      </w:r>
    </w:p>
    <w:p>
      <w:pPr>
        <w:adjustRightInd w:val="0"/>
        <w:spacing w:line="460" w:lineRule="exact"/>
        <w:ind w:left="105" w:leftChars="50" w:firstLine="427" w:firstLineChars="178"/>
        <w:rPr>
          <w:rFonts w:ascii="仿宋_GB2312" w:hAnsi="宋体" w:eastAsia="仿宋_GB2312" w:cs="Times New Roman"/>
          <w:b/>
          <w:sz w:val="24"/>
          <w:szCs w:val="24"/>
        </w:rPr>
      </w:pPr>
      <w:r>
        <w:rPr>
          <w:rFonts w:hint="eastAsia" w:ascii="仿宋_GB2312" w:hAnsi="宋体" w:eastAsia="仿宋_GB2312" w:cs="Times New Roman"/>
          <w:sz w:val="24"/>
          <w:szCs w:val="24"/>
        </w:rPr>
        <w:t>各投标人的综合得分为：投标价格得分+</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得分+投标人的资质和业绩情况得分之和，</w:t>
      </w:r>
      <w:r>
        <w:rPr>
          <w:rFonts w:hint="eastAsia" w:ascii="仿宋_GB2312" w:hAnsi="宋体" w:eastAsia="仿宋_GB2312" w:cs="Times New Roman"/>
          <w:b/>
          <w:sz w:val="24"/>
          <w:szCs w:val="24"/>
        </w:rPr>
        <w:t>总和为</w:t>
      </w:r>
      <w:r>
        <w:rPr>
          <w:rFonts w:hint="eastAsia" w:ascii="仿宋_GB2312" w:hAnsi="宋体" w:eastAsia="仿宋_GB2312" w:cs="Times New Roman"/>
          <w:b/>
          <w:sz w:val="24"/>
          <w:szCs w:val="24"/>
          <w:u w:val="single"/>
        </w:rPr>
        <w:t>100</w:t>
      </w:r>
      <w:r>
        <w:rPr>
          <w:rFonts w:hint="eastAsia" w:ascii="仿宋_GB2312" w:hAnsi="宋体" w:eastAsia="仿宋_GB2312" w:cs="Times New Roman"/>
          <w:b/>
          <w:sz w:val="24"/>
          <w:szCs w:val="24"/>
        </w:rPr>
        <w:t>分</w:t>
      </w:r>
      <w:r>
        <w:rPr>
          <w:rFonts w:hint="eastAsia" w:ascii="仿宋_GB2312" w:hAnsi="宋体" w:eastAsia="仿宋_GB2312" w:cs="Times New Roman"/>
          <w:sz w:val="24"/>
          <w:szCs w:val="24"/>
        </w:rPr>
        <w:t>，其中：</w:t>
      </w:r>
      <w:r>
        <w:rPr>
          <w:rFonts w:hint="eastAsia" w:ascii="仿宋_GB2312" w:hAnsi="仿宋" w:eastAsia="仿宋_GB2312" w:cs="Times New Roman"/>
          <w:b/>
          <w:sz w:val="24"/>
          <w:szCs w:val="24"/>
        </w:rPr>
        <w:t>投标价格得分</w:t>
      </w:r>
      <w:r>
        <w:rPr>
          <w:rFonts w:hint="eastAsia" w:ascii="仿宋_GB2312" w:hAnsi="仿宋" w:eastAsia="仿宋_GB2312" w:cs="Times New Roman"/>
          <w:b/>
          <w:sz w:val="24"/>
          <w:szCs w:val="24"/>
          <w:u w:val="single"/>
          <w:lang w:val="en-US" w:eastAsia="zh-CN"/>
        </w:rPr>
        <w:t>30</w:t>
      </w:r>
      <w:r>
        <w:rPr>
          <w:rFonts w:hint="eastAsia" w:ascii="仿宋_GB2312" w:hAnsi="仿宋" w:eastAsia="仿宋_GB2312" w:cs="Times New Roman"/>
          <w:b/>
          <w:sz w:val="24"/>
          <w:szCs w:val="24"/>
        </w:rPr>
        <w:t>分，</w:t>
      </w:r>
      <w:r>
        <w:rPr>
          <w:rFonts w:hint="eastAsia" w:ascii="仿宋_GB2312" w:hAnsi="仿宋" w:eastAsia="仿宋_GB2312" w:cs="Times New Roman"/>
          <w:b/>
          <w:bCs/>
          <w:sz w:val="24"/>
          <w:szCs w:val="24"/>
        </w:rPr>
        <w:t>技术和服务方案得分</w:t>
      </w:r>
      <w:r>
        <w:rPr>
          <w:rFonts w:hint="eastAsia" w:ascii="仿宋_GB2312" w:hAnsi="仿宋" w:eastAsia="仿宋_GB2312" w:cs="Times New Roman"/>
          <w:b/>
          <w:sz w:val="24"/>
          <w:szCs w:val="24"/>
          <w:u w:val="single"/>
          <w:lang w:val="en-US" w:eastAsia="zh-CN"/>
        </w:rPr>
        <w:t>62</w:t>
      </w:r>
      <w:r>
        <w:rPr>
          <w:rFonts w:hint="eastAsia" w:ascii="仿宋_GB2312" w:hAnsi="仿宋" w:eastAsia="仿宋_GB2312" w:cs="Times New Roman"/>
          <w:b/>
          <w:sz w:val="24"/>
          <w:szCs w:val="24"/>
        </w:rPr>
        <w:t>分，投标人的资质和业绩情况得分</w:t>
      </w:r>
      <w:r>
        <w:rPr>
          <w:rFonts w:hint="eastAsia" w:ascii="仿宋_GB2312" w:hAnsi="仿宋" w:eastAsia="仿宋_GB2312" w:cs="Times New Roman"/>
          <w:b/>
          <w:sz w:val="24"/>
          <w:szCs w:val="24"/>
          <w:u w:val="single"/>
          <w:lang w:val="en-US" w:eastAsia="zh-CN"/>
        </w:rPr>
        <w:t>8</w:t>
      </w:r>
      <w:r>
        <w:rPr>
          <w:rFonts w:hint="eastAsia" w:ascii="仿宋_GB2312" w:hAnsi="仿宋" w:eastAsia="仿宋_GB2312" w:cs="Times New Roman"/>
          <w:b/>
          <w:sz w:val="24"/>
          <w:szCs w:val="24"/>
        </w:rPr>
        <w:t>分</w:t>
      </w:r>
      <w:r>
        <w:rPr>
          <w:rFonts w:hint="eastAsia" w:ascii="仿宋_GB2312" w:hAnsi="宋体" w:eastAsia="仿宋_GB2312" w:cs="Times New Roman"/>
          <w:b/>
          <w:sz w:val="24"/>
          <w:szCs w:val="24"/>
        </w:rPr>
        <w:t>。</w:t>
      </w:r>
    </w:p>
    <w:p>
      <w:pPr>
        <w:tabs>
          <w:tab w:val="left" w:pos="0"/>
        </w:tabs>
        <w:adjustRightInd w:val="0"/>
        <w:spacing w:line="460" w:lineRule="exact"/>
        <w:ind w:firstLine="542" w:firstLineChars="225"/>
        <w:rPr>
          <w:rFonts w:ascii="仿宋_GB2312" w:hAnsi="宋体" w:eastAsia="仿宋_GB2312" w:cs="Times New Roman"/>
          <w:color w:val="auto"/>
          <w:sz w:val="24"/>
          <w:szCs w:val="24"/>
          <w:highlight w:val="none"/>
        </w:rPr>
      </w:pPr>
      <w:r>
        <w:rPr>
          <w:rFonts w:hint="eastAsia" w:ascii="仿宋_GB2312" w:hAnsi="宋体" w:eastAsia="仿宋_GB2312" w:cs="Times New Roman"/>
          <w:b/>
          <w:sz w:val="24"/>
          <w:szCs w:val="24"/>
        </w:rPr>
        <w:t>各投标人的技术和服务方案、投标人的资质和业绩情况得分为：评标委员会各成员评分的算术平均值。各投标人的投标价格得分按投标价格评分</w:t>
      </w:r>
      <w:r>
        <w:rPr>
          <w:rFonts w:hint="eastAsia" w:ascii="仿宋_GB2312" w:hAnsi="宋体" w:eastAsia="仿宋_GB2312" w:cs="宋体"/>
          <w:b/>
          <w:kern w:val="0"/>
          <w:sz w:val="24"/>
          <w:szCs w:val="24"/>
        </w:rPr>
        <w:t>公式由采购机构计算，</w:t>
      </w:r>
      <w:r>
        <w:rPr>
          <w:rFonts w:hint="eastAsia" w:ascii="仿宋_GB2312" w:hAnsi="宋体" w:eastAsia="仿宋_GB2312" w:cs="Times New Roman"/>
          <w:b/>
          <w:sz w:val="24"/>
          <w:szCs w:val="24"/>
        </w:rPr>
        <w:t>评</w:t>
      </w:r>
      <w:r>
        <w:rPr>
          <w:rFonts w:hint="eastAsia" w:ascii="仿宋_GB2312" w:hAnsi="宋体" w:eastAsia="仿宋_GB2312" w:cs="Times New Roman"/>
          <w:b/>
          <w:color w:val="auto"/>
          <w:sz w:val="24"/>
          <w:szCs w:val="24"/>
          <w:highlight w:val="none"/>
        </w:rPr>
        <w:t>标委员会审核。</w:t>
      </w:r>
      <w:r>
        <w:rPr>
          <w:rFonts w:hint="eastAsia" w:ascii="仿宋_GB2312" w:hAnsi="宋体" w:eastAsia="仿宋_GB2312" w:cs="Times New Roman"/>
          <w:color w:val="auto"/>
          <w:sz w:val="24"/>
          <w:szCs w:val="24"/>
          <w:highlight w:val="none"/>
        </w:rPr>
        <w:t>根据上述评标原则，分值安排如下：</w:t>
      </w:r>
    </w:p>
    <w:p>
      <w:pPr>
        <w:adjustRightInd w:val="0"/>
        <w:spacing w:line="460" w:lineRule="exact"/>
        <w:ind w:firstLine="482" w:firstLineChars="200"/>
        <w:rPr>
          <w:rFonts w:ascii="仿宋_GB2312" w:hAnsi="宋体" w:eastAsia="仿宋_GB2312" w:cs="Times New Roman"/>
          <w:b/>
          <w:color w:val="auto"/>
          <w:sz w:val="24"/>
          <w:szCs w:val="24"/>
          <w:highlight w:val="none"/>
        </w:rPr>
      </w:pPr>
      <w:r>
        <w:rPr>
          <w:rFonts w:hint="eastAsia" w:ascii="仿宋_GB2312" w:hAnsi="宋体" w:eastAsia="仿宋_GB2312" w:cs="Times New Roman"/>
          <w:b/>
          <w:color w:val="auto"/>
          <w:sz w:val="24"/>
          <w:szCs w:val="24"/>
          <w:highlight w:val="none"/>
        </w:rPr>
        <w:t>A、投标价格（A=</w:t>
      </w:r>
      <w:r>
        <w:rPr>
          <w:rFonts w:hint="eastAsia"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lang w:val="en-US" w:eastAsia="zh-CN"/>
        </w:rPr>
        <w:t>3</w:t>
      </w:r>
      <w:r>
        <w:rPr>
          <w:rFonts w:hint="eastAsia" w:ascii="仿宋_GB2312" w:hAnsi="宋体" w:eastAsia="仿宋_GB2312" w:cs="Times New Roman"/>
          <w:b/>
          <w:color w:val="auto"/>
          <w:sz w:val="24"/>
          <w:szCs w:val="24"/>
          <w:highlight w:val="none"/>
          <w:u w:val="single"/>
        </w:rPr>
        <w:t>0</w:t>
      </w:r>
      <w:r>
        <w:rPr>
          <w:rFonts w:hint="eastAsia" w:ascii="仿宋_GB2312" w:hAnsi="宋体" w:eastAsia="仿宋_GB2312" w:cs="Times New Roman"/>
          <w:b/>
          <w:color w:val="auto"/>
          <w:sz w:val="24"/>
          <w:szCs w:val="24"/>
          <w:highlight w:val="none"/>
        </w:rPr>
        <w:t>分）：</w:t>
      </w:r>
    </w:p>
    <w:p>
      <w:pPr>
        <w:adjustRightInd w:val="0"/>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宋体" w:eastAsia="仿宋_GB2312" w:cs="仿宋_GB2312"/>
          <w:b/>
          <w:bCs/>
          <w:color w:val="auto"/>
          <w:sz w:val="24"/>
          <w:szCs w:val="24"/>
          <w:highlight w:val="none"/>
          <w:lang w:val="zh-CN"/>
        </w:rPr>
        <w:t>报价的合理性：</w:t>
      </w:r>
      <w:r>
        <w:rPr>
          <w:rFonts w:hint="eastAsia" w:ascii="仿宋_GB2312" w:hAnsi="宋体" w:eastAsia="仿宋_GB2312" w:cs="Times New Roman"/>
          <w:color w:val="auto"/>
          <w:sz w:val="24"/>
          <w:szCs w:val="24"/>
          <w:highlight w:val="none"/>
        </w:rPr>
        <w:t>评标委员会认为投标人的</w:t>
      </w:r>
      <w:r>
        <w:rPr>
          <w:rFonts w:hint="eastAsia" w:ascii="仿宋_GB2312" w:hAnsi="仿宋" w:eastAsia="仿宋_GB2312" w:cs="仿宋_GB2312"/>
          <w:color w:val="auto"/>
          <w:sz w:val="24"/>
          <w:szCs w:val="24"/>
          <w:highlight w:val="none"/>
        </w:rPr>
        <w:t>报价明显低于其他通过符合性审查投标人的报价，有可能影响产品质量或者不能诚信履约的，应当要求提供其在合理的时间内书面提供书面说明，必要时提交相关证明材料；投标人不能证明其报价合理性的，评标委员会应当将其作为无效投标处理;</w:t>
      </w:r>
    </w:p>
    <w:p>
      <w:pPr>
        <w:adjustRightInd w:val="0"/>
        <w:spacing w:line="46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color w:val="auto"/>
          <w:sz w:val="24"/>
          <w:szCs w:val="24"/>
          <w:highlight w:val="none"/>
          <w:lang w:val="zh-CN"/>
        </w:rPr>
        <w:t>报价分计算方法：根据各投标人的有效投标报价，以满足招标文件要求且有效投标价格的最低的投标报价为评标基准价，其价格分为</w:t>
      </w:r>
      <w:r>
        <w:rPr>
          <w:rFonts w:hint="eastAsia" w:ascii="仿宋_GB2312" w:hAnsi="宋体" w:eastAsia="仿宋_GB2312" w:cs="仿宋_GB2312"/>
          <w:color w:val="auto"/>
          <w:sz w:val="24"/>
          <w:szCs w:val="24"/>
          <w:highlight w:val="none"/>
          <w:u w:val="single"/>
          <w:lang w:val="zh-CN"/>
        </w:rPr>
        <w:t xml:space="preserve"> </w:t>
      </w:r>
      <w:r>
        <w:rPr>
          <w:rFonts w:hint="eastAsia" w:ascii="仿宋_GB2312" w:hAnsi="宋体" w:eastAsia="仿宋_GB2312" w:cs="仿宋_GB2312"/>
          <w:color w:val="auto"/>
          <w:sz w:val="24"/>
          <w:szCs w:val="24"/>
          <w:highlight w:val="none"/>
          <w:u w:val="single"/>
          <w:lang w:val="en-US" w:eastAsia="zh-CN"/>
        </w:rPr>
        <w:t>3</w:t>
      </w:r>
      <w:r>
        <w:rPr>
          <w:rFonts w:hint="eastAsia" w:ascii="仿宋_GB2312" w:hAnsi="宋体" w:eastAsia="仿宋_GB2312" w:cs="仿宋_GB2312"/>
          <w:color w:val="auto"/>
          <w:sz w:val="24"/>
          <w:szCs w:val="24"/>
          <w:highlight w:val="none"/>
          <w:u w:val="single"/>
          <w:lang w:val="zh-CN"/>
        </w:rPr>
        <w:t xml:space="preserve">0 </w:t>
      </w:r>
      <w:r>
        <w:rPr>
          <w:rFonts w:hint="eastAsia" w:ascii="仿宋_GB2312" w:hAnsi="宋体" w:eastAsia="仿宋_GB2312" w:cs="仿宋_GB2312"/>
          <w:color w:val="auto"/>
          <w:sz w:val="24"/>
          <w:szCs w:val="24"/>
          <w:highlight w:val="none"/>
          <w:lang w:val="zh-CN"/>
        </w:rPr>
        <w:t>分。其他投</w:t>
      </w:r>
      <w:r>
        <w:rPr>
          <w:rFonts w:hint="eastAsia" w:ascii="仿宋_GB2312" w:hAnsi="宋体" w:eastAsia="仿宋_GB2312" w:cs="仿宋_GB2312"/>
          <w:sz w:val="24"/>
          <w:szCs w:val="24"/>
          <w:lang w:val="zh-CN"/>
        </w:rPr>
        <w:t>标人的价格分统一按照下列公式计算：投标报价得分＝(评标基准价/有效投标报价)</w:t>
      </w:r>
      <w:r>
        <w:rPr>
          <w:rFonts w:hint="eastAsia" w:ascii="仿宋_GB2312" w:hAnsi="宋体" w:eastAsia="仿宋_GB2312" w:cs="Times New Roman"/>
          <w:sz w:val="24"/>
          <w:szCs w:val="24"/>
        </w:rPr>
        <w:t>×</w:t>
      </w:r>
      <w:r>
        <w:rPr>
          <w:rFonts w:hint="eastAsia" w:ascii="仿宋_GB2312" w:hAnsi="宋体" w:eastAsia="仿宋_GB2312" w:cs="仿宋_GB2312"/>
          <w:sz w:val="24"/>
          <w:szCs w:val="24"/>
          <w:lang w:val="zh-CN"/>
        </w:rPr>
        <w:t>价格权值</w:t>
      </w:r>
      <w:r>
        <w:rPr>
          <w:rFonts w:hint="eastAsia" w:ascii="仿宋_GB2312" w:hAnsi="宋体" w:eastAsia="仿宋_GB2312" w:cs="Times New Roman"/>
          <w:sz w:val="24"/>
          <w:szCs w:val="24"/>
        </w:rPr>
        <w:t>×</w:t>
      </w:r>
      <w:r>
        <w:rPr>
          <w:rFonts w:hint="eastAsia" w:ascii="仿宋_GB2312" w:hAnsi="宋体" w:eastAsia="仿宋_GB2312" w:cs="仿宋_GB2312"/>
          <w:sz w:val="24"/>
          <w:szCs w:val="24"/>
          <w:lang w:val="zh-CN"/>
        </w:rPr>
        <w:t>100。</w:t>
      </w:r>
    </w:p>
    <w:p>
      <w:pPr>
        <w:adjustRightInd w:val="0"/>
        <w:spacing w:line="460" w:lineRule="exact"/>
        <w:ind w:firstLine="482" w:firstLineChars="200"/>
        <w:rPr>
          <w:rFonts w:hint="eastAsia" w:ascii="仿宋_GB2312" w:hAnsi="宋体" w:eastAsia="仿宋_GB2312" w:cs="Times New Roman"/>
          <w:b/>
          <w:sz w:val="24"/>
          <w:szCs w:val="24"/>
        </w:rPr>
      </w:pPr>
      <w:r>
        <w:rPr>
          <w:rFonts w:hint="eastAsia" w:ascii="仿宋_GB2312" w:hAnsi="宋体" w:eastAsia="仿宋_GB2312" w:cs="Times New Roman"/>
          <w:b/>
          <w:sz w:val="24"/>
          <w:szCs w:val="24"/>
        </w:rPr>
        <w:t>B、技术和服务方案（B=</w:t>
      </w:r>
      <w:r>
        <w:rPr>
          <w:rFonts w:hint="eastAsia" w:ascii="仿宋_GB2312" w:hAnsi="宋体" w:eastAsia="仿宋_GB2312" w:cs="Times New Roman"/>
          <w:b/>
          <w:sz w:val="24"/>
          <w:szCs w:val="24"/>
          <w:lang w:val="en-US" w:eastAsia="zh-CN"/>
        </w:rPr>
        <w:t>62</w:t>
      </w:r>
      <w:r>
        <w:rPr>
          <w:rFonts w:hint="eastAsia" w:ascii="仿宋_GB2312" w:hAnsi="宋体" w:eastAsia="仿宋_GB2312" w:cs="Times New Roman"/>
          <w:b/>
          <w:sz w:val="24"/>
          <w:szCs w:val="24"/>
        </w:rPr>
        <w:t xml:space="preserve">分）： </w:t>
      </w:r>
    </w:p>
    <w:p>
      <w:pPr>
        <w:spacing w:line="460" w:lineRule="exact"/>
        <w:ind w:firstLine="482" w:firstLineChars="200"/>
        <w:rPr>
          <w:rFonts w:hint="eastAsia" w:ascii="仿宋_GB2312" w:hAnsi="宋体" w:eastAsia="仿宋_GB2312"/>
          <w:b/>
          <w:bCs/>
          <w:sz w:val="24"/>
          <w:highlight w:val="none"/>
        </w:rPr>
      </w:pPr>
      <w:r>
        <w:rPr>
          <w:rFonts w:hint="eastAsia" w:ascii="仿宋_GB2312" w:hAnsi="宋体" w:eastAsia="仿宋_GB2312"/>
          <w:b/>
          <w:bCs/>
          <w:sz w:val="24"/>
          <w:highlight w:val="none"/>
        </w:rPr>
        <w:t>（1）所投设备整体技术性能（</w:t>
      </w:r>
      <w:r>
        <w:rPr>
          <w:rFonts w:hint="eastAsia" w:ascii="仿宋_GB2312" w:hAnsi="宋体" w:eastAsia="仿宋_GB2312"/>
          <w:b/>
          <w:bCs/>
          <w:sz w:val="24"/>
          <w:highlight w:val="none"/>
          <w:lang w:val="en-US" w:eastAsia="zh-CN"/>
        </w:rPr>
        <w:t>36</w:t>
      </w:r>
      <w:r>
        <w:rPr>
          <w:rFonts w:hint="eastAsia" w:ascii="仿宋_GB2312" w:hAnsi="宋体" w:eastAsia="仿宋_GB2312"/>
          <w:b/>
          <w:bCs/>
          <w:sz w:val="24"/>
          <w:highlight w:val="none"/>
        </w:rPr>
        <w:t>分）：</w:t>
      </w:r>
    </w:p>
    <w:p>
      <w:pPr>
        <w:spacing w:line="460" w:lineRule="exact"/>
        <w:ind w:firstLine="480" w:firstLineChars="200"/>
        <w:rPr>
          <w:rFonts w:hint="eastAsia" w:ascii="仿宋_GB2312" w:hAnsi="宋体" w:eastAsia="仿宋_GB2312"/>
          <w:bCs/>
          <w:sz w:val="24"/>
          <w:highlight w:val="none"/>
        </w:rPr>
      </w:pPr>
      <w:r>
        <w:rPr>
          <w:rFonts w:hint="eastAsia" w:ascii="仿宋_GB2312" w:hAnsi="宋体" w:eastAsia="仿宋_GB2312" w:cs="仿宋_GB2312"/>
          <w:sz w:val="24"/>
          <w:highlight w:val="none"/>
          <w:lang w:val="zh-CN" w:eastAsia="zh-CN"/>
        </w:rPr>
        <w:t>●</w:t>
      </w:r>
      <w:r>
        <w:rPr>
          <w:rFonts w:hint="eastAsia" w:ascii="仿宋_GB2312" w:hAnsi="宋体" w:eastAsia="仿宋_GB2312"/>
          <w:b w:val="0"/>
          <w:bCs w:val="0"/>
          <w:sz w:val="24"/>
          <w:highlight w:val="none"/>
          <w:lang w:eastAsia="zh-CN"/>
        </w:rPr>
        <w:t>投标</w:t>
      </w:r>
      <w:r>
        <w:rPr>
          <w:rFonts w:hint="eastAsia" w:ascii="仿宋_GB2312" w:hAnsi="宋体" w:eastAsia="仿宋_GB2312"/>
          <w:b w:val="0"/>
          <w:bCs w:val="0"/>
          <w:sz w:val="24"/>
          <w:highlight w:val="none"/>
        </w:rPr>
        <w:t>产品的技术指标的吻合程度和偏差情况（包括所投标产品的规格型号、详细配置、主要技术参数、随机软件、证明材料等）</w:t>
      </w:r>
      <w:r>
        <w:rPr>
          <w:rFonts w:hint="eastAsia" w:ascii="仿宋_GB2312" w:hAnsi="宋体" w:eastAsia="仿宋_GB2312"/>
          <w:bCs/>
          <w:sz w:val="24"/>
          <w:highlight w:val="none"/>
          <w:lang w:eastAsia="zh-CN"/>
        </w:rPr>
        <w:t>，</w:t>
      </w:r>
      <w:r>
        <w:rPr>
          <w:rFonts w:hint="eastAsia" w:ascii="仿宋_GB2312" w:hAnsi="宋体" w:eastAsia="仿宋_GB2312"/>
          <w:bCs/>
          <w:sz w:val="24"/>
          <w:highlight w:val="none"/>
        </w:rPr>
        <w:t>满足招标文件技术指标的得基准分</w:t>
      </w:r>
      <w:r>
        <w:rPr>
          <w:rFonts w:hint="eastAsia" w:ascii="仿宋_GB2312" w:hAnsi="宋体" w:eastAsia="仿宋_GB2312"/>
          <w:bCs/>
          <w:sz w:val="24"/>
          <w:highlight w:val="none"/>
          <w:lang w:val="en-US" w:eastAsia="zh-CN"/>
        </w:rPr>
        <w:t>36</w:t>
      </w:r>
      <w:r>
        <w:rPr>
          <w:rFonts w:hint="eastAsia" w:ascii="仿宋_GB2312" w:hAnsi="宋体" w:eastAsia="仿宋_GB2312"/>
          <w:bCs/>
          <w:sz w:val="24"/>
          <w:highlight w:val="none"/>
        </w:rPr>
        <w:t>分，带“▲”为实际业务需要，不得出现负偏离，否则做无效标处理</w:t>
      </w:r>
      <w:r>
        <w:rPr>
          <w:rFonts w:hint="eastAsia" w:ascii="仿宋_GB2312" w:hAnsi="宋体" w:eastAsia="仿宋_GB2312"/>
          <w:bCs/>
          <w:sz w:val="24"/>
          <w:highlight w:val="none"/>
          <w:lang w:eastAsia="zh-CN"/>
        </w:rPr>
        <w:t>，</w:t>
      </w:r>
      <w:r>
        <w:rPr>
          <w:rFonts w:hint="eastAsia" w:ascii="仿宋_GB2312" w:hAnsi="宋体" w:eastAsia="仿宋_GB2312"/>
          <w:bCs/>
          <w:sz w:val="24"/>
          <w:highlight w:val="none"/>
        </w:rPr>
        <w:t>对其他参数或功能要求负偏离或未响应的每项扣1分（无实质性意义的负偏离不扣分）</w:t>
      </w:r>
      <w:r>
        <w:rPr>
          <w:rFonts w:hint="eastAsia" w:ascii="仿宋_GB2312" w:hAnsi="宋体" w:eastAsia="仿宋_GB2312"/>
          <w:bCs/>
          <w:sz w:val="24"/>
          <w:highlight w:val="none"/>
          <w:lang w:eastAsia="zh-CN"/>
        </w:rPr>
        <w:t>，若负偏离</w:t>
      </w:r>
      <w:r>
        <w:rPr>
          <w:rFonts w:hint="eastAsia" w:ascii="仿宋_GB2312" w:hAnsi="宋体" w:eastAsia="仿宋_GB2312"/>
          <w:bCs/>
          <w:sz w:val="24"/>
          <w:highlight w:val="none"/>
          <w:lang w:val="en-US" w:eastAsia="zh-CN"/>
        </w:rPr>
        <w:t>20分及</w:t>
      </w:r>
      <w:r>
        <w:rPr>
          <w:rFonts w:hint="eastAsia" w:ascii="仿宋_GB2312" w:hAnsi="宋体" w:eastAsia="仿宋_GB2312"/>
          <w:bCs/>
          <w:sz w:val="24"/>
          <w:highlight w:val="none"/>
          <w:lang w:eastAsia="zh-CN"/>
        </w:rPr>
        <w:t>以上的做无效标处理（</w:t>
      </w:r>
      <w:r>
        <w:rPr>
          <w:rFonts w:hint="eastAsia" w:ascii="仿宋_GB2312" w:hAnsi="宋体" w:eastAsia="仿宋_GB2312"/>
          <w:bCs/>
          <w:sz w:val="24"/>
          <w:highlight w:val="none"/>
          <w:lang w:val="en-US" w:eastAsia="zh-CN"/>
        </w:rPr>
        <w:t>36分</w:t>
      </w:r>
      <w:r>
        <w:rPr>
          <w:rFonts w:hint="eastAsia" w:ascii="仿宋_GB2312" w:hAnsi="宋体" w:eastAsia="仿宋_GB2312"/>
          <w:bCs/>
          <w:sz w:val="24"/>
          <w:highlight w:val="none"/>
          <w:lang w:eastAsia="zh-CN"/>
        </w:rPr>
        <w:t>）</w:t>
      </w:r>
      <w:r>
        <w:rPr>
          <w:rFonts w:hint="eastAsia" w:ascii="仿宋_GB2312" w:hAnsi="宋体" w:eastAsia="仿宋_GB2312"/>
          <w:bCs/>
          <w:sz w:val="24"/>
          <w:highlight w:val="none"/>
        </w:rPr>
        <w:t>。</w:t>
      </w:r>
    </w:p>
    <w:p>
      <w:pPr>
        <w:spacing w:line="460" w:lineRule="exact"/>
        <w:ind w:firstLine="480" w:firstLineChars="200"/>
        <w:rPr>
          <w:rFonts w:hint="eastAsia" w:ascii="仿宋_GB2312" w:hAnsi="宋体" w:eastAsia="仿宋_GB2312"/>
          <w:b w:val="0"/>
          <w:bCs w:val="0"/>
          <w:sz w:val="24"/>
          <w:highlight w:val="none"/>
          <w:lang w:val="zh-CN"/>
        </w:rPr>
      </w:pPr>
      <w:r>
        <w:rPr>
          <w:rFonts w:hint="eastAsia" w:ascii="仿宋_GB2312" w:hAnsi="宋体" w:eastAsia="仿宋_GB2312" w:cs="仿宋_GB2312"/>
          <w:sz w:val="24"/>
          <w:highlight w:val="none"/>
          <w:lang w:val="zh-CN"/>
        </w:rPr>
        <w:t>注：要</w:t>
      </w:r>
      <w:r>
        <w:rPr>
          <w:rFonts w:hint="eastAsia" w:ascii="仿宋_GB2312" w:hAnsi="宋体" w:eastAsia="仿宋_GB2312"/>
          <w:b w:val="0"/>
          <w:bCs w:val="0"/>
          <w:sz w:val="24"/>
          <w:highlight w:val="none"/>
          <w:lang w:val="zh-CN"/>
        </w:rPr>
        <w:t>求提供测试报告复印件、证书复印件等证明材料而未提供视作一项负偏离。</w:t>
      </w:r>
    </w:p>
    <w:p>
      <w:pPr>
        <w:numPr>
          <w:ilvl w:val="0"/>
          <w:numId w:val="0"/>
        </w:numPr>
        <w:autoSpaceDE w:val="0"/>
        <w:autoSpaceDN w:val="0"/>
        <w:spacing w:line="460" w:lineRule="exact"/>
        <w:ind w:firstLine="482" w:firstLineChars="200"/>
        <w:rPr>
          <w:rFonts w:hint="eastAsia" w:ascii="仿宋_GB2312" w:hAnsi="宋体" w:eastAsia="仿宋_GB2312" w:cs="仿宋_GB2312"/>
          <w:b/>
          <w:sz w:val="24"/>
          <w:highlight w:val="none"/>
          <w:lang w:val="zh-CN"/>
        </w:rPr>
      </w:pPr>
      <w:r>
        <w:rPr>
          <w:rFonts w:hint="eastAsia" w:ascii="仿宋_GB2312" w:hAnsi="宋体" w:eastAsia="仿宋_GB2312" w:cs="仿宋_GB2312"/>
          <w:b/>
          <w:sz w:val="24"/>
          <w:highlight w:val="none"/>
          <w:lang w:val="zh-CN"/>
        </w:rPr>
        <w:t>（</w:t>
      </w:r>
      <w:r>
        <w:rPr>
          <w:rFonts w:hint="eastAsia" w:ascii="仿宋_GB2312" w:hAnsi="宋体" w:eastAsia="仿宋_GB2312" w:cs="仿宋_GB2312"/>
          <w:b/>
          <w:sz w:val="24"/>
          <w:highlight w:val="none"/>
          <w:lang w:val="en-US" w:eastAsia="zh-CN"/>
        </w:rPr>
        <w:t>2</w:t>
      </w:r>
      <w:r>
        <w:rPr>
          <w:rFonts w:hint="eastAsia" w:ascii="仿宋_GB2312" w:hAnsi="宋体" w:eastAsia="仿宋_GB2312" w:cs="仿宋_GB2312"/>
          <w:b/>
          <w:sz w:val="24"/>
          <w:highlight w:val="none"/>
          <w:lang w:val="zh-CN"/>
        </w:rPr>
        <w:t>）技术方案及人员方案情况（</w:t>
      </w:r>
      <w:r>
        <w:rPr>
          <w:rFonts w:hint="eastAsia" w:ascii="仿宋_GB2312" w:hAnsi="宋体" w:eastAsia="仿宋_GB2312" w:cs="仿宋_GB2312"/>
          <w:b/>
          <w:sz w:val="24"/>
          <w:highlight w:val="none"/>
          <w:lang w:val="en-US" w:eastAsia="zh-CN"/>
        </w:rPr>
        <w:t>13</w:t>
      </w:r>
      <w:r>
        <w:rPr>
          <w:rFonts w:hint="eastAsia" w:ascii="仿宋_GB2312" w:hAnsi="宋体" w:eastAsia="仿宋_GB2312" w:cs="仿宋_GB2312"/>
          <w:b/>
          <w:sz w:val="24"/>
          <w:highlight w:val="none"/>
          <w:lang w:val="zh-CN"/>
        </w:rPr>
        <w:t>分）：</w:t>
      </w:r>
    </w:p>
    <w:p>
      <w:pPr>
        <w:spacing w:line="460" w:lineRule="exact"/>
        <w:ind w:firstLine="480" w:firstLineChars="200"/>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●根据对采购人项目建设思路、</w:t>
      </w:r>
      <w:r>
        <w:rPr>
          <w:rFonts w:hint="eastAsia" w:ascii="仿宋_GB2312" w:hAnsi="宋体" w:eastAsia="仿宋_GB2312" w:cs="仿宋_GB2312"/>
          <w:sz w:val="24"/>
          <w:highlight w:val="none"/>
          <w:lang w:val="en-US" w:eastAsia="zh-CN"/>
        </w:rPr>
        <w:t>项目建设目标、项目建设内容</w:t>
      </w:r>
      <w:r>
        <w:rPr>
          <w:rFonts w:hint="eastAsia" w:ascii="仿宋_GB2312" w:hAnsi="宋体" w:eastAsia="仿宋_GB2312" w:cs="仿宋_GB2312"/>
          <w:sz w:val="24"/>
          <w:highlight w:val="none"/>
          <w:lang w:val="zh-CN" w:eastAsia="zh-CN"/>
        </w:rPr>
        <w:t>的理解，投标人总体方案设计合理、完整、可行，针对性强的得5分；方案设计基本满足用户需求的得</w:t>
      </w:r>
      <w:r>
        <w:rPr>
          <w:rFonts w:hint="eastAsia" w:ascii="仿宋_GB2312" w:hAnsi="宋体" w:eastAsia="仿宋_GB2312" w:cs="仿宋_GB2312"/>
          <w:sz w:val="24"/>
          <w:highlight w:val="none"/>
          <w:lang w:val="en-US" w:eastAsia="zh-CN"/>
        </w:rPr>
        <w:t>3分</w:t>
      </w:r>
      <w:r>
        <w:rPr>
          <w:rFonts w:hint="eastAsia" w:ascii="仿宋_GB2312" w:hAnsi="宋体" w:eastAsia="仿宋_GB2312" w:cs="仿宋_GB2312"/>
          <w:sz w:val="24"/>
          <w:highlight w:val="none"/>
          <w:lang w:val="zh-CN" w:eastAsia="zh-CN"/>
        </w:rPr>
        <w:t>；提供的方案设计不合理，对用户需求不理解、不贴合实际的不得分（</w:t>
      </w:r>
      <w:r>
        <w:rPr>
          <w:rFonts w:hint="eastAsia" w:ascii="仿宋_GB2312" w:hAnsi="宋体" w:eastAsia="仿宋_GB2312" w:cs="仿宋_GB2312"/>
          <w:sz w:val="24"/>
          <w:highlight w:val="none"/>
          <w:lang w:val="en-US" w:eastAsia="zh-CN"/>
        </w:rPr>
        <w:t>5分</w:t>
      </w:r>
      <w:r>
        <w:rPr>
          <w:rFonts w:hint="eastAsia" w:ascii="仿宋_GB2312" w:hAnsi="宋体" w:eastAsia="仿宋_GB2312" w:cs="仿宋_GB2312"/>
          <w:sz w:val="24"/>
          <w:highlight w:val="none"/>
          <w:lang w:val="zh-CN" w:eastAsia="zh-CN"/>
        </w:rPr>
        <w:t>）；</w:t>
      </w:r>
    </w:p>
    <w:p>
      <w:pPr>
        <w:spacing w:line="460" w:lineRule="exact"/>
        <w:ind w:firstLine="480" w:firstLineChars="200"/>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 履约方案情况：根据</w:t>
      </w:r>
      <w:r>
        <w:rPr>
          <w:rFonts w:hint="eastAsia" w:ascii="仿宋_GB2312" w:hAnsi="宋体" w:eastAsia="仿宋_GB2312" w:cs="仿宋_GB2312"/>
          <w:sz w:val="24"/>
          <w:highlight w:val="none"/>
          <w:lang w:val="zh-CN"/>
        </w:rPr>
        <w:t>投标人提供的履约方案进行打分。履约方案中所供货品组织有序，时间安排满足采购人要求（实质性条款不作为评审因素）的得</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lang w:val="zh-CN"/>
        </w:rPr>
        <w:t>分，不满足不得分（</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lang w:val="zh-CN"/>
        </w:rPr>
        <w:t>分）；</w:t>
      </w:r>
    </w:p>
    <w:p>
      <w:pPr>
        <w:autoSpaceDE w:val="0"/>
        <w:autoSpaceDN w:val="0"/>
        <w:spacing w:line="460" w:lineRule="exact"/>
        <w:ind w:firstLine="482"/>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w:t>
      </w:r>
      <w:r>
        <w:rPr>
          <w:rFonts w:hint="eastAsia" w:ascii="仿宋_GB2312" w:hAnsi="宋体" w:eastAsia="仿宋_GB2312"/>
          <w:sz w:val="18"/>
          <w:szCs w:val="18"/>
          <w:highlight w:val="none"/>
        </w:rPr>
        <w:t xml:space="preserve"> </w:t>
      </w:r>
      <w:r>
        <w:rPr>
          <w:rFonts w:hint="eastAsia" w:ascii="仿宋_GB2312" w:hAnsi="宋体" w:eastAsia="仿宋_GB2312" w:cs="仿宋_GB2312"/>
          <w:sz w:val="24"/>
          <w:highlight w:val="none"/>
          <w:lang w:val="zh-CN"/>
        </w:rPr>
        <w:t>人员方案情况：根据项目组实施人员专业人员素质、技术能力、专业分布等情况，①项目组实施人员具有类似集成项目实施经历，每提供一个证明材料得1分，最高2分；②项目组实施人员资质情况，提供专业技术能力资质证书，每提供一个资质证书得1分，最高3分，同一人具有多类证书不重复计分。以上要求提供项目组人员的社保证明、资质证书及其他相关证明材料（</w:t>
      </w:r>
      <w:r>
        <w:rPr>
          <w:rFonts w:hint="eastAsia" w:ascii="仿宋_GB2312" w:hAnsi="宋体" w:eastAsia="仿宋_GB2312" w:cs="仿宋_GB2312"/>
          <w:sz w:val="24"/>
          <w:highlight w:val="none"/>
          <w:lang w:val="en-US" w:eastAsia="zh-CN"/>
        </w:rPr>
        <w:t>5分</w:t>
      </w:r>
      <w:r>
        <w:rPr>
          <w:rFonts w:hint="eastAsia" w:ascii="仿宋_GB2312" w:hAnsi="宋体" w:eastAsia="仿宋_GB2312" w:cs="仿宋_GB2312"/>
          <w:sz w:val="24"/>
          <w:highlight w:val="none"/>
          <w:lang w:val="zh-CN"/>
        </w:rPr>
        <w:t>）。</w:t>
      </w:r>
    </w:p>
    <w:p>
      <w:pPr>
        <w:autoSpaceDE w:val="0"/>
        <w:autoSpaceDN w:val="0"/>
        <w:spacing w:line="460" w:lineRule="exact"/>
        <w:ind w:firstLine="482"/>
        <w:rPr>
          <w:rFonts w:hint="eastAsia" w:ascii="仿宋_GB2312" w:hAnsi="宋体" w:eastAsia="仿宋_GB2312" w:cs="仿宋_GB2312"/>
          <w:sz w:val="24"/>
          <w:highlight w:val="none"/>
          <w:lang w:val="zh-CN"/>
        </w:rPr>
      </w:pPr>
      <w:r>
        <w:rPr>
          <w:rFonts w:hint="eastAsia" w:ascii="仿宋_GB2312" w:hAnsi="宋体" w:eastAsia="仿宋_GB2312"/>
          <w:b/>
          <w:bCs/>
          <w:sz w:val="24"/>
          <w:highlight w:val="none"/>
        </w:rPr>
        <w:t>（</w:t>
      </w:r>
      <w:r>
        <w:rPr>
          <w:rFonts w:hint="eastAsia" w:ascii="仿宋_GB2312" w:hAnsi="宋体" w:eastAsia="仿宋_GB2312"/>
          <w:b/>
          <w:bCs/>
          <w:sz w:val="24"/>
          <w:highlight w:val="none"/>
          <w:lang w:val="en-US" w:eastAsia="zh-CN"/>
        </w:rPr>
        <w:t>3</w:t>
      </w:r>
      <w:r>
        <w:rPr>
          <w:rFonts w:hint="eastAsia" w:ascii="仿宋_GB2312" w:hAnsi="宋体" w:eastAsia="仿宋_GB2312"/>
          <w:b/>
          <w:bCs/>
          <w:sz w:val="24"/>
          <w:highlight w:val="none"/>
        </w:rPr>
        <w:t>）</w:t>
      </w:r>
      <w:r>
        <w:rPr>
          <w:rFonts w:hint="eastAsia" w:ascii="仿宋_GB2312" w:hAnsi="宋体" w:eastAsia="仿宋_GB2312" w:cs="仿宋_GB2312"/>
          <w:b/>
          <w:sz w:val="24"/>
          <w:highlight w:val="none"/>
          <w:lang w:val="zh-CN"/>
        </w:rPr>
        <w:t>售后服务方案（</w:t>
      </w:r>
      <w:r>
        <w:rPr>
          <w:rFonts w:hint="eastAsia" w:ascii="仿宋_GB2312" w:hAnsi="宋体" w:eastAsia="仿宋_GB2312" w:cs="仿宋_GB2312"/>
          <w:b/>
          <w:sz w:val="24"/>
          <w:highlight w:val="none"/>
          <w:lang w:val="en-US" w:eastAsia="zh-CN"/>
        </w:rPr>
        <w:t>7</w:t>
      </w:r>
      <w:r>
        <w:rPr>
          <w:rFonts w:hint="eastAsia" w:ascii="仿宋_GB2312" w:hAnsi="宋体" w:eastAsia="仿宋_GB2312" w:cs="仿宋_GB2312"/>
          <w:b/>
          <w:sz w:val="24"/>
          <w:highlight w:val="none"/>
          <w:lang w:val="zh-CN"/>
        </w:rPr>
        <w:t>分）：</w:t>
      </w:r>
    </w:p>
    <w:p>
      <w:pPr>
        <w:autoSpaceDE w:val="0"/>
        <w:autoSpaceDN w:val="0"/>
        <w:spacing w:line="460" w:lineRule="exact"/>
        <w:ind w:firstLine="482"/>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w:t>
      </w:r>
      <w:r>
        <w:rPr>
          <w:rFonts w:hint="eastAsia" w:ascii="仿宋_GB2312" w:hAnsi="宋体" w:eastAsia="仿宋_GB2312" w:cs="仿宋_GB2312"/>
          <w:sz w:val="24"/>
          <w:highlight w:val="none"/>
          <w:lang w:val="zh-CN"/>
        </w:rPr>
        <w:t xml:space="preserve"> </w:t>
      </w:r>
      <w:bookmarkStart w:id="590" w:name="_GoBack"/>
      <w:r>
        <w:rPr>
          <w:rFonts w:hint="eastAsia" w:ascii="仿宋_GB2312" w:hAnsi="宋体" w:eastAsia="仿宋_GB2312" w:cs="仿宋_GB2312"/>
          <w:sz w:val="24"/>
          <w:highlight w:val="none"/>
          <w:lang w:val="zh-CN" w:eastAsia="zh-CN"/>
        </w:rPr>
        <w:t>投标人</w:t>
      </w:r>
      <w:r>
        <w:rPr>
          <w:rFonts w:hint="eastAsia" w:ascii="仿宋_GB2312" w:hAnsi="宋体" w:eastAsia="仿宋_GB2312" w:cs="仿宋_GB2312"/>
          <w:sz w:val="24"/>
          <w:highlight w:val="none"/>
          <w:lang w:val="zh-CN"/>
        </w:rPr>
        <w:t>整体的售后服务方案完善具体，服务方案中有明确的验收方案的得</w:t>
      </w:r>
      <w:r>
        <w:rPr>
          <w:rFonts w:hint="eastAsia" w:ascii="仿宋_GB2312" w:hAnsi="宋体" w:eastAsia="仿宋_GB2312" w:cs="仿宋_GB2312"/>
          <w:sz w:val="24"/>
          <w:highlight w:val="none"/>
          <w:lang w:val="en-US" w:eastAsia="zh-CN"/>
        </w:rPr>
        <w:t>2分，验收方案不够具体详尽的得1分，方案不合理或无方案不得分</w:t>
      </w:r>
      <w:r>
        <w:rPr>
          <w:rFonts w:hint="eastAsia" w:ascii="仿宋_GB2312" w:hAnsi="宋体" w:eastAsia="仿宋_GB2312" w:cs="仿宋_GB2312"/>
          <w:sz w:val="24"/>
          <w:highlight w:val="none"/>
          <w:lang w:val="zh-CN"/>
        </w:rPr>
        <w:t>；服务方案中能够提供专业的维修团队的得</w:t>
      </w:r>
      <w:r>
        <w:rPr>
          <w:rFonts w:hint="eastAsia" w:ascii="仿宋_GB2312" w:hAnsi="宋体" w:eastAsia="仿宋_GB2312" w:cs="仿宋_GB2312"/>
          <w:sz w:val="24"/>
          <w:highlight w:val="none"/>
          <w:lang w:val="en-US" w:eastAsia="zh-CN"/>
        </w:rPr>
        <w:t>2分，提供维修团队的得1分，没有提供维修团队的不得分</w:t>
      </w:r>
      <w:r>
        <w:rPr>
          <w:rFonts w:hint="eastAsia" w:ascii="仿宋_GB2312" w:hAnsi="宋体" w:eastAsia="仿宋_GB2312" w:cs="仿宋_GB2312"/>
          <w:sz w:val="24"/>
          <w:highlight w:val="none"/>
          <w:lang w:val="zh-CN"/>
        </w:rPr>
        <w:t>（</w:t>
      </w:r>
      <w:r>
        <w:rPr>
          <w:rFonts w:hint="eastAsia" w:ascii="仿宋_GB2312" w:hAnsi="宋体" w:eastAsia="仿宋_GB2312" w:cs="仿宋_GB2312"/>
          <w:sz w:val="24"/>
          <w:highlight w:val="none"/>
          <w:lang w:val="en-US" w:eastAsia="zh-CN"/>
        </w:rPr>
        <w:t>4</w:t>
      </w:r>
      <w:r>
        <w:rPr>
          <w:rFonts w:hint="eastAsia" w:ascii="仿宋_GB2312" w:hAnsi="宋体" w:eastAsia="仿宋_GB2312" w:cs="仿宋_GB2312"/>
          <w:sz w:val="24"/>
          <w:highlight w:val="none"/>
          <w:lang w:val="zh-CN"/>
        </w:rPr>
        <w:t>分）；</w:t>
      </w:r>
      <w:bookmarkEnd w:id="590"/>
    </w:p>
    <w:p>
      <w:pPr>
        <w:autoSpaceDE w:val="0"/>
        <w:autoSpaceDN w:val="0"/>
        <w:spacing w:line="460" w:lineRule="exact"/>
        <w:ind w:firstLine="482"/>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w:t>
      </w:r>
      <w:r>
        <w:rPr>
          <w:rFonts w:hint="eastAsia" w:ascii="仿宋_GB2312" w:hAnsi="宋体" w:eastAsia="仿宋_GB2312" w:cs="仿宋_GB2312"/>
          <w:sz w:val="24"/>
          <w:highlight w:val="none"/>
          <w:lang w:val="en-US" w:eastAsia="zh-CN"/>
        </w:rPr>
        <w:t xml:space="preserve"> 投标人承诺质保期内提供7*24小时服务；对故障在1小时内响应，2小时内的现场服务请求响应，以及6小时内提出问题解决方案所采取的措施，逾期未作出响应或超过24小时不能排除故障，投标人应承担由于故障所造成的全部损失。提供相应内容承诺的得3分，否则不得分</w:t>
      </w:r>
      <w:r>
        <w:rPr>
          <w:rFonts w:hint="eastAsia" w:ascii="仿宋_GB2312" w:hAnsi="宋体" w:eastAsia="仿宋_GB2312" w:cs="仿宋_GB2312"/>
          <w:sz w:val="24"/>
          <w:highlight w:val="none"/>
          <w:lang w:val="zh-CN"/>
        </w:rPr>
        <w:t>（</w:t>
      </w:r>
      <w:r>
        <w:rPr>
          <w:rFonts w:hint="eastAsia" w:ascii="仿宋_GB2312" w:hAnsi="宋体" w:eastAsia="仿宋_GB2312" w:cs="仿宋_GB2312"/>
          <w:sz w:val="24"/>
          <w:highlight w:val="none"/>
          <w:lang w:val="en-US" w:eastAsia="zh-CN"/>
        </w:rPr>
        <w:t>3分</w:t>
      </w:r>
      <w:r>
        <w:rPr>
          <w:rFonts w:hint="eastAsia" w:ascii="仿宋_GB2312" w:hAnsi="宋体" w:eastAsia="仿宋_GB2312" w:cs="仿宋_GB2312"/>
          <w:sz w:val="24"/>
          <w:highlight w:val="none"/>
          <w:lang w:val="zh-CN"/>
        </w:rPr>
        <w:t>）。</w:t>
      </w:r>
    </w:p>
    <w:p>
      <w:pPr>
        <w:autoSpaceDE w:val="0"/>
        <w:autoSpaceDN w:val="0"/>
        <w:spacing w:line="460" w:lineRule="exact"/>
        <w:ind w:firstLine="482"/>
        <w:rPr>
          <w:rFonts w:hint="eastAsia" w:ascii="仿宋_GB2312" w:hAnsi="宋体" w:eastAsia="仿宋_GB2312" w:cs="仿宋_GB2312"/>
          <w:b/>
          <w:bCs/>
          <w:sz w:val="24"/>
          <w:highlight w:val="none"/>
          <w:lang w:val="zh-CN"/>
        </w:rPr>
      </w:pPr>
      <w:r>
        <w:rPr>
          <w:rFonts w:hint="eastAsia" w:ascii="仿宋_GB2312" w:hAnsi="宋体" w:eastAsia="仿宋_GB2312" w:cs="仿宋_GB2312"/>
          <w:b/>
          <w:bCs/>
          <w:sz w:val="24"/>
          <w:highlight w:val="none"/>
          <w:lang w:val="zh-CN"/>
        </w:rPr>
        <w:t>（</w:t>
      </w:r>
      <w:r>
        <w:rPr>
          <w:rFonts w:hint="eastAsia" w:ascii="仿宋_GB2312" w:hAnsi="宋体" w:eastAsia="仿宋_GB2312" w:cs="仿宋_GB2312"/>
          <w:b/>
          <w:bCs/>
          <w:sz w:val="24"/>
          <w:highlight w:val="none"/>
          <w:lang w:val="en-US" w:eastAsia="zh-CN"/>
        </w:rPr>
        <w:t>4</w:t>
      </w:r>
      <w:r>
        <w:rPr>
          <w:rFonts w:hint="eastAsia" w:ascii="仿宋_GB2312" w:hAnsi="宋体" w:eastAsia="仿宋_GB2312" w:cs="仿宋_GB2312"/>
          <w:b/>
          <w:bCs/>
          <w:sz w:val="24"/>
          <w:highlight w:val="none"/>
          <w:lang w:val="zh-CN"/>
        </w:rPr>
        <w:t>）培训、测试方案（</w:t>
      </w:r>
      <w:r>
        <w:rPr>
          <w:rFonts w:hint="eastAsia" w:ascii="仿宋_GB2312" w:hAnsi="宋体" w:eastAsia="仿宋_GB2312" w:cs="仿宋_GB2312"/>
          <w:b/>
          <w:bCs/>
          <w:sz w:val="24"/>
          <w:highlight w:val="none"/>
          <w:lang w:val="en-US" w:eastAsia="zh-CN"/>
        </w:rPr>
        <w:t>6</w:t>
      </w:r>
      <w:r>
        <w:rPr>
          <w:rFonts w:hint="eastAsia" w:ascii="仿宋_GB2312" w:hAnsi="宋体" w:eastAsia="仿宋_GB2312" w:cs="仿宋_GB2312"/>
          <w:b/>
          <w:bCs/>
          <w:sz w:val="24"/>
          <w:highlight w:val="none"/>
          <w:lang w:val="zh-CN"/>
        </w:rPr>
        <w:t>分）：</w:t>
      </w:r>
    </w:p>
    <w:p>
      <w:pPr>
        <w:keepNext w:val="0"/>
        <w:keepLines w:val="0"/>
        <w:pageBreakBefore w:val="0"/>
        <w:widowControl w:val="0"/>
        <w:kinsoku/>
        <w:wordWrap/>
        <w:overflowPunct/>
        <w:topLinePunct w:val="0"/>
        <w:autoSpaceDE w:val="0"/>
        <w:autoSpaceDN w:val="0"/>
        <w:bidi w:val="0"/>
        <w:spacing w:line="460" w:lineRule="exact"/>
        <w:ind w:firstLine="482"/>
        <w:textAlignment w:val="auto"/>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w:t>
      </w:r>
      <w:r>
        <w:rPr>
          <w:rFonts w:hint="eastAsia" w:ascii="仿宋_GB2312" w:hAnsi="宋体" w:eastAsia="仿宋_GB2312" w:cs="仿宋_GB2312"/>
          <w:sz w:val="24"/>
          <w:highlight w:val="none"/>
          <w:lang w:val="zh-CN"/>
        </w:rPr>
        <w:t xml:space="preserve"> 根据投标人的培训方案情况进行打分，由技术人员或工程师担任讲师的得</w:t>
      </w:r>
      <w:r>
        <w:rPr>
          <w:rFonts w:hint="eastAsia" w:ascii="仿宋_GB2312" w:hAnsi="宋体" w:eastAsia="仿宋_GB2312" w:cs="仿宋_GB2312"/>
          <w:sz w:val="24"/>
          <w:highlight w:val="none"/>
          <w:lang w:val="en-US" w:eastAsia="zh-CN"/>
        </w:rPr>
        <w:t>1.5</w:t>
      </w:r>
      <w:r>
        <w:rPr>
          <w:rFonts w:hint="eastAsia" w:ascii="仿宋_GB2312" w:hAnsi="宋体" w:eastAsia="仿宋_GB2312" w:cs="仿宋_GB2312"/>
          <w:sz w:val="24"/>
          <w:highlight w:val="none"/>
          <w:lang w:val="zh-CN"/>
        </w:rPr>
        <w:t>分，否则不得分；培训内容涵盖产品的功能、操作使用、注意事项、日常维护保养事项的得</w:t>
      </w:r>
      <w:r>
        <w:rPr>
          <w:rFonts w:hint="eastAsia" w:ascii="仿宋_GB2312" w:hAnsi="宋体" w:eastAsia="仿宋_GB2312" w:cs="仿宋_GB2312"/>
          <w:sz w:val="24"/>
          <w:highlight w:val="none"/>
          <w:lang w:val="en-US" w:eastAsia="zh-CN"/>
        </w:rPr>
        <w:t>1.5</w:t>
      </w:r>
      <w:r>
        <w:rPr>
          <w:rFonts w:hint="eastAsia" w:ascii="仿宋_GB2312" w:hAnsi="宋体" w:eastAsia="仿宋_GB2312" w:cs="仿宋_GB2312"/>
          <w:sz w:val="24"/>
          <w:highlight w:val="none"/>
          <w:lang w:val="zh-CN"/>
        </w:rPr>
        <w:t>分。共</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lang w:val="zh-CN"/>
        </w:rPr>
        <w:t>分（</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lang w:val="zh-CN"/>
        </w:rPr>
        <w:t>分）；</w:t>
      </w:r>
    </w:p>
    <w:p>
      <w:pPr>
        <w:keepNext w:val="0"/>
        <w:keepLines w:val="0"/>
        <w:pageBreakBefore w:val="0"/>
        <w:widowControl w:val="0"/>
        <w:kinsoku/>
        <w:wordWrap/>
        <w:overflowPunct/>
        <w:topLinePunct w:val="0"/>
        <w:autoSpaceDE w:val="0"/>
        <w:autoSpaceDN w:val="0"/>
        <w:bidi w:val="0"/>
        <w:spacing w:line="460" w:lineRule="exact"/>
        <w:ind w:firstLine="482"/>
        <w:textAlignment w:val="auto"/>
        <w:rPr>
          <w:rFonts w:hint="eastAsia" w:eastAsia="仿宋_GB2312"/>
          <w:highlight w:val="none"/>
          <w:lang w:val="zh-CN" w:eastAsia="zh-CN"/>
        </w:rPr>
      </w:pPr>
      <w:r>
        <w:rPr>
          <w:rFonts w:hint="eastAsia" w:ascii="仿宋_GB2312" w:hAnsi="宋体" w:eastAsia="仿宋_GB2312" w:cs="仿宋_GB2312"/>
          <w:sz w:val="24"/>
          <w:highlight w:val="none"/>
          <w:lang w:val="zh-CN"/>
        </w:rPr>
        <w:t>●</w:t>
      </w:r>
      <w:r>
        <w:rPr>
          <w:rFonts w:hint="eastAsia" w:ascii="仿宋_GB2312" w:hAnsi="宋体" w:eastAsia="仿宋_GB2312" w:cs="仿宋_GB2312"/>
          <w:sz w:val="24"/>
          <w:highlight w:val="none"/>
          <w:lang w:val="zh-CN" w:eastAsia="zh-CN"/>
        </w:rPr>
        <w:t>投标人</w:t>
      </w:r>
      <w:r>
        <w:rPr>
          <w:rFonts w:hint="eastAsia" w:ascii="仿宋_GB2312" w:hAnsi="宋体" w:eastAsia="仿宋_GB2312" w:cs="仿宋_GB2312"/>
          <w:sz w:val="24"/>
          <w:highlight w:val="none"/>
          <w:lang w:val="zh-CN"/>
        </w:rPr>
        <w:t>是否提出合理可行的功能测试及验收方案。满足得</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lang w:val="zh-CN"/>
        </w:rPr>
        <w:t>分，部分满足得1分，不满足不得分（</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lang w:val="zh-CN"/>
        </w:rPr>
        <w:t>分）</w:t>
      </w:r>
      <w:r>
        <w:rPr>
          <w:rFonts w:hint="eastAsia" w:ascii="仿宋_GB2312" w:hAnsi="宋体" w:eastAsia="仿宋_GB2312" w:cs="仿宋_GB2312"/>
          <w:sz w:val="24"/>
          <w:highlight w:val="none"/>
          <w:lang w:val="en-US" w:eastAsia="zh-CN"/>
        </w:rPr>
        <w:t>。</w:t>
      </w:r>
    </w:p>
    <w:p>
      <w:pPr>
        <w:keepNext w:val="0"/>
        <w:keepLines w:val="0"/>
        <w:pageBreakBefore w:val="0"/>
        <w:widowControl w:val="0"/>
        <w:kinsoku/>
        <w:wordWrap/>
        <w:overflowPunct/>
        <w:topLinePunct w:val="0"/>
        <w:bidi w:val="0"/>
        <w:snapToGrid w:val="0"/>
        <w:spacing w:line="460" w:lineRule="exact"/>
        <w:ind w:firstLine="482" w:firstLineChars="200"/>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C、投标人的资信情况（</w:t>
      </w:r>
      <w:r>
        <w:rPr>
          <w:rFonts w:hint="eastAsia" w:ascii="仿宋_GB2312" w:hAnsi="仿宋_GB2312" w:eastAsia="仿宋_GB2312" w:cs="仿宋_GB2312"/>
          <w:b/>
          <w:sz w:val="24"/>
          <w:highlight w:val="none"/>
          <w:u w:val="single"/>
          <w:lang w:val="en-US" w:eastAsia="zh-CN"/>
        </w:rPr>
        <w:t>8</w:t>
      </w:r>
      <w:r>
        <w:rPr>
          <w:rFonts w:hint="eastAsia" w:ascii="仿宋_GB2312" w:hAnsi="仿宋_GB2312" w:eastAsia="仿宋_GB2312" w:cs="仿宋_GB2312"/>
          <w:b/>
          <w:bCs/>
          <w:sz w:val="24"/>
          <w:highlight w:val="none"/>
        </w:rPr>
        <w:t>分）：</w:t>
      </w:r>
    </w:p>
    <w:p>
      <w:pPr>
        <w:keepNext w:val="0"/>
        <w:keepLines w:val="0"/>
        <w:pageBreakBefore w:val="0"/>
        <w:widowControl w:val="0"/>
        <w:kinsoku/>
        <w:wordWrap/>
        <w:overflowPunct/>
        <w:topLinePunct w:val="0"/>
        <w:autoSpaceDE w:val="0"/>
        <w:autoSpaceDN w:val="0"/>
        <w:bidi w:val="0"/>
        <w:spacing w:line="460" w:lineRule="exact"/>
        <w:ind w:firstLine="482"/>
        <w:textAlignment w:val="auto"/>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w:t>
      </w:r>
      <w:r>
        <w:rPr>
          <w:rFonts w:hint="eastAsia" w:ascii="仿宋_GB2312" w:hAnsi="宋体" w:eastAsia="仿宋_GB2312"/>
          <w:sz w:val="18"/>
          <w:szCs w:val="18"/>
          <w:highlight w:val="none"/>
        </w:rPr>
        <w:t xml:space="preserve"> </w:t>
      </w:r>
      <w:r>
        <w:rPr>
          <w:rFonts w:hint="eastAsia" w:ascii="仿宋_GB2312" w:hAnsi="宋体" w:eastAsia="仿宋_GB2312" w:cs="仿宋_GB2312"/>
          <w:sz w:val="24"/>
          <w:highlight w:val="none"/>
          <w:lang w:val="zh-CN" w:eastAsia="zh-CN"/>
        </w:rPr>
        <w:t>投标人</w:t>
      </w:r>
      <w:r>
        <w:rPr>
          <w:rFonts w:hint="eastAsia" w:ascii="仿宋_GB2312" w:hAnsi="宋体" w:eastAsia="仿宋_GB2312" w:cs="仿宋_GB2312"/>
          <w:sz w:val="24"/>
          <w:highlight w:val="none"/>
          <w:lang w:val="zh-CN"/>
        </w:rPr>
        <w:t>具有ISO27001信息安全管理体系认证，ISO20000信息技术服务管理体系认证，每提供一份得</w:t>
      </w:r>
      <w:r>
        <w:rPr>
          <w:rFonts w:hint="eastAsia" w:ascii="仿宋_GB2312" w:hAnsi="宋体" w:eastAsia="仿宋_GB2312" w:cs="仿宋_GB2312"/>
          <w:sz w:val="24"/>
          <w:highlight w:val="none"/>
          <w:lang w:val="en-US" w:eastAsia="zh-CN"/>
        </w:rPr>
        <w:t>1</w:t>
      </w:r>
      <w:r>
        <w:rPr>
          <w:rFonts w:hint="eastAsia" w:ascii="仿宋_GB2312" w:hAnsi="宋体" w:eastAsia="仿宋_GB2312" w:cs="仿宋_GB2312"/>
          <w:sz w:val="24"/>
          <w:highlight w:val="none"/>
          <w:lang w:val="zh-CN"/>
        </w:rPr>
        <w:t>分，共计</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rPr>
        <w:t>分（</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rPr>
        <w:t>分）；</w:t>
      </w:r>
    </w:p>
    <w:p>
      <w:pPr>
        <w:keepNext w:val="0"/>
        <w:keepLines w:val="0"/>
        <w:pageBreakBefore w:val="0"/>
        <w:widowControl w:val="0"/>
        <w:kinsoku/>
        <w:wordWrap/>
        <w:overflowPunct/>
        <w:topLinePunct w:val="0"/>
        <w:autoSpaceDE w:val="0"/>
        <w:autoSpaceDN w:val="0"/>
        <w:bidi w:val="0"/>
        <w:spacing w:line="460" w:lineRule="exact"/>
        <w:ind w:firstLine="482"/>
        <w:textAlignment w:val="auto"/>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rPr>
        <w:t>注：投标文件需提供以上证书复印件或扫描件，证书须在有效期内。否者不得分。</w:t>
      </w:r>
    </w:p>
    <w:p>
      <w:pPr>
        <w:keepNext w:val="0"/>
        <w:keepLines w:val="0"/>
        <w:pageBreakBefore w:val="0"/>
        <w:widowControl w:val="0"/>
        <w:kinsoku/>
        <w:wordWrap/>
        <w:overflowPunct/>
        <w:topLinePunct w:val="0"/>
        <w:autoSpaceDE w:val="0"/>
        <w:autoSpaceDN w:val="0"/>
        <w:bidi w:val="0"/>
        <w:spacing w:line="460" w:lineRule="exact"/>
        <w:ind w:firstLine="482"/>
        <w:textAlignment w:val="auto"/>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w:t>
      </w:r>
      <w:r>
        <w:rPr>
          <w:rFonts w:hint="eastAsia" w:ascii="仿宋_GB2312" w:hAnsi="宋体" w:eastAsia="仿宋_GB2312" w:cs="仿宋_GB2312"/>
          <w:sz w:val="24"/>
          <w:highlight w:val="none"/>
          <w:lang w:val="zh-CN"/>
        </w:rPr>
        <w:t>投标人成功案例及业绩：2018年1月1日起至开标时间止（以合同签订时间为准），投标人承担类似集成项目成功案例情况，每个案例得</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rPr>
        <w:t>分，最高得</w:t>
      </w:r>
      <w:r>
        <w:rPr>
          <w:rFonts w:hint="eastAsia" w:ascii="仿宋_GB2312" w:hAnsi="宋体" w:eastAsia="仿宋_GB2312" w:cs="仿宋_GB2312"/>
          <w:sz w:val="24"/>
          <w:highlight w:val="none"/>
          <w:lang w:val="en-US" w:eastAsia="zh-CN"/>
        </w:rPr>
        <w:t>6</w:t>
      </w:r>
      <w:r>
        <w:rPr>
          <w:rFonts w:hint="eastAsia" w:ascii="仿宋_GB2312" w:hAnsi="宋体" w:eastAsia="仿宋_GB2312" w:cs="仿宋_GB2312"/>
          <w:sz w:val="24"/>
          <w:highlight w:val="none"/>
          <w:lang w:val="zh-CN"/>
        </w:rPr>
        <w:t>分（须提供合同扫描件）（</w:t>
      </w:r>
      <w:r>
        <w:rPr>
          <w:rFonts w:hint="eastAsia" w:ascii="仿宋_GB2312" w:hAnsi="宋体" w:eastAsia="仿宋_GB2312" w:cs="仿宋_GB2312"/>
          <w:sz w:val="24"/>
          <w:highlight w:val="none"/>
          <w:lang w:val="en-US" w:eastAsia="zh-CN"/>
        </w:rPr>
        <w:t>6分</w:t>
      </w:r>
      <w:r>
        <w:rPr>
          <w:rFonts w:hint="eastAsia" w:ascii="仿宋_GB2312" w:hAnsi="宋体" w:eastAsia="仿宋_GB2312" w:cs="仿宋_GB2312"/>
          <w:sz w:val="24"/>
          <w:highlight w:val="none"/>
          <w:lang w:val="zh-CN"/>
        </w:rPr>
        <w:t>）。</w:t>
      </w:r>
    </w:p>
    <w:p>
      <w:pPr>
        <w:pStyle w:val="33"/>
        <w:keepNext w:val="0"/>
        <w:keepLines w:val="0"/>
        <w:pageBreakBefore w:val="0"/>
        <w:widowControl w:val="0"/>
        <w:kinsoku/>
        <w:wordWrap/>
        <w:overflowPunct/>
        <w:topLinePunct w:val="0"/>
        <w:bidi w:val="0"/>
        <w:spacing w:line="460" w:lineRule="exact"/>
        <w:ind w:firstLine="472" w:firstLineChars="196"/>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综合得分=A+B+C</w:t>
      </w:r>
      <w:r>
        <w:rPr>
          <w:rFonts w:hint="eastAsia" w:ascii="仿宋_GB2312" w:hAnsi="仿宋" w:eastAsia="仿宋_GB2312" w:cs="仿宋_GB2312"/>
          <w:b/>
          <w:sz w:val="24"/>
          <w:szCs w:val="24"/>
          <w:highlight w:val="none"/>
        </w:rPr>
        <w:t>，精确到小数点后二位。</w:t>
      </w:r>
    </w:p>
    <w:p>
      <w:pPr>
        <w:adjustRightInd w:val="0"/>
        <w:spacing w:line="360" w:lineRule="auto"/>
        <w:outlineLvl w:val="0"/>
        <w:rPr>
          <w:rFonts w:hint="eastAsia" w:ascii="仿宋_GB2312" w:hAnsi="仿宋" w:eastAsia="仿宋_GB2312" w:cs="仿宋_GB2312"/>
          <w:b/>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adjustRightInd w:val="0"/>
        <w:spacing w:line="360" w:lineRule="auto"/>
        <w:ind w:left="720" w:leftChars="343" w:firstLine="1446" w:firstLineChars="4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 拟签订的合同文本</w:t>
      </w:r>
    </w:p>
    <w:bookmarkEnd w:id="24"/>
    <w:p>
      <w:pPr>
        <w:spacing w:line="360" w:lineRule="auto"/>
        <w:rPr>
          <w:rFonts w:ascii="仿宋_GB2312" w:hAnsi="楷体" w:eastAsia="仿宋_GB2312"/>
          <w:sz w:val="24"/>
          <w:u w:val="single"/>
        </w:rPr>
      </w:pPr>
      <w:bookmarkStart w:id="413" w:name="第五部分"/>
      <w:bookmarkStart w:id="414" w:name="_Toc86217003"/>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330"/>
        <w:ind w:leftChars="0" w:firstLine="2465" w:firstLineChars="6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330"/>
        <w:rPr>
          <w:rFonts w:ascii="仿宋_GB2312" w:hAnsi="楷体" w:eastAsia="仿宋_GB2312"/>
          <w:szCs w:val="24"/>
        </w:rPr>
      </w:pPr>
    </w:p>
    <w:p>
      <w:pPr>
        <w:pStyle w:val="330"/>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648"/>
        <w:spacing w:before="120"/>
        <w:ind w:firstLine="36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415" w:name="_Toc24059"/>
      <w:bookmarkStart w:id="416" w:name="_Toc3029"/>
      <w:bookmarkStart w:id="417" w:name="_Toc2232"/>
      <w:r>
        <w:rPr>
          <w:rFonts w:hint="eastAsia" w:ascii="仿宋_GB2312" w:hAnsi="楷体" w:eastAsia="仿宋_GB2312"/>
          <w:b/>
          <w:sz w:val="24"/>
        </w:rPr>
        <w:t>1.1 合同组成部分</w:t>
      </w:r>
      <w:bookmarkEnd w:id="415"/>
      <w:bookmarkEnd w:id="416"/>
      <w:bookmarkEnd w:id="417"/>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ascii="仿宋_GB2312" w:hAnsi="楷体" w:eastAsia="仿宋_GB2312"/>
          <w:b/>
          <w:sz w:val="24"/>
        </w:rPr>
      </w:pPr>
      <w:bookmarkStart w:id="418" w:name="_Toc27126"/>
      <w:bookmarkStart w:id="419" w:name="_Toc21295"/>
      <w:bookmarkStart w:id="420" w:name="_Toc24300"/>
      <w:r>
        <w:rPr>
          <w:rFonts w:hint="eastAsia" w:ascii="仿宋_GB2312" w:hAnsi="楷体" w:eastAsia="仿宋_GB2312"/>
          <w:b/>
          <w:sz w:val="24"/>
        </w:rPr>
        <w:t>1.2 标的物</w:t>
      </w:r>
      <w:bookmarkEnd w:id="418"/>
      <w:bookmarkEnd w:id="419"/>
      <w:bookmarkEnd w:id="420"/>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21" w:name="_Toc21631"/>
      <w:bookmarkStart w:id="422" w:name="_Toc23292"/>
      <w:bookmarkStart w:id="423" w:name="_Toc21551"/>
      <w:r>
        <w:rPr>
          <w:rFonts w:hint="eastAsia" w:ascii="仿宋_GB2312" w:hAnsi="楷体" w:eastAsia="仿宋_GB2312"/>
          <w:b/>
          <w:sz w:val="24"/>
        </w:rPr>
        <w:t>1.3 价款</w:t>
      </w:r>
      <w:bookmarkEnd w:id="421"/>
      <w:bookmarkEnd w:id="422"/>
      <w:bookmarkEnd w:id="423"/>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vAlign w:val="center"/>
          </w:tcPr>
          <w:p>
            <w:pPr>
              <w:pStyle w:val="282"/>
              <w:spacing w:line="360" w:lineRule="auto"/>
              <w:ind w:firstLine="48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24" w:name="_Toc1814"/>
      <w:bookmarkStart w:id="425" w:name="_Toc22618"/>
      <w:bookmarkStart w:id="426" w:name="_Toc10340"/>
      <w:r>
        <w:rPr>
          <w:rFonts w:hint="eastAsia" w:ascii="仿宋_GB2312" w:hAnsi="楷体" w:eastAsia="仿宋_GB2312"/>
          <w:b/>
          <w:sz w:val="24"/>
        </w:rPr>
        <w:t>1.4 付款方式和发票开具方式</w:t>
      </w:r>
      <w:bookmarkEnd w:id="424"/>
      <w:bookmarkEnd w:id="425"/>
      <w:bookmarkEnd w:id="426"/>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（分期付款/一次性付款）                     </w:t>
      </w:r>
      <w:r>
        <w:rPr>
          <w:rFonts w:hint="eastAsia" w:ascii="仿宋_GB2312" w:hAnsi="楷体" w:eastAsia="仿宋_GB2312"/>
          <w:sz w:val="24"/>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1.4.3甲方拒绝或迟延支付中小企业款项，乙方可向有关部门投诉   。</w:t>
      </w:r>
    </w:p>
    <w:p>
      <w:pPr>
        <w:spacing w:line="360" w:lineRule="auto"/>
        <w:ind w:firstLine="482" w:firstLineChars="200"/>
        <w:outlineLvl w:val="0"/>
        <w:rPr>
          <w:rFonts w:ascii="仿宋_GB2312" w:hAnsi="楷体" w:eastAsia="仿宋_GB2312"/>
          <w:b/>
          <w:color w:val="auto"/>
          <w:sz w:val="24"/>
        </w:rPr>
      </w:pPr>
      <w:bookmarkStart w:id="427" w:name="_Toc32071"/>
      <w:bookmarkStart w:id="428" w:name="_Toc2846"/>
      <w:bookmarkStart w:id="429" w:name="_Toc19304"/>
      <w:r>
        <w:rPr>
          <w:rFonts w:hint="eastAsia" w:ascii="仿宋_GB2312" w:hAnsi="楷体" w:eastAsia="仿宋_GB2312"/>
          <w:b/>
          <w:color w:val="auto"/>
          <w:sz w:val="24"/>
        </w:rPr>
        <w:t>1.5 标的物交付期限、地点和方式</w:t>
      </w:r>
      <w:bookmarkEnd w:id="427"/>
      <w:bookmarkEnd w:id="428"/>
      <w:bookmarkEnd w:id="429"/>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30" w:name="_Toc19554"/>
      <w:bookmarkStart w:id="431" w:name="_Toc21423"/>
      <w:bookmarkStart w:id="432" w:name="_Toc27250"/>
      <w:r>
        <w:rPr>
          <w:rFonts w:hint="eastAsia" w:ascii="仿宋_GB2312" w:hAnsi="楷体" w:eastAsia="仿宋_GB2312"/>
          <w:b/>
          <w:sz w:val="24"/>
        </w:rPr>
        <w:t>1.6 违约责任</w:t>
      </w:r>
      <w:bookmarkEnd w:id="430"/>
      <w:bookmarkEnd w:id="431"/>
      <w:bookmarkEnd w:id="432"/>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33" w:name="_Toc28375"/>
      <w:bookmarkStart w:id="434" w:name="_Toc15583"/>
      <w:bookmarkStart w:id="435" w:name="_Toc16021"/>
      <w:r>
        <w:rPr>
          <w:rFonts w:hint="eastAsia" w:ascii="仿宋_GB2312" w:hAnsi="楷体" w:eastAsia="仿宋_GB2312"/>
          <w:b/>
          <w:sz w:val="24"/>
        </w:rPr>
        <w:t>1.7 合同争议的解决</w:t>
      </w:r>
      <w:bookmarkEnd w:id="433"/>
      <w:bookmarkEnd w:id="434"/>
      <w:bookmarkEnd w:id="43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36" w:name="_Toc15322"/>
      <w:bookmarkStart w:id="437" w:name="_Toc11173"/>
      <w:bookmarkStart w:id="438" w:name="_Toc7245"/>
      <w:r>
        <w:rPr>
          <w:rFonts w:hint="eastAsia" w:ascii="仿宋_GB2312" w:hAnsi="楷体" w:eastAsia="仿宋_GB2312"/>
          <w:b/>
          <w:sz w:val="24"/>
        </w:rPr>
        <w:t>1.8 合同生效</w:t>
      </w:r>
      <w:bookmarkEnd w:id="436"/>
      <w:bookmarkEnd w:id="437"/>
      <w:bookmarkEnd w:id="438"/>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jc w:val="left"/>
        <w:rPr>
          <w:rFonts w:ascii="仿宋_GB2312" w:hAnsi="楷体" w:eastAsia="仿宋_GB2312"/>
          <w:b/>
          <w:sz w:val="24"/>
        </w:rPr>
      </w:pPr>
      <w:bookmarkStart w:id="439" w:name="_Toc331685783"/>
      <w:r>
        <w:rPr>
          <w:rFonts w:hint="eastAsia" w:ascii="仿宋_GB2312" w:hAnsi="楷体" w:eastAsia="仿宋_GB2312"/>
          <w:b/>
        </w:rPr>
        <w:br w:type="page"/>
      </w:r>
    </w:p>
    <w:p>
      <w:pPr>
        <w:pStyle w:val="330"/>
        <w:ind w:firstLine="562"/>
        <w:jc w:val="center"/>
        <w:rPr>
          <w:rFonts w:ascii="仿宋_GB2312" w:hAnsi="楷体" w:eastAsia="仿宋_GB2312"/>
          <w:b/>
          <w:sz w:val="28"/>
          <w:szCs w:val="28"/>
        </w:rPr>
      </w:pPr>
      <w:r>
        <w:rPr>
          <w:rFonts w:hint="eastAsia" w:ascii="仿宋_GB2312" w:hAnsi="楷体" w:eastAsia="仿宋_GB2312"/>
          <w:b/>
          <w:sz w:val="28"/>
          <w:szCs w:val="28"/>
        </w:rPr>
        <w:t>第二部分 合同一般条款</w:t>
      </w:r>
      <w:bookmarkEnd w:id="439"/>
    </w:p>
    <w:p>
      <w:pPr>
        <w:spacing w:line="360" w:lineRule="auto"/>
        <w:ind w:firstLine="482" w:firstLineChars="200"/>
        <w:outlineLvl w:val="0"/>
        <w:rPr>
          <w:rFonts w:ascii="仿宋_GB2312" w:hAnsi="楷体" w:eastAsia="仿宋_GB2312"/>
          <w:b/>
          <w:sz w:val="24"/>
        </w:rPr>
      </w:pPr>
      <w:bookmarkStart w:id="440" w:name="_Toc487900349"/>
      <w:bookmarkStart w:id="441" w:name="_Ref467379225"/>
      <w:bookmarkStart w:id="442" w:name="_Ref467378463"/>
      <w:bookmarkStart w:id="443" w:name="_Toc279701240"/>
      <w:bookmarkStart w:id="444" w:name="_Ref467379094"/>
      <w:bookmarkStart w:id="445" w:name="_Ref467379214"/>
      <w:bookmarkStart w:id="446" w:name="_Ref467379109"/>
      <w:bookmarkStart w:id="447" w:name="_Toc16917"/>
      <w:bookmarkStart w:id="448" w:name="_Ref467379101"/>
      <w:bookmarkStart w:id="449" w:name="_Ref467378499"/>
      <w:bookmarkStart w:id="450" w:name="_Ref467379195"/>
      <w:bookmarkStart w:id="451" w:name="_Toc259093669"/>
      <w:bookmarkStart w:id="452" w:name="_Toc28763"/>
      <w:bookmarkStart w:id="453" w:name="_Ref467379205"/>
      <w:bookmarkStart w:id="454" w:name="_Ref467378404"/>
      <w:bookmarkStart w:id="455" w:name="_Toc19614"/>
      <w:r>
        <w:rPr>
          <w:rFonts w:hint="eastAsia" w:ascii="仿宋_GB2312" w:hAnsi="楷体" w:eastAsia="仿宋_GB2312"/>
          <w:b/>
          <w:sz w:val="24"/>
        </w:rPr>
        <w:t>2.1 定义</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56" w:name="_Ref467378840"/>
      <w:r>
        <w:rPr>
          <w:rFonts w:hint="eastAsia" w:ascii="仿宋_GB2312" w:hAnsi="楷体" w:eastAsia="仿宋_GB2312"/>
          <w:sz w:val="24"/>
        </w:rPr>
        <w:t>2.1.4 “甲方”系指与中标供应商签署合同的采购人</w:t>
      </w:r>
      <w:bookmarkEnd w:id="456"/>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57" w:name="_Ref467379400"/>
      <w:r>
        <w:rPr>
          <w:rFonts w:hint="eastAsia" w:ascii="仿宋_GB2312" w:hAnsi="楷体" w:eastAsia="仿宋_GB2312"/>
          <w:sz w:val="24"/>
        </w:rPr>
        <w:t>2.1.5 “乙方”系指根据合同约定交付标的物的中标供应商</w:t>
      </w:r>
      <w:bookmarkEnd w:id="457"/>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58" w:name="_Ref467379436"/>
      <w:r>
        <w:rPr>
          <w:rFonts w:hint="eastAsia" w:ascii="仿宋_GB2312" w:hAnsi="楷体" w:eastAsia="仿宋_GB2312"/>
          <w:sz w:val="24"/>
        </w:rPr>
        <w:t>2.1.6 “现场”系指合同约定标的物将要运至或者实施或者安装的地点。</w:t>
      </w:r>
      <w:bookmarkEnd w:id="458"/>
    </w:p>
    <w:p>
      <w:pPr>
        <w:spacing w:line="360" w:lineRule="auto"/>
        <w:ind w:firstLine="482" w:firstLineChars="200"/>
        <w:outlineLvl w:val="0"/>
        <w:rPr>
          <w:rFonts w:ascii="仿宋_GB2312" w:hAnsi="楷体" w:eastAsia="仿宋_GB2312"/>
          <w:b/>
          <w:sz w:val="24"/>
        </w:rPr>
      </w:pPr>
      <w:bookmarkStart w:id="459" w:name="_Toc487900350"/>
      <w:bookmarkStart w:id="460" w:name="_Toc13336"/>
      <w:bookmarkStart w:id="461" w:name="_Toc27635"/>
      <w:bookmarkStart w:id="462" w:name="_Toc32504"/>
      <w:bookmarkStart w:id="463" w:name="_Toc259093670"/>
      <w:bookmarkStart w:id="464" w:name="_Toc279701241"/>
      <w:r>
        <w:rPr>
          <w:rFonts w:hint="eastAsia" w:ascii="仿宋_GB2312" w:hAnsi="楷体" w:eastAsia="仿宋_GB2312"/>
          <w:b/>
          <w:sz w:val="24"/>
        </w:rPr>
        <w:t>2.2 技术规范</w:t>
      </w:r>
      <w:bookmarkEnd w:id="459"/>
      <w:bookmarkEnd w:id="460"/>
      <w:bookmarkEnd w:id="461"/>
      <w:bookmarkEnd w:id="462"/>
      <w:bookmarkEnd w:id="463"/>
      <w:bookmarkEnd w:id="464"/>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65" w:name="_Toc27853"/>
      <w:bookmarkStart w:id="466" w:name="_Toc487900351"/>
      <w:bookmarkStart w:id="467" w:name="_Toc279701242"/>
      <w:bookmarkStart w:id="468" w:name="_Toc9829"/>
      <w:bookmarkStart w:id="469" w:name="_Toc259093671"/>
      <w:bookmarkStart w:id="470" w:name="_Toc31634"/>
      <w:r>
        <w:rPr>
          <w:rFonts w:hint="eastAsia" w:ascii="仿宋_GB2312" w:hAnsi="楷体" w:eastAsia="仿宋_GB2312"/>
          <w:b/>
          <w:sz w:val="24"/>
        </w:rPr>
        <w:t>2.3 知识产权</w:t>
      </w:r>
      <w:bookmarkEnd w:id="465"/>
      <w:bookmarkEnd w:id="466"/>
      <w:bookmarkEnd w:id="467"/>
      <w:bookmarkEnd w:id="468"/>
      <w:bookmarkEnd w:id="469"/>
      <w:bookmarkEnd w:id="470"/>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71" w:name="_Toc4194"/>
      <w:bookmarkStart w:id="472" w:name="_Toc11932"/>
      <w:bookmarkStart w:id="473" w:name="_Toc29149"/>
      <w:r>
        <w:rPr>
          <w:rFonts w:hint="eastAsia" w:ascii="仿宋_GB2312" w:hAnsi="楷体" w:eastAsia="仿宋_GB2312"/>
          <w:b/>
          <w:sz w:val="24"/>
        </w:rPr>
        <w:t>2.4 包装和装运</w:t>
      </w:r>
      <w:bookmarkEnd w:id="471"/>
      <w:bookmarkEnd w:id="472"/>
      <w:bookmarkEnd w:id="473"/>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74" w:name="_Ref467378541"/>
      <w:bookmarkStart w:id="475" w:name="_Ref467379542"/>
      <w:bookmarkStart w:id="476" w:name="_Toc487900354"/>
      <w:bookmarkStart w:id="477" w:name="_Toc279701245"/>
      <w:bookmarkStart w:id="478" w:name="_Ref467378591"/>
      <w:bookmarkStart w:id="479" w:name="_Toc259093674"/>
      <w:bookmarkStart w:id="480" w:name="_Ref467379527"/>
      <w:bookmarkStart w:id="481" w:name="_Ref467379536"/>
      <w:bookmarkStart w:id="482" w:name="_Toc19074"/>
      <w:bookmarkStart w:id="483" w:name="_Toc30272"/>
      <w:bookmarkStart w:id="484" w:name="_Toc26182"/>
      <w:r>
        <w:rPr>
          <w:rFonts w:hint="eastAsia" w:ascii="仿宋_GB2312" w:hAnsi="楷体" w:eastAsia="仿宋_GB2312"/>
          <w:b/>
          <w:sz w:val="24"/>
        </w:rPr>
        <w:t>2.</w:t>
      </w:r>
      <w:bookmarkEnd w:id="474"/>
      <w:bookmarkEnd w:id="475"/>
      <w:bookmarkEnd w:id="476"/>
      <w:bookmarkEnd w:id="477"/>
      <w:bookmarkEnd w:id="478"/>
      <w:bookmarkEnd w:id="479"/>
      <w:bookmarkEnd w:id="480"/>
      <w:bookmarkEnd w:id="481"/>
      <w:r>
        <w:rPr>
          <w:rFonts w:hint="eastAsia" w:ascii="仿宋_GB2312" w:hAnsi="楷体" w:eastAsia="仿宋_GB2312"/>
          <w:b/>
          <w:sz w:val="24"/>
        </w:rPr>
        <w:t>5 履约检查和问题反馈</w:t>
      </w:r>
      <w:bookmarkEnd w:id="482"/>
      <w:bookmarkEnd w:id="483"/>
      <w:bookmarkEnd w:id="484"/>
    </w:p>
    <w:p>
      <w:pPr>
        <w:spacing w:line="360" w:lineRule="auto"/>
        <w:ind w:firstLine="480" w:firstLineChars="200"/>
        <w:rPr>
          <w:rFonts w:ascii="仿宋_GB2312" w:hAnsi="楷体" w:eastAsia="仿宋_GB2312"/>
          <w:sz w:val="24"/>
        </w:rPr>
      </w:pPr>
      <w:bookmarkStart w:id="485" w:name="_Ref467379657"/>
      <w:r>
        <w:rPr>
          <w:rFonts w:hint="eastAsia" w:ascii="仿宋_GB2312" w:hAnsi="楷体" w:eastAsia="仿宋_GB2312"/>
          <w:sz w:val="24"/>
        </w:rPr>
        <w:t>2.5.1</w:t>
      </w:r>
      <w:bookmarkEnd w:id="485"/>
      <w:bookmarkStart w:id="486" w:name="_Toc186431854"/>
      <w:bookmarkStart w:id="487" w:name="_Toc279701247"/>
      <w:bookmarkStart w:id="488" w:name="_Ref467379793"/>
      <w:bookmarkStart w:id="489" w:name="_Toc487900357"/>
      <w:bookmarkStart w:id="490" w:name="_Ref467379807"/>
      <w:bookmarkStart w:id="491" w:name="_Toc259093676"/>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86"/>
      <w:bookmarkStart w:id="492" w:name="_Toc186431855"/>
      <w:r>
        <w:rPr>
          <w:rFonts w:hint="eastAsia" w:ascii="仿宋_GB2312" w:hAnsi="楷体" w:eastAsia="仿宋_GB2312"/>
          <w:sz w:val="24"/>
        </w:rPr>
        <w:t>。</w:t>
      </w:r>
    </w:p>
    <w:bookmarkEnd w:id="492"/>
    <w:p>
      <w:pPr>
        <w:spacing w:line="360" w:lineRule="auto"/>
        <w:ind w:firstLine="482" w:firstLineChars="200"/>
        <w:outlineLvl w:val="0"/>
        <w:rPr>
          <w:rFonts w:ascii="仿宋_GB2312" w:hAnsi="楷体" w:eastAsia="仿宋_GB2312"/>
          <w:b/>
          <w:sz w:val="24"/>
        </w:rPr>
      </w:pPr>
      <w:bookmarkStart w:id="493" w:name="_Toc28451"/>
      <w:bookmarkStart w:id="494" w:name="_Toc7836"/>
      <w:bookmarkStart w:id="495" w:name="_Toc19219"/>
      <w:r>
        <w:rPr>
          <w:rFonts w:hint="eastAsia" w:ascii="仿宋_GB2312" w:hAnsi="楷体" w:eastAsia="仿宋_GB2312"/>
          <w:b/>
          <w:sz w:val="24"/>
        </w:rPr>
        <w:t>2.6 结算方式和付款条件</w:t>
      </w:r>
      <w:bookmarkEnd w:id="487"/>
      <w:bookmarkEnd w:id="488"/>
      <w:bookmarkEnd w:id="489"/>
      <w:bookmarkEnd w:id="490"/>
      <w:bookmarkEnd w:id="491"/>
      <w:bookmarkEnd w:id="493"/>
      <w:bookmarkEnd w:id="494"/>
      <w:bookmarkEnd w:id="495"/>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96" w:name="_Ref467379923"/>
      <w:bookmarkStart w:id="497" w:name="_Toc259093677"/>
      <w:bookmarkStart w:id="498" w:name="_Toc487900358"/>
      <w:bookmarkStart w:id="499" w:name="_Ref467379852"/>
      <w:bookmarkStart w:id="500" w:name="_Ref467379863"/>
      <w:bookmarkStart w:id="501" w:name="_Toc279701248"/>
      <w:bookmarkStart w:id="502" w:name="_Toc774"/>
      <w:bookmarkStart w:id="503" w:name="_Toc16110"/>
      <w:bookmarkStart w:id="504" w:name="_Toc3225"/>
      <w:r>
        <w:rPr>
          <w:rFonts w:hint="eastAsia" w:ascii="仿宋_GB2312" w:hAnsi="楷体" w:eastAsia="仿宋_GB2312"/>
          <w:b/>
          <w:sz w:val="24"/>
        </w:rPr>
        <w:t>2.7 技术资料</w:t>
      </w:r>
      <w:bookmarkEnd w:id="496"/>
      <w:bookmarkEnd w:id="497"/>
      <w:bookmarkEnd w:id="498"/>
      <w:bookmarkEnd w:id="499"/>
      <w:bookmarkEnd w:id="500"/>
      <w:bookmarkEnd w:id="501"/>
      <w:r>
        <w:rPr>
          <w:rFonts w:hint="eastAsia" w:ascii="仿宋_GB2312" w:hAnsi="楷体" w:eastAsia="仿宋_GB2312"/>
          <w:b/>
          <w:sz w:val="24"/>
        </w:rPr>
        <w:t>和保密义务</w:t>
      </w:r>
      <w:bookmarkEnd w:id="502"/>
      <w:bookmarkEnd w:id="503"/>
      <w:bookmarkEnd w:id="504"/>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505" w:name="_Toc7860"/>
      <w:r>
        <w:rPr>
          <w:rFonts w:hint="eastAsia" w:ascii="仿宋_GB2312" w:hAnsi="楷体" w:eastAsia="仿宋_GB2312"/>
          <w:b/>
          <w:sz w:val="24"/>
        </w:rPr>
        <w:t>2.8 质量保证</w:t>
      </w:r>
      <w:bookmarkEnd w:id="505"/>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506" w:name="_Toc17244"/>
      <w:bookmarkStart w:id="507" w:name="_Toc487900362"/>
      <w:bookmarkStart w:id="508" w:name="_Toc259093681"/>
      <w:bookmarkStart w:id="509" w:name="_Toc279701252"/>
      <w:r>
        <w:rPr>
          <w:rFonts w:hint="eastAsia" w:ascii="仿宋_GB2312" w:hAnsi="楷体" w:eastAsia="仿宋_GB2312"/>
          <w:b/>
          <w:sz w:val="24"/>
        </w:rPr>
        <w:t>2.9 标的物的风险负担</w:t>
      </w:r>
      <w:bookmarkEnd w:id="506"/>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510" w:name="_Toc14055"/>
      <w:r>
        <w:rPr>
          <w:rFonts w:hint="eastAsia" w:ascii="仿宋_GB2312" w:hAnsi="楷体" w:eastAsia="仿宋_GB2312"/>
          <w:b/>
          <w:sz w:val="24"/>
        </w:rPr>
        <w:t>2.10 延迟交货</w:t>
      </w:r>
      <w:bookmarkEnd w:id="507"/>
      <w:bookmarkEnd w:id="508"/>
      <w:bookmarkEnd w:id="509"/>
      <w:bookmarkEnd w:id="510"/>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511" w:name="_Toc7502"/>
      <w:bookmarkStart w:id="512" w:name="_Toc279701254"/>
      <w:bookmarkStart w:id="513" w:name="_Ref467378121"/>
      <w:bookmarkStart w:id="514" w:name="_Toc259093683"/>
      <w:bookmarkStart w:id="515" w:name="_Toc487900364"/>
      <w:r>
        <w:rPr>
          <w:rFonts w:hint="eastAsia" w:ascii="仿宋_GB2312" w:hAnsi="楷体" w:eastAsia="仿宋_GB2312"/>
          <w:b/>
          <w:sz w:val="24"/>
        </w:rPr>
        <w:t>2.11 合同变更</w:t>
      </w:r>
      <w:bookmarkEnd w:id="511"/>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516" w:name="_Toc487900369"/>
      <w:bookmarkStart w:id="517" w:name="_Toc279701259"/>
      <w:bookmarkStart w:id="518" w:name="_Toc259093688"/>
    </w:p>
    <w:p>
      <w:pPr>
        <w:spacing w:line="360" w:lineRule="auto"/>
        <w:ind w:firstLine="482" w:firstLineChars="200"/>
        <w:outlineLvl w:val="0"/>
        <w:rPr>
          <w:rFonts w:ascii="仿宋_GB2312" w:hAnsi="楷体" w:eastAsia="仿宋_GB2312"/>
          <w:b/>
          <w:sz w:val="24"/>
        </w:rPr>
      </w:pPr>
      <w:bookmarkStart w:id="519" w:name="_Toc15237"/>
      <w:bookmarkStart w:id="520" w:name="_Toc10366"/>
      <w:bookmarkStart w:id="521" w:name="_Toc22955"/>
      <w:r>
        <w:rPr>
          <w:rFonts w:hint="eastAsia" w:ascii="仿宋_GB2312" w:hAnsi="楷体" w:eastAsia="仿宋_GB2312"/>
          <w:b/>
          <w:sz w:val="24"/>
        </w:rPr>
        <w:t>2.12 合同转让</w:t>
      </w:r>
      <w:bookmarkEnd w:id="516"/>
      <w:bookmarkEnd w:id="517"/>
      <w:bookmarkEnd w:id="518"/>
      <w:r>
        <w:rPr>
          <w:rFonts w:hint="eastAsia" w:ascii="仿宋_GB2312" w:hAnsi="楷体" w:eastAsia="仿宋_GB2312"/>
          <w:b/>
          <w:sz w:val="24"/>
        </w:rPr>
        <w:t>和分包</w:t>
      </w:r>
      <w:bookmarkEnd w:id="519"/>
      <w:bookmarkEnd w:id="520"/>
      <w:bookmarkEnd w:id="521"/>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22" w:name="_Toc16508"/>
      <w:bookmarkStart w:id="523" w:name="_Toc14066"/>
      <w:bookmarkStart w:id="524" w:name="_Toc13566"/>
      <w:r>
        <w:rPr>
          <w:rFonts w:hint="eastAsia" w:ascii="仿宋_GB2312" w:hAnsi="楷体" w:eastAsia="仿宋_GB2312"/>
          <w:b/>
          <w:sz w:val="24"/>
        </w:rPr>
        <w:t>2.13 不可抗力</w:t>
      </w:r>
      <w:bookmarkEnd w:id="522"/>
      <w:bookmarkEnd w:id="523"/>
      <w:bookmarkEnd w:id="524"/>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25" w:name="_Toc279701255"/>
      <w:bookmarkStart w:id="526" w:name="_Toc6969"/>
      <w:bookmarkStart w:id="527" w:name="_Toc30676"/>
      <w:bookmarkStart w:id="528" w:name="_Toc259093684"/>
      <w:bookmarkStart w:id="529" w:name="_Toc689"/>
      <w:bookmarkStart w:id="530" w:name="_Toc487900365"/>
      <w:r>
        <w:rPr>
          <w:rFonts w:hint="eastAsia" w:ascii="仿宋_GB2312" w:hAnsi="楷体" w:eastAsia="仿宋_GB2312"/>
          <w:b/>
          <w:sz w:val="24"/>
        </w:rPr>
        <w:t>2.14 税费</w:t>
      </w:r>
      <w:bookmarkEnd w:id="525"/>
      <w:bookmarkEnd w:id="526"/>
      <w:bookmarkEnd w:id="527"/>
      <w:bookmarkEnd w:id="528"/>
      <w:bookmarkEnd w:id="529"/>
      <w:bookmarkEnd w:id="530"/>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31" w:name="_Toc279701258"/>
      <w:bookmarkStart w:id="532" w:name="_Toc16959"/>
      <w:bookmarkStart w:id="533" w:name="_Toc8298"/>
      <w:bookmarkStart w:id="534" w:name="_Toc487900368"/>
      <w:bookmarkStart w:id="535" w:name="_Toc259093687"/>
      <w:bookmarkStart w:id="536" w:name="_Toc7102"/>
      <w:r>
        <w:rPr>
          <w:rFonts w:hint="eastAsia" w:ascii="仿宋_GB2312" w:hAnsi="楷体" w:eastAsia="仿宋_GB2312"/>
          <w:b/>
          <w:sz w:val="24"/>
        </w:rPr>
        <w:t>2.15 乙方破产</w:t>
      </w:r>
      <w:bookmarkEnd w:id="531"/>
      <w:bookmarkEnd w:id="532"/>
      <w:bookmarkEnd w:id="533"/>
      <w:bookmarkEnd w:id="534"/>
      <w:bookmarkEnd w:id="535"/>
      <w:bookmarkEnd w:id="536"/>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37" w:name="_Toc29333"/>
      <w:bookmarkStart w:id="538" w:name="_Toc15387"/>
      <w:bookmarkStart w:id="539" w:name="_Toc6134"/>
      <w:r>
        <w:rPr>
          <w:rFonts w:hint="eastAsia" w:ascii="仿宋_GB2312" w:hAnsi="楷体" w:eastAsia="仿宋_GB2312"/>
          <w:b/>
          <w:sz w:val="24"/>
        </w:rPr>
        <w:t>2.16 合同中止、终止</w:t>
      </w:r>
      <w:bookmarkEnd w:id="537"/>
      <w:bookmarkEnd w:id="538"/>
      <w:bookmarkEnd w:id="539"/>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sz w:val="24"/>
        </w:rPr>
        <w:t>2.16.2合同继续履行将损害国家利益和社会公共利益的，双方当事人应当中止或者终止合</w:t>
      </w:r>
      <w:r>
        <w:rPr>
          <w:rFonts w:hint="eastAsia" w:ascii="仿宋_GB2312" w:hAnsi="楷体" w:eastAsia="仿宋_GB2312"/>
          <w:color w:val="auto"/>
          <w:sz w:val="24"/>
        </w:rPr>
        <w:t>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2.16.3因甲方原因导致变更、中止或终止合同的，甲方应对乙方受到的损失予以赔偿或者补偿。</w:t>
      </w:r>
    </w:p>
    <w:p>
      <w:pPr>
        <w:spacing w:line="360" w:lineRule="auto"/>
        <w:ind w:firstLine="482" w:firstLineChars="200"/>
        <w:outlineLvl w:val="0"/>
        <w:rPr>
          <w:rFonts w:ascii="仿宋_GB2312" w:hAnsi="楷体" w:eastAsia="仿宋_GB2312"/>
          <w:b/>
          <w:sz w:val="24"/>
        </w:rPr>
      </w:pPr>
      <w:bookmarkStart w:id="540" w:name="_Toc6596"/>
      <w:bookmarkStart w:id="541" w:name="_Toc14563"/>
      <w:bookmarkStart w:id="542" w:name="_Toc1125"/>
      <w:r>
        <w:rPr>
          <w:rFonts w:hint="eastAsia" w:ascii="仿宋_GB2312" w:hAnsi="楷体" w:eastAsia="仿宋_GB2312"/>
          <w:b/>
          <w:color w:val="auto"/>
          <w:sz w:val="24"/>
        </w:rPr>
        <w:t xml:space="preserve">2.17 </w:t>
      </w:r>
      <w:r>
        <w:rPr>
          <w:rFonts w:hint="eastAsia" w:ascii="仿宋_GB2312" w:hAnsi="楷体" w:eastAsia="仿宋_GB2312"/>
          <w:b/>
          <w:sz w:val="24"/>
        </w:rPr>
        <w:t>检验和验收</w:t>
      </w:r>
      <w:bookmarkEnd w:id="540"/>
      <w:bookmarkEnd w:id="541"/>
      <w:bookmarkEnd w:id="542"/>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512"/>
    <w:bookmarkEnd w:id="513"/>
    <w:bookmarkEnd w:id="514"/>
    <w:bookmarkEnd w:id="515"/>
    <w:p>
      <w:pPr>
        <w:spacing w:line="360" w:lineRule="auto"/>
        <w:ind w:firstLine="482" w:firstLineChars="200"/>
        <w:outlineLvl w:val="0"/>
        <w:rPr>
          <w:rFonts w:ascii="仿宋_GB2312" w:hAnsi="楷体" w:eastAsia="仿宋_GB2312"/>
          <w:b/>
          <w:sz w:val="24"/>
        </w:rPr>
      </w:pPr>
      <w:bookmarkStart w:id="543" w:name="_Toc259093690"/>
      <w:bookmarkStart w:id="544" w:name="_Toc279701261"/>
      <w:bookmarkStart w:id="545" w:name="_Toc487900371"/>
      <w:bookmarkStart w:id="546" w:name="_Toc11284"/>
      <w:bookmarkStart w:id="547" w:name="_Toc19604"/>
      <w:bookmarkStart w:id="548" w:name="_Toc25182"/>
      <w:r>
        <w:rPr>
          <w:rFonts w:hint="eastAsia" w:ascii="仿宋_GB2312" w:hAnsi="楷体" w:eastAsia="仿宋_GB2312"/>
          <w:b/>
          <w:sz w:val="24"/>
        </w:rPr>
        <w:t>2.18 通知</w:t>
      </w:r>
      <w:bookmarkEnd w:id="543"/>
      <w:bookmarkEnd w:id="544"/>
      <w:bookmarkEnd w:id="545"/>
      <w:r>
        <w:rPr>
          <w:rFonts w:hint="eastAsia" w:ascii="仿宋_GB2312" w:hAnsi="楷体" w:eastAsia="仿宋_GB2312"/>
          <w:b/>
          <w:sz w:val="24"/>
        </w:rPr>
        <w:t>和送达</w:t>
      </w:r>
      <w:bookmarkEnd w:id="546"/>
      <w:bookmarkEnd w:id="547"/>
      <w:bookmarkEnd w:id="548"/>
    </w:p>
    <w:p>
      <w:pPr>
        <w:spacing w:line="360" w:lineRule="auto"/>
        <w:ind w:firstLine="480" w:firstLineChars="200"/>
        <w:rPr>
          <w:rFonts w:ascii="仿宋_GB2312" w:hAnsi="楷体" w:eastAsia="仿宋_GB2312"/>
          <w:color w:val="auto"/>
          <w:sz w:val="24"/>
        </w:rPr>
      </w:pPr>
      <w:bookmarkStart w:id="549" w:name="_Toc3135"/>
      <w:bookmarkStart w:id="550" w:name="_Toc6698"/>
      <w:bookmarkStart w:id="551" w:name="_Toc487900372"/>
      <w:bookmarkStart w:id="552" w:name="_Toc279701262"/>
      <w:bookmarkStart w:id="553"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w:t>
      </w:r>
      <w:r>
        <w:rPr>
          <w:rFonts w:hint="eastAsia" w:ascii="仿宋_GB2312" w:hAnsi="楷体" w:eastAsia="仿宋_GB2312"/>
          <w:color w:val="auto"/>
          <w:sz w:val="24"/>
        </w:rPr>
        <w:t>通知、文件、材料，均视为已向对方当事人送达；任何一方变更上述送达方式或者地址的，应于</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个工作日内书面通知对方当事人，在对方当事人收到有关变更通知之前，变更前的约定送达方式或者地址仍视为有效。</w:t>
      </w:r>
      <w:bookmarkEnd w:id="549"/>
      <w:bookmarkEnd w:id="550"/>
    </w:p>
    <w:p>
      <w:pPr>
        <w:spacing w:line="360" w:lineRule="auto"/>
        <w:ind w:firstLine="480" w:firstLineChars="200"/>
        <w:rPr>
          <w:rFonts w:ascii="仿宋_GB2312" w:hAnsi="楷体" w:eastAsia="仿宋_GB2312"/>
          <w:color w:val="auto"/>
          <w:sz w:val="24"/>
        </w:rPr>
      </w:pPr>
      <w:bookmarkStart w:id="554" w:name="_Toc23128"/>
      <w:bookmarkStart w:id="555" w:name="_Toc23294"/>
      <w:r>
        <w:rPr>
          <w:rFonts w:hint="eastAsia" w:ascii="仿宋_GB2312" w:hAnsi="楷体" w:eastAsia="仿宋_GB2312"/>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4"/>
      <w:bookmarkEnd w:id="555"/>
    </w:p>
    <w:p>
      <w:pPr>
        <w:spacing w:line="360" w:lineRule="auto"/>
        <w:ind w:firstLine="482" w:firstLineChars="200"/>
        <w:outlineLvl w:val="0"/>
        <w:rPr>
          <w:rFonts w:ascii="仿宋_GB2312" w:hAnsi="楷体" w:eastAsia="仿宋_GB2312"/>
          <w:b/>
          <w:color w:val="auto"/>
          <w:sz w:val="24"/>
        </w:rPr>
      </w:pPr>
      <w:bookmarkStart w:id="556" w:name="_Toc30599"/>
      <w:bookmarkStart w:id="557" w:name="_Toc18540"/>
      <w:bookmarkStart w:id="558" w:name="_Toc4355"/>
      <w:r>
        <w:rPr>
          <w:rFonts w:hint="eastAsia" w:ascii="仿宋_GB2312" w:hAnsi="楷体" w:eastAsia="仿宋_GB2312"/>
          <w:b/>
          <w:color w:val="auto"/>
          <w:sz w:val="24"/>
        </w:rPr>
        <w:t>2.19 计量单位</w:t>
      </w:r>
      <w:bookmarkEnd w:id="551"/>
      <w:bookmarkEnd w:id="552"/>
      <w:bookmarkEnd w:id="553"/>
      <w:bookmarkEnd w:id="556"/>
      <w:bookmarkEnd w:id="557"/>
      <w:bookmarkEnd w:id="558"/>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color w:val="auto"/>
          <w:sz w:val="24"/>
        </w:rPr>
      </w:pPr>
      <w:bookmarkStart w:id="559" w:name="_Toc259093692"/>
      <w:bookmarkStart w:id="560" w:name="_Toc12773"/>
      <w:bookmarkStart w:id="561" w:name="_Toc10330"/>
      <w:bookmarkStart w:id="562" w:name="_Toc487900373"/>
      <w:bookmarkStart w:id="563" w:name="_Toc18567"/>
      <w:bookmarkStart w:id="564" w:name="_Toc279701263"/>
      <w:r>
        <w:rPr>
          <w:rFonts w:hint="eastAsia" w:ascii="仿宋_GB2312" w:hAnsi="楷体" w:eastAsia="仿宋_GB2312"/>
          <w:b/>
          <w:color w:val="auto"/>
          <w:sz w:val="24"/>
        </w:rPr>
        <w:t>2.20 合同使用的文字和适用的法律</w:t>
      </w:r>
      <w:bookmarkEnd w:id="559"/>
      <w:bookmarkEnd w:id="560"/>
      <w:bookmarkEnd w:id="561"/>
      <w:bookmarkEnd w:id="562"/>
      <w:bookmarkEnd w:id="563"/>
      <w:bookmarkEnd w:id="56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2.20.1 合同使用汉语书就、变更和解释；</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2.20.2 合同适用中华人民共和国法律。</w:t>
      </w:r>
    </w:p>
    <w:p>
      <w:pPr>
        <w:spacing w:line="360" w:lineRule="auto"/>
        <w:ind w:firstLine="482" w:firstLineChars="200"/>
        <w:outlineLvl w:val="0"/>
        <w:rPr>
          <w:rFonts w:ascii="仿宋_GB2312" w:hAnsi="楷体" w:eastAsia="仿宋_GB2312"/>
          <w:b/>
          <w:color w:val="auto"/>
          <w:sz w:val="24"/>
        </w:rPr>
      </w:pPr>
      <w:bookmarkStart w:id="565" w:name="_Toc259093693"/>
      <w:bookmarkStart w:id="566" w:name="_Toc279701264"/>
      <w:bookmarkStart w:id="567" w:name="_Toc3148"/>
      <w:bookmarkStart w:id="568" w:name="_Toc12004"/>
      <w:bookmarkStart w:id="569" w:name="_Toc16673"/>
      <w:bookmarkStart w:id="570" w:name="_Toc487900374"/>
      <w:r>
        <w:rPr>
          <w:rFonts w:hint="eastAsia" w:ascii="仿宋_GB2312" w:hAnsi="楷体" w:eastAsia="仿宋_GB2312"/>
          <w:b/>
          <w:color w:val="auto"/>
          <w:sz w:val="24"/>
        </w:rPr>
        <w:t>2.21 履约保证金</w:t>
      </w:r>
      <w:bookmarkEnd w:id="565"/>
      <w:bookmarkEnd w:id="566"/>
      <w:bookmarkEnd w:id="567"/>
      <w:bookmarkEnd w:id="568"/>
      <w:bookmarkEnd w:id="56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2.21.1 采购文件要求乙方提交履约保证金的，乙方</w:t>
      </w:r>
      <w:r>
        <w:rPr>
          <w:rFonts w:hint="eastAsia" w:ascii="仿宋_GB2312" w:hAnsi="仿宋" w:eastAsia="仿宋_GB2312"/>
          <w:color w:val="auto"/>
          <w:kern w:val="0"/>
          <w:sz w:val="24"/>
          <w:lang w:val="zh-CN"/>
        </w:rPr>
        <w:t>应在合同签订后3个工作日内</w:t>
      </w:r>
      <w:r>
        <w:rPr>
          <w:rFonts w:hint="eastAsia" w:ascii="仿宋_GB2312" w:hAnsi="楷体" w:eastAsia="仿宋_GB2312"/>
          <w:color w:val="auto"/>
          <w:sz w:val="24"/>
        </w:rPr>
        <w:t>，以支票、汇票、本票或者金融机构、担保机构出具的保函等非现金形式，提交合同价</w:t>
      </w:r>
      <w:r>
        <w:rPr>
          <w:rFonts w:hint="eastAsia" w:ascii="仿宋_GB2312" w:hAnsi="楷体" w:eastAsia="仿宋_GB2312"/>
          <w:color w:val="auto"/>
          <w:sz w:val="24"/>
          <w:u w:val="single"/>
        </w:rPr>
        <w:t xml:space="preserve"> </w:t>
      </w:r>
      <w:r>
        <w:rPr>
          <w:rFonts w:hint="eastAsia" w:ascii="仿宋_GB2312" w:hAnsi="楷体" w:eastAsia="仿宋_GB2312"/>
          <w:color w:val="auto"/>
          <w:sz w:val="24"/>
          <w:u w:val="single"/>
          <w:lang w:val="en-US" w:eastAsia="zh-CN"/>
        </w:rPr>
        <w:t xml:space="preserve"> </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%（不超过10%）的履约保证金；</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2.21.2  履约保证金在</w:t>
      </w:r>
      <w:r>
        <w:rPr>
          <w:rFonts w:hint="eastAsia" w:ascii="仿宋_GB2312" w:hAnsi="楷体" w:eastAsia="仿宋_GB2312"/>
          <w:color w:val="auto"/>
          <w:sz w:val="24"/>
          <w:u w:val="single"/>
        </w:rPr>
        <w:t>合同有效期</w:t>
      </w:r>
      <w:r>
        <w:rPr>
          <w:rFonts w:hint="eastAsia" w:ascii="仿宋_GB2312" w:hAnsi="楷体" w:eastAsia="仿宋_GB2312"/>
          <w:color w:val="auto"/>
          <w:sz w:val="24"/>
        </w:rPr>
        <w:t>内或者标的物质量保证期内不予退还或者应完全有效，前述约定期间届满或者标的物质量保证期届满之日起</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个工作日内，甲方应将履约保证金退还乙方；</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70"/>
    <w:p>
      <w:pPr>
        <w:spacing w:line="360" w:lineRule="auto"/>
        <w:ind w:firstLine="482" w:firstLineChars="200"/>
        <w:outlineLvl w:val="0"/>
        <w:rPr>
          <w:rFonts w:ascii="仿宋_GB2312" w:hAnsi="楷体" w:eastAsia="仿宋_GB2312"/>
          <w:b/>
          <w:sz w:val="24"/>
        </w:rPr>
      </w:pPr>
      <w:bookmarkStart w:id="571" w:name="_Toc19890"/>
      <w:bookmarkStart w:id="572" w:name="_Toc6885"/>
      <w:bookmarkStart w:id="573" w:name="_Toc14001"/>
      <w:r>
        <w:rPr>
          <w:rFonts w:hint="eastAsia" w:ascii="仿宋_GB2312" w:hAnsi="楷体" w:eastAsia="仿宋_GB2312"/>
          <w:b/>
          <w:sz w:val="24"/>
        </w:rPr>
        <w:t>2.22 合同份数</w:t>
      </w:r>
      <w:bookmarkEnd w:id="571"/>
      <w:bookmarkEnd w:id="572"/>
      <w:bookmarkEnd w:id="573"/>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30"/>
        <w:jc w:val="center"/>
        <w:rPr>
          <w:rFonts w:ascii="仿宋_GB2312" w:hAnsi="楷体" w:eastAsia="仿宋_GB2312"/>
          <w:b/>
          <w:szCs w:val="24"/>
        </w:rPr>
      </w:pPr>
      <w:r>
        <w:rPr>
          <w:rFonts w:hint="eastAsia" w:ascii="仿宋_GB2312" w:hAnsi="楷体" w:eastAsia="仿宋_GB2312"/>
          <w:szCs w:val="24"/>
        </w:rPr>
        <w:br w:type="page"/>
      </w:r>
      <w:bookmarkStart w:id="574" w:name="_Toc331685784"/>
      <w:r>
        <w:rPr>
          <w:rFonts w:hint="eastAsia" w:ascii="仿宋_GB2312" w:hAnsi="楷体" w:eastAsia="仿宋_GB2312"/>
          <w:b/>
          <w:szCs w:val="24"/>
        </w:rPr>
        <w:t xml:space="preserve">第三部分  </w:t>
      </w:r>
      <w:r>
        <w:rPr>
          <w:rFonts w:hint="eastAsia" w:ascii="仿宋_GB2312" w:hAnsi="仿宋" w:eastAsia="仿宋_GB2312"/>
          <w:b/>
          <w:color w:val="000000"/>
        </w:rPr>
        <w:t>※</w:t>
      </w:r>
      <w:r>
        <w:rPr>
          <w:rFonts w:hint="eastAsia" w:ascii="仿宋_GB2312" w:hAnsi="楷体" w:eastAsia="仿宋_GB2312"/>
          <w:b/>
          <w:szCs w:val="24"/>
        </w:rPr>
        <w:t>合同专用条款</w:t>
      </w:r>
      <w:bookmarkEnd w:id="57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5"/>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4"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25"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bl>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widowControl/>
        <w:ind w:firstLine="1446" w:firstLineChars="400"/>
        <w:jc w:val="center"/>
        <w:rPr>
          <w:rFonts w:ascii="仿宋_GB2312" w:hAnsi="仿宋" w:eastAsia="仿宋_GB2312" w:cs="仿宋_GB2312"/>
          <w:b/>
          <w:sz w:val="36"/>
          <w:szCs w:val="20"/>
        </w:rPr>
      </w:pPr>
      <w:r>
        <w:rPr>
          <w:rFonts w:hint="eastAsia" w:ascii="仿宋_GB2312" w:hAnsi="仿宋" w:eastAsia="仿宋_GB2312" w:cs="仿宋_GB2312"/>
          <w:b/>
          <w:sz w:val="36"/>
          <w:szCs w:val="20"/>
        </w:rPr>
        <w:t>第六部分</w:t>
      </w:r>
      <w:bookmarkEnd w:id="413"/>
      <w:r>
        <w:rPr>
          <w:rFonts w:hint="eastAsia" w:ascii="仿宋_GB2312" w:hAnsi="仿宋" w:eastAsia="仿宋_GB2312" w:cs="仿宋_GB2312"/>
          <w:b/>
          <w:sz w:val="36"/>
          <w:szCs w:val="20"/>
        </w:rPr>
        <w:t xml:space="preserve"> </w:t>
      </w:r>
      <w:bookmarkEnd w:id="414"/>
      <w:r>
        <w:rPr>
          <w:rFonts w:hint="eastAsia" w:ascii="仿宋_GB2312" w:hAnsi="仿宋" w:eastAsia="仿宋_GB2312" w:cs="仿宋_GB2312"/>
          <w:b/>
          <w:sz w:val="36"/>
          <w:szCs w:val="20"/>
        </w:rPr>
        <w:t>应提交的有关格式范例</w:t>
      </w:r>
    </w:p>
    <w:p>
      <w:pPr>
        <w:adjustRightInd w:val="0"/>
        <w:spacing w:line="360" w:lineRule="auto"/>
        <w:ind w:firstLine="480" w:firstLineChars="200"/>
        <w:outlineLvl w:val="0"/>
        <w:rPr>
          <w:rFonts w:ascii="仿宋_GB2312" w:hAnsi="仿宋" w:eastAsia="仿宋_GB2312" w:cs="仿宋_GB2312"/>
          <w:sz w:val="24"/>
          <w:szCs w:val="24"/>
        </w:rPr>
      </w:pPr>
      <w:r>
        <w:rPr>
          <w:rFonts w:hint="eastAsia" w:ascii="仿宋_GB2312" w:hAnsi="仿宋" w:eastAsia="仿宋_GB2312" w:cs="仿宋_GB2312"/>
          <w:sz w:val="24"/>
          <w:szCs w:val="24"/>
        </w:rPr>
        <w:t>投标人按照以下格式编制投标文件。</w:t>
      </w:r>
    </w:p>
    <w:p>
      <w:pPr>
        <w:adjustRightInd w:val="0"/>
        <w:spacing w:line="360" w:lineRule="auto"/>
        <w:jc w:val="center"/>
        <w:outlineLvl w:val="0"/>
        <w:rPr>
          <w:rFonts w:ascii="仿宋_GB2312" w:hAnsi="仿宋" w:eastAsia="仿宋_GB2312" w:cs="仿宋_GB2312"/>
          <w:sz w:val="36"/>
          <w:szCs w:val="36"/>
          <w:lang w:val="zh-CN"/>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 xml:space="preserve"> </w:t>
      </w:r>
      <w:r>
        <w:rPr>
          <w:rFonts w:hint="eastAsia" w:ascii="仿宋_GB2312" w:hAnsi="仿宋" w:eastAsia="仿宋_GB2312" w:cs="仿宋_GB2312"/>
          <w:b/>
          <w:kern w:val="0"/>
          <w:sz w:val="36"/>
          <w:szCs w:val="36"/>
        </w:rPr>
        <w:t>资格文件部分</w:t>
      </w: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cs="Times New Roman"/>
          <w:sz w:val="24"/>
          <w:szCs w:val="24"/>
        </w:rPr>
        <w:t>营业执照(或事业法人登记证或其他工商等登记证明材料)复印件（投标人为自然人的，须提供</w:t>
      </w:r>
      <w:r>
        <w:rPr>
          <w:rFonts w:hint="eastAsia" w:ascii="仿宋_GB2312" w:hAnsi="仿宋" w:eastAsia="仿宋_GB2312" w:cs="Helvetica"/>
          <w:kern w:val="0"/>
          <w:sz w:val="24"/>
          <w:szCs w:val="24"/>
        </w:rPr>
        <w:t>自然人的身份证明</w:t>
      </w:r>
      <w:r>
        <w:rPr>
          <w:rFonts w:hint="eastAsia" w:ascii="仿宋_GB2312" w:hAnsi="仿宋" w:eastAsia="仿宋_GB2312" w:cs="Times New Roman"/>
          <w:sz w:val="24"/>
          <w:szCs w:val="24"/>
        </w:rPr>
        <w:t>）</w:t>
      </w:r>
      <w:r>
        <w:rPr>
          <w:rFonts w:hint="eastAsia" w:ascii="仿宋_GB2312" w:hAnsi="仿宋" w:eastAsia="仿宋_GB2312" w:cs="仿宋_GB2312"/>
          <w:kern w:val="0"/>
          <w:sz w:val="24"/>
          <w:szCs w:val="24"/>
        </w:rPr>
        <w:t>…………………………………………………（页码）</w:t>
      </w:r>
    </w:p>
    <w:p>
      <w:pPr>
        <w:snapToGrid w:val="0"/>
        <w:spacing w:line="360" w:lineRule="auto"/>
        <w:rPr>
          <w:rFonts w:ascii="仿宋_GB2312" w:hAnsi="仿宋" w:eastAsia="仿宋_GB2312"/>
          <w:sz w:val="24"/>
        </w:rPr>
      </w:pPr>
      <w:r>
        <w:rPr>
          <w:rFonts w:hint="eastAsia" w:ascii="仿宋_GB2312" w:hAnsi="仿宋" w:eastAsia="仿宋_GB2312" w:cs="仿宋_GB2312"/>
          <w:kern w:val="0"/>
          <w:sz w:val="24"/>
        </w:rPr>
        <w:t>（2）授权书 …</w:t>
      </w:r>
      <w:r>
        <w:rPr>
          <w:rFonts w:hint="eastAsia" w:ascii="仿宋_GB2312" w:hAnsi="仿宋" w:eastAsia="仿宋_GB2312"/>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（4）符合参与政府采购活动的资格条件并且没有税收缴纳、社会保障等方面的失信记录的承诺函</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（8）符合特定资格条件（如果项目要求）的有关证明材料（复印件）…………（页码）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9</w:t>
      </w:r>
      <w:r>
        <w:rPr>
          <w:rFonts w:hint="eastAsia" w:ascii="仿宋_GB2312" w:hAnsi="仿宋" w:eastAsia="仿宋_GB2312" w:cs="仿宋_GB2312"/>
          <w:kern w:val="0"/>
          <w:sz w:val="24"/>
        </w:rPr>
        <w:t>）以联合体形式投标的，提供联合体协议；本项目不接受联合体投标或者投标人不以联合体形式投标的，则不需要提供…………………………………………………（页码）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10</w:t>
      </w:r>
      <w:r>
        <w:rPr>
          <w:rFonts w:hint="eastAsia" w:ascii="仿宋_GB2312" w:hAnsi="仿宋" w:eastAsia="仿宋_GB2312" w:cs="仿宋_GB2312"/>
          <w:kern w:val="0"/>
          <w:sz w:val="24"/>
        </w:rPr>
        <w:t>）中小企业声明函…………………………………………………………………（页码）</w:t>
      </w:r>
    </w:p>
    <w:p>
      <w:pPr>
        <w:adjustRightInd w:val="0"/>
        <w:snapToGrid w:val="0"/>
        <w:spacing w:line="360" w:lineRule="auto"/>
        <w:rPr>
          <w:rFonts w:ascii="仿宋_GB2312" w:hAnsi="仿宋" w:eastAsia="仿宋_GB2312" w:cs="仿宋_GB2312"/>
          <w:color w:val="FF0000"/>
          <w:kern w:val="0"/>
          <w:sz w:val="24"/>
          <w:szCs w:val="24"/>
        </w:rPr>
      </w:pPr>
    </w:p>
    <w:p>
      <w:pPr>
        <w:adjustRightInd w:val="0"/>
        <w:spacing w:line="360" w:lineRule="auto"/>
        <w:rPr>
          <w:rFonts w:ascii="仿宋_GB2312" w:hAnsi="仿宋" w:eastAsia="仿宋_GB2312" w:cs="Times New Roman"/>
          <w:sz w:val="24"/>
          <w:szCs w:val="24"/>
        </w:rPr>
      </w:pPr>
    </w:p>
    <w:p>
      <w:pPr>
        <w:adjustRightInd w:val="0"/>
        <w:snapToGrid w:val="0"/>
        <w:spacing w:line="360" w:lineRule="auto"/>
        <w:rPr>
          <w:rFonts w:ascii="仿宋_GB2312" w:hAnsi="仿宋" w:eastAsia="仿宋_GB2312" w:cs="仿宋_GB2312"/>
          <w:b/>
          <w:kern w:val="0"/>
          <w:sz w:val="32"/>
          <w:szCs w:val="32"/>
          <w:lang w:val="zh-CN"/>
        </w:rPr>
      </w:pPr>
    </w:p>
    <w:p>
      <w:pPr>
        <w:pStyle w:val="2"/>
        <w:rPr>
          <w:rFonts w:ascii="仿宋_GB2312" w:hAnsi="仿宋" w:eastAsia="仿宋_GB2312" w:cs="仿宋_GB2312"/>
          <w:b/>
          <w:kern w:val="0"/>
          <w:sz w:val="32"/>
          <w:szCs w:val="32"/>
          <w:lang w:val="zh-CN"/>
        </w:rPr>
      </w:pPr>
    </w:p>
    <w:p>
      <w:pPr>
        <w:pStyle w:val="2"/>
        <w:rPr>
          <w:rFonts w:ascii="仿宋_GB2312" w:hAnsi="仿宋" w:eastAsia="仿宋_GB2312" w:cs="仿宋_GB2312"/>
          <w:b/>
          <w:kern w:val="0"/>
          <w:sz w:val="32"/>
          <w:szCs w:val="32"/>
          <w:lang w:val="zh-CN"/>
        </w:rPr>
      </w:pPr>
    </w:p>
    <w:p>
      <w:pPr>
        <w:pStyle w:val="2"/>
        <w:rPr>
          <w:rFonts w:ascii="仿宋_GB2312" w:hAnsi="仿宋" w:eastAsia="仿宋_GB2312" w:cs="仿宋_GB2312"/>
          <w:b/>
          <w:kern w:val="0"/>
          <w:sz w:val="32"/>
          <w:szCs w:val="32"/>
          <w:lang w:val="zh-CN"/>
        </w:rPr>
      </w:pPr>
    </w:p>
    <w:p>
      <w:pPr>
        <w:pStyle w:val="2"/>
        <w:rPr>
          <w:rFonts w:ascii="仿宋_GB2312" w:hAnsi="仿宋" w:eastAsia="仿宋_GB2312" w:cs="仿宋_GB2312"/>
          <w:b/>
          <w:kern w:val="0"/>
          <w:sz w:val="32"/>
          <w:szCs w:val="32"/>
          <w:lang w:val="zh-CN"/>
        </w:rPr>
      </w:pPr>
    </w:p>
    <w:p>
      <w:pPr>
        <w:adjustRightInd w:val="0"/>
        <w:snapToGrid w:val="0"/>
        <w:spacing w:line="360" w:lineRule="auto"/>
        <w:jc w:val="left"/>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w:t>
      </w:r>
    </w:p>
    <w:p>
      <w:pPr>
        <w:adjustRightInd w:val="0"/>
        <w:spacing w:line="360" w:lineRule="auto"/>
        <w:jc w:val="center"/>
        <w:rPr>
          <w:rFonts w:ascii="仿宋_GB2312" w:hAnsi="仿宋" w:eastAsia="仿宋_GB2312" w:cs="仿宋_GB2312"/>
          <w:b/>
          <w:sz w:val="30"/>
          <w:szCs w:val="30"/>
        </w:rPr>
      </w:pPr>
    </w:p>
    <w:p>
      <w:pPr>
        <w:adjustRightInd w:val="0"/>
        <w:snapToGrid w:val="0"/>
        <w:spacing w:line="360" w:lineRule="auto"/>
        <w:ind w:firstLine="576"/>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投标人名称(电子签名)：                              </w:t>
      </w:r>
    </w:p>
    <w:p>
      <w:pPr>
        <w:adjustRightInd w:val="0"/>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szCs w:val="24"/>
          <w:lang w:val="zh-CN"/>
        </w:rPr>
        <w:t xml:space="preserve">                   日期：  年  月   日</w:t>
      </w:r>
    </w:p>
    <w:p>
      <w:pPr>
        <w:spacing w:line="360" w:lineRule="auto"/>
        <w:jc w:val="center"/>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法定代表人（签章）</w:t>
      </w:r>
      <w:r>
        <w:rPr>
          <w:rFonts w:hint="eastAsia" w:ascii="仿宋_GB2312" w:hAnsi="仿宋" w:eastAsia="仿宋_GB2312" w:cs="仿宋_GB2312"/>
          <w:kern w:val="0"/>
          <w:sz w:val="24"/>
          <w:lang w:val="zh-CN"/>
        </w:rPr>
        <w:t>：</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646"/>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pStyle w:val="646"/>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四、</w:t>
      </w:r>
      <w:r>
        <w:rPr>
          <w:rFonts w:hint="eastAsia" w:ascii="仿宋_GB2312" w:hAnsi="仿宋" w:eastAsia="仿宋_GB2312" w:cs="仿宋_GB2312"/>
          <w:b/>
          <w:kern w:val="0"/>
          <w:sz w:val="32"/>
          <w:szCs w:val="32"/>
        </w:rPr>
        <w:t>符合参与政府采购活动的资格条件并且没有税收缴纳、社会保障等方面的失信记录的承诺函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临安分中心</w:t>
      </w:r>
      <w:r>
        <w:rPr>
          <w:rFonts w:hint="eastAsia" w:ascii="仿宋_GB2312" w:hAnsi="仿宋" w:eastAsia="仿宋_GB2312" w:cs="仿宋_GB2312"/>
          <w:sz w:val="24"/>
        </w:rPr>
        <w:t>：</w:t>
      </w:r>
    </w:p>
    <w:p>
      <w:pPr>
        <w:spacing w:line="360" w:lineRule="auto"/>
        <w:ind w:firstLine="480" w:firstLineChars="200"/>
        <w:rPr>
          <w:rFonts w:hint="eastAsia" w:ascii="仿宋_GB2312" w:hAnsi="仿宋" w:eastAsia="仿宋_GB2312" w:cs="仿宋_GB2312"/>
          <w:b/>
          <w:sz w:val="30"/>
          <w:szCs w:val="30"/>
          <w:lang w:eastAsia="zh-CN"/>
        </w:rPr>
      </w:pPr>
      <w:r>
        <w:rPr>
          <w:rFonts w:hint="eastAsia" w:ascii="仿宋_GB2312" w:hAnsi="仿宋" w:eastAsia="仿宋_GB2312" w:cs="仿宋_GB2312"/>
          <w:sz w:val="24"/>
        </w:rPr>
        <w:t>我方郑重承诺，我方符合参与</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政府采购活动的资格条件并且没有税收缴纳、社会保障等方面的失信记录</w:t>
      </w:r>
      <w:r>
        <w:rPr>
          <w:rFonts w:hint="eastAsia" w:ascii="仿宋_GB2312" w:hAnsi="仿宋" w:eastAsia="仿宋_GB2312" w:cs="仿宋_GB2312"/>
          <w:sz w:val="24"/>
          <w:lang w:eastAsia="zh-CN"/>
        </w:rPr>
        <w:t>。</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snapToGrid w:val="0"/>
        <w:spacing w:line="360" w:lineRule="auto"/>
        <w:ind w:right="480"/>
        <w:jc w:val="center"/>
        <w:rPr>
          <w:rFonts w:hint="default" w:ascii="仿宋_GB2312" w:hAnsi="仿宋" w:eastAsia="仿宋_GB2312" w:cs="仿宋_GB2312"/>
          <w:kern w:val="0"/>
          <w:sz w:val="24"/>
          <w:lang w:val="en-US" w:eastAsia="zh-CN"/>
        </w:rPr>
      </w:pPr>
    </w:p>
    <w:p>
      <w:pPr>
        <w:snapToGrid w:val="0"/>
        <w:spacing w:line="360" w:lineRule="auto"/>
        <w:ind w:right="480"/>
        <w:jc w:val="center"/>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932"/>
        <w:numPr>
          <w:ilvl w:val="0"/>
          <w:numId w:val="0"/>
        </w:numPr>
        <w:jc w:val="both"/>
        <w:rPr>
          <w:rFonts w:hint="eastAsia" w:ascii="仿宋" w:hAnsi="仿宋" w:eastAsia="仿宋" w:cs="仿宋_GB2312"/>
          <w:b/>
          <w:sz w:val="36"/>
          <w:szCs w:val="36"/>
        </w:rPr>
      </w:pPr>
    </w:p>
    <w:p>
      <w:pPr>
        <w:snapToGrid w:val="0"/>
        <w:spacing w:line="360" w:lineRule="auto"/>
        <w:ind w:firstLine="1606" w:firstLineChars="500"/>
        <w:rPr>
          <w:rFonts w:hint="eastAsia"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232"/>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b/>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78"/>
        <w:rPr>
          <w:rFonts w:ascii="仿宋_GB2312" w:hAnsi="仿宋" w:eastAsia="仿宋_GB2312" w:cs="仿宋_GB2312"/>
          <w:b/>
          <w:sz w:val="32"/>
          <w:szCs w:val="32"/>
        </w:rPr>
      </w:pPr>
    </w:p>
    <w:p>
      <w:pPr>
        <w:pStyle w:val="78"/>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snapToGrid w:val="0"/>
        <w:spacing w:line="360" w:lineRule="auto"/>
        <w:rPr>
          <w:rFonts w:hint="eastAsia" w:ascii="仿宋_GB2312" w:hAnsi="仿宋" w:eastAsia="仿宋_GB2312" w:cs="仿宋_GB2312"/>
          <w:b/>
          <w:bCs/>
          <w:sz w:val="32"/>
          <w:szCs w:val="32"/>
        </w:rPr>
      </w:pPr>
    </w:p>
    <w:p>
      <w:pPr>
        <w:snapToGrid w:val="0"/>
        <w:spacing w:line="360" w:lineRule="auto"/>
        <w:rPr>
          <w:rFonts w:hint="eastAsia" w:ascii="仿宋_GB2312" w:hAnsi="仿宋" w:eastAsia="仿宋_GB2312" w:cs="仿宋_GB2312"/>
          <w:b/>
          <w:bCs/>
          <w:sz w:val="32"/>
          <w:szCs w:val="32"/>
        </w:rPr>
      </w:pPr>
    </w:p>
    <w:p>
      <w:pPr>
        <w:snapToGrid w:val="0"/>
        <w:spacing w:before="50" w:after="50" w:line="360" w:lineRule="auto"/>
        <w:jc w:val="center"/>
        <w:rPr>
          <w:rFonts w:ascii="仿宋_GB2312" w:hAnsi="仿宋" w:eastAsia="仿宋_GB2312" w:cs="仿宋_GB2312"/>
          <w:b/>
          <w:sz w:val="30"/>
          <w:szCs w:val="30"/>
        </w:rPr>
      </w:pPr>
      <w:r>
        <w:rPr>
          <w:rFonts w:hint="eastAsia" w:ascii="仿宋_GB2312" w:hAnsi="仿宋" w:eastAsia="仿宋_GB2312" w:cs="仿宋_GB2312"/>
          <w:b/>
          <w:sz w:val="32"/>
          <w:szCs w:val="32"/>
        </w:rPr>
        <w:t>九</w:t>
      </w:r>
      <w:r>
        <w:rPr>
          <w:rFonts w:hint="eastAsia" w:ascii="仿宋_GB2312" w:hAnsi="仿宋" w:eastAsia="仿宋_GB2312" w:cs="仿宋_GB2312"/>
          <w:b/>
          <w:sz w:val="30"/>
          <w:szCs w:val="30"/>
        </w:rPr>
        <w:t>、联合体协议</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（以联合体形式投标的，提供联合体协议；本项目不允许联合体投标，或者投标人不以联合体形式投标的，则不需要提供）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乙方：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各方经协商一致，决定组成一个联合体，以一个投标人的身份就</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】共同投标。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Arial"/>
          <w:sz w:val="24"/>
        </w:rPr>
        <w:t>指定</w:t>
      </w:r>
      <w:r>
        <w:rPr>
          <w:rFonts w:hint="eastAsia" w:ascii="仿宋_GB2312" w:hAnsi="仿宋" w:eastAsia="仿宋_GB2312"/>
          <w:u w:val="single"/>
        </w:rPr>
        <w:t xml:space="preserve">   </w:t>
      </w:r>
      <w:r>
        <w:rPr>
          <w:rFonts w:hint="eastAsia" w:ascii="仿宋_GB2312" w:hAnsi="仿宋" w:eastAsia="仿宋_GB2312" w:cs="Arial"/>
          <w:sz w:val="24"/>
        </w:rPr>
        <w:t>方牵头人，代表所有联合体成员负责投标和合同实施阶段的主办、协调工作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三、本次联合投标中，分工如下：甲方承担的工作和义务为：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；乙方承担的工作和义务为：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甲方单位：    （公章/ 电子签名）    乙方单位：      （公章/ 电子签名）</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adjustRightInd w:val="0"/>
        <w:snapToGrid w:val="0"/>
        <w:spacing w:before="50" w:after="50" w:line="360" w:lineRule="auto"/>
        <w:jc w:val="both"/>
        <w:rPr>
          <w:rFonts w:hint="eastAsia" w:ascii="仿宋_GB2312" w:hAnsi="仿宋" w:eastAsia="仿宋_GB2312" w:cs="仿宋_GB2312"/>
          <w:b/>
          <w:sz w:val="32"/>
          <w:szCs w:val="32"/>
          <w:lang w:eastAsia="zh-CN"/>
        </w:rPr>
      </w:pP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b/>
          <w:sz w:val="32"/>
          <w:szCs w:val="32"/>
          <w:lang w:eastAsia="zh-CN"/>
        </w:rPr>
        <w:t>十</w:t>
      </w:r>
      <w:r>
        <w:rPr>
          <w:rFonts w:hint="eastAsia" w:ascii="仿宋_GB2312" w:hAnsi="仿宋" w:eastAsia="仿宋_GB2312" w:cs="仿宋_GB2312"/>
          <w:b/>
          <w:sz w:val="32"/>
          <w:szCs w:val="32"/>
        </w:rPr>
        <w:t xml:space="preserve">、 </w:t>
      </w:r>
      <w:r>
        <w:rPr>
          <w:rFonts w:hint="eastAsia" w:ascii="仿宋_GB2312" w:hAnsi="仿宋" w:eastAsia="仿宋_GB2312" w:cs="仿宋_GB2312"/>
          <w:kern w:val="2"/>
          <w:sz w:val="32"/>
          <w:szCs w:val="32"/>
        </w:rPr>
        <w:t>中小企业声明函</w:t>
      </w:r>
      <w:r>
        <w:rPr>
          <w:rFonts w:hint="eastAsia" w:ascii="仿宋_GB2312" w:hAnsi="仿宋" w:eastAsia="仿宋_GB2312" w:cs="仿宋_GB2312"/>
          <w:kern w:val="2"/>
          <w:sz w:val="32"/>
          <w:szCs w:val="32"/>
          <w:lang w:eastAsia="zh-CN"/>
        </w:rPr>
        <w:t>（工程、服务）</w:t>
      </w: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w:t>
      </w:r>
      <w:r>
        <w:rPr>
          <w:rFonts w:hint="eastAsia" w:ascii="仿宋_GB2312" w:hAnsi="仿宋" w:eastAsia="仿宋_GB2312" w:cs="Times New Roman"/>
          <w:b/>
          <w:bCs/>
          <w:color w:val="auto"/>
          <w:sz w:val="24"/>
          <w:szCs w:val="24"/>
          <w:u w:val="single"/>
        </w:rPr>
        <w:t>数据中</w:t>
      </w:r>
      <w:r>
        <w:rPr>
          <w:rFonts w:hint="eastAsia" w:ascii="仿宋_GB2312" w:hAnsi="仿宋" w:eastAsia="仿宋_GB2312" w:cs="Times New Roman"/>
          <w:b/>
          <w:bCs/>
          <w:color w:val="auto"/>
          <w:sz w:val="24"/>
          <w:szCs w:val="24"/>
          <w:highlight w:val="none"/>
          <w:u w:val="single"/>
        </w:rPr>
        <w:t>心GPU和网闸采购集成</w:t>
      </w:r>
      <w:r>
        <w:rPr>
          <w:rFonts w:hint="eastAsia" w:ascii="仿宋_GB2312" w:hAnsi="仿宋" w:eastAsia="仿宋_GB2312" w:cs="Times New Roman"/>
          <w:b/>
          <w:bCs/>
          <w:color w:val="auto"/>
          <w:sz w:val="24"/>
          <w:szCs w:val="24"/>
          <w:highlight w:val="none"/>
          <w:u w:val="single"/>
          <w:lang w:eastAsia="zh-CN"/>
        </w:rPr>
        <w:t>服务</w:t>
      </w:r>
      <w:r>
        <w:rPr>
          <w:rFonts w:hint="eastAsia" w:ascii="仿宋_GB2312" w:hAnsi="宋体" w:eastAsia="仿宋_GB2312"/>
          <w:sz w:val="24"/>
          <w:u w:val="single"/>
        </w:rPr>
        <w:t>）</w:t>
      </w:r>
      <w:r>
        <w:rPr>
          <w:rFonts w:hint="eastAsia" w:ascii="仿宋_GB2312" w:hAnsi="宋体" w:eastAsia="仿宋_GB2312"/>
          <w:sz w:val="24"/>
        </w:rPr>
        <w:t xml:space="preserve"> ，属于 </w:t>
      </w:r>
      <w:r>
        <w:rPr>
          <w:rFonts w:hint="eastAsia" w:ascii="仿宋_GB2312" w:hAnsi="宋体" w:eastAsia="仿宋_GB2312"/>
          <w:sz w:val="24"/>
          <w:u w:val="single"/>
        </w:rPr>
        <w:t>（</w:t>
      </w:r>
      <w:r>
        <w:rPr>
          <w:rFonts w:hint="eastAsia" w:ascii="仿宋_GB2312" w:hAnsi="仿宋" w:eastAsia="仿宋_GB2312"/>
          <w:b/>
          <w:bCs/>
          <w:color w:val="auto"/>
          <w:sz w:val="24"/>
          <w:highlight w:val="none"/>
          <w:u w:val="single"/>
          <w:shd w:val="clear"/>
          <w:lang w:val="en-US" w:eastAsia="zh-CN"/>
        </w:rPr>
        <w:t>软件和信息技术服务业</w:t>
      </w:r>
      <w:r>
        <w:rPr>
          <w:rFonts w:hint="eastAsia" w:ascii="仿宋_GB2312" w:hAnsi="宋体" w:eastAsia="仿宋_GB2312"/>
          <w:sz w:val="24"/>
          <w:u w:val="single"/>
        </w:rPr>
        <w:t>）</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 xml:space="preserve">名称（ </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22"/>
          <w:szCs w:val="22"/>
          <w:lang w:val="en-US" w:eastAsia="zh-CN"/>
        </w:rPr>
        <w:t xml:space="preserve">  </w:t>
      </w:r>
      <w:r>
        <w:rPr>
          <w:rFonts w:hint="eastAsia" w:ascii="仿宋_GB2312" w:hAnsi="仿宋" w:eastAsia="仿宋_GB2312" w:cs="仿宋_GB2312"/>
          <w:sz w:val="22"/>
          <w:szCs w:val="22"/>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（1）投标响应函……………………………………………………（页码）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（2）投标（开标）一览表…………………………………………（页码）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(投标人全称)授权</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(全权代表姓名)</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(职务、职称)为全权代表，参加贵方组织的XXXXXX项目【招标编号：XXX】招标的有关活动，并对此项目进行投标。为此：</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1、我方同意在投标人</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规定的开标日期起遵守本投标文件中的承诺且在投标有效期满之前均具有约束力。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(1)具有独立承担民事责任的能力；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(2)遵守国家法律、行政法规，具有良好的信誉和商业道德；</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(3)具有履行合同的能力和良好的履行合同记录；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(4)良好的资金、财务状况；</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(5)产品及生产所需装备符合中国政府规定的相应技术标准和环保标准；</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(6)没有违反政府采购法规、政策的记录；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(7)没有发生重大经济纠纷和走私犯罪记录。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3、我方中标后拟在中标后将</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工作分包，分包承担主体是</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，我方承诺分包承担主体具备相应资质条件</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，且不再次分包。（不再将工作进行分包或本项目不允许分包的，下划线处填写“/”。）</w:t>
      </w:r>
    </w:p>
    <w:p>
      <w:pPr>
        <w:adjustRightInd w:val="0"/>
        <w:snapToGrid w:val="0"/>
        <w:spacing w:line="360" w:lineRule="auto"/>
        <w:ind w:firstLine="480" w:firstLineChars="200"/>
        <w:rPr>
          <w:rFonts w:ascii="仿宋_GB2312" w:hAnsi="仿宋" w:eastAsia="仿宋_GB2312" w:cs="仿宋_GB2312"/>
          <w:snapToGrid w:val="0"/>
          <w:sz w:val="24"/>
          <w:szCs w:val="21"/>
        </w:rPr>
      </w:pPr>
      <w:r>
        <w:rPr>
          <w:rFonts w:hint="eastAsia" w:ascii="仿宋_GB2312" w:hAnsi="仿宋" w:eastAsia="仿宋_GB2312" w:cs="仿宋_GB2312"/>
          <w:snapToGrid w:val="0"/>
          <w:sz w:val="24"/>
          <w:szCs w:val="21"/>
        </w:rPr>
        <w:t>4、提供</w:t>
      </w:r>
      <w:r>
        <w:rPr>
          <w:rFonts w:hint="eastAsia" w:ascii="仿宋_GB2312" w:hAnsi="仿宋" w:eastAsia="仿宋_GB2312" w:cs="仿宋_GB2312"/>
          <w:snapToGrid w:val="0"/>
          <w:kern w:val="44"/>
          <w:sz w:val="24"/>
          <w:szCs w:val="21"/>
        </w:rPr>
        <w:t>投标人须知</w:t>
      </w:r>
      <w:r>
        <w:rPr>
          <w:rFonts w:hint="eastAsia" w:ascii="仿宋_GB2312" w:hAnsi="仿宋" w:eastAsia="仿宋_GB2312" w:cs="仿宋_GB2312"/>
          <w:snapToGrid w:val="0"/>
          <w:sz w:val="24"/>
          <w:szCs w:val="21"/>
        </w:rPr>
        <w:t>规定的全部投标文件</w:t>
      </w:r>
      <w:r>
        <w:rPr>
          <w:rFonts w:hint="eastAsia" w:ascii="仿宋_GB2312" w:hAnsi="仿宋" w:eastAsia="仿宋_GB2312" w:cs="仿宋_GB2312"/>
          <w:snapToGrid w:val="0"/>
          <w:kern w:val="44"/>
          <w:sz w:val="24"/>
          <w:szCs w:val="21"/>
        </w:rPr>
        <w:t>。</w:t>
      </w:r>
      <w:r>
        <w:rPr>
          <w:rFonts w:hint="eastAsia" w:ascii="仿宋_GB2312" w:hAnsi="仿宋" w:eastAsia="仿宋_GB2312" w:cs="仿宋_GB2312"/>
          <w:snapToGrid w:val="0"/>
          <w:sz w:val="24"/>
          <w:szCs w:val="21"/>
        </w:rPr>
        <w:t>具体内容为：</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(2)投标</w:t>
      </w:r>
      <w:r>
        <w:rPr>
          <w:rFonts w:hint="eastAsia" w:ascii="仿宋_GB2312" w:hAnsi="仿宋" w:eastAsia="仿宋_GB2312" w:cs="仿宋_GB2312"/>
          <w:kern w:val="0"/>
          <w:sz w:val="24"/>
          <w:szCs w:val="24"/>
          <w:lang w:val="zh-CN"/>
        </w:rPr>
        <w:t>技术文件和</w:t>
      </w:r>
      <w:r>
        <w:rPr>
          <w:rFonts w:hint="eastAsia" w:ascii="仿宋_GB2312" w:hAnsi="仿宋" w:eastAsia="仿宋_GB2312" w:cs="仿宋_GB2312"/>
          <w:sz w:val="24"/>
          <w:szCs w:val="24"/>
          <w:lang w:val="zh-CN"/>
        </w:rPr>
        <w:t>商务文件</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要求投标人提交的全部文件；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 xml:space="preserve"> (4)按招标文件要求提供和交付的货物和服务的投标报价详见投标(开标)一览表；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(5)保证忠实地执行双方所签订的合同，并承担合同规定的责任和义务；</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(6)保证遵守招标文件中的其他有关规定。</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5、我方承诺投标有效期从提交投标文件的截止之日起</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天，不少于招标文件中载明的投标有效期（从提交投标文件的截止之日起90天）。</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6、我方完全理解贵方不一定要接受最低价的投标。</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8、我方已详细审核全部招标文件，包括招标文件修改书(如果有)、参考资料及有关附件，确认无误。</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a)提供虚假材料谋取中标、成交的；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b)采取不正当手段诋毁、排挤其他供应商的；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c)与采购人、其它供应商或者采购机构恶意串通的；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d)向采购人、采购机构行贿或者提供其他不正当利益的；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e)在招标采购过程中与采购人进行协商谈判的；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f)拒绝有关部门监督检查或提供虚假情况的。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供应商有前款第a)至e)项情形之一的，中标、成交无效。</w:t>
      </w:r>
    </w:p>
    <w:p>
      <w:pPr>
        <w:adjustRightInd w:val="0"/>
        <w:spacing w:line="360" w:lineRule="auto"/>
        <w:ind w:firstLine="3600" w:firstLineChars="1500"/>
        <w:rPr>
          <w:rFonts w:ascii="仿宋_GB2312" w:hAnsi="仿宋" w:eastAsia="仿宋_GB2312" w:cs="仿宋_GB2312"/>
          <w:sz w:val="24"/>
          <w:szCs w:val="24"/>
        </w:rPr>
      </w:pPr>
      <w:r>
        <w:rPr>
          <w:rFonts w:hint="eastAsia" w:ascii="仿宋_GB2312" w:hAnsi="仿宋" w:eastAsia="仿宋_GB2312" w:cs="仿宋_GB2312"/>
          <w:sz w:val="24"/>
          <w:szCs w:val="24"/>
        </w:rPr>
        <w:t xml:space="preserve">投标人名称（电子签名）：                          </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日期：  年   月   日</w:t>
      </w:r>
    </w:p>
    <w:p>
      <w:pPr>
        <w:adjustRightInd w:val="0"/>
        <w:snapToGrid w:val="0"/>
        <w:spacing w:line="360" w:lineRule="auto"/>
        <w:ind w:left="420" w:leftChars="200" w:firstLine="4200" w:firstLineChars="1750"/>
        <w:rPr>
          <w:rFonts w:ascii="仿宋_GB2312" w:hAnsi="仿宋" w:eastAsia="仿宋_GB2312" w:cs="仿宋_GB2312"/>
          <w:kern w:val="0"/>
          <w:sz w:val="24"/>
          <w:szCs w:val="24"/>
          <w:u w:val="single"/>
          <w:lang w:val="zh-CN"/>
        </w:rPr>
      </w:pP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联系人：</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 xml:space="preserve">联系电话： </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联系地址：</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邮政编码：</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传真号码：</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b/>
          <w:kern w:val="0"/>
          <w:sz w:val="24"/>
          <w:szCs w:val="24"/>
          <w:lang w:val="zh-CN"/>
        </w:rPr>
        <w:t>注：未按照本投标响应函要求填报的将被视为非实质性响应投标，从而可能导致该投标被拒绝。</w:t>
      </w:r>
    </w:p>
    <w:p>
      <w:pPr>
        <w:adjustRightInd w:val="0"/>
        <w:snapToGrid w:val="0"/>
        <w:spacing w:before="120" w:after="120" w:line="360" w:lineRule="auto"/>
        <w:ind w:firstLine="643"/>
        <w:jc w:val="center"/>
        <w:rPr>
          <w:rFonts w:ascii="仿宋_GB2312" w:hAnsi="仿宋" w:eastAsia="仿宋_GB2312" w:cs="仿宋_GB2312"/>
          <w:b/>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adjustRightInd w:val="0"/>
        <w:snapToGrid w:val="0"/>
        <w:spacing w:before="120" w:after="120" w:line="360" w:lineRule="auto"/>
        <w:ind w:firstLine="643"/>
        <w:jc w:val="center"/>
        <w:rPr>
          <w:rFonts w:ascii="仿宋_GB2312" w:hAnsi="仿宋" w:eastAsia="仿宋_GB2312" w:cs="仿宋_GB2312"/>
          <w:b/>
          <w:sz w:val="32"/>
          <w:szCs w:val="32"/>
        </w:rPr>
      </w:pPr>
      <w:r>
        <w:rPr>
          <w:rFonts w:hint="eastAsia" w:ascii="仿宋_GB2312" w:hAnsi="仿宋" w:eastAsia="仿宋_GB2312" w:cs="仿宋_GB2312"/>
          <w:b/>
          <w:sz w:val="32"/>
          <w:szCs w:val="32"/>
        </w:rPr>
        <w:t>二、投标(开标)一览表</w:t>
      </w:r>
    </w:p>
    <w:p>
      <w:pPr>
        <w:adjustRightInd w:val="0"/>
        <w:snapToGrid w:val="0"/>
        <w:spacing w:line="360" w:lineRule="auto"/>
        <w:rPr>
          <w:rFonts w:ascii="仿宋_GB2312" w:hAnsi="仿宋" w:eastAsia="仿宋_GB2312" w:cs="仿宋_GB2312"/>
          <w:kern w:val="0"/>
          <w:sz w:val="24"/>
          <w:szCs w:val="24"/>
        </w:rPr>
      </w:pPr>
      <w:bookmarkStart w:id="575"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rPr>
        <w:t>XXXXXX项目</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rPr>
        <w:t>XXX】的实施</w:t>
      </w:r>
      <w:r>
        <w:rPr>
          <w:rFonts w:hint="eastAsia" w:ascii="仿宋_GB2312" w:hAnsi="仿宋" w:eastAsia="仿宋_GB2312" w:cs="仿宋_GB2312"/>
          <w:kern w:val="0"/>
          <w:sz w:val="24"/>
          <w:szCs w:val="24"/>
          <w:lang w:val="zh-CN"/>
        </w:rPr>
        <w:t>。</w:t>
      </w:r>
    </w:p>
    <w:p>
      <w:pPr>
        <w:adjustRightInd w:val="0"/>
        <w:spacing w:line="360" w:lineRule="auto"/>
        <w:jc w:val="center"/>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投标(开标)一览表(单位均为人民币元)</w:t>
      </w:r>
    </w:p>
    <w:tbl>
      <w:tblPr>
        <w:tblStyle w:val="62"/>
        <w:tblW w:w="5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14"/>
        <w:gridCol w:w="1559"/>
        <w:gridCol w:w="1155"/>
        <w:gridCol w:w="1192"/>
        <w:gridCol w:w="907"/>
        <w:gridCol w:w="786"/>
        <w:gridCol w:w="774"/>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59"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序号</w:t>
            </w:r>
          </w:p>
        </w:tc>
        <w:tc>
          <w:tcPr>
            <w:tcW w:w="714"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名称</w:t>
            </w:r>
          </w:p>
        </w:tc>
        <w:tc>
          <w:tcPr>
            <w:tcW w:w="787" w:type="pct"/>
            <w:vAlign w:val="center"/>
          </w:tcPr>
          <w:p>
            <w:pPr>
              <w:adjustRightInd w:val="0"/>
              <w:spacing w:line="360" w:lineRule="auto"/>
              <w:jc w:val="center"/>
              <w:rPr>
                <w:rFonts w:hint="eastAsia" w:ascii="仿宋_GB2312" w:hAnsi="仿宋" w:eastAsia="仿宋_GB2312" w:cs="Times New Roman"/>
                <w:b/>
                <w:sz w:val="24"/>
                <w:szCs w:val="24"/>
                <w:lang w:eastAsia="zh-CN"/>
              </w:rPr>
            </w:pPr>
            <w:r>
              <w:rPr>
                <w:rFonts w:hint="eastAsia" w:ascii="仿宋_GB2312" w:hAnsi="仿宋" w:eastAsia="仿宋_GB2312" w:cs="Times New Roman"/>
                <w:b/>
                <w:sz w:val="24"/>
                <w:szCs w:val="24"/>
                <w:lang w:eastAsia="zh-CN"/>
              </w:rPr>
              <w:t>制造商名称</w:t>
            </w:r>
          </w:p>
        </w:tc>
        <w:tc>
          <w:tcPr>
            <w:tcW w:w="583"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品牌</w:t>
            </w:r>
          </w:p>
        </w:tc>
        <w:tc>
          <w:tcPr>
            <w:tcW w:w="601"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规格型号</w:t>
            </w:r>
          </w:p>
        </w:tc>
        <w:tc>
          <w:tcPr>
            <w:tcW w:w="458"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数量</w:t>
            </w:r>
          </w:p>
        </w:tc>
        <w:tc>
          <w:tcPr>
            <w:tcW w:w="397"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单价</w:t>
            </w:r>
          </w:p>
        </w:tc>
        <w:tc>
          <w:tcPr>
            <w:tcW w:w="391"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总价</w:t>
            </w:r>
          </w:p>
        </w:tc>
        <w:tc>
          <w:tcPr>
            <w:tcW w:w="706" w:type="pct"/>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restart"/>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7</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8</w:t>
            </w:r>
          </w:p>
        </w:tc>
        <w:tc>
          <w:tcPr>
            <w:tcW w:w="714" w:type="pct"/>
            <w:vAlign w:val="center"/>
          </w:tcPr>
          <w:p>
            <w:pPr>
              <w:adjustRightInd w:val="0"/>
              <w:snapToGrid w:val="0"/>
              <w:spacing w:line="360" w:lineRule="auto"/>
              <w:jc w:val="center"/>
              <w:rPr>
                <w:rFonts w:ascii="仿宋_GB2312" w:hAnsi="Times New Roman" w:eastAsia="仿宋_GB2312" w:cs="Times New Roman"/>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9</w:t>
            </w:r>
          </w:p>
        </w:tc>
        <w:tc>
          <w:tcPr>
            <w:tcW w:w="714" w:type="pct"/>
            <w:vAlign w:val="center"/>
          </w:tcPr>
          <w:p>
            <w:pPr>
              <w:adjustRightInd w:val="0"/>
              <w:snapToGrid w:val="0"/>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59" w:type="pct"/>
            <w:vAlign w:val="center"/>
          </w:tcPr>
          <w:p>
            <w:pPr>
              <w:adjustRightInd w:val="0"/>
              <w:spacing w:line="360" w:lineRule="auto"/>
              <w:jc w:val="center"/>
              <w:rPr>
                <w:rFonts w:hint="eastAsia" w:ascii="仿宋_GB2312" w:hAnsi="仿宋" w:eastAsia="仿宋_GB2312" w:cs="仿宋_GB2312"/>
                <w:b/>
                <w:sz w:val="24"/>
                <w:szCs w:val="24"/>
              </w:rPr>
            </w:pPr>
          </w:p>
        </w:tc>
        <w:tc>
          <w:tcPr>
            <w:tcW w:w="2686"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投标报价（小写）</w:t>
            </w:r>
          </w:p>
        </w:tc>
        <w:tc>
          <w:tcPr>
            <w:tcW w:w="1954" w:type="pct"/>
            <w:gridSpan w:val="4"/>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59" w:type="pct"/>
            <w:vAlign w:val="center"/>
          </w:tcPr>
          <w:p>
            <w:pPr>
              <w:adjustRightInd w:val="0"/>
              <w:spacing w:line="360" w:lineRule="auto"/>
              <w:jc w:val="center"/>
              <w:rPr>
                <w:rFonts w:hint="eastAsia" w:ascii="仿宋_GB2312" w:hAnsi="仿宋" w:eastAsia="仿宋_GB2312" w:cs="仿宋_GB2312"/>
                <w:b/>
                <w:sz w:val="24"/>
                <w:szCs w:val="24"/>
              </w:rPr>
            </w:pPr>
          </w:p>
        </w:tc>
        <w:tc>
          <w:tcPr>
            <w:tcW w:w="2686"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投标报价（大写）</w:t>
            </w:r>
          </w:p>
        </w:tc>
        <w:tc>
          <w:tcPr>
            <w:tcW w:w="1954" w:type="pct"/>
            <w:gridSpan w:val="4"/>
            <w:vAlign w:val="center"/>
          </w:tcPr>
          <w:p>
            <w:pPr>
              <w:adjustRightInd w:val="0"/>
              <w:spacing w:line="360" w:lineRule="auto"/>
              <w:jc w:val="center"/>
              <w:rPr>
                <w:rFonts w:ascii="仿宋_GB2312" w:hAnsi="仿宋" w:eastAsia="仿宋_GB2312" w:cs="仿宋_GB2312"/>
                <w:sz w:val="24"/>
                <w:szCs w:val="24"/>
              </w:rPr>
            </w:pPr>
          </w:p>
        </w:tc>
      </w:tr>
    </w:tbl>
    <w:p>
      <w:pPr>
        <w:adjustRightInd w:val="0"/>
        <w:snapToGrid w:val="0"/>
        <w:spacing w:line="360" w:lineRule="auto"/>
        <w:ind w:left="480"/>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注：</w:t>
      </w:r>
    </w:p>
    <w:p>
      <w:pPr>
        <w:adjustRightInd w:val="0"/>
        <w:spacing w:line="360" w:lineRule="auto"/>
        <w:ind w:left="-2" w:leftChars="-1"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1、投标人需按本表格式填写，不得自行更改。</w:t>
      </w:r>
    </w:p>
    <w:p>
      <w:pPr>
        <w:adjustRightInd w:val="0"/>
        <w:snapToGrid w:val="0"/>
        <w:spacing w:line="360" w:lineRule="auto"/>
        <w:ind w:left="48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2、有关本项目实施所涉及的一切费用（详见前附表）均计入报价。</w:t>
      </w:r>
      <w:r>
        <w:rPr>
          <w:rFonts w:hint="eastAsia" w:ascii="仿宋_GB2312" w:hAnsi="仿宋" w:eastAsia="仿宋_GB2312" w:cs="Arial"/>
          <w:b/>
          <w:snapToGrid w:val="0"/>
          <w:color w:val="auto"/>
          <w:sz w:val="24"/>
          <w:szCs w:val="21"/>
        </w:rPr>
        <w:t>▲</w:t>
      </w:r>
      <w:r>
        <w:rPr>
          <w:rFonts w:hint="eastAsia" w:ascii="仿宋_GB2312" w:hAnsi="仿宋" w:eastAsia="仿宋_GB2312" w:cs="仿宋_GB2312"/>
          <w:b/>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kern w:val="0"/>
          <w:sz w:val="24"/>
          <w:szCs w:val="24"/>
          <w:lang w:val="zh-CN"/>
        </w:rPr>
        <w:t>各项明细费用请按实填写（不得出现“0元”“免费赠送”等形式的无偿报价）。</w:t>
      </w:r>
    </w:p>
    <w:p>
      <w:pPr>
        <w:adjustRightInd w:val="0"/>
        <w:snapToGrid w:val="0"/>
        <w:spacing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en-US" w:eastAsia="zh-CN"/>
        </w:rPr>
        <w:t>3</w:t>
      </w:r>
      <w:r>
        <w:rPr>
          <w:rFonts w:hint="eastAsia" w:ascii="仿宋_GB2312" w:hAnsi="仿宋" w:eastAsia="仿宋_GB2312" w:cs="仿宋_GB2312"/>
          <w:kern w:val="0"/>
          <w:sz w:val="24"/>
          <w:szCs w:val="24"/>
          <w:lang w:val="zh-CN"/>
        </w:rPr>
        <w:t>、特别提示：采购机构将对项目名称和项目编号，中标供应商名称、地址和中标金额，主要中标标的的名称、规格型号、数量、单价、服务要求等予以公示。</w:t>
      </w:r>
    </w:p>
    <w:p>
      <w:pPr>
        <w:adjustRightInd w:val="0"/>
        <w:spacing w:line="360" w:lineRule="auto"/>
        <w:ind w:firstLine="480" w:firstLineChars="200"/>
        <w:rPr>
          <w:rFonts w:ascii="仿宋_GB2312" w:hAnsi="仿宋" w:eastAsia="仿宋_GB2312" w:cs="仿宋_GB2312"/>
          <w:kern w:val="0"/>
          <w:sz w:val="24"/>
          <w:szCs w:val="24"/>
          <w:u w:val="single"/>
          <w:lang w:val="zh-CN"/>
        </w:rPr>
      </w:pPr>
      <w:r>
        <w:rPr>
          <w:rFonts w:hint="eastAsia" w:ascii="仿宋_GB2312" w:hAnsi="仿宋" w:eastAsia="仿宋_GB2312" w:cs="仿宋_GB2312"/>
          <w:kern w:val="0"/>
          <w:sz w:val="24"/>
          <w:lang w:val="en-US" w:eastAsia="zh-CN"/>
        </w:rPr>
        <w:t>4</w:t>
      </w:r>
      <w:r>
        <w:rPr>
          <w:rFonts w:ascii="仿宋_GB2312" w:hAnsi="仿宋" w:eastAsia="仿宋_GB2312" w:cs="仿宋_GB2312"/>
          <w:kern w:val="0"/>
          <w:sz w:val="24"/>
          <w:lang w:val="zh-CN"/>
        </w:rPr>
        <w:t>、</w:t>
      </w:r>
      <w:r>
        <w:rPr>
          <w:rFonts w:hint="eastAsia" w:ascii="仿宋_GB2312" w:hAnsi="仿宋" w:eastAsia="仿宋_GB2312" w:cs="仿宋_GB2312"/>
          <w:kern w:val="0"/>
          <w:sz w:val="24"/>
          <w:szCs w:val="24"/>
          <w:lang w:val="zh-CN"/>
        </w:rPr>
        <w:t>符合招标文件中列明的可享受中小企业扶持政策的投标人，请填写中小企业声明函。注：投标人</w:t>
      </w:r>
      <w:r>
        <w:rPr>
          <w:rFonts w:ascii="仿宋_GB2312" w:hAnsi="仿宋" w:eastAsia="仿宋_GB2312" w:cs="仿宋_GB2312"/>
          <w:kern w:val="0"/>
          <w:sz w:val="24"/>
          <w:szCs w:val="24"/>
          <w:lang w:val="zh-CN"/>
        </w:rPr>
        <w:t>提供</w:t>
      </w:r>
      <w:r>
        <w:rPr>
          <w:rFonts w:hint="eastAsia" w:ascii="仿宋_GB2312" w:hAnsi="仿宋" w:eastAsia="仿宋_GB2312" w:cs="仿宋_GB2312"/>
          <w:kern w:val="0"/>
          <w:sz w:val="24"/>
          <w:szCs w:val="24"/>
          <w:lang w:val="zh-CN"/>
        </w:rPr>
        <w:t>的中小企业</w:t>
      </w:r>
      <w:r>
        <w:rPr>
          <w:rFonts w:ascii="仿宋_GB2312" w:hAnsi="仿宋" w:eastAsia="仿宋_GB2312" w:cs="仿宋_GB2312"/>
          <w:kern w:val="0"/>
          <w:sz w:val="24"/>
          <w:szCs w:val="24"/>
          <w:lang w:val="zh-CN"/>
        </w:rPr>
        <w:t>声明函内容不实的，属于提供虚假材料谋取中标、成交，依照《中华人民共和国政府采购法》等国家有关规定追究相应责任。</w:t>
      </w:r>
    </w:p>
    <w:p>
      <w:pPr>
        <w:adjustRightInd w:val="0"/>
        <w:snapToGrid w:val="0"/>
        <w:spacing w:line="360" w:lineRule="auto"/>
        <w:ind w:firstLine="482" w:firstLineChars="200"/>
        <w:jc w:val="right"/>
        <w:rPr>
          <w:rFonts w:ascii="仿宋_GB2312" w:hAnsi="仿宋" w:eastAsia="仿宋_GB2312" w:cs="Times New Roman"/>
          <w:b/>
          <w:kern w:val="0"/>
          <w:sz w:val="24"/>
          <w:szCs w:val="24"/>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right"/>
        <w:rPr>
          <w:rFonts w:ascii="仿宋_GB2312" w:hAnsi="仿宋" w:eastAsia="仿宋_GB2312" w:cs="仿宋_GB2312"/>
          <w:sz w:val="24"/>
          <w:szCs w:val="24"/>
        </w:rPr>
      </w:pPr>
      <w:r>
        <w:rPr>
          <w:rFonts w:hint="eastAsia" w:ascii="仿宋_GB2312" w:hAnsi="仿宋" w:eastAsia="仿宋_GB2312" w:cs="仿宋_GB2312"/>
          <w:sz w:val="24"/>
          <w:szCs w:val="24"/>
          <w:lang w:eastAsia="zh-CN"/>
        </w:rPr>
        <w:t>投标</w:t>
      </w:r>
      <w:r>
        <w:rPr>
          <w:rFonts w:hint="eastAsia" w:ascii="仿宋_GB2312" w:hAnsi="仿宋" w:eastAsia="仿宋_GB2312" w:cs="仿宋_GB2312"/>
          <w:sz w:val="24"/>
          <w:szCs w:val="24"/>
        </w:rPr>
        <w:t>人名称（电子签名）：</w:t>
      </w:r>
    </w:p>
    <w:p>
      <w:pPr>
        <w:adjustRightInd w:val="0"/>
        <w:spacing w:line="360" w:lineRule="auto"/>
        <w:ind w:right="480"/>
        <w:jc w:val="center"/>
        <w:rPr>
          <w:sz w:val="24"/>
          <w:szCs w:val="24"/>
        </w:rPr>
        <w:sectPr>
          <w:pgSz w:w="11906" w:h="16838"/>
          <w:pgMar w:top="1247" w:right="1418" w:bottom="1276" w:left="1418" w:header="851" w:footer="992" w:gutter="0"/>
          <w:cols w:space="720" w:num="1"/>
          <w:titlePg/>
          <w:docGrid w:linePitch="312" w:charSpace="0"/>
        </w:sect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 xml:space="preserve">日期：  年   月  </w:t>
      </w:r>
      <w:bookmarkEnd w:id="575"/>
      <w:r>
        <w:rPr>
          <w:rFonts w:hint="eastAsia" w:ascii="仿宋_GB2312" w:hAnsi="仿宋" w:eastAsia="仿宋_GB2312" w:cs="仿宋_GB2312"/>
          <w:sz w:val="24"/>
          <w:szCs w:val="24"/>
          <w:lang w:eastAsia="zh-CN"/>
        </w:rPr>
        <w:t>日</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）资信文件复印件（如果要求提供）…………………………</w:t>
      </w:r>
      <w:r>
        <w:rPr>
          <w:rFonts w:hint="eastAsia" w:ascii="仿宋_GB2312" w:hAnsi="仿宋_GB2312" w:eastAsia="仿宋_GB2312" w:cs="仿宋_GB2312"/>
          <w:lang w:val="zh-CN"/>
        </w:rPr>
        <w:t>…</w:t>
      </w:r>
      <w:r>
        <w:rPr>
          <w:rFonts w:hint="eastAsia" w:ascii="仿宋_GB2312" w:hAnsi="仿宋_GB2312" w:eastAsia="仿宋_GB2312" w:cs="仿宋_GB2312"/>
        </w:rPr>
        <w:t>…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zh-CN"/>
        </w:rPr>
        <w:t>主要业绩证明… ……………………………………………………</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bookmarkStart w:id="576" w:name="OLE_LINK7"/>
      <w:bookmarkStart w:id="577" w:name="OLE_LINK6"/>
      <w:bookmarkStart w:id="578" w:name="OLE_LINK5"/>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）其他商务文件或说明</w:t>
      </w:r>
      <w:r>
        <w:rPr>
          <w:rFonts w:hint="eastAsia" w:ascii="仿宋_GB2312" w:hAnsi="仿宋_GB2312" w:eastAsia="仿宋_GB2312" w:cs="仿宋_GB2312"/>
          <w:lang w:val="zh-CN"/>
        </w:rPr>
        <w:t xml:space="preserve">……………………………………………… </w:t>
      </w:r>
      <w:r>
        <w:rPr>
          <w:rFonts w:hint="eastAsia" w:ascii="仿宋_GB2312" w:hAnsi="仿宋_GB2312" w:eastAsia="仿宋_GB2312" w:cs="仿宋_GB2312"/>
        </w:rPr>
        <w:t>（页码）</w:t>
      </w:r>
      <w:bookmarkEnd w:id="576"/>
      <w:bookmarkEnd w:id="577"/>
    </w:p>
    <w:bookmarkEnd w:id="578"/>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 w:eastAsia="仿宋_GB2312" w:cs="仿宋_GB2312"/>
          <w:kern w:val="0"/>
          <w:sz w:val="24"/>
        </w:rPr>
        <w:t>技术解决方案</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 w:eastAsia="仿宋_GB2312" w:cs="仿宋_GB2312"/>
          <w:kern w:val="0"/>
          <w:sz w:val="24"/>
        </w:rPr>
        <w:t>技术偏离说明表</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）组织实施方案………………………………………………………（页码）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w:t>
      </w:r>
      <w:r>
        <w:rPr>
          <w:rFonts w:hint="eastAsia" w:ascii="仿宋_GB2312" w:hAnsi="仿宋" w:eastAsia="仿宋_GB2312" w:cs="仿宋_GB2312"/>
          <w:kern w:val="0"/>
          <w:sz w:val="24"/>
        </w:rPr>
        <w:t>售后服务方案</w:t>
      </w:r>
      <w:r>
        <w:rPr>
          <w:rFonts w:hint="eastAsia" w:ascii="仿宋_GB2312" w:hAnsi="仿宋_GB2312" w:eastAsia="仿宋_GB2312" w:cs="仿宋_GB2312"/>
        </w:rPr>
        <w:t xml:space="preserve">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r>
        <w:rPr>
          <w:rFonts w:hint="eastAsia" w:ascii="仿宋_GB2312" w:hAnsi="仿宋" w:eastAsia="仿宋_GB2312" w:cs="仿宋_GB2312"/>
          <w:kern w:val="0"/>
          <w:sz w:val="24"/>
        </w:rPr>
        <w:t>项目小组人员名单</w:t>
      </w:r>
      <w:r>
        <w:rPr>
          <w:rFonts w:hint="eastAsia" w:ascii="仿宋_GB2312" w:hAnsi="仿宋_GB2312" w:eastAsia="仿宋_GB2312" w:cs="仿宋_GB2312"/>
        </w:rPr>
        <w:t xml:space="preserve">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hAnsi="仿宋_GB2312" w:cs="仿宋_GB2312"/>
          <w:lang w:val="en-US" w:eastAsia="zh-CN"/>
        </w:rPr>
        <w:t>9</w:t>
      </w:r>
      <w:r>
        <w:rPr>
          <w:rFonts w:hint="eastAsia" w:ascii="仿宋_GB2312" w:hAnsi="仿宋_GB2312" w:eastAsia="仿宋_GB2312" w:cs="仿宋_GB2312"/>
        </w:rPr>
        <w:t>）</w:t>
      </w:r>
      <w:r>
        <w:rPr>
          <w:rFonts w:hint="eastAsia" w:ascii="仿宋_GB2312" w:hAnsi="仿宋" w:eastAsia="仿宋_GB2312" w:cs="仿宋_GB2312"/>
          <w:kern w:val="0"/>
          <w:sz w:val="24"/>
          <w:lang w:val="zh-CN"/>
        </w:rPr>
        <w:t>优惠条件及特殊承诺</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hAnsi="仿宋_GB2312" w:cs="仿宋_GB2312"/>
          <w:lang w:val="en-US" w:eastAsia="zh-CN"/>
        </w:rPr>
        <w:t>0</w:t>
      </w:r>
      <w:r>
        <w:rPr>
          <w:rFonts w:hint="eastAsia" w:ascii="仿宋_GB2312" w:hAnsi="仿宋_GB2312" w:eastAsia="仿宋_GB2312" w:cs="仿宋_GB2312"/>
        </w:rPr>
        <w:t>）</w:t>
      </w:r>
      <w:r>
        <w:rPr>
          <w:rFonts w:hint="eastAsia" w:ascii="仿宋_GB2312" w:hAnsi="仿宋" w:eastAsia="仿宋_GB2312" w:cs="仿宋_GB2312"/>
          <w:kern w:val="0"/>
          <w:sz w:val="24"/>
          <w:lang w:val="zh-CN"/>
        </w:rPr>
        <w:t>备品备件及供选择的配套零部件清单</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 w:eastAsia="仿宋_GB2312" w:cs="仿宋_GB2312"/>
          <w:kern w:val="0"/>
          <w:sz w:val="24"/>
        </w:rPr>
      </w:pPr>
      <w:r>
        <w:rPr>
          <w:rFonts w:hint="eastAsia" w:cs="仿宋_GB2312"/>
          <w:kern w:val="0"/>
          <w:sz w:val="24"/>
          <w:lang w:val="zh-CN"/>
        </w:rPr>
        <w:t>（</w:t>
      </w:r>
      <w:r>
        <w:rPr>
          <w:rFonts w:hint="eastAsia" w:cs="仿宋_GB2312"/>
          <w:kern w:val="0"/>
          <w:sz w:val="24"/>
          <w:lang w:val="en-US" w:eastAsia="zh-CN"/>
        </w:rPr>
        <w:t>11</w:t>
      </w:r>
      <w:r>
        <w:rPr>
          <w:rFonts w:hint="eastAsia" w:cs="仿宋_GB2312"/>
          <w:kern w:val="0"/>
          <w:sz w:val="24"/>
          <w:lang w:val="zh-CN"/>
        </w:rPr>
        <w:t>）</w:t>
      </w:r>
      <w:r>
        <w:rPr>
          <w:rFonts w:hint="eastAsia" w:ascii="仿宋_GB2312" w:hAnsi="仿宋" w:eastAsia="仿宋_GB2312" w:cs="仿宋_GB2312"/>
          <w:kern w:val="0"/>
          <w:sz w:val="24"/>
          <w:lang w:val="zh-CN"/>
        </w:rPr>
        <w:t>培训计划…………………………………………………………</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13</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zh-CN" w:eastAsia="zh-CN"/>
        </w:rPr>
        <w:t>（</w:t>
      </w:r>
      <w:r>
        <w:rPr>
          <w:rFonts w:hint="eastAsia" w:ascii="仿宋_GB2312" w:hAnsi="仿宋" w:eastAsia="仿宋_GB2312" w:cs="仿宋_GB2312"/>
          <w:kern w:val="0"/>
          <w:sz w:val="24"/>
          <w:lang w:val="en-US" w:eastAsia="zh-CN"/>
        </w:rPr>
        <w:t>14</w:t>
      </w:r>
      <w:r>
        <w:rPr>
          <w:rFonts w:hint="eastAsia" w:ascii="仿宋_GB2312" w:hAnsi="仿宋" w:eastAsia="仿宋_GB2312" w:cs="仿宋_GB2312"/>
          <w:kern w:val="0"/>
          <w:sz w:val="24"/>
          <w:lang w:val="zh-CN" w:eastAsia="zh-CN"/>
        </w:rPr>
        <w:t>）廉政承诺书</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lang w:val="zh-CN"/>
        </w:rPr>
      </w:pPr>
    </w:p>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注：以上目录是基本格式要求，各投标人可根据自身情况进一步细化。</w:t>
      </w: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both"/>
        <w:rPr>
          <w:rFonts w:hint="eastAsia" w:ascii="仿宋" w:hAnsi="仿宋" w:eastAsia="仿宋" w:cs="仿宋"/>
          <w:b/>
          <w:sz w:val="32"/>
          <w:szCs w:val="32"/>
          <w:lang w:eastAsia="zh-CN"/>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、资信文件复印件（如果要求提供）</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jc w:val="center"/>
        <w:rPr>
          <w:rFonts w:hint="eastAsia" w:ascii="仿宋_GB2312" w:hAnsi="仿宋_GB2312" w:eastAsia="仿宋_GB2312" w:cs="仿宋_GB2312"/>
          <w:b/>
          <w:bCs/>
          <w:sz w:val="32"/>
          <w:szCs w:val="32"/>
        </w:rPr>
      </w:pPr>
    </w:p>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0"/>
          <w:sz w:val="24"/>
          <w:lang w:val="zh-CN"/>
        </w:rPr>
        <w:t xml:space="preserve">                   日期：  年  月</w:t>
      </w:r>
      <w:r>
        <w:rPr>
          <w:rFonts w:hint="eastAsia" w:ascii="仿宋_GB2312" w:hAnsi="仿宋_GB2312" w:eastAsia="仿宋_GB2312" w:cs="仿宋_GB2312"/>
          <w:kern w:val="0"/>
          <w:sz w:val="24"/>
          <w:lang w:val="en-US" w:eastAsia="zh-CN"/>
        </w:rPr>
        <w:t xml:space="preserve">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注：投标人可按上述的格式自行编制，须随表提交相应的合同复印件和用户单位验收证明并注明所在投标人商务技术文件页码。</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bookmarkStart w:id="579" w:name="OLE_LINK16"/>
      <w:bookmarkStart w:id="580" w:name="OLE_LINK17"/>
      <w:r>
        <w:rPr>
          <w:rFonts w:hint="eastAsia" w:ascii="仿宋_GB2312" w:hAnsi="仿宋_GB2312" w:eastAsia="仿宋_GB2312" w:cs="仿宋_GB2312"/>
          <w:b/>
          <w:bCs/>
          <w:sz w:val="32"/>
          <w:szCs w:val="32"/>
        </w:rPr>
        <w:t>其他商务文件或说明</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bookmarkStart w:id="581" w:name="OLE_LINK10"/>
      <w:bookmarkStart w:id="582" w:name="OLE_LINK11"/>
      <w:r>
        <w:rPr>
          <w:rFonts w:hint="eastAsia" w:ascii="仿宋_GB2312" w:hAnsi="仿宋_GB2312" w:eastAsia="仿宋_GB2312" w:cs="仿宋_GB2312"/>
          <w:sz w:val="24"/>
        </w:rPr>
        <w:t>其他商务文件或说明由投标人根据采购需求自行编制</w:t>
      </w:r>
      <w:bookmarkEnd w:id="581"/>
      <w:bookmarkEnd w:id="582"/>
      <w:r>
        <w:rPr>
          <w:rFonts w:hint="eastAsia" w:ascii="仿宋_GB2312" w:hAnsi="仿宋_GB2312" w:eastAsia="仿宋_GB2312" w:cs="仿宋_GB2312"/>
          <w:sz w:val="24"/>
        </w:rPr>
        <w:t>）</w:t>
      </w:r>
    </w:p>
    <w:bookmarkEnd w:id="579"/>
    <w:bookmarkEnd w:id="580"/>
    <w:p>
      <w:pPr>
        <w:spacing w:line="360" w:lineRule="auto"/>
        <w:jc w:val="center"/>
        <w:rPr>
          <w:rFonts w:hint="eastAsia" w:ascii="仿宋_GB2312" w:hAnsi="仿宋_GB2312" w:eastAsia="仿宋_GB2312" w:cs="仿宋_GB2312"/>
          <w:sz w:val="24"/>
        </w:rPr>
      </w:pPr>
    </w:p>
    <w:p>
      <w:pPr>
        <w:autoSpaceDE w:val="0"/>
        <w:autoSpaceDN w:val="0"/>
        <w:spacing w:line="360" w:lineRule="auto"/>
        <w:ind w:firstLine="4800" w:firstLineChars="20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pPr>
        <w:autoSpaceDE w:val="0"/>
        <w:autoSpaceDN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rPr>
          <w:rFonts w:hint="eastAsia" w:ascii="仿宋_GB2312" w:hAnsi="仿宋_GB2312" w:eastAsia="仿宋_GB2312" w:cs="仿宋_GB2312"/>
          <w:kern w:val="0"/>
          <w:sz w:val="24"/>
          <w:lang w:val="zh-CN"/>
        </w:rPr>
      </w:pPr>
    </w:p>
    <w:p>
      <w:pPr>
        <w:autoSpaceDE w:val="0"/>
        <w:autoSpaceDN w:val="0"/>
        <w:spacing w:line="360" w:lineRule="auto"/>
        <w:rPr>
          <w:rFonts w:hint="eastAsia" w:ascii="仿宋_GB2312" w:hAnsi="仿宋_GB2312"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bCs/>
          <w:sz w:val="32"/>
          <w:szCs w:val="32"/>
        </w:rPr>
        <w:t>、</w:t>
      </w:r>
      <w:r>
        <w:rPr>
          <w:rFonts w:hint="eastAsia" w:ascii="仿宋_GB2312" w:hAnsi="仿宋" w:eastAsia="仿宋_GB2312" w:cs="仿宋_GB2312"/>
          <w:b/>
          <w:bCs/>
          <w:sz w:val="32"/>
          <w:szCs w:val="32"/>
        </w:rPr>
        <w:t>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1000"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、技术和服务偏离说明表</w:t>
      </w:r>
    </w:p>
    <w:p>
      <w:pPr>
        <w:spacing w:line="360" w:lineRule="auto"/>
        <w:jc w:val="center"/>
        <w:rPr>
          <w:rFonts w:hint="eastAsia" w:ascii="仿宋_GB2312" w:hAnsi="仿宋_GB2312" w:eastAsia="仿宋_GB2312" w:cs="仿宋_GB2312"/>
          <w:b/>
          <w:bCs/>
          <w:sz w:val="18"/>
          <w:szCs w:val="18"/>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bl>
    <w:p>
      <w:pPr>
        <w:autoSpaceDE w:val="0"/>
        <w:autoSpaceDN w:val="0"/>
        <w:spacing w:line="360" w:lineRule="auto"/>
        <w:ind w:firstLine="5040" w:firstLineChars="2100"/>
        <w:rPr>
          <w:rFonts w:hint="eastAsia" w:ascii="仿宋_GB2312" w:hAnsi="仿宋_GB2312" w:eastAsia="仿宋_GB2312" w:cs="仿宋_GB2312"/>
          <w:kern w:val="0"/>
          <w:sz w:val="24"/>
          <w:lang w:val="zh-CN"/>
        </w:rPr>
      </w:pPr>
    </w:p>
    <w:p>
      <w:pPr>
        <w:autoSpaceDE w:val="0"/>
        <w:autoSpaceDN w:val="0"/>
        <w:spacing w:line="360" w:lineRule="auto"/>
        <w:ind w:firstLine="5040" w:firstLineChars="21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投标人名称（电子签名）：      </w:t>
      </w:r>
    </w:p>
    <w:p>
      <w:pPr>
        <w:autoSpaceDE w:val="0"/>
        <w:autoSpaceDN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六、组织实施方案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
          <w:b/>
          <w:bCs/>
          <w:kern w:val="0"/>
          <w:sz w:val="24"/>
          <w:lang w:val="zh-CN"/>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rPr>
        <w:t>投标人名称（电子签名）：</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pStyle w:val="932"/>
        <w:numPr>
          <w:ilvl w:val="0"/>
          <w:numId w:val="0"/>
        </w:numPr>
        <w:jc w:val="both"/>
        <w:rPr>
          <w:rFonts w:hint="eastAsia" w:ascii="仿宋" w:hAnsi="仿宋" w:eastAsia="仿宋" w:cs="仿宋"/>
          <w:b/>
          <w:sz w:val="36"/>
          <w:szCs w:val="36"/>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_GB2312" w:hAnsi="仿宋" w:eastAsia="仿宋_GB2312" w:cs="仿宋_GB2312"/>
          <w:b/>
          <w:bCs/>
          <w:sz w:val="32"/>
          <w:szCs w:val="32"/>
        </w:rPr>
        <w:t>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6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adjustRightInd w:val="0"/>
        <w:spacing w:line="360" w:lineRule="auto"/>
        <w:rPr>
          <w:rFonts w:ascii="仿宋_GB2312" w:hAnsi="仿宋" w:eastAsia="仿宋_GB2312" w:cs="仿宋_GB2312"/>
          <w:b/>
          <w:bCs/>
          <w:sz w:val="24"/>
          <w:szCs w:val="24"/>
        </w:rPr>
      </w:pPr>
    </w:p>
    <w:p>
      <w:pPr>
        <w:pStyle w:val="932"/>
        <w:numPr>
          <w:ilvl w:val="0"/>
          <w:numId w:val="0"/>
        </w:numPr>
        <w:jc w:val="both"/>
        <w:rPr>
          <w:rFonts w:hint="eastAsia" w:ascii="仿宋" w:hAnsi="仿宋" w:eastAsia="仿宋" w:cs="仿宋"/>
          <w:b/>
          <w:sz w:val="36"/>
          <w:szCs w:val="36"/>
        </w:rPr>
      </w:pPr>
    </w:p>
    <w:p>
      <w:pPr>
        <w:spacing w:line="360" w:lineRule="auto"/>
        <w:jc w:val="both"/>
        <w:rPr>
          <w:rFonts w:hint="eastAsia" w:ascii="仿宋" w:hAnsi="仿宋" w:eastAsia="仿宋" w:cs="仿宋"/>
          <w:b/>
          <w:bCs/>
          <w:sz w:val="32"/>
          <w:szCs w:val="32"/>
          <w:lang w:eastAsia="zh-CN"/>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w:t>
      </w:r>
      <w:r>
        <w:rPr>
          <w:rFonts w:hint="eastAsia" w:ascii="仿宋_GB2312" w:hAnsi="仿宋" w:eastAsia="仿宋_GB2312" w:cs="仿宋_GB2312"/>
          <w:b/>
          <w:bCs/>
          <w:sz w:val="32"/>
          <w:szCs w:val="32"/>
        </w:rPr>
        <w:t>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w:t>
      </w:r>
      <w:r>
        <w:rPr>
          <w:rFonts w:hint="eastAsia" w:ascii="仿宋_GB2312" w:hAnsi="仿宋" w:eastAsia="仿宋_GB2312" w:cs="仿宋_GB2312"/>
          <w:b/>
          <w:sz w:val="24"/>
          <w:lang w:eastAsia="zh-CN"/>
        </w:rPr>
        <w:t>（或项目负责人）</w:t>
      </w:r>
      <w:r>
        <w:rPr>
          <w:rFonts w:hint="eastAsia" w:ascii="仿宋_GB2312" w:hAnsi="仿宋" w:eastAsia="仿宋_GB2312" w:cs="仿宋_GB2312"/>
          <w:b/>
          <w:sz w:val="24"/>
        </w:rPr>
        <w:t>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both"/>
        <w:rPr>
          <w:rFonts w:hint="eastAsia" w:ascii="仿宋" w:hAnsi="仿宋" w:eastAsia="仿宋" w:cs="仿宋"/>
          <w:b/>
          <w:bCs/>
          <w:sz w:val="32"/>
          <w:szCs w:val="32"/>
          <w:lang w:eastAsia="zh-CN"/>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w:t>
      </w:r>
      <w:r>
        <w:rPr>
          <w:rFonts w:hint="eastAsia" w:ascii="仿宋_GB2312" w:hAnsi="仿宋" w:eastAsia="仿宋_GB2312" w:cs="仿宋_GB2312"/>
          <w:b/>
          <w:kern w:val="0"/>
          <w:sz w:val="32"/>
          <w:szCs w:val="32"/>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adjustRightInd w:val="0"/>
        <w:spacing w:line="360" w:lineRule="auto"/>
        <w:rPr>
          <w:rFonts w:ascii="仿宋_GB2312" w:hAnsi="仿宋" w:eastAsia="仿宋_GB2312" w:cs="仿宋_GB2312"/>
          <w:b/>
          <w:bCs/>
          <w:sz w:val="18"/>
          <w:szCs w:val="18"/>
        </w:rPr>
      </w:pPr>
    </w:p>
    <w:p>
      <w:pPr>
        <w:autoSpaceDE w:val="0"/>
        <w:autoSpaceDN w:val="0"/>
        <w:spacing w:line="360" w:lineRule="auto"/>
        <w:rPr>
          <w:rFonts w:hint="eastAsia" w:ascii="仿宋" w:hAnsi="仿宋" w:eastAsia="仿宋" w:cs="仿宋"/>
          <w:b/>
          <w:bCs/>
          <w:sz w:val="18"/>
          <w:szCs w:val="18"/>
        </w:rPr>
      </w:pPr>
    </w:p>
    <w:p>
      <w:pPr>
        <w:spacing w:line="360" w:lineRule="auto"/>
        <w:jc w:val="both"/>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rPr>
        <w:t>十、</w:t>
      </w:r>
      <w:r>
        <w:rPr>
          <w:rFonts w:hint="eastAsia" w:ascii="仿宋_GB2312" w:hAnsi="仿宋" w:eastAsia="仿宋_GB2312" w:cs="仿宋_GB2312"/>
          <w:b/>
          <w:kern w:val="0"/>
          <w:sz w:val="32"/>
          <w:szCs w:val="32"/>
          <w:lang w:val="zh-CN"/>
        </w:rPr>
        <w:t>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_GB2312" w:hAnsi="仿宋" w:eastAsia="仿宋_GB2312" w:cs="仿宋_GB2312"/>
          <w:b/>
          <w:kern w:val="0"/>
          <w:sz w:val="32"/>
          <w:szCs w:val="32"/>
          <w:lang w:val="zh-CN"/>
        </w:rPr>
        <w:t>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62"/>
        <w:tblW w:w="499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20" w:type="dxa"/>
          <w:bottom w:w="0" w:type="dxa"/>
          <w:right w:w="120" w:type="dxa"/>
        </w:tblCellMar>
      </w:tblPr>
      <w:tblGrid>
        <w:gridCol w:w="2224"/>
        <w:gridCol w:w="1542"/>
        <w:gridCol w:w="1143"/>
        <w:gridCol w:w="1172"/>
        <w:gridCol w:w="1226"/>
        <w:gridCol w:w="177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764" w:hRule="atLeast"/>
        </w:trPr>
        <w:tc>
          <w:tcPr>
            <w:tcW w:w="1224" w:type="pct"/>
            <w:tcBorders>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849" w:type="pct"/>
            <w:tcBorders>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629" w:type="pct"/>
            <w:tcBorders>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645" w:type="pct"/>
            <w:tcBorders>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675" w:type="pct"/>
            <w:tcBorders>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975" w:type="pct"/>
            <w:tcBorders>
              <w:left w:val="single" w:color="auto" w:sz="6" w:space="0"/>
              <w:bottom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281" w:hRule="atLeast"/>
        </w:trPr>
        <w:tc>
          <w:tcPr>
            <w:tcW w:w="1224" w:type="pct"/>
            <w:tcBorders>
              <w:top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849" w:type="pct"/>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bottom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273" w:hRule="atLeast"/>
        </w:trPr>
        <w:tc>
          <w:tcPr>
            <w:tcW w:w="1224" w:type="pct"/>
            <w:tcBorders>
              <w:top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849" w:type="pct"/>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bottom w:val="nil"/>
            </w:tcBorders>
          </w:tcPr>
          <w:p>
            <w:pPr>
              <w:tabs>
                <w:tab w:val="left" w:pos="7"/>
              </w:tabs>
              <w:suppressAutoHyphens/>
              <w:autoSpaceDE w:val="0"/>
              <w:autoSpaceDN w:val="0"/>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110" w:hRule="atLeast"/>
        </w:trPr>
        <w:tc>
          <w:tcPr>
            <w:tcW w:w="1224" w:type="pct"/>
            <w:tcBorders>
              <w:top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p>
        </w:tc>
        <w:tc>
          <w:tcPr>
            <w:tcW w:w="849" w:type="pct"/>
            <w:tcBorders>
              <w:top w:val="single" w:color="auto" w:sz="6" w:space="0"/>
              <w:left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tcBorders>
          </w:tcPr>
          <w:p>
            <w:pPr>
              <w:tabs>
                <w:tab w:val="left" w:pos="7"/>
              </w:tabs>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_GB2312" w:hAnsi="仿宋" w:eastAsia="仿宋_GB2312" w:cs="仿宋_GB2312"/>
          <w:b/>
          <w:bCs/>
          <w:sz w:val="32"/>
          <w:szCs w:val="32"/>
        </w:rPr>
        <w:t>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78"/>
        <w:rPr>
          <w:rFonts w:hint="eastAsia" w:ascii="仿宋_GB2312" w:hAnsi="仿宋" w:eastAsia="仿宋_GB2312" w:cs="仿宋_GB2312"/>
          <w:kern w:val="0"/>
          <w:sz w:val="24"/>
          <w:lang w:val="zh-CN"/>
        </w:rPr>
      </w:pPr>
    </w:p>
    <w:p>
      <w:pPr>
        <w:pStyle w:val="78"/>
        <w:rPr>
          <w:rFonts w:hint="eastAsia" w:ascii="仿宋_GB2312" w:hAnsi="仿宋" w:eastAsia="仿宋_GB2312" w:cs="仿宋_GB2312"/>
          <w:kern w:val="0"/>
          <w:sz w:val="24"/>
          <w:lang w:val="zh-CN"/>
        </w:rPr>
      </w:pPr>
    </w:p>
    <w:p>
      <w:pPr>
        <w:spacing w:line="360" w:lineRule="auto"/>
        <w:jc w:val="center"/>
        <w:rPr>
          <w:rFonts w:ascii="仿宋_GB2312" w:hAnsi="仿宋" w:eastAsia="仿宋_GB2312" w:cs="仿宋_GB2312"/>
          <w:b/>
          <w:kern w:val="0"/>
          <w:sz w:val="30"/>
          <w:szCs w:val="30"/>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 xml:space="preserve">                日期：  年  月   日</w:t>
      </w: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jc w:val="center"/>
        <w:rPr>
          <w:rFonts w:hint="eastAsia" w:ascii="仿宋" w:hAnsi="仿宋" w:eastAsia="仿宋" w:cs="仿宋"/>
          <w:b/>
          <w:bCs/>
          <w:sz w:val="32"/>
          <w:szCs w:val="32"/>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_GB2312" w:hAnsi="仿宋" w:eastAsia="仿宋_GB2312" w:cs="仿宋_GB2312"/>
          <w:b/>
          <w:bCs/>
          <w:sz w:val="30"/>
          <w:szCs w:val="30"/>
        </w:rPr>
        <w:t>廉政承诺书</w:t>
      </w:r>
    </w:p>
    <w:p>
      <w:pPr>
        <w:autoSpaceDE w:val="0"/>
        <w:autoSpaceDN w:val="0"/>
        <w:spacing w:line="360" w:lineRule="auto"/>
        <w:jc w:val="left"/>
        <w:rPr>
          <w:rFonts w:ascii="仿宋_GB2312" w:hAnsi="仿宋_GB2312" w:eastAsia="仿宋_GB2312" w:cs="仿宋_GB2312"/>
          <w:kern w:val="0"/>
          <w:sz w:val="24"/>
          <w:szCs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ind w:left="4620" w:leftChars="2200"/>
        <w:rPr>
          <w:rFonts w:ascii="Times New Roman" w:hAnsi="Times New Roman" w:eastAsia="宋体" w:cs="Times New Roman"/>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78"/>
        <w:rPr>
          <w:lang w:val="zh-CN"/>
        </w:rPr>
      </w:pP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bookmarkStart w:id="583" w:name="_Toc465665161"/>
      <w:r>
        <w:rPr>
          <w:rFonts w:hint="eastAsia" w:ascii="仿宋" w:hAnsi="仿宋" w:eastAsia="仿宋" w:cs="仿宋"/>
        </w:rPr>
        <w:t>附件</w:t>
      </w:r>
      <w:bookmarkEnd w:id="583"/>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84" w:name="OLE_LINK14"/>
      <w:bookmarkStart w:id="585" w:name="OLE_LINK13"/>
      <w:r>
        <w:rPr>
          <w:rFonts w:hint="eastAsia" w:ascii="仿宋" w:hAnsi="仿宋" w:eastAsia="仿宋" w:cs="仿宋"/>
          <w:b/>
          <w:spacing w:val="6"/>
          <w:sz w:val="32"/>
          <w:szCs w:val="32"/>
        </w:rPr>
        <w:t>残疾人福利性单位声明函</w:t>
      </w:r>
    </w:p>
    <w:bookmarkEnd w:id="584"/>
    <w:bookmarkEnd w:id="585"/>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3"/>
        <w:jc w:val="both"/>
        <w:rPr>
          <w:rFonts w:hint="eastAsia" w:ascii="仿宋" w:hAnsi="仿宋" w:eastAsia="仿宋" w:cs="仿宋"/>
          <w:b/>
          <w:bCs/>
          <w:sz w:val="32"/>
          <w:szCs w:val="32"/>
          <w:lang w:val="en-US" w:eastAsia="zh-CN"/>
        </w:rPr>
      </w:pPr>
    </w:p>
    <w:p>
      <w:pPr>
        <w:pStyle w:val="3"/>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附件2（开标记录开启后，请将此附件填写完整发送至邮箱：649656585@qq.com）：</w:t>
      </w:r>
    </w:p>
    <w:p>
      <w:pPr>
        <w:pStyle w:val="3"/>
        <w:jc w:val="center"/>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3"/>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杭州市公共资源交易中心临安分中心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3"/>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 ____________（授权代表姓名），经由______________________________（单位） ____________ （法定代表人姓名）合法授权参加</w:t>
      </w:r>
      <w:r>
        <w:rPr>
          <w:rFonts w:hint="eastAsia" w:ascii="仿宋" w:hAnsi="仿宋" w:eastAsia="仿宋" w:cs="仿宋"/>
          <w:sz w:val="24"/>
          <w:szCs w:val="24"/>
          <w:lang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w:t>
      </w:r>
      <w:r>
        <w:rPr>
          <w:rFonts w:hint="eastAsia" w:ascii="仿宋" w:hAnsi="仿宋" w:eastAsia="仿宋" w:cs="仿宋"/>
          <w:sz w:val="24"/>
          <w:szCs w:val="24"/>
          <w:lang w:eastAsia="zh-CN"/>
        </w:rPr>
        <w:t>。</w:t>
      </w:r>
      <w:r>
        <w:rPr>
          <w:rFonts w:hint="eastAsia" w:ascii="仿宋" w:hAnsi="仿宋" w:eastAsia="仿宋" w:cs="仿宋"/>
          <w:sz w:val="24"/>
          <w:szCs w:val="24"/>
        </w:rPr>
        <w:t xml:space="preserve">经与本单位法人代表（负责人）联系确认，现就有关公平竞争事项郑重声明如下: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存在下列利害关系:</w:t>
      </w:r>
    </w:p>
    <w:p>
      <w:pPr>
        <w:pStyle w:val="3"/>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exact"/>
        <w:ind w:left="1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投资关系 B．行政隶属关系 C．业务指导关系</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120" w:leftChars="0"/>
        <w:textAlignment w:val="auto"/>
        <w:rPr>
          <w:rFonts w:hint="eastAsia" w:ascii="仿宋" w:hAnsi="仿宋" w:eastAsia="仿宋" w:cs="仿宋"/>
          <w:sz w:val="24"/>
          <w:szCs w:val="24"/>
        </w:rPr>
      </w:pPr>
      <w:r>
        <w:rPr>
          <w:rFonts w:hint="eastAsia" w:ascii="仿宋" w:hAnsi="仿宋" w:eastAsia="仿宋" w:cs="仿宋"/>
          <w:sz w:val="24"/>
          <w:szCs w:val="24"/>
        </w:rPr>
        <w:t>D．其他可能影响采购公正的利害关系（如有，请如实说明）。</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与其他所有供应商之间均不存在利害关系</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与______________（供应商名称）之间存在下列利害关系: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A．法定代表人或负责人或实际控制人是同一人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B．法定代表人或负责人或实际控制人是夫妻关系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C．法定代表人或负责人或实际控制人是直系血亲关系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D．法定代表人或负责人或实际控制人存在三代以内旁系血亲关系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E．法定代表人或负责人或实际控制人存在近姻亲关系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F．法定代表人或负责人或实际控制人存在股份控制或实际控制关系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G．存在共同直接或间接投资设立子公司、联营企业和合营企业情况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H．存在分级代理或代销关系、同一生产制造商关系、管理关系、重要业务（占主营业务收入 50 ％以上）或重要财务 往来关系（如融资）等其他实质性控制关系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I．其他利害关系情况 ________________________________________。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四、我发现 ____________________供应商之间存在或可能存在上述第二条第 ____________项利害关系。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lang w:val="zh-CN"/>
        </w:rPr>
        <w:t>名称（签章）：</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供应商代表</w:t>
      </w:r>
      <w:r>
        <w:rPr>
          <w:rFonts w:hint="eastAsia" w:ascii="仿宋" w:hAnsi="仿宋" w:eastAsia="仿宋" w:cs="仿宋"/>
          <w:sz w:val="24"/>
          <w:szCs w:val="24"/>
          <w:lang w:val="en-US" w:eastAsia="zh-CN"/>
        </w:rPr>
        <w:t>(</w:t>
      </w:r>
      <w:r>
        <w:rPr>
          <w:rFonts w:hint="eastAsia" w:ascii="仿宋" w:hAnsi="仿宋" w:eastAsia="仿宋" w:cs="仿宋"/>
          <w:sz w:val="24"/>
          <w:szCs w:val="24"/>
        </w:rPr>
        <w:t>签名</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b/>
          <w:spacing w:val="6"/>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bCs/>
          <w:sz w:val="32"/>
          <w:szCs w:val="32"/>
          <w:lang w:val="en-US" w:eastAsia="zh-CN"/>
        </w:rPr>
      </w:pPr>
    </w:p>
    <w:p>
      <w:pPr>
        <w:spacing w:line="360" w:lineRule="auto"/>
        <w:jc w:val="left"/>
        <w:rPr>
          <w:rFonts w:hint="eastAsia" w:ascii="仿宋" w:hAnsi="仿宋" w:eastAsia="仿宋" w:cs="仿宋"/>
          <w:b/>
          <w:bCs/>
          <w:sz w:val="32"/>
          <w:szCs w:val="32"/>
          <w:lang w:val="en-US" w:eastAsia="zh-CN"/>
        </w:rPr>
      </w:pPr>
    </w:p>
    <w:p>
      <w:pPr>
        <w:spacing w:line="360" w:lineRule="auto"/>
        <w:jc w:val="left"/>
        <w:rPr>
          <w:rFonts w:asciiTheme="minorEastAsia" w:hAnsiTheme="minorEastAsia" w:eastAsiaTheme="minorEastAsia" w:cstheme="minorEastAsia"/>
          <w:b/>
          <w:color w:val="auto"/>
          <w:sz w:val="36"/>
          <w:szCs w:val="36"/>
        </w:rPr>
      </w:pPr>
      <w:r>
        <w:rPr>
          <w:rFonts w:hint="eastAsia" w:ascii="仿宋" w:hAnsi="仿宋" w:eastAsia="仿宋" w:cs="仿宋"/>
          <w:b/>
          <w:bCs/>
          <w:snapToGrid w:val="0"/>
          <w:kern w:val="2"/>
          <w:sz w:val="32"/>
          <w:szCs w:val="32"/>
          <w:lang w:val="en-US" w:eastAsia="zh-CN" w:bidi="ar-SA"/>
        </w:rPr>
        <w:t>附件3：成本测算表</w:t>
      </w:r>
    </w:p>
    <w:p>
      <w:pPr>
        <w:pStyle w:val="33"/>
        <w:spacing w:beforeLines="100" w:beforeAutospacing="0" w:afterLines="50" w:afterAutospacing="0" w:line="240" w:lineRule="auto"/>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0"/>
          <w:szCs w:val="30"/>
        </w:rPr>
        <w:t>1、</w:t>
      </w:r>
      <w:r>
        <w:rPr>
          <w:rFonts w:hint="eastAsia" w:ascii="仿宋_GB2312" w:hAnsi="仿宋_GB2312" w:eastAsia="仿宋_GB2312" w:cs="仿宋_GB2312"/>
          <w:b/>
          <w:color w:val="auto"/>
          <w:sz w:val="36"/>
          <w:szCs w:val="36"/>
        </w:rPr>
        <w:t>制造商投标主要产品成本测算表</w:t>
      </w:r>
    </w:p>
    <w:p>
      <w:pPr>
        <w:pStyle w:val="33"/>
        <w:spacing w:beforeLines="100" w:beforeAutospacing="0" w:afterLines="50" w:afterAutospacing="0"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金额单位：元</w:t>
      </w:r>
    </w:p>
    <w:tbl>
      <w:tblPr>
        <w:tblStyle w:val="6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
        <w:gridCol w:w="2771"/>
        <w:gridCol w:w="5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制造商生产主要产品</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一、产品生产成本</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1、直接材料</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2、辅助材料</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3、燃料（动能）</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4、工人工资</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5、工资附加</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6、制造费用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二、管理费用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1工资、福利费用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2、保险费用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3、办公费用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4、其他应交税费</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三、财务费用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四、销售费用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五、运输费用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六、销售税金</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主要产品生产成本合计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529" w:type="pct"/>
            <w:vAlign w:val="center"/>
          </w:tcPr>
          <w:p>
            <w:pPr>
              <w:pStyle w:val="25"/>
              <w:spacing w:before="0" w:beforeAutospacing="0" w:after="0" w:afterAutospacing="0" w:line="240" w:lineRule="auto"/>
              <w:ind w:firstLine="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c>
          <w:tcPr>
            <w:tcW w:w="2969" w:type="pct"/>
          </w:tcPr>
          <w:p>
            <w:pPr>
              <w:pStyle w:val="33"/>
              <w:spacing w:line="240" w:lineRule="auto"/>
              <w:rPr>
                <w:rFonts w:hint="eastAsia" w:ascii="仿宋_GB2312" w:hAnsi="仿宋_GB2312" w:eastAsia="仿宋_GB2312" w:cs="仿宋_GB2312"/>
                <w:color w:val="auto"/>
                <w:sz w:val="24"/>
                <w:szCs w:val="24"/>
              </w:rPr>
            </w:pPr>
          </w:p>
        </w:tc>
      </w:tr>
    </w:tbl>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说明：1、供应商为制造商的，请填此表。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2、表中第19项产品生产成本合计＝8项+14至18项。</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3、供应商可结合企业实际对表内项目进行适当调整，但要求能真实、准确地反映产品生产成本。</w:t>
      </w:r>
    </w:p>
    <w:p>
      <w:pPr>
        <w:pStyle w:val="33"/>
        <w:spacing w:line="240" w:lineRule="auto"/>
        <w:rPr>
          <w:rFonts w:hint="eastAsia" w:ascii="仿宋_GB2312" w:hAnsi="仿宋_GB2312" w:eastAsia="仿宋_GB2312" w:cs="仿宋_GB2312"/>
          <w:color w:val="auto"/>
          <w:sz w:val="24"/>
          <w:szCs w:val="24"/>
        </w:rPr>
      </w:pP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制造商名称（盖章）：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sectPr>
          <w:pgSz w:w="11906" w:h="16838"/>
          <w:pgMar w:top="1440" w:right="1531" w:bottom="1440" w:left="1531" w:header="851" w:footer="992" w:gutter="0"/>
          <w:cols w:space="720" w:num="1"/>
          <w:docGrid w:type="lines" w:linePitch="312" w:charSpace="0"/>
        </w:sectPr>
      </w:pPr>
      <w:r>
        <w:rPr>
          <w:rFonts w:hint="eastAsia" w:ascii="仿宋_GB2312" w:hAnsi="仿宋_GB2312" w:eastAsia="仿宋_GB2312" w:cs="仿宋_GB2312"/>
          <w:color w:val="auto"/>
          <w:sz w:val="24"/>
        </w:rPr>
        <w:t xml:space="preserve">         投标日期：</w:t>
      </w:r>
    </w:p>
    <w:p>
      <w:pPr>
        <w:pStyle w:val="33"/>
        <w:spacing w:line="240" w:lineRule="auto"/>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6"/>
          <w:szCs w:val="36"/>
        </w:rPr>
        <w:t>2、代理商投标主要产品成本测算表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金额单位：元</w:t>
      </w:r>
    </w:p>
    <w:tbl>
      <w:tblPr>
        <w:tblStyle w:val="6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3064"/>
        <w:gridCol w:w="4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供应商代理主要产品</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一、进货成本</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1、商品进价</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2、运输费用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3、税金</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4、保险</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5、仓储费用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6、维保费用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二、管理费用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1工资、福利费用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2、保险费用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3、办公费用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4、其他应交税费</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三、财务费用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四、销售费用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五、运输费用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六、销售税金</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1747"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主要产品代理成本合计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747" w:type="pct"/>
            <w:vAlign w:val="center"/>
          </w:tcPr>
          <w:p>
            <w:pPr>
              <w:pStyle w:val="25"/>
              <w:spacing w:before="0" w:beforeAutospacing="0" w:after="0" w:afterAutospacing="0" w:line="240" w:lineRule="auto"/>
              <w:ind w:firstLine="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c>
          <w:tcPr>
            <w:tcW w:w="2627" w:type="pct"/>
          </w:tcPr>
          <w:p>
            <w:pPr>
              <w:pStyle w:val="33"/>
              <w:spacing w:line="240" w:lineRule="auto"/>
              <w:rPr>
                <w:rFonts w:hint="eastAsia" w:ascii="仿宋_GB2312" w:hAnsi="仿宋_GB2312" w:eastAsia="仿宋_GB2312" w:cs="仿宋_GB2312"/>
                <w:color w:val="auto"/>
                <w:sz w:val="24"/>
                <w:szCs w:val="24"/>
              </w:rPr>
            </w:pPr>
          </w:p>
        </w:tc>
      </w:tr>
    </w:tbl>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1、供应商为代理商的，请填此表。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2、表中第19项产品生产成本合计＝8项+14至18项。</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3、供应商可结合企业实际对表内项目进行适当调整，但要求能真实、准确地反映产品生产成本。</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4、专家小组认为有必要的，可要求代理商提供进货凭据或与制造商的意向合同。</w:t>
      </w: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adjustRightInd w:val="0"/>
        <w:spacing w:before="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供应商名称（盖章）：</w:t>
      </w:r>
    </w:p>
    <w:p>
      <w:pPr>
        <w:adjustRightInd w:val="0"/>
        <w:spacing w:before="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投标日期：</w:t>
      </w: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spacing w:beforeLines="50" w:beforeAutospacing="0" w:afterLines="50" w:afterAutospacing="0" w:line="240" w:lineRule="auto"/>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spacing w:beforeLines="50" w:beforeAutospacing="0" w:afterLines="50" w:afterAutospacing="0" w:line="240" w:lineRule="auto"/>
        <w:ind w:firstLine="723" w:firstLineChars="200"/>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36"/>
          <w:szCs w:val="36"/>
        </w:rPr>
        <w:t>3.投标主要产品成本汇总表</w:t>
      </w:r>
    </w:p>
    <w:p>
      <w:pPr>
        <w:spacing w:beforeLines="50" w:beforeAutospacing="0" w:afterLines="50" w:afterAutospacing="0"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                                             品目编号/品目名称</w:t>
      </w:r>
    </w:p>
    <w:tbl>
      <w:tblPr>
        <w:tblStyle w:val="6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2768"/>
        <w:gridCol w:w="1674"/>
        <w:gridCol w:w="1110"/>
        <w:gridCol w:w="1411"/>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423"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1579"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主要产品名称</w:t>
            </w:r>
          </w:p>
        </w:tc>
        <w:tc>
          <w:tcPr>
            <w:tcW w:w="955"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制造商名称</w:t>
            </w:r>
          </w:p>
        </w:tc>
        <w:tc>
          <w:tcPr>
            <w:tcW w:w="633"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数量</w:t>
            </w:r>
          </w:p>
        </w:tc>
        <w:tc>
          <w:tcPr>
            <w:tcW w:w="805" w:type="pct"/>
            <w:tcBorders>
              <w:right w:val="single" w:color="auto" w:sz="4" w:space="0"/>
            </w:tcBorders>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成本总计（元）</w:t>
            </w:r>
          </w:p>
        </w:tc>
        <w:tc>
          <w:tcPr>
            <w:tcW w:w="603" w:type="pct"/>
            <w:tcBorders>
              <w:left w:val="single" w:color="auto" w:sz="4" w:space="0"/>
            </w:tcBorders>
            <w:vAlign w:val="center"/>
          </w:tcPr>
          <w:p>
            <w:pPr>
              <w:pStyle w:val="25"/>
              <w:spacing w:before="0" w:beforeAutospacing="0" w:after="0" w:afterAutospacing="0" w:line="240" w:lineRule="auto"/>
              <w:ind w:left="0" w:leftChars="0" w:firstLine="0" w:firstLineChars="0"/>
              <w:jc w:val="center"/>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bl>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adjustRightInd w:val="0"/>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供应商名称（盖章）：</w:t>
      </w:r>
    </w:p>
    <w:p>
      <w:pPr>
        <w:adjustRightInd w:val="0"/>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投标日期：</w:t>
      </w:r>
    </w:p>
    <w:p>
      <w:pPr>
        <w:pStyle w:val="78"/>
        <w:rPr>
          <w:rFonts w:hint="eastAsia" w:ascii="仿宋_GB2312" w:hAnsi="仿宋_GB2312" w:eastAsia="仿宋_GB2312" w:cs="仿宋_GB231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pacing w:val="6"/>
          <w:sz w:val="32"/>
          <w:szCs w:val="32"/>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sz w:val="24"/>
          <w:lang w:eastAsia="zh-CN"/>
        </w:rPr>
        <w:t>。</w:t>
      </w: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8"/>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3"/>
        <w:rPr>
          <w:rFonts w:hint="eastAsia" w:ascii="仿宋" w:hAnsi="仿宋" w:eastAsia="仿宋" w:cs="仿宋"/>
          <w:b/>
          <w:bCs/>
          <w:sz w:val="24"/>
        </w:rPr>
      </w:pPr>
    </w:p>
    <w:p/>
    <w:sectPr>
      <w:headerReference r:id="rId15" w:type="first"/>
      <w:footerReference r:id="rId18" w:type="first"/>
      <w:headerReference r:id="rId14" w:type="default"/>
      <w:footerReference r:id="rId16" w:type="default"/>
      <w:footerReference r:id="rId17"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FangSong_GB2312">
    <w:altName w:val="仿宋_GB2312"/>
    <w:panose1 w:val="020B0604020202020204"/>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86" w:name="_Toc164085800"/>
    <w:bookmarkStart w:id="587" w:name="_Toc91899912"/>
    <w:bookmarkStart w:id="588" w:name="_Toc131845147"/>
    <w:bookmarkStart w:id="589" w:name="_Toc36110187"/>
    <w:r>
      <w:rPr>
        <w:rFonts w:hint="eastAsia" w:ascii="仿宋_GB2312" w:eastAsia="仿宋_GB2312"/>
        <w:kern w:val="0"/>
        <w:szCs w:val="21"/>
      </w:rPr>
      <w:t xml:space="preserve"> 页</w:t>
    </w:r>
    <w:bookmarkEnd w:id="586"/>
    <w:bookmarkEnd w:id="587"/>
    <w:bookmarkEnd w:id="588"/>
    <w:bookmarkEnd w:id="5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1C57CE2F"/>
    <w:multiLevelType w:val="singleLevel"/>
    <w:tmpl w:val="1C57CE2F"/>
    <w:lvl w:ilvl="0" w:tentative="0">
      <w:start w:val="2"/>
      <w:numFmt w:val="chineseCounting"/>
      <w:suff w:val="nothing"/>
      <w:lvlText w:val="%1、"/>
      <w:lvlJc w:val="left"/>
      <w:rPr>
        <w:rFonts w:hint="eastAsia"/>
      </w:rPr>
    </w:lvl>
  </w:abstractNum>
  <w:abstractNum w:abstractNumId="7">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0"/>
  </w:num>
  <w:num w:numId="4">
    <w:abstractNumId w:val="9"/>
  </w:num>
  <w:num w:numId="5">
    <w:abstractNumId w:val="1"/>
  </w:num>
  <w:num w:numId="6">
    <w:abstractNumId w:val="7"/>
  </w:num>
  <w:num w:numId="7">
    <w:abstractNumId w:val="8"/>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53C7F"/>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3010BE2"/>
    <w:rsid w:val="04574797"/>
    <w:rsid w:val="04930CCD"/>
    <w:rsid w:val="04B30EAB"/>
    <w:rsid w:val="0534223B"/>
    <w:rsid w:val="061323BB"/>
    <w:rsid w:val="061D6415"/>
    <w:rsid w:val="07A75F93"/>
    <w:rsid w:val="07D05985"/>
    <w:rsid w:val="086530A3"/>
    <w:rsid w:val="0A122591"/>
    <w:rsid w:val="0AA20024"/>
    <w:rsid w:val="0C982573"/>
    <w:rsid w:val="0CC15827"/>
    <w:rsid w:val="0D0053A3"/>
    <w:rsid w:val="0D816517"/>
    <w:rsid w:val="0E7C2825"/>
    <w:rsid w:val="0E812D23"/>
    <w:rsid w:val="0E8576B7"/>
    <w:rsid w:val="0E9752F9"/>
    <w:rsid w:val="0FC455FC"/>
    <w:rsid w:val="10E5085A"/>
    <w:rsid w:val="156E38DD"/>
    <w:rsid w:val="15934F5E"/>
    <w:rsid w:val="160767F4"/>
    <w:rsid w:val="169A62CD"/>
    <w:rsid w:val="173704E3"/>
    <w:rsid w:val="17383248"/>
    <w:rsid w:val="17A60546"/>
    <w:rsid w:val="17A9660F"/>
    <w:rsid w:val="17E83B43"/>
    <w:rsid w:val="18087CB7"/>
    <w:rsid w:val="184B2178"/>
    <w:rsid w:val="189C40D1"/>
    <w:rsid w:val="191E0717"/>
    <w:rsid w:val="1A7873FD"/>
    <w:rsid w:val="1B8C6670"/>
    <w:rsid w:val="1C6B6B9E"/>
    <w:rsid w:val="1CE078A6"/>
    <w:rsid w:val="1DD42D71"/>
    <w:rsid w:val="1DF17CBE"/>
    <w:rsid w:val="1E28236A"/>
    <w:rsid w:val="1F0A3878"/>
    <w:rsid w:val="1FB50BB4"/>
    <w:rsid w:val="20F5288B"/>
    <w:rsid w:val="236F4C74"/>
    <w:rsid w:val="24C40F27"/>
    <w:rsid w:val="24DA7D36"/>
    <w:rsid w:val="255C5FCA"/>
    <w:rsid w:val="26116FE6"/>
    <w:rsid w:val="268838D7"/>
    <w:rsid w:val="26DA3F7D"/>
    <w:rsid w:val="27155558"/>
    <w:rsid w:val="28664E5B"/>
    <w:rsid w:val="28861541"/>
    <w:rsid w:val="288B4CF0"/>
    <w:rsid w:val="289952A1"/>
    <w:rsid w:val="29337492"/>
    <w:rsid w:val="29493640"/>
    <w:rsid w:val="2A670C38"/>
    <w:rsid w:val="2AC12521"/>
    <w:rsid w:val="2B1B1882"/>
    <w:rsid w:val="2B2E72E7"/>
    <w:rsid w:val="2B9C55E1"/>
    <w:rsid w:val="2C9C055D"/>
    <w:rsid w:val="2DA52FBA"/>
    <w:rsid w:val="2DB008B6"/>
    <w:rsid w:val="2DD31B43"/>
    <w:rsid w:val="2E833715"/>
    <w:rsid w:val="2F8E6CEE"/>
    <w:rsid w:val="31A025B3"/>
    <w:rsid w:val="340B78C5"/>
    <w:rsid w:val="349E1379"/>
    <w:rsid w:val="34F801C2"/>
    <w:rsid w:val="35784BD5"/>
    <w:rsid w:val="36566D3A"/>
    <w:rsid w:val="38780E60"/>
    <w:rsid w:val="38950B0D"/>
    <w:rsid w:val="38AA4650"/>
    <w:rsid w:val="39103069"/>
    <w:rsid w:val="3A2E699D"/>
    <w:rsid w:val="3B0A6A34"/>
    <w:rsid w:val="3B125890"/>
    <w:rsid w:val="3C3E672F"/>
    <w:rsid w:val="3C922EF8"/>
    <w:rsid w:val="3D022ADB"/>
    <w:rsid w:val="3ECD41B8"/>
    <w:rsid w:val="3F492C0B"/>
    <w:rsid w:val="3FAA3B08"/>
    <w:rsid w:val="3FC42203"/>
    <w:rsid w:val="41290A94"/>
    <w:rsid w:val="41994FFC"/>
    <w:rsid w:val="43C22DAA"/>
    <w:rsid w:val="43EF16FE"/>
    <w:rsid w:val="45144AC4"/>
    <w:rsid w:val="45333510"/>
    <w:rsid w:val="45821A21"/>
    <w:rsid w:val="480361FC"/>
    <w:rsid w:val="490F3BDA"/>
    <w:rsid w:val="4BC0384B"/>
    <w:rsid w:val="4BD12258"/>
    <w:rsid w:val="4C2F6B0D"/>
    <w:rsid w:val="4C380EF0"/>
    <w:rsid w:val="4D5A1A3B"/>
    <w:rsid w:val="4F28613F"/>
    <w:rsid w:val="505B53C9"/>
    <w:rsid w:val="50634767"/>
    <w:rsid w:val="50B40CE1"/>
    <w:rsid w:val="52307328"/>
    <w:rsid w:val="53DC29F0"/>
    <w:rsid w:val="53EA1C82"/>
    <w:rsid w:val="53FC15E1"/>
    <w:rsid w:val="55134D06"/>
    <w:rsid w:val="55AF3A4C"/>
    <w:rsid w:val="55CE03D7"/>
    <w:rsid w:val="562C42D2"/>
    <w:rsid w:val="564A604F"/>
    <w:rsid w:val="575A2E47"/>
    <w:rsid w:val="57803E28"/>
    <w:rsid w:val="57976BE0"/>
    <w:rsid w:val="580A6DE4"/>
    <w:rsid w:val="585A61BF"/>
    <w:rsid w:val="5A2A2705"/>
    <w:rsid w:val="5A89671D"/>
    <w:rsid w:val="5BF6762B"/>
    <w:rsid w:val="5CEA475B"/>
    <w:rsid w:val="5DC874A2"/>
    <w:rsid w:val="5FFE21B8"/>
    <w:rsid w:val="60041071"/>
    <w:rsid w:val="603B1A91"/>
    <w:rsid w:val="60671434"/>
    <w:rsid w:val="60B72E59"/>
    <w:rsid w:val="60F944A9"/>
    <w:rsid w:val="6175443E"/>
    <w:rsid w:val="61C03D7E"/>
    <w:rsid w:val="623B7906"/>
    <w:rsid w:val="63066E82"/>
    <w:rsid w:val="6358654A"/>
    <w:rsid w:val="63A8413D"/>
    <w:rsid w:val="647B1BF1"/>
    <w:rsid w:val="653D1E2C"/>
    <w:rsid w:val="6563714C"/>
    <w:rsid w:val="65C565B3"/>
    <w:rsid w:val="65E8797C"/>
    <w:rsid w:val="6831312D"/>
    <w:rsid w:val="685B4351"/>
    <w:rsid w:val="6A065420"/>
    <w:rsid w:val="6A370FF1"/>
    <w:rsid w:val="6A531ED1"/>
    <w:rsid w:val="6B813812"/>
    <w:rsid w:val="6C345328"/>
    <w:rsid w:val="6C4F2578"/>
    <w:rsid w:val="6CE01E4A"/>
    <w:rsid w:val="6D670AE9"/>
    <w:rsid w:val="6DF56531"/>
    <w:rsid w:val="706F447C"/>
    <w:rsid w:val="70F607C4"/>
    <w:rsid w:val="7124112B"/>
    <w:rsid w:val="722F7C72"/>
    <w:rsid w:val="72491B0E"/>
    <w:rsid w:val="728A1606"/>
    <w:rsid w:val="73833E47"/>
    <w:rsid w:val="73EB36E1"/>
    <w:rsid w:val="751B5B3E"/>
    <w:rsid w:val="75AE1161"/>
    <w:rsid w:val="76B74A91"/>
    <w:rsid w:val="77220301"/>
    <w:rsid w:val="78BC345E"/>
    <w:rsid w:val="79231F68"/>
    <w:rsid w:val="7A814BBF"/>
    <w:rsid w:val="7B6843F2"/>
    <w:rsid w:val="7E00497E"/>
    <w:rsid w:val="7E3F397C"/>
    <w:rsid w:val="7F6E5746"/>
    <w:rsid w:val="7FDD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6">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8">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9">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10">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1">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2">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9"/>
    <w:qFormat/>
    <w:uiPriority w:val="0"/>
    <w:pPr>
      <w:ind w:firstLine="420"/>
    </w:pPr>
    <w:rPr>
      <w:rFonts w:hAnsiTheme="minorHAnsi" w:eastAsiaTheme="minorEastAsia" w:cstheme="minorBidi"/>
      <w:snapToGrid/>
      <w:szCs w:val="22"/>
    </w:rPr>
  </w:style>
  <w:style w:type="paragraph" w:styleId="3">
    <w:name w:val="Body Text"/>
    <w:basedOn w:val="1"/>
    <w:next w:val="2"/>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13">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4">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7">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8">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1">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2">
    <w:name w:val="Salutation"/>
    <w:basedOn w:val="1"/>
    <w:next w:val="1"/>
    <w:link w:val="92"/>
    <w:qFormat/>
    <w:uiPriority w:val="0"/>
    <w:pPr>
      <w:adjustRightInd w:val="0"/>
    </w:pPr>
    <w:rPr>
      <w:rFonts w:ascii="仿宋_GB2312" w:eastAsia="仿宋_GB2312"/>
      <w:sz w:val="28"/>
    </w:rPr>
  </w:style>
  <w:style w:type="paragraph" w:styleId="23">
    <w:name w:val="Body Text 3"/>
    <w:basedOn w:val="1"/>
    <w:link w:val="93"/>
    <w:qFormat/>
    <w:uiPriority w:val="0"/>
    <w:pPr>
      <w:adjustRightInd w:val="0"/>
      <w:jc w:val="center"/>
    </w:pPr>
  </w:style>
  <w:style w:type="paragraph" w:styleId="24">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5">
    <w:name w:val="Body Text Indent"/>
    <w:basedOn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26">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7"/>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8"/>
    <w:qFormat/>
    <w:uiPriority w:val="0"/>
    <w:pPr>
      <w:adjustRightInd w:val="0"/>
      <w:ind w:left="100" w:leftChars="2500"/>
    </w:pPr>
    <w:rPr>
      <w:rFonts w:ascii="宋体"/>
      <w:sz w:val="24"/>
      <w:szCs w:val="21"/>
      <w:lang w:val="zh-CN"/>
    </w:rPr>
  </w:style>
  <w:style w:type="paragraph" w:styleId="37">
    <w:name w:val="Body Text Indent 2"/>
    <w:basedOn w:val="1"/>
    <w:link w:val="99"/>
    <w:qFormat/>
    <w:uiPriority w:val="0"/>
    <w:pPr>
      <w:adjustRightInd w:val="0"/>
      <w:spacing w:line="360" w:lineRule="auto"/>
      <w:ind w:firstLine="601"/>
      <w:textAlignment w:val="baseline"/>
    </w:pPr>
    <w:rPr>
      <w:rFonts w:ascii="宋体"/>
      <w:sz w:val="28"/>
    </w:rPr>
  </w:style>
  <w:style w:type="paragraph" w:styleId="38">
    <w:name w:val="Balloon Text"/>
    <w:basedOn w:val="1"/>
    <w:link w:val="100"/>
    <w:qFormat/>
    <w:uiPriority w:val="0"/>
    <w:pPr>
      <w:adjustRightInd w:val="0"/>
    </w:pPr>
    <w:rPr>
      <w:sz w:val="18"/>
      <w:szCs w:val="18"/>
    </w:rPr>
  </w:style>
  <w:style w:type="paragraph" w:styleId="39">
    <w:name w:val="footer"/>
    <w:basedOn w:val="1"/>
    <w:link w:val="80"/>
    <w:unhideWhenUsed/>
    <w:qFormat/>
    <w:uiPriority w:val="0"/>
    <w:pPr>
      <w:tabs>
        <w:tab w:val="center" w:pos="4153"/>
        <w:tab w:val="right" w:pos="8306"/>
      </w:tabs>
      <w:snapToGrid w:val="0"/>
      <w:jc w:val="left"/>
    </w:pPr>
    <w:rPr>
      <w:sz w:val="18"/>
      <w:szCs w:val="18"/>
    </w:rPr>
  </w:style>
  <w:style w:type="paragraph" w:styleId="4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7"/>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4"/>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6">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8">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1"/>
    <w:next w:val="21"/>
    <w:link w:val="290"/>
    <w:qFormat/>
    <w:uiPriority w:val="0"/>
    <w:rPr>
      <w:b/>
      <w:bCs/>
      <w:lang w:val="zh-CN"/>
    </w:rPr>
  </w:style>
  <w:style w:type="paragraph" w:styleId="61">
    <w:name w:val="Body Text First Indent 2"/>
    <w:basedOn w:val="25"/>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0"/>
    <w:qFormat/>
    <w:uiPriority w:val="0"/>
    <w:rPr>
      <w:sz w:val="18"/>
      <w:szCs w:val="18"/>
    </w:rPr>
  </w:style>
  <w:style w:type="character" w:customStyle="1" w:styleId="80">
    <w:name w:val="页脚 Char"/>
    <w:basedOn w:val="69"/>
    <w:link w:val="39"/>
    <w:qFormat/>
    <w:uiPriority w:val="0"/>
    <w:rPr>
      <w:sz w:val="18"/>
      <w:szCs w:val="18"/>
    </w:rPr>
  </w:style>
  <w:style w:type="character" w:customStyle="1" w:styleId="81">
    <w:name w:val="标题 1 Char"/>
    <w:basedOn w:val="69"/>
    <w:link w:val="4"/>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5"/>
    <w:qFormat/>
    <w:uiPriority w:val="0"/>
    <w:rPr>
      <w:rFonts w:ascii="仿宋_GB2312" w:hAnsi="仿宋" w:eastAsia="仿宋_GB2312" w:cs="Times New Roman"/>
      <w:b/>
      <w:bCs/>
      <w:sz w:val="32"/>
      <w:szCs w:val="32"/>
      <w:lang w:val="zh-CN"/>
    </w:rPr>
  </w:style>
  <w:style w:type="character" w:customStyle="1" w:styleId="83">
    <w:name w:val="标题 3 Char"/>
    <w:basedOn w:val="69"/>
    <w:link w:val="6"/>
    <w:qFormat/>
    <w:uiPriority w:val="0"/>
    <w:rPr>
      <w:rFonts w:ascii="Times New Roman" w:hAnsi="Times New Roman" w:eastAsia="宋体" w:cs="Times New Roman"/>
      <w:b/>
      <w:bCs/>
      <w:sz w:val="32"/>
      <w:szCs w:val="32"/>
    </w:rPr>
  </w:style>
  <w:style w:type="character" w:customStyle="1" w:styleId="84">
    <w:name w:val="标题 4 Char"/>
    <w:basedOn w:val="69"/>
    <w:link w:val="7"/>
    <w:qFormat/>
    <w:uiPriority w:val="0"/>
    <w:rPr>
      <w:rFonts w:ascii="Arial" w:hAnsi="Arial" w:eastAsia="黑体" w:cs="Times New Roman"/>
      <w:b/>
      <w:bCs/>
      <w:sz w:val="28"/>
      <w:szCs w:val="28"/>
      <w:lang w:val="zh-CN"/>
    </w:rPr>
  </w:style>
  <w:style w:type="character" w:customStyle="1" w:styleId="85">
    <w:name w:val="标题 5 Char"/>
    <w:basedOn w:val="69"/>
    <w:link w:val="8"/>
    <w:qFormat/>
    <w:uiPriority w:val="0"/>
    <w:rPr>
      <w:rFonts w:ascii="Times New Roman" w:hAnsi="Times New Roman" w:eastAsia="宋体" w:cs="Times New Roman"/>
      <w:b/>
      <w:bCs/>
      <w:sz w:val="28"/>
      <w:szCs w:val="28"/>
      <w:lang w:val="zh-CN"/>
    </w:rPr>
  </w:style>
  <w:style w:type="character" w:customStyle="1" w:styleId="86">
    <w:name w:val="标题 6 Char"/>
    <w:basedOn w:val="69"/>
    <w:link w:val="9"/>
    <w:qFormat/>
    <w:uiPriority w:val="0"/>
    <w:rPr>
      <w:rFonts w:ascii="Arial" w:hAnsi="Arial" w:eastAsia="黑体" w:cs="Times New Roman"/>
      <w:b/>
      <w:bCs/>
      <w:sz w:val="24"/>
      <w:szCs w:val="24"/>
      <w:lang w:val="zh-CN"/>
    </w:rPr>
  </w:style>
  <w:style w:type="character" w:customStyle="1" w:styleId="87">
    <w:name w:val="标题 7 Char"/>
    <w:basedOn w:val="69"/>
    <w:link w:val="10"/>
    <w:qFormat/>
    <w:uiPriority w:val="0"/>
    <w:rPr>
      <w:rFonts w:ascii="Times New Roman" w:hAnsi="Times New Roman" w:eastAsia="宋体" w:cs="Times New Roman"/>
      <w:b/>
      <w:bCs/>
      <w:sz w:val="24"/>
      <w:szCs w:val="24"/>
      <w:lang w:val="zh-CN"/>
    </w:rPr>
  </w:style>
  <w:style w:type="character" w:customStyle="1" w:styleId="88">
    <w:name w:val="标题 8 Char"/>
    <w:basedOn w:val="69"/>
    <w:link w:val="11"/>
    <w:qFormat/>
    <w:uiPriority w:val="0"/>
    <w:rPr>
      <w:rFonts w:ascii="Arial" w:hAnsi="Arial" w:eastAsia="黑体" w:cs="Times New Roman"/>
      <w:sz w:val="24"/>
      <w:szCs w:val="24"/>
      <w:lang w:val="zh-CN"/>
    </w:rPr>
  </w:style>
  <w:style w:type="character" w:customStyle="1" w:styleId="89">
    <w:name w:val="标题 9 Char"/>
    <w:basedOn w:val="69"/>
    <w:link w:val="12"/>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2"/>
    <w:qFormat/>
    <w:uiPriority w:val="0"/>
    <w:rPr>
      <w:rFonts w:ascii="仿宋_GB2312" w:eastAsia="仿宋_GB2312"/>
      <w:sz w:val="28"/>
    </w:rPr>
  </w:style>
  <w:style w:type="character" w:customStyle="1" w:styleId="93">
    <w:name w:val="正文文本 3 Char"/>
    <w:basedOn w:val="69"/>
    <w:link w:val="23"/>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0"/>
    <w:qFormat/>
    <w:uiPriority w:val="0"/>
    <w:rPr>
      <w:rFonts w:ascii="宋体" w:hAnsi="宋体"/>
      <w:i/>
      <w:iCs/>
      <w:sz w:val="24"/>
      <w:szCs w:val="24"/>
    </w:rPr>
  </w:style>
  <w:style w:type="character" w:customStyle="1" w:styleId="97">
    <w:name w:val="纯文本 Char"/>
    <w:basedOn w:val="69"/>
    <w:link w:val="33"/>
    <w:qFormat/>
    <w:uiPriority w:val="0"/>
    <w:rPr>
      <w:rFonts w:ascii="宋体" w:hAnsi="Courier New" w:eastAsia="宋体" w:cs="Arial"/>
      <w:snapToGrid w:val="0"/>
      <w:szCs w:val="21"/>
    </w:rPr>
  </w:style>
  <w:style w:type="character" w:customStyle="1" w:styleId="98">
    <w:name w:val="日期 Char"/>
    <w:basedOn w:val="69"/>
    <w:link w:val="36"/>
    <w:qFormat/>
    <w:uiPriority w:val="0"/>
    <w:rPr>
      <w:rFonts w:ascii="宋体"/>
      <w:sz w:val="24"/>
      <w:szCs w:val="21"/>
      <w:lang w:val="zh-CN"/>
    </w:rPr>
  </w:style>
  <w:style w:type="character" w:customStyle="1" w:styleId="99">
    <w:name w:val="正文文本缩进 2 Char"/>
    <w:basedOn w:val="69"/>
    <w:link w:val="37"/>
    <w:qFormat/>
    <w:uiPriority w:val="0"/>
    <w:rPr>
      <w:rFonts w:ascii="宋体"/>
      <w:sz w:val="28"/>
    </w:rPr>
  </w:style>
  <w:style w:type="character" w:customStyle="1" w:styleId="100">
    <w:name w:val="批注框文本 Char"/>
    <w:basedOn w:val="69"/>
    <w:link w:val="38"/>
    <w:qFormat/>
    <w:uiPriority w:val="0"/>
    <w:rPr>
      <w:sz w:val="18"/>
      <w:szCs w:val="18"/>
    </w:rPr>
  </w:style>
  <w:style w:type="character" w:customStyle="1" w:styleId="101">
    <w:name w:val="签名 Char"/>
    <w:basedOn w:val="69"/>
    <w:link w:val="41"/>
    <w:qFormat/>
    <w:uiPriority w:val="0"/>
    <w:rPr>
      <w:rFonts w:eastAsia="仿宋_GB2312"/>
      <w:sz w:val="24"/>
    </w:rPr>
  </w:style>
  <w:style w:type="character" w:customStyle="1" w:styleId="102">
    <w:name w:val="副标题 Char"/>
    <w:basedOn w:val="69"/>
    <w:link w:val="46"/>
    <w:qFormat/>
    <w:uiPriority w:val="0"/>
    <w:rPr>
      <w:rFonts w:ascii="Arial" w:hAnsi="Arial" w:eastAsia="隶书"/>
      <w:b/>
      <w:bCs/>
      <w:kern w:val="28"/>
      <w:sz w:val="44"/>
      <w:szCs w:val="32"/>
    </w:rPr>
  </w:style>
  <w:style w:type="character" w:customStyle="1" w:styleId="103">
    <w:name w:val="脚注文本 Char"/>
    <w:basedOn w:val="69"/>
    <w:link w:val="49"/>
    <w:qFormat/>
    <w:uiPriority w:val="0"/>
    <w:rPr>
      <w:color w:val="0000FF"/>
    </w:rPr>
  </w:style>
  <w:style w:type="character" w:customStyle="1" w:styleId="104">
    <w:name w:val="正文文本缩进 3 Char"/>
    <w:basedOn w:val="69"/>
    <w:link w:val="52"/>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7"/>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3"/>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7"/>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7"/>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7"/>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5"/>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1"/>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20"/>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5"/>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6"/>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7"/>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5"/>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5"/>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5"/>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8"/>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8"/>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9"/>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20"/>
    <w:qFormat/>
    <w:uiPriority w:val="0"/>
    <w:pPr>
      <w:snapToGrid w:val="0"/>
      <w:spacing w:line="360" w:lineRule="auto"/>
    </w:pPr>
  </w:style>
  <w:style w:type="paragraph" w:customStyle="1" w:styleId="45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6"/>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5"/>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5"/>
    <w:next w:val="1"/>
    <w:qFormat/>
    <w:uiPriority w:val="0"/>
    <w:pPr>
      <w:numPr>
        <w:ilvl w:val="1"/>
        <w:numId w:val="6"/>
      </w:numPr>
    </w:pPr>
    <w:rPr>
      <w:rFonts w:ascii="Times New Roman" w:eastAsia="宋体"/>
      <w:i/>
      <w:sz w:val="36"/>
      <w:szCs w:val="36"/>
      <w:lang w:val="en-US"/>
    </w:rPr>
  </w:style>
  <w:style w:type="paragraph" w:customStyle="1" w:styleId="47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4"/>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4"/>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7"/>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7"/>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7"/>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5"/>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4"/>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8"/>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5"/>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5"/>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5"/>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6"/>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7"/>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1"/>
    <w:next w:val="21"/>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正文首行缩进（深信服）"/>
    <w:basedOn w:val="934"/>
    <w:qFormat/>
    <w:uiPriority w:val="0"/>
    <w:pPr>
      <w:spacing w:after="50"/>
      <w:ind w:firstLine="480" w:firstLineChars="200"/>
    </w:pPr>
  </w:style>
  <w:style w:type="paragraph" w:customStyle="1" w:styleId="934">
    <w:name w:val="正文（深信服）"/>
    <w:qFormat/>
    <w:uiPriority w:val="0"/>
    <w:pPr>
      <w:spacing w:line="360" w:lineRule="auto"/>
      <w:ind w:firstLine="420"/>
    </w:pPr>
    <w:rPr>
      <w:rFonts w:ascii="Arial" w:hAnsi="Arial" w:eastAsia="等线" w:cs="Times New Roman"/>
      <w:sz w:val="24"/>
      <w:szCs w:val="21"/>
      <w:shd w:val="clear" w:color="auto" w:fill="FFFFFF"/>
      <w:lang w:val="en-US" w:eastAsia="zh-CN" w:bidi="ar-SA"/>
    </w:rPr>
  </w:style>
  <w:style w:type="paragraph" w:customStyle="1" w:styleId="935">
    <w:name w:val="!我的正文 Ctr+Q"/>
    <w:basedOn w:val="1"/>
    <w:qFormat/>
    <w:uiPriority w:val="0"/>
    <w:pPr>
      <w:adjustRightInd w:val="0"/>
      <w:snapToGrid w:val="0"/>
      <w:spacing w:line="360" w:lineRule="auto"/>
      <w:ind w:firstLine="480" w:firstLineChars="200"/>
    </w:pPr>
    <w:rPr>
      <w:rFonts w:ascii="Arial" w:hAnsi="Arial"/>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37</TotalTime>
  <ScaleCrop>false</ScaleCrop>
  <LinksUpToDate>false</LinksUpToDate>
  <CharactersWithSpaces>45682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Administrator</cp:lastModifiedBy>
  <dcterms:modified xsi:type="dcterms:W3CDTF">2021-11-12T03:09:53Z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F0D3B767158F4509A37E4175EB2E56E9</vt:lpwstr>
  </property>
</Properties>
</file>