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spacing w:line="360" w:lineRule="auto"/>
        <w:jc w:val="center"/>
        <w:rPr>
          <w:rFonts w:hint="eastAsia" w:ascii="仿宋_GB2312" w:hAnsi="仿宋" w:eastAsia="仿宋_GB2312" w:cs="仿宋_GB2312"/>
          <w:b w:val="0"/>
          <w:bCs/>
          <w:sz w:val="56"/>
          <w:szCs w:val="56"/>
        </w:rPr>
      </w:pPr>
      <w:r>
        <w:rPr>
          <w:rFonts w:hint="eastAsia" w:ascii="仿宋_GB2312" w:hAnsi="仿宋" w:eastAsia="仿宋_GB2312" w:cs="仿宋_GB2312"/>
          <w:b w:val="0"/>
          <w:bCs/>
          <w:sz w:val="56"/>
          <w:szCs w:val="56"/>
          <w:lang w:eastAsia="zh-CN"/>
        </w:rPr>
        <w:t>杭州市临安区</w:t>
      </w:r>
      <w:r>
        <w:rPr>
          <w:rFonts w:hint="eastAsia" w:ascii="仿宋_GB2312" w:hAnsi="仿宋" w:eastAsia="仿宋_GB2312" w:cs="仿宋_GB2312"/>
          <w:b w:val="0"/>
          <w:bCs/>
          <w:sz w:val="56"/>
          <w:szCs w:val="56"/>
        </w:rPr>
        <w:t>国际商务中心2#、4#楼会议室音视频系统</w:t>
      </w:r>
      <w:r>
        <w:rPr>
          <w:rFonts w:hint="eastAsia" w:ascii="仿宋_GB2312" w:hAnsi="仿宋" w:eastAsia="仿宋_GB2312" w:cs="仿宋_GB2312"/>
          <w:b w:val="0"/>
          <w:bCs/>
          <w:sz w:val="56"/>
          <w:szCs w:val="56"/>
          <w:lang w:eastAsia="zh-CN"/>
        </w:rPr>
        <w:t>重新采购</w:t>
      </w:r>
      <w:r>
        <w:rPr>
          <w:rFonts w:hint="eastAsia" w:ascii="仿宋_GB2312" w:hAnsi="仿宋" w:eastAsia="仿宋_GB2312" w:cs="仿宋_GB2312"/>
          <w:b w:val="0"/>
          <w:bCs/>
          <w:sz w:val="56"/>
          <w:szCs w:val="56"/>
        </w:rPr>
        <w:t>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val="en-US" w:eastAsia="zh-CN"/>
        </w:rPr>
        <w:t>LZC</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GK-</w:t>
      </w:r>
      <w:r>
        <w:rPr>
          <w:rFonts w:hint="eastAsia" w:ascii="仿宋_GB2312" w:hAnsi="仿宋" w:eastAsia="仿宋_GB2312" w:cs="仿宋_GB2312"/>
          <w:sz w:val="30"/>
          <w:szCs w:val="30"/>
        </w:rPr>
        <w:t>2021-</w:t>
      </w:r>
      <w:r>
        <w:rPr>
          <w:rFonts w:hint="eastAsia" w:ascii="仿宋_GB2312" w:hAnsi="仿宋" w:eastAsia="仿宋_GB2312" w:cs="仿宋_GB2312"/>
          <w:sz w:val="30"/>
          <w:szCs w:val="30"/>
          <w:lang w:val="en-US" w:eastAsia="zh-CN"/>
        </w:rPr>
        <w:t>09068-1</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浙江杭州青山湖科技城投资集团有限公司</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宋体" w:hAnsi="宋体" w:eastAsia="宋体" w:cs="宋体"/>
          <w:bCs/>
          <w:sz w:val="32"/>
          <w:szCs w:val="32"/>
        </w:rPr>
        <w:t>一</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十一</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二十三</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sz w:val="24"/>
          <w:szCs w:val="24"/>
        </w:rPr>
        <w:t>.</w:t>
      </w:r>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lang w:eastAsia="zh-CN"/>
        </w:rPr>
        <w:t>杭州市临安区</w:t>
      </w:r>
      <w:r>
        <w:rPr>
          <w:rFonts w:hint="eastAsia" w:ascii="仿宋_GB2312" w:hAnsi="仿宋" w:eastAsia="仿宋_GB2312" w:cs="Times New Roman"/>
          <w:sz w:val="24"/>
          <w:szCs w:val="24"/>
          <w:highlight w:val="none"/>
        </w:rPr>
        <w:t>国际商务中心2#、4#楼会议室音视频系统</w:t>
      </w:r>
      <w:r>
        <w:rPr>
          <w:rFonts w:hint="eastAsia" w:ascii="仿宋_GB2312" w:hAnsi="仿宋" w:eastAsia="仿宋_GB2312" w:cs="Times New Roman"/>
          <w:sz w:val="24"/>
          <w:szCs w:val="24"/>
          <w:highlight w:val="none"/>
          <w:lang w:eastAsia="zh-CN"/>
        </w:rPr>
        <w:t>重新采购</w:t>
      </w:r>
      <w:r>
        <w:rPr>
          <w:rFonts w:hint="eastAsia" w:ascii="仿宋_GB2312" w:hAnsi="仿宋" w:eastAsia="仿宋_GB2312" w:cs="Times New Roman"/>
          <w:sz w:val="24"/>
          <w:szCs w:val="24"/>
          <w:highlight w:val="none"/>
        </w:rPr>
        <w:t>项目招标项目的潜在投标人应在政采云平台（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_GB2312" w:hAnsi="仿宋" w:eastAsia="仿宋_GB2312" w:cs="Times New Roman"/>
          <w:sz w:val="24"/>
          <w:szCs w:val="24"/>
          <w:highlight w:val="none"/>
        </w:rPr>
        <w:t>https://www.zcygov.cn/）获取（下载）招标文件，并于2021年</w:t>
      </w:r>
      <w:r>
        <w:rPr>
          <w:rFonts w:hint="eastAsia" w:ascii="仿宋_GB2312" w:hAnsi="仿宋" w:eastAsia="仿宋_GB2312" w:cs="Times New Roman"/>
          <w:sz w:val="24"/>
          <w:szCs w:val="24"/>
          <w:highlight w:val="none"/>
        </w:rPr>
        <w:fldChar w:fldCharType="end"/>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14</w:t>
      </w:r>
      <w:r>
        <w:rPr>
          <w:rFonts w:hint="eastAsia" w:ascii="仿宋_GB2312" w:hAnsi="仿宋" w:eastAsia="仿宋_GB2312" w:cs="Times New Roman"/>
          <w:sz w:val="24"/>
          <w:szCs w:val="24"/>
          <w:highlight w:val="none"/>
        </w:rPr>
        <w:t>日</w:t>
      </w:r>
      <w:r>
        <w:rPr>
          <w:rFonts w:hint="eastAsia" w:ascii="仿宋_GB2312" w:hAnsi="仿宋" w:eastAsia="仿宋_GB2312" w:cs="Times New Roman"/>
          <w:sz w:val="24"/>
          <w:szCs w:val="24"/>
          <w:highlight w:val="none"/>
          <w:lang w:val="en-US" w:eastAsia="zh-CN"/>
        </w:rPr>
        <w:t>13</w:t>
      </w:r>
      <w:r>
        <w:rPr>
          <w:rFonts w:hint="eastAsia" w:ascii="仿宋_GB2312" w:hAnsi="仿宋" w:eastAsia="仿宋_GB2312" w:cs="Times New Roman"/>
          <w:sz w:val="24"/>
          <w:szCs w:val="24"/>
          <w:highlight w:val="none"/>
        </w:rPr>
        <w:t>点</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分00秒（北</w:t>
      </w:r>
      <w:r>
        <w:rPr>
          <w:rFonts w:hint="eastAsia" w:ascii="仿宋_GB2312" w:hAnsi="仿宋" w:eastAsia="仿宋_GB2312" w:cs="Times New Roman"/>
          <w:sz w:val="24"/>
          <w:szCs w:val="24"/>
        </w:rPr>
        <w:t xml:space="preserve">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b w:val="0"/>
          <w:bCs/>
          <w:sz w:val="24"/>
          <w:szCs w:val="24"/>
          <w:lang w:val="en-US"/>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b w:val="0"/>
          <w:bCs/>
          <w:sz w:val="24"/>
          <w:szCs w:val="24"/>
          <w:lang w:val="en-US" w:eastAsia="zh-CN"/>
        </w:rPr>
        <w:t>LZC</w:t>
      </w:r>
      <w:r>
        <w:rPr>
          <w:rFonts w:hint="eastAsia" w:ascii="仿宋_GB2312" w:hAnsi="仿宋" w:eastAsia="仿宋_GB2312" w:cs="Times New Roman"/>
          <w:b w:val="0"/>
          <w:bCs/>
          <w:sz w:val="24"/>
          <w:szCs w:val="24"/>
        </w:rPr>
        <w:t>-</w:t>
      </w:r>
      <w:r>
        <w:rPr>
          <w:rFonts w:hint="eastAsia" w:ascii="仿宋_GB2312" w:hAnsi="仿宋" w:eastAsia="仿宋_GB2312" w:cs="Times New Roman"/>
          <w:b w:val="0"/>
          <w:bCs/>
          <w:sz w:val="24"/>
          <w:szCs w:val="24"/>
          <w:lang w:val="en-US" w:eastAsia="zh-CN"/>
        </w:rPr>
        <w:t>GK-</w:t>
      </w:r>
      <w:r>
        <w:rPr>
          <w:rFonts w:hint="eastAsia" w:ascii="仿宋_GB2312" w:hAnsi="仿宋" w:eastAsia="仿宋_GB2312" w:cs="Times New Roman"/>
          <w:b w:val="0"/>
          <w:bCs/>
          <w:sz w:val="24"/>
          <w:szCs w:val="24"/>
        </w:rPr>
        <w:t>2021-</w:t>
      </w:r>
      <w:r>
        <w:rPr>
          <w:rFonts w:hint="eastAsia" w:ascii="仿宋_GB2312" w:hAnsi="仿宋" w:eastAsia="仿宋_GB2312" w:cs="Times New Roman"/>
          <w:b w:val="0"/>
          <w:bCs/>
          <w:sz w:val="24"/>
          <w:szCs w:val="24"/>
          <w:lang w:val="en-US" w:eastAsia="zh-CN"/>
        </w:rPr>
        <w:t>09068-1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 xml:space="preserve"> 项目名称：</w:t>
      </w:r>
      <w:r>
        <w:rPr>
          <w:rFonts w:hint="eastAsia" w:ascii="仿宋_GB2312" w:hAnsi="仿宋" w:eastAsia="仿宋_GB2312" w:cs="Times New Roman"/>
          <w:b w:val="0"/>
          <w:bCs/>
          <w:sz w:val="24"/>
          <w:szCs w:val="24"/>
          <w:lang w:eastAsia="zh-CN"/>
        </w:rPr>
        <w:t>杭州市临安区</w:t>
      </w:r>
      <w:r>
        <w:rPr>
          <w:rFonts w:hint="eastAsia" w:ascii="仿宋_GB2312" w:hAnsi="仿宋" w:eastAsia="仿宋_GB2312" w:cs="Times New Roman"/>
          <w:b w:val="0"/>
          <w:bCs/>
          <w:sz w:val="24"/>
          <w:szCs w:val="24"/>
        </w:rPr>
        <w:t>国际商务中心2#、4#楼会议室音视频系统</w:t>
      </w:r>
      <w:r>
        <w:rPr>
          <w:rFonts w:hint="eastAsia" w:ascii="仿宋_GB2312" w:hAnsi="仿宋" w:eastAsia="仿宋_GB2312" w:cs="Times New Roman"/>
          <w:b w:val="0"/>
          <w:bCs/>
          <w:sz w:val="24"/>
          <w:szCs w:val="24"/>
          <w:lang w:eastAsia="zh-CN"/>
        </w:rPr>
        <w:t>重新采购</w:t>
      </w:r>
      <w:r>
        <w:rPr>
          <w:rFonts w:hint="eastAsia" w:ascii="仿宋_GB2312" w:hAnsi="仿宋" w:eastAsia="仿宋_GB2312" w:cs="Times New Roman"/>
          <w:b w:val="0"/>
          <w:bCs/>
          <w:sz w:val="24"/>
          <w:szCs w:val="24"/>
        </w:rPr>
        <w:t>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7500000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b/>
          <w:sz w:val="24"/>
          <w:szCs w:val="24"/>
        </w:rPr>
        <w:t>最高限价（元）：</w:t>
      </w:r>
      <w:r>
        <w:rPr>
          <w:rFonts w:hint="eastAsia" w:ascii="仿宋_GB2312" w:hAnsi="仿宋" w:eastAsia="仿宋_GB2312" w:cs="Times New Roman"/>
          <w:sz w:val="24"/>
          <w:szCs w:val="24"/>
          <w:lang w:val="en-US" w:eastAsia="zh-CN"/>
        </w:rPr>
        <w:t>7500000</w:t>
      </w:r>
    </w:p>
    <w:p>
      <w:pPr>
        <w:spacing w:line="360" w:lineRule="auto"/>
        <w:ind w:firstLine="482" w:firstLineChars="200"/>
        <w:rPr>
          <w:rFonts w:ascii="仿宋_GB2312" w:hAnsi="仿宋" w:eastAsia="仿宋_GB2312" w:cs="仿宋_GB2312"/>
          <w:b w:val="0"/>
          <w:bCs/>
          <w:sz w:val="24"/>
          <w:szCs w:val="24"/>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val="en-US" w:eastAsia="zh-CN"/>
        </w:rPr>
        <w:t>本项目位于杭州市临安区科技大道国际商务中心二号楼及四号楼，项目内容主要涉及三个部分：二号楼会议室音视频系统；二号楼档案系统内网专网设备及部分档案系统专用设备；四号楼四层会议中心音视频系统及一层LED屏系统。</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备注：无</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b w:val="0"/>
          <w:bCs/>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中标人应在合同签订后60日历天内供货、安装、调试完成。</w:t>
      </w:r>
      <w:r>
        <w:rPr>
          <w:rFonts w:hint="eastAsia" w:ascii="仿宋_GB2312" w:hAnsi="Times New Roman" w:eastAsia="仿宋_GB2312" w:cs="Times New Roman"/>
          <w:b w:val="0"/>
          <w:bCs/>
          <w:sz w:val="24"/>
          <w:szCs w:val="24"/>
        </w:rPr>
        <w:t xml:space="preserve"> </w:t>
      </w:r>
    </w:p>
    <w:p>
      <w:pPr>
        <w:adjustRightInd w:val="0"/>
        <w:spacing w:line="360" w:lineRule="auto"/>
        <w:ind w:firstLine="480"/>
        <w:rPr>
          <w:rFonts w:ascii="仿宋_GB2312" w:hAnsi="仿宋" w:eastAsia="仿宋_GB2312" w:cs="Times New Roman"/>
          <w:b/>
          <w:sz w:val="24"/>
          <w:szCs w:val="24"/>
        </w:rPr>
      </w:pPr>
      <w:r>
        <w:rPr>
          <w:rFonts w:hint="eastAsia" w:ascii="仿宋_GB2312" w:hAnsi="仿宋" w:eastAsia="仿宋_GB2312" w:cs="Times New Roman"/>
          <w:b/>
          <w:sz w:val="24"/>
          <w:szCs w:val="24"/>
        </w:rPr>
        <w:t>本项</w:t>
      </w:r>
      <w:r>
        <w:rPr>
          <w:rFonts w:hint="eastAsia" w:ascii="仿宋_GB2312" w:hAnsi="仿宋" w:eastAsia="仿宋_GB2312" w:cs="Times New Roman"/>
          <w:b/>
          <w:sz w:val="24"/>
          <w:szCs w:val="24"/>
          <w:highlight w:val="none"/>
        </w:rPr>
        <w:t>目（否）接受联</w:t>
      </w:r>
      <w:r>
        <w:rPr>
          <w:rFonts w:hint="eastAsia" w:ascii="仿宋_GB2312" w:hAnsi="仿宋" w:eastAsia="仿宋_GB2312" w:cs="Times New Roman"/>
          <w:b/>
          <w:sz w:val="24"/>
          <w:szCs w:val="24"/>
        </w:rPr>
        <w:t>合体投标。</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adjustRightInd w:val="0"/>
        <w:spacing w:line="360" w:lineRule="auto"/>
        <w:ind w:firstLine="480" w:firstLineChars="200"/>
        <w:rPr>
          <w:rFonts w:ascii="仿宋_GB2312" w:hAnsi="仿宋" w:eastAsia="仿宋_GB2312" w:cs="Times New Roman"/>
          <w:color w:val="auto"/>
          <w:sz w:val="24"/>
          <w:szCs w:val="24"/>
        </w:rPr>
      </w:pPr>
      <w:r>
        <w:rPr>
          <w:rFonts w:hint="eastAsia" w:ascii="仿宋_GB2312" w:hAnsi="仿宋" w:eastAsia="仿宋_GB2312" w:cs="Times New Roman"/>
          <w:sz w:val="24"/>
          <w:szCs w:val="24"/>
        </w:rPr>
        <w:t>1.满足《中华人民共和国政府采</w:t>
      </w:r>
      <w:r>
        <w:rPr>
          <w:rFonts w:hint="eastAsia" w:ascii="仿宋_GB2312" w:hAnsi="仿宋" w:eastAsia="仿宋_GB2312" w:cs="Times New Roman"/>
          <w:color w:val="auto"/>
          <w:sz w:val="24"/>
          <w:szCs w:val="24"/>
        </w:rPr>
        <w:t>购法》第二十二条规定；</w:t>
      </w:r>
    </w:p>
    <w:p>
      <w:pPr>
        <w:adjustRightIn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rPr>
        <w:t>2.落实政府采购政策需满足的资格要求：无；</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/至2021年</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14</w:t>
      </w:r>
      <w:r>
        <w:rPr>
          <w:rFonts w:hint="eastAsia" w:ascii="仿宋_GB2312" w:hAnsi="仿宋" w:eastAsia="仿宋_GB2312" w:cs="Times New Roman"/>
          <w:sz w:val="24"/>
          <w:szCs w:val="24"/>
          <w:highlight w:val="none"/>
        </w:rPr>
        <w:t>日 ，每天上午00:00至12:00 ，下午12:00至23:59（北京时间，线上获取法定节假日均</w:t>
      </w:r>
      <w:r>
        <w:rPr>
          <w:rFonts w:hint="eastAsia" w:ascii="仿宋_GB2312" w:hAnsi="仿宋" w:eastAsia="仿宋_GB2312" w:cs="Times New Roman"/>
          <w:sz w:val="24"/>
          <w:szCs w:val="24"/>
        </w:rPr>
        <w:t>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b w:val="0"/>
          <w:bCs/>
          <w:sz w:val="24"/>
          <w:szCs w:val="24"/>
          <w:lang w:eastAsia="zh-CN"/>
        </w:rPr>
        <w:t>浙江政府采购网</w:t>
      </w:r>
      <w:r>
        <w:rPr>
          <w:rFonts w:hint="eastAsia" w:ascii="仿宋_GB2312" w:hAnsi="仿宋" w:eastAsia="仿宋_GB2312" w:cs="Times New Roman"/>
          <w:b w:val="0"/>
          <w:bCs/>
          <w:sz w:val="24"/>
          <w:szCs w:val="24"/>
        </w:rPr>
        <w:t>（</w:t>
      </w:r>
      <w:r>
        <w:rPr>
          <w:rFonts w:hint="eastAsia" w:ascii="仿宋_GB2312" w:hAnsi="仿宋" w:eastAsia="仿宋_GB2312" w:cs="Times New Roman"/>
          <w:sz w:val="24"/>
          <w:szCs w:val="24"/>
        </w:rPr>
        <w:t xml:space="preserve">https://zfcg.czt.zj.gov.cn/）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方式：</w:t>
      </w:r>
      <w:r>
        <w:rPr>
          <w:rFonts w:hint="eastAsia" w:ascii="仿宋_GB2312" w:hAnsi="仿宋" w:eastAsia="仿宋_GB2312" w:cs="Times New Roman"/>
          <w:sz w:val="24"/>
          <w:szCs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提交投标文件截止时间：</w:t>
      </w:r>
      <w:r>
        <w:rPr>
          <w:rFonts w:hint="eastAsia" w:ascii="仿宋_GB2312" w:hAnsi="仿宋" w:eastAsia="仿宋_GB2312" w:cs="Times New Roman"/>
          <w:sz w:val="24"/>
          <w:szCs w:val="24"/>
          <w:u w:val="single"/>
        </w:rPr>
        <w:t>2</w:t>
      </w:r>
      <w:r>
        <w:rPr>
          <w:rFonts w:hint="eastAsia" w:ascii="仿宋_GB2312" w:hAnsi="仿宋" w:eastAsia="仿宋_GB2312" w:cs="Times New Roman"/>
          <w:sz w:val="24"/>
          <w:szCs w:val="24"/>
          <w:highlight w:val="none"/>
          <w:u w:val="single"/>
        </w:rPr>
        <w:t>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14</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14</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称：浙江杭州青山湖科技城投资集团有限公司</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址：青山湖科技城星港路1519号</w:t>
      </w:r>
      <w:r>
        <w:rPr>
          <w:rFonts w:hint="eastAsia" w:ascii="仿宋" w:hAnsi="仿宋" w:eastAsia="仿宋" w:cs="仿宋"/>
          <w:sz w:val="24"/>
        </w:rPr>
        <w:t xml:space="preserve"> </w:t>
      </w:r>
    </w:p>
    <w:p>
      <w:pPr>
        <w:adjustRightInd w:val="0"/>
        <w:spacing w:line="360" w:lineRule="auto"/>
        <w:ind w:firstLine="480"/>
        <w:rPr>
          <w:rFonts w:hint="eastAsia" w:ascii="仿宋" w:hAnsi="仿宋" w:eastAsia="仿宋" w:cs="仿宋"/>
          <w:sz w:val="24"/>
          <w:lang w:val="en-US" w:eastAsia="zh-CN"/>
        </w:rPr>
      </w:pPr>
      <w:r>
        <w:rPr>
          <w:rFonts w:ascii="仿宋_GB2312" w:hAnsi="仿宋" w:eastAsia="仿宋_GB2312" w:cs="Times New Roman"/>
          <w:sz w:val="24"/>
          <w:szCs w:val="24"/>
        </w:rPr>
        <w:t>传    真：</w:t>
      </w:r>
      <w:r>
        <w:rPr>
          <w:rFonts w:hint="eastAsia" w:ascii="仿宋" w:hAnsi="仿宋" w:eastAsia="仿宋" w:cs="仿宋"/>
          <w:sz w:val="24"/>
        </w:rPr>
        <w:t xml:space="preserve"> </w:t>
      </w:r>
      <w:r>
        <w:rPr>
          <w:rFonts w:hint="eastAsia" w:ascii="仿宋" w:hAnsi="仿宋" w:eastAsia="仿宋" w:cs="仿宋"/>
          <w:sz w:val="24"/>
          <w:lang w:val="en-US" w:eastAsia="zh-CN"/>
        </w:rPr>
        <w:t>/</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项目联系人（询问）：吴月娣</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项目联系方式（询问）：0571-63811861</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w:t>
      </w:r>
      <w:r>
        <w:rPr>
          <w:rFonts w:hint="eastAsia" w:ascii="仿宋_GB2312" w:hAnsi="仿宋" w:eastAsia="仿宋_GB2312" w:cs="Times New Roman"/>
          <w:sz w:val="24"/>
          <w:szCs w:val="24"/>
        </w:rPr>
        <w:t>孙达</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w:t>
      </w:r>
      <w:r>
        <w:rPr>
          <w:rFonts w:hint="eastAsia" w:ascii="仿宋_GB2312" w:hAnsi="仿宋" w:eastAsia="仿宋_GB2312" w:cs="Times New Roman"/>
          <w:sz w:val="24"/>
          <w:szCs w:val="24"/>
        </w:rPr>
        <w:t>0571-63811861</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w:t>
      </w:r>
      <w:r>
        <w:rPr>
          <w:rFonts w:hint="eastAsia" w:ascii="仿宋_GB2312" w:hAnsi="仿宋" w:eastAsia="仿宋_GB2312"/>
          <w:sz w:val="24"/>
        </w:rPr>
        <w:t>浙江杭州青山湖科技城管委会财政局</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杭州市临安区大园路岗阳街158号</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w:t>
      </w:r>
      <w:r>
        <w:rPr>
          <w:rFonts w:hint="eastAsia" w:ascii="仿宋_GB2312" w:hAnsi="仿宋" w:eastAsia="仿宋_GB2312"/>
          <w:b w:val="0"/>
          <w:bCs w:val="0"/>
          <w:sz w:val="24"/>
        </w:rPr>
        <w:t>周向荣</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w:t>
      </w:r>
      <w:r>
        <w:rPr>
          <w:rFonts w:hint="eastAsia" w:ascii="仿宋_GB2312" w:hAnsi="仿宋" w:eastAsia="仿宋_GB2312"/>
          <w:b w:val="0"/>
          <w:bCs w:val="0"/>
          <w:sz w:val="24"/>
        </w:rPr>
        <w:t>05</w:t>
      </w:r>
      <w:r>
        <w:rPr>
          <w:rFonts w:hint="eastAsia" w:ascii="仿宋_GB2312" w:hAnsi="仿宋" w:eastAsia="仿宋_GB2312"/>
          <w:sz w:val="24"/>
        </w:rPr>
        <w:t>71-58615225</w:t>
      </w:r>
      <w:r>
        <w:rPr>
          <w:rFonts w:hint="eastAsia" w:ascii="仿宋_GB2312" w:hAnsi="仿宋" w:eastAsia="仿宋_GB2312" w:cs="Times New Roman"/>
          <w:sz w:val="24"/>
          <w:szCs w:val="24"/>
        </w:rPr>
        <w:t xml:space="preserve">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kern w:val="0"/>
                <w:sz w:val="24"/>
                <w:szCs w:val="24"/>
                <w:lang w:val="zh-CN"/>
              </w:rPr>
              <w:t>有关本项目建设所需的费用均计入报价。</w:t>
            </w:r>
            <w:r>
              <w:rPr>
                <w:rFonts w:hint="eastAsia" w:ascii="仿宋_GB2312" w:hAnsi="仿宋" w:eastAsia="仿宋_GB2312" w:cs="Times New Roman"/>
                <w:sz w:val="24"/>
                <w:szCs w:val="24"/>
              </w:rPr>
              <w:t>《投标（开标）一览表》是报价的唯一载体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4"/>
                <w:lang w:val="zh-CN"/>
              </w:rPr>
              <w:t>。</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投标报价出现下列情形的，投标无效：</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kern w:val="0"/>
                <w:sz w:val="24"/>
                <w:szCs w:val="24"/>
                <w:lang w:val="zh-CN"/>
              </w:rPr>
              <w:t>投标文件出现不是唯一的、有选择性投标报价的；</w:t>
            </w:r>
          </w:p>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投标报价高于本项目采购预算或者最高限价的;</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Arial"/>
                <w:b/>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adjustRightInd w:val="0"/>
              <w:spacing w:line="360" w:lineRule="auto"/>
              <w:rPr>
                <w:rFonts w:ascii="仿宋_GB2312" w:hAnsi="仿宋" w:eastAsia="仿宋_GB2312" w:cs="仿宋_GB2312"/>
                <w:sz w:val="24"/>
                <w:szCs w:val="21"/>
              </w:rPr>
            </w:pPr>
            <w:r>
              <w:rPr>
                <w:rFonts w:hint="eastAsia" w:ascii="仿宋_GB2312" w:hAnsi="仿宋" w:eastAsia="仿宋_GB2312" w:cs="Times New Roman"/>
                <w:b/>
                <w:sz w:val="24"/>
                <w:szCs w:val="24"/>
              </w:rPr>
              <w:t>▲《投标（开标）一览表》填写不完整或字迹不能辨认或有漏项的；</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szCs w:val="24"/>
              </w:rPr>
              <w:t>▲投标人对根据修正原则修正后的报价不确认的</w:t>
            </w:r>
            <w:r>
              <w:rPr>
                <w:rFonts w:hint="eastAsia" w:ascii="仿宋_GB2312" w:hAnsi="仿宋"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（1）采购人不同意分包</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仿宋_GB2312"/>
                <w:b/>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sz w:val="24"/>
                <w:szCs w:val="20"/>
                <w:highlight w:val="none"/>
              </w:rPr>
            </w:pPr>
            <w:r>
              <w:rPr>
                <w:rFonts w:hint="eastAsia" w:ascii="仿宋_GB2312" w:hAnsi="仿宋" w:eastAsia="仿宋_GB2312" w:cs="Times New Roman"/>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s="Arial"/>
                <w:snapToGrid w:val="0"/>
                <w:sz w:val="24"/>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货物类</w:t>
            </w:r>
            <w:r>
              <w:rPr>
                <w:rFonts w:hint="eastAsia" w:ascii="仿宋_GB2312" w:hAnsi="仿宋"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default" w:ascii="仿宋_GB2312" w:hAnsi="仿宋" w:eastAsia="仿宋_GB2312" w:cs="Times New Roman"/>
                <w:color w:val="auto"/>
                <w:sz w:val="24"/>
                <w:szCs w:val="24"/>
                <w:lang w:val="en-US" w:eastAsia="zh-CN"/>
              </w:rPr>
            </w:pPr>
            <w:r>
              <w:rPr>
                <w:rFonts w:hint="eastAsia" w:ascii="仿宋_GB2312" w:hAnsi="仿宋" w:eastAsia="仿宋_GB2312" w:cs="Times New Roman"/>
                <w:color w:val="auto"/>
                <w:sz w:val="24"/>
                <w:szCs w:val="24"/>
              </w:rPr>
              <w:t>采购标的：</w:t>
            </w:r>
            <w:r>
              <w:rPr>
                <w:rFonts w:hint="eastAsia" w:ascii="仿宋_GB2312" w:hAnsi="仿宋" w:eastAsia="仿宋_GB2312" w:cs="Times New Roman"/>
                <w:b/>
                <w:bCs/>
                <w:color w:val="auto"/>
                <w:sz w:val="24"/>
                <w:szCs w:val="24"/>
                <w:u w:val="single"/>
                <w:lang w:eastAsia="zh-CN"/>
              </w:rPr>
              <w:t>详见第六部分 应提交的有关格式范例中报价文件部分清单</w:t>
            </w:r>
            <w:r>
              <w:rPr>
                <w:rFonts w:hint="eastAsia" w:ascii="仿宋_GB2312" w:hAnsi="仿宋" w:eastAsia="仿宋_GB2312" w:cs="Times New Roman"/>
                <w:b/>
                <w:bCs/>
                <w:color w:val="auto"/>
                <w:sz w:val="24"/>
                <w:szCs w:val="24"/>
                <w:u w:val="single"/>
                <w:lang w:val="en-US" w:eastAsia="zh-CN"/>
              </w:rPr>
              <w:t>1-106项；</w:t>
            </w:r>
          </w:p>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color w:val="auto"/>
                <w:sz w:val="24"/>
                <w:szCs w:val="24"/>
              </w:rPr>
              <w:t>所属行业：</w:t>
            </w:r>
            <w:r>
              <w:rPr>
                <w:rFonts w:hint="eastAsia" w:ascii="仿宋_GB2312" w:hAnsi="仿宋" w:eastAsia="仿宋_GB2312" w:cs="Times New Roman"/>
                <w:b/>
                <w:bCs/>
                <w:color w:val="auto"/>
                <w:sz w:val="24"/>
                <w:szCs w:val="24"/>
                <w:highlight w:val="none"/>
                <w:u w:val="single"/>
                <w:lang w:eastAsia="zh-CN"/>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根据《政府采购促进中小企业发展管理办法》财库〔</w:t>
            </w:r>
            <w:r>
              <w:rPr>
                <w:rFonts w:ascii="仿宋_GB2312" w:hAnsi="仿宋" w:eastAsia="仿宋_GB2312" w:cs="Times New Roman"/>
                <w:sz w:val="24"/>
                <w:szCs w:val="24"/>
              </w:rPr>
              <w:t>2020〕46号</w:t>
            </w:r>
            <w:r>
              <w:rPr>
                <w:rFonts w:hint="eastAsia" w:ascii="仿宋_GB2312" w:hAnsi="仿宋" w:eastAsia="仿宋_GB2312" w:cs="Times New Roman"/>
                <w:sz w:val="24"/>
                <w:szCs w:val="24"/>
                <w:highlight w:val="none"/>
              </w:rPr>
              <w:t>文件的规定，本项目不适宜预留份额专门面向中小企业采购。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w:t>
      </w:r>
      <w:r>
        <w:rPr>
          <w:rFonts w:hint="eastAsia" w:ascii="仿宋_GB2312" w:hAnsi="仿宋" w:eastAsia="仿宋_GB2312" w:cs="Times New Roman"/>
          <w:bCs/>
          <w:sz w:val="24"/>
          <w:szCs w:val="24"/>
        </w:rPr>
        <w:t>支持中小企业发展</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ascii="仿宋_GB2312" w:hAnsi="Times New Roman" w:eastAsia="仿宋_GB2312" w:cs="Times New Roman"/>
          <w:bCs/>
          <w:color w:val="auto"/>
          <w:sz w:val="24"/>
          <w:szCs w:val="24"/>
        </w:rPr>
        <w:t>3.3.2</w:t>
      </w:r>
      <w:r>
        <w:rPr>
          <w:rFonts w:hint="eastAsia" w:ascii="仿宋_GB2312" w:hAnsi="宋体" w:eastAsia="仿宋_GB2312" w:cs="宋体"/>
          <w:color w:val="auto"/>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3.3.3</w:t>
      </w:r>
      <w:r>
        <w:rPr>
          <w:rFonts w:hint="eastAsia" w:ascii="仿宋_GB2312" w:hAnsi="仿宋" w:eastAsia="仿宋_GB2312" w:cs="Times New Roman"/>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color w:val="auto"/>
          <w:sz w:val="24"/>
          <w:szCs w:val="24"/>
        </w:rPr>
        <w:t>10%的扣除，用扣除后的价格参与评审。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rPr>
        <w:t>政府</w:t>
      </w:r>
      <w:r>
        <w:rPr>
          <w:rFonts w:ascii="仿宋_GB2312" w:hAnsi="仿宋" w:eastAsia="仿宋_GB2312" w:cs="Times New Roman"/>
          <w:color w:val="auto"/>
          <w:sz w:val="24"/>
          <w:szCs w:val="24"/>
        </w:rPr>
        <w:t>采购</w:t>
      </w:r>
      <w:r>
        <w:rPr>
          <w:rFonts w:hint="eastAsia" w:ascii="仿宋_GB2312" w:hAnsi="仿宋" w:eastAsia="仿宋_GB2312" w:cs="Times New Roman"/>
          <w:color w:val="auto"/>
          <w:sz w:val="24"/>
          <w:szCs w:val="24"/>
        </w:rPr>
        <w:t>货物或服务</w:t>
      </w:r>
      <w:r>
        <w:rPr>
          <w:rFonts w:ascii="仿宋_GB2312" w:hAnsi="仿宋" w:eastAsia="仿宋_GB2312" w:cs="Times New Roman"/>
          <w:color w:val="auto"/>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color w:val="auto"/>
          <w:sz w:val="24"/>
          <w:szCs w:val="24"/>
        </w:rPr>
        <w:t>3.3.5</w:t>
      </w:r>
      <w:r>
        <w:rPr>
          <w:rFonts w:hint="eastAsia" w:ascii="仿宋_GB2312" w:hAnsi="仿宋" w:eastAsia="仿宋_GB2312" w:cs="Times New Roman"/>
          <w:color w:val="auto"/>
          <w:sz w:val="24"/>
          <w:szCs w:val="24"/>
        </w:rPr>
        <w:t>符合《关于促进残疾人就业政府采购政策的通知》（财库〔</w:t>
      </w:r>
      <w:r>
        <w:rPr>
          <w:rFonts w:ascii="仿宋_GB2312" w:hAnsi="仿宋" w:eastAsia="仿宋_GB2312" w:cs="Times New Roman"/>
          <w:color w:val="auto"/>
          <w:sz w:val="24"/>
          <w:szCs w:val="24"/>
        </w:rPr>
        <w:t>2017〕</w:t>
      </w:r>
      <w:r>
        <w:rPr>
          <w:rFonts w:ascii="仿宋_GB2312" w:hAnsi="仿宋" w:eastAsia="仿宋_GB2312" w:cs="Times New Roman"/>
          <w:sz w:val="24"/>
          <w:szCs w:val="24"/>
        </w:rPr>
        <w:t>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3.4</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r>
        <w:rPr>
          <w:rFonts w:hint="eastAsia" w:ascii="仿宋_GB2312" w:hAnsi="仿宋" w:eastAsia="仿宋_GB2312" w:cs="Times New Roman"/>
          <w:sz w:val="24"/>
          <w:szCs w:val="24"/>
        </w:rPr>
        <w:cr/>
      </w: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w:t>
      </w:r>
      <w:r>
        <w:rPr>
          <w:rFonts w:hint="eastAsia" w:ascii="仿宋_GB2312" w:hAnsi="仿宋" w:eastAsia="仿宋_GB2312" w:cs="宋体"/>
          <w:kern w:val="0"/>
          <w:sz w:val="24"/>
          <w:szCs w:val="24"/>
          <w:lang w:val="en-US" w:eastAsia="zh-CN"/>
        </w:rPr>
        <w:t>4</w:t>
      </w:r>
      <w:r>
        <w:rPr>
          <w:rFonts w:hint="eastAsia" w:ascii="仿宋_GB2312" w:hAnsi="仿宋" w:eastAsia="仿宋_GB2312" w:cs="宋体"/>
          <w:kern w:val="0"/>
          <w:sz w:val="24"/>
          <w:szCs w:val="24"/>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w:t>
      </w:r>
      <w:r>
        <w:rPr>
          <w:rFonts w:hint="eastAsia" w:ascii="仿宋_GB2312" w:hAnsi="仿宋" w:eastAsia="仿宋_GB2312" w:cs="宋体"/>
          <w:kern w:val="0"/>
          <w:sz w:val="24"/>
          <w:szCs w:val="24"/>
          <w:lang w:val="en-US" w:eastAsia="zh-CN"/>
        </w:rPr>
        <w:t>5</w:t>
      </w:r>
      <w:r>
        <w:rPr>
          <w:rFonts w:hint="eastAsia" w:ascii="仿宋_GB2312" w:hAnsi="仿宋" w:eastAsia="仿宋_GB2312" w:cs="宋体"/>
          <w:kern w:val="0"/>
          <w:sz w:val="24"/>
          <w:szCs w:val="24"/>
        </w:rPr>
        <w:t>。</w:t>
      </w: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pacing w:line="360" w:lineRule="auto"/>
        <w:rPr>
          <w:rFonts w:hint="eastAsia" w:ascii="仿宋_GB2312" w:hAnsi="仿宋_GB2312" w:eastAsia="仿宋_GB2312" w:cs="仿宋_GB2312"/>
          <w:b/>
          <w:snapToGrid w:val="0"/>
          <w:szCs w:val="24"/>
        </w:rPr>
      </w:pPr>
      <w:r>
        <w:rPr>
          <w:rFonts w:hint="eastAsia" w:ascii="仿宋_GB2312" w:hAnsi="仿宋" w:eastAsia="仿宋_GB2312" w:cs="Arial"/>
          <w:b/>
          <w:snapToGrid w:val="0"/>
          <w:kern w:val="28"/>
          <w:sz w:val="24"/>
          <w:szCs w:val="24"/>
        </w:rPr>
        <w:t>9.</w:t>
      </w:r>
      <w:r>
        <w:rPr>
          <w:rFonts w:hint="eastAsia" w:ascii="仿宋_GB2312" w:hAnsi="仿宋_GB2312" w:eastAsia="仿宋_GB2312" w:cs="仿宋_GB2312"/>
          <w:b/>
          <w:snapToGrid w:val="0"/>
          <w:kern w:val="28"/>
          <w:sz w:val="24"/>
          <w:szCs w:val="24"/>
        </w:rPr>
        <w:t>投标保证金</w:t>
      </w:r>
    </w:p>
    <w:p>
      <w:pPr>
        <w:widowControl/>
        <w:adjustRightInd w:val="0"/>
        <w:snapToGrid w:val="0"/>
        <w:spacing w:line="360" w:lineRule="auto"/>
        <w:ind w:firstLine="470" w:firstLineChars="196"/>
        <w:rPr>
          <w:rFonts w:hint="eastAsia"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本项目不需要交纳投标保证金。</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rPr>
        <w:t>投标文件及投标人与采购有关的来往通知、函件和文件均应使用中文。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kern w:val="0"/>
          <w:sz w:val="24"/>
          <w:szCs w:val="24"/>
        </w:rPr>
        <w:t>投标文件应当包括以下主要内容：</w:t>
      </w:r>
      <w:r>
        <w:rPr>
          <w:rFonts w:hint="eastAsia" w:ascii="仿宋_GB2312" w:hAnsi="仿宋_GB2312" w:eastAsia="仿宋_GB2312" w:cs="仿宋_GB2312"/>
          <w:b/>
          <w:snapToGrid w:val="0"/>
          <w:sz w:val="24"/>
          <w:szCs w:val="24"/>
        </w:rPr>
        <w:t>资格文件、报价文件、商务技术文件</w:t>
      </w:r>
      <w:r>
        <w:rPr>
          <w:rFonts w:hint="eastAsia" w:ascii="仿宋_GB2312" w:hAnsi="仿宋_GB2312"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kern w:val="0"/>
          <w:sz w:val="24"/>
          <w:szCs w:val="24"/>
        </w:rPr>
      </w:pPr>
      <w:r>
        <w:rPr>
          <w:rFonts w:hint="eastAsia" w:ascii="仿宋_GB2312" w:hAnsi="仿宋_GB2312" w:eastAsia="仿宋_GB2312" w:cs="仿宋_GB2312"/>
          <w:sz w:val="24"/>
          <w:szCs w:val="24"/>
        </w:rPr>
        <w:t>11.1</w:t>
      </w:r>
      <w:r>
        <w:rPr>
          <w:rFonts w:hint="eastAsia" w:ascii="仿宋_GB2312" w:hAnsi="仿宋_GB2312" w:eastAsia="仿宋_GB2312" w:cs="仿宋_GB2312"/>
          <w:b/>
          <w:sz w:val="24"/>
          <w:szCs w:val="24"/>
        </w:rPr>
        <w:t>资格文件</w:t>
      </w:r>
      <w:r>
        <w:rPr>
          <w:rFonts w:hint="eastAsia" w:ascii="仿宋_GB2312" w:hAnsi="仿宋_GB2312" w:eastAsia="仿宋_GB2312" w:cs="仿宋_GB2312"/>
          <w:sz w:val="24"/>
          <w:szCs w:val="24"/>
        </w:rPr>
        <w:t>应包括以下内容（均需使用电子签名）：</w:t>
      </w:r>
      <w:r>
        <w:rPr>
          <w:rFonts w:hint="eastAsia" w:ascii="仿宋_GB2312" w:hAnsi="仿宋_GB2312" w:eastAsia="仿宋_GB2312" w:cs="仿宋_GB2312"/>
          <w:kern w:val="0"/>
          <w:sz w:val="24"/>
          <w:szCs w:val="24"/>
        </w:rPr>
        <w:t>证明其符合《中华人民共和国政府采购法》规定的供应商基本条件和采购项目对供应商的特定条件</w:t>
      </w:r>
      <w:r>
        <w:rPr>
          <w:rFonts w:hint="eastAsia" w:ascii="仿宋_GB2312" w:hAnsi="仿宋_GB2312" w:eastAsia="仿宋_GB2312" w:cs="仿宋_GB2312"/>
          <w:sz w:val="24"/>
          <w:szCs w:val="24"/>
        </w:rPr>
        <w:t>（如果项目要求）</w:t>
      </w:r>
      <w:r>
        <w:rPr>
          <w:rFonts w:hint="eastAsia" w:ascii="仿宋_GB2312" w:hAnsi="仿宋_GB2312" w:eastAsia="仿宋_GB2312" w:cs="仿宋_GB2312"/>
          <w:kern w:val="0"/>
          <w:sz w:val="24"/>
          <w:szCs w:val="24"/>
        </w:rPr>
        <w:t>的有关资格证明文件。</w:t>
      </w:r>
      <w:r>
        <w:rPr>
          <w:rFonts w:hint="eastAsia" w:ascii="仿宋_GB2312" w:hAnsi="仿宋_GB2312" w:eastAsia="仿宋_GB2312" w:cs="仿宋_GB2312"/>
          <w:b/>
          <w:kern w:val="0"/>
          <w:sz w:val="24"/>
          <w:szCs w:val="24"/>
        </w:rPr>
        <w:t>（以联合体形式进行政府采购的，参加联合体的供应商均应当提供）</w:t>
      </w:r>
    </w:p>
    <w:p>
      <w:pPr>
        <w:pStyle w:val="33"/>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11</w:t>
      </w:r>
      <w:r>
        <w:rPr>
          <w:rFonts w:hint="eastAsia" w:ascii="仿宋_GB2312" w:hAnsi="仿宋_GB2312" w:eastAsia="仿宋_GB2312" w:cs="仿宋_GB2312"/>
          <w:color w:val="auto"/>
          <w:sz w:val="24"/>
        </w:rPr>
        <w:t>.1.1</w:t>
      </w:r>
      <w:r>
        <w:rPr>
          <w:rFonts w:hint="eastAsia" w:ascii="仿宋_GB2312" w:hAnsi="仿宋_GB2312" w:eastAsia="仿宋_GB2312" w:cs="仿宋_GB2312"/>
          <w:snapToGrid w:val="0"/>
          <w:color w:val="auto"/>
          <w:sz w:val="24"/>
          <w:szCs w:val="21"/>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rPr>
        <w:t>自然人的身份证明</w:t>
      </w:r>
      <w:r>
        <w:rPr>
          <w:rFonts w:hint="eastAsia" w:ascii="仿宋_GB2312" w:hAnsi="仿宋_GB2312" w:eastAsia="仿宋_GB2312" w:cs="仿宋_GB2312"/>
          <w:snapToGrid w:val="0"/>
          <w:color w:val="auto"/>
          <w:sz w:val="24"/>
          <w:szCs w:val="21"/>
        </w:rPr>
        <w:t>）复印件；</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w:t>
      </w:r>
      <w:r>
        <w:rPr>
          <w:rFonts w:hint="eastAsia" w:ascii="仿宋_GB2312" w:hAnsi="仿宋_GB2312" w:eastAsia="仿宋_GB2312" w:cs="仿宋_GB2312"/>
          <w:sz w:val="24"/>
        </w:rPr>
        <w:t>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11.1.2</w:t>
      </w:r>
      <w:r>
        <w:rPr>
          <w:rFonts w:hint="eastAsia" w:ascii="仿宋_GB2312" w:hAnsi="仿宋_GB2312" w:eastAsia="仿宋_GB2312" w:cs="仿宋_GB2312"/>
          <w:sz w:val="24"/>
          <w:lang w:eastAsia="zh-CN"/>
        </w:rPr>
        <w:t>法人</w:t>
      </w:r>
      <w:r>
        <w:rPr>
          <w:rFonts w:hint="eastAsia" w:ascii="仿宋_GB2312" w:hAnsi="仿宋_GB2312" w:eastAsia="仿宋_GB2312" w:cs="仿宋_GB2312"/>
          <w:sz w:val="24"/>
        </w:rPr>
        <w:t>授权书（如法定代表人直接参加投标并对相应文件签字的，只需提供其身份证复印件正反面；如以联合体形式参加政府采购活动的，按招标文件有关格式范例提供联合</w:t>
      </w:r>
      <w:r>
        <w:rPr>
          <w:rFonts w:hint="eastAsia" w:ascii="仿宋_GB2312" w:hAnsi="仿宋_GB2312" w:eastAsia="仿宋_GB2312" w:cs="仿宋_GB2312"/>
          <w:sz w:val="24"/>
          <w:highlight w:val="none"/>
        </w:rPr>
        <w:t>体投标授权书）；▲</w:t>
      </w:r>
      <w:r>
        <w:rPr>
          <w:rFonts w:hint="eastAsia" w:ascii="仿宋_GB2312" w:hAnsi="仿宋_GB2312" w:eastAsia="仿宋_GB2312" w:cs="仿宋_GB2312"/>
          <w:b/>
          <w:sz w:val="24"/>
          <w:highlight w:val="none"/>
        </w:rPr>
        <w:t>投标文件中法人授权书所载内容与本项目内容有异的，投标无效</w:t>
      </w:r>
      <w:r>
        <w:rPr>
          <w:rFonts w:hint="eastAsia" w:ascii="仿宋_GB2312" w:hAnsi="仿宋_GB2312" w:eastAsia="仿宋_GB2312" w:cs="仿宋_GB2312"/>
          <w:b/>
          <w:sz w:val="24"/>
          <w:highlight w:val="none"/>
          <w:lang w:eastAsia="zh-CN"/>
        </w:rPr>
        <w:t>；</w:t>
      </w:r>
    </w:p>
    <w:p>
      <w:pPr>
        <w:pStyle w:val="33"/>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11.1.3法定代表人及其授权代表的身份证（复印件）</w:t>
      </w:r>
      <w:r>
        <w:rPr>
          <w:rFonts w:hint="eastAsia" w:ascii="仿宋_GB2312" w:hAnsi="仿宋_GB2312" w:eastAsia="仿宋_GB2312" w:cs="仿宋_GB2312"/>
          <w:sz w:val="24"/>
          <w:highlight w:val="none"/>
          <w:lang w:eastAsia="zh-CN"/>
        </w:rPr>
        <w:t>；</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w:t>
      </w:r>
      <w:r>
        <w:rPr>
          <w:rFonts w:hint="eastAsia" w:ascii="仿宋_GB2312" w:hAnsi="仿宋" w:eastAsia="仿宋_GB2312" w:cs="仿宋_GB2312"/>
          <w:sz w:val="24"/>
        </w:rPr>
        <w:t>符合参与政府采购活动的资格条件并且没有税收缴纳、社会保障等方面的失信记录的承诺函；</w:t>
      </w:r>
    </w:p>
    <w:p>
      <w:pPr>
        <w:pStyle w:val="33"/>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11.1.7</w:t>
      </w:r>
      <w:r>
        <w:rPr>
          <w:rFonts w:hint="eastAsia" w:ascii="仿宋_GB2312" w:hAnsi="仿宋_GB2312" w:eastAsia="仿宋_GB2312" w:cs="仿宋_GB2312"/>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11.1.8</w:t>
      </w:r>
      <w:r>
        <w:rPr>
          <w:rFonts w:hint="eastAsia" w:ascii="仿宋_GB2312" w:hAnsi="仿宋_GB2312" w:eastAsia="仿宋_GB2312" w:cs="仿宋_GB2312"/>
          <w:sz w:val="24"/>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sz w:val="24"/>
          <w:lang w:eastAsia="zh-CN"/>
        </w:rPr>
        <w:t>；</w:t>
      </w:r>
    </w:p>
    <w:p>
      <w:pPr>
        <w:adjustRightInd w:val="0"/>
        <w:spacing w:line="360" w:lineRule="auto"/>
        <w:ind w:firstLine="480" w:firstLineChars="200"/>
        <w:rPr>
          <w:rFonts w:hint="eastAsia" w:ascii="仿宋_GB2312" w:hAnsi="仿宋_GB2312" w:eastAsia="仿宋_GB2312" w:cs="仿宋_GB2312"/>
          <w:sz w:val="24"/>
          <w:szCs w:val="24"/>
          <w:u w:val="single"/>
          <w:lang w:val="zh-CN"/>
        </w:rPr>
      </w:pPr>
      <w:r>
        <w:rPr>
          <w:rFonts w:hint="eastAsia" w:ascii="仿宋_GB2312" w:hAnsi="仿宋_GB2312" w:eastAsia="仿宋_GB2312" w:cs="仿宋_GB2312"/>
          <w:kern w:val="0"/>
          <w:sz w:val="24"/>
          <w:szCs w:val="24"/>
          <w:lang w:val="zh-CN"/>
        </w:rPr>
        <w:t xml:space="preserve">11.2 </w:t>
      </w:r>
      <w:r>
        <w:rPr>
          <w:rFonts w:hint="eastAsia" w:ascii="仿宋_GB2312" w:hAnsi="仿宋_GB2312" w:eastAsia="仿宋_GB2312" w:cs="仿宋_GB2312"/>
          <w:sz w:val="24"/>
          <w:szCs w:val="24"/>
        </w:rPr>
        <w:t>投标人的</w:t>
      </w:r>
      <w:r>
        <w:rPr>
          <w:rFonts w:hint="eastAsia" w:ascii="仿宋_GB2312" w:hAnsi="仿宋_GB2312" w:eastAsia="仿宋_GB2312" w:cs="仿宋_GB2312"/>
          <w:b/>
          <w:sz w:val="24"/>
          <w:szCs w:val="24"/>
        </w:rPr>
        <w:t>报价文件</w:t>
      </w:r>
      <w:r>
        <w:rPr>
          <w:rFonts w:hint="eastAsia" w:ascii="仿宋_GB2312" w:hAnsi="仿宋_GB2312" w:eastAsia="仿宋_GB2312" w:cs="仿宋_GB2312"/>
          <w:sz w:val="24"/>
          <w:szCs w:val="24"/>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w:t>
      </w:r>
      <w:r>
        <w:rPr>
          <w:rFonts w:hint="eastAsia" w:ascii="仿宋_GB2312" w:hAnsi="仿宋_GB2312" w:eastAsia="仿宋_GB2312" w:cs="仿宋_GB2312"/>
          <w:kern w:val="0"/>
          <w:sz w:val="24"/>
          <w:szCs w:val="24"/>
        </w:rPr>
        <w:t>投标响应函</w:t>
      </w:r>
      <w:r>
        <w:rPr>
          <w:rFonts w:hint="eastAsia" w:ascii="仿宋_GB2312" w:hAnsi="仿宋_GB2312" w:eastAsia="仿宋_GB2312" w:cs="仿宋_GB2312"/>
          <w:sz w:val="24"/>
          <w:szCs w:val="24"/>
        </w:rPr>
        <w:t>；</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11.2.2投标(开标)一览表；</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11.2.3中小</w:t>
      </w:r>
      <w:bookmarkStart w:id="570" w:name="_GoBack"/>
      <w:bookmarkEnd w:id="570"/>
      <w:r>
        <w:rPr>
          <w:rFonts w:hint="eastAsia" w:ascii="仿宋_GB2312" w:hAnsi="仿宋_GB2312" w:eastAsia="仿宋_GB2312" w:cs="仿宋_GB2312"/>
          <w:snapToGrid w:val="0"/>
          <w:sz w:val="24"/>
          <w:szCs w:val="24"/>
        </w:rPr>
        <w:t>企业声明函。</w:t>
      </w:r>
    </w:p>
    <w:p>
      <w:pPr>
        <w:adjustRightInd w:val="0"/>
        <w:spacing w:line="360" w:lineRule="auto"/>
        <w:ind w:firstLine="480" w:firstLineChars="20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kern w:val="0"/>
          <w:sz w:val="24"/>
          <w:szCs w:val="24"/>
          <w:lang w:val="zh-CN"/>
        </w:rPr>
        <w:t>11.3  投标人的</w:t>
      </w:r>
      <w:r>
        <w:rPr>
          <w:rFonts w:hint="eastAsia" w:ascii="仿宋_GB2312" w:hAnsi="仿宋_GB2312" w:eastAsia="仿宋_GB2312" w:cs="仿宋_GB2312"/>
          <w:b/>
          <w:snapToGrid w:val="0"/>
          <w:sz w:val="24"/>
          <w:szCs w:val="24"/>
        </w:rPr>
        <w:t>商务技术</w:t>
      </w:r>
      <w:r>
        <w:rPr>
          <w:rFonts w:hint="eastAsia" w:ascii="仿宋_GB2312" w:hAnsi="仿宋_GB2312" w:eastAsia="仿宋_GB2312" w:cs="仿宋_GB2312"/>
          <w:b/>
          <w:snapToGrid w:val="0"/>
          <w:kern w:val="0"/>
          <w:sz w:val="24"/>
          <w:szCs w:val="24"/>
          <w:lang w:val="zh-CN"/>
        </w:rPr>
        <w:t>文件应</w:t>
      </w:r>
      <w:r>
        <w:rPr>
          <w:rFonts w:hint="eastAsia" w:ascii="仿宋_GB2312" w:hAnsi="仿宋_GB2312" w:eastAsia="仿宋_GB2312" w:cs="仿宋_GB2312"/>
          <w:snapToGrid w:val="0"/>
          <w:kern w:val="0"/>
          <w:sz w:val="24"/>
          <w:szCs w:val="24"/>
          <w:lang w:val="zh-CN"/>
        </w:rPr>
        <w:t>包括以下内容</w:t>
      </w:r>
      <w:r>
        <w:rPr>
          <w:rFonts w:hint="eastAsia" w:ascii="仿宋_GB2312" w:hAnsi="仿宋_GB2312" w:eastAsia="仿宋_GB2312" w:cs="仿宋_GB2312"/>
          <w:snapToGrid w:val="0"/>
          <w:sz w:val="24"/>
          <w:szCs w:val="24"/>
        </w:rPr>
        <w:t>（均需使用电子签名）</w:t>
      </w: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sz w:val="24"/>
          <w:szCs w:val="24"/>
          <w:lang w:val="zh-CN"/>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资信文件：</w:t>
      </w:r>
      <w:r>
        <w:rPr>
          <w:rFonts w:hint="eastAsia" w:ascii="仿宋_GB2312" w:hAnsi="仿宋_GB2312" w:eastAsia="仿宋_GB2312" w:cs="仿宋_GB2312"/>
          <w:kern w:val="0"/>
          <w:sz w:val="24"/>
          <w:szCs w:val="20"/>
        </w:rPr>
        <w:t>见投标须知前附表所述；</w:t>
      </w:r>
    </w:p>
    <w:p>
      <w:pPr>
        <w:pStyle w:val="232"/>
        <w:snapToGrid w:val="0"/>
        <w:spacing w:before="0"/>
        <w:ind w:firstLine="480"/>
        <w:rPr>
          <w:rFonts w:hint="eastAsia" w:ascii="仿宋_GB2312" w:hAnsi="仿宋_GB2312" w:eastAsia="仿宋_GB2312" w:cs="仿宋_GB2312"/>
          <w:kern w:val="0"/>
          <w:lang w:val="zh-CN"/>
        </w:rPr>
      </w:pPr>
      <w:r>
        <w:rPr>
          <w:rFonts w:hint="eastAsia" w:ascii="仿宋_GB2312" w:hAnsi="仿宋_GB2312" w:eastAsia="仿宋_GB2312" w:cs="仿宋_GB2312"/>
          <w:lang w:val="zh-CN"/>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kern w:val="0"/>
        </w:rPr>
        <w:t>投标人的主要业绩证明材料即</w:t>
      </w:r>
      <w:r>
        <w:rPr>
          <w:rFonts w:hint="eastAsia" w:ascii="仿宋_GB2312" w:hAnsi="仿宋_GB2312" w:eastAsia="仿宋_GB2312" w:cs="仿宋_GB2312"/>
          <w:lang w:val="zh-CN"/>
        </w:rPr>
        <w:t>合同</w:t>
      </w:r>
      <w:r>
        <w:rPr>
          <w:rFonts w:hint="eastAsia" w:ascii="仿宋_GB2312" w:hAnsi="仿宋_GB2312" w:eastAsia="仿宋_GB2312" w:cs="仿宋_GB2312"/>
        </w:rPr>
        <w:t>和用户验收报告</w:t>
      </w:r>
      <w:r>
        <w:rPr>
          <w:rFonts w:hint="eastAsia" w:ascii="仿宋_GB2312" w:hAnsi="仿宋_GB2312" w:eastAsia="仿宋_GB2312" w:cs="仿宋_GB2312"/>
          <w:lang w:eastAsia="zh-CN"/>
        </w:rPr>
        <w:t>（如需要）</w:t>
      </w:r>
      <w:r>
        <w:rPr>
          <w:rFonts w:hint="eastAsia" w:ascii="仿宋_GB2312" w:hAnsi="仿宋_GB2312" w:eastAsia="仿宋_GB2312" w:cs="仿宋_GB2312"/>
          <w:szCs w:val="24"/>
        </w:rPr>
        <w:t>（</w:t>
      </w:r>
      <w:r>
        <w:rPr>
          <w:rFonts w:hint="eastAsia" w:ascii="仿宋_GB2312" w:hAnsi="仿宋_GB2312" w:eastAsia="仿宋_GB2312" w:cs="仿宋_GB2312"/>
        </w:rPr>
        <w:t>联合体投标的，联合体各方</w:t>
      </w:r>
      <w:r>
        <w:rPr>
          <w:rFonts w:hint="eastAsia" w:ascii="仿宋_GB2312" w:hAnsi="仿宋_GB2312" w:eastAsia="仿宋_GB2312"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_GB2312" w:eastAsia="仿宋_GB2312" w:cs="仿宋_GB2312"/>
          <w:szCs w:val="24"/>
        </w:rPr>
        <w:t>)</w:t>
      </w:r>
      <w:r>
        <w:rPr>
          <w:rFonts w:hint="eastAsia" w:ascii="仿宋_GB2312" w:hAnsi="仿宋_GB2312" w:eastAsia="仿宋_GB2312" w:cs="仿宋_GB2312"/>
          <w:kern w:val="0"/>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kern w:val="0"/>
          <w:sz w:val="24"/>
          <w:lang w:val="zh-CN"/>
        </w:rPr>
        <w:t>投标人认为需要的其他商务文件或说明；</w:t>
      </w:r>
      <w:r>
        <w:rPr>
          <w:rFonts w:hint="eastAsia" w:ascii="仿宋_GB2312" w:hAnsi="仿宋_GB2312" w:eastAsia="仿宋_GB2312" w:cs="仿宋_GB2312"/>
          <w:sz w:val="24"/>
        </w:rPr>
        <w:t xml:space="preserve"> </w:t>
      </w:r>
    </w:p>
    <w:p>
      <w:pPr>
        <w:pStyle w:val="33"/>
        <w:snapToGrid w:val="0"/>
        <w:spacing w:line="360" w:lineRule="auto"/>
        <w:ind w:firstLine="480" w:firstLineChars="200"/>
        <w:rPr>
          <w:rFonts w:hint="eastAsia" w:ascii="仿宋_GB2312" w:hAnsi="仿宋_GB2312" w:eastAsia="仿宋_GB2312" w:cs="仿宋_GB2312"/>
          <w:b/>
          <w:kern w:val="0"/>
          <w:sz w:val="24"/>
          <w:szCs w:val="24"/>
          <w:highlight w:val="yellow"/>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4</w:t>
      </w:r>
      <w:r>
        <w:rPr>
          <w:rFonts w:hint="eastAsia" w:ascii="仿宋_GB2312" w:hAnsi="仿宋" w:eastAsia="仿宋_GB2312" w:cs="仿宋_GB2312"/>
          <w:sz w:val="24"/>
          <w:lang w:val="zh-CN"/>
        </w:rPr>
        <w:t>投标人应提供针对项目</w:t>
      </w:r>
      <w:r>
        <w:rPr>
          <w:rFonts w:hint="eastAsia" w:ascii="仿宋_GB2312" w:hAnsi="仿宋" w:eastAsia="仿宋_GB2312" w:cs="仿宋_GB2312"/>
          <w:sz w:val="24"/>
          <w:highlight w:val="none"/>
          <w:lang w:val="zh-CN"/>
        </w:rPr>
        <w:t>的完整技术解决方案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投标人根据项目采购需求、评分标准等提出合理的技术</w:t>
      </w:r>
      <w:r>
        <w:rPr>
          <w:rFonts w:hint="eastAsia" w:ascii="仿宋_GB2312" w:hAnsi="仿宋_GB2312" w:eastAsia="仿宋_GB2312" w:cs="仿宋_GB2312"/>
          <w:b/>
          <w:sz w:val="24"/>
          <w:szCs w:val="24"/>
          <w:highlight w:val="none"/>
          <w:lang w:eastAsia="zh-CN"/>
        </w:rPr>
        <w:t>解决</w:t>
      </w:r>
      <w:r>
        <w:rPr>
          <w:rFonts w:hint="eastAsia" w:ascii="仿宋_GB2312" w:hAnsi="仿宋_GB2312" w:eastAsia="仿宋_GB2312" w:cs="仿宋_GB2312"/>
          <w:b/>
          <w:sz w:val="24"/>
          <w:szCs w:val="24"/>
          <w:highlight w:val="none"/>
        </w:rPr>
        <w:t>方案</w:t>
      </w:r>
      <w:r>
        <w:rPr>
          <w:rFonts w:hint="eastAsia" w:ascii="仿宋_GB2312" w:hAnsi="仿宋_GB2312" w:eastAsia="仿宋_GB2312" w:cs="仿宋_GB2312"/>
          <w:b/>
          <w:kern w:val="0"/>
          <w:sz w:val="24"/>
          <w:szCs w:val="24"/>
          <w:highlight w:val="none"/>
          <w:lang w:val="zh-CN"/>
        </w:rPr>
        <w:t>；</w:t>
      </w:r>
    </w:p>
    <w:p>
      <w:pPr>
        <w:snapToGrid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2" w:firstLineChars="200"/>
        <w:rPr>
          <w:rFonts w:hint="eastAsia" w:ascii="仿宋_GB2312" w:hAnsi="仿宋" w:eastAsia="仿宋_GB2312" w:cs="仿宋_GB2312"/>
          <w:sz w:val="24"/>
        </w:rPr>
      </w:pPr>
      <w:r>
        <w:rPr>
          <w:rFonts w:hint="eastAsia" w:ascii="仿宋_GB2312" w:hAnsi="仿宋" w:eastAsia="仿宋_GB2312"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sz w:val="24"/>
          <w:lang w:val="zh-CN"/>
        </w:rPr>
        <w:t>任何含糊不清的</w:t>
      </w:r>
      <w:r>
        <w:rPr>
          <w:rFonts w:hint="eastAsia" w:ascii="仿宋_GB2312" w:hAnsi="仿宋" w:eastAsia="仿宋_GB2312" w:cs="仿宋_GB2312"/>
          <w:b/>
          <w:sz w:val="24"/>
        </w:rPr>
        <w:t>表述导致</w:t>
      </w:r>
      <w:r>
        <w:rPr>
          <w:rFonts w:hint="eastAsia" w:ascii="仿宋_GB2312" w:hAnsi="仿宋" w:eastAsia="仿宋_GB2312" w:cs="仿宋_GB2312"/>
          <w:b/>
          <w:kern w:val="0"/>
          <w:sz w:val="24"/>
          <w:lang w:val="zh-CN"/>
        </w:rPr>
        <w:t>评标委员会技术扣分直至认定为投标无效都将是投标人的责任</w:t>
      </w:r>
      <w:r>
        <w:rPr>
          <w:rFonts w:hint="eastAsia" w:ascii="仿宋_GB2312" w:hAnsi="仿宋" w:eastAsia="仿宋_GB2312" w:cs="仿宋_GB2312"/>
          <w:sz w:val="24"/>
        </w:rPr>
        <w:t>。</w:t>
      </w:r>
    </w:p>
    <w:p>
      <w:pPr>
        <w:pStyle w:val="33"/>
        <w:snapToGrid w:val="0"/>
        <w:spacing w:line="360" w:lineRule="auto"/>
        <w:ind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rPr>
        <w:t>本项目如需采购政府强制采购的节能产品的或</w:t>
      </w:r>
      <w:r>
        <w:rPr>
          <w:rFonts w:hint="eastAsia" w:ascii="仿宋_GB2312" w:hAnsi="仿宋" w:eastAsia="仿宋_GB2312"/>
          <w:sz w:val="24"/>
        </w:rPr>
        <w:t>投标人提供的产品是环境标志产品，</w:t>
      </w:r>
      <w:r>
        <w:rPr>
          <w:rFonts w:hint="eastAsia" w:ascii="仿宋_GB2312" w:hAnsi="仿宋" w:eastAsia="仿宋_GB2312" w:cs="仿宋_GB2312"/>
          <w:sz w:val="24"/>
        </w:rPr>
        <w:t>投标人</w:t>
      </w:r>
      <w:r>
        <w:rPr>
          <w:rFonts w:hint="eastAsia" w:ascii="仿宋_GB2312" w:hAnsi="仿宋" w:eastAsia="仿宋_GB2312" w:cs="仿宋_GB2312"/>
          <w:sz w:val="24"/>
          <w:lang w:eastAsia="zh-CN"/>
        </w:rPr>
        <w:t>需</w:t>
      </w:r>
      <w:r>
        <w:rPr>
          <w:rFonts w:hint="eastAsia" w:ascii="仿宋_GB2312" w:hAnsi="仿宋" w:eastAsia="仿宋_GB2312" w:cs="仿宋_GB2312"/>
          <w:sz w:val="24"/>
        </w:rPr>
        <w:t>提供节能产品、环境标志产品认证证书复印件；</w:t>
      </w:r>
    </w:p>
    <w:p>
      <w:pPr>
        <w:adjustRightInd w:val="0"/>
        <w:snapToGrid w:val="0"/>
        <w:spacing w:line="360" w:lineRule="auto"/>
        <w:ind w:firstLine="480" w:firstLineChars="200"/>
        <w:rPr>
          <w:rFonts w:hint="eastAsia" w:ascii="仿宋_GB2312" w:hAnsi="仿宋"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5</w:t>
      </w:r>
      <w:r>
        <w:rPr>
          <w:rFonts w:hint="eastAsia" w:ascii="仿宋_GB2312" w:hAnsi="仿宋" w:eastAsia="仿宋_GB2312" w:cs="仿宋_GB2312"/>
          <w:sz w:val="24"/>
        </w:rPr>
        <w:t>投标人在投标文件技术偏离说明表中，</w:t>
      </w:r>
      <w:r>
        <w:rPr>
          <w:rFonts w:hint="eastAsia" w:ascii="仿宋_GB2312" w:hAnsi="仿宋" w:eastAsia="仿宋_GB2312" w:cs="仿宋_GB2312"/>
          <w:kern w:val="0"/>
          <w:sz w:val="24"/>
          <w:lang w:val="zh-CN"/>
        </w:rPr>
        <w:t>应对</w:t>
      </w:r>
      <w:r>
        <w:rPr>
          <w:rFonts w:hint="eastAsia" w:ascii="仿宋_GB2312" w:hAnsi="仿宋" w:eastAsia="仿宋_GB2312" w:cs="仿宋_GB2312"/>
          <w:sz w:val="24"/>
        </w:rPr>
        <w:t>采购需求</w:t>
      </w:r>
      <w:r>
        <w:rPr>
          <w:rFonts w:hint="eastAsia" w:ascii="仿宋_GB2312" w:hAnsi="仿宋"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kern w:val="0"/>
          <w:sz w:val="24"/>
          <w:szCs w:val="24"/>
          <w:highlight w:val="none"/>
          <w:lang w:val="zh-CN"/>
        </w:rPr>
        <w:t>组织实施方案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投标人根据项目采购需求、评分标准等提出组织实施方案</w:t>
      </w:r>
      <w:r>
        <w:rPr>
          <w:rFonts w:hint="eastAsia" w:ascii="仿宋_GB2312" w:hAnsi="仿宋_GB2312"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7</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8</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w:t>
      </w:r>
      <w:r>
        <w:rPr>
          <w:rFonts w:hint="eastAsia" w:ascii="仿宋_GB2312" w:hAnsi="仿宋_GB2312" w:eastAsia="仿宋_GB2312" w:cs="仿宋_GB2312"/>
          <w:sz w:val="24"/>
          <w:lang w:val="zh-CN"/>
        </w:rPr>
        <w:t>在项目中的责任)，资质情况等；</w:t>
      </w:r>
    </w:p>
    <w:p>
      <w:pPr>
        <w:tabs>
          <w:tab w:val="left" w:pos="0"/>
          <w:tab w:val="left" w:pos="840"/>
        </w:tabs>
        <w:autoSpaceDE w:val="0"/>
        <w:autoSpaceDN w:val="0"/>
        <w:spacing w:line="360" w:lineRule="auto"/>
        <w:ind w:firstLine="360" w:firstLineChars="150"/>
        <w:rPr>
          <w:rFonts w:hint="eastAsia" w:ascii="仿宋_GB2312" w:hAnsi="仿宋_GB2312" w:eastAsia="仿宋_GB2312" w:cs="仿宋_GB2312"/>
          <w:sz w:val="24"/>
          <w:lang w:val="zh-CN"/>
        </w:rPr>
      </w:pPr>
      <w:r>
        <w:rPr>
          <w:rFonts w:hint="eastAsia" w:ascii="仿宋_GB2312" w:hAnsi="仿宋_GB2312" w:eastAsia="仿宋_GB2312" w:cs="仿宋_GB2312"/>
          <w:sz w:val="24"/>
          <w:lang w:val="en-US" w:eastAsia="zh-CN"/>
        </w:rPr>
        <w:t>11.3.9</w:t>
      </w:r>
      <w:r>
        <w:rPr>
          <w:rFonts w:hint="eastAsia" w:ascii="仿宋_GB2312" w:hAnsi="仿宋_GB2312" w:eastAsia="仿宋_GB2312" w:cs="仿宋_GB2312"/>
          <w:sz w:val="24"/>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en-US" w:eastAsia="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10</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sz w:val="24"/>
          <w:lang w:val="zh-CN"/>
        </w:rPr>
        <w:t>11.3.1</w:t>
      </w:r>
      <w:r>
        <w:rPr>
          <w:rFonts w:hint="eastAsia" w:ascii="仿宋_GB2312" w:hAnsi="仿宋" w:eastAsia="仿宋_GB2312" w:cs="仿宋_GB2312"/>
          <w:sz w:val="24"/>
          <w:lang w:val="en-US" w:eastAsia="zh-CN"/>
        </w:rPr>
        <w:t>3</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11.3.1</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lang w:val="zh-CN"/>
        </w:rPr>
        <w:t>廉政承诺书。</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4"/>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adjustRightInd w:val="0"/>
        <w:spacing w:line="360" w:lineRule="auto"/>
        <w:ind w:firstLine="480" w:firstLineChars="200"/>
        <w:rPr>
          <w:rFonts w:ascii="仿宋_GB2312" w:hAnsi="仿宋" w:eastAsia="仿宋_GB2312" w:cs="仿宋_GB2312"/>
          <w:b/>
          <w:sz w:val="24"/>
          <w:szCs w:val="24"/>
        </w:rPr>
      </w:pPr>
      <w:r>
        <w:rPr>
          <w:rFonts w:hint="eastAsia" w:ascii="仿宋_GB2312" w:hAnsi="仿宋_GB2312"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sz w:val="24"/>
          <w:szCs w:val="24"/>
        </w:rPr>
        <w:t>▲</w:t>
      </w:r>
      <w:r>
        <w:rPr>
          <w:rFonts w:hint="eastAsia" w:ascii="仿宋_GB2312" w:hAnsi="仿宋" w:eastAsia="仿宋_GB2312" w:cs="仿宋_GB2312"/>
          <w:b/>
          <w:sz w:val="24"/>
          <w:szCs w:val="24"/>
        </w:rPr>
        <w:t>投标文件未按规定的格式编制的，投标无效；</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13.投标文件的签署、盖章</w:t>
      </w:r>
    </w:p>
    <w:p>
      <w:pPr>
        <w:adjustRightInd w:val="0"/>
        <w:snapToGrid w:val="0"/>
        <w:spacing w:after="120" w:line="360" w:lineRule="auto"/>
        <w:ind w:firstLine="480" w:firstLineChars="200"/>
        <w:rPr>
          <w:rFonts w:ascii="仿宋_GB2312" w:hAnsi="仿宋" w:eastAsia="仿宋_GB2312" w:cs="仿宋_GB2312"/>
          <w:b/>
          <w:sz w:val="24"/>
        </w:rPr>
      </w:pPr>
      <w:r>
        <w:rPr>
          <w:rFonts w:hint="eastAsia" w:ascii="仿宋_GB2312" w:hAnsi="仿宋" w:eastAsia="仿宋_GB2312" w:cs="仿宋_GB2312"/>
          <w:sz w:val="24"/>
          <w:szCs w:val="24"/>
        </w:rPr>
        <w:t>13.1投标文件按照招标文件第六部分格式要</w:t>
      </w:r>
      <w:r>
        <w:rPr>
          <w:rFonts w:hint="eastAsia" w:ascii="仿宋_GB2312" w:hAnsi="仿宋" w:eastAsia="仿宋_GB2312" w:cs="仿宋_GB2312"/>
          <w:sz w:val="24"/>
        </w:rPr>
        <w:t>求进行签署、盖章。</w:t>
      </w:r>
      <w:r>
        <w:rPr>
          <w:rFonts w:hint="eastAsia" w:ascii="仿宋" w:hAnsi="仿宋" w:eastAsia="仿宋" w:cs="仿宋"/>
          <w:b/>
          <w:sz w:val="24"/>
        </w:rPr>
        <w:t>▲</w:t>
      </w:r>
      <w:r>
        <w:rPr>
          <w:rFonts w:hint="eastAsia" w:ascii="仿宋_GB2312" w:hAnsi="仿宋" w:eastAsia="仿宋_GB2312" w:cs="仿宋_GB2312"/>
          <w:b/>
          <w:sz w:val="24"/>
        </w:rPr>
        <w:t>投标人的投标文件未按照招标文件要求签署、盖章的，其投标无效</w:t>
      </w:r>
      <w:r>
        <w:rPr>
          <w:rFonts w:hint="eastAsia" w:ascii="仿宋_GB2312" w:hAnsi="仿宋" w:eastAsia="仿宋_GB2312" w:cs="仿宋_GB2312"/>
          <w:sz w:val="24"/>
          <w:szCs w:val="24"/>
        </w:rPr>
        <w:t>。</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15.2备份投标文件须在“政采云投标客户端”制作生成，并储存</w:t>
      </w:r>
      <w:r>
        <w:rPr>
          <w:rFonts w:hint="eastAsia" w:ascii="仿宋_GB2312" w:hAnsi="仿宋" w:eastAsia="仿宋_GB2312" w:cs="仿宋_GB2312"/>
          <w:snapToGrid w:val="0"/>
          <w:color w:val="auto"/>
          <w:sz w:val="24"/>
          <w:szCs w:val="24"/>
        </w:rPr>
        <w:t>在不可修改的</w:t>
      </w:r>
      <w:r>
        <w:rPr>
          <w:rFonts w:hint="eastAsia" w:ascii="仿宋_GB2312" w:hAnsi="仿宋" w:eastAsia="仿宋_GB2312" w:cs="Arial"/>
          <w:snapToGrid w:val="0"/>
          <w:color w:val="auto"/>
          <w:sz w:val="24"/>
          <w:szCs w:val="21"/>
        </w:rPr>
        <w:t>电子光盘</w:t>
      </w:r>
      <w:r>
        <w:rPr>
          <w:rFonts w:hint="eastAsia" w:ascii="仿宋_GB2312" w:hAnsi="仿宋" w:eastAsia="仿宋_GB2312" w:cs="仿宋_GB2312"/>
          <w:snapToGrid w:val="0"/>
          <w:color w:val="auto"/>
          <w:sz w:val="24"/>
          <w:szCs w:val="24"/>
        </w:rPr>
        <w:t>中。备份投标文件应当密封包装并在包装上加盖公章并注明投标项目名称，</w:t>
      </w:r>
      <w:r>
        <w:rPr>
          <w:rFonts w:hint="eastAsia" w:ascii="仿宋_GB2312" w:hAnsi="仿宋" w:eastAsia="仿宋_GB2312" w:cs="仿宋_GB2312"/>
          <w:snapToGrid w:val="0"/>
          <w:sz w:val="24"/>
          <w:szCs w:val="24"/>
        </w:rPr>
        <w:t>投标人名称(联合体投标的，包装物封面需注明联合体投标，并注明联合体成员各方的名称和联合体协议中约定的牵头人的名称)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w:t>
      </w:r>
      <w:r>
        <w:rPr>
          <w:rFonts w:hint="eastAsia" w:ascii="仿宋_GB2312" w:hAnsi="仿宋" w:eastAsia="仿宋_GB2312" w:cs="仿宋_GB2312"/>
          <w:snapToGrid w:val="0"/>
          <w:sz w:val="24"/>
          <w:szCs w:val="24"/>
          <w:lang w:eastAsia="zh-CN"/>
        </w:rPr>
        <w:t>临安区锦北街道科技大道</w:t>
      </w:r>
      <w:r>
        <w:rPr>
          <w:rFonts w:hint="eastAsia" w:ascii="仿宋_GB2312" w:hAnsi="仿宋" w:eastAsia="仿宋_GB2312" w:cs="仿宋_GB2312"/>
          <w:snapToGrid w:val="0"/>
          <w:sz w:val="24"/>
          <w:szCs w:val="24"/>
          <w:lang w:val="en-US" w:eastAsia="zh-CN"/>
        </w:rPr>
        <w:t>4398号市民中心B座B448室</w:t>
      </w:r>
      <w:r>
        <w:rPr>
          <w:rFonts w:hint="eastAsia" w:ascii="仿宋_GB2312" w:hAnsi="仿宋" w:eastAsia="仿宋_GB2312" w:cs="仿宋_GB2312"/>
          <w:snapToGrid w:val="0"/>
          <w:sz w:val="24"/>
          <w:szCs w:val="24"/>
        </w:rPr>
        <w:t>（杭州市公共资源交易中心</w:t>
      </w:r>
      <w:r>
        <w:rPr>
          <w:rFonts w:hint="eastAsia" w:ascii="仿宋_GB2312" w:hAnsi="仿宋" w:eastAsia="仿宋_GB2312" w:cs="仿宋_GB2312"/>
          <w:snapToGrid w:val="0"/>
          <w:sz w:val="24"/>
          <w:szCs w:val="24"/>
          <w:lang w:eastAsia="zh-CN"/>
        </w:rPr>
        <w:t>临安分中心</w:t>
      </w:r>
      <w:r>
        <w:rPr>
          <w:rFonts w:hint="eastAsia" w:ascii="仿宋_GB2312" w:hAnsi="仿宋" w:eastAsia="仿宋_GB2312" w:cs="仿宋_GB2312"/>
          <w:snapToGrid w:val="0"/>
          <w:sz w:val="24"/>
          <w:szCs w:val="24"/>
        </w:rPr>
        <w:t>政府采购</w:t>
      </w:r>
      <w:r>
        <w:rPr>
          <w:rFonts w:hint="eastAsia" w:ascii="仿宋_GB2312" w:hAnsi="仿宋" w:eastAsia="仿宋_GB2312" w:cs="仿宋_GB2312"/>
          <w:snapToGrid w:val="0"/>
          <w:sz w:val="24"/>
          <w:szCs w:val="24"/>
          <w:lang w:eastAsia="zh-CN"/>
        </w:rPr>
        <w:t>科</w:t>
      </w:r>
      <w:r>
        <w:rPr>
          <w:rFonts w:hint="eastAsia" w:ascii="仿宋_GB2312" w:hAnsi="仿宋" w:eastAsia="仿宋_GB2312" w:cs="仿宋_GB2312"/>
          <w:snapToGrid w:val="0"/>
          <w:sz w:val="24"/>
          <w:szCs w:val="24"/>
        </w:rPr>
        <w:t>）；送达时间以签收人签收时间为准（签收人：</w:t>
      </w:r>
      <w:r>
        <w:rPr>
          <w:rFonts w:hint="eastAsia" w:ascii="仿宋_GB2312" w:hAnsi="仿宋" w:eastAsia="仿宋_GB2312" w:cs="仿宋_GB2312"/>
          <w:snapToGrid w:val="0"/>
          <w:sz w:val="24"/>
          <w:szCs w:val="24"/>
          <w:lang w:eastAsia="zh-CN"/>
        </w:rPr>
        <w:t>杨颖</w:t>
      </w:r>
      <w:r>
        <w:rPr>
          <w:rFonts w:hint="eastAsia" w:ascii="仿宋_GB2312" w:hAnsi="仿宋" w:eastAsia="仿宋_GB2312" w:cs="仿宋_GB2312"/>
          <w:snapToGrid w:val="0"/>
          <w:sz w:val="24"/>
          <w:szCs w:val="24"/>
        </w:rPr>
        <w:t>， 联系电话：0571-</w:t>
      </w:r>
      <w:r>
        <w:rPr>
          <w:rFonts w:hint="eastAsia" w:ascii="仿宋_GB2312" w:hAnsi="仿宋" w:eastAsia="仿宋_GB2312" w:cs="仿宋_GB2312"/>
          <w:snapToGrid w:val="0"/>
          <w:sz w:val="24"/>
          <w:szCs w:val="24"/>
          <w:lang w:val="en-US" w:eastAsia="zh-CN"/>
        </w:rPr>
        <w:t>23616011</w:t>
      </w:r>
      <w:r>
        <w:rPr>
          <w:rFonts w:hint="eastAsia" w:ascii="仿宋_GB2312" w:hAnsi="仿宋" w:eastAsia="仿宋_GB2312" w:cs="仿宋_GB2312"/>
          <w:snapToGrid w:val="0"/>
          <w:sz w:val="24"/>
          <w:szCs w:val="24"/>
        </w:rPr>
        <w:t>）。采购机构将拒绝接受逾期送达的备份投标文件。邮寄过程中，电子备份投标文件发生泄露、遗失、损坏或延期送达等情况的，由投标人自行负责。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pStyle w:val="526"/>
        <w:spacing w:before="0" w:line="360" w:lineRule="auto"/>
        <w:ind w:left="0" w:leftChars="0" w:firstLine="480" w:firstLineChars="200"/>
        <w:contextualSpacing/>
        <w:rPr>
          <w:rFonts w:hint="eastAsia" w:ascii="仿宋_GB2312" w:hAnsi="仿宋_GB2312" w:eastAsia="仿宋_GB2312" w:cs="仿宋_GB2312"/>
        </w:rPr>
      </w:pPr>
      <w:r>
        <w:rPr>
          <w:rFonts w:hint="eastAsia" w:ascii="仿宋_GB2312" w:hAnsi="仿宋_GB2312" w:eastAsia="仿宋_GB2312" w:cs="仿宋_GB2312"/>
          <w:b w:val="0"/>
          <w:bCs w:val="0"/>
          <w:sz w:val="24"/>
          <w:szCs w:val="22"/>
          <w:lang w:val="en-US" w:eastAsia="zh-CN"/>
        </w:rPr>
        <w:t>18.4开标记录开启后，请将附件2《政府采购活动现场确认声明书》填写完整发送至邮箱：649656585@qq.com。</w:t>
      </w:r>
    </w:p>
    <w:p>
      <w:pPr>
        <w:widowControl/>
        <w:adjustRightInd w:val="0"/>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19.1开标后，采购人或采购机构将依法对投标人的资格进行审查。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4729768"/>
      <w:bookmarkEnd w:id="10"/>
      <w:bookmarkStart w:id="11" w:name="_Hlt75236011"/>
      <w:bookmarkEnd w:id="11"/>
      <w:bookmarkStart w:id="12" w:name="_Hlt68403820"/>
      <w:bookmarkEnd w:id="12"/>
      <w:bookmarkStart w:id="13" w:name="_Hlt68073093"/>
      <w:bookmarkEnd w:id="13"/>
      <w:bookmarkStart w:id="14" w:name="_Hlt68057669"/>
      <w:bookmarkEnd w:id="14"/>
      <w:bookmarkStart w:id="15" w:name="_Hlt75236290"/>
      <w:bookmarkEnd w:id="15"/>
      <w:bookmarkStart w:id="16" w:name="_Hlt75236101"/>
      <w:bookmarkEnd w:id="16"/>
      <w:bookmarkStart w:id="17" w:name="_Hlt68072998"/>
      <w:bookmarkEnd w:id="17"/>
      <w:bookmarkStart w:id="18" w:name="_Hlt74730295"/>
      <w:bookmarkEnd w:id="18"/>
      <w:bookmarkStart w:id="19" w:name="_Hlt74707468"/>
      <w:bookmarkEnd w:id="19"/>
      <w:bookmarkStart w:id="20" w:name="_Hlt68072990"/>
      <w:bookmarkEnd w:id="20"/>
      <w:bookmarkStart w:id="21" w:name="_Hlt74714665"/>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pStyle w:val="607"/>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“★”系产品采购项目中单一产品或核心产品：</w:t>
      </w:r>
      <w:r>
        <w:rPr>
          <w:rFonts w:hint="eastAsia" w:ascii="仿宋_GB2312" w:hAnsi="仿宋_GB2312" w:eastAsia="仿宋_GB2312" w:cs="仿宋_GB2312"/>
          <w:b/>
          <w:bCs/>
          <w:szCs w:val="24"/>
          <w:u w:val="single"/>
          <w:lang w:val="en-US" w:eastAsia="zh-CN"/>
        </w:rPr>
        <w:t>55寸LCD显示单元</w:t>
      </w:r>
      <w:r>
        <w:rPr>
          <w:rFonts w:hint="eastAsia" w:ascii="仿宋_GB2312" w:hAnsi="仿宋_GB2312" w:eastAsia="仿宋_GB2312" w:cs="仿宋_GB2312"/>
          <w:szCs w:val="24"/>
        </w:rPr>
        <w:t>。</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val="en-US" w:eastAsia="zh-CN"/>
        </w:rPr>
        <w:t>本项目位于杭州市临安区科技大道国际商务中心二号楼及四号楼，项目内容主要涉及三个部分：二号楼会议室音视频系统；二号楼档案系统内网专网设备及</w:t>
      </w:r>
      <w:r>
        <w:rPr>
          <w:rFonts w:hint="eastAsia" w:ascii="仿宋_GB2312" w:hAnsi="仿宋_GB2312" w:eastAsia="仿宋_GB2312" w:cs="仿宋_GB2312"/>
          <w:b w:val="0"/>
          <w:bCs w:val="0"/>
          <w:sz w:val="24"/>
          <w:szCs w:val="24"/>
          <w:highlight w:val="none"/>
          <w:lang w:val="en-US" w:eastAsia="zh-CN"/>
        </w:rPr>
        <w:t>部分档案系统专用设备；四号楼四层会议中心音视频系统及一层LED屏系统。本项目主要为设备安装调试，所有会议系统音视频管线及网络系统管线均已经实施到位。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功能需求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1、2#楼档案馆档案系统网络设备及档案系统专用设备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主要由档案系统电脑、扫描仪、信息发布屏，档案机，档案自助查阅，专网及内网接入层交换机，核心交换机等设备。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2、2#楼中型会议室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十四层中型会议室面积约104</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，配置55寸3*3的液晶拼接屏系统，会议桌下面配置音频接口，高清接口，网络接口等，在液晶拼接屏下面预留视频会议系统接口。十五层中型会议室面积约86</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。会议桌根据坐席配置手拉手会议话筒，吊顶四个角配置四个音箱，配置46寸3*3的液晶拼接屏系统，会议桌下面配置音频接口，高清接口，网络接口等，在液晶拼接屏下面预留视频会议系统接口。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3、2#楼十五层小型会议室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十五层小会议室面积约40</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，设计一块75寸会议平板，地插预留在靠南面墙区域。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4、4#楼一层LED屏系统及四层会议中心音视频系统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4#楼一层西面大厅设计一块13</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P2.5的LED屏显示系统。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四层作为一个完整的会议中心，相关会议室之间存在音视频互联互通的需求，每个会议室音视频系统均基于分布式网络系统搭建。另外设计一套会议预约系统。四层会议中心共1个多功能厅，10个会议室，2个接待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多功能厅面积约447</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该多功能厅设计以会议为主，兼具活动功能的需求。该多功能厅根据面积及定位，设计扩声系统，LED大屏显示系统，重要会议录播系统。该多功能厅扩声系统主要由有线会议话筒，3+1吊装线阵音箱，壁挂补声音箱，活动返听音箱，台唇音箱组成。视频系统由一块P2.5的14</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LED主屏及两块4.6</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的LED副屏组成，另外在台口上沿设计一条电子会议屏。主席台预留音频接口，网络接口，高清接口，视频会议接口等。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4#楼三楼东西两侧会议室面积约200</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为教室型布置，根据面积及布置设计定位为报告型会议室。设计一套扩声系统及LED屏显示系统。扩声系统为有线会议话筒及六个吊装音箱组成，视频部分在主席台侧安装一块P2.0的LED显示屏。在主席台桌子下预留音频接口，高清接口及网络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4#楼三楼中区南面两个会议室面积约172</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及153</w:t>
      </w:r>
      <w:r>
        <w:rPr>
          <w:rFonts w:hint="eastAsia" w:ascii="仿宋_GB2312" w:hAnsi="仿宋_GB2312" w:eastAsia="仿宋_GB2312" w:cs="仿宋_GB2312"/>
          <w:b w:val="0"/>
          <w:bCs w:val="0"/>
          <w:sz w:val="24"/>
          <w:szCs w:val="24"/>
          <w:lang w:val="en-US" w:eastAsia="zh-CN"/>
        </w:rPr>
        <w:t>m</w:t>
      </w:r>
      <w:r>
        <w:rPr>
          <w:rFonts w:hint="eastAsia" w:ascii="仿宋_GB2312" w:hAnsi="仿宋_GB2312" w:eastAsia="仿宋_GB2312" w:cs="仿宋_GB2312"/>
          <w:b w:val="0"/>
          <w:bCs w:val="0"/>
          <w:sz w:val="24"/>
          <w:szCs w:val="24"/>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根据面积及考虑整个会议中心的需要，这两个会议室设计定位为无纸化会议室。这两个会议室设计扩声系统，液晶升降屏系统，视频系统。扩声系统每个坐席设计一个会议话筒，吊顶四角设计四个音箱。液晶升降屏系统每个坐席设计一个15.6寸液晶升降屏。视频系统在主席台方向墙上设计一套55寸3*3液晶拼接屏。会议桌下面预留音频接口，高清接口，网络接口等。在会议室前后墙上各预留一个视频会议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4#楼三楼其余六个会议室面积均在70~80m</w:t>
      </w:r>
      <w:r>
        <w:rPr>
          <w:rFonts w:hint="eastAsia" w:ascii="仿宋_GB2312" w:hAnsi="仿宋_GB2312" w:eastAsia="仿宋_GB2312" w:cs="仿宋_GB2312"/>
          <w:b w:val="0"/>
          <w:bCs w:val="0"/>
          <w:sz w:val="24"/>
          <w:szCs w:val="24"/>
          <w:highlight w:val="none"/>
          <w:vertAlign w:val="superscript"/>
          <w:lang w:val="en-US" w:eastAsia="zh-CN"/>
        </w:rPr>
        <w:t>2</w:t>
      </w:r>
      <w:r>
        <w:rPr>
          <w:rFonts w:hint="eastAsia" w:ascii="仿宋_GB2312" w:hAnsi="仿宋_GB2312" w:eastAsia="仿宋_GB2312" w:cs="仿宋_GB2312"/>
          <w:b w:val="0"/>
          <w:bCs w:val="0"/>
          <w:sz w:val="24"/>
          <w:szCs w:val="24"/>
          <w:highlight w:val="none"/>
          <w:lang w:val="en-US" w:eastAsia="zh-CN"/>
        </w:rPr>
        <w:t>之间，根据面积，这几个会议室均设计一套扩声系统及视频系统。扩声系统除了一个教室型会议室为无线会议话筒外加四个音箱外，其他会议室均根据坐席设计手拉手会议话筒及二个主音箱。视频系统均在主席台侧墙上设计一套55寸3*3液晶拼接屏系统，每个会议桌下面均预留音频接口，高清接口及网络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4#楼三楼两个接待室均设计一块壁装98寸会议平板。</w:t>
      </w:r>
    </w:p>
    <w:p>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招标需求</w:t>
      </w:r>
    </w:p>
    <w:tbl>
      <w:tblPr>
        <w:tblStyle w:val="62"/>
        <w:tblW w:w="5000" w:type="pct"/>
        <w:tblInd w:w="0" w:type="dxa"/>
        <w:shd w:val="clear" w:color="auto" w:fill="auto"/>
        <w:tblLayout w:type="autofit"/>
        <w:tblCellMar>
          <w:top w:w="0" w:type="dxa"/>
          <w:left w:w="0" w:type="dxa"/>
          <w:bottom w:w="0" w:type="dxa"/>
          <w:right w:w="0" w:type="dxa"/>
        </w:tblCellMar>
      </w:tblPr>
      <w:tblGrid>
        <w:gridCol w:w="817"/>
        <w:gridCol w:w="103"/>
        <w:gridCol w:w="6148"/>
        <w:gridCol w:w="15"/>
        <w:gridCol w:w="907"/>
        <w:gridCol w:w="15"/>
        <w:gridCol w:w="1050"/>
        <w:gridCol w:w="15"/>
      </w:tblGrid>
      <w:tr>
        <w:tblPrEx>
          <w:shd w:val="clear" w:color="auto" w:fill="auto"/>
          <w:tblCellMar>
            <w:top w:w="0" w:type="dxa"/>
            <w:left w:w="0" w:type="dxa"/>
            <w:bottom w:w="0" w:type="dxa"/>
            <w:right w:w="0" w:type="dxa"/>
          </w:tblCellMar>
        </w:tblPrEx>
        <w:trPr>
          <w:gridAfter w:val="1"/>
          <w:wAfter w:w="7" w:type="pct"/>
          <w:trHeight w:val="282" w:hRule="atLeast"/>
        </w:trPr>
        <w:tc>
          <w:tcPr>
            <w:tcW w:w="4992" w:type="pct"/>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bookmarkStart w:id="25" w:name="RANGE!A1:D54"/>
            <w:r>
              <w:rPr>
                <w:rFonts w:hint="eastAsia" w:ascii="仿宋_GB2312" w:hAnsi="仿宋_GB2312" w:eastAsia="仿宋_GB2312" w:cs="仿宋_GB2312"/>
                <w:b/>
                <w:i w:val="0"/>
                <w:color w:val="000000"/>
                <w:kern w:val="0"/>
                <w:sz w:val="21"/>
                <w:szCs w:val="21"/>
                <w:u w:val="none"/>
                <w:lang w:val="en-US" w:eastAsia="zh-CN" w:bidi="ar"/>
              </w:rPr>
              <w:t>2号楼音视频系统设备清单</w:t>
            </w:r>
            <w:bookmarkEnd w:id="25"/>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578" w:type="pct"/>
            <w:tcBorders>
              <w:top w:val="nil"/>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blPrEx>
          <w:tblCellMar>
            <w:top w:w="0" w:type="dxa"/>
            <w:left w:w="0" w:type="dxa"/>
            <w:bottom w:w="0" w:type="dxa"/>
            <w:right w:w="0" w:type="dxa"/>
          </w:tblCellMar>
        </w:tblPrEx>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一、十四层中型会议室（104平方米）</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二、十五层小会议室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三、十五层中型会议室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专业功放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12路调音台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条</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多媒体管控平台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编程软件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46寸LCD显示单元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39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四、档案系统设备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分体机双屏电脑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分体机单屏电脑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扫描仪</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一体机电脑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25</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立式信息发布屏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档案机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档案自助查阅机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无线取号机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无线叫号器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无线评价器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面板式AP</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r>
      <w:tr>
        <w:tblPrEx>
          <w:tblCellMar>
            <w:top w:w="0" w:type="dxa"/>
            <w:left w:w="0" w:type="dxa"/>
            <w:bottom w:w="0" w:type="dxa"/>
            <w:right w:w="0" w:type="dxa"/>
          </w:tblCellMar>
        </w:tblPrEx>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核心交换机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gridAfter w:val="1"/>
          <w:wAfter w:w="7" w:type="pct"/>
          <w:trHeight w:val="282" w:hRule="atLeast"/>
        </w:trPr>
        <w:tc>
          <w:tcPr>
            <w:tcW w:w="45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45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防火墙</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7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bookmarkStart w:id="26" w:name="RANGE!A1:D280"/>
            <w:r>
              <w:rPr>
                <w:rFonts w:hint="eastAsia" w:ascii="仿宋_GB2312" w:hAnsi="仿宋_GB2312" w:eastAsia="仿宋_GB2312" w:cs="仿宋_GB2312"/>
                <w:b/>
                <w:i w:val="0"/>
                <w:color w:val="000000"/>
                <w:kern w:val="0"/>
                <w:sz w:val="21"/>
                <w:szCs w:val="21"/>
                <w:u w:val="none"/>
                <w:lang w:val="en-US" w:eastAsia="zh-CN" w:bidi="ar"/>
              </w:rPr>
              <w:t>4号楼音视频系统设备清单</w:t>
            </w:r>
            <w:bookmarkEnd w:id="26"/>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一、多功能厅</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线阵低音</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数字调音台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接口箱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有源监听音箱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音箱地插盒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线阵音箱支架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Style w:val="699"/>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Style w:val="933"/>
                <w:rFonts w:hint="eastAsia" w:ascii="仿宋_GB2312" w:hAnsi="仿宋_GB2312" w:eastAsia="仿宋_GB2312" w:cs="仿宋_GB2312"/>
                <w:sz w:val="21"/>
                <w:szCs w:val="21"/>
                <w:lang w:val="en-US" w:eastAsia="zh-CN" w:bidi="ar"/>
              </w:rPr>
              <w:t xml:space="preserve">(2)分布式控制系统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2路分布式视频输入节点（带音频）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2路分布式视频输出节点（带音频）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控制系统主机模块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DANTE网络扩展箱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4路HDMI输入板卡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4路HDMI输出板卡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张</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管理电脑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Style w:val="933"/>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(4)舞台LED显示屏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室内LED大屏P2.5（中间大屏）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13.93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室内LED大屏P2.5（侧边大屏）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9.22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电子会标LED屏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2.133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LED屏异步控制卡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拼接控制软件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27.7</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PLC智能控制配电箱（20KW)</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PLC智能控制配电箱(10KW)</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二、1号会议室（2间）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(1)扩声会议设备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16路调音台</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音响面板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(2)LED屏显示系统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698"/>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室内LED大屏P2.0</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26.15</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27.68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三、2号/3号/8号会议室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color w:val="000000"/>
                <w:kern w:val="0"/>
                <w:sz w:val="21"/>
                <w:szCs w:val="21"/>
                <w:lang w:val="en-US" w:eastAsia="zh-CN" w:bidi="ar"/>
              </w:rPr>
              <w:t>(1)扩声系统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条</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四、4号会议室（2间）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手拉手主席单元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手拉手代表单元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手拉手专用线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条</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五、5号会议室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Style w:val="702"/>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(2)无纸化会议系统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15.6寸带话筒无纸化一体机升降机(含话筒)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无纸化会议控制电脑主机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kern w:val="0"/>
                <w:sz w:val="21"/>
                <w:szCs w:val="21"/>
                <w:lang w:val="en-US" w:eastAsia="zh-CN" w:bidi="ar"/>
              </w:rPr>
              <w:t>无纸化后台管理软件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无纸化会议终端客户端软件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手拉手数字会议主机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投影同屏控制器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无纸化流媒体服务器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(4)拼接显示系统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897"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六、6号会议室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(1)扩声系统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Style w:val="702"/>
                <w:rFonts w:hint="eastAsia" w:ascii="仿宋_GB2312" w:hAnsi="仿宋_GB2312" w:eastAsia="仿宋_GB2312" w:cs="仿宋_GB2312"/>
                <w:sz w:val="21"/>
                <w:szCs w:val="21"/>
                <w:lang w:val="en-US" w:eastAsia="zh-CN" w:bidi="ar"/>
              </w:rPr>
              <w:t>控制机柜（32U)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(2)无纸化会议系统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15.6寸带话筒无纸化一体机升降机(含话筒)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无纸化会议控制电脑主机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无纸化后台管理软件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无纸化会议终端客户端软件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28</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手拉手数字会议主机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投影同屏控制器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无纸化流媒体服务器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(3)录播系统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(4)拼接显示系统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3897"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七、7号会议室</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b/>
                <w:color w:val="000000"/>
                <w:kern w:val="0"/>
                <w:sz w:val="21"/>
                <w:szCs w:val="21"/>
                <w:lang w:val="en-US" w:eastAsia="zh-CN" w:bidi="ar"/>
              </w:rPr>
              <w:t>(1)扩声系统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会议音箱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网络功放</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24口POE交换机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无线手持话筒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无线会议话筒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DI盒子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辅材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Style w:val="698"/>
                <w:rFonts w:hint="eastAsia" w:ascii="仿宋_GB2312" w:hAnsi="仿宋_GB2312" w:eastAsia="仿宋_GB2312" w:cs="仿宋_GB2312"/>
                <w:sz w:val="21"/>
                <w:szCs w:val="21"/>
                <w:lang w:val="en-US" w:eastAsia="zh-CN" w:bidi="ar"/>
              </w:rPr>
              <w:t xml:space="preserve">(2)拼接显示系统 </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★55寸LCD显示单元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无线投屏盒子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八、接待室（2间）</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智能交互会议平板支架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九、西区一层办公大厅LED屏</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室内LED大屏P2.5</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13.1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LED大屏控制卡</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室内大屏框架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14</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大屏拼接控制设备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信息发布盒子</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7</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数据光端机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对</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管理电脑</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十、会议系统网络核心设备</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核心交换机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光模块</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只</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12</w:t>
            </w:r>
          </w:p>
        </w:tc>
      </w:tr>
      <w:tr>
        <w:trPr>
          <w:trHeight w:val="282" w:hRule="atLeast"/>
        </w:trPr>
        <w:tc>
          <w:tcPr>
            <w:tcW w:w="38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十一、会议预约系统</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信息发布服务器</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嵌入式信息发布系统软件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信息发布客户端授权</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3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会议预定接口软件</w:t>
            </w:r>
          </w:p>
        </w:tc>
        <w:tc>
          <w:tcPr>
            <w:tcW w:w="508"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59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p>
    <w:tbl>
      <w:tblPr>
        <w:tblStyle w:val="62"/>
        <w:tblW w:w="5000" w:type="pct"/>
        <w:tblInd w:w="0" w:type="dxa"/>
        <w:shd w:val="clear" w:color="auto" w:fill="auto"/>
        <w:tblLayout w:type="fixed"/>
        <w:tblCellMar>
          <w:top w:w="0" w:type="dxa"/>
          <w:left w:w="0" w:type="dxa"/>
          <w:bottom w:w="0" w:type="dxa"/>
          <w:right w:w="0" w:type="dxa"/>
        </w:tblCellMar>
      </w:tblPr>
      <w:tblGrid>
        <w:gridCol w:w="563"/>
        <w:gridCol w:w="918"/>
        <w:gridCol w:w="6811"/>
        <w:gridCol w:w="395"/>
        <w:gridCol w:w="413"/>
      </w:tblGrid>
      <w:tr>
        <w:tblPrEx>
          <w:shd w:val="clear" w:color="auto" w:fill="auto"/>
          <w:tblCellMar>
            <w:top w:w="0" w:type="dxa"/>
            <w:left w:w="0" w:type="dxa"/>
            <w:bottom w:w="0" w:type="dxa"/>
            <w:right w:w="0" w:type="dxa"/>
          </w:tblCellMar>
        </w:tblPrEx>
        <w:trPr>
          <w:trHeight w:val="300" w:hRule="atLeast"/>
        </w:trPr>
        <w:tc>
          <w:tcPr>
            <w:tcW w:w="5000" w:type="pct"/>
            <w:gridSpan w:val="5"/>
            <w:tcBorders>
              <w:top w:val="nil"/>
              <w:left w:val="nil"/>
              <w:bottom w:val="single" w:color="auto"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bookmarkStart w:id="27" w:name="RANGE!A1:E120"/>
            <w:r>
              <w:rPr>
                <w:rFonts w:hint="eastAsia" w:ascii="仿宋_GB2312" w:hAnsi="仿宋_GB2312" w:eastAsia="仿宋_GB2312" w:cs="仿宋_GB2312"/>
                <w:b/>
                <w:i w:val="0"/>
                <w:color w:val="000000"/>
                <w:kern w:val="0"/>
                <w:sz w:val="21"/>
                <w:szCs w:val="21"/>
                <w:u w:val="none"/>
                <w:lang w:val="en-US" w:eastAsia="zh-CN" w:bidi="ar"/>
              </w:rPr>
              <w:t>详细技术参数表</w:t>
            </w:r>
            <w:bookmarkEnd w:id="27"/>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产品名称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技术参数</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一、视频设备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eastAsia" w:ascii="仿宋_GB2312" w:hAnsi="仿宋_GB2312" w:eastAsia="仿宋_GB2312" w:cs="仿宋_GB2312"/>
                <w:i w:val="0"/>
                <w:color w:val="000000"/>
                <w:kern w:val="0"/>
                <w:sz w:val="21"/>
                <w:szCs w:val="21"/>
                <w:u w:val="none"/>
                <w:lang w:val="en-US" w:eastAsia="zh-CN" w:bidi="ar"/>
              </w:rPr>
              <w:t>55寸LCD显示单元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▲1）LCD液晶显示单元；尺寸：55英寸；分辨率：1920x1080；视角：178°(水平)/ 178°(垂直)；响应时间：8ms(G to G)；对比度：4000:1；亮度：600cd/㎡；物理拼缝：1.8mm；（提供具有检测资质的第三方检测机构的检测报告）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2）输入接口：VGA×1，DVI×1，BNC×1，HDMI×1，USB×1；输出接口：VGA×1，HDMI×1，BNC×1；寿命：≥60000 小时；工作温度和湿度：0℃--50℃，10%--90%；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3）为保护环境要求，液晶拼接屏需满足中国电器电子产品有害物质限制使用的要求。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
                <w:bCs/>
                <w:sz w:val="21"/>
                <w:szCs w:val="21"/>
                <w:lang w:val="en-US" w:eastAsia="zh-CN"/>
              </w:rPr>
              <w:t>✰</w:t>
            </w:r>
            <w:r>
              <w:rPr>
                <w:rFonts w:hint="eastAsia" w:ascii="仿宋_GB2312" w:hAnsi="仿宋_GB2312" w:eastAsia="仿宋_GB2312" w:cs="仿宋_GB2312"/>
                <w:i w:val="0"/>
                <w:color w:val="000000"/>
                <w:kern w:val="0"/>
                <w:sz w:val="21"/>
                <w:szCs w:val="21"/>
                <w:u w:val="none"/>
                <w:lang w:val="en-US" w:eastAsia="zh-CN" w:bidi="ar"/>
              </w:rPr>
              <w:t>4）液晶显示单元具有色坐标一致性，根据CIE1931标准色度系统，液晶显示单元色坐标误差在±0.001以内，液晶显示单元客户端具备能力集收集、设备工作状态展示功能；液晶显示单元具有帧宽度调节技术，通过调节画面宽度，解决输入信号四周黑边问题。（提供具有检测资质的第三方检测机构的检测报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液晶显示单元的风扇具备良好的散热效果，风扇散热性能≥60%。液晶显示单元连续运行24小时，液晶表面中心温度≤50℃，边缘测试点与中心温差≤10℃。LCD显示单元可在海拔最高45000ft高度，-40到50℃环境中存储72.5小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46寸LCD显示单元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1）LCD液晶显示单元；尺寸：46英寸；分辨率：1920x1080；视角：178°(水平)/ 178°(垂直)；响应时间：6ms(G to G)；对比度：4500:1；亮度：600cd/㎡；物理拼缝：1.7mm；输入接口：VGA×1，DVI×1，BNC×1，HDMI×1, USB×1；输出接口：VGA×1，DVI×1，BNC×1；</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控制接口：RJ45 for RS-232（输入×1，输出×1）；功耗：≤139W；寿命：≥60000 小时；工作温度和湿度：0℃--50℃，10%--90%(无凝露)；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液晶显示单元具有色坐标一致性，根据CIE1931标准色度系统，液晶显示单元色坐标误差在±0.001以内，液晶显示单元客户端具备能力集收集、设备工作状态展示功能；液晶显示单元具有帧宽度调节技术，通过调节画面宽度，解决输入信号四周黑边问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液晶显示单元的风扇具备良好的散热效果，风扇散热性能≥60%。液晶显示单元连续运行24小时，液晶表面中心温度≤50℃，边缘测试点与中心温差≤10℃。LCD显示单元可在海拔最高45000ft高度，-40到50℃环境中存储72.5小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55寸屏支架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1.可根据现场尺寸、可能要加的监视器情况定制。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2.支架特点： 美观，可不装修 ；全封闭防尘 ；底座支持19寸机柜（非默认）；支持弧形设计（3-5°）；底座可放置设备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46寸屏支架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1.可根据现场尺寸、可能要加的监视器情况定制。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2.支架特点： 美观，可不装修 ；全封闭防尘 ；底座支持19寸机柜（非默认）；支持弧形设计（3-5°）；底座可放置设备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大屏拼接控制设备</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基于FPGA的纯硬件图像处理设备，能够实现多路拼接和多路信号切换显示。具备高处理性能，可以实现4K@60HZ的信号输入和输出，支持多台设备级联实现更大规模的拼接。具备良好的兼容性可以实现LCD、DLP、LED屏幕的对接。适用于商场、会议室、报告厅等拼接应用场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2.支持2路HDMI输入，支持按键切换，支持输入自定义分辨率， 2路输入信号仅支持2选1全屏显示，不支持漫游、开窗、分屏功能。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支持4路HDMI输出，支持输出自定义分辨率。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支持3840 × 2160@60HZ输入。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3.支持最大4台设备级联，实现16个屏幕拼接，级联情况下仅有第一个设备的2个信号输入口可以使用，不支持通过级联增加输入口。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支持显卡多口融合输入实现超高分信号接入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4.输入接口：2个HDMI 2.0，支持输入自定义分辨率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4096 × 2160@60 Hz, 4096 × 2160@30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3840 × 2160@60 Hz, 3840 × 2160@30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1920 × 1080@60 Hz, 1920 × 1080@50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1920 × 1200@60 Hz, 1600 × 1200@60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1680 × 1050@60 Hz, 1280 × 1024@60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5.输出接口：4个HDMI 2.0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1920 × 1080@60 Hz, 1920 × 1200@60 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1080 × 1920@60 Hz, 1200 × 1920@60 Hz, 1280 × 720P@60 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6.音频输出 1路 3.5 mm音频接口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7.网络接口 1个RJ45 10M/100M/1000Mbps自适应以太网接口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8.同步口：1个Sync In同步输入口，1个Sync Out同步输出口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9.级联口： 1个LOOP OUT环通输出口，控制方式 客户端，前面板</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无线投屏盒子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可搭配监视器、LED全彩、LCD拼接屏、DLP拼接屏、触控一体机等显示类产品无线投屏使用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含1个无线投屏器及1个无线接收盒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1.无线投屏器：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配置安装：免配置，免安装，自动连接，自动运行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传输延迟：&lt; 200 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触控回传：支持10点触摸回传（Windows 、 Mac），支持鼠标模式回传 （Windows，Mac），WIFI 类型：2.4G/5G 双频WIFI</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无线速率：&gt; 400 Mbps，频段：2.4G&amp;5.8G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2.无线接收盒：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主控： Cortex-A17 ，1.8 Ghz， 2G DDR3，存储空间：8G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支持分辨率：720P/1080P/2K/4K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支持比例：4:3,16:9 （特殊比例可手动匹配）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WIFI 类型：2.4G/5G 双频WIFI</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无线传输协议无线速率： &gt; 200 Mbps *2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无线传输协议： IEEE 802.11  a/g/n/ac  （双AC通道）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视频解码：Support H263,H.264,H265，VP8，RV，WMV，AVS，MPEG4</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触控支持：USB  HID接口，鼠标，红外触控，电容触控，激光触控</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75寸智能交互会议平板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1）钉钉智连款，含钉钉无线投屏、钉钉会议预约等应用。显示尺寸：75 inch LED背光源；背光源类型：DLED；像素间距：0.429(H) × 0.429(V) mm；物理分辨率：3840 × 2160；亮度：450 cd/m² (典型值)；色深度：10 bit；对比度：1200:1 (Typ.)；响应时间：8 ms；刷新率：60 Hz；触摸方式：红外触控；触控点：20点；触控响应速度：≤ 10 ms；CPU：4核A73*2+A53*2，主频1.5 GHz；内存：3 GB ；内置存储：32 GB；网卡：内置百兆网卡，支持路由功能；内部喇叭：2个内置16 W音箱；视频输入接口：HDMI IN  2路；VGA IN 1路；音频输入接口：AUDIO IN 1路；LINE IN 1路；视频输出接口：HDMI OUT 1路；音频输出接口：LINE OUT  1路；SPDIF OUT 1路；网络接口：RJ45(百兆网口) 2个；数据传输接口：USB接口 2个前置接口，2个板载接口。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2)投标产品应能长期稳定运行，其中MTBF不低于14万小时，MTTR控制在10min以内;支持与第三方办公OA、会议预约系统联动对接。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播放器，支持全屏以及画中画模式播放、AB点循环、音视频播放、帧列表模式、画面比例及速度切换、支持剪辑开机动画、触控锁、含有播放列表支持切换及历史记录、支持手势调节音量以及亮度；内置搜索引擎，搜索结果可截图插入白板页面</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98寸智能交互会议平板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LCD液晶类 红外触控智慧屏;显示尺寸：98 inch LED背光源;分辨率：3840 × 2160 @60 Hz;触控方式：红外触控;触控点数：20点;亮度：500 cd/m²;色深：10 bit;对比度：1100：1;响应时间 8 ms</w:t>
            </w:r>
            <w:r>
              <w:rPr>
                <w:rFonts w:hint="eastAsia" w:ascii="仿宋_GB2312" w:hAnsi="仿宋_GB2312" w:eastAsia="仿宋_GB2312" w:cs="仿宋_GB2312"/>
                <w:lang w:eastAsia="zh-CN"/>
              </w:rPr>
              <w:t>，</w:t>
            </w:r>
            <w:r>
              <w:rPr>
                <w:rFonts w:hint="eastAsia" w:ascii="仿宋_GB2312" w:hAnsi="仿宋_GB2312" w:eastAsia="仿宋_GB2312" w:cs="仿宋_GB2312"/>
              </w:rPr>
              <w:t>视频输入接口：HDMI IN *2路，最大4K@60Hz，HDMI OUT*1路，最大4K@60Hz，VGA IN*1路，最大1080P@60Hz;音频输入接口： AUDIO IN*2路，AUDIO OUT*2路;数据传输接口：USB*2个前置接口，2个板载接口，TOUCH-USB*1</w:t>
            </w:r>
            <w:r>
              <w:rPr>
                <w:rFonts w:hint="eastAsia" w:ascii="仿宋_GB2312" w:hAnsi="仿宋_GB2312" w:eastAsia="仿宋_GB2312" w:cs="仿宋_GB2312"/>
                <w:lang w:eastAsia="zh-CN"/>
              </w:rPr>
              <w:t>，</w:t>
            </w:r>
            <w:r>
              <w:rPr>
                <w:rFonts w:hint="eastAsia" w:ascii="仿宋_GB2312" w:hAnsi="仿宋_GB2312" w:eastAsia="仿宋_GB2312" w:cs="仿宋_GB2312"/>
              </w:rPr>
              <w:t>网络接口：RJ45(百兆网口)*2个，内置百兆网卡，支持路由功能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rPr>
            </w:pPr>
            <w:r>
              <w:rPr>
                <w:rFonts w:hint="eastAsia" w:ascii="仿宋_GB2312" w:hAnsi="仿宋_GB2312" w:eastAsia="仿宋_GB2312" w:cs="仿宋_GB2312"/>
              </w:rPr>
              <w:t>操作系统：Android 8.0操作系统;CPU ：4核A73*2+A53*2，主频1.5 GHz;内存3 GB，存储32 GB;内置音箱2个16 W音箱</w:t>
            </w:r>
          </w:p>
          <w:p>
            <w:pPr>
              <w:keepNext w:val="0"/>
              <w:keepLines w:val="0"/>
              <w:pageBreakBefore w:val="0"/>
              <w:numPr>
                <w:ilvl w:val="0"/>
                <w:numId w:val="10"/>
              </w:numPr>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lang w:val="en-US" w:eastAsia="zh-CN"/>
              </w:rPr>
            </w:pPr>
            <w:r>
              <w:rPr>
                <w:rFonts w:hint="eastAsia" w:ascii="仿宋_GB2312" w:hAnsi="仿宋_GB2312" w:eastAsia="仿宋_GB2312" w:cs="仿宋_GB2312"/>
              </w:rPr>
              <w:t>会议平板产品需具备中国强制性产品认证CCC</w:t>
            </w:r>
            <w:r>
              <w:rPr>
                <w:rFonts w:hint="eastAsia" w:ascii="仿宋_GB2312" w:hAnsi="仿宋_GB2312" w:eastAsia="仿宋_GB2312" w:cs="仿宋_GB2312"/>
                <w:lang w:eastAsia="zh-CN"/>
              </w:rPr>
              <w:t>（提供证书）</w:t>
            </w:r>
            <w:r>
              <w:rPr>
                <w:rFonts w:hint="eastAsia" w:ascii="仿宋_GB2312" w:hAnsi="仿宋_GB2312" w:eastAsia="仿宋_GB2312" w:cs="仿宋_GB2312"/>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rPr>
                <w:rFonts w:hint="eastAsia" w:ascii="仿宋_GB2312" w:hAnsi="仿宋_GB2312" w:eastAsia="仿宋_GB2312" w:cs="仿宋_GB2312"/>
              </w:rPr>
            </w:pPr>
            <w:r>
              <w:rPr>
                <w:rFonts w:hint="eastAsia" w:ascii="仿宋_GB2312" w:hAnsi="仿宋_GB2312" w:eastAsia="仿宋_GB2312" w:cs="仿宋_GB2312"/>
              </w:rPr>
              <w:t>3)产品具备SRRC无线电发射设备型号核准证认证证书;需提供不少于3份计算机软件著作权，证书与设备为同一厂家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仿宋_GB2312" w:hAnsi="仿宋_GB2312" w:eastAsia="仿宋_GB2312" w:cs="仿宋_GB2312"/>
                <w:lang w:val="en-US" w:eastAsia="zh-CN"/>
              </w:rPr>
            </w:pPr>
            <w:r>
              <w:rPr>
                <w:rFonts w:hint="eastAsia" w:ascii="仿宋_GB2312" w:hAnsi="仿宋_GB2312" w:eastAsia="仿宋_GB2312" w:cs="仿宋_GB2312"/>
              </w:rPr>
              <w:t>4)投标产品应能长期稳定运行，其中MTBF不低于14万小时，MTTR控制在10min以内;支持与第三方办公OA、会议预约系统联动对接</w:t>
            </w:r>
            <w:r>
              <w:rPr>
                <w:rFonts w:hint="eastAsia" w:ascii="仿宋_GB2312" w:hAnsi="仿宋_GB2312" w:eastAsia="仿宋_GB2312" w:cs="仿宋_GB231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rPr>
              <w:t>5)内置播放器，支持全屏以及画中画模式播放、AB点循环、音视频播放、帧列表模式、画面比例及速度切换、支持剪辑开机动画、触控锁、含有播放列表支持切换及历史记录、支持手势调节音量以及亮度；内置搜索引擎，搜索结果可截图插入白板页面；支持单页分屏浏览，支持一个长网页的分屏浏览；支持双页面浏览：支持分屏浏览两个网页；支持随页批注：支持长网页批注时，手势上下滑动网页，单点直接批注手写。</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会议平板支架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1.材质：SPCC冷轧板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2.升降高度：1010mm~1450mm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3.适用会议平板尺寸：55/65/75/86/98英寸</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4.适用多种尺寸的会议平板显示器孔距（横向×纵向）</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室内LED大屏P2.5</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1）小间距LED全彩显示屏；像素间距：2.5mm；封装品牌：国产铜线，完全前维护；屏幕宽高比：8:9，压铸铝材质；像素结构：LED表贴三合一；单元分辨率：192*216，单元尺寸（mm）：480（W）×540（H）×54（D）；寿命：≥10万小时，功能特性：支持任意方向、任意尺寸、任意造型拼接，画面均匀一致，无黑线，实现真正无缝拼接。维护方式：灯板、电源、接收卡可实现正面拆卸，支持完全前维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2）投标产品需提供权威机构所出具的CCC认证证书、防尘等级IP5X、噪音检测报告、射频电磁场辐射抗扰度检测报告、电源端子传导骚扰电压检测报告。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rPr>
              <w:t>3）投标产品平均无故障工作时间MTBF≥10万小时，故障平均修复时间MTTR不超过15分钟。产品经过抗振、抗冲击、抗碰撞、跌落检测，且产品外观无损坏，能正常工作。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Cs/>
                <w:sz w:val="24"/>
              </w:rPr>
              <w:t>✰</w:t>
            </w:r>
            <w:r>
              <w:rPr>
                <w:rFonts w:hint="eastAsia" w:ascii="仿宋_GB2312" w:hAnsi="仿宋_GB2312" w:eastAsia="仿宋_GB2312" w:cs="仿宋_GB2312"/>
              </w:rPr>
              <w:t>4）投标产品LED像素点间距≤2.5mm;管芯采用表贴三合一黑灯封装。LED整屏像素失控率＜0.000001。</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）投标产品具备20条以上可选择的γ校正曲线，用户可根据要求自行调整。产品可通过控制PC实现联网控制、远程唤醒、关闭等功能。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bCs/>
                <w:sz w:val="24"/>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）LED显示屏具有良好的防护性，可通过盐雾10级检测试验。LED显示屏中心点蓝光辐射能量值对人眼视网膜无危险。</w:t>
            </w:r>
            <w:r>
              <w:rPr>
                <w:rFonts w:hint="eastAsia" w:ascii="仿宋_GB2312" w:hAnsi="仿宋_GB2312" w:eastAsia="仿宋_GB2312" w:cs="仿宋_GB2312"/>
                <w:i w:val="0"/>
                <w:color w:val="000000"/>
                <w:kern w:val="0"/>
                <w:sz w:val="21"/>
                <w:szCs w:val="21"/>
                <w:u w:val="none"/>
                <w:lang w:val="en-US" w:eastAsia="zh-CN" w:bidi="ar"/>
              </w:rPr>
              <w:t>（提供具有检测资质的第三方检测机构的检测报告）</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室内LED大屏P2.0</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1.类型：室内模组P2.0 ，LED封装：国产铜线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2.像素间距：2.0mm ，像素密度：250000点/㎡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3.模组分辨率：128×64，模组尺寸（mm）：256（W）×128（H）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4.亮度：800nits ，视角：水平、垂直视角≥120°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5.最大对比度：≥3000:1，色温：3000—10000可调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6.刷新频率：3840Hz，峰值功耗 ≤850W/㎡ 平均功耗≤280W/㎡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7.LED整屏像素失控率＜0.000001，产品LED像素点间距≤2mm;管芯采用表贴三合一黑灯封装。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26.15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电子会标LED屏P4.0</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1.类型：室内双色Φ3.75,LED封装：国产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2.像素间距：4.75mm,像素密度：44321点/㎡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3.亮度：≥500cd/㎡ ,视角：≥120°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2.133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LED大屏控制卡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LED全彩显示屏控制器，配合全彩LED显示屏使用，可实现任意尺寸大屏无缝拼接显示，适用于会议室、演播厅、体育场、机场车站、银行、广告、家庭影院等多种场合。4个千兆网口输出，单个网口最大带载65万个像素点；带载分辨率：2048×1152@60Hz或1920×1200@60Hz；DVI、DP、HDMI多信号输入，支持信源自动检测，无需手动切换信源；16bit处理深度，低亮高灰，真实还原图像色彩；3840Hz高刷新率，纳秒级响应时间，视频画面更细腻流畅；支持屏幕亮度自动调整,自适应环境光亮度（配合多功能卡使用）；图像色温调节，标准、冷、暖三色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Cs/>
                <w:sz w:val="24"/>
              </w:rPr>
              <w:t>✰</w:t>
            </w:r>
            <w:r>
              <w:rPr>
                <w:rFonts w:hint="eastAsia" w:ascii="仿宋_GB2312" w:hAnsi="仿宋_GB2312" w:eastAsia="仿宋_GB2312" w:cs="仿宋_GB2312"/>
                <w:i w:val="0"/>
                <w:color w:val="000000"/>
                <w:kern w:val="0"/>
                <w:sz w:val="21"/>
                <w:szCs w:val="21"/>
                <w:u w:val="none"/>
                <w:lang w:val="en-US" w:eastAsia="zh-CN" w:bidi="ar"/>
              </w:rPr>
              <w:t>2）投标产品支持1个DVI、1个HDMI、1个DP输入接口，支持4K分辨率信号接入。投标产品支持亮度调节，可以通过客户端、遥控器、PAD及物理按键进行调节，并支持多台设备同时调节。（提供具有检测资质的第三方检测机构的检测报告或公安部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3）投标产品支持800*600-4092*2160之间的多种分辨率视频信号自适应接入；产品具备光感扩展接口，配合光感传感器，无需增加额外设备即可实现光感调节功能。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4）投标产品支持屏体各通道逐个延时上电，可通过遥控器进行操作。可通过物理按键、遥控器、客户端方式对屏幕红、绿、蓝、白、条纹逐行扫描进行自检操作。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5）投标产品可通过遥控器的便捷式操作，对图像的对比度、清晰度、饱和度、色温以及图像模式进行调节设置；产品具备文稿模式、护眼模式、影院场景、监控场景、常规场景、商用场景、广电场景。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LED屏异步控制卡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1.单/双基色异步接收卡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2.控制点数：8192*128 4096*256 2048*512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3.区域支持的功能：图文/字幕/动画/农历/时间/模拟表盘/正负计时/温度/温湿度/噪声。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4.高度最大带载16行，超过8行时宽度最大带载不超过32列</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拼接控制软件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LED屏配套定制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室内LED大屏框架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考虑承重，配套定制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69.38</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PLC智能控制配电箱（20KW)</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1.控制：PLC控制器，网络远程控制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2.输入电压：380V，输出电压：220V</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3.输出回路：双三相回路，6个单相回路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PLC智能控制配电箱（10KW)</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1.控制：PLC控制器，网络远程控制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2.输入电压：380V，输出电压：220V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3.输出回路：3个单向回路</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数据光端机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10/100/1000Base-T, 1000Base-X, SC</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1.支持4路1080P监控画面直播，支持4K画面播放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2.CPU：四核，存储参数：内存2G，储存空间：8 GB（EMMC）。</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3.内置TF卡32 GB，网络：有线、无线WIFI</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二、音频设备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会议音箱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1.360度吊挂设计，采用进口的4寸钕磁铁全频喇叭。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2.频率范围：80Hz-18KHz；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3.喇叭音单元：HF 4"*4 DRIVER；                                                       </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 xml:space="preserve">4.最大声压：117dB，额定功率：250W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会议音箱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default" w:ascii="仿宋_GB2312" w:hAnsi="仿宋_GB2312" w:eastAsia="仿宋_GB2312" w:cs="仿宋_GB2312"/>
                <w:i w:val="0"/>
                <w:color w:val="auto"/>
                <w:sz w:val="21"/>
                <w:szCs w:val="21"/>
                <w:highlight w:val="none"/>
                <w:u w:val="none"/>
                <w:lang w:val="en-US"/>
              </w:rPr>
            </w:pPr>
            <w:r>
              <w:rPr>
                <w:rFonts w:hint="eastAsia" w:ascii="仿宋_GB2312" w:hAnsi="仿宋_GB2312" w:eastAsia="仿宋_GB2312" w:cs="仿宋_GB2312"/>
                <w:i w:val="0"/>
                <w:color w:val="auto"/>
                <w:kern w:val="0"/>
                <w:sz w:val="21"/>
                <w:szCs w:val="21"/>
                <w:highlight w:val="none"/>
                <w:u w:val="none"/>
                <w:lang w:val="en-US" w:eastAsia="zh-CN" w:bidi="ar"/>
              </w:rPr>
              <w:t>1.频率范围(±3dB)：50Hz-17KHz，低音单元配置LF：10″</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2.高音单元配置HF：1Driver，灵敏度（1w/1m）：不小于95dB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3.最大声压级：不小于126dB，额定功率：不小于300W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4.覆盖角度（H×V）：90°（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线阵全频音箱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1.≥8吋(两分频线阵音箱）单元组合:2×8"Low +1.75"Hi</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2.频率响应:80Hz～20KHz (±3dB)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3.功率(RMS/ peak):MF：350W/700W，HF：75W/150W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4.灵敏度 (1 W/m):MF：102dB/HF：110dB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5.最大额定声压:MF:128dB/HF:132dB ( peak@1m)</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6.扩散角(H×V):120°（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 20°（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线阵低频音箱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1.18吋(线阵低音音箱）单元组合:18"Low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2.频率响应:45Hz～300Hz (±3dB)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3.功率(RMS/ peak):600W/1200W</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4.灵敏度 (1 W/m):100dB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5.最大额定声压:126dB ( peak@1m)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返听音箱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1.专业12寸反听音箱 ，单元配置:LF:1×12,HF:1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2.额定功率：400W，覆盖角度：90*70°                                                        </w:t>
            </w:r>
            <w:r>
              <w:rPr>
                <w:rFonts w:hint="eastAsia" w:ascii="仿宋_GB2312" w:hAnsi="仿宋_GB2312" w:eastAsia="仿宋_GB2312" w:cs="仿宋_GB2312"/>
                <w:i w:val="0"/>
                <w:color w:val="000000"/>
                <w:kern w:val="0"/>
                <w:sz w:val="21"/>
                <w:szCs w:val="21"/>
                <w:highlight w:val="none"/>
                <w:u w:val="none"/>
                <w:lang w:val="en-US" w:eastAsia="zh-CN" w:bidi="ar"/>
              </w:rPr>
              <w:br w:type="textWrapping"/>
            </w:r>
            <w:r>
              <w:rPr>
                <w:rFonts w:hint="eastAsia" w:ascii="仿宋_GB2312" w:hAnsi="仿宋_GB2312" w:eastAsia="仿宋_GB2312" w:cs="仿宋_GB2312"/>
                <w:i w:val="0"/>
                <w:color w:val="000000"/>
                <w:kern w:val="0"/>
                <w:sz w:val="21"/>
                <w:szCs w:val="21"/>
                <w:highlight w:val="none"/>
                <w:u w:val="none"/>
                <w:lang w:val="en-US" w:eastAsia="zh-CN" w:bidi="ar"/>
              </w:rPr>
              <w:t xml:space="preserve">3.最大声压级：132dB ，灵敏度：98dB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1.频率范围(±3dB)：75Hz-20KHz，低音单元配置LF：8″</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2.高音单元配置HF：1Driver，灵敏度（1w/1m）：94dB</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3.最大声压级：124dB，额定功率：180W</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4.覆盖角度（H×V）：80°（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辅助音箱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1.频率范围(±3dB)：50Hz-17KHz，低音单元配置LF：10″</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2.高音单元配置HF：1Driver，灵敏度（1w/1m）：不低于95dB</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3.最大声压级：不低于125dB，额定功率：不低于250W</w:t>
            </w:r>
            <w:r>
              <w:rPr>
                <w:rFonts w:hint="eastAsia" w:ascii="仿宋_GB2312" w:hAnsi="仿宋_GB2312" w:eastAsia="仿宋_GB2312" w:cs="仿宋_GB2312"/>
                <w:i w:val="0"/>
                <w:color w:val="auto"/>
                <w:kern w:val="0"/>
                <w:sz w:val="21"/>
                <w:szCs w:val="21"/>
                <w:highlight w:val="none"/>
                <w:u w:val="none"/>
                <w:lang w:val="en-US" w:eastAsia="zh-CN" w:bidi="ar"/>
              </w:rPr>
              <w:br w:type="textWrapping"/>
            </w:r>
            <w:r>
              <w:rPr>
                <w:rFonts w:hint="eastAsia" w:ascii="仿宋_GB2312" w:hAnsi="仿宋_GB2312" w:eastAsia="仿宋_GB2312" w:cs="仿宋_GB2312"/>
                <w:i w:val="0"/>
                <w:color w:val="auto"/>
                <w:kern w:val="0"/>
                <w:sz w:val="21"/>
                <w:szCs w:val="21"/>
                <w:highlight w:val="none"/>
                <w:u w:val="none"/>
                <w:lang w:val="en-US" w:eastAsia="zh-CN" w:bidi="ar"/>
              </w:rPr>
              <w:t>4.覆盖角度（H×V）：90°（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10°）×60°（</w:t>
            </w:r>
            <w:r>
              <w:rPr>
                <w:rFonts w:hint="eastAsia" w:ascii="宋体" w:hAnsi="宋体" w:eastAsia="宋体" w:cs="宋体"/>
                <w:i w:val="0"/>
                <w:color w:val="auto"/>
                <w:kern w:val="0"/>
                <w:sz w:val="21"/>
                <w:szCs w:val="21"/>
                <w:highlight w:val="none"/>
                <w:u w:val="none"/>
                <w:lang w:val="en-US" w:eastAsia="zh-CN" w:bidi="ar"/>
              </w:rPr>
              <w:t>±</w:t>
            </w:r>
            <w:r>
              <w:rPr>
                <w:rFonts w:hint="eastAsia" w:ascii="仿宋_GB2312" w:hAnsi="仿宋_GB2312" w:eastAsia="仿宋_GB2312" w:cs="仿宋_GB2312"/>
                <w:i w:val="0"/>
                <w:color w:val="auto"/>
                <w:kern w:val="0"/>
                <w:sz w:val="21"/>
                <w:szCs w:val="21"/>
                <w:highlight w:val="none"/>
                <w:u w:val="none"/>
                <w:lang w:val="en-US" w:eastAsia="zh-CN" w:bidi="ar"/>
              </w:rPr>
              <w:t>10°）</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专业功放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1.功率输出（8Ω）：400W*2，功率输出（4Ω）：600W*2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2.桥接功率（8Ω）：1200W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3.信噪比：110dB，灵敏度：0.775v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 xml:space="preserve">4.频响： ±0.1dB，20Hz-20KHz                                                               </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5.总谐波失真度：≤0.01% 8Ω额定功率1KHz</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ottom"/>
              <w:rPr>
                <w:rFonts w:hint="eastAsia" w:ascii="仿宋_GB2312" w:hAnsi="仿宋_GB2312" w:eastAsia="仿宋_GB2312" w:cs="仿宋_GB2312"/>
                <w:i w:val="0"/>
                <w:color w:val="auto"/>
                <w:kern w:val="0"/>
                <w:sz w:val="21"/>
                <w:szCs w:val="21"/>
                <w:highlight w:val="darkGray"/>
                <w:u w:val="none"/>
                <w:lang w:val="en-US" w:eastAsia="zh-CN" w:bidi="ar"/>
              </w:rPr>
            </w:pPr>
            <w:r>
              <w:rPr>
                <w:rFonts w:hint="eastAsia" w:ascii="仿宋_GB2312" w:hAnsi="仿宋_GB2312" w:eastAsia="仿宋_GB2312" w:cs="仿宋_GB2312"/>
                <w:lang w:val="en-US" w:eastAsia="zh-CN"/>
              </w:rPr>
              <w:t xml:space="preserve">额定功率：Stereo立体声：2*≥700W/4Ω ，2*≥450W/8Ω,桥接:  ≥900W/8Ω </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2.频率响应 （1W 8Ω)：优于或相当于20 Hz – 20 kHz(±0.5dB)</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3.灵敏度(8Ω 1KHz)：≥0.775V，信号噪声比(额定功率8Ω）：≥95dBA计权，</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4.阻尼系数（1KHZ&amp;8Ω）： ≥2000，转换速度：≥60V/μs</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5.相位响应(1W&amp;8Ω,20Hz-20KHz)：优于或相当于20Hz+4° 优于或相当于20KHz-15°</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 xml:space="preserve">6.功耗(1/8RMS/230V)：≤2.2A，冷却系统：风向从后往前，强制制冷   </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rPr>
              <w:t>✰</w:t>
            </w:r>
            <w:r>
              <w:rPr>
                <w:rFonts w:hint="eastAsia" w:ascii="仿宋_GB2312" w:hAnsi="仿宋_GB2312" w:eastAsia="仿宋_GB2312" w:cs="仿宋_GB2312"/>
                <w:lang w:val="en-US" w:eastAsia="zh-CN"/>
              </w:rPr>
              <w:t>7.DANTE</w:t>
            </w:r>
            <w:r>
              <w:rPr>
                <w:rFonts w:hint="eastAsia" w:ascii="仿宋_GB2312" w:hAnsi="仿宋_GB2312" w:eastAsia="仿宋_GB2312" w:cs="仿宋_GB2312"/>
                <w:color w:val="auto"/>
                <w:lang w:val="en-US" w:eastAsia="zh-CN"/>
              </w:rPr>
              <w:t>网络音频功放，具备两路音频(数字信号)传输，由数字功放至喇叭扩声,两通道音量独立控制</w:t>
            </w:r>
            <w:r>
              <w:rPr>
                <w:rFonts w:hint="eastAsia" w:ascii="仿宋_GB2312" w:hAnsi="仿宋_GB2312" w:eastAsia="仿宋_GB2312" w:cs="仿宋_GB2312"/>
                <w:i w:val="0"/>
                <w:color w:val="auto"/>
                <w:kern w:val="0"/>
                <w:sz w:val="21"/>
                <w:szCs w:val="21"/>
                <w:highlight w:val="none"/>
                <w:u w:val="none"/>
                <w:lang w:val="en-US" w:eastAsia="zh-CN" w:bidi="ar"/>
              </w:rPr>
              <w:t>（提供该网络功放同时具备音频信号接入和网络信号接入功能的相关证明材料，包括但不限于提供具有检测资质的第三方检测机构的检测报告）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ottom"/>
              <w:rPr>
                <w:rFonts w:hint="eastAsia" w:ascii="仿宋_GB2312" w:hAnsi="仿宋_GB2312" w:eastAsia="仿宋_GB2312" w:cs="仿宋_GB2312"/>
                <w:lang w:val="en-US"/>
              </w:rPr>
            </w:pPr>
            <w:r>
              <w:rPr>
                <w:rFonts w:hint="eastAsia" w:ascii="仿宋_GB2312" w:hAnsi="仿宋_GB2312" w:eastAsia="仿宋_GB2312" w:cs="仿宋_GB2312"/>
                <w:color w:val="auto"/>
                <w:lang w:val="en-US" w:eastAsia="zh-CN"/>
              </w:rPr>
              <w:t>8.具有独立的IP地址，可自动获取、可自由设</w:t>
            </w:r>
            <w:r>
              <w:rPr>
                <w:rFonts w:hint="eastAsia" w:ascii="仿宋_GB2312" w:hAnsi="仿宋_GB2312" w:eastAsia="仿宋_GB2312" w:cs="仿宋_GB2312"/>
                <w:lang w:val="en-US" w:eastAsia="zh-CN"/>
              </w:rPr>
              <w:t>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lang w:val="en-US"/>
              </w:rPr>
            </w:pPr>
            <w:r>
              <w:rPr>
                <w:rFonts w:hint="eastAsia" w:ascii="仿宋_GB2312" w:hAnsi="仿宋_GB2312" w:eastAsia="仿宋_GB2312" w:cs="仿宋_GB2312"/>
                <w:i w:val="0"/>
                <w:color w:val="000000"/>
                <w:kern w:val="0"/>
                <w:sz w:val="21"/>
                <w:szCs w:val="21"/>
                <w:u w:val="none"/>
                <w:lang w:val="en-US" w:eastAsia="zh-CN" w:bidi="ar"/>
              </w:rPr>
              <w:t>9.网络功放与多媒体管控平台须为同一品牌。</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1.额定功率（8Ω／通道）：2x1500W，2.额定功率（4Ω／通道）：2x2700W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2.额定桥式功率（8Ω）：5400W，频响范围：5Hz～25kHz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4.输入灵敏度：0.77V/26dB/32dB，转换速率：29V/uS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返听功放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台唇功放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1.立体声功率（8Ω）：300W×2，立体声功率（4Ω）：450W×2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2.立体声功率（2Ω）：600W×2，桥接功率（8Ω）：900W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3.桥接功率（4Ω）：1200W，信噪比：110dB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4.阻尼系数：600:1,8，频率响应：+/-0.1dB,20Hz-20KHz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5.总谐波失真度：≤0.01%，额定功率1KHz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6.灵敏度：0.775V,12，输入增益：≤-75dB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7.声道分离度：≥-70dB,16.电源消耗功率：1260W</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辅助功放</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1.额定功率（8Ω／通道）：2x600W，额定功率（4Ω／通道）：2x1050W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2.额定桥式功率（8Ω）：2100W，频响范围：5Hz～25kHz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3.信噪比：&gt;115dB，阻尼系数：&gt;500（8Ω）(5Hz-1KHz)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4.输入灵敏度：0.77V/26dB/32dB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5.转换速率：29V/uS，工作电压：交流电230V，50/60Hz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6.保护方式：功率保护、温度功率控制、功放输出短路、过载保护。</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手拉手会议主机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1.内置DSP数字化处理与传输技术，克服长距离传输衰减问题，传输距离达150米对音质不产生影响；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2.采用全数字DSP音频处理技术，音频采样频率高达48KHz，频率响应可达20Hz-20KHz，接近CD音质效果；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3.系统采用ID寻址控制方式，可自定义会议单元编号，能有效避免ID地址冲突；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4.具备2路会议单元输出接口，每路可连接30台多功能会议单元，单台主机支持连接60台会议单元；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5.具备智能自动保护技术，在会议主机出现非电源故障时可保证会议音频信号不被中断；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6.系统支持一线式手拉手连接、T型头手拉手连接及环形手拉手连接等多种连接方式；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7.内置DSP数字音频处理模块，能有效保证系统内部信息，最大程度消除干扰、失真、串音等现象；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8.内置自适应反馈抑制（AFC）功能，可有效防止声反馈引起啸叫，保障调整增益时音质不被损伤；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9.内置环境噪音消除（AEC）功能，可有效消除本地噪声，让现场高质量的音频精准实时传送；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10.内置数字均衡电路（EQ）功能，可大幅提升会场声压级，保证声音丰满、柔和而富有弹性；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11.内置自动增益控制（AGC）功能，采用智能电平控制技术保障单元远距离拾音音质不衰减；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12.系统具备先入先出工作模式，发言数量可自定义设置，发言人数可设置为1至6台；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13.系统可设置为自由讨论模式，所有会议单元可以全部自由开启发言不受数量限制；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14.系统通过PC会议管理软件支持申请发言模式、排队模式、电脑允许模式、发言限时模式；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15.系统具备线路带电“热插拔”功能，让系统运行的安全性及稳定性得到有力的保障；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16.通过面板可控制辅助输入音量、MIC输入音量、会议单元输出音量及主音量的调节；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17.系统可同时接入8台主席单元，主席单元具有优先权功能，也可关闭其它正在发言的代表单元；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18.多功能会议主机与PC电脑、可编程中央控制系统采用RS-232连接方式，控制方式安全稳定。</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手拉手主席单元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1.采用DSP/DDOV数字化处理与传输技术，克服长距离传输衰减问题，线距可达150米；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2.系统采用8芯DIN带屏蔽线缆或CAT5线缆，可有效避免与防止线路电磁干扰，确保数据永不丢失；</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3.单元为无源设备，由会议主机提供24V电源，低功耗设计，单路可连接30台会议单元；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4.采用数字强抗干扰技术，确保会场内设备不受手机、蓝牙、无线电、WiFi等信号干扰；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5.系统具备先入先出工作模式，发言人数可设1至6台，主席单元不受限制；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6.系统具备自由讨论模式，所有会议单元可以全部自由开启发言不受限制；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8.单元之间具备线路带电“热插拔”功能，让系统的安全性得到更大的保障；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9.具有双色指示灯，发言与编号状态显示为红色、VIP单元发言为绿色；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10.具备智能音频检测功能，当相邻两台单元距离靠近时，音频自动反相衰减保证不出现啸叫；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11.驻极体超心形指向性麦克风，确保拾音距离及声音质量，拾音距离可达50cm；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12.系统采用数字音频处理技术，频率响应可达30Hz-20KHz接近CD音质效果。</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手拉手代表单元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1.采用DSP/DDOV数字化处理与传输技术，克服长距离传输衰减问题，线距可达150米；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2.系统采用8芯DIN带屏蔽线缆或CAT5线缆，可有效避免与防止线路电磁干扰，确保数据永不丢失；</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3.单元为无源设备，由会议主机提供24V电源，低功耗设计，单路可连接30台会议单元；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4.系统具备自由讨论模式，所有会议单元可以全部自由开启发言不受限制；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5.通过PC会议管理软件支持申请发言模式、排队模式、电脑允许模式、发言限时模式：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6.单元之间具备线路带电“热插拔”功能，让系统的安全性得到更大的保障；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7.具备智能音频检测功能，当相邻两台单元距离靠近时，音频自动反相衰减保证不出现啸叫；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8.驻极体超心形指向性麦克风，确保拾音距离及声音质量，拾音距离可达50cm；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9.系统采用数字音频处理技术，频率响应可达30Hz-20KHz接近CD音质效果；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10.可独立自由调节接听音量的大小；内置2W高保真扬声器。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手拉手专用线</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用于数字会议主机与会议单元之间的连接，10米长度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条</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无线手持话筒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1.设有10个频率组，共160个频道，每个频段多达16个互不干扰频道。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2.高亮度LCD液晶显示，工作状态清晰全面。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3.轻触式数字音量和静噪控制系统，易于设定和操作。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4.真分集接收技术，音码静噪锁定控制功能。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5.频率范围：518-542MHz  655-679MHz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6.最大频道数：160，频带宽度：24MHz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7.接收灵敏度： &lt;-90dBm for 30dB S/N Ratio，动态范围 &gt;95dB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8.频率响应：50~15000Hz，信噪比：&gt;102dB (A)，失真度：&lt;1%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无线头戴话筒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1.使用 UHF640MHz～690MHz 频段；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2.全新节能模式设置，全自动 EQ 控制功能，自动校正音色全自动开关机模式自动红外线对频系统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3.双话筒设计，有效开阔使用距离可达 100 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4.本系统内任何一支话筒与任何一台接收机都可对上频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无线接收机参数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1)载波频段:UHF640～690MHz，通道数:双通道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2)接收方式:真分集接收，调制方式:FM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3)灵敏度:在偏移度等于 25kHz，输入 6dBv 时，S／N&gt;60dB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4)最大偏移度:±45kHZ，综合 S/N 比:&gt;105dB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5)综合 T.H.D:&lt;0．7％@1KHz，综合频率响应:45Hz～18kHz±3dB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6)工作有效距离:100～200 米(空阔地方)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无线发射器:载波频段:UHF640～690MHZ，频率响应:45HZ～18kHz±3dB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无线会议话筒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1.振荡方式: 锁相环频率合成，频率范围：UHF 500MHz～900MHz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2.频率稳定性：±0.001%，调制方式：FM，信噪比：&gt;60dB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3.失真度:&lt;0.5%@1KHz，灵敏度：1.2/UV @S/N=12dB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发射器参数：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1)话筒耗电量：100mA，载波频率：UHF 500MHz～900MHz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2)频率稳定度：±0.001%，最大频率偏：±30KH</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3)信噪比：&gt;60dB，邻频干扰比：&gt;80dB，动态范围：≥100dB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频率响应：40Hz～20KHz，话筒灵敏度：-43±3dB@1KHz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有线会议话筒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1)膜片类型：电容式，指向性：单一指向性（心型）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2)频率响应：100-18000Hz，灵敏度：-45dB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3)讯噪比：&gt;65dB（1KHz，1pa），供电模式：双供电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最大声压：103dB（1KHz，THD1%）</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1.最多6个话筒 / 12个线路输入 (4个单声道 + 4个立体声)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2.2编组母线 + 1立体声母线,2 AUX (包括FX)</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3.“D-PRE”话放，带有倒向晶体管电路。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4.单旋钮压缩器，XLR平衡输出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5.单声道输入通道上的PAD开关, +48V幻象供电</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16路调音台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1.最多10个话筒 / 16个线路输入 (8个单声道 + 4个立体声)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2.4编组母线 + 1立体声母线，4 AUX (包括FX)</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3.“D-PRE”话放，带有倒向晶体管电路，单旋钮压缩器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4.高级效果器：SPX，含24组预置效果器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5.24-bit/192kHz 2进/2出 USB音频功能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6.单声道输入通道上的PAD开关，+48V幻象供电，XLR平衡输出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数字调音台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1.3组立体声输入，1USB音源输入（LR），1 MIX 主输出（LR）</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2.1 MON 输出，16 MIX BUS，6 MATRIX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3.控制室输出（LR）/ 1耳机输出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4.2通道数字输出，8DCA 编组，6哑音编组，8效果器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5.含MIDI控制接口，XUF 32入32出录音声卡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6.2通道AES50数字网络传输端口，1控制用以太网网络接口和USB接口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7.17路100毫米电动记忆推杆，5寸主屏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8.100个场景存储，可以加接口箱进行扩展到40个通道输入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12路自动混音器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1.内置话筒高清远距离动态采样分析电路，话筒高清拾音半径可达6米；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2.双12路自动混音功能（PA/REC）实现智能高清音频采集；（PA/REC双模式同时工作互不干扰）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3.12路话筒输入；麦克风最大输入电平：-12dBV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4.每路话筒输入单独增益调整及独立幻象电源开关，PA/REC模式选择</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5.4路线路输入，1路外接处理器断点输入；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6.2路线路扩声输出，2路辅助线路输出，2路专业录音输出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7.信号失真度THD+N：&lt;1% ，信噪比S/N：90dB，频响：60-20000H</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网络音频系统模块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1.内置高性能40位浮点DSP处理芯片。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2.具有≥4路Dante网络音频输入输出通道，≥8/16路支持MIC输入，话筒/线路自由转换，功能界面需涵盖以下功能：噪声门、反馈抑制、自动混音、压限、延时、场景预设。3.每路MIC输入支持48V幻象供电，可以上位机软件开关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4.每路通道独立的自适应反馈抑制器，多档调节，内置信号发生器：正弦波信号、粉红噪声、白噪声。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5.每输入/输出通道：具有自动混音和矩阵混音功能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6.每输入/输出通道：具有前级放大、噪声门、压缩器、31段参量均衡、延时器、自动混音台、相位、静音、48dB，斜率高通-低通滤波器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7.每输入/输出通道：具有10段参量均衡、分频器、限幅器、延时器、48dB斜率高通-低通滤波器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8.支持多组场景预设功能，支持手机、平板、安卓、苹果、微软等不同的移动端控制及模式调用。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9.支持Dante网络音频功能扩展，通过网络交换机接入。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DANTE网络扩展箱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Dante数字网络音频技术是基于千兆以太网网络传输的无压缩、专业级的数字音频传输技术。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1.4路音频平衡输入4路音频平衡输出;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2.采样频率24bit-44.1k/48k/96k;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3.MIC-48V/MIC/12dBu/22dBu四档灵敏度可选;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4.总谐波失真：&lt;0.005%，信噪比：&gt;-92dB（-20dBu@1KHz）;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5.动态范围：&gt;92dB（-12dBu@1KHz），底噪：&lt;-92dBu（MIC/48:-81dBu）;</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6.频率响应：20Hz-20KHz@±0.3dB（MIC/48V：20Hz20KHz@±1.5dB）。</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接口箱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1.16个带MIDAS出色话放输入通道，8个模拟平行XLR输出通道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2.CAT5电缆的传输距离最高可达100m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3.双AES50端口，每个可级联三个DL16——不需要拓展器或路由器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4.所有的输入输出信号都能够通过耳机接口进行监听</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5.能与P16-M个人监听系统连接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6.MIDI输入输出接口提供控制台与舞台MIDI设备之间的连接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7.可通过USB连接个人PC进行系统升级</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有源监听音箱</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1.频率响应 -10dB 65Hz-22kHz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2.部件 LF 4" 锥面，HF 1.0" 钛金属半球形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3.分频 2.5kHz，输出功率 :20w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4.大输出电平 (1m; 轴向) 98dB</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1.多媒体音视频管控中心，集成音频、视频、控制于一体的综合产品。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2.系统操作与管理通过设备自带的≥7 寸触摸屏（或外接 IPAD 无线控制端）实现一键调用与场景预设，一台设备既可完成多媒体系统的建设，简单便捷，展现智能与 AV 系统的完美结合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3.具有采用双供电系统，交流支持 90-230V 宽电压供电或者 12V 直流供电，可自动切换供电，保证设备正常工作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4.提供≥3 个网络接口，≥3 个网口可通过内置的交换机进行数据通讯，提供对外接入无线触摸屏等外部设备的网络扩展控制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5.提供 2 个 PoE 使能网口，可直接用于连接外置触摸屏或按键面板等设备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6.完善的 IPv6 协议支持，满足各种复杂的网络使用环境的要求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7.1GHz 高速处理器，512M 内存，512M Flash 存储空间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8.≥8 个 RS232/485 端口。≥8 个弱电继电器。≥8 个红外端口。≥4 个 IO端口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9.红外学习功能，支持红外文件导入导出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10.内置高性能 40 位浮点 DSP 处理芯片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11.≥8 路音频输入通道。8 路音频输出通道，传输最大延时低于 0.1 毫秒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12.≥8 路音频支持 MIC 输入，话筒/线路自由转换，支持 48V 幻象供电</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13.支持 4 路 Dante 网络音频信号输入、4 路 Dante 网络音频信号输出。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15.每路通道独立的自适应反馈抑制器，多档调节，内置信号发生器：正弦波信号、粉红噪声、白噪声。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16.输入/输出通道：具有自动混音和矩阵混音功能。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17.支持 32 组场景预设功能，支持手机、平板等不同的移动端控制及模式调用。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18.≥4.5G 带宽，支持高清输入输出，所有通道支持独立的 EDID 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19.支持≥4 路 HDMI 输入/输出，≥4 路 VGA 输入/输出。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多媒体管控平台</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▲1.多媒体音视频管控中心，集成了音频、视频、控制于一体的综合产品，输入输出可通过板卡拓展。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2.系统操作与管理通过设备自带的7寸触摸屏（或外接IPAD无线控制端）实现一键调用与场景预设，一台设备既可完成多媒体会议系统的建设，简单便捷，展现智能与AV系统的完美结合。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3.内置.≥8路音频输入输出通道。≥8个RS232/485端口。8个弱电继电器。8个红外端口，4个IO端口。≥支持4路Dante网络音频信号输入、4路Dante网络音频信号输出≥可接输入输出卡数量/输入路数（4块/16路）。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4.具有采用双供电系统，交流支持90-230V宽电压供电或者12V直流供电，可切换供电，保证设备正常工作。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5.≥提供3个网络接口，3个网口可通过内置的交换机进行数据通讯，提供对外接入无线触摸屏等外部设备的网络扩展控制。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6.提供2个PoE使能网口，可直接用于连接外置触摸屏或按键面板等设备。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7.完善的IPv6协议支持，满足各种复杂的网络使用环境的要求。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8.开放telnet功能。可远程查看设备状态，更改系统设置，辅助调试。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9.1GHz高速处理器，512M内存，512M Flash存储空间。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10.支持30组场景预设功能，支持手机、平板、安卓、苹果、微软等不同的移动端控制及模式调用。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11.支持HDMI，DVI，VGA(RGB)等格式输出。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12.支持4K高清信号和3D视频信号；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13.内置轮循切换功能，通过管理软件能任意设定间隔时间和通道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13.所投多媒体管控平台产品需通过国家强制性认证（提供相关认证证明）。</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4路HDMI输入板卡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1.≥4路HDMI-A母接口输入，输入最长距离达≥20M；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2.支持EDID编辑功能，兼容HDMI1.4的标准，HDCP1.3协议, DVI1.0协议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3.最大支持分辨率:HDPC: 1920x1200P@60_24bit；HDTV: 1920x1080P@60_36bit</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4路HDMI输出板卡</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1.≥4路HDMI-A母接口输出，输出最长距离达7M；</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2.兼容HDMI1.4的标准，HDCP1，协议, DVI1.0协议；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3.最大支持分辨率:HDPC: 1920x1200P@60_24bit，HDTV：1920x1080P@60_36bit</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编程软件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 软件支持类C语言编程方式和模仿人类思维中文编程方式；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2.面向对象化的逻辑编程界面，包含项目实施所有设备控制编程，中文窗口化编程界面；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3.自定义函数和宏指令的运用以及宏指令程序的封装，函数变量包含字符串函数，模拟量函数，数字量函数，精准的时间轴，灵活的if语句运用；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4.根据用户需求定制系统控制功能和触摸屏操作界面，支持双触点及三触点的程序编程界面，多子页操作界面，多页面动画效果等功能。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电源控制器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1.可承载≥80A浪涌电流冲击，整机容量≥50A</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2.≥8路电源时序控制，每路延时≤1秒。可通过软件设置延时≤10分钟关闭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3.每路输出采用万能插座AC220V（10A），适用各种类型插头。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4.面板配常开电源座，方便临时用电。（面板直通插座可改为受控插座）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6.MCU控制的智能化设计，具有标准RS232（RS232控制可升级为RS485控制）串口控制功能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7.具有外部电平(5V-24V)控制接口(外部电平控制接口可更改为外部开关控制)，和级联控口。</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8路电源管理器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1.8路大电流带常开/常闭触点继电器；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2.ITNET总线通讯，任意变换的网络ID设置；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3.单路功率负载1800W，总功率负载8000W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4.ITNET总线通讯方式，控制方式采用总线或手动控制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5.采用24V DC总线供电，8路继电器模块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6.继电器触点结构为带一对常开、常闭触点</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DI盒子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解决系统阻抗匹配问题，解决系统接地而产生的交流声,在平衡传输时,减少外界干扰.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1.输入阻抗：600Ω（交流阻抗），输出阻抗：600Ω（交流阻抗）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2.绝缘电阻：DC1000V 100MΩ，隔离电压：AC50HZ-60HZ OV-1500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3.定损失：＜0.7db（ref 1khz  1V rms）</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多媒体地插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网口、音频接口，高清接口等国产定制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多媒体桌插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网口、音频接口，高清接口等国产定制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音箱地插盒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音箱接口国产定制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线阵音箱支架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线阵田字吊架，配套双8寸线阵音箱使用、保险神</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控制机柜（27U)</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采用加厚优质冷轧钢板制作，全框架结构，可并排连位。采用旋转式散热风口，外形更美观，散热更优，噪音更低。四门带锁可拆式，以便调试安装。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控制机柜（32U)</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采用加厚优质冷轧钢板制作，全框架结构，可并排连位。采用旋转式散热风口，外形更美观，散热更优，噪音更低。四门带锁可拆式，以便调试安装。</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辅材</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音频连接线，跳线，配件，接插件等</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批</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三、录播设备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便携式录播主机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1.集数据采集、数据处理发布、管理于一体；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2.可以完全脱离PC的嵌入式录播，只需要鼠标键盘就可以完成导录播。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3.支持多路视频的画面无缝切换、叠加、拼接等处理功能；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4.支持≥3路SDI及≥1路HDMI信号,≥1路可选（HDMI/DVI/VGA/SDI）信号同时输入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5.输入模式：HDMI/VGA：640×480@60~1920×1080@60.1080I@50/60.1080P@50/60；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² HD-SDI：720P@50/60.1080I@50/60.1080P@25/30，3G-SDI：1080P@50/60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6.编码格式：标准流媒体文件格式MP4，视频H.264，音频AAC、视频格式支持H.264，最高支持支持≥60帧视频录制；适合通用播放器或嵌入式网页播放方式，编码码流：48Kbps~20Mbps可调。</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7.网络接口：≥1个802、3ab 1000Base-T千兆网络接口；≥2个RS-232控制接口，≥1个485接口。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8.内置≥1TB硬盘，用于节目的长时间录制,最大支持≥3TB硬盘。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9.录制模式≥2种（电影模式、电影加资源模式）。电影模式和资源模式可同时工作。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10.支持双电影模式导播，双导模式支持PGM和PGM2同时单流多画面录像和推流直播。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11.导播方式支持手动、半自动、全自动模式，三种模式可以任意切换；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12.手动导播模式支持视频预览、直播输出监视、视频切换、音频调整、录制模式切换等功能；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13.资源模式界面、电影模式界面统一；在菜单里勾选需要录制资源的通道，一键开启电影+资源模式录像就能同时录制PGM和资源录像。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录播软件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主机配套，实现存储编辑，播放、图像跟踪等各类功能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视频会议摄像机接口地插</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高清HDMI模块及网络接口模块组合</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四、分布式控制设备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无线控制终端</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网络类型: WIFI热门功能: WiFi/重力感应/HDMI/3G外挂/U盘外挂 原笔迹手写 可拆卸键盘 人脸识别 蓝牙存储容量: 128GB支持摄像头类型: 双摄像头存储类型: 固态硬盘接口类型: USB 音频输出 闪存卡读取</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1.分布式输入节点机采用单根网络线传输高清信号，支持1920*1080分辨率，支持千兆网络交换机，传输带宽小，可以达到零延时；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4.信号：支持2路HDMI信号输入采集及编码，支持网络信号（H.265)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1.分布式输出节点机采用单根网络线传输高清信号，支持1920*1080分辨率，支持千兆网络交换机，传输带宽小，可以达到零延时；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4.信号：支持2路HDMI信号输出解码，支持网络信号（H.265)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2路分布式视频输入节点（带音频）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1.分布式输入节点机采用单根网络线传输高清信号，支持1920*1080分辨率，支持千兆网络交换机，传输带宽小，可以达到零延时；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4.信号：支持2路HDMI信号输入采集及编码，支持网络信号（H.265)</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2路分布式视频输出节点（带音频）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1.分布式输出节点机采用单根网络线传输高清信号，支持1920*1080分辨率，支持千兆网络交换机，传输带宽小，可以达到零延时；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2.接口采用HDMI信号；采用Stratix10GX处理器，处理速度高达17.4GHz。色彩还原度高达99%。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3.分布式结构，去中心化设计，无需配置服务器，任一节点出现故障，不影响其它节点的正常运行。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4.信号：支持2路路HDMI信号输出解码，支持网络信号（H.265)，支持3.5音频网络化解码传输。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5.网络：1路网口RJ45（10M/100M/1000M以太网自适应）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6.串口：1路可编程485串口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7.其他接口：3.5音频输入*2</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分布式交互管理软件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1.支持任意18层开窗（可扩展定制达32层开窗），支持16路1080P解码；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2.支持网络抓取电脑桌面、IP流信息流等；支持网络信号（H.264、H.265)、ONVIF、国标、RTSP流解码，私有协议解码（直接对接SDK）；</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3.支持自定义分割画面； 支持接入多个摄像机信号（H.265），接入数量不限定；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4.视频输出支持2K-4K的分辨率；支持云输入、云输出，理论上不限制输入、输出信号的数量；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5.支持云拼接，拼接画面任意选定，设定任意多个拼接的画面；支持云漫游，开窗的窗口，可以任意漫游到任何大屏的任何位置，并任意大小缩放（提供软件操作截图）；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6.支持云字幕可自定义字幕的颜色、大小、形状、滚动方向及透明度调节等；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7.支持云预案，显示的画面，可以设置多个显示预案；可任意置换高达7680*4320的任意高清图片到处理器进行底图设置；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8.支持云回显，上墙的高清信号，可在管理端多画面回显；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9.全嵌入式、全网络构架、网络堆叠扩容无限制；支持微软系统控制，支持不同的移动控制模式（平板，落地终端）；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10.支持微软系统控制，支持不同的移动控制模式（平板，落地终端），支持视频源和大屏显示画面在控制软件实时显示，支持对音量的管控、对环境管控，如灯光、大屏等设备的控制，可根据情景的需求定制成模式管控，如会议模式、休息模式；多间会议室可在一个软件上进行管控（提供软件操作截图）。</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分布式控制扩展终端</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1.支持4路可自定义协议的串口，根据需要可配置成RS-232、RS-485、RS-422、DMX512协议。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2.对外接口采用凤凰端子连接。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3.支持热插拔，内部接口和外部接口可抵抗20KV的静电冲击。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4.支持4位16进制ID调节，最高容量可达65535、最高数据流量达10M/S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5.内部供电电压24V，静态功耗0.5W。</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6.可通过TCP/IP与主机通讯，支持有线或无线连接。</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控制系统主机模块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1.ARM11 CPU，512M 内存，8G Flash闪存； 组合处理能力1.4GHz的多线层多核处理器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2.支持CAN、RF、Ethernet、WIFI 等网络通讯方式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3.对外接口采用间距3.8mm凤凰端子接口，兼容RS232、RS485、DMX512协议，并能兼容全范围的波特率设置， DMX512兼容250K波特率。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4.支持≥8路可自定义协议的串口，根据需要可配置成RS232、RS485、DMX512协议，支持24V供电输出。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5.支持≥8路可自定义的IO输入，输出及红外输出，支持全频段载波的红外调制信号发送。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6.支持433MHz的RF双向通信，无障碍控制距离：≥80m。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分布式控制系统架构，可通过无线或网络扩充，单系统支持≥60000台总线设备扩展，支持语音控制功能，支持系统自动云诊断、云备、云恢复（相关参数需提供国家认可的第三方检测机构的检测报告复印件，报告复印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8.产品通过国家强制性认证（提供控制系统主机3C认证证书）。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五、网络系统设备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路由器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千兆端口，无线传输速率：1200Mbps，无线网络支持频率：2.4G&amp;5G</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24口POE交换机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1、交换容量：交换容量≥330 Gbps（如果有不同值，以官网较小值为准）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2、包转发率：包转发率≥106 Mpps（如果有不同值，以官网较小值为准）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3、端口类型：千兆电口≥24个，万兆SFP+口≥4个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4、POE功能：支持POE+，POE供电功率≥360W，交换机重启时，对POE下挂PD设备供电不中断。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5、支持MAC地址≥16K；支持4K个VLAN；基于端口的VLAN，基于MAC的VLAN，基于协议的VLAN；支持协6、议VLAN；支持VLAN内端口隔离；支持Smart link；支持跨设备链路聚合。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7、IP路由：支持静态路由、RIP、RIPng、OSPF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8、防雷：支持10KV防雷技术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9、虚拟化：支持智能堆叠，堆叠后逻辑上虚拟为一台设备；支持以太网电口堆叠。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光模块</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SFP+-10G-单模模块(1310nm,10km,LC)</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会议系统核心交换机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1.总体设备要求：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1）交换容量≥19Tbps,包转发率≥1400Mpps(若有不同指标，以较低值为准)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2）主控板槽位≥2，业务槽位数≥3;</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3)支持颗粒化电源，可配置电源≥2个;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4）用户管理支持PPPoE、802.1X、MAC、Portal认证方式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5）路由特性支持支持IPv4/IPv6等价路由、策略路由、路由策略；支持IPv4和IPv6双协议栈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6）缓存容量支持每端口200ms数据缓存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2.实配要求：配置双主控、冗余电源模块、万兆光口≥32个；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面板式AP</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1.PoE供电：满足802.3af/at以太网供电标准;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2.天线类型 内置全向天线,可同时在线的用户数量 ≤256</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3.最大发射功率 2.4G：21dBm（组合功率）,5G：20dBm（组合功率）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4.MIMO:空间流 2×2:2,无线协议 802.11a/b/g/n/ac/ac wave2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5.最高速率 1.267Gbps</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24口交换机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1.交换容量：交换容量≥330 Gbps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2.包转发率：包转发率≥106 Mpps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3.端口类型：千兆电口≥24个，万兆SFP+口≥4个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4.支持MAC地址≥16K，支持4K个VLAN；基于端口的VLAN，基于MAC的VLAN，基于协议的VLAN；支持协议VLAN；支持VLAN内端口隔离；支持Smart link；支持跨设备链路聚合。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5.IP路由：支持静态路由、RIP、RIPng、OSPF。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6.防雷：支持10KV防雷技术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7.虚拟化：支持智能堆叠，堆叠后逻辑上虚拟为一台设备；支持以太网电口堆叠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档案系统核心交换机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1.总体设备要求：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1）交换容量≥19Tbps,包转发率≥1400Mpps；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2）主控板槽位≥2，业务槽位数≥3;</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3)支持颗粒化电源，可配置电源≥2个;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4）用户管理支持PPPoE、802.1X、MAC、Portal认证方式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5）路由特性支持支持IPv4/IPv6等价路由、策略路由、路由策略；支持IPv4和IPv6双协议栈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6）缓存容量支持每端口200ms数据缓存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2.实配要求：配置双主控、冗余电源模块、万兆光口≥32个；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防火墙</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1.含12*GE电口，12*SFP光口，2*SFP+光口，内置双交流电源，硬盘≥1TB；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2.设备最大吞吐量≥10 Gbps，最大并发连接数≥4000万，每秒新建连接数≥20万；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3.接口支持配置从属IP地址，每个接口要求支持至少200个从属IP；</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4.支持缓存安卓和iOS文件，文件形式不限于视频、APP、文本文件等，并支持自学习性缓存，设备可自动缓存特定服务器的所有终端应用；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5.支持配置在用户上网时弹出广告页面，支持配置广告跳转链接和广告推送间隔，广告类型支持本地或第三方广告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6.支持4G接入，并可实现4G连接与有线链路之间互为备份（提供相关功能证明）；支持的4G网卡必须包括华为E3372；支持在4G接口上运行IPSec VPN；</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支持源NAT、目的NAT、静态NAT、NAT44；支持FTP、H323、PPTP、RTSP、SIP、TFTP等应用协议ALG支持配置基于IPv6地址的安全策略，并在一条策略中可同时启用入侵防御、反病毒、URL过滤、应用识别等安全功能,支持6to4、ISATAP、IPv6手工等IPv6隧道技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8.支持应用识别，内置5000种以上应用特征库，并可识别iOS、安卓等移动互联网软件如微博、微信等特征，并可智能识别P2P和迅雷行为，并支持在线升级和手动升级；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9.支持IP准入、MAC准入、IP+MAC准入、本地WEB认证、Portal认证、短信认证、免认证、微信认证、混合认证、AD域单点登录和访客二维码认证；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支持微信认证，可以选择获取IP地址、OpenID或手机号等实名信息，支持与微信公众平台进行认证联动，认证方式包括公众号按钮跳转、公众号回复关键词等方式。认证过程中要求用户必须关注公众号，帮忙企业实现品牌营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11.内置不少于8000条IPS规则库，包含安全漏洞、CGI攻击、缓存溢出、木马后门、网络数据库攻击、蠕虫病毒、间谍软件、欺骗劫持等安全类型（提供相关功能证明）；并支持在线升级和手动升级；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至少支持telnet、ssh、ftp、imap、pop3、smtp、mysql、postgresql、mssql、rlogim、vnc等常见协议的弱密码检测功能，支持弱口令、空密码、用户名和密码相同等检测方式，弱口令字典可自定义设置，支持病毒检测引擎，内置病毒库不少于400万条，支持在线升级和手动升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13.支持20余种威胁分类，包括C&amp;C节点、僵尸网络、木马、勒索、钓鱼等；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kern w:val="0"/>
                <w:sz w:val="24"/>
                <w:lang w:bidi="ar"/>
              </w:rPr>
              <w:t>✰</w:t>
            </w:r>
            <w:r>
              <w:rPr>
                <w:rFonts w:hint="eastAsia" w:ascii="仿宋_GB2312" w:hAnsi="仿宋_GB2312" w:eastAsia="仿宋_GB2312" w:cs="仿宋_GB2312"/>
                <w:i w:val="0"/>
                <w:color w:val="000000"/>
                <w:kern w:val="0"/>
                <w:sz w:val="21"/>
                <w:szCs w:val="21"/>
                <w:u w:val="none"/>
                <w:lang w:val="en-US" w:eastAsia="zh-CN" w:bidi="ar"/>
              </w:rPr>
              <w:t>14.支持实时获取威胁情报，并应用威胁情报对本地资产进行威胁检测，并可对检测到的威胁情报支持单点登陆威胁情报云平台查看该情报详情（提供相关功能证明）</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六、电脑相关设备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只</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会议系统管理电脑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CPU:≥4核，主频≥2.4GHZ/8G内存/1T机械硬盘/集显/光驱/24寸显示器*1个</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分体机双屏电脑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≥4核，主频≥3.0GHZ/8G内存/1T机械硬盘/集显/光驱/24寸显示器*2个，可以加固态硬盘</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分体机单屏电脑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≥4核，主频≥3.0GHZ/8G内存/1T机械硬盘/集显/光驱/24寸显示器*1个，可以加固态硬盘</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一体机电脑</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CPU ≥4核，主频≥1.6GHZ/8G内存/1T机械硬盘/128G固态硬盘/2G独显/无线键鼠/23.8寸</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扫描仪</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最大幅面A3，光学分辨率 ：600dpi以上，扫描范围：最大300×432mm（A3），扫描速度：1秒/张（A3同速，200dpi），3秒/张（初次扫描含预热，A3，200dpi），扫描光源：LED，扫描模式:彩色、灰阶、黑白，色彩位数 ：彩色：48位输入，24位输出，输出格式：支持jpg，多页tiff，多页pdf格式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七、档案系统配套设备</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1.嵌入式8核A53处理器，超清4K解码芯片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2.内存：1G，闪存：16G 可扩展，USB:2个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3.网口：10/100/1000M自适应，WIFI：802.11 b/g/n</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4.显示尺寸：22寸，画面比例：16:9</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5.显示材质：IPS面板，背光方式：LED</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6.分辨率：1920×1080，可视角度：178°</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立式信息发布屏</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1.显示参数：64.5 inch，1080×1920@60Hz，≥400cd/m2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2.操作系统:相关主流操作系统。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3.CPU：4核，主频1.8 GHz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4.存储参数：内存2G，内置存储：8GB EMMC，SD卡32GB</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5.网络：有线、无线WIFI、3G/4G可选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6.触摸方式：非触摸屏，内置扬声器 x 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9.数据传输接口：USB x 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10.功能特性：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（1）素材类型多样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包括图片、音频、视频、滚动字幕、PDF文档、网页、实时监控画面、叫号、弹图等。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（2)节目编排灵活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支持多种素材自由排版、分区显示，支持多种播放方式，按日、按周、轮播、自定义等。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(3)终端集中管理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支持终端统一远程管理和控制，支持网络远程下发节目和无网络本地（U盘）节目更新。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分级管理权限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支持5级组织管理素材、节目、终端、用户等资源，支持自定义用户，分配多种用户的权限。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(4)多重安全保障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素材、节目、日程三级审核，防误播误报，终端屏保密码功能。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无线取号机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1.17寸红外防爆触摸液晶显示屏；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2.爱普生532高速热敏打印机；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3.PC控制主机（工控D525X-R2双核1.8内存2G固态32G硬盘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4.排队管理控制软件；语音系统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5.内置功放及音响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6.无线转接器，触摸式输入信号取票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无线叫号器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1.6位液晶显示，21键多功能按键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2.可直插音频口评价器</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无线评价器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1.10.1寸，CPU:四核,主频≥1.3G</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2.支持有线无线传输、多媒体及查询信息发布模块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3.支持多媒体播放功能，支持视频录制。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支持多种格式，音频格式，视频格式，图片格式，文本格式。</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档案自助查询机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1.显示器：21.5寸、屏幕比例：16:9、分辨率：1920*1080、刷新率：60Hz、对比度：1000:1、亮度：350cd/m2、响应时间:4ms。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2.电容触摸屏：21.5寸16：9、10点触摸、透光率：92％ 以上、分辨率:4096*4096、厚度：4mm、响应速度:&lt;16ms、表面硬度：7级/、操作电压：DC 12V、操作温度：-20℃ ～50℃、操作电流：85mA、通讯控制：USB接口、触摸次数：》6000万次以上、触摸方式：单击、双击、右键、画线、托拽 放大缩小。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3.主机：工控主板；CPU:I5;内存：4G;硬盘：1T固态硬盘；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4.打印机：HP/惠普P1108黑白激光A4打印机,打印速度18页，打印分辨率1200页，月打印负荷5000页，进纸盘容量为150页纸张。</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档案机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离线语音识别数据化引擎一套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1.支持离线环境下的本地离线数据化；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2.离线条件下，接收语音信号，200ms内完成数据化，连续普通话数据化准确率不低于95%。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3.支持中文方言识别转写，包括四川话、重庆话、河南话和云南话（该功能须提供软件界面截图）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4.支持行业专业术语和专有名字的识别转写，包括法律、教育、医疗等行业（该功能须提供软件界面截图）。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二、一体化终端一台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1.终端采用金属材质，便携式箱体设计，同时内置电源与电池，无需额外携带电源；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2.终端采用一体化设计，无需配合其他设备或模块即可独立完成离线语音数据化；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3.CPU：≥4核，主频≥2.5GHZ</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4.显卡：显存≥2G,内存：≥30G,硬盘：≥250G，SSD固态；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5.显示器：屏幕尺寸≥15”，显示比例16:9 ，物理分辨率≥1920*1080；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6.摄像头：内置高清摄像头，分辨率≥720p。</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7.显示输入端口：不少于1个SDI、1个DVI-D、1个HDMI、1个VGA高清视频接口；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8.显示输出端口：不少于1个HDMI高清视频接口；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9.快捷键：内置独立的快捷键，可实现一键开始、暂停和停止数据化；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三、语音数据化应用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（1）管理应用一套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1.关键词优化：支持通过文档批量添加中文名词为优化词，在数据化过程中，相同发音的词语可优先识别为优化词，有效提升该优化词的数据化准确率；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2.语气词屏蔽：支持在语音数据化的过程中自动屏蔽语气词和多余的词汇，以保证数据化结果文字内容的规整；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3.自动分段：支持在实时语音数据化成文字的过程中，对数据化的文字智能分词分段，便于阅读理解和后续编辑；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4.符号预测：支持在实时语音数据化成文字的过程中，对数据化的文字智能标点符号预测，便于阅读理解和后续编辑；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统一入口：产品各功能应用与管理模块具备统一入口，同一操作界面中须同时包含口述档案实时记录、重大活动全貌建档、音、频档案数据化、实时字幕辅助、历史记录、系统设置、关闭系统等功能应用的入口，并能够查看电池电量、系统音量、输入法等系统状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6.导出加密：支持采集的档案数据导出加密（该功能须提供软件界面截图）；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7.安全设置：支持设置系统密码、导出口令、导出系统日志，且支持系统密码修改，支持导出口令修改和忘记密码查阅密码功能（该功能须提供软件界面截图）；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8.屏蔽词：支持在语音数据化过程中，不文明用语、敏感词等不适合出现在屏幕上的词汇屏蔽；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（2）基础应用一套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A.口述征集实时记录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针对口述征集场景中，现场采集时连续语音流进行实时语音数据化识别，实现快速记录存档：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1.声音输入须可选外接麦克风、内置麦克风和蓝牙麦克风；</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2.实时输出文字结果，且无需借助其他终端与设备，即可在一体化终端中对文字结果进行即时编辑，无需等待输出完整文字档案再行整理，有效规避档案信息遗漏；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3.数据化完成后，须同时生成文字档案、对应的音频档案、音频档案著录文件、标准SRT字幕文件，并可通过移动介质导出，其中，SRT字幕文件可直接用于其他视频的编辑与合成；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4.支持针对音频档案生成著录文件，且支持对著录文件修改。至少应包含时间、声道、声道语种、字幕语种、声道编号、格式、音频比特率、音频编码标准、音频采样率等信息；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5.支持生成口述档案实时记录记录列表，包含创建时间、时长、著录文件和文件大小等信息，且支持下载、删除、编辑记录名称等操作。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须支持基于声纹识别的一键角色区分功能，可通过分析语音转写历史记录中的声纹，一键自动区分转写文稿中的不同讲话人，且对应的讲话人通过不同颜色在转写记录进度条中标识，点击进度条中的颜色能够跳转到对应讲话人的文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7.为便于区分讲话人角色及后期文稿加工和整理，须支持批量修改和替换讲话人名称。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B.重大活动全貌建档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对于重大活动中使用PPT演讲、培训等场景，支持学术研讨、工作总结、党政学习、培训后，实时生成音频及文字档案可供存档：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1.支持使用一体化终端直接演示PPT并进行记录，或使用其他设备、并通过视频输入的方式将PPT画面导入一体化终端进行PPT演示并记录；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演说过程中，在PPT中叠加字幕，并可手动选择字幕的开关、字幕的语言（至少应包括单中文、单英文和中英双语）及调整字幕的位置（至少应包括屏幕上方覆盖PPT、屏幕上方不覆盖PPT、屏幕下方覆盖PPT、屏幕下方不覆盖PP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3.具备独立的数据化结果显示界面，且仅在一体化终端中显示，不会显示在外接屏幕中；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4.活动演讲建档的内容支持声音与数据化结果文字对照功能，点击音频图标播放语音时，对应的文字会出现变色与音频对照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活动演讲建档内容支持导出至移动存储设备，导出的内容至少须包括活动内容文字稿建档、活动音频档案、活动音频档案著录文件、PPT录屏文件及标准SRT字幕文件，其中，SRT字幕文件可直接用于其他视频的编辑与合成（该功能须提供软件界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6.持输出字幕的自动分段。字幕字色、背景、字号大小、宽度、LOGO、分辨率、行数等设置。支持字幕内容实时修改上屏。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C.实时字幕辅助</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对于学术研讨、党政学习、会议培训、视频会议、视频档案展播等场景，提供实时中英文字幕辅助展示功能：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1.支持数据化结果连接显示设备投放，进行数据化的中英文结果实时展示，显示设备可实时显示讲话人的所讲述的文字；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2.支持全屏字幕模式，投屏后，屏幕中仅展示字幕，无其他画面；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3.支持视频叠加字幕模式，将其他设备的视频信号输入一体化终端，在视频画面中叠加字幕，并输出叠加字幕后的视频，须支持视频档案展播、视频会议字幕叠加等应用；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4.支持输出字幕的自动分段。字幕字色、背景、字号大小、宽度、LOGO、分辨率、行数等设置。支持字幕内容实时修改上屏。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D.版式档案数据化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支持馆藏档案数字化加工扫描后的图像进行OCR识别。实时生成OCR识别后的文稿文件。支持双层pdf文件合成；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1.支持上传PDF、JPG、BMP、TIFF格式档案图片进行OCR识别；支持PDF文件单个、多个识别；</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2.支持图片类单个、多个识别，支持图片合并后识别生成双层PDF；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3.支持对OCR识别后的文件进行文字定位，生成具有坐标位置的双层PDF，同时支持人工对识别结果进行修正，重新生成双层PDF；</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4.支持下载包含识别后的文字文件、双层PDF文件；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E.音、视频档案数据化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对于声像档案中，音、视频档案文件的转文字需要，通过U盘或其他移动存储介质导入音、视频档案文件即可实现数据化成为文字稿和自动著录：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1.支持音、视频档案文件的快速离线数据化，单个连续音视频档案文件时长最大可支持5个小时，且1个小时的音、视频频文件数据化数据文稿所需时间不超过10分钟；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2.支持.mp3、.wav、.amr、.m4a、avi、mpeg、wmv、flv等主流音、视频文件格式；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3.支持音、视频档案文件的批量导入与数据化；</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4.数据化结束后，可即时生成音、视频档案文件数据化记录列表，包含音视频档案文件名称、著录文件、音、视频档案文件时长、音视频档案文件大小、数据化剩余时间等信息（该功能须提供软件界面截图）；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5.如数据化失败，支持一键重新数据化或一键删除等操作；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 音、视频档案数据化结果可在一体化终端中直接进行本地编辑，无需导出后再行编辑；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7.数据化结果可导出至移动存储设备，至少须包含数据化文字稿、著录文件和标准SRT文件，其中，SRT文件可直接用于其他视频的编辑与合成.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须支持基于声纹识别的一键角色区分功能，可通过分析录音中的声纹，一键自动区分转写文稿中的不同讲话人，且对应的讲话人通过不同颜色在录音转写进度条中标识，点击进度条中的颜色能够跳转到对应讲话人的文稿（该功能须提供软件界面截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9.为便于区分讲话人角色及后期文稿加工和整理，须支持批量修改和替换讲话人名称。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F.档案自动著录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支持应用生成的音频档案文件和导入的音、视频档案文件自动在本地著录，实时生成著录文件，并对应到相应的档案列表，支持著录内容标记、修改：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1.各功能自动生成的著录文件，至少应包含时间、声道、声道语种、字幕语种、声道编号、格式、音频比特率、音频编码标准、音频采样率等信息；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2.著录文件支持捆绑导出操作；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3.至少支持口述征集实时记录、重大活动全貌建档、音、视频档案数据化等功能自动著录。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G.记录存档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各功能应用生成的记录存档可自动分类存储在本地，并自动生成对应的记录列表：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1.各功能应用的数据化记录列表，至少应包含记录名称、创建时间、记录时长、记录大小、著录文件等信息；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2.记录支持批量导出、批量删除等操作；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3.支持即时显示本地硬盘剩余存储空间，便于对数据化记录的归档与整理。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(3)功能拓展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A.中英文字幕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支持在语音数据化成为中英文混合文稿的同时，将中文文稿同步翻译成为英文文稿，并通过字幕的方式显示并输出和将英文文稿转化为中文文稿方式并通过字幕的方式显示并输出：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1.至少须支持三种显示模式：数据化转写结果、翻译结果、数据化转写+翻译结果输出并投屏显示模式；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2.字幕翻译：支持中英互译、中文翻译成英文、英文翻译成中文字幕输出支持在纯离线环境下完成。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四、蓝牙麦克风</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1.定制无线蓝牙麦克风，领夹式设计；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2.支持蓝牙4.1及以下标准协议，连接稳定可靠；</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3.内置2个拾音麦克风，有效拾音距离不小于10米；</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4.内置双麦阵列降噪算法，确保收音质量与文字数据化准确度；</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5.支持一键选择麦克风的收音模式，至少应包括全向收音模式与指向收音模式；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6.麦克风采用一体化设计，无需配置开关、音量调节等实体按键；拿起即可自动开机，并自动与主机连接使用，无需任何开关、蓝牙连接等操作；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7.便携式终端配备麦克风专用充电收纳槽，收纳于终端中即可自动充电，无需单独配备充电。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八、无纸化系统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15.6寸带话筒无纸化一体机升降机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铝框采用一体化弧形背框，内置升降器会议终端；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2、采用15.6寸全贴合超窄边IPS触摸液晶显示屏，触摸屏左右黑边≤5mm;，分辨率1920×1080，液晶显示屏可视角度85/85/85/85(TYP、),支持颜色：262K、72%NTSC,帧频率：60Hz,接口类型：30 pins eDP(Lanes) eDP、3,端子，对比度800：1(Typ、)透射；</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3、主频双核3、3G，内存DDR4 4G，存储容量：128G SSD</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4、触摸显示器升降单程时间小于8秒；一体机升降电机采用缓起缓停变频技术，升降机升降过程中缓起缓停自动变速，达到屏幕缓启缓停，防止冲撞；延长电机使用寿命；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5、支持电动点控摆角及手掰双模式调整屏幕仰角</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6、嵌入电动升降式系统及其液晶屏前后控制仰角、最大转角为35度，转轴采用一体化成型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7、传动升降方式：采用双光轴加齿轮齿条结构，传动齿轮须为铝齿轮，延长寿命。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8、采用五键机械式按纽开关，上升、暂停、下降、前摆角、后摆角，同时电脑开关机按键具有指示灯功能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9、升降话筒咪杆位于升降机左侧，方便与会者在触摸显示屏的时候不与话筒发生干涉；话筒自带捋直扶正功能；升降话筒按纽带光圈带提示灯，方便与会者了解话筒发言状态；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10、产品通过国家强制性认证提供CCC认证证书(内容须有升降字样）（提供相关认证证书） </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无纸化会议控制电脑主机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1.采用铝合金面板，低噪音低功耗设计，E3工业级高性能处理器、内存≥16G、硬盘≥1T；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2.自带8.9寸液晶显示屏，自带抽拉式键鼠，鼠标和键盘可隐蔽，方便工程调试及状态监控，含有VGA、AUDIO输出口及多种常用音视频会议接口;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3.支持局域网及外网的连接通讯，支持超强的会议管理功能；支持维护数据库，监测终端,安全涉密性强；系统稳定；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4.无纸化会议后台管理软件采用B/S网络架构，最多同时支持200台终端并发。支持无人值守工作模式，可通过客户端或Web端登陆访问；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5.支持同一局域网内的PC通过B/S网络架构权限管理无纸化后台；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6.安装在控制主机上，提供无纸化系统会前、会中、会后所有功能的后台操作，系统含会议服务软件、文件管理软件；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7.支持多会议室管理，支持多会议预设，支持会议日程安排；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8.支持客户端访问模式、WEB访问模式，支持管理员登陆、参会人登录，支持参会人会前预览会议资料，支持在线编辑批注会议资料并在线上传更新。支持历史会议资料检索归档；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9.无纸化会议控制电脑主机须通过国家强制性认证（提供无纸化会议控制电脑主机CCC国家强制认证证书）。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无纸化后台管理软件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1.具有高稳定性和可靠性的CS架构设计；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2.安装在控制主机上，提供无纸化系统会前、会中、会后所有功能的后台操作，系统含会议服务软件、文件管理软件；                                                                            3.支持多会议室管理，支持多会议预设，支持会议日程安排；                                                   4.支持客户端访问模式、WEB访问模式，支持管理员登陆、参会人登录，支持参会人会前预览会议资料，支持在线编辑批注会议资料并在线上传更新。支持历史会议资料检索归档；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无纸化会议终端客户端软件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1.主讲功能，分别对参会人员签到，会议议题，无纸化会议信号进行统一管理模式。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2.支持Windows、ios、Android、国产操作系统互联互通；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3.支持多管理员和超级管理员，不同管理员创建的会议互相保密。超级管理员有管理所有会议的权限。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4.具有所有系统一键软关机功能及一键升降功能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5.客户端触摸导航栏位于参会者面对屏幕右侧，方便参会者很直观的找到所需要模块；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6.参会人员具申请主讲功能；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手拉手数字会议主机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1、符合IEC60914、GBT15381-94国际标准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2、采用数字技术为核心 ，内置高性能CPU，支持讨论和视像跟踪功能 音频信号采用32bit高速浮点DSP进行处理， 带宽20Hz~20KHz完美清晰音质 高性能开关电源供电，长距离传输对音质不会有任何影响抗干扰电路设计，杜绝一切手机信号的干扰自带2.8寸液晶屏，独立按键操作支持USB录音，高保真WAV格式输出四路话筒连接，每路支持30个单元，可接120个单元，12支主席单元具有S端子和5P接线端子接口，连接标清或高清摄像头，支持SONY VISCA、EVI HD、PELCO P/D、BRC300通讯协议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3、内置6进2出（RCA接口）视频器，最多可连接6个标清摄像头具有视频切换RS-232通讯接口，可连接高清视频切换器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4、具有报警信号输入接口，当公共广播报警系统启动时，可自动暂停会议，并向与会单元发送报警信息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5、具有中控代码RS-232接口，可连接中控系统</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6、多路音频输入输出接口，可连接扩声或录音设备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7、主机和电脑可以通过TCP/IP网络或者USB本地方式进行连接通讯，使用PC软件对系统进行设置。亦可不需电脑直接在主机上对系统进行设置，支持在线更新代码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8、具有多种会议模式：、FIFO（先进先出模式）、LIFO（后进先出模式）、FREE（全开放模式）、APPLY（申请模式）、C-ONLY（主席模式）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9、可设置发言数量、自动关闭、限时关闭、声控发言等功能</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投影同屏控制器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1.输入12VDC 5A，输入接口：RJ45，输出接口：VGA、HDMI、AUDIO。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2.支持接收多台客户端的投影请求显示，遵循先入先出的投影显示模式，支持最多四画面同时显示。                                                                                                   3.支持自适应投影分辨率，支持强制输出分辨率。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4.支持WINDOWS/ISO/安卓操作系统安装</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5.软件须通过国家版权局审核通过并登记（提供国家计算机软件著作权认证证书）。</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无纸化流媒体服务器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1.支持H.264 Baseline Profile编码；支持H.264 Main Profile编码；支持H.264 High Profile编码；支持CBR / VBR 码率控制；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2.支持多种视频格式输入,包括 SDI/HDMI/DVI/VGA/YPbPR/CVBS/S-Video；</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3.支持高达 1080P的高清视频输入，支持图像参数设置；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4.WEB 操作界面，中英文配置界面可选；WEB 操作界面权限管理；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5.支持流分辨率设置，支持 GOP 帧率设置；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6.支持串口控制，支持无人值守工作模式，可通过客户端或Web端登陆访问</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282" w:hRule="atLeast"/>
        </w:trPr>
        <w:tc>
          <w:tcPr>
            <w:tcW w:w="4556" w:type="pct"/>
            <w:gridSpan w:val="3"/>
            <w:tcBorders>
              <w:top w:val="single" w:color="auto" w:sz="4" w:space="0"/>
              <w:left w:val="single" w:color="auto" w:sz="8"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九、会议预约系统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信息发布服务器</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1、CPU：≥1.6GHZ,内存：4G,硬盘：1T</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2、显卡：专业图像处理显示卡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3、接口：USB×6、串口、VGA视频接口、音频输入/输出接口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4、网口：10/100/1000M自适应×2</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5、操作系统：主流操作系统</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22寸壁挂播控一体机</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1、嵌入式8核处理器，超清4K解码芯片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2、内存：1G，闪存：16G 可扩展，网口：10/100/1000M自适应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3、WIFI：802.11 b/g/n，显示尺寸：22寸</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4、画面比例：16:9，分辨率：1920×1080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5、可视角度：178°，合金壁挂式框体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6、支持平板/手机投屏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7、支持HTTP/RTSP/RTMP直播，延时可低于0.2s</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8、支持各类柱形图、条形图、折线图、饼图、雷达图、散点图等各类数据图表形成大数据展示</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台</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嵌入式信息发布系统软件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1)可支持在各主流操作系统上安装，系统基于B/S结构，通过IP地址来管理各个显示终端的显示内容，显示参数、休眠设置等；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 系统功能：</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1、系统首页:首页可以查看服务器运行状态、终端状态、任务发布状态等内容，并可进行就常用功能进行快捷导航。</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素材管理模块:对媒体素材进行管理，包括各种格式的图片、视频、音频、文档等素材进行上传、分类、删除等操作;接口素材管理，可定义视频、图片、文字等类型的接口素材，用于显示其他IT系统中获取的实时数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bCs/>
                <w:sz w:val="24"/>
              </w:rPr>
              <w:t>✰</w:t>
            </w:r>
            <w:r>
              <w:rPr>
                <w:rFonts w:hint="eastAsia" w:ascii="仿宋_GB2312" w:hAnsi="仿宋_GB2312" w:eastAsia="仿宋_GB2312" w:cs="仿宋_GB2312"/>
                <w:i w:val="0"/>
                <w:color w:val="000000"/>
                <w:kern w:val="0"/>
                <w:sz w:val="21"/>
                <w:szCs w:val="21"/>
                <w:u w:val="none"/>
                <w:lang w:val="en-US" w:eastAsia="zh-CN" w:bidi="ar"/>
              </w:rPr>
              <w:t>3、数据图表编辑及绑定:可编辑柱形图、条形图、折线图、饼图、雷达图、散点图、地图、表格等各类数据图表（提供官网参数截图及操作界面截图证明），系统自带20多种图表样式。系统支持静态文本、表格文件、HTTP API、数据库连接等数据绑定的方式，自动绑定各IT系统数据，并转化成图表在屏幕上显示。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4、终端管理模块:管理终端、编辑终端名称、分组 、所在地等信息;为终端绑定各类任务，并下发。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节目管理模块:可编辑节目模板，并添加多媒体内容，支持视频、图片、文字、时间、天气、网页、视频输入、设备输入等各元素自由编辑组合形成节目；可编辑互动节目，为互动节目编辑按钮、菜单及定义按钮事件，从而生成互动触摸节目。</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6、终端管理模块:管理终端、编辑终端名称、分组、所在地等信息;为终端绑定各类任务，并下发。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终端监控模块:设置终端音量、亮度、开关时段、下载时段、互动时段、密码等内容；设置终端网络连接方式(以太网、WIFI、3G/4G)；进行格式化终端、开关机操作、升级终端软件、监视异常信息、获取终端播放日志、远程截屏监视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8、用户管理模块：管理系统用户、角色，并为用户、角色分配各种系统权限；</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9、统计报表管理模块：查看个终端报表、包括播放报告及触摸点击统计等；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10、系统帮助模块：可查看系统快速入门、常见问题、完整使用说明及软件版本；</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11、U盘管理：支持将节目拷贝到U盘进行播放，支持U盘下载任务、更新客户端软件等操作；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12、简易发布：可针对一些用途相对简单的项目设置简易发布模式，一步操作完成信息发布操作；</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信息发布客户端授权</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授权软件</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04"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会议预定软件</w:t>
            </w:r>
          </w:p>
        </w:tc>
        <w:tc>
          <w:tcPr>
            <w:tcW w:w="3742"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一、基础管理：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1、能设置会议室名称、座位数、会议室类型信息；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2、能设置会议室设备信息；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3、能设置用户信息及用户角色；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4、会议室状况查询：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5、会议室使用情况查询；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二、会议预定：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1、支持提交会议预定申请，填写会议时间、主题、与会人员、相关设备需求，并自动通过邮件或短信形式通知相关审核人员；</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2、审核人员可确认审核结果，并自动以邮件或短信形式通知申请人；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支持电子签到及会议自动取消，支持现场临时预订，支持第三方系统接口</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三、会议引导</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1、申请通过的会议在会议开始前自动显示会议主题、会议时间、与会人员等信息；</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2、如有重大会议时也可发送图片或视频形式进行会议引导；</w:t>
            </w:r>
          </w:p>
        </w:tc>
        <w:tc>
          <w:tcPr>
            <w:tcW w:w="21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2" w:hRule="atLeast"/>
        </w:trPr>
        <w:tc>
          <w:tcPr>
            <w:tcW w:w="309" w:type="pct"/>
            <w:tcBorders>
              <w:top w:val="nil"/>
              <w:left w:val="single" w:color="auto" w:sz="8" w:space="0"/>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04"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会议预定接口软件</w:t>
            </w:r>
          </w:p>
        </w:tc>
        <w:tc>
          <w:tcPr>
            <w:tcW w:w="3742" w:type="pct"/>
            <w:tcBorders>
              <w:top w:val="nil"/>
              <w:left w:val="nil"/>
              <w:bottom w:val="single" w:color="auto" w:sz="8"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ottom"/>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可对接OA、钉钉、微信、OUTLOOK等接口，实现会议引导</w:t>
            </w:r>
          </w:p>
        </w:tc>
        <w:tc>
          <w:tcPr>
            <w:tcW w:w="217"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w:t>
            </w:r>
          </w:p>
        </w:tc>
        <w:tc>
          <w:tcPr>
            <w:tcW w:w="226" w:type="pc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r>
    </w:tbl>
    <w:p>
      <w:pPr>
        <w:ind w:firstLine="480" w:firstLineChars="200"/>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请投标人在报价前仔细踏勘现场、了解项目现状。本项目为一次性报价，包含包括投标人完成本项目所需的一切费用。具体包括货物报价和标准附件、水电、墙面及地面割槽修补围护（如有）、备品备件、专用工具、运输、装卸、保险、安装调试、检测、验收合格、技术支持、售后服务、围护所需的各种费用及必要的保险费用和各项税金等所有费用的总和，今后不作调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商务需求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交货时间及地点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val="en-US" w:eastAsia="zh-CN"/>
        </w:rPr>
        <w:t>中标人应在合同签订后60日历天内供货、安装、调试完成。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质保期及售后技术服务要求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color w:val="000000"/>
          <w:kern w:val="0"/>
          <w:sz w:val="21"/>
          <w:szCs w:val="21"/>
          <w:u w:val="none"/>
          <w:lang w:val="en-US" w:eastAsia="zh-CN" w:bidi="ar"/>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保质期：5年。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（3）投标人应提供技术支持方案，内容由投标人根据实际选择以下要点：服务机构（维保点）的地址、人员状况、维修能力、联系方式、营业执照、公司资质材料、相关案例等。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（4）完整准确地表述原厂家的标准售后服务承诺（范围、标准及期限等）、投标人可能增加的服务承诺等。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（5）明示服务承诺可能涉及的前提设定和费用，否则将被认为是无条件和免费的。</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项目实施的组织工作方案：工作时间进度表、工作程序或步骤、管理和协调方法、送货方案等。</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（1）合同签订后中标供应商支付总价的5%作为履约保证金。（接受保函）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（2）合同签订后，采购人向中标单位支付至合同款的15%进度款。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（3）硬件设备安装调试验收完成后，采购人向中标单位支付至合同款的60%。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（4）软件验收完成后，采购人向中标单位支付至合同款的80%。同时采购人无息退还履约保证金。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（5）质保期满一年，无质量问题，采购人向中标单位支付合同款的10%，质保期满二年，无质量问题，采购人向中标单位支付合同款的5%，剩余5%待保质期满后一次性支付。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注：中标供应商所提供的货物、服务须与投标承诺一致，不得以次充好、偷工减料，若在项目验收中发现有上述情况，将向有关部门举报，根据相关规定进行处理。</w:t>
      </w:r>
    </w:p>
    <w:p>
      <w:pPr>
        <w:widowControl/>
        <w:jc w:val="center"/>
        <w:rPr>
          <w:rFonts w:ascii="仿宋_GB2312" w:hAnsi="仿宋" w:eastAsia="仿宋_GB2312" w:cs="仿宋_GB2312"/>
          <w:b/>
          <w:sz w:val="36"/>
          <w:szCs w:val="36"/>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8" w:name="_Toc184314423"/>
      <w:bookmarkEnd w:id="28"/>
      <w:bookmarkStart w:id="29" w:name="_Toc184313264"/>
      <w:bookmarkEnd w:id="29"/>
      <w:bookmarkStart w:id="30" w:name="_Toc184313252"/>
      <w:bookmarkEnd w:id="30"/>
      <w:bookmarkStart w:id="31" w:name="_Toc184308083"/>
      <w:bookmarkEnd w:id="31"/>
      <w:bookmarkStart w:id="32" w:name="_Toc184314424"/>
      <w:bookmarkEnd w:id="32"/>
      <w:bookmarkStart w:id="33" w:name="_Toc184313277"/>
      <w:bookmarkEnd w:id="33"/>
      <w:bookmarkStart w:id="34" w:name="_Toc184310329"/>
      <w:bookmarkEnd w:id="34"/>
      <w:bookmarkStart w:id="35" w:name="_Toc184313290"/>
      <w:bookmarkEnd w:id="35"/>
      <w:bookmarkStart w:id="36" w:name="_Toc184312114"/>
      <w:bookmarkEnd w:id="36"/>
      <w:bookmarkStart w:id="37" w:name="_Toc184312071"/>
      <w:bookmarkEnd w:id="37"/>
      <w:bookmarkStart w:id="38" w:name="_Toc184308079"/>
      <w:bookmarkEnd w:id="38"/>
      <w:bookmarkStart w:id="39" w:name="_Toc184310305"/>
      <w:bookmarkEnd w:id="39"/>
      <w:bookmarkStart w:id="40" w:name="_Toc184314478"/>
      <w:bookmarkEnd w:id="40"/>
      <w:bookmarkStart w:id="41" w:name="_Toc184314426"/>
      <w:bookmarkEnd w:id="41"/>
      <w:bookmarkStart w:id="42" w:name="_Toc184308068"/>
      <w:bookmarkEnd w:id="42"/>
      <w:bookmarkStart w:id="43" w:name="_Toc184314475"/>
      <w:bookmarkEnd w:id="43"/>
      <w:bookmarkStart w:id="44" w:name="_Toc184308039"/>
      <w:bookmarkEnd w:id="44"/>
      <w:bookmarkStart w:id="45" w:name="_Toc184308065"/>
      <w:bookmarkEnd w:id="45"/>
      <w:bookmarkStart w:id="46" w:name="_Toc184308042"/>
      <w:bookmarkEnd w:id="46"/>
      <w:bookmarkStart w:id="47" w:name="_Toc184308089"/>
      <w:bookmarkEnd w:id="47"/>
      <w:bookmarkStart w:id="48" w:name="_Toc184314417"/>
      <w:bookmarkEnd w:id="48"/>
      <w:bookmarkStart w:id="49" w:name="_Toc184313303"/>
      <w:bookmarkEnd w:id="49"/>
      <w:bookmarkStart w:id="50" w:name="_Toc184310321"/>
      <w:bookmarkEnd w:id="50"/>
      <w:bookmarkStart w:id="51" w:name="_Toc184308078"/>
      <w:bookmarkEnd w:id="51"/>
      <w:bookmarkStart w:id="52" w:name="_Toc184308097"/>
      <w:bookmarkEnd w:id="52"/>
      <w:bookmarkStart w:id="53" w:name="_Toc184310272"/>
      <w:bookmarkEnd w:id="53"/>
      <w:bookmarkStart w:id="54" w:name="_Toc184310311"/>
      <w:bookmarkEnd w:id="54"/>
      <w:bookmarkStart w:id="55" w:name="_Toc184310294"/>
      <w:bookmarkEnd w:id="55"/>
      <w:bookmarkStart w:id="56" w:name="_Toc184312074"/>
      <w:bookmarkEnd w:id="56"/>
      <w:bookmarkStart w:id="57" w:name="_Toc184313266"/>
      <w:bookmarkEnd w:id="57"/>
      <w:bookmarkStart w:id="58" w:name="_Toc184313284"/>
      <w:bookmarkEnd w:id="58"/>
      <w:bookmarkStart w:id="59" w:name="_Toc184312076"/>
      <w:bookmarkEnd w:id="59"/>
      <w:bookmarkStart w:id="60" w:name="_Toc184314480"/>
      <w:bookmarkEnd w:id="60"/>
      <w:bookmarkStart w:id="61" w:name="_Toc184310290"/>
      <w:bookmarkEnd w:id="61"/>
      <w:bookmarkStart w:id="62" w:name="_Toc184312102"/>
      <w:bookmarkEnd w:id="62"/>
      <w:bookmarkStart w:id="63" w:name="_Toc184313308"/>
      <w:bookmarkEnd w:id="63"/>
      <w:bookmarkStart w:id="64" w:name="_Toc184314410"/>
      <w:bookmarkEnd w:id="64"/>
      <w:bookmarkStart w:id="65" w:name="_Toc184312104"/>
      <w:bookmarkEnd w:id="65"/>
      <w:bookmarkStart w:id="66" w:name="_Toc184310333"/>
      <w:bookmarkEnd w:id="66"/>
      <w:bookmarkStart w:id="67" w:name="_Toc184310325"/>
      <w:bookmarkEnd w:id="67"/>
      <w:bookmarkStart w:id="68" w:name="_Toc184312081"/>
      <w:bookmarkEnd w:id="68"/>
      <w:bookmarkStart w:id="69" w:name="_Toc184312132"/>
      <w:bookmarkEnd w:id="69"/>
      <w:bookmarkStart w:id="70" w:name="_Toc184314429"/>
      <w:bookmarkEnd w:id="70"/>
      <w:bookmarkStart w:id="71" w:name="_Toc184310296"/>
      <w:bookmarkEnd w:id="71"/>
      <w:bookmarkStart w:id="72" w:name="_Toc184312117"/>
      <w:bookmarkEnd w:id="72"/>
      <w:bookmarkStart w:id="73" w:name="_Toc184312123"/>
      <w:bookmarkEnd w:id="73"/>
      <w:bookmarkStart w:id="74" w:name="_Toc184308093"/>
      <w:bookmarkEnd w:id="74"/>
      <w:bookmarkStart w:id="75" w:name="_Toc184313294"/>
      <w:bookmarkEnd w:id="75"/>
      <w:bookmarkStart w:id="76" w:name="_Toc184313287"/>
      <w:bookmarkEnd w:id="76"/>
      <w:bookmarkStart w:id="77" w:name="_Toc184310276"/>
      <w:bookmarkEnd w:id="77"/>
      <w:bookmarkStart w:id="78" w:name="_Toc184308053"/>
      <w:bookmarkEnd w:id="78"/>
      <w:bookmarkStart w:id="79" w:name="_Toc184310302"/>
      <w:bookmarkEnd w:id="79"/>
      <w:bookmarkStart w:id="80" w:name="_Toc184314463"/>
      <w:bookmarkEnd w:id="80"/>
      <w:bookmarkStart w:id="81" w:name="_Toc184314430"/>
      <w:bookmarkEnd w:id="81"/>
      <w:bookmarkStart w:id="82" w:name="_Toc184308092"/>
      <w:bookmarkEnd w:id="82"/>
      <w:bookmarkStart w:id="83" w:name="_Toc184310312"/>
      <w:bookmarkEnd w:id="83"/>
      <w:bookmarkStart w:id="84" w:name="_Toc184310293"/>
      <w:bookmarkEnd w:id="84"/>
      <w:bookmarkStart w:id="85" w:name="_Toc184313309"/>
      <w:bookmarkEnd w:id="85"/>
      <w:bookmarkStart w:id="86" w:name="_Toc184313274"/>
      <w:bookmarkEnd w:id="86"/>
      <w:bookmarkStart w:id="87" w:name="_Toc184312085"/>
      <w:bookmarkEnd w:id="87"/>
      <w:bookmarkStart w:id="88" w:name="_Toc184313238"/>
      <w:bookmarkEnd w:id="88"/>
      <w:bookmarkStart w:id="89" w:name="_Toc184314455"/>
      <w:bookmarkEnd w:id="89"/>
      <w:bookmarkStart w:id="90" w:name="_Toc184312125"/>
      <w:bookmarkEnd w:id="90"/>
      <w:bookmarkStart w:id="91" w:name="_Toc184310303"/>
      <w:bookmarkEnd w:id="91"/>
      <w:bookmarkStart w:id="92" w:name="_Toc184314474"/>
      <w:bookmarkEnd w:id="92"/>
      <w:bookmarkStart w:id="93" w:name="_Toc184308072"/>
      <w:bookmarkEnd w:id="93"/>
      <w:bookmarkStart w:id="94" w:name="_Toc184308087"/>
      <w:bookmarkEnd w:id="94"/>
      <w:bookmarkStart w:id="95" w:name="_Toc184308056"/>
      <w:bookmarkEnd w:id="95"/>
      <w:bookmarkStart w:id="96" w:name="_Toc184310323"/>
      <w:bookmarkEnd w:id="96"/>
      <w:bookmarkStart w:id="97" w:name="_Toc184308061"/>
      <w:bookmarkEnd w:id="97"/>
      <w:bookmarkStart w:id="98" w:name="_Toc184308055"/>
      <w:bookmarkEnd w:id="98"/>
      <w:bookmarkStart w:id="99" w:name="_Toc184310286"/>
      <w:bookmarkEnd w:id="99"/>
      <w:bookmarkStart w:id="100" w:name="_Toc184314411"/>
      <w:bookmarkEnd w:id="100"/>
      <w:bookmarkStart w:id="101" w:name="_Toc184310310"/>
      <w:bookmarkEnd w:id="101"/>
      <w:bookmarkStart w:id="102" w:name="_Toc184314428"/>
      <w:bookmarkEnd w:id="102"/>
      <w:bookmarkStart w:id="103" w:name="_Toc184313276"/>
      <w:bookmarkEnd w:id="103"/>
      <w:bookmarkStart w:id="104" w:name="_Toc184310326"/>
      <w:bookmarkEnd w:id="104"/>
      <w:bookmarkStart w:id="105" w:name="_Toc184308077"/>
      <w:bookmarkEnd w:id="105"/>
      <w:bookmarkStart w:id="106" w:name="_Toc184312127"/>
      <w:bookmarkEnd w:id="106"/>
      <w:bookmarkStart w:id="107" w:name="_Toc184313271"/>
      <w:bookmarkEnd w:id="107"/>
      <w:bookmarkStart w:id="108" w:name="_Toc184312109"/>
      <w:bookmarkEnd w:id="108"/>
      <w:bookmarkStart w:id="109" w:name="_Toc184313297"/>
      <w:bookmarkEnd w:id="109"/>
      <w:bookmarkStart w:id="110" w:name="_Toc184308101"/>
      <w:bookmarkEnd w:id="110"/>
      <w:bookmarkStart w:id="111" w:name="_Toc184314439"/>
      <w:bookmarkEnd w:id="111"/>
      <w:bookmarkStart w:id="112" w:name="_Toc184314445"/>
      <w:bookmarkEnd w:id="112"/>
      <w:bookmarkStart w:id="113" w:name="_Toc184313269"/>
      <w:bookmarkEnd w:id="113"/>
      <w:bookmarkStart w:id="114" w:name="_Toc184314469"/>
      <w:bookmarkEnd w:id="114"/>
      <w:bookmarkStart w:id="115" w:name="_Toc184313268"/>
      <w:bookmarkEnd w:id="115"/>
      <w:bookmarkStart w:id="116" w:name="_Toc184313272"/>
      <w:bookmarkEnd w:id="116"/>
      <w:bookmarkStart w:id="117" w:name="_Toc184312093"/>
      <w:bookmarkEnd w:id="117"/>
      <w:bookmarkStart w:id="118" w:name="_Toc184312118"/>
      <w:bookmarkEnd w:id="118"/>
      <w:bookmarkStart w:id="119" w:name="_Toc184313246"/>
      <w:bookmarkEnd w:id="119"/>
      <w:bookmarkStart w:id="120" w:name="_Toc184314446"/>
      <w:bookmarkEnd w:id="120"/>
      <w:bookmarkStart w:id="121" w:name="_Toc184314436"/>
      <w:bookmarkEnd w:id="121"/>
      <w:bookmarkStart w:id="122" w:name="_Toc184314421"/>
      <w:bookmarkEnd w:id="122"/>
      <w:bookmarkStart w:id="123" w:name="_Toc184314460"/>
      <w:bookmarkEnd w:id="123"/>
      <w:bookmarkStart w:id="124" w:name="_Toc184313286"/>
      <w:bookmarkEnd w:id="124"/>
      <w:bookmarkStart w:id="125" w:name="_Toc184310331"/>
      <w:bookmarkEnd w:id="125"/>
      <w:bookmarkStart w:id="126" w:name="_Toc184308038"/>
      <w:bookmarkEnd w:id="126"/>
      <w:bookmarkStart w:id="127" w:name="_Toc184313239"/>
      <w:bookmarkEnd w:id="127"/>
      <w:bookmarkStart w:id="128" w:name="_Toc184313285"/>
      <w:bookmarkEnd w:id="128"/>
      <w:bookmarkStart w:id="129" w:name="_Toc184310340"/>
      <w:bookmarkEnd w:id="129"/>
      <w:bookmarkStart w:id="130" w:name="_Toc184313253"/>
      <w:bookmarkEnd w:id="130"/>
      <w:bookmarkStart w:id="131" w:name="_Toc184308071"/>
      <w:bookmarkEnd w:id="131"/>
      <w:bookmarkStart w:id="132" w:name="_Toc184314442"/>
      <w:bookmarkEnd w:id="132"/>
      <w:bookmarkStart w:id="133" w:name="_Toc184308081"/>
      <w:bookmarkEnd w:id="133"/>
      <w:bookmarkStart w:id="134" w:name="_Toc184308098"/>
      <w:bookmarkEnd w:id="134"/>
      <w:bookmarkStart w:id="135" w:name="_Toc184313300"/>
      <w:bookmarkEnd w:id="135"/>
      <w:bookmarkStart w:id="136" w:name="_Toc184313306"/>
      <w:bookmarkEnd w:id="136"/>
      <w:bookmarkStart w:id="137" w:name="_Toc184314443"/>
      <w:bookmarkEnd w:id="137"/>
      <w:bookmarkStart w:id="138" w:name="_Toc184314444"/>
      <w:bookmarkEnd w:id="138"/>
      <w:bookmarkStart w:id="139" w:name="_Toc184308067"/>
      <w:bookmarkEnd w:id="139"/>
      <w:bookmarkStart w:id="140" w:name="_Toc184314425"/>
      <w:bookmarkEnd w:id="140"/>
      <w:bookmarkStart w:id="141" w:name="_Toc184310295"/>
      <w:bookmarkEnd w:id="141"/>
      <w:bookmarkStart w:id="142" w:name="_Toc184308076"/>
      <w:bookmarkEnd w:id="142"/>
      <w:bookmarkStart w:id="143" w:name="_Toc184314477"/>
      <w:bookmarkEnd w:id="143"/>
      <w:bookmarkStart w:id="144" w:name="_Toc184312136"/>
      <w:bookmarkEnd w:id="144"/>
      <w:bookmarkStart w:id="145" w:name="_Toc184308070"/>
      <w:bookmarkEnd w:id="145"/>
      <w:bookmarkStart w:id="146" w:name="_Toc184310334"/>
      <w:bookmarkEnd w:id="146"/>
      <w:bookmarkStart w:id="147" w:name="_Toc184310342"/>
      <w:bookmarkEnd w:id="147"/>
      <w:bookmarkStart w:id="148" w:name="_Toc184310298"/>
      <w:bookmarkEnd w:id="148"/>
      <w:bookmarkStart w:id="149" w:name="_Toc184310304"/>
      <w:bookmarkEnd w:id="149"/>
      <w:bookmarkStart w:id="150" w:name="_Toc184310284"/>
      <w:bookmarkEnd w:id="150"/>
      <w:bookmarkStart w:id="151" w:name="_Toc184313265"/>
      <w:bookmarkEnd w:id="151"/>
      <w:bookmarkStart w:id="152" w:name="_Toc184310341"/>
      <w:bookmarkEnd w:id="152"/>
      <w:bookmarkStart w:id="153" w:name="_Toc184312138"/>
      <w:bookmarkEnd w:id="153"/>
      <w:bookmarkStart w:id="154" w:name="_Toc184312091"/>
      <w:bookmarkEnd w:id="154"/>
      <w:bookmarkStart w:id="155" w:name="_Toc184308050"/>
      <w:bookmarkEnd w:id="155"/>
      <w:bookmarkStart w:id="156" w:name="_Toc184308085"/>
      <w:bookmarkEnd w:id="156"/>
      <w:bookmarkStart w:id="157" w:name="_Toc184312079"/>
      <w:bookmarkEnd w:id="157"/>
      <w:bookmarkStart w:id="158" w:name="_Toc184312103"/>
      <w:bookmarkEnd w:id="158"/>
      <w:bookmarkStart w:id="159" w:name="_Toc184313288"/>
      <w:bookmarkEnd w:id="159"/>
      <w:bookmarkStart w:id="160" w:name="_Toc184313292"/>
      <w:bookmarkEnd w:id="160"/>
      <w:bookmarkStart w:id="161" w:name="_Toc184314434"/>
      <w:bookmarkEnd w:id="161"/>
      <w:bookmarkStart w:id="162" w:name="_Toc184310277"/>
      <w:bookmarkEnd w:id="162"/>
      <w:bookmarkStart w:id="163" w:name="_Toc184308058"/>
      <w:bookmarkEnd w:id="163"/>
      <w:bookmarkStart w:id="164" w:name="_Toc184308094"/>
      <w:bookmarkEnd w:id="164"/>
      <w:bookmarkStart w:id="165" w:name="_Toc184312080"/>
      <w:bookmarkEnd w:id="165"/>
      <w:bookmarkStart w:id="166" w:name="_Toc184312084"/>
      <w:bookmarkEnd w:id="166"/>
      <w:bookmarkStart w:id="167" w:name="_Toc184308045"/>
      <w:bookmarkEnd w:id="167"/>
      <w:bookmarkStart w:id="168" w:name="_Toc184312070"/>
      <w:bookmarkEnd w:id="168"/>
      <w:bookmarkStart w:id="169" w:name="_Toc184308069"/>
      <w:bookmarkEnd w:id="169"/>
      <w:bookmarkStart w:id="170" w:name="_Toc184310316"/>
      <w:bookmarkEnd w:id="170"/>
      <w:bookmarkStart w:id="171" w:name="_Toc184313280"/>
      <w:bookmarkEnd w:id="171"/>
      <w:bookmarkStart w:id="172" w:name="_Toc184312090"/>
      <w:bookmarkEnd w:id="172"/>
      <w:bookmarkStart w:id="173" w:name="_Toc184308088"/>
      <w:bookmarkEnd w:id="173"/>
      <w:bookmarkStart w:id="174" w:name="_Toc184314471"/>
      <w:bookmarkEnd w:id="174"/>
      <w:bookmarkStart w:id="175" w:name="_Toc184312106"/>
      <w:bookmarkEnd w:id="175"/>
      <w:bookmarkStart w:id="176" w:name="_Toc184314450"/>
      <w:bookmarkEnd w:id="176"/>
      <w:bookmarkStart w:id="177" w:name="_Toc184312133"/>
      <w:bookmarkEnd w:id="177"/>
      <w:bookmarkStart w:id="178" w:name="_Toc184308046"/>
      <w:bookmarkEnd w:id="178"/>
      <w:bookmarkStart w:id="179" w:name="_Toc184314476"/>
      <w:bookmarkEnd w:id="179"/>
      <w:bookmarkStart w:id="180" w:name="_Toc184310314"/>
      <w:bookmarkEnd w:id="180"/>
      <w:bookmarkStart w:id="181" w:name="_Toc184308049"/>
      <w:bookmarkEnd w:id="181"/>
      <w:bookmarkStart w:id="182" w:name="_Toc184313281"/>
      <w:bookmarkEnd w:id="182"/>
      <w:bookmarkStart w:id="183" w:name="_Toc184312082"/>
      <w:bookmarkEnd w:id="183"/>
      <w:bookmarkStart w:id="184" w:name="_Toc184313283"/>
      <w:bookmarkEnd w:id="184"/>
      <w:bookmarkStart w:id="185" w:name="_Toc184312116"/>
      <w:bookmarkEnd w:id="185"/>
      <w:bookmarkStart w:id="186" w:name="_Toc184310306"/>
      <w:bookmarkEnd w:id="186"/>
      <w:bookmarkStart w:id="187" w:name="_Toc184313256"/>
      <w:bookmarkEnd w:id="187"/>
      <w:bookmarkStart w:id="188" w:name="_Toc184313270"/>
      <w:bookmarkEnd w:id="188"/>
      <w:bookmarkStart w:id="189" w:name="_Toc184308104"/>
      <w:bookmarkEnd w:id="189"/>
      <w:bookmarkStart w:id="190" w:name="_Toc184313278"/>
      <w:bookmarkEnd w:id="190"/>
      <w:bookmarkStart w:id="191" w:name="_Toc184312110"/>
      <w:bookmarkEnd w:id="191"/>
      <w:bookmarkStart w:id="192" w:name="_Toc184310288"/>
      <w:bookmarkEnd w:id="192"/>
      <w:bookmarkStart w:id="193" w:name="_Toc184314440"/>
      <w:bookmarkEnd w:id="193"/>
      <w:bookmarkStart w:id="194" w:name="_Toc184310273"/>
      <w:bookmarkEnd w:id="194"/>
      <w:bookmarkStart w:id="195" w:name="_Toc184308080"/>
      <w:bookmarkEnd w:id="195"/>
      <w:bookmarkStart w:id="196" w:name="_Toc184308074"/>
      <w:bookmarkEnd w:id="196"/>
      <w:bookmarkStart w:id="197" w:name="_Toc184313296"/>
      <w:bookmarkEnd w:id="197"/>
      <w:bookmarkStart w:id="198" w:name="_Toc184308075"/>
      <w:bookmarkEnd w:id="198"/>
      <w:bookmarkStart w:id="199" w:name="_Toc184310292"/>
      <w:bookmarkEnd w:id="199"/>
      <w:bookmarkStart w:id="200" w:name="_Toc184310327"/>
      <w:bookmarkEnd w:id="200"/>
      <w:bookmarkStart w:id="201" w:name="_Toc184313263"/>
      <w:bookmarkEnd w:id="201"/>
      <w:bookmarkStart w:id="202" w:name="_Toc184310339"/>
      <w:bookmarkEnd w:id="202"/>
      <w:bookmarkStart w:id="203" w:name="_Toc184314448"/>
      <w:bookmarkEnd w:id="203"/>
      <w:bookmarkStart w:id="204" w:name="_Toc184314468"/>
      <w:bookmarkEnd w:id="204"/>
      <w:bookmarkStart w:id="205" w:name="_Toc184312139"/>
      <w:bookmarkEnd w:id="205"/>
      <w:bookmarkStart w:id="206" w:name="_Toc184312119"/>
      <w:bookmarkEnd w:id="206"/>
      <w:bookmarkStart w:id="207" w:name="_Toc184310336"/>
      <w:bookmarkEnd w:id="207"/>
      <w:bookmarkStart w:id="208" w:name="_Toc184308105"/>
      <w:bookmarkEnd w:id="208"/>
      <w:bookmarkStart w:id="209" w:name="_Toc184314427"/>
      <w:bookmarkEnd w:id="209"/>
      <w:bookmarkStart w:id="210" w:name="_Toc184313305"/>
      <w:bookmarkEnd w:id="210"/>
      <w:bookmarkStart w:id="211" w:name="_Toc184313247"/>
      <w:bookmarkEnd w:id="211"/>
      <w:bookmarkStart w:id="212" w:name="_Toc184313275"/>
      <w:bookmarkEnd w:id="212"/>
      <w:bookmarkStart w:id="213" w:name="_Toc184313243"/>
      <w:bookmarkEnd w:id="213"/>
      <w:bookmarkStart w:id="214" w:name="_Toc184312099"/>
      <w:bookmarkEnd w:id="214"/>
      <w:bookmarkStart w:id="215" w:name="_Toc184313301"/>
      <w:bookmarkEnd w:id="215"/>
      <w:bookmarkStart w:id="216" w:name="_Toc184308057"/>
      <w:bookmarkEnd w:id="216"/>
      <w:bookmarkStart w:id="217" w:name="_Toc184313302"/>
      <w:bookmarkEnd w:id="217"/>
      <w:bookmarkStart w:id="218" w:name="_Toc184312134"/>
      <w:bookmarkEnd w:id="218"/>
      <w:bookmarkStart w:id="219" w:name="_Toc184314416"/>
      <w:bookmarkEnd w:id="219"/>
      <w:bookmarkStart w:id="220" w:name="_Toc184312120"/>
      <w:bookmarkEnd w:id="220"/>
      <w:bookmarkStart w:id="221" w:name="_Toc184312131"/>
      <w:bookmarkEnd w:id="221"/>
      <w:bookmarkStart w:id="222" w:name="_Toc184308047"/>
      <w:bookmarkEnd w:id="222"/>
      <w:bookmarkStart w:id="223" w:name="_Toc184312111"/>
      <w:bookmarkEnd w:id="223"/>
      <w:bookmarkStart w:id="224" w:name="_Toc184308100"/>
      <w:bookmarkEnd w:id="224"/>
      <w:bookmarkStart w:id="225" w:name="_Toc184310335"/>
      <w:bookmarkEnd w:id="225"/>
      <w:bookmarkStart w:id="226" w:name="_Toc184312108"/>
      <w:bookmarkEnd w:id="226"/>
      <w:bookmarkStart w:id="227" w:name="_Toc184310320"/>
      <w:bookmarkEnd w:id="227"/>
      <w:bookmarkStart w:id="228" w:name="_Toc184310282"/>
      <w:bookmarkEnd w:id="228"/>
      <w:bookmarkStart w:id="229" w:name="_Toc184308044"/>
      <w:bookmarkEnd w:id="229"/>
      <w:bookmarkStart w:id="230" w:name="_Toc184313245"/>
      <w:bookmarkEnd w:id="230"/>
      <w:bookmarkStart w:id="231" w:name="_Toc184312101"/>
      <w:bookmarkEnd w:id="231"/>
      <w:bookmarkStart w:id="232" w:name="_Toc184312135"/>
      <w:bookmarkEnd w:id="232"/>
      <w:bookmarkStart w:id="233" w:name="_Toc184310281"/>
      <w:bookmarkEnd w:id="233"/>
      <w:bookmarkStart w:id="234" w:name="_Toc184313249"/>
      <w:bookmarkEnd w:id="234"/>
      <w:bookmarkStart w:id="235" w:name="_Toc184308054"/>
      <w:bookmarkEnd w:id="235"/>
      <w:bookmarkStart w:id="236" w:name="_Toc184310318"/>
      <w:bookmarkEnd w:id="236"/>
      <w:bookmarkStart w:id="237" w:name="_Toc184310344"/>
      <w:bookmarkEnd w:id="237"/>
      <w:bookmarkStart w:id="238" w:name="_Toc184310324"/>
      <w:bookmarkEnd w:id="238"/>
      <w:bookmarkStart w:id="239" w:name="_Toc184312067"/>
      <w:bookmarkEnd w:id="239"/>
      <w:bookmarkStart w:id="240" w:name="_Toc184310338"/>
      <w:bookmarkEnd w:id="240"/>
      <w:bookmarkStart w:id="241" w:name="_Toc184310278"/>
      <w:bookmarkEnd w:id="241"/>
      <w:bookmarkStart w:id="242" w:name="_Toc184314447"/>
      <w:bookmarkEnd w:id="242"/>
      <w:bookmarkStart w:id="243" w:name="_Toc184312078"/>
      <w:bookmarkEnd w:id="243"/>
      <w:bookmarkStart w:id="244" w:name="_Toc184313248"/>
      <w:bookmarkEnd w:id="244"/>
      <w:bookmarkStart w:id="245" w:name="_Toc184314459"/>
      <w:bookmarkEnd w:id="245"/>
      <w:bookmarkStart w:id="246" w:name="_Toc184314438"/>
      <w:bookmarkEnd w:id="246"/>
      <w:bookmarkStart w:id="247" w:name="_Toc184310332"/>
      <w:bookmarkEnd w:id="247"/>
      <w:bookmarkStart w:id="248" w:name="_Toc184310328"/>
      <w:bookmarkEnd w:id="248"/>
      <w:bookmarkStart w:id="249" w:name="_Toc184308073"/>
      <w:bookmarkEnd w:id="249"/>
      <w:bookmarkStart w:id="250" w:name="_Toc184314457"/>
      <w:bookmarkEnd w:id="250"/>
      <w:bookmarkStart w:id="251" w:name="_Toc184312088"/>
      <w:bookmarkEnd w:id="251"/>
      <w:bookmarkStart w:id="252" w:name="_Toc184314441"/>
      <w:bookmarkEnd w:id="252"/>
      <w:bookmarkStart w:id="253" w:name="_Toc184308096"/>
      <w:bookmarkEnd w:id="253"/>
      <w:bookmarkStart w:id="254" w:name="_Toc184310337"/>
      <w:bookmarkEnd w:id="254"/>
      <w:bookmarkStart w:id="255" w:name="_Toc184312121"/>
      <w:bookmarkEnd w:id="255"/>
      <w:bookmarkStart w:id="256" w:name="_Toc184310279"/>
      <w:bookmarkEnd w:id="256"/>
      <w:bookmarkStart w:id="257" w:name="_Toc184312086"/>
      <w:bookmarkEnd w:id="257"/>
      <w:bookmarkStart w:id="258" w:name="_Toc184314414"/>
      <w:bookmarkEnd w:id="258"/>
      <w:bookmarkStart w:id="259" w:name="_Toc184310299"/>
      <w:bookmarkEnd w:id="259"/>
      <w:bookmarkStart w:id="260" w:name="_Toc184312115"/>
      <w:bookmarkEnd w:id="260"/>
      <w:bookmarkStart w:id="261" w:name="_Toc184310287"/>
      <w:bookmarkEnd w:id="261"/>
      <w:bookmarkStart w:id="262" w:name="_Toc184310315"/>
      <w:bookmarkEnd w:id="262"/>
      <w:bookmarkStart w:id="263" w:name="_Toc184308048"/>
      <w:bookmarkEnd w:id="263"/>
      <w:bookmarkStart w:id="264" w:name="_Toc184314467"/>
      <w:bookmarkEnd w:id="264"/>
      <w:bookmarkStart w:id="265" w:name="_Toc184308102"/>
      <w:bookmarkEnd w:id="265"/>
      <w:bookmarkStart w:id="266" w:name="_Toc184313240"/>
      <w:bookmarkEnd w:id="266"/>
      <w:bookmarkStart w:id="267" w:name="_Toc184310289"/>
      <w:bookmarkEnd w:id="267"/>
      <w:bookmarkStart w:id="268" w:name="_Toc184312087"/>
      <w:bookmarkEnd w:id="268"/>
      <w:bookmarkStart w:id="269" w:name="_Toc184313299"/>
      <w:bookmarkEnd w:id="269"/>
      <w:bookmarkStart w:id="270" w:name="_Toc184314458"/>
      <w:bookmarkEnd w:id="270"/>
      <w:bookmarkStart w:id="271" w:name="_Toc184310313"/>
      <w:bookmarkEnd w:id="271"/>
      <w:bookmarkStart w:id="272" w:name="_Toc184310291"/>
      <w:bookmarkEnd w:id="272"/>
      <w:bookmarkStart w:id="273" w:name="_Toc184313251"/>
      <w:bookmarkEnd w:id="273"/>
      <w:bookmarkStart w:id="274" w:name="_Toc184314456"/>
      <w:bookmarkEnd w:id="274"/>
      <w:bookmarkStart w:id="275" w:name="_Toc184313257"/>
      <w:bookmarkEnd w:id="275"/>
      <w:bookmarkStart w:id="276" w:name="_Toc184313255"/>
      <w:bookmarkEnd w:id="276"/>
      <w:bookmarkStart w:id="277" w:name="_Toc184308099"/>
      <w:bookmarkEnd w:id="277"/>
      <w:bookmarkStart w:id="278" w:name="_Toc184310300"/>
      <w:bookmarkEnd w:id="278"/>
      <w:bookmarkStart w:id="279" w:name="_Toc184310285"/>
      <w:bookmarkEnd w:id="279"/>
      <w:bookmarkStart w:id="280" w:name="_Toc184313304"/>
      <w:bookmarkEnd w:id="280"/>
      <w:bookmarkStart w:id="281" w:name="_Toc184308037"/>
      <w:bookmarkEnd w:id="281"/>
      <w:bookmarkStart w:id="282" w:name="_Toc184313260"/>
      <w:bookmarkEnd w:id="282"/>
      <w:bookmarkStart w:id="283" w:name="_Toc184312122"/>
      <w:bookmarkEnd w:id="283"/>
      <w:bookmarkStart w:id="284" w:name="_Toc184312126"/>
      <w:bookmarkEnd w:id="284"/>
      <w:bookmarkStart w:id="285" w:name="_Toc184314412"/>
      <w:bookmarkEnd w:id="285"/>
      <w:bookmarkStart w:id="286" w:name="_Toc184312072"/>
      <w:bookmarkEnd w:id="286"/>
      <w:bookmarkStart w:id="287" w:name="_Toc184312113"/>
      <w:bookmarkEnd w:id="287"/>
      <w:bookmarkStart w:id="288" w:name="_Toc184312089"/>
      <w:bookmarkEnd w:id="288"/>
      <w:bookmarkStart w:id="289" w:name="_Toc184314452"/>
      <w:bookmarkEnd w:id="289"/>
      <w:bookmarkStart w:id="290" w:name="_Toc184313244"/>
      <w:bookmarkEnd w:id="290"/>
      <w:bookmarkStart w:id="291" w:name="_Toc184314462"/>
      <w:bookmarkEnd w:id="291"/>
      <w:bookmarkStart w:id="292" w:name="_Toc184312095"/>
      <w:bookmarkEnd w:id="292"/>
      <w:bookmarkStart w:id="293" w:name="_Toc184308043"/>
      <w:bookmarkEnd w:id="293"/>
      <w:bookmarkStart w:id="294" w:name="_Toc184314453"/>
      <w:bookmarkEnd w:id="294"/>
      <w:bookmarkStart w:id="295" w:name="_Toc184313293"/>
      <w:bookmarkEnd w:id="295"/>
      <w:bookmarkStart w:id="296" w:name="_Toc184314465"/>
      <w:bookmarkEnd w:id="296"/>
      <w:bookmarkStart w:id="297" w:name="_Toc184308063"/>
      <w:bookmarkEnd w:id="297"/>
      <w:bookmarkStart w:id="298" w:name="_Toc184313267"/>
      <w:bookmarkEnd w:id="298"/>
      <w:bookmarkStart w:id="299" w:name="_Toc184314415"/>
      <w:bookmarkEnd w:id="299"/>
      <w:bookmarkStart w:id="300" w:name="_Toc184312130"/>
      <w:bookmarkEnd w:id="300"/>
      <w:bookmarkStart w:id="301" w:name="_Toc184308052"/>
      <w:bookmarkEnd w:id="301"/>
      <w:bookmarkStart w:id="302" w:name="_Toc184310280"/>
      <w:bookmarkEnd w:id="302"/>
      <w:bookmarkStart w:id="303" w:name="_Toc184308095"/>
      <w:bookmarkEnd w:id="303"/>
      <w:bookmarkStart w:id="304" w:name="_Toc184314418"/>
      <w:bookmarkEnd w:id="304"/>
      <w:bookmarkStart w:id="305" w:name="_Toc184313250"/>
      <w:bookmarkEnd w:id="305"/>
      <w:bookmarkStart w:id="306" w:name="_Toc184312068"/>
      <w:bookmarkEnd w:id="306"/>
      <w:bookmarkStart w:id="307" w:name="_Toc184314413"/>
      <w:bookmarkEnd w:id="307"/>
      <w:bookmarkStart w:id="308" w:name="_Toc184313242"/>
      <w:bookmarkEnd w:id="308"/>
      <w:bookmarkStart w:id="309" w:name="_Toc184313310"/>
      <w:bookmarkEnd w:id="309"/>
      <w:bookmarkStart w:id="310" w:name="_Toc184308066"/>
      <w:bookmarkEnd w:id="310"/>
      <w:bookmarkStart w:id="311" w:name="_Toc184310322"/>
      <w:bookmarkEnd w:id="311"/>
      <w:bookmarkStart w:id="312" w:name="_Toc184312094"/>
      <w:bookmarkEnd w:id="312"/>
      <w:bookmarkStart w:id="313" w:name="_Toc184314422"/>
      <w:bookmarkEnd w:id="313"/>
      <w:bookmarkStart w:id="314" w:name="_Toc184312083"/>
      <w:bookmarkEnd w:id="314"/>
      <w:bookmarkStart w:id="315" w:name="_Toc184308041"/>
      <w:bookmarkEnd w:id="315"/>
      <w:bookmarkStart w:id="316" w:name="_Toc184310319"/>
      <w:bookmarkEnd w:id="316"/>
      <w:bookmarkStart w:id="317" w:name="_Toc184308106"/>
      <w:bookmarkEnd w:id="317"/>
      <w:bookmarkStart w:id="318" w:name="_Toc184314464"/>
      <w:bookmarkEnd w:id="318"/>
      <w:bookmarkStart w:id="319" w:name="_Toc184313307"/>
      <w:bookmarkEnd w:id="319"/>
      <w:bookmarkStart w:id="320" w:name="_Toc184312097"/>
      <w:bookmarkEnd w:id="320"/>
      <w:bookmarkStart w:id="321" w:name="_Toc184312077"/>
      <w:bookmarkEnd w:id="321"/>
      <w:bookmarkStart w:id="322" w:name="_Toc184310330"/>
      <w:bookmarkEnd w:id="322"/>
      <w:bookmarkStart w:id="323" w:name="_Toc184308064"/>
      <w:bookmarkEnd w:id="323"/>
      <w:bookmarkStart w:id="324" w:name="_Toc184312075"/>
      <w:bookmarkEnd w:id="324"/>
      <w:bookmarkStart w:id="325" w:name="_Toc184310309"/>
      <w:bookmarkEnd w:id="325"/>
      <w:bookmarkStart w:id="326" w:name="_Toc184313273"/>
      <w:bookmarkEnd w:id="326"/>
      <w:bookmarkStart w:id="327" w:name="_Toc184314472"/>
      <w:bookmarkEnd w:id="327"/>
      <w:bookmarkStart w:id="328" w:name="_Toc184308084"/>
      <w:bookmarkEnd w:id="328"/>
      <w:bookmarkStart w:id="329" w:name="_Toc184312105"/>
      <w:bookmarkEnd w:id="329"/>
      <w:bookmarkStart w:id="330" w:name="_Toc184310274"/>
      <w:bookmarkEnd w:id="330"/>
      <w:bookmarkStart w:id="331" w:name="_Toc184310275"/>
      <w:bookmarkEnd w:id="331"/>
      <w:bookmarkStart w:id="332" w:name="_Toc184310307"/>
      <w:bookmarkEnd w:id="332"/>
      <w:bookmarkStart w:id="333" w:name="_Toc184314482"/>
      <w:bookmarkEnd w:id="333"/>
      <w:bookmarkStart w:id="334" w:name="_Toc184310301"/>
      <w:bookmarkEnd w:id="334"/>
      <w:bookmarkStart w:id="335" w:name="_Toc184312128"/>
      <w:bookmarkEnd w:id="335"/>
      <w:bookmarkStart w:id="336" w:name="_Toc184308086"/>
      <w:bookmarkEnd w:id="336"/>
      <w:bookmarkStart w:id="337" w:name="_Toc184308091"/>
      <w:bookmarkEnd w:id="337"/>
      <w:bookmarkStart w:id="338" w:name="_Toc184310308"/>
      <w:bookmarkEnd w:id="338"/>
      <w:bookmarkStart w:id="339" w:name="_Toc184312137"/>
      <w:bookmarkEnd w:id="339"/>
      <w:bookmarkStart w:id="340" w:name="_Toc184312092"/>
      <w:bookmarkEnd w:id="340"/>
      <w:bookmarkStart w:id="341" w:name="_Toc184313291"/>
      <w:bookmarkEnd w:id="341"/>
      <w:bookmarkStart w:id="342" w:name="_Toc184314432"/>
      <w:bookmarkEnd w:id="342"/>
      <w:bookmarkStart w:id="343" w:name="_Toc184310317"/>
      <w:bookmarkEnd w:id="343"/>
      <w:bookmarkStart w:id="344" w:name="_Toc184312129"/>
      <w:bookmarkEnd w:id="344"/>
      <w:bookmarkStart w:id="345" w:name="_Toc184313241"/>
      <w:bookmarkEnd w:id="345"/>
      <w:bookmarkStart w:id="346" w:name="_Toc184312112"/>
      <w:bookmarkEnd w:id="346"/>
      <w:bookmarkStart w:id="347" w:name="_Toc184313262"/>
      <w:bookmarkEnd w:id="347"/>
      <w:bookmarkStart w:id="348" w:name="_Toc184312096"/>
      <w:bookmarkEnd w:id="348"/>
      <w:bookmarkStart w:id="349" w:name="_Toc184314461"/>
      <w:bookmarkEnd w:id="349"/>
      <w:bookmarkStart w:id="350" w:name="_Toc184308103"/>
      <w:bookmarkEnd w:id="350"/>
      <w:bookmarkStart w:id="351" w:name="_Toc184312124"/>
      <w:bookmarkEnd w:id="351"/>
      <w:bookmarkStart w:id="352" w:name="_Toc184310343"/>
      <w:bookmarkEnd w:id="352"/>
      <w:bookmarkStart w:id="353" w:name="_Toc184310297"/>
      <w:bookmarkEnd w:id="353"/>
      <w:bookmarkStart w:id="354" w:name="_Toc184314449"/>
      <w:bookmarkEnd w:id="354"/>
      <w:bookmarkStart w:id="355" w:name="_Toc184313258"/>
      <w:bookmarkEnd w:id="355"/>
      <w:bookmarkStart w:id="356" w:name="_Toc184314433"/>
      <w:bookmarkEnd w:id="356"/>
      <w:bookmarkStart w:id="357" w:name="_Toc184313289"/>
      <w:bookmarkEnd w:id="357"/>
      <w:bookmarkStart w:id="358" w:name="_Toc184314431"/>
      <w:bookmarkEnd w:id="358"/>
      <w:bookmarkStart w:id="359" w:name="_Toc184312069"/>
      <w:bookmarkEnd w:id="359"/>
      <w:bookmarkStart w:id="360" w:name="_Toc184313261"/>
      <w:bookmarkEnd w:id="360"/>
      <w:bookmarkStart w:id="361" w:name="_Toc184308059"/>
      <w:bookmarkEnd w:id="361"/>
      <w:bookmarkStart w:id="362" w:name="_Toc184310283"/>
      <w:bookmarkEnd w:id="362"/>
      <w:bookmarkStart w:id="363" w:name="_Toc184314435"/>
      <w:bookmarkEnd w:id="363"/>
      <w:bookmarkStart w:id="364" w:name="_Toc184308108"/>
      <w:bookmarkEnd w:id="364"/>
      <w:bookmarkStart w:id="365" w:name="_Toc184314454"/>
      <w:bookmarkEnd w:id="365"/>
      <w:bookmarkStart w:id="366" w:name="_Toc184314420"/>
      <w:bookmarkEnd w:id="366"/>
      <w:bookmarkStart w:id="367" w:name="_Toc184314466"/>
      <w:bookmarkEnd w:id="367"/>
      <w:bookmarkStart w:id="368" w:name="_Toc184313298"/>
      <w:bookmarkEnd w:id="368"/>
      <w:bookmarkStart w:id="369" w:name="_Toc184314481"/>
      <w:bookmarkEnd w:id="369"/>
      <w:bookmarkStart w:id="370" w:name="_Toc184314437"/>
      <w:bookmarkEnd w:id="370"/>
      <w:bookmarkStart w:id="371" w:name="_Toc184312100"/>
      <w:bookmarkEnd w:id="371"/>
      <w:bookmarkStart w:id="372" w:name="_Toc184313282"/>
      <w:bookmarkEnd w:id="372"/>
      <w:bookmarkStart w:id="373" w:name="_Toc184314470"/>
      <w:bookmarkEnd w:id="373"/>
      <w:bookmarkStart w:id="374" w:name="_Toc184308036"/>
      <w:bookmarkEnd w:id="374"/>
      <w:bookmarkStart w:id="375" w:name="_Toc184308107"/>
      <w:bookmarkEnd w:id="375"/>
      <w:bookmarkStart w:id="376" w:name="_Toc184308062"/>
      <w:bookmarkEnd w:id="376"/>
      <w:bookmarkStart w:id="377" w:name="_Toc184313279"/>
      <w:bookmarkEnd w:id="377"/>
      <w:bookmarkStart w:id="378" w:name="_Toc184314451"/>
      <w:bookmarkEnd w:id="378"/>
      <w:bookmarkStart w:id="379" w:name="_Toc184312073"/>
      <w:bookmarkEnd w:id="379"/>
      <w:bookmarkStart w:id="380" w:name="_Toc184308051"/>
      <w:bookmarkEnd w:id="380"/>
      <w:bookmarkStart w:id="381" w:name="_Toc184313295"/>
      <w:bookmarkEnd w:id="381"/>
      <w:bookmarkStart w:id="382" w:name="_Toc184308040"/>
      <w:bookmarkEnd w:id="382"/>
      <w:bookmarkStart w:id="383" w:name="_Toc184314473"/>
      <w:bookmarkEnd w:id="383"/>
      <w:bookmarkStart w:id="384" w:name="_Toc184308060"/>
      <w:bookmarkEnd w:id="384"/>
      <w:bookmarkStart w:id="385" w:name="_Toc184313259"/>
      <w:bookmarkEnd w:id="385"/>
      <w:bookmarkStart w:id="386" w:name="_Toc184308082"/>
      <w:bookmarkEnd w:id="386"/>
      <w:bookmarkStart w:id="387" w:name="_Toc184312107"/>
      <w:bookmarkEnd w:id="387"/>
      <w:bookmarkStart w:id="388" w:name="_Toc184312098"/>
      <w:bookmarkEnd w:id="388"/>
      <w:bookmarkStart w:id="389" w:name="_Toc184313254"/>
      <w:bookmarkEnd w:id="389"/>
      <w:bookmarkStart w:id="390" w:name="_Toc184308090"/>
      <w:bookmarkEnd w:id="390"/>
      <w:bookmarkStart w:id="391" w:name="_Toc184314419"/>
      <w:bookmarkEnd w:id="391"/>
      <w:bookmarkStart w:id="392" w:name="_Toc184314479"/>
      <w:bookmarkEnd w:id="392"/>
      <w:r>
        <w:rPr>
          <w:rFonts w:hint="eastAsia" w:ascii="仿宋_GB2312" w:hAnsi="仿宋" w:eastAsia="仿宋_GB2312" w:cs="仿宋_GB2312"/>
          <w:b/>
          <w:sz w:val="36"/>
          <w:szCs w:val="36"/>
        </w:rPr>
        <w:t>评标方法及评分标准</w:t>
      </w:r>
    </w:p>
    <w:p>
      <w:pPr>
        <w:adjustRightInd w:val="0"/>
        <w:snapToGrid w:val="0"/>
        <w:spacing w:line="360" w:lineRule="auto"/>
        <w:ind w:firstLine="3052" w:firstLineChars="950"/>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1.综合评分法。</w:t>
      </w:r>
      <w:r>
        <w:rPr>
          <w:rFonts w:hint="eastAsia" w:ascii="仿宋_GB2312" w:hAnsi="仿宋" w:eastAsia="仿宋_GB2312" w:cs="Arial"/>
          <w:kern w:val="0"/>
          <w:sz w:val="24"/>
          <w:szCs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szCs w:val="24"/>
        </w:rPr>
      </w:pPr>
    </w:p>
    <w:p>
      <w:pPr>
        <w:adjustRightInd w:val="0"/>
        <w:snapToGrid w:val="0"/>
        <w:spacing w:line="360" w:lineRule="auto"/>
        <w:ind w:left="120" w:leftChars="57" w:firstLine="422" w:firstLineChars="150"/>
        <w:jc w:val="center"/>
        <w:rPr>
          <w:rFonts w:ascii="仿宋_GB2312" w:hAnsi="仿宋" w:eastAsia="仿宋_GB2312" w:cs="仿宋_GB2312"/>
          <w:b/>
          <w:sz w:val="32"/>
          <w:szCs w:val="24"/>
        </w:rPr>
      </w:pPr>
      <w:r>
        <w:rPr>
          <w:rFonts w:hint="eastAsia" w:ascii="仿宋_GB2312" w:hAnsi="仿宋" w:eastAsia="仿宋_GB2312" w:cs="Times New Roman"/>
          <w:b/>
          <w:sz w:val="28"/>
          <w:szCs w:val="28"/>
        </w:rPr>
        <w:t xml:space="preserve">   </w:t>
      </w:r>
      <w:r>
        <w:rPr>
          <w:rFonts w:hint="eastAsia" w:ascii="仿宋_GB2312" w:hAnsi="仿宋" w:eastAsia="仿宋_GB2312" w:cs="仿宋_GB2312"/>
          <w:b/>
          <w:sz w:val="32"/>
          <w:szCs w:val="24"/>
        </w:rPr>
        <w:t>二、评标委员会的组成</w:t>
      </w:r>
    </w:p>
    <w:p>
      <w:pPr>
        <w:adjustRightInd w:val="0"/>
        <w:snapToGri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2.评标委员会的组成。</w:t>
      </w:r>
      <w:r>
        <w:rPr>
          <w:rFonts w:hint="eastAsia" w:ascii="仿宋_GB2312" w:hAnsi="仿宋" w:eastAsia="仿宋_GB2312" w:cs="Arial"/>
          <w:kern w:val="0"/>
          <w:sz w:val="24"/>
          <w:szCs w:val="24"/>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rPr>
        <w:t>3.评</w:t>
      </w:r>
      <w:r>
        <w:rPr>
          <w:rFonts w:hint="eastAsia" w:ascii="仿宋_GB2312" w:hAnsi="仿宋" w:eastAsia="仿宋_GB2312" w:cs="Arial"/>
          <w:b/>
          <w:kern w:val="0"/>
          <w:sz w:val="24"/>
          <w:szCs w:val="24"/>
        </w:rPr>
        <w:t>标委员会的组成人员的回避。</w:t>
      </w:r>
      <w:r>
        <w:rPr>
          <w:rFonts w:hint="eastAsia" w:ascii="仿宋_GB2312" w:hAnsi="仿宋" w:eastAsia="仿宋_GB2312" w:cs="Arial"/>
          <w:kern w:val="0"/>
          <w:sz w:val="24"/>
        </w:rPr>
        <w:t>在政府采购活动中，评标委员会的组成人员与供应商有下列利害关系之一的，应当回避：</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3.1参加采购活动前3年内与供应商存在劳动关系；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3.2参加采购活动前3年内担任供应商的董事、监事；</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3.3参加采购活动前3年内是供应商的控股股东或者实际控制人；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3.4与供应商的法定代表人或者负责人有夫妻、直系血亲、三代以内旁系血亲或者近姻亲关系；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　</w:t>
      </w:r>
      <w:r>
        <w:rPr>
          <w:rFonts w:hint="eastAsia" w:ascii="仿宋_GB2312" w:hAnsi="仿宋" w:eastAsia="仿宋_GB2312" w:cs="仿宋_GB2312"/>
          <w:b/>
          <w:sz w:val="32"/>
          <w:szCs w:val="24"/>
        </w:rPr>
        <w:t>　三、评标委员会的职责</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4.评标委员会负责具体评标事务，并独立履行下列职责：</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4.1审查、评价投标文件是否符合招标文件的商务、技术等实质性要求；</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4.2要求投标人对投标文件有关事项作出澄清或者说明；</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4.3对投标文件进行比较和评价；</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4.4确定中标候选人名单，以及根据采购人委托直接确定中标人；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4.5向采购人、采购机构或者有关部门报告评标中发现的违法行为；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4.6法律、法规、规章、招标文件等规定的其它事项。</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5.评标委员会及其成员不得有下列行为：</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5.1确定参与评标至评标结束前私自接触投标人；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5.3违反评标纪律发表倾向性意见或者征询采购人的倾向性意见；</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5.4对需要专业判断的主观评审因素协商评分；</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5.5在评标过程中擅离职守，影响评标程序正常进行的；</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5.6记录、复制或者带走任何评标资料；</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5.7其他不遵守评标纪律的行为。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评标委员会成员有5.1-5.</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行为之一的，其评审意见无效，并不得获取评审劳务报酬和报销异地评审差旅费。</w:t>
      </w:r>
    </w:p>
    <w:p>
      <w:pPr>
        <w:adjustRightInd w:val="0"/>
        <w:spacing w:line="360" w:lineRule="auto"/>
        <w:rPr>
          <w:rFonts w:ascii="仿宋_GB2312" w:hAnsi="仿宋" w:eastAsia="仿宋_GB2312" w:cs="Arial"/>
          <w:kern w:val="0"/>
          <w:sz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四、评审程序</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 xml:space="preserve">6.符合性审查。 </w:t>
      </w:r>
      <w:r>
        <w:rPr>
          <w:rFonts w:hint="eastAsia" w:ascii="仿宋_GB2312" w:hAnsi="仿宋" w:eastAsia="仿宋_GB2312" w:cs="Arial"/>
          <w:kern w:val="0"/>
          <w:sz w:val="24"/>
          <w:szCs w:val="24"/>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kern w:val="0"/>
          <w:sz w:val="24"/>
          <w:szCs w:val="24"/>
        </w:rPr>
      </w:pPr>
      <w:r>
        <w:rPr>
          <w:rFonts w:hint="eastAsia" w:ascii="仿宋_GB2312" w:hAnsi="仿宋" w:eastAsia="仿宋_GB2312" w:cs="Arial"/>
          <w:b/>
          <w:kern w:val="0"/>
          <w:sz w:val="24"/>
          <w:szCs w:val="24"/>
        </w:rPr>
        <w:t>7.投标人澄清、说明或者补正。</w:t>
      </w:r>
    </w:p>
    <w:p>
      <w:pPr>
        <w:adjustRightInd w:val="0"/>
        <w:spacing w:line="360" w:lineRule="auto"/>
        <w:rPr>
          <w:rFonts w:hint="eastAsia" w:ascii="仿宋_GB2312" w:hAnsi="仿宋" w:eastAsia="仿宋_GB2312" w:cs="Arial"/>
          <w:kern w:val="0"/>
          <w:sz w:val="24"/>
          <w:szCs w:val="24"/>
        </w:rPr>
      </w:pPr>
      <w:r>
        <w:rPr>
          <w:rFonts w:hint="eastAsia" w:ascii="仿宋_GB2312" w:hAnsi="仿宋" w:eastAsia="仿宋_GB2312" w:cs="Arial"/>
          <w:b/>
          <w:kern w:val="0"/>
          <w:sz w:val="24"/>
          <w:szCs w:val="24"/>
          <w:lang w:val="en-US" w:eastAsia="zh-CN"/>
        </w:rPr>
        <w:t>7.1</w:t>
      </w:r>
      <w:r>
        <w:rPr>
          <w:rFonts w:hint="eastAsia" w:ascii="仿宋_GB2312" w:hAnsi="仿宋" w:eastAsia="仿宋_GB2312"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hint="default" w:ascii="仿宋_GB2312" w:hAnsi="仿宋" w:eastAsia="仿宋_GB2312" w:cs="Arial"/>
          <w:b/>
          <w:bCs/>
          <w:kern w:val="0"/>
          <w:sz w:val="24"/>
          <w:szCs w:val="24"/>
          <w:lang w:val="en-US" w:eastAsia="zh-CN"/>
        </w:rPr>
      </w:pPr>
      <w:r>
        <w:rPr>
          <w:rFonts w:hint="eastAsia" w:ascii="仿宋_GB2312" w:hAnsi="仿宋" w:eastAsia="仿宋_GB2312" w:cs="Arial"/>
          <w:b/>
          <w:bCs/>
          <w:kern w:val="0"/>
          <w:sz w:val="24"/>
          <w:szCs w:val="24"/>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8. 比较与评价。</w:t>
      </w:r>
      <w:r>
        <w:rPr>
          <w:rFonts w:hint="eastAsia" w:ascii="仿宋_GB2312" w:hAnsi="仿宋" w:eastAsia="仿宋_GB2312" w:cs="Arial"/>
          <w:kern w:val="0"/>
          <w:sz w:val="24"/>
          <w:szCs w:val="24"/>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9. 汇总（商务技术得分情况）。</w:t>
      </w:r>
      <w:r>
        <w:rPr>
          <w:rFonts w:hint="eastAsia" w:ascii="仿宋_GB2312" w:hAnsi="仿宋" w:eastAsia="仿宋_GB2312" w:cs="Arial"/>
          <w:kern w:val="0"/>
          <w:sz w:val="24"/>
          <w:szCs w:val="24"/>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10. 报价审核。</w:t>
      </w:r>
      <w:r>
        <w:rPr>
          <w:rFonts w:hint="eastAsia" w:ascii="仿宋_GB2312" w:hAnsi="仿宋" w:eastAsia="仿宋_GB2312" w:cs="Arial"/>
          <w:kern w:val="0"/>
          <w:sz w:val="24"/>
          <w:szCs w:val="24"/>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10.2根据财政部发布的《政府采购促进中小企业发展管理办法》规定，</w:t>
      </w:r>
      <w:r>
        <w:rPr>
          <w:rFonts w:ascii="仿宋_GB2312" w:hAnsi="仿宋" w:eastAsia="仿宋_GB2312" w:cs="Arial"/>
          <w:kern w:val="0"/>
          <w:sz w:val="24"/>
          <w:szCs w:val="24"/>
        </w:rPr>
        <w:t>对于经主管预算单位统筹后未预留份额专门面向中小企业采购的采购项目，以及预留份额项目中的非预留部分采购包，</w:t>
      </w:r>
      <w:r>
        <w:rPr>
          <w:rFonts w:hint="eastAsia" w:ascii="仿宋_GB2312" w:hAnsi="仿宋" w:eastAsia="仿宋_GB2312" w:cs="Arial"/>
          <w:kern w:val="0"/>
          <w:sz w:val="24"/>
          <w:szCs w:val="24"/>
        </w:rPr>
        <w:t>对小微企业报价给予一定的扣除，用扣除后的价格参与评审。</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10.3.2大写金额和小写金额不一致的，以大写金额为准;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sz w:val="24"/>
          <w:szCs w:val="24"/>
        </w:rPr>
      </w:pPr>
      <w:r>
        <w:rPr>
          <w:rFonts w:hint="eastAsia" w:ascii="仿宋_GB2312" w:hAnsi="仿宋" w:eastAsia="仿宋_GB2312" w:cs="仿宋_GB2312"/>
          <w:bCs/>
          <w:sz w:val="24"/>
          <w:szCs w:val="24"/>
        </w:rPr>
        <w:t>▲</w:t>
      </w:r>
      <w:r>
        <w:rPr>
          <w:rFonts w:hint="eastAsia" w:ascii="仿宋_GB2312" w:hAnsi="仿宋" w:eastAsia="仿宋_GB2312" w:cs="仿宋_GB2312"/>
          <w:b/>
          <w:bCs/>
          <w:sz w:val="24"/>
          <w:szCs w:val="24"/>
        </w:rPr>
        <w:t>投标人对根据修正原则修正后的报价不确认的，投标无效。</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11.汇总得分。</w:t>
      </w:r>
      <w:r>
        <w:rPr>
          <w:rFonts w:hint="eastAsia" w:ascii="仿宋_GB2312" w:hAnsi="仿宋" w:eastAsia="仿宋_GB2312" w:cs="Arial"/>
          <w:kern w:val="0"/>
          <w:sz w:val="24"/>
          <w:szCs w:val="24"/>
        </w:rPr>
        <w:t>评标委员会各成员应当独立对每个投标人的投标文件进行评价，并汇总每个投标人的得分。</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12.顺序排列与中标候选推荐。</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sz w:val="24"/>
          <w:szCs w:val="21"/>
        </w:rPr>
      </w:pPr>
      <w:r>
        <w:rPr>
          <w:rFonts w:hint="eastAsia" w:ascii="仿宋_GB2312" w:hAnsi="仿宋" w:eastAsia="仿宋_GB2312" w:cs="仿宋_GB2312"/>
          <w:b/>
          <w:sz w:val="24"/>
          <w:szCs w:val="21"/>
        </w:rPr>
        <w:t>13.投标无效。有下列情况之一的，投标无效：</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1"/>
        </w:rPr>
        <w:t>13.2为采购项目提供整体设计、规范编制或者项目管理、监理、检测等服务的供应商再参加该采购项</w:t>
      </w:r>
      <w:r>
        <w:rPr>
          <w:rFonts w:hint="eastAsia" w:ascii="仿宋_GB2312" w:hAnsi="仿宋" w:eastAsia="仿宋_GB2312" w:cs="仿宋_GB2312"/>
          <w:sz w:val="24"/>
          <w:szCs w:val="24"/>
        </w:rPr>
        <w:t xml:space="preserve">目的其他采购活动的；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13.3</w:t>
      </w:r>
      <w:r>
        <w:rPr>
          <w:rFonts w:hint="eastAsia" w:ascii="仿宋_GB2312" w:hAnsi="仿宋" w:eastAsia="仿宋_GB2312" w:cs="仿宋_GB2312"/>
          <w:sz w:val="24"/>
          <w:szCs w:val="24"/>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13.4</w:t>
      </w:r>
      <w:r>
        <w:rPr>
          <w:rFonts w:hint="eastAsia" w:ascii="仿宋_GB2312" w:hAnsi="仿宋" w:eastAsia="仿宋_GB2312" w:cs="仿宋_GB2312"/>
          <w:sz w:val="24"/>
          <w:szCs w:val="24"/>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13.5</w:t>
      </w:r>
      <w:r>
        <w:rPr>
          <w:rFonts w:hint="eastAsia" w:ascii="仿宋_GB2312" w:hAnsi="仿宋" w:eastAsia="仿宋_GB2312" w:cs="仿宋_GB2312"/>
          <w:sz w:val="24"/>
          <w:szCs w:val="24"/>
        </w:rPr>
        <w:t>投标文件未按规定的格式编制的；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13.6</w:t>
      </w:r>
      <w:r>
        <w:rPr>
          <w:rFonts w:hint="eastAsia" w:ascii="仿宋_GB2312" w:hAnsi="仿宋" w:eastAsia="仿宋_GB2312" w:cs="仿宋_GB2312"/>
          <w:sz w:val="24"/>
          <w:szCs w:val="24"/>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13.7</w:t>
      </w:r>
      <w:r>
        <w:rPr>
          <w:rFonts w:hint="eastAsia" w:ascii="仿宋_GB2312" w:hAnsi="仿宋" w:eastAsia="仿宋_GB2312" w:cs="仿宋_GB2312"/>
          <w:sz w:val="24"/>
          <w:szCs w:val="24"/>
        </w:rPr>
        <w:t>投标文件组成漏项，内容不全或内容字迹模糊辨认不清的；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13.8</w:t>
      </w:r>
      <w:r>
        <w:rPr>
          <w:rFonts w:hint="eastAsia" w:ascii="仿宋_GB2312" w:hAnsi="仿宋" w:eastAsia="仿宋_GB2312" w:cs="仿宋_GB2312"/>
          <w:sz w:val="24"/>
          <w:szCs w:val="24"/>
        </w:rPr>
        <w:t>投标文件中法人授权书所载内容与本项目内容有异的；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13.9</w:t>
      </w:r>
      <w:r>
        <w:rPr>
          <w:rFonts w:hint="eastAsia" w:ascii="仿宋_GB2312" w:hAnsi="仿宋" w:eastAsia="仿宋_GB2312" w:cs="仿宋_GB2312"/>
          <w:sz w:val="24"/>
          <w:szCs w:val="24"/>
        </w:rPr>
        <w:t>投标文件未按照招标文件要求签署、盖章的；</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13.10</w:t>
      </w:r>
      <w:r>
        <w:rPr>
          <w:rFonts w:hint="eastAsia" w:ascii="仿宋_GB2312" w:hAnsi="仿宋" w:eastAsia="仿宋_GB2312" w:cs="仿宋_GB2312"/>
          <w:sz w:val="24"/>
          <w:szCs w:val="24"/>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13.11</w:t>
      </w:r>
      <w:r>
        <w:rPr>
          <w:rFonts w:hint="eastAsia" w:ascii="仿宋_GB2312" w:hAnsi="仿宋" w:eastAsia="仿宋_GB2312" w:cs="仿宋_GB2312"/>
          <w:sz w:val="24"/>
          <w:szCs w:val="24"/>
        </w:rPr>
        <w:t>投标文件含有采购人不能接受的附加条件的；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13.12</w:t>
      </w:r>
      <w:r>
        <w:rPr>
          <w:rFonts w:hint="eastAsia" w:ascii="仿宋_GB2312" w:hAnsi="仿宋" w:eastAsia="仿宋_GB2312" w:cs="仿宋_GB2312"/>
          <w:sz w:val="24"/>
          <w:szCs w:val="24"/>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13.13</w:t>
      </w:r>
      <w:r>
        <w:rPr>
          <w:rFonts w:hint="eastAsia" w:ascii="仿宋_GB2312" w:hAnsi="仿宋" w:eastAsia="仿宋_GB2312" w:cs="仿宋_GB2312"/>
          <w:sz w:val="24"/>
          <w:szCs w:val="24"/>
        </w:rPr>
        <w:t>投标人所投内容不符合采购需求中实质性要求的；</w:t>
      </w:r>
    </w:p>
    <w:p>
      <w:pPr>
        <w:adjustRightInd w:val="0"/>
        <w:snapToGrid w:val="0"/>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13.14</w:t>
      </w:r>
      <w:r>
        <w:rPr>
          <w:rFonts w:hint="eastAsia" w:ascii="仿宋_GB2312" w:hAnsi="仿宋" w:eastAsia="仿宋_GB2312" w:cs="仿宋_GB2312"/>
          <w:sz w:val="24"/>
          <w:szCs w:val="24"/>
        </w:rPr>
        <w:t>投标文件出现不是唯一的、有选择性投标报价的;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13.15</w:t>
      </w:r>
      <w:r>
        <w:rPr>
          <w:rFonts w:hint="eastAsia" w:ascii="仿宋_GB2312" w:hAnsi="仿宋" w:eastAsia="仿宋_GB2312" w:cs="仿宋_GB2312"/>
          <w:sz w:val="24"/>
          <w:szCs w:val="24"/>
        </w:rPr>
        <w:t>投标报价高于本项目采购预算或者最高限价的;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13.16</w:t>
      </w:r>
      <w:r>
        <w:rPr>
          <w:rFonts w:hint="eastAsia" w:ascii="仿宋_GB2312" w:hAnsi="仿宋" w:eastAsia="仿宋_GB2312" w:cs="仿宋_GB2312"/>
          <w:sz w:val="24"/>
          <w:szCs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13.17</w:t>
      </w:r>
      <w:r>
        <w:rPr>
          <w:rFonts w:hint="eastAsia" w:ascii="仿宋_GB2312" w:hAnsi="仿宋" w:eastAsia="仿宋_GB2312" w:cs="仿宋_GB2312"/>
          <w:sz w:val="24"/>
          <w:szCs w:val="24"/>
        </w:rPr>
        <w:t>《投标（开标）一览表》填写不完整或字迹不能辨认或有漏项的；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13.18</w:t>
      </w:r>
      <w:r>
        <w:rPr>
          <w:rFonts w:hint="eastAsia" w:ascii="仿宋_GB2312" w:hAnsi="仿宋" w:eastAsia="仿宋_GB2312" w:cs="仿宋_GB2312"/>
          <w:sz w:val="24"/>
          <w:szCs w:val="24"/>
        </w:rPr>
        <w:t>投标人对根据修正原则修正后的报价不确认的；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13.19</w:t>
      </w:r>
      <w:r>
        <w:rPr>
          <w:rFonts w:hint="eastAsia" w:ascii="仿宋_GB2312" w:hAnsi="仿宋" w:eastAsia="仿宋_GB2312" w:cs="仿宋_GB2312"/>
          <w:sz w:val="24"/>
          <w:szCs w:val="24"/>
        </w:rPr>
        <w:t>投标人提供虚假材料投标的（包括但不限于以下情节）；</w:t>
      </w:r>
    </w:p>
    <w:p>
      <w:pPr>
        <w:adjustRightInd w:val="0"/>
        <w:spacing w:line="360" w:lineRule="auto"/>
        <w:ind w:firstLine="720" w:firstLineChars="300"/>
        <w:rPr>
          <w:rFonts w:ascii="仿宋_GB2312" w:hAnsi="仿宋" w:eastAsia="仿宋_GB2312" w:cs="仿宋_GB2312"/>
          <w:sz w:val="24"/>
          <w:szCs w:val="24"/>
        </w:rPr>
      </w:pPr>
      <w:r>
        <w:rPr>
          <w:rFonts w:hint="eastAsia" w:ascii="仿宋_GB2312" w:hAnsi="仿宋" w:eastAsia="仿宋_GB2312" w:cs="Times New Roman"/>
          <w:sz w:val="24"/>
          <w:szCs w:val="24"/>
        </w:rPr>
        <w:t>13.19.1</w:t>
      </w:r>
      <w:r>
        <w:rPr>
          <w:rFonts w:hint="eastAsia" w:ascii="仿宋_GB2312" w:hAnsi="仿宋" w:eastAsia="仿宋_GB2312" w:cs="仿宋_GB2312"/>
          <w:sz w:val="24"/>
          <w:szCs w:val="24"/>
        </w:rPr>
        <w:t>使用伪造、变造的许可证件；</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13.19.2</w:t>
      </w:r>
      <w:r>
        <w:rPr>
          <w:rFonts w:hint="eastAsia" w:ascii="仿宋_GB2312" w:hAnsi="仿宋" w:eastAsia="仿宋_GB2312" w:cs="仿宋_GB2312"/>
          <w:sz w:val="24"/>
          <w:szCs w:val="24"/>
        </w:rPr>
        <w:t>提供虚假的财务状况或者业绩；</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13.19.3</w:t>
      </w:r>
      <w:r>
        <w:rPr>
          <w:rFonts w:hint="eastAsia" w:ascii="仿宋_GB2312" w:hAnsi="仿宋" w:eastAsia="仿宋_GB2312" w:cs="仿宋_GB2312"/>
          <w:sz w:val="24"/>
          <w:szCs w:val="24"/>
        </w:rPr>
        <w:t>提供虚假的项目负责人或者主要技术人员简历、劳动关系证明；</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13.19.4</w:t>
      </w:r>
      <w:r>
        <w:rPr>
          <w:rFonts w:hint="eastAsia" w:ascii="仿宋_GB2312" w:hAnsi="仿宋" w:eastAsia="仿宋_GB2312" w:cs="仿宋_GB2312"/>
          <w:sz w:val="24"/>
          <w:szCs w:val="24"/>
        </w:rPr>
        <w:t>提供虚假的信用状况；</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13.19.5</w:t>
      </w:r>
      <w:r>
        <w:rPr>
          <w:rFonts w:hint="eastAsia" w:ascii="仿宋_GB2312" w:hAnsi="仿宋" w:eastAsia="仿宋_GB2312" w:cs="仿宋_GB2312"/>
          <w:sz w:val="24"/>
          <w:szCs w:val="24"/>
        </w:rPr>
        <w:t>其他弄虚作假的行为。</w:t>
      </w:r>
      <w:r>
        <w:rPr>
          <w:rFonts w:hint="eastAsia" w:ascii="仿宋_GB2312" w:hAnsi="仿宋" w:eastAsia="仿宋_GB2312" w:cs="仿宋_GB2312"/>
          <w:sz w:val="24"/>
          <w:szCs w:val="24"/>
        </w:rPr>
        <w:br w:type="textWrapping"/>
      </w:r>
      <w:r>
        <w:rPr>
          <w:rFonts w:hint="eastAsia" w:ascii="仿宋_GB2312" w:hAnsi="仿宋" w:eastAsia="仿宋_GB2312" w:cs="Times New Roman"/>
          <w:sz w:val="24"/>
          <w:szCs w:val="24"/>
        </w:rPr>
        <w:t xml:space="preserve">    13.20</w:t>
      </w:r>
      <w:r>
        <w:rPr>
          <w:rFonts w:hint="eastAsia" w:ascii="仿宋_GB2312" w:hAnsi="仿宋" w:eastAsia="仿宋_GB2312" w:cs="仿宋_GB2312"/>
          <w:sz w:val="24"/>
          <w:szCs w:val="24"/>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w:t>
      </w:r>
      <w:r>
        <w:rPr>
          <w:rFonts w:hint="eastAsia" w:ascii="仿宋_GB2312" w:hAnsi="仿宋" w:eastAsia="仿宋_GB2312" w:cs="仿宋_GB2312"/>
          <w:sz w:val="24"/>
          <w:szCs w:val="24"/>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13.20.2</w:t>
      </w:r>
      <w:r>
        <w:rPr>
          <w:rFonts w:hint="eastAsia" w:ascii="仿宋_GB2312" w:hAnsi="仿宋" w:eastAsia="仿宋_GB2312" w:cs="仿宋_GB2312"/>
          <w:sz w:val="24"/>
          <w:szCs w:val="24"/>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13.20.3</w:t>
      </w:r>
      <w:r>
        <w:rPr>
          <w:rFonts w:hint="eastAsia" w:ascii="仿宋_GB2312" w:hAnsi="仿宋" w:eastAsia="仿宋_GB2312" w:cs="仿宋_GB2312"/>
          <w:sz w:val="24"/>
          <w:szCs w:val="24"/>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13.20.4</w:t>
      </w:r>
      <w:r>
        <w:rPr>
          <w:rFonts w:hint="eastAsia" w:ascii="仿宋_GB2312" w:hAnsi="仿宋" w:eastAsia="仿宋_GB2312" w:cs="仿宋_GB2312"/>
          <w:sz w:val="24"/>
          <w:szCs w:val="24"/>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13.20.5</w:t>
      </w:r>
      <w:r>
        <w:rPr>
          <w:rFonts w:hint="eastAsia" w:ascii="仿宋_GB2312" w:hAnsi="仿宋" w:eastAsia="仿宋_GB2312" w:cs="仿宋_GB2312"/>
          <w:sz w:val="24"/>
          <w:szCs w:val="24"/>
        </w:rPr>
        <w:t>供应商之间事先约定由某一特定供应商中标、成交；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13.20.6</w:t>
      </w:r>
      <w:r>
        <w:rPr>
          <w:rFonts w:hint="eastAsia" w:ascii="仿宋_GB2312" w:hAnsi="仿宋" w:eastAsia="仿宋_GB2312" w:cs="仿宋_GB2312"/>
          <w:sz w:val="24"/>
          <w:szCs w:val="24"/>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13.20.7</w:t>
      </w:r>
      <w:r>
        <w:rPr>
          <w:rFonts w:hint="eastAsia" w:ascii="仿宋_GB2312" w:hAnsi="仿宋" w:eastAsia="仿宋_GB2312" w:cs="仿宋_GB2312"/>
          <w:sz w:val="24"/>
          <w:szCs w:val="24"/>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13.20.8</w:t>
      </w:r>
      <w:r>
        <w:rPr>
          <w:rFonts w:hint="eastAsia" w:ascii="仿宋_GB2312" w:hAnsi="仿宋" w:eastAsia="仿宋_GB2312" w:cs="仿宋_GB2312"/>
          <w:sz w:val="24"/>
          <w:szCs w:val="24"/>
        </w:rPr>
        <w:t>不同投标人的投标文件由同一单位或者个人编制；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13.20.9</w:t>
      </w:r>
      <w:r>
        <w:rPr>
          <w:rFonts w:hint="eastAsia" w:ascii="仿宋_GB2312" w:hAnsi="仿宋" w:eastAsia="仿宋_GB2312" w:cs="仿宋_GB2312"/>
          <w:sz w:val="24"/>
          <w:szCs w:val="24"/>
        </w:rPr>
        <w:t>不同投标人委托同一单位或者个人办理投标事宜；</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13.20.10</w:t>
      </w:r>
      <w:r>
        <w:rPr>
          <w:rFonts w:hint="eastAsia" w:ascii="仿宋_GB2312" w:hAnsi="仿宋" w:eastAsia="仿宋_GB2312" w:cs="仿宋_GB2312"/>
          <w:sz w:val="24"/>
          <w:szCs w:val="24"/>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13.20.11</w:t>
      </w:r>
      <w:r>
        <w:rPr>
          <w:rFonts w:hint="eastAsia" w:ascii="仿宋_GB2312" w:hAnsi="仿宋" w:eastAsia="仿宋_GB2312" w:cs="仿宋_GB2312"/>
          <w:sz w:val="24"/>
          <w:szCs w:val="24"/>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13.20.12</w:t>
      </w:r>
      <w:r>
        <w:rPr>
          <w:rFonts w:hint="eastAsia" w:ascii="仿宋_GB2312" w:hAnsi="仿宋" w:eastAsia="仿宋_GB2312" w:cs="仿宋_GB2312"/>
          <w:sz w:val="24"/>
          <w:szCs w:val="24"/>
        </w:rPr>
        <w:t>不同投标人的投标文件相互混装；</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13.21</w:t>
      </w:r>
      <w:r>
        <w:rPr>
          <w:rFonts w:hint="eastAsia" w:ascii="仿宋_GB2312" w:hAnsi="仿宋" w:eastAsia="仿宋_GB2312" w:cs="仿宋_GB2312"/>
          <w:sz w:val="24"/>
          <w:szCs w:val="24"/>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13.22</w:t>
      </w:r>
      <w:r>
        <w:rPr>
          <w:rFonts w:hint="eastAsia" w:ascii="仿宋_GB2312" w:hAnsi="仿宋" w:eastAsia="仿宋_GB2312" w:cs="仿宋_GB2312"/>
          <w:sz w:val="24"/>
          <w:szCs w:val="24"/>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sz w:val="24"/>
          <w:szCs w:val="21"/>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 xml:space="preserve">五、评标报告。 </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14. 评标报告与推荐中标候选人。</w:t>
      </w:r>
      <w:r>
        <w:rPr>
          <w:rFonts w:hint="eastAsia" w:ascii="仿宋_GB2312" w:hAnsi="仿宋" w:eastAsia="仿宋_GB2312" w:cs="仿宋_GB2312"/>
          <w:sz w:val="24"/>
          <w:szCs w:val="24"/>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sz w:val="24"/>
          <w:szCs w:val="24"/>
        </w:rPr>
      </w:pPr>
      <w:r>
        <w:rPr>
          <w:rFonts w:hint="eastAsia" w:ascii="仿宋_GB2312" w:hAnsi="仿宋" w:eastAsia="仿宋_GB2312" w:cs="仿宋_GB2312"/>
          <w:b/>
          <w:sz w:val="24"/>
          <w:szCs w:val="24"/>
        </w:rPr>
        <w:t>15. 评标争议事项处理。</w:t>
      </w:r>
      <w:r>
        <w:rPr>
          <w:rFonts w:hint="eastAsia" w:ascii="仿宋_GB2312" w:hAnsi="仿宋" w:eastAsia="仿宋_GB2312"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kern w:val="0"/>
          <w:sz w:val="24"/>
          <w:szCs w:val="24"/>
        </w:rPr>
      </w:pPr>
      <w:r>
        <w:rPr>
          <w:rFonts w:hint="eastAsia" w:ascii="仿宋_GB2312" w:hAnsi="仿宋" w:eastAsia="仿宋_GB2312" w:cs="仿宋_GB2312"/>
          <w:sz w:val="24"/>
          <w:szCs w:val="24"/>
        </w:rPr>
        <w:t xml:space="preserve">                    </w:t>
      </w:r>
    </w:p>
    <w:p>
      <w:pPr>
        <w:widowControl/>
        <w:spacing w:before="100" w:beforeAutospacing="1" w:after="100" w:afterAutospacing="1" w:line="360" w:lineRule="auto"/>
        <w:jc w:val="center"/>
        <w:rPr>
          <w:rFonts w:ascii="仿宋_GB2312" w:hAnsi="仿宋" w:eastAsia="仿宋_GB2312" w:cs="仿宋_GB2312"/>
          <w:b/>
          <w:sz w:val="32"/>
          <w:szCs w:val="24"/>
        </w:rPr>
      </w:pPr>
      <w:r>
        <w:rPr>
          <w:rFonts w:hint="eastAsia" w:ascii="仿宋_GB2312" w:hAnsi="仿宋" w:eastAsia="仿宋_GB2312" w:cs="仿宋_GB2312"/>
          <w:b/>
          <w:sz w:val="32"/>
          <w:szCs w:val="24"/>
        </w:rPr>
        <w:t>六、 废标</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16.废标。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16.4因重大变故，采购任务取消的。</w:t>
      </w:r>
    </w:p>
    <w:p>
      <w:pPr>
        <w:adjustRightInd w:val="0"/>
        <w:snapToGrid w:val="0"/>
        <w:spacing w:after="120" w:line="360" w:lineRule="auto"/>
        <w:ind w:left="420" w:left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 重新组织采购</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17.修改招标文件，重新组织采购活动。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sz w:val="24"/>
          <w:szCs w:val="24"/>
        </w:rPr>
      </w:pPr>
      <w:r>
        <w:rPr>
          <w:rFonts w:hint="eastAsia" w:ascii="仿宋_GB2312" w:hAnsi="Helvetica" w:eastAsia="仿宋_GB2312" w:cs="Helvetica"/>
          <w:b/>
          <w:kern w:val="0"/>
          <w:sz w:val="24"/>
          <w:szCs w:val="24"/>
        </w:rPr>
        <w:t>18.重新开展采购。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八、评审过程的保密与录像</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19.保密。</w:t>
      </w:r>
      <w:r>
        <w:rPr>
          <w:rFonts w:hint="eastAsia" w:ascii="仿宋_GB2312" w:hAnsi="仿宋" w:eastAsia="仿宋_GB2312" w:cs="仿宋_GB2312"/>
          <w:sz w:val="24"/>
          <w:szCs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20.录音录像。</w:t>
      </w:r>
      <w:r>
        <w:rPr>
          <w:rFonts w:hint="eastAsia" w:ascii="仿宋_GB2312" w:hAnsi="仿宋" w:eastAsia="仿宋_GB2312" w:cs="仿宋_GB2312"/>
          <w:sz w:val="24"/>
          <w:szCs w:val="24"/>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九、具体评标标准</w:t>
      </w:r>
    </w:p>
    <w:p>
      <w:pPr>
        <w:autoSpaceDE w:val="0"/>
        <w:autoSpaceDN w:val="0"/>
        <w:adjustRightInd w:val="0"/>
        <w:spacing w:line="46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一、本项目采用综合评分法</w:t>
      </w:r>
      <w:r>
        <w:rPr>
          <w:rFonts w:hint="eastAsia" w:ascii="仿宋_GB2312" w:hAnsi="宋体" w:eastAsia="仿宋_GB2312" w:cs="Times New Roman"/>
          <w:sz w:val="24"/>
          <w:szCs w:val="24"/>
        </w:rPr>
        <w:t>，评标委员会将对各投标人的投标报价、</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sz w:val="24"/>
          <w:szCs w:val="21"/>
        </w:rPr>
        <w:t>得分且投标报价相同的并列</w:t>
      </w:r>
      <w:r>
        <w:rPr>
          <w:rFonts w:hint="eastAsia" w:ascii="仿宋_GB2312" w:hAnsi="宋体" w:eastAsia="仿宋_GB2312" w:cs="Times New Roman"/>
          <w:sz w:val="24"/>
          <w:szCs w:val="24"/>
        </w:rPr>
        <w:t xml:space="preserve">，并形成评标意见。 </w:t>
      </w:r>
    </w:p>
    <w:p>
      <w:pPr>
        <w:adjustRightInd w:val="0"/>
        <w:spacing w:line="460" w:lineRule="exact"/>
        <w:ind w:left="105" w:leftChars="50" w:firstLine="427" w:firstLineChars="178"/>
        <w:rPr>
          <w:rFonts w:ascii="仿宋_GB2312" w:hAnsi="宋体" w:eastAsia="仿宋_GB2312" w:cs="Times New Roman"/>
          <w:b/>
          <w:sz w:val="24"/>
          <w:szCs w:val="24"/>
        </w:rPr>
      </w:pPr>
      <w:r>
        <w:rPr>
          <w:rFonts w:hint="eastAsia" w:ascii="仿宋_GB2312" w:hAnsi="宋体" w:eastAsia="仿宋_GB2312" w:cs="Times New Roman"/>
          <w:sz w:val="24"/>
          <w:szCs w:val="24"/>
        </w:rPr>
        <w:t>各投标人的综合得分为：投标价格得分+</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得分+投标人的资质和业绩情况得分之和，</w:t>
      </w:r>
      <w:r>
        <w:rPr>
          <w:rFonts w:hint="eastAsia" w:ascii="仿宋_GB2312" w:hAnsi="宋体" w:eastAsia="仿宋_GB2312" w:cs="Times New Roman"/>
          <w:b/>
          <w:sz w:val="24"/>
          <w:szCs w:val="24"/>
        </w:rPr>
        <w:t>总和为</w:t>
      </w:r>
      <w:r>
        <w:rPr>
          <w:rFonts w:hint="eastAsia" w:ascii="仿宋_GB2312" w:hAnsi="宋体" w:eastAsia="仿宋_GB2312" w:cs="Times New Roman"/>
          <w:b/>
          <w:sz w:val="24"/>
          <w:szCs w:val="24"/>
          <w:u w:val="single"/>
        </w:rPr>
        <w:t>100</w:t>
      </w:r>
      <w:r>
        <w:rPr>
          <w:rFonts w:hint="eastAsia" w:ascii="仿宋_GB2312" w:hAnsi="宋体" w:eastAsia="仿宋_GB2312" w:cs="Times New Roman"/>
          <w:b/>
          <w:sz w:val="24"/>
          <w:szCs w:val="24"/>
        </w:rPr>
        <w:t>分</w:t>
      </w:r>
      <w:r>
        <w:rPr>
          <w:rFonts w:hint="eastAsia" w:ascii="仿宋_GB2312" w:hAnsi="宋体" w:eastAsia="仿宋_GB2312" w:cs="Times New Roman"/>
          <w:sz w:val="24"/>
          <w:szCs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63</w:t>
      </w:r>
      <w:r>
        <w:rPr>
          <w:rFonts w:hint="eastAsia" w:ascii="仿宋_GB2312" w:hAnsi="仿宋" w:eastAsia="仿宋_GB2312" w:cs="Times New Roman"/>
          <w:b/>
          <w:sz w:val="24"/>
          <w:szCs w:val="24"/>
        </w:rPr>
        <w:t>分，投标人的资质和业绩情况得分</w:t>
      </w:r>
      <w:r>
        <w:rPr>
          <w:rFonts w:hint="eastAsia" w:ascii="仿宋_GB2312" w:hAnsi="仿宋" w:eastAsia="仿宋_GB2312" w:cs="Times New Roman"/>
          <w:b/>
          <w:sz w:val="24"/>
          <w:szCs w:val="24"/>
          <w:u w:val="single"/>
          <w:lang w:val="en-US" w:eastAsia="zh-CN"/>
        </w:rPr>
        <w:t>7</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adjustRightInd w:val="0"/>
        <w:spacing w:line="460" w:lineRule="exact"/>
        <w:ind w:firstLine="542" w:firstLineChars="225"/>
        <w:rPr>
          <w:rFonts w:ascii="仿宋_GB2312" w:hAnsi="宋体" w:eastAsia="仿宋_GB2312" w:cs="Times New Roman"/>
          <w:sz w:val="24"/>
          <w:szCs w:val="24"/>
        </w:rPr>
      </w:pPr>
      <w:r>
        <w:rPr>
          <w:rFonts w:hint="eastAsia" w:ascii="仿宋_GB2312" w:hAnsi="宋体" w:eastAsia="仿宋_GB2312" w:cs="Times New Roman"/>
          <w:b/>
          <w:sz w:val="24"/>
          <w:szCs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szCs w:val="24"/>
        </w:rPr>
        <w:t>公式由采购机构计算，</w:t>
      </w:r>
      <w:r>
        <w:rPr>
          <w:rFonts w:hint="eastAsia" w:ascii="仿宋_GB2312" w:hAnsi="宋体" w:eastAsia="仿宋_GB2312" w:cs="Times New Roman"/>
          <w:b/>
          <w:sz w:val="24"/>
          <w:szCs w:val="24"/>
        </w:rPr>
        <w:t>评标委员会审核。</w:t>
      </w:r>
      <w:r>
        <w:rPr>
          <w:rFonts w:hint="eastAsia" w:ascii="仿宋_GB2312" w:hAnsi="宋体" w:eastAsia="仿宋_GB2312" w:cs="Times New Roman"/>
          <w:sz w:val="24"/>
          <w:szCs w:val="24"/>
        </w:rPr>
        <w:t>根据上述评标原则，分值安排如下：</w:t>
      </w:r>
    </w:p>
    <w:p>
      <w:pPr>
        <w:shd w:val="clear"/>
        <w:adjustRightInd w:val="0"/>
        <w:spacing w:line="460" w:lineRule="exact"/>
        <w:ind w:firstLine="482" w:firstLineChars="200"/>
        <w:rPr>
          <w:rFonts w:ascii="仿宋_GB2312" w:hAnsi="宋体" w:eastAsia="仿宋_GB2312" w:cs="Times New Roman"/>
          <w:b/>
          <w:color w:val="auto"/>
          <w:sz w:val="24"/>
          <w:szCs w:val="24"/>
          <w:highlight w:val="none"/>
        </w:rPr>
      </w:pPr>
      <w:r>
        <w:rPr>
          <w:rFonts w:hint="eastAsia" w:ascii="仿宋_GB2312" w:hAnsi="宋体" w:eastAsia="仿宋_GB2312" w:cs="Times New Roman"/>
          <w:b/>
          <w:sz w:val="24"/>
          <w:szCs w:val="24"/>
        </w:rPr>
        <w:t>A、投标价格</w:t>
      </w:r>
      <w:r>
        <w:rPr>
          <w:rFonts w:hint="eastAsia" w:ascii="仿宋_GB2312" w:hAnsi="宋体" w:eastAsia="仿宋_GB2312" w:cs="Times New Roman"/>
          <w:b/>
          <w:color w:val="auto"/>
          <w:sz w:val="24"/>
          <w:szCs w:val="24"/>
          <w:highlight w:val="none"/>
        </w:rPr>
        <w:t>（A=</w:t>
      </w:r>
      <w:r>
        <w:rPr>
          <w:rFonts w:hint="eastAsia" w:ascii="仿宋_GB2312" w:hAnsi="宋体" w:eastAsia="仿宋_GB2312" w:cs="Times New Roman"/>
          <w:b/>
          <w:color w:val="auto"/>
          <w:sz w:val="24"/>
          <w:szCs w:val="24"/>
          <w:highlight w:val="none"/>
          <w:u w:val="single"/>
        </w:rPr>
        <w:t xml:space="preserve"> </w:t>
      </w:r>
      <w:r>
        <w:rPr>
          <w:rFonts w:hint="eastAsia" w:ascii="仿宋_GB2312" w:hAnsi="宋体" w:eastAsia="仿宋_GB2312" w:cs="Times New Roman"/>
          <w:b/>
          <w:color w:val="auto"/>
          <w:sz w:val="24"/>
          <w:szCs w:val="24"/>
          <w:highlight w:val="none"/>
          <w:u w:val="single"/>
          <w:lang w:val="en-US" w:eastAsia="zh-CN"/>
        </w:rPr>
        <w:t>30</w:t>
      </w:r>
      <w:r>
        <w:rPr>
          <w:rFonts w:hint="eastAsia" w:ascii="仿宋_GB2312" w:hAnsi="宋体" w:eastAsia="仿宋_GB2312" w:cs="Times New Roman"/>
          <w:b/>
          <w:color w:val="auto"/>
          <w:sz w:val="24"/>
          <w:szCs w:val="24"/>
          <w:highlight w:val="none"/>
        </w:rPr>
        <w:t>分）：</w:t>
      </w:r>
    </w:p>
    <w:p>
      <w:pPr>
        <w:shd w:val="clear"/>
        <w:adjustRightInd w:val="0"/>
        <w:spacing w:line="360" w:lineRule="auto"/>
        <w:ind w:firstLine="482" w:firstLineChars="200"/>
        <w:rPr>
          <w:rFonts w:ascii="仿宋_GB2312" w:hAnsi="仿宋" w:eastAsia="仿宋_GB2312" w:cs="仿宋_GB2312"/>
          <w:color w:val="auto"/>
          <w:sz w:val="24"/>
          <w:szCs w:val="24"/>
          <w:highlight w:val="none"/>
        </w:rPr>
      </w:pPr>
      <w:r>
        <w:rPr>
          <w:rFonts w:hint="eastAsia" w:ascii="仿宋_GB2312" w:hAnsi="宋体" w:eastAsia="仿宋_GB2312" w:cs="仿宋_GB2312"/>
          <w:b/>
          <w:bCs/>
          <w:color w:val="auto"/>
          <w:sz w:val="24"/>
          <w:szCs w:val="24"/>
          <w:highlight w:val="none"/>
          <w:lang w:val="zh-CN"/>
        </w:rPr>
        <w:t>报价的合理性：</w:t>
      </w:r>
      <w:r>
        <w:rPr>
          <w:rFonts w:hint="eastAsia" w:ascii="仿宋_GB2312" w:hAnsi="宋体" w:eastAsia="仿宋_GB2312" w:cs="Times New Roman"/>
          <w:color w:val="auto"/>
          <w:sz w:val="24"/>
          <w:szCs w:val="24"/>
          <w:highlight w:val="none"/>
        </w:rPr>
        <w:t>评标委员会认为投标人的</w:t>
      </w:r>
      <w:r>
        <w:rPr>
          <w:rFonts w:hint="eastAsia" w:ascii="仿宋_GB2312" w:hAnsi="仿宋" w:eastAsia="仿宋_GB2312" w:cs="仿宋_GB2312"/>
          <w:color w:val="auto"/>
          <w:sz w:val="24"/>
          <w:szCs w:val="24"/>
          <w:highlight w:val="none"/>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shd w:val="clear"/>
        <w:adjustRightInd w:val="0"/>
        <w:spacing w:line="4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color w:val="auto"/>
          <w:sz w:val="24"/>
          <w:szCs w:val="24"/>
          <w:highlight w:val="none"/>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lang w:val="zh-CN"/>
        </w:rPr>
        <w:t xml:space="preserve"> </w:t>
      </w:r>
      <w:r>
        <w:rPr>
          <w:rFonts w:hint="eastAsia" w:ascii="仿宋_GB2312" w:hAnsi="宋体" w:eastAsia="仿宋_GB2312" w:cs="仿宋_GB2312"/>
          <w:color w:val="auto"/>
          <w:sz w:val="24"/>
          <w:szCs w:val="24"/>
          <w:highlight w:val="none"/>
          <w:u w:val="single"/>
          <w:lang w:val="en-US" w:eastAsia="zh-CN"/>
        </w:rPr>
        <w:t>30</w:t>
      </w:r>
      <w:r>
        <w:rPr>
          <w:rFonts w:hint="eastAsia" w:ascii="仿宋_GB2312" w:hAnsi="宋体" w:eastAsia="仿宋_GB2312" w:cs="仿宋_GB2312"/>
          <w:color w:val="auto"/>
          <w:sz w:val="24"/>
          <w:szCs w:val="24"/>
          <w:highlight w:val="none"/>
          <w:lang w:val="zh-CN"/>
        </w:rPr>
        <w:t>分。其他投</w:t>
      </w:r>
      <w:r>
        <w:rPr>
          <w:rFonts w:hint="eastAsia" w:ascii="仿宋_GB2312" w:hAnsi="宋体" w:eastAsia="仿宋_GB2312" w:cs="仿宋_GB2312"/>
          <w:sz w:val="24"/>
          <w:szCs w:val="24"/>
          <w:lang w:val="zh-CN"/>
        </w:rPr>
        <w:t>标人的价格分统一按照下列公式计算：投标报价得分＝(评标基准价/有效投标报价)</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价格权值</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100。</w:t>
      </w:r>
    </w:p>
    <w:p>
      <w:pPr>
        <w:spacing w:line="460" w:lineRule="exact"/>
        <w:ind w:firstLine="482" w:firstLineChars="200"/>
        <w:rPr>
          <w:rFonts w:hint="eastAsia" w:ascii="仿宋_GB2312" w:hAnsi="仿宋_GB2312" w:eastAsia="仿宋_GB2312" w:cs="仿宋_GB2312"/>
          <w:bCs/>
          <w:sz w:val="24"/>
          <w:highlight w:val="none"/>
        </w:rPr>
      </w:pPr>
      <w:r>
        <w:rPr>
          <w:rFonts w:hint="eastAsia" w:ascii="仿宋_GB2312" w:hAnsi="宋体" w:eastAsia="仿宋_GB2312"/>
          <w:b/>
          <w:bCs/>
          <w:sz w:val="24"/>
          <w:highlight w:val="none"/>
        </w:rPr>
        <w:t>B、技术和服务方案（B=</w:t>
      </w:r>
      <w:r>
        <w:rPr>
          <w:rFonts w:hint="eastAsia" w:ascii="仿宋_GB2312" w:hAnsi="宋体" w:eastAsia="仿宋_GB2312"/>
          <w:b/>
          <w:bCs/>
          <w:sz w:val="24"/>
          <w:highlight w:val="none"/>
          <w:u w:val="single"/>
        </w:rPr>
        <w:t>6</w:t>
      </w:r>
      <w:r>
        <w:rPr>
          <w:rFonts w:hint="eastAsia" w:ascii="仿宋_GB2312" w:hAnsi="宋体" w:eastAsia="仿宋_GB2312"/>
          <w:b/>
          <w:bCs/>
          <w:sz w:val="24"/>
          <w:highlight w:val="none"/>
          <w:u w:val="single"/>
          <w:lang w:val="en-US" w:eastAsia="zh-CN"/>
        </w:rPr>
        <w:t>3</w:t>
      </w:r>
      <w:r>
        <w:rPr>
          <w:rFonts w:hint="eastAsia" w:ascii="仿宋_GB2312" w:hAnsi="宋体" w:eastAsia="仿宋_GB2312"/>
          <w:b/>
          <w:bCs/>
          <w:sz w:val="24"/>
          <w:highlight w:val="none"/>
        </w:rPr>
        <w:t>分）：</w:t>
      </w:r>
      <w:r>
        <w:rPr>
          <w:rFonts w:hint="eastAsia" w:ascii="仿宋_GB2312" w:hAnsi="仿宋_GB2312" w:eastAsia="仿宋_GB2312" w:cs="仿宋_GB2312"/>
          <w:bCs/>
          <w:sz w:val="24"/>
          <w:highlight w:val="none"/>
        </w:rPr>
        <w:t>主要包含方案的先进性、科学性和完整性，方案与需求的吻合程度，提供的售后服务方案、维护人员和机构服务优劣程度以及承诺和优惠等方面的因素。评审要点为：</w:t>
      </w:r>
    </w:p>
    <w:p>
      <w:pPr>
        <w:autoSpaceDE w:val="0"/>
        <w:autoSpaceDN w:val="0"/>
        <w:spacing w:line="460" w:lineRule="exact"/>
        <w:ind w:firstLine="482"/>
        <w:rPr>
          <w:rFonts w:hint="eastAsia"/>
          <w:highlight w:val="none"/>
          <w:lang w:val="zh-CN"/>
        </w:rPr>
      </w:pPr>
      <w:r>
        <w:rPr>
          <w:rFonts w:hint="eastAsia" w:ascii="仿宋_GB2312" w:hAnsi="宋体" w:eastAsia="仿宋_GB2312"/>
          <w:b/>
          <w:bCs/>
          <w:sz w:val="24"/>
          <w:highlight w:val="none"/>
        </w:rPr>
        <w:t>（1）所投设备整体技术性能（</w:t>
      </w:r>
      <w:r>
        <w:rPr>
          <w:rFonts w:hint="eastAsia" w:ascii="仿宋_GB2312" w:hAnsi="宋体" w:eastAsia="仿宋_GB2312"/>
          <w:b/>
          <w:bCs/>
          <w:sz w:val="24"/>
          <w:highlight w:val="none"/>
          <w:lang w:val="en-US" w:eastAsia="zh-CN"/>
        </w:rPr>
        <w:t>35</w:t>
      </w:r>
      <w:r>
        <w:rPr>
          <w:rFonts w:hint="eastAsia" w:ascii="仿宋_GB2312" w:hAnsi="宋体" w:eastAsia="仿宋_GB2312"/>
          <w:b/>
          <w:bCs/>
          <w:sz w:val="24"/>
          <w:highlight w:val="none"/>
        </w:rPr>
        <w:t xml:space="preserve"> 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lang w:val="zh-CN"/>
        </w:rPr>
        <w:t>投标产品的技术指标的吻合程度和偏差情况（包括所投标产品的规格型号、详细配置、主要技术参数、随机软件、证明材料等），满足招标文件技术指标的得基准分</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rPr>
        <w:t>0分，</w:t>
      </w:r>
      <w:r>
        <w:rPr>
          <w:rFonts w:hint="eastAsia" w:ascii="仿宋_GB2312" w:hAnsi="宋体" w:eastAsia="仿宋_GB2312"/>
          <w:bCs/>
          <w:sz w:val="24"/>
          <w:szCs w:val="24"/>
          <w:highlight w:val="none"/>
        </w:rPr>
        <w:t>对带✰符号的参数或功能要求负偏离或未响应的每项扣</w:t>
      </w:r>
      <w:r>
        <w:rPr>
          <w:rFonts w:hint="eastAsia" w:ascii="仿宋_GB2312" w:hAnsi="宋体" w:eastAsia="仿宋_GB2312"/>
          <w:bCs/>
          <w:sz w:val="24"/>
          <w:szCs w:val="24"/>
          <w:highlight w:val="none"/>
          <w:lang w:val="en-US" w:eastAsia="zh-CN"/>
        </w:rPr>
        <w:t>2</w:t>
      </w:r>
      <w:r>
        <w:rPr>
          <w:rFonts w:hint="eastAsia" w:ascii="仿宋_GB2312" w:hAnsi="宋体" w:eastAsia="仿宋_GB2312"/>
          <w:bCs/>
          <w:sz w:val="24"/>
          <w:szCs w:val="24"/>
          <w:highlight w:val="none"/>
        </w:rPr>
        <w:t>分，对其他参数或功能要求负偏离或未响应的每项扣</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分（无实质性意义的负偏离不扣分），</w:t>
      </w:r>
      <w:r>
        <w:rPr>
          <w:rFonts w:hint="eastAsia" w:ascii="仿宋_GB2312" w:hAnsi="宋体" w:eastAsia="仿宋_GB2312" w:cs="仿宋_GB2312"/>
          <w:sz w:val="24"/>
          <w:szCs w:val="24"/>
          <w:highlight w:val="none"/>
          <w:lang w:val="zh-CN" w:eastAsia="zh-CN"/>
        </w:rPr>
        <w:t>基准分全部扣完后</w:t>
      </w:r>
      <w:r>
        <w:rPr>
          <w:rFonts w:hint="eastAsia" w:ascii="仿宋_GB2312" w:hAnsi="宋体" w:eastAsia="仿宋_GB2312" w:cs="仿宋_GB2312"/>
          <w:sz w:val="24"/>
          <w:szCs w:val="24"/>
          <w:highlight w:val="none"/>
          <w:lang w:val="zh-CN"/>
        </w:rPr>
        <w:t>，作无效标处理。带“▲”项为必要性的重要条件，如果不满足，将视为无效标（</w:t>
      </w:r>
      <w:r>
        <w:rPr>
          <w:rFonts w:hint="eastAsia" w:ascii="仿宋_GB2312" w:hAnsi="宋体" w:eastAsia="仿宋_GB2312" w:cs="仿宋_GB2312"/>
          <w:sz w:val="24"/>
          <w:szCs w:val="24"/>
          <w:highlight w:val="none"/>
          <w:lang w:val="en-US" w:eastAsia="zh-CN"/>
        </w:rPr>
        <w:t>30分</w:t>
      </w:r>
      <w:r>
        <w:rPr>
          <w:rFonts w:hint="eastAsia" w:ascii="仿宋_GB2312" w:hAnsi="宋体" w:eastAsia="仿宋_GB2312" w:cs="仿宋_GB2312"/>
          <w:sz w:val="24"/>
          <w:szCs w:val="24"/>
          <w:highlight w:val="none"/>
          <w:lang w:val="zh-CN"/>
        </w:rPr>
        <w:t>）；</w:t>
      </w:r>
    </w:p>
    <w:p>
      <w:pPr>
        <w:autoSpaceDE w:val="0"/>
        <w:autoSpaceDN w:val="0"/>
        <w:spacing w:line="460" w:lineRule="exact"/>
        <w:ind w:firstLine="482"/>
        <w:rPr>
          <w:rFonts w:hint="eastAsia" w:ascii="仿宋_GB2312" w:hAnsi="宋体" w:eastAsia="仿宋_GB2312" w:cs="仿宋_GB2312"/>
          <w:sz w:val="24"/>
          <w:szCs w:val="24"/>
          <w:highlight w:val="none"/>
          <w:lang w:val="zh-CN" w:eastAsia="zh-CN"/>
        </w:rPr>
      </w:pPr>
      <w:r>
        <w:rPr>
          <w:rFonts w:hint="eastAsia" w:ascii="仿宋_GB2312" w:hAnsi="宋体" w:eastAsia="仿宋_GB2312"/>
          <w:sz w:val="24"/>
          <w:szCs w:val="24"/>
          <w:highlight w:val="none"/>
        </w:rPr>
        <w:t>●</w:t>
      </w:r>
      <w:r>
        <w:rPr>
          <w:rFonts w:hint="eastAsia" w:ascii="仿宋_GB2312" w:hAnsi="宋体" w:eastAsia="仿宋_GB2312" w:cs="仿宋_GB2312"/>
          <w:sz w:val="24"/>
          <w:szCs w:val="24"/>
          <w:highlight w:val="none"/>
          <w:lang w:val="zh-CN" w:eastAsia="zh-CN"/>
        </w:rPr>
        <w:t>投标产品是否取得节能产品、环境标志产品认证证书；此项由投标人提供相关证明材料，每个产品加</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eastAsia="zh-CN"/>
        </w:rPr>
        <w:t>分，产品含多证不重复加分，最高为</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eastAsia="zh-CN"/>
        </w:rPr>
        <w:t>分（</w:t>
      </w:r>
      <w:r>
        <w:rPr>
          <w:rFonts w:hint="eastAsia" w:ascii="仿宋_GB2312" w:hAnsi="宋体" w:eastAsia="仿宋_GB2312" w:cs="仿宋_GB2312"/>
          <w:sz w:val="24"/>
          <w:szCs w:val="24"/>
          <w:highlight w:val="none"/>
          <w:lang w:val="en-US" w:eastAsia="zh-CN"/>
        </w:rPr>
        <w:t>5分</w:t>
      </w:r>
      <w:r>
        <w:rPr>
          <w:rFonts w:hint="eastAsia" w:ascii="仿宋_GB2312" w:hAnsi="宋体" w:eastAsia="仿宋_GB2312" w:cs="仿宋_GB2312"/>
          <w:sz w:val="24"/>
          <w:szCs w:val="24"/>
          <w:highlight w:val="none"/>
          <w:lang w:val="zh-CN" w:eastAsia="zh-CN"/>
        </w:rPr>
        <w:t>）。</w:t>
      </w:r>
    </w:p>
    <w:p>
      <w:pPr>
        <w:pStyle w:val="2"/>
        <w:rPr>
          <w:rFonts w:hint="eastAsia" w:ascii="仿宋_GB2312" w:hAnsi="宋体" w:eastAsia="仿宋_GB2312" w:cs="仿宋_GB2312"/>
          <w:b/>
          <w:sz w:val="24"/>
          <w:szCs w:val="24"/>
          <w:highlight w:val="none"/>
          <w:lang w:val="zh-CN"/>
        </w:rPr>
      </w:pPr>
      <w:r>
        <w:rPr>
          <w:rFonts w:hint="eastAsia" w:ascii="仿宋_GB2312" w:hAnsi="宋体" w:eastAsia="仿宋_GB2312" w:cs="仿宋_GB2312"/>
          <w:b/>
          <w:sz w:val="24"/>
          <w:szCs w:val="24"/>
          <w:highlight w:val="none"/>
          <w:lang w:val="zh-CN" w:eastAsia="zh-CN"/>
        </w:rPr>
        <w:t>（</w:t>
      </w:r>
      <w:r>
        <w:rPr>
          <w:rFonts w:hint="eastAsia" w:ascii="仿宋_GB2312" w:hAnsi="宋体" w:eastAsia="仿宋_GB2312" w:cs="仿宋_GB2312"/>
          <w:b/>
          <w:sz w:val="24"/>
          <w:szCs w:val="24"/>
          <w:highlight w:val="none"/>
          <w:lang w:val="en-US" w:eastAsia="zh-CN"/>
        </w:rPr>
        <w:t>2</w:t>
      </w:r>
      <w:r>
        <w:rPr>
          <w:rFonts w:hint="eastAsia" w:ascii="仿宋_GB2312" w:hAnsi="宋体" w:eastAsia="仿宋_GB2312" w:cs="仿宋_GB2312"/>
          <w:b/>
          <w:sz w:val="24"/>
          <w:szCs w:val="24"/>
          <w:highlight w:val="none"/>
          <w:lang w:val="zh-CN" w:eastAsia="zh-CN"/>
        </w:rPr>
        <w:t>）</w:t>
      </w:r>
      <w:r>
        <w:rPr>
          <w:rFonts w:hint="eastAsia" w:ascii="仿宋_GB2312" w:hAnsi="宋体" w:eastAsia="仿宋_GB2312" w:cs="仿宋_GB2312"/>
          <w:b/>
          <w:sz w:val="24"/>
          <w:szCs w:val="24"/>
          <w:highlight w:val="none"/>
          <w:lang w:val="zh-CN"/>
        </w:rPr>
        <w:t>技术方案及人员方案情况（</w:t>
      </w:r>
      <w:r>
        <w:rPr>
          <w:rFonts w:hint="eastAsia" w:ascii="仿宋_GB2312" w:hAnsi="宋体" w:eastAsia="仿宋_GB2312" w:cs="仿宋_GB2312"/>
          <w:b/>
          <w:sz w:val="24"/>
          <w:szCs w:val="24"/>
          <w:highlight w:val="none"/>
          <w:lang w:val="en-US" w:eastAsia="zh-CN"/>
        </w:rPr>
        <w:t>16</w:t>
      </w:r>
      <w:r>
        <w:rPr>
          <w:rFonts w:hint="eastAsia" w:ascii="仿宋_GB2312" w:hAnsi="宋体" w:eastAsia="仿宋_GB2312" w:cs="仿宋_GB2312"/>
          <w:b/>
          <w:sz w:val="24"/>
          <w:szCs w:val="24"/>
          <w:highlight w:val="none"/>
          <w:lang w:val="zh-CN"/>
        </w:rPr>
        <w:t>分）：</w:t>
      </w:r>
    </w:p>
    <w:p>
      <w:pPr>
        <w:pStyle w:val="2"/>
        <w:numPr>
          <w:ilvl w:val="0"/>
          <w:numId w:val="0"/>
        </w:numPr>
        <w:ind w:firstLine="480" w:firstLineChars="200"/>
        <w:rPr>
          <w:rFonts w:hint="default"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kern w:val="2"/>
          <w:sz w:val="24"/>
          <w:szCs w:val="24"/>
          <w:highlight w:val="none"/>
          <w:lang w:val="zh-CN" w:eastAsia="zh-CN" w:bidi="ar-SA"/>
        </w:rPr>
        <w:t>●提供本项目建设思路、原则、特点、技术要求的理解情况，在确保阶段性任务实现的同时，是否统筹考虑了总体目标的实现，综合打分，最高</w:t>
      </w:r>
      <w:r>
        <w:rPr>
          <w:rFonts w:hint="eastAsia" w:ascii="仿宋_GB2312" w:hAnsi="宋体" w:eastAsia="仿宋_GB2312" w:cs="仿宋_GB2312"/>
          <w:color w:val="auto"/>
          <w:kern w:val="2"/>
          <w:sz w:val="24"/>
          <w:szCs w:val="24"/>
          <w:highlight w:val="none"/>
          <w:lang w:val="en-US" w:eastAsia="zh-CN" w:bidi="ar-SA"/>
        </w:rPr>
        <w:t>3分（3分）；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cs="仿宋_GB2312"/>
          <w:color w:val="auto"/>
          <w:kern w:val="2"/>
          <w:sz w:val="24"/>
          <w:szCs w:val="24"/>
          <w:highlight w:val="none"/>
          <w:lang w:val="zh-CN" w:eastAsia="zh-CN" w:bidi="ar-SA"/>
        </w:rPr>
        <w:t xml:space="preserve">● </w:t>
      </w:r>
      <w:r>
        <w:rPr>
          <w:rFonts w:hint="eastAsia" w:ascii="仿宋_GB2312" w:hAnsi="宋体" w:eastAsia="仿宋_GB2312" w:cs="仿宋_GB2312"/>
          <w:sz w:val="24"/>
          <w:szCs w:val="24"/>
          <w:highlight w:val="none"/>
          <w:lang w:val="zh-CN"/>
        </w:rPr>
        <w:t>项目实施方案情况：</w:t>
      </w:r>
      <w:r>
        <w:rPr>
          <w:rFonts w:hint="eastAsia" w:ascii="仿宋_GB2312" w:hAnsi="宋体" w:eastAsia="仿宋_GB2312" w:cs="仿宋_GB2312"/>
          <w:color w:val="auto"/>
          <w:kern w:val="2"/>
          <w:sz w:val="24"/>
          <w:szCs w:val="24"/>
          <w:highlight w:val="none"/>
          <w:lang w:val="en-US" w:eastAsia="zh-CN" w:bidi="ar-SA"/>
        </w:rPr>
        <w:t>投标人能否结合本次项目建设要求提供合理、可行的项目实施方案，包括项目管理制度、项目实施计划安排、项目实施管理、项目建设资源配置、质量保障管理方案，依据方案进行综合打分，</w:t>
      </w:r>
      <w:r>
        <w:rPr>
          <w:rFonts w:hint="eastAsia" w:ascii="仿宋_GB2312" w:hAnsi="宋体" w:eastAsia="仿宋_GB2312" w:cs="仿宋_GB2312"/>
          <w:sz w:val="24"/>
          <w:szCs w:val="24"/>
          <w:highlight w:val="none"/>
          <w:lang w:val="zh-CN"/>
        </w:rPr>
        <w:t>方案设计合理，技术先进、稳定、安全，对用户需求理解充分、贴合实际的得</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rPr>
        <w:t>分；提供的方案设计不合理，技术落后、不稳定、不安全，对用户需求不理解、不贴合实际的酌情扣分（</w:t>
      </w:r>
      <w:r>
        <w:rPr>
          <w:rFonts w:hint="eastAsia" w:ascii="仿宋_GB2312" w:hAnsi="宋体" w:eastAsia="仿宋_GB2312" w:cs="仿宋_GB2312"/>
          <w:sz w:val="24"/>
          <w:szCs w:val="24"/>
          <w:highlight w:val="none"/>
          <w:lang w:val="en-US" w:eastAsia="zh-CN"/>
        </w:rPr>
        <w:t>5</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color w:val="auto"/>
          <w:kern w:val="2"/>
          <w:sz w:val="24"/>
          <w:szCs w:val="24"/>
          <w:highlight w:val="none"/>
          <w:lang w:val="zh-CN" w:eastAsia="zh-CN" w:bidi="ar-SA"/>
        </w:rPr>
        <w:t>履约验收方案情况：</w:t>
      </w:r>
      <w:r>
        <w:rPr>
          <w:rFonts w:hint="eastAsia" w:ascii="仿宋_GB2312" w:hAnsi="宋体" w:eastAsia="仿宋_GB2312" w:cs="仿宋_GB2312"/>
          <w:sz w:val="24"/>
          <w:szCs w:val="24"/>
          <w:highlight w:val="none"/>
          <w:lang w:val="zh-CN"/>
        </w:rPr>
        <w:t>投标人提出的功能测试、试运转及项目验收方案及交付时间的合理性、可行性情况等综合打分，最高得</w:t>
      </w:r>
      <w:r>
        <w:rPr>
          <w:rFonts w:hint="eastAsia" w:ascii="仿宋_GB2312" w:hAnsi="宋体" w:eastAsia="仿宋_GB2312" w:cs="仿宋_GB2312"/>
          <w:sz w:val="24"/>
          <w:szCs w:val="24"/>
          <w:highlight w:val="none"/>
          <w:lang w:val="en-US" w:eastAsia="zh-CN"/>
        </w:rPr>
        <w:t>3分</w:t>
      </w:r>
      <w:r>
        <w:rPr>
          <w:rFonts w:hint="eastAsia" w:ascii="仿宋_GB2312" w:hAnsi="宋体" w:eastAsia="仿宋_GB2312" w:cs="仿宋_GB2312"/>
          <w:sz w:val="24"/>
          <w:szCs w:val="24"/>
          <w:highlight w:val="none"/>
          <w:lang w:val="zh-CN"/>
        </w:rPr>
        <w:t>（</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人员方案情况（</w:t>
      </w:r>
      <w:r>
        <w:rPr>
          <w:rFonts w:hint="eastAsia" w:ascii="仿宋_GB2312" w:hAnsi="宋体" w:eastAsia="仿宋_GB2312" w:cs="仿宋_GB2312"/>
          <w:sz w:val="24"/>
          <w:szCs w:val="24"/>
          <w:highlight w:val="none"/>
          <w:lang w:val="en-US" w:eastAsia="zh-CN"/>
        </w:rPr>
        <w:t>5分</w:t>
      </w:r>
      <w:r>
        <w:rPr>
          <w:rFonts w:hint="eastAsia" w:ascii="仿宋_GB2312" w:hAnsi="宋体" w:eastAsia="仿宋_GB2312" w:cs="仿宋_GB2312"/>
          <w:sz w:val="24"/>
          <w:szCs w:val="24"/>
          <w:highlight w:val="none"/>
          <w:lang w:val="zh-CN"/>
        </w:rPr>
        <w:t>）：</w:t>
      </w:r>
    </w:p>
    <w:p>
      <w:pPr>
        <w:autoSpaceDE w:val="0"/>
        <w:autoSpaceDN w:val="0"/>
        <w:spacing w:line="460" w:lineRule="exact"/>
        <w:ind w:firstLine="482"/>
        <w:rPr>
          <w:rFonts w:hint="eastAsia" w:ascii="仿宋_GB2312" w:hAnsi="仿宋" w:eastAsia="仿宋_GB2312"/>
          <w:bCs/>
          <w:sz w:val="24"/>
          <w:szCs w:val="24"/>
          <w:highlight w:val="none"/>
          <w:lang w:eastAsia="zh-CN"/>
        </w:rPr>
      </w:pPr>
      <w:r>
        <w:rPr>
          <w:rFonts w:hint="eastAsia" w:ascii="仿宋_GB2312" w:hAnsi="宋体" w:eastAsia="仿宋_GB2312" w:cs="仿宋_GB2312"/>
          <w:sz w:val="24"/>
          <w:szCs w:val="24"/>
          <w:highlight w:val="none"/>
          <w:lang w:val="zh-CN"/>
        </w:rPr>
        <w:t>①</w:t>
      </w:r>
      <w:r>
        <w:rPr>
          <w:rFonts w:hint="eastAsia" w:ascii="仿宋_GB2312" w:hAnsi="仿宋" w:eastAsia="仿宋_GB2312"/>
          <w:bCs/>
          <w:sz w:val="24"/>
          <w:szCs w:val="24"/>
          <w:highlight w:val="none"/>
        </w:rPr>
        <w:t>项目负责人具有相关工作经验</w:t>
      </w:r>
      <w:r>
        <w:rPr>
          <w:rFonts w:hint="eastAsia" w:ascii="仿宋_GB2312" w:hAnsi="仿宋" w:eastAsia="仿宋_GB2312"/>
          <w:bCs/>
          <w:sz w:val="24"/>
          <w:szCs w:val="24"/>
          <w:highlight w:val="none"/>
          <w:lang w:val="en-US" w:eastAsia="zh-CN"/>
        </w:rPr>
        <w:t>3</w:t>
      </w:r>
      <w:r>
        <w:rPr>
          <w:rFonts w:hint="eastAsia" w:ascii="仿宋_GB2312" w:hAnsi="仿宋" w:eastAsia="仿宋_GB2312"/>
          <w:bCs/>
          <w:sz w:val="24"/>
          <w:szCs w:val="24"/>
          <w:highlight w:val="none"/>
        </w:rPr>
        <w:t>年及以上，提供项目负责人在投标人处社保缴纳证明、劳动合同</w:t>
      </w:r>
      <w:r>
        <w:rPr>
          <w:rFonts w:hint="eastAsia" w:ascii="仿宋_GB2312" w:hAnsi="仿宋" w:eastAsia="仿宋_GB2312"/>
          <w:bCs/>
          <w:sz w:val="24"/>
          <w:szCs w:val="24"/>
          <w:highlight w:val="none"/>
          <w:lang w:eastAsia="zh-CN"/>
        </w:rPr>
        <w:t>，</w:t>
      </w:r>
      <w:r>
        <w:rPr>
          <w:rFonts w:hint="eastAsia" w:ascii="仿宋_GB2312" w:hAnsi="仿宋" w:eastAsia="仿宋_GB2312"/>
          <w:bCs/>
          <w:sz w:val="24"/>
          <w:szCs w:val="24"/>
          <w:highlight w:val="none"/>
        </w:rPr>
        <w:t>符合得2分，不符合不得分（2分）</w:t>
      </w:r>
      <w:r>
        <w:rPr>
          <w:rFonts w:hint="eastAsia" w:ascii="仿宋_GB2312" w:hAnsi="仿宋" w:eastAsia="仿宋_GB2312"/>
          <w:bCs/>
          <w:sz w:val="24"/>
          <w:szCs w:val="24"/>
          <w:highlight w:val="none"/>
          <w:lang w:eastAsia="zh-CN"/>
        </w:rPr>
        <w:t>；</w:t>
      </w:r>
    </w:p>
    <w:p>
      <w:pPr>
        <w:autoSpaceDE w:val="0"/>
        <w:autoSpaceDN w:val="0"/>
        <w:spacing w:line="460" w:lineRule="exact"/>
        <w:ind w:firstLine="482"/>
        <w:rPr>
          <w:rFonts w:hint="eastAsia" w:ascii="仿宋_GB2312" w:hAnsi="仿宋" w:eastAsia="仿宋_GB2312"/>
          <w:bCs/>
          <w:sz w:val="24"/>
          <w:szCs w:val="24"/>
          <w:highlight w:val="none"/>
        </w:rPr>
      </w:pPr>
      <w:r>
        <w:rPr>
          <w:rFonts w:hint="eastAsia" w:ascii="仿宋_GB2312" w:hAnsi="仿宋" w:eastAsia="仿宋_GB2312"/>
          <w:bCs/>
          <w:sz w:val="24"/>
          <w:szCs w:val="24"/>
          <w:highlight w:val="none"/>
          <w:lang w:eastAsia="zh-CN"/>
        </w:rPr>
        <w:t>②项目组成员（含项目负责人），</w:t>
      </w:r>
      <w:r>
        <w:rPr>
          <w:rFonts w:hint="eastAsia" w:ascii="仿宋_GB2312" w:hAnsi="仿宋" w:eastAsia="仿宋_GB2312"/>
          <w:bCs/>
          <w:sz w:val="24"/>
          <w:szCs w:val="24"/>
          <w:highlight w:val="none"/>
          <w:lang w:val="en-US" w:eastAsia="zh-CN"/>
        </w:rPr>
        <w:t>具有计算机、智能化相关高级及以上技术职称证书，每1人得1分；具有计算机、智能化相关中级技术职称证书，每1人得0.5分。同一人具有多证，不重复计分。提供有效期内的证书复印件和社保证明材料，否则不得分本项最高3分（3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b/>
          <w:bCs/>
          <w:sz w:val="24"/>
          <w:szCs w:val="24"/>
          <w:highlight w:val="none"/>
        </w:rPr>
        <w:t>（3）</w:t>
      </w:r>
      <w:r>
        <w:rPr>
          <w:rFonts w:hint="eastAsia" w:ascii="仿宋_GB2312" w:hAnsi="宋体" w:eastAsia="仿宋_GB2312" w:cs="仿宋_GB2312"/>
          <w:b/>
          <w:sz w:val="24"/>
          <w:szCs w:val="24"/>
          <w:highlight w:val="none"/>
          <w:lang w:val="zh-CN"/>
        </w:rPr>
        <w:t>售后服务方案（1</w:t>
      </w:r>
      <w:r>
        <w:rPr>
          <w:rFonts w:hint="eastAsia" w:ascii="仿宋_GB2312" w:hAnsi="宋体" w:eastAsia="仿宋_GB2312" w:cs="仿宋_GB2312"/>
          <w:b/>
          <w:sz w:val="24"/>
          <w:szCs w:val="24"/>
          <w:highlight w:val="none"/>
          <w:lang w:val="en-US" w:eastAsia="zh-CN"/>
        </w:rPr>
        <w:t>2</w:t>
      </w:r>
      <w:r>
        <w:rPr>
          <w:rFonts w:hint="eastAsia" w:ascii="仿宋_GB2312" w:hAnsi="宋体" w:eastAsia="仿宋_GB2312" w:cs="仿宋_GB2312"/>
          <w:b/>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w:t>
      </w:r>
      <w:r>
        <w:rPr>
          <w:rFonts w:hint="eastAsia" w:ascii="仿宋_GB2312" w:hAnsi="宋体" w:eastAsia="仿宋_GB2312" w:cs="仿宋_GB2312"/>
          <w:sz w:val="24"/>
          <w:szCs w:val="24"/>
          <w:highlight w:val="none"/>
          <w:lang w:val="en-US" w:eastAsia="zh-CN"/>
        </w:rPr>
        <w:t>或投标产品制造商</w:t>
      </w:r>
      <w:r>
        <w:rPr>
          <w:rFonts w:hint="eastAsia" w:ascii="仿宋_GB2312" w:hAnsi="宋体" w:eastAsia="仿宋_GB2312" w:cs="仿宋_GB2312"/>
          <w:sz w:val="24"/>
          <w:szCs w:val="24"/>
          <w:highlight w:val="none"/>
          <w:lang w:val="zh-CN"/>
        </w:rPr>
        <w:t>具有</w:t>
      </w:r>
      <w:r>
        <w:rPr>
          <w:rFonts w:hint="eastAsia" w:ascii="仿宋_GB2312" w:hAnsi="宋体" w:eastAsia="仿宋_GB2312" w:cs="仿宋_GB2312"/>
          <w:sz w:val="24"/>
          <w:szCs w:val="24"/>
          <w:highlight w:val="none"/>
          <w:lang w:val="en-US" w:eastAsia="zh-CN"/>
        </w:rPr>
        <w:t>的</w:t>
      </w:r>
      <w:r>
        <w:rPr>
          <w:rFonts w:hint="eastAsia" w:ascii="仿宋_GB2312" w:hAnsi="宋体" w:eastAsia="仿宋_GB2312" w:cs="仿宋_GB2312"/>
          <w:sz w:val="24"/>
          <w:szCs w:val="24"/>
          <w:highlight w:val="none"/>
          <w:lang w:val="zh-CN"/>
        </w:rPr>
        <w:t>服务能力符合国家标准《商品售后服务评价体系》GB/T27922-2011，提供</w:t>
      </w:r>
      <w:r>
        <w:rPr>
          <w:rFonts w:hint="eastAsia" w:ascii="仿宋_GB2312" w:hAnsi="宋体" w:eastAsia="仿宋_GB2312" w:cs="仿宋_GB2312"/>
          <w:sz w:val="24"/>
          <w:szCs w:val="24"/>
          <w:highlight w:val="none"/>
          <w:lang w:val="en-US" w:eastAsia="zh-CN"/>
        </w:rPr>
        <w:t>相关证书</w:t>
      </w:r>
      <w:r>
        <w:rPr>
          <w:rFonts w:hint="eastAsia" w:ascii="仿宋_GB2312" w:hAnsi="宋体" w:eastAsia="仿宋_GB2312" w:cs="仿宋_GB2312"/>
          <w:sz w:val="24"/>
          <w:szCs w:val="24"/>
          <w:highlight w:val="none"/>
          <w:lang w:val="zh-CN"/>
        </w:rPr>
        <w:t>。满足得</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分，不满足不得分（</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eastAsia" w:ascii="仿宋_GB2312" w:hAnsi="宋体" w:eastAsia="仿宋_GB2312" w:cs="仿宋_GB2312"/>
          <w:sz w:val="24"/>
          <w:szCs w:val="24"/>
          <w:highlight w:val="none"/>
          <w:lang w:val="zh-CN" w:eastAsia="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w:t>
      </w:r>
      <w:r>
        <w:rPr>
          <w:rFonts w:hint="eastAsia" w:ascii="仿宋_GB2312" w:hAnsi="宋体" w:eastAsia="仿宋_GB2312" w:cs="仿宋_GB2312"/>
          <w:sz w:val="24"/>
          <w:szCs w:val="24"/>
          <w:highlight w:val="none"/>
          <w:lang w:val="zh-CN" w:eastAsia="zh-CN"/>
        </w:rPr>
        <w:t>人提供科学、合理、具体的免费保修及售后服务措施和方案，包括①售后服务措施、②产品质量保证，每一项</w:t>
      </w:r>
      <w:r>
        <w:rPr>
          <w:rFonts w:hint="eastAsia" w:ascii="仿宋_GB2312" w:hAnsi="宋体" w:eastAsia="仿宋_GB2312" w:cs="仿宋_GB2312"/>
          <w:sz w:val="24"/>
          <w:szCs w:val="24"/>
          <w:highlight w:val="none"/>
          <w:lang w:val="en-US" w:eastAsia="zh-CN"/>
        </w:rPr>
        <w:t>1.5</w:t>
      </w:r>
      <w:r>
        <w:rPr>
          <w:rFonts w:hint="eastAsia" w:ascii="仿宋_GB2312" w:hAnsi="宋体" w:eastAsia="仿宋_GB2312" w:cs="仿宋_GB2312"/>
          <w:sz w:val="24"/>
          <w:szCs w:val="24"/>
          <w:highlight w:val="none"/>
          <w:lang w:val="zh-CN" w:eastAsia="zh-CN"/>
        </w:rPr>
        <w:t>分，综合打分，不满足不得分。共3分（</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zh-CN" w:eastAsia="zh-CN"/>
        </w:rPr>
        <w:t>分）；</w:t>
      </w:r>
    </w:p>
    <w:p>
      <w:pPr>
        <w:autoSpaceDE w:val="0"/>
        <w:autoSpaceDN w:val="0"/>
        <w:spacing w:line="460" w:lineRule="exact"/>
        <w:ind w:firstLine="482"/>
        <w:rPr>
          <w:rFonts w:hint="eastAsia" w:ascii="仿宋_GB2312" w:hAnsi="宋体" w:eastAsia="仿宋_GB2312" w:cs="仿宋_GB2312"/>
          <w:sz w:val="24"/>
          <w:szCs w:val="24"/>
          <w:highlight w:val="none"/>
          <w:lang w:val="en-US" w:eastAsia="zh-CN"/>
        </w:rPr>
      </w:pP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lang w:val="zh-CN" w:eastAsia="zh-CN"/>
        </w:rPr>
        <w:t>投标人承诺</w:t>
      </w:r>
      <w:r>
        <w:rPr>
          <w:rFonts w:hint="eastAsia" w:ascii="仿宋_GB2312" w:hAnsi="宋体" w:eastAsia="仿宋_GB2312" w:cs="仿宋_GB2312"/>
          <w:sz w:val="24"/>
          <w:szCs w:val="24"/>
          <w:highlight w:val="none"/>
          <w:lang w:val="en-US" w:eastAsia="zh-CN"/>
        </w:rPr>
        <w:t>质量保证期内提供上门维护、升级服务，如设备出现故障，供货单位在接到电话后，立即响应，2小时以内到现场处理，12小时内修复，现场不能修复的，必须采取无偿提供采购物品的备用件或整机等措施，保证用户单位的正常使用的得3分（3分）；</w:t>
      </w:r>
    </w:p>
    <w:p>
      <w:pPr>
        <w:autoSpaceDE w:val="0"/>
        <w:autoSpaceDN w:val="0"/>
        <w:spacing w:after="120" w:afterLines="50"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投标人承诺质保期超出采购文件要求期限（</w:t>
      </w:r>
      <w:r>
        <w:rPr>
          <w:rFonts w:hint="eastAsia" w:ascii="仿宋_GB2312" w:hAnsi="宋体" w:eastAsia="仿宋_GB2312" w:cs="仿宋_GB2312"/>
          <w:sz w:val="24"/>
          <w:szCs w:val="24"/>
          <w:highlight w:val="none"/>
          <w:lang w:val="en-US" w:eastAsia="zh-CN"/>
        </w:rPr>
        <w:t>5年</w:t>
      </w:r>
      <w:r>
        <w:rPr>
          <w:rFonts w:hint="eastAsia" w:ascii="仿宋_GB2312" w:hAnsi="宋体" w:eastAsia="仿宋_GB2312" w:cs="仿宋_GB2312"/>
          <w:sz w:val="24"/>
          <w:szCs w:val="24"/>
          <w:highlight w:val="none"/>
          <w:lang w:val="zh-CN"/>
        </w:rPr>
        <w:t>）的增加1年</w:t>
      </w:r>
      <w:r>
        <w:rPr>
          <w:rFonts w:hint="eastAsia" w:ascii="仿宋_GB2312" w:hAnsi="宋体" w:eastAsia="仿宋_GB2312" w:cs="仿宋_GB2312"/>
          <w:sz w:val="24"/>
          <w:szCs w:val="24"/>
          <w:highlight w:val="none"/>
          <w:lang w:val="en-US" w:eastAsia="zh-CN"/>
        </w:rPr>
        <w:t>加2</w:t>
      </w:r>
      <w:r>
        <w:rPr>
          <w:rFonts w:hint="eastAsia" w:ascii="仿宋_GB2312" w:hAnsi="宋体" w:eastAsia="仿宋_GB2312" w:cs="仿宋_GB2312"/>
          <w:sz w:val="24"/>
          <w:szCs w:val="24"/>
          <w:highlight w:val="none"/>
          <w:lang w:val="zh-CN"/>
        </w:rPr>
        <w:t>分，最高得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r>
        <w:rPr>
          <w:rFonts w:hint="eastAsia" w:ascii="仿宋_GB2312" w:hAnsi="宋体" w:eastAsia="仿宋_GB2312" w:cs="仿宋_GB2312"/>
          <w:sz w:val="24"/>
          <w:szCs w:val="24"/>
          <w:highlight w:val="none"/>
          <w:lang w:val="en-US" w:eastAsia="zh-CN"/>
        </w:rPr>
        <w:t>2分</w:t>
      </w:r>
      <w:r>
        <w:rPr>
          <w:rFonts w:hint="eastAsia" w:ascii="仿宋_GB2312" w:hAnsi="宋体" w:eastAsia="仿宋_GB2312" w:cs="仿宋_GB2312"/>
          <w:sz w:val="24"/>
          <w:szCs w:val="24"/>
          <w:highlight w:val="none"/>
          <w:lang w:val="zh-CN"/>
        </w:rPr>
        <w:t>）；</w:t>
      </w:r>
    </w:p>
    <w:p>
      <w:pPr>
        <w:autoSpaceDE w:val="0"/>
        <w:autoSpaceDN w:val="0"/>
        <w:spacing w:after="120" w:afterLines="50"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en-US" w:eastAsia="zh-CN"/>
        </w:rPr>
        <w:t>人员培训方案：根据投标人培训方案的培训内容完备性和培训计划合理性周全程度等，综合打分，最高得3分（3分）</w:t>
      </w:r>
      <w:r>
        <w:rPr>
          <w:rFonts w:hint="eastAsia" w:ascii="仿宋_GB2312" w:hAnsi="宋体" w:eastAsia="仿宋_GB2312" w:cs="仿宋_GB2312"/>
          <w:sz w:val="24"/>
          <w:szCs w:val="24"/>
          <w:highlight w:val="none"/>
          <w:lang w:val="zh-CN"/>
        </w:rPr>
        <w:t>。</w:t>
      </w:r>
    </w:p>
    <w:p>
      <w:pPr>
        <w:snapToGrid w:val="0"/>
        <w:spacing w:line="36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C、投标人的资信情况（C=</w:t>
      </w:r>
      <w:r>
        <w:rPr>
          <w:rFonts w:hint="eastAsia" w:ascii="仿宋_GB2312" w:hAnsi="仿宋_GB2312" w:eastAsia="仿宋_GB2312" w:cs="仿宋_GB2312"/>
          <w:b/>
          <w:sz w:val="24"/>
          <w:szCs w:val="24"/>
          <w:highlight w:val="none"/>
          <w:u w:val="single"/>
        </w:rPr>
        <w:t xml:space="preserve"> </w:t>
      </w:r>
      <w:r>
        <w:rPr>
          <w:rFonts w:hint="eastAsia" w:ascii="仿宋_GB2312" w:hAnsi="仿宋_GB2312" w:eastAsia="仿宋_GB2312" w:cs="仿宋_GB2312"/>
          <w:b/>
          <w:sz w:val="24"/>
          <w:szCs w:val="24"/>
          <w:highlight w:val="none"/>
          <w:u w:val="single"/>
          <w:lang w:val="en-US" w:eastAsia="zh-CN"/>
        </w:rPr>
        <w:t>7</w:t>
      </w:r>
      <w:r>
        <w:rPr>
          <w:rFonts w:hint="eastAsia" w:ascii="仿宋_GB2312" w:hAnsi="仿宋_GB2312" w:eastAsia="仿宋_GB2312" w:cs="仿宋_GB2312"/>
          <w:b/>
          <w:bCs/>
          <w:sz w:val="24"/>
          <w:szCs w:val="24"/>
          <w:highlight w:val="none"/>
        </w:rPr>
        <w:t>分）：评审要点为：</w:t>
      </w:r>
    </w:p>
    <w:p>
      <w:pPr>
        <w:autoSpaceDE w:val="0"/>
        <w:autoSpaceDN w:val="0"/>
        <w:spacing w:line="460" w:lineRule="exact"/>
        <w:ind w:firstLine="482"/>
        <w:rPr>
          <w:rFonts w:hint="eastAsia"/>
          <w:sz w:val="24"/>
          <w:szCs w:val="24"/>
          <w:highlight w:val="none"/>
          <w:lang w:val="zh-CN"/>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投标人具有ISO9001质量管理体系认证、IS045001职业健康安全管理体系认证、IS014001环境管理体系认证、ISO27001信息安全管理体系认证，每提供一份得0.5分，共计</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zh-CN"/>
        </w:rPr>
        <w:t>分）；</w:t>
      </w:r>
    </w:p>
    <w:p>
      <w:pPr>
        <w:autoSpaceDE w:val="0"/>
        <w:autoSpaceDN w:val="0"/>
        <w:spacing w:line="460" w:lineRule="exact"/>
        <w:ind w:firstLine="482"/>
        <w:rPr>
          <w:rFonts w:hint="default" w:ascii="仿宋_GB2312" w:hAnsi="宋体" w:eastAsia="仿宋_GB2312" w:cs="仿宋_GB2312"/>
          <w:sz w:val="24"/>
          <w:szCs w:val="24"/>
          <w:highlight w:val="none"/>
          <w:lang w:val="en-US"/>
        </w:rPr>
      </w:pPr>
      <w:r>
        <w:rPr>
          <w:rFonts w:hint="eastAsia" w:ascii="仿宋_GB2312" w:hAnsi="宋体" w:eastAsia="仿宋_GB2312"/>
          <w:sz w:val="24"/>
          <w:szCs w:val="24"/>
          <w:highlight w:val="none"/>
        </w:rPr>
        <w:t xml:space="preserve">● </w:t>
      </w:r>
      <w:r>
        <w:rPr>
          <w:rFonts w:hint="eastAsia" w:ascii="仿宋_GB2312" w:hAnsi="宋体" w:eastAsia="仿宋_GB2312" w:cs="仿宋_GB2312"/>
          <w:sz w:val="24"/>
          <w:szCs w:val="24"/>
          <w:highlight w:val="none"/>
          <w:lang w:val="zh-CN"/>
        </w:rPr>
        <w:t>投标人自2018年1月1日至开标时间止提供类似业绩</w:t>
      </w:r>
      <w:r>
        <w:rPr>
          <w:rFonts w:hint="eastAsia" w:ascii="仿宋_GB2312" w:hAnsi="宋体" w:eastAsia="仿宋_GB2312" w:cs="仿宋_GB2312"/>
          <w:sz w:val="24"/>
          <w:szCs w:val="24"/>
          <w:highlight w:val="none"/>
          <w:lang w:val="zh-CN" w:eastAsia="zh-CN"/>
        </w:rPr>
        <w:t>，每个业绩须同时提供</w:t>
      </w:r>
      <w:r>
        <w:rPr>
          <w:rFonts w:hint="eastAsia" w:ascii="仿宋_GB2312" w:hAnsi="宋体" w:eastAsia="仿宋_GB2312" w:cs="仿宋_GB2312"/>
          <w:sz w:val="24"/>
          <w:szCs w:val="24"/>
          <w:highlight w:val="none"/>
          <w:lang w:val="zh-CN"/>
        </w:rPr>
        <w:t>合同</w:t>
      </w:r>
      <w:r>
        <w:rPr>
          <w:rFonts w:hint="eastAsia" w:ascii="仿宋_GB2312" w:hAnsi="宋体" w:eastAsia="仿宋_GB2312" w:cs="仿宋_GB2312"/>
          <w:sz w:val="24"/>
          <w:szCs w:val="24"/>
          <w:highlight w:val="none"/>
          <w:lang w:val="zh-CN" w:eastAsia="zh-CN"/>
        </w:rPr>
        <w:t>和验收报告，每个业绩得</w:t>
      </w:r>
      <w:r>
        <w:rPr>
          <w:rFonts w:hint="eastAsia" w:ascii="仿宋_GB2312" w:hAnsi="宋体" w:eastAsia="仿宋_GB2312" w:cs="仿宋_GB2312"/>
          <w:sz w:val="24"/>
          <w:szCs w:val="24"/>
          <w:highlight w:val="none"/>
          <w:lang w:val="en-US" w:eastAsia="zh-CN"/>
        </w:rPr>
        <w:t>1分，最高5分（5分）。</w:t>
      </w:r>
    </w:p>
    <w:p>
      <w:pPr>
        <w:autoSpaceDE w:val="0"/>
        <w:autoSpaceDN w:val="0"/>
        <w:spacing w:line="460" w:lineRule="exact"/>
        <w:ind w:firstLine="482"/>
        <w:rPr>
          <w:rFonts w:hint="eastAsia" w:ascii="仿宋_GB2312" w:hAnsi="宋体" w:eastAsia="仿宋_GB2312" w:cs="仿宋_GB2312"/>
          <w:sz w:val="24"/>
          <w:szCs w:val="24"/>
          <w:highlight w:val="none"/>
          <w:lang w:val="zh-CN"/>
        </w:rPr>
      </w:pPr>
      <w:r>
        <w:rPr>
          <w:rFonts w:hint="eastAsia" w:ascii="仿宋_GB2312" w:hAnsi="宋体" w:eastAsia="仿宋_GB2312" w:cs="仿宋_GB2312"/>
          <w:sz w:val="24"/>
          <w:szCs w:val="24"/>
          <w:highlight w:val="none"/>
          <w:lang w:val="zh-CN"/>
        </w:rPr>
        <w:t>注：投标文件需提供以上证书复印件或扫描件，证书须在有效期内。否者不得分。</w:t>
      </w:r>
    </w:p>
    <w:p>
      <w:pPr>
        <w:pStyle w:val="33"/>
        <w:spacing w:line="360" w:lineRule="auto"/>
        <w:ind w:firstLine="472" w:firstLineChars="1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综合得分=A+B+C</w:t>
      </w:r>
      <w:r>
        <w:rPr>
          <w:rFonts w:hint="eastAsia" w:ascii="仿宋_GB2312" w:hAnsi="仿宋" w:eastAsia="仿宋_GB2312" w:cs="仿宋_GB2312"/>
          <w:b/>
          <w:sz w:val="24"/>
          <w:szCs w:val="24"/>
        </w:rPr>
        <w:t>，精确到小数点后二位。</w:t>
      </w:r>
    </w:p>
    <w:p>
      <w:pPr>
        <w:adjustRightInd w:val="0"/>
        <w:spacing w:line="360" w:lineRule="auto"/>
        <w:ind w:firstLine="467" w:firstLineChars="194"/>
        <w:rPr>
          <w:rFonts w:ascii="仿宋_GB2312" w:hAnsi="仿宋" w:eastAsia="仿宋_GB2312" w:cs="仿宋_GB2312"/>
          <w:b/>
          <w:sz w:val="24"/>
          <w:szCs w:val="24"/>
        </w:rPr>
      </w:pPr>
    </w:p>
    <w:p>
      <w:pPr>
        <w:pStyle w:val="2"/>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pStyle w:val="3"/>
        <w:rPr>
          <w:rFonts w:ascii="仿宋_GB2312" w:hAnsi="仿宋" w:eastAsia="仿宋_GB2312" w:cs="仿宋_GB2312"/>
          <w:b/>
          <w:sz w:val="24"/>
          <w:szCs w:val="24"/>
        </w:rPr>
      </w:pPr>
    </w:p>
    <w:p>
      <w:pPr>
        <w:adjustRightInd w:val="0"/>
        <w:spacing w:line="360" w:lineRule="auto"/>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bookmarkEnd w:id="24"/>
    <w:p>
      <w:pPr>
        <w:spacing w:line="360" w:lineRule="auto"/>
        <w:rPr>
          <w:rFonts w:ascii="仿宋_GB2312" w:hAnsi="楷体" w:eastAsia="仿宋_GB2312"/>
          <w:sz w:val="24"/>
          <w:u w:val="single"/>
        </w:rPr>
      </w:pPr>
      <w:bookmarkStart w:id="393" w:name="第五部分"/>
      <w:bookmarkStart w:id="394" w:name="_Toc86217003"/>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330"/>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330"/>
        <w:rPr>
          <w:rFonts w:ascii="仿宋_GB2312" w:hAnsi="楷体" w:eastAsia="仿宋_GB2312"/>
          <w:szCs w:val="24"/>
        </w:rPr>
      </w:pPr>
    </w:p>
    <w:p>
      <w:pPr>
        <w:pStyle w:val="33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48"/>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395" w:name="_Toc3029"/>
      <w:bookmarkStart w:id="396" w:name="_Toc24059"/>
      <w:bookmarkStart w:id="397" w:name="_Toc2232"/>
      <w:r>
        <w:rPr>
          <w:rFonts w:hint="eastAsia" w:ascii="仿宋_GB2312" w:hAnsi="楷体" w:eastAsia="仿宋_GB2312"/>
          <w:b/>
          <w:sz w:val="24"/>
        </w:rPr>
        <w:t>1.1 合同组成部分</w:t>
      </w:r>
      <w:bookmarkEnd w:id="395"/>
      <w:bookmarkEnd w:id="396"/>
      <w:bookmarkEnd w:id="397"/>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398" w:name="_Toc24300"/>
      <w:bookmarkStart w:id="399" w:name="_Toc27126"/>
      <w:bookmarkStart w:id="400" w:name="_Toc21295"/>
      <w:r>
        <w:rPr>
          <w:rFonts w:hint="eastAsia" w:ascii="仿宋_GB2312" w:hAnsi="楷体" w:eastAsia="仿宋_GB2312"/>
          <w:b/>
          <w:sz w:val="24"/>
        </w:rPr>
        <w:t>1.2 标的物</w:t>
      </w:r>
      <w:bookmarkEnd w:id="398"/>
      <w:bookmarkEnd w:id="399"/>
      <w:bookmarkEnd w:id="400"/>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01" w:name="_Toc21551"/>
      <w:bookmarkStart w:id="402" w:name="_Toc21631"/>
      <w:bookmarkStart w:id="403" w:name="_Toc23292"/>
      <w:r>
        <w:rPr>
          <w:rFonts w:hint="eastAsia" w:ascii="仿宋_GB2312" w:hAnsi="楷体" w:eastAsia="仿宋_GB2312"/>
          <w:b/>
          <w:sz w:val="24"/>
        </w:rPr>
        <w:t>1.3 价款</w:t>
      </w:r>
      <w:bookmarkEnd w:id="401"/>
      <w:bookmarkEnd w:id="402"/>
      <w:bookmarkEnd w:id="403"/>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282"/>
              <w:spacing w:line="360" w:lineRule="auto"/>
              <w:ind w:firstLine="48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04" w:name="_Toc22618"/>
      <w:bookmarkStart w:id="405" w:name="_Toc1814"/>
      <w:bookmarkStart w:id="406" w:name="_Toc10340"/>
      <w:r>
        <w:rPr>
          <w:rFonts w:hint="eastAsia" w:ascii="仿宋_GB2312" w:hAnsi="楷体" w:eastAsia="仿宋_GB2312"/>
          <w:b/>
          <w:sz w:val="24"/>
        </w:rPr>
        <w:t>1.4 付款方式和发票开具方式</w:t>
      </w:r>
      <w:bookmarkEnd w:id="404"/>
      <w:bookmarkEnd w:id="405"/>
      <w:bookmarkEnd w:id="406"/>
    </w:p>
    <w:p>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（分期付款/一次性付款）                     </w:t>
      </w:r>
      <w:r>
        <w:rPr>
          <w:rFonts w:hint="eastAsia" w:ascii="仿宋_GB2312" w:hAnsi="楷体" w:eastAsia="仿宋_GB2312"/>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outlineLvl w:val="0"/>
        <w:rPr>
          <w:rFonts w:ascii="仿宋_GB2312" w:hAnsi="楷体" w:eastAsia="仿宋_GB2312"/>
          <w:b/>
          <w:color w:val="auto"/>
          <w:sz w:val="24"/>
        </w:rPr>
      </w:pPr>
      <w:bookmarkStart w:id="407" w:name="_Toc2846"/>
      <w:bookmarkStart w:id="408" w:name="_Toc32071"/>
      <w:bookmarkStart w:id="409" w:name="_Toc19304"/>
      <w:r>
        <w:rPr>
          <w:rFonts w:hint="eastAsia" w:ascii="仿宋_GB2312" w:hAnsi="楷体" w:eastAsia="仿宋_GB2312"/>
          <w:b/>
          <w:color w:val="auto"/>
          <w:sz w:val="24"/>
        </w:rPr>
        <w:t>1.5 标的物交付期限、地点和方式</w:t>
      </w:r>
      <w:bookmarkEnd w:id="407"/>
      <w:bookmarkEnd w:id="408"/>
      <w:bookmarkEnd w:id="409"/>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10" w:name="_Toc21423"/>
      <w:bookmarkStart w:id="411" w:name="_Toc27250"/>
      <w:bookmarkStart w:id="412" w:name="_Toc19554"/>
      <w:r>
        <w:rPr>
          <w:rFonts w:hint="eastAsia" w:ascii="仿宋_GB2312" w:hAnsi="楷体" w:eastAsia="仿宋_GB2312"/>
          <w:b/>
          <w:sz w:val="24"/>
        </w:rPr>
        <w:t>1.6 违约责任</w:t>
      </w:r>
      <w:bookmarkEnd w:id="410"/>
      <w:bookmarkEnd w:id="411"/>
      <w:bookmarkEnd w:id="412"/>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13" w:name="_Toc16021"/>
      <w:bookmarkStart w:id="414" w:name="_Toc28375"/>
      <w:bookmarkStart w:id="415" w:name="_Toc15583"/>
      <w:r>
        <w:rPr>
          <w:rFonts w:hint="eastAsia" w:ascii="仿宋_GB2312" w:hAnsi="楷体" w:eastAsia="仿宋_GB2312"/>
          <w:b/>
          <w:sz w:val="24"/>
        </w:rPr>
        <w:t>1.7 合同争议的解决</w:t>
      </w:r>
      <w:bookmarkEnd w:id="413"/>
      <w:bookmarkEnd w:id="414"/>
      <w:bookmarkEnd w:id="41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16" w:name="_Toc11173"/>
      <w:bookmarkStart w:id="417" w:name="_Toc15322"/>
      <w:bookmarkStart w:id="418" w:name="_Toc7245"/>
      <w:r>
        <w:rPr>
          <w:rFonts w:hint="eastAsia" w:ascii="仿宋_GB2312" w:hAnsi="楷体" w:eastAsia="仿宋_GB2312"/>
          <w:b/>
          <w:sz w:val="24"/>
        </w:rPr>
        <w:t>1.8 合同生效</w:t>
      </w:r>
      <w:bookmarkEnd w:id="416"/>
      <w:bookmarkEnd w:id="417"/>
      <w:bookmarkEnd w:id="41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jc w:val="left"/>
        <w:rPr>
          <w:rFonts w:ascii="仿宋_GB2312" w:hAnsi="楷体" w:eastAsia="仿宋_GB2312"/>
          <w:b/>
          <w:sz w:val="24"/>
        </w:rPr>
      </w:pPr>
      <w:bookmarkStart w:id="419" w:name="_Toc331685783"/>
      <w:r>
        <w:rPr>
          <w:rFonts w:hint="eastAsia" w:ascii="仿宋_GB2312" w:hAnsi="楷体" w:eastAsia="仿宋_GB2312"/>
          <w:b/>
        </w:rPr>
        <w:br w:type="page"/>
      </w:r>
    </w:p>
    <w:p>
      <w:pPr>
        <w:pStyle w:val="330"/>
        <w:ind w:firstLine="562"/>
        <w:jc w:val="center"/>
        <w:rPr>
          <w:rFonts w:ascii="仿宋_GB2312" w:hAnsi="楷体" w:eastAsia="仿宋_GB2312"/>
          <w:b/>
          <w:sz w:val="28"/>
          <w:szCs w:val="28"/>
        </w:rPr>
      </w:pPr>
      <w:r>
        <w:rPr>
          <w:rFonts w:hint="eastAsia" w:ascii="仿宋_GB2312" w:hAnsi="楷体" w:eastAsia="仿宋_GB2312"/>
          <w:b/>
          <w:sz w:val="28"/>
          <w:szCs w:val="28"/>
        </w:rPr>
        <w:t>第二部分 合同一般条款</w:t>
      </w:r>
      <w:bookmarkEnd w:id="419"/>
    </w:p>
    <w:p>
      <w:pPr>
        <w:spacing w:line="360" w:lineRule="auto"/>
        <w:ind w:firstLine="482" w:firstLineChars="200"/>
        <w:outlineLvl w:val="0"/>
        <w:rPr>
          <w:rFonts w:ascii="仿宋_GB2312" w:hAnsi="楷体" w:eastAsia="仿宋_GB2312"/>
          <w:b/>
          <w:sz w:val="24"/>
        </w:rPr>
      </w:pPr>
      <w:bookmarkStart w:id="420" w:name="_Ref467379101"/>
      <w:bookmarkStart w:id="421" w:name="_Ref467379195"/>
      <w:bookmarkStart w:id="422" w:name="_Toc16917"/>
      <w:bookmarkStart w:id="423" w:name="_Ref467379094"/>
      <w:bookmarkStart w:id="424" w:name="_Ref467379214"/>
      <w:bookmarkStart w:id="425" w:name="_Ref467378404"/>
      <w:bookmarkStart w:id="426" w:name="_Ref467379109"/>
      <w:bookmarkStart w:id="427" w:name="_Toc259093669"/>
      <w:bookmarkStart w:id="428" w:name="_Ref467378499"/>
      <w:bookmarkStart w:id="429" w:name="_Toc19614"/>
      <w:bookmarkStart w:id="430" w:name="_Ref467378463"/>
      <w:bookmarkStart w:id="431" w:name="_Ref467379205"/>
      <w:bookmarkStart w:id="432" w:name="_Toc487900349"/>
      <w:bookmarkStart w:id="433" w:name="_Toc279701240"/>
      <w:bookmarkStart w:id="434" w:name="_Toc28763"/>
      <w:bookmarkStart w:id="435" w:name="_Ref467379225"/>
      <w:r>
        <w:rPr>
          <w:rFonts w:hint="eastAsia" w:ascii="仿宋_GB2312" w:hAnsi="楷体" w:eastAsia="仿宋_GB2312"/>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36" w:name="_Ref467378840"/>
      <w:r>
        <w:rPr>
          <w:rFonts w:hint="eastAsia" w:ascii="仿宋_GB2312" w:hAnsi="楷体" w:eastAsia="仿宋_GB2312"/>
          <w:sz w:val="24"/>
        </w:rPr>
        <w:t>2.1.4 “甲方”系指与中标供应商签署合同的采购人</w:t>
      </w:r>
      <w:bookmarkEnd w:id="43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37" w:name="_Ref467379400"/>
      <w:r>
        <w:rPr>
          <w:rFonts w:hint="eastAsia" w:ascii="仿宋_GB2312" w:hAnsi="楷体" w:eastAsia="仿宋_GB2312"/>
          <w:sz w:val="24"/>
        </w:rPr>
        <w:t>2.1.5 “乙方”系指根据合同约定交付标的物的中标供应商</w:t>
      </w:r>
      <w:bookmarkEnd w:id="437"/>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38" w:name="_Ref467379436"/>
      <w:r>
        <w:rPr>
          <w:rFonts w:hint="eastAsia" w:ascii="仿宋_GB2312" w:hAnsi="楷体" w:eastAsia="仿宋_GB2312"/>
          <w:sz w:val="24"/>
        </w:rPr>
        <w:t>2.1.6 “现场”系指合同约定标的物将要运至或者实施或者安装的地点。</w:t>
      </w:r>
      <w:bookmarkEnd w:id="438"/>
    </w:p>
    <w:p>
      <w:pPr>
        <w:spacing w:line="360" w:lineRule="auto"/>
        <w:ind w:firstLine="482" w:firstLineChars="200"/>
        <w:outlineLvl w:val="0"/>
        <w:rPr>
          <w:rFonts w:ascii="仿宋_GB2312" w:hAnsi="楷体" w:eastAsia="仿宋_GB2312"/>
          <w:b/>
          <w:sz w:val="24"/>
        </w:rPr>
      </w:pPr>
      <w:bookmarkStart w:id="439" w:name="_Toc32504"/>
      <w:bookmarkStart w:id="440" w:name="_Toc487900350"/>
      <w:bookmarkStart w:id="441" w:name="_Toc279701241"/>
      <w:bookmarkStart w:id="442" w:name="_Toc27635"/>
      <w:bookmarkStart w:id="443" w:name="_Toc259093670"/>
      <w:bookmarkStart w:id="444" w:name="_Toc13336"/>
      <w:r>
        <w:rPr>
          <w:rFonts w:hint="eastAsia" w:ascii="仿宋_GB2312" w:hAnsi="楷体" w:eastAsia="仿宋_GB2312"/>
          <w:b/>
          <w:sz w:val="24"/>
        </w:rPr>
        <w:t>2.2 技术规范</w:t>
      </w:r>
      <w:bookmarkEnd w:id="439"/>
      <w:bookmarkEnd w:id="440"/>
      <w:bookmarkEnd w:id="441"/>
      <w:bookmarkEnd w:id="442"/>
      <w:bookmarkEnd w:id="443"/>
      <w:bookmarkEnd w:id="444"/>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45" w:name="_Toc27853"/>
      <w:bookmarkStart w:id="446" w:name="_Toc279701242"/>
      <w:bookmarkStart w:id="447" w:name="_Toc31634"/>
      <w:bookmarkStart w:id="448" w:name="_Toc487900351"/>
      <w:bookmarkStart w:id="449" w:name="_Toc259093671"/>
      <w:bookmarkStart w:id="450" w:name="_Toc9829"/>
      <w:r>
        <w:rPr>
          <w:rFonts w:hint="eastAsia" w:ascii="仿宋_GB2312" w:hAnsi="楷体" w:eastAsia="仿宋_GB2312"/>
          <w:b/>
          <w:sz w:val="24"/>
        </w:rPr>
        <w:t>2.3 知识产权</w:t>
      </w:r>
      <w:bookmarkEnd w:id="445"/>
      <w:bookmarkEnd w:id="446"/>
      <w:bookmarkEnd w:id="447"/>
      <w:bookmarkEnd w:id="448"/>
      <w:bookmarkEnd w:id="449"/>
      <w:bookmarkEnd w:id="450"/>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1" w:name="_Toc29149"/>
      <w:bookmarkStart w:id="452" w:name="_Toc11932"/>
      <w:bookmarkStart w:id="453" w:name="_Toc4194"/>
      <w:r>
        <w:rPr>
          <w:rFonts w:hint="eastAsia" w:ascii="仿宋_GB2312" w:hAnsi="楷体" w:eastAsia="仿宋_GB2312"/>
          <w:b/>
          <w:sz w:val="24"/>
        </w:rPr>
        <w:t>2.4 包装和装运</w:t>
      </w:r>
      <w:bookmarkEnd w:id="451"/>
      <w:bookmarkEnd w:id="452"/>
      <w:bookmarkEnd w:id="453"/>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4" w:name="_Ref467378591"/>
      <w:bookmarkStart w:id="455" w:name="_Toc279701245"/>
      <w:bookmarkStart w:id="456" w:name="_Ref467379536"/>
      <w:bookmarkStart w:id="457" w:name="_Ref467379527"/>
      <w:bookmarkStart w:id="458" w:name="_Ref467379542"/>
      <w:bookmarkStart w:id="459" w:name="_Toc259093674"/>
      <w:bookmarkStart w:id="460" w:name="_Toc487900354"/>
      <w:bookmarkStart w:id="461" w:name="_Ref467378541"/>
      <w:bookmarkStart w:id="462" w:name="_Toc30272"/>
      <w:bookmarkStart w:id="463" w:name="_Toc26182"/>
      <w:bookmarkStart w:id="464" w:name="_Toc19074"/>
      <w:r>
        <w:rPr>
          <w:rFonts w:hint="eastAsia" w:ascii="仿宋_GB2312" w:hAnsi="楷体" w:eastAsia="仿宋_GB2312"/>
          <w:b/>
          <w:sz w:val="24"/>
        </w:rPr>
        <w:t>2.</w:t>
      </w:r>
      <w:bookmarkEnd w:id="454"/>
      <w:bookmarkEnd w:id="455"/>
      <w:bookmarkEnd w:id="456"/>
      <w:bookmarkEnd w:id="457"/>
      <w:bookmarkEnd w:id="458"/>
      <w:bookmarkEnd w:id="459"/>
      <w:bookmarkEnd w:id="460"/>
      <w:bookmarkEnd w:id="461"/>
      <w:r>
        <w:rPr>
          <w:rFonts w:hint="eastAsia" w:ascii="仿宋_GB2312" w:hAnsi="楷体" w:eastAsia="仿宋_GB2312"/>
          <w:b/>
          <w:sz w:val="24"/>
        </w:rPr>
        <w:t>5 履约检查和问题反馈</w:t>
      </w:r>
      <w:bookmarkEnd w:id="462"/>
      <w:bookmarkEnd w:id="463"/>
      <w:bookmarkEnd w:id="464"/>
    </w:p>
    <w:p>
      <w:pPr>
        <w:spacing w:line="360" w:lineRule="auto"/>
        <w:ind w:firstLine="480" w:firstLineChars="200"/>
        <w:rPr>
          <w:rFonts w:ascii="仿宋_GB2312" w:hAnsi="楷体" w:eastAsia="仿宋_GB2312"/>
          <w:sz w:val="24"/>
        </w:rPr>
      </w:pPr>
      <w:bookmarkStart w:id="465" w:name="_Ref467379657"/>
      <w:r>
        <w:rPr>
          <w:rFonts w:hint="eastAsia" w:ascii="仿宋_GB2312" w:hAnsi="楷体" w:eastAsia="仿宋_GB2312"/>
          <w:sz w:val="24"/>
        </w:rPr>
        <w:t>2.5.1</w:t>
      </w:r>
      <w:bookmarkEnd w:id="465"/>
      <w:bookmarkStart w:id="466" w:name="_Toc186431854"/>
      <w:bookmarkStart w:id="467" w:name="_Ref467379793"/>
      <w:bookmarkStart w:id="468" w:name="_Toc487900357"/>
      <w:bookmarkStart w:id="469" w:name="_Toc279701247"/>
      <w:bookmarkStart w:id="470" w:name="_Ref467379807"/>
      <w:bookmarkStart w:id="471"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66"/>
      <w:bookmarkStart w:id="472" w:name="_Toc186431855"/>
      <w:r>
        <w:rPr>
          <w:rFonts w:hint="eastAsia" w:ascii="仿宋_GB2312" w:hAnsi="楷体" w:eastAsia="仿宋_GB2312"/>
          <w:sz w:val="24"/>
        </w:rPr>
        <w:t>。</w:t>
      </w:r>
    </w:p>
    <w:bookmarkEnd w:id="472"/>
    <w:p>
      <w:pPr>
        <w:spacing w:line="360" w:lineRule="auto"/>
        <w:ind w:firstLine="482" w:firstLineChars="200"/>
        <w:outlineLvl w:val="0"/>
        <w:rPr>
          <w:rFonts w:ascii="仿宋_GB2312" w:hAnsi="楷体" w:eastAsia="仿宋_GB2312"/>
          <w:b/>
          <w:sz w:val="24"/>
        </w:rPr>
      </w:pPr>
      <w:bookmarkStart w:id="473" w:name="_Toc28451"/>
      <w:bookmarkStart w:id="474" w:name="_Toc19219"/>
      <w:bookmarkStart w:id="475" w:name="_Toc7836"/>
      <w:r>
        <w:rPr>
          <w:rFonts w:hint="eastAsia" w:ascii="仿宋_GB2312" w:hAnsi="楷体" w:eastAsia="仿宋_GB2312"/>
          <w:b/>
          <w:sz w:val="24"/>
        </w:rPr>
        <w:t>2.6 结算方式和付款条件</w:t>
      </w:r>
      <w:bookmarkEnd w:id="467"/>
      <w:bookmarkEnd w:id="468"/>
      <w:bookmarkEnd w:id="469"/>
      <w:bookmarkEnd w:id="470"/>
      <w:bookmarkEnd w:id="471"/>
      <w:bookmarkEnd w:id="473"/>
      <w:bookmarkEnd w:id="474"/>
      <w:bookmarkEnd w:id="475"/>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76" w:name="_Ref467379863"/>
      <w:bookmarkStart w:id="477" w:name="_Toc487900358"/>
      <w:bookmarkStart w:id="478" w:name="_Toc279701248"/>
      <w:bookmarkStart w:id="479" w:name="_Toc259093677"/>
      <w:bookmarkStart w:id="480" w:name="_Ref467379923"/>
      <w:bookmarkStart w:id="481" w:name="_Ref467379852"/>
      <w:bookmarkStart w:id="482" w:name="_Toc16110"/>
      <w:bookmarkStart w:id="483" w:name="_Toc774"/>
      <w:bookmarkStart w:id="484" w:name="_Toc3225"/>
      <w:r>
        <w:rPr>
          <w:rFonts w:hint="eastAsia" w:ascii="仿宋_GB2312" w:hAnsi="楷体" w:eastAsia="仿宋_GB2312"/>
          <w:b/>
          <w:sz w:val="24"/>
        </w:rPr>
        <w:t>2.7 技术资料</w:t>
      </w:r>
      <w:bookmarkEnd w:id="476"/>
      <w:bookmarkEnd w:id="477"/>
      <w:bookmarkEnd w:id="478"/>
      <w:bookmarkEnd w:id="479"/>
      <w:bookmarkEnd w:id="480"/>
      <w:bookmarkEnd w:id="481"/>
      <w:r>
        <w:rPr>
          <w:rFonts w:hint="eastAsia" w:ascii="仿宋_GB2312" w:hAnsi="楷体" w:eastAsia="仿宋_GB2312"/>
          <w:b/>
          <w:sz w:val="24"/>
        </w:rPr>
        <w:t>和保密义务</w:t>
      </w:r>
      <w:bookmarkEnd w:id="482"/>
      <w:bookmarkEnd w:id="483"/>
      <w:bookmarkEnd w:id="484"/>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485" w:name="_Toc7860"/>
      <w:r>
        <w:rPr>
          <w:rFonts w:hint="eastAsia" w:ascii="仿宋_GB2312" w:hAnsi="楷体" w:eastAsia="仿宋_GB2312"/>
          <w:b/>
          <w:sz w:val="24"/>
        </w:rPr>
        <w:t>2.8 质量保证</w:t>
      </w:r>
      <w:bookmarkEnd w:id="485"/>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486" w:name="_Toc17244"/>
      <w:bookmarkStart w:id="487" w:name="_Toc259093681"/>
      <w:bookmarkStart w:id="488" w:name="_Toc487900362"/>
      <w:bookmarkStart w:id="489" w:name="_Toc279701252"/>
      <w:r>
        <w:rPr>
          <w:rFonts w:hint="eastAsia" w:ascii="仿宋_GB2312" w:hAnsi="楷体" w:eastAsia="仿宋_GB2312"/>
          <w:b/>
          <w:sz w:val="24"/>
        </w:rPr>
        <w:t>2.9 标的物的风险负担</w:t>
      </w:r>
      <w:bookmarkEnd w:id="486"/>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90" w:name="_Toc14055"/>
      <w:r>
        <w:rPr>
          <w:rFonts w:hint="eastAsia" w:ascii="仿宋_GB2312" w:hAnsi="楷体" w:eastAsia="仿宋_GB2312"/>
          <w:b/>
          <w:sz w:val="24"/>
        </w:rPr>
        <w:t>2.10 延迟交货</w:t>
      </w:r>
      <w:bookmarkEnd w:id="487"/>
      <w:bookmarkEnd w:id="488"/>
      <w:bookmarkEnd w:id="489"/>
      <w:bookmarkEnd w:id="490"/>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491" w:name="_Toc7502"/>
      <w:bookmarkStart w:id="492" w:name="_Toc487900364"/>
      <w:bookmarkStart w:id="493" w:name="_Ref467378121"/>
      <w:bookmarkStart w:id="494" w:name="_Toc279701254"/>
      <w:bookmarkStart w:id="495" w:name="_Toc259093683"/>
      <w:r>
        <w:rPr>
          <w:rFonts w:hint="eastAsia" w:ascii="仿宋_GB2312" w:hAnsi="楷体" w:eastAsia="仿宋_GB2312"/>
          <w:b/>
          <w:sz w:val="24"/>
        </w:rPr>
        <w:t>2.11 合同变更</w:t>
      </w:r>
      <w:bookmarkEnd w:id="491"/>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360" w:lineRule="auto"/>
        <w:ind w:firstLine="482" w:firstLineChars="200"/>
        <w:outlineLvl w:val="0"/>
        <w:rPr>
          <w:rFonts w:ascii="仿宋_GB2312" w:hAnsi="楷体" w:eastAsia="仿宋_GB2312"/>
          <w:b/>
          <w:sz w:val="24"/>
        </w:rPr>
      </w:pPr>
      <w:bookmarkStart w:id="499" w:name="_Toc15237"/>
      <w:bookmarkStart w:id="500" w:name="_Toc22955"/>
      <w:bookmarkStart w:id="501" w:name="_Toc10366"/>
      <w:r>
        <w:rPr>
          <w:rFonts w:hint="eastAsia" w:ascii="仿宋_GB2312" w:hAnsi="楷体" w:eastAsia="仿宋_GB2312"/>
          <w:b/>
          <w:sz w:val="24"/>
        </w:rPr>
        <w:t>2.12 合同转让</w:t>
      </w:r>
      <w:bookmarkEnd w:id="496"/>
      <w:bookmarkEnd w:id="497"/>
      <w:bookmarkEnd w:id="498"/>
      <w:r>
        <w:rPr>
          <w:rFonts w:hint="eastAsia" w:ascii="仿宋_GB2312" w:hAnsi="楷体" w:eastAsia="仿宋_GB2312"/>
          <w:b/>
          <w:sz w:val="24"/>
        </w:rPr>
        <w:t>和分包</w:t>
      </w:r>
      <w:bookmarkEnd w:id="499"/>
      <w:bookmarkEnd w:id="500"/>
      <w:bookmarkEnd w:id="501"/>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02" w:name="_Toc13566"/>
      <w:bookmarkStart w:id="503" w:name="_Toc16508"/>
      <w:bookmarkStart w:id="504" w:name="_Toc14066"/>
      <w:r>
        <w:rPr>
          <w:rFonts w:hint="eastAsia" w:ascii="仿宋_GB2312" w:hAnsi="楷体" w:eastAsia="仿宋_GB2312"/>
          <w:b/>
          <w:sz w:val="24"/>
        </w:rPr>
        <w:t>2.13 不可抗力</w:t>
      </w:r>
      <w:bookmarkEnd w:id="502"/>
      <w:bookmarkEnd w:id="503"/>
      <w:bookmarkEnd w:id="504"/>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05" w:name="_Toc6969"/>
      <w:bookmarkStart w:id="506" w:name="_Toc689"/>
      <w:bookmarkStart w:id="507" w:name="_Toc30676"/>
      <w:bookmarkStart w:id="508" w:name="_Toc487900365"/>
      <w:bookmarkStart w:id="509" w:name="_Toc259093684"/>
      <w:bookmarkStart w:id="510" w:name="_Toc279701255"/>
      <w:r>
        <w:rPr>
          <w:rFonts w:hint="eastAsia" w:ascii="仿宋_GB2312" w:hAnsi="楷体" w:eastAsia="仿宋_GB2312"/>
          <w:b/>
          <w:sz w:val="24"/>
        </w:rPr>
        <w:t>2.14 税费</w:t>
      </w:r>
      <w:bookmarkEnd w:id="505"/>
      <w:bookmarkEnd w:id="506"/>
      <w:bookmarkEnd w:id="507"/>
      <w:bookmarkEnd w:id="508"/>
      <w:bookmarkEnd w:id="509"/>
      <w:bookmarkEnd w:id="510"/>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11" w:name="_Toc487900368"/>
      <w:bookmarkStart w:id="512" w:name="_Toc7102"/>
      <w:bookmarkStart w:id="513" w:name="_Toc259093687"/>
      <w:bookmarkStart w:id="514" w:name="_Toc279701258"/>
      <w:bookmarkStart w:id="515" w:name="_Toc16959"/>
      <w:bookmarkStart w:id="516" w:name="_Toc8298"/>
      <w:r>
        <w:rPr>
          <w:rFonts w:hint="eastAsia" w:ascii="仿宋_GB2312" w:hAnsi="楷体" w:eastAsia="仿宋_GB2312"/>
          <w:b/>
          <w:sz w:val="24"/>
        </w:rPr>
        <w:t>2.15 乙方破产</w:t>
      </w:r>
      <w:bookmarkEnd w:id="511"/>
      <w:bookmarkEnd w:id="512"/>
      <w:bookmarkEnd w:id="513"/>
      <w:bookmarkEnd w:id="514"/>
      <w:bookmarkEnd w:id="515"/>
      <w:bookmarkEnd w:id="516"/>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17" w:name="_Toc15387"/>
      <w:bookmarkStart w:id="518" w:name="_Toc6134"/>
      <w:bookmarkStart w:id="519" w:name="_Toc29333"/>
      <w:r>
        <w:rPr>
          <w:rFonts w:hint="eastAsia" w:ascii="仿宋_GB2312" w:hAnsi="楷体" w:eastAsia="仿宋_GB2312"/>
          <w:b/>
          <w:sz w:val="24"/>
        </w:rPr>
        <w:t>2.16 合同中止、终止</w:t>
      </w:r>
      <w:bookmarkEnd w:id="517"/>
      <w:bookmarkEnd w:id="518"/>
      <w:bookmarkEnd w:id="519"/>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2.16.2合同继续履行将损害国家利益和社会公共利益的，双方当事人应当中止或者终止合</w:t>
      </w:r>
      <w:r>
        <w:rPr>
          <w:rFonts w:hint="eastAsia" w:ascii="仿宋_GB2312" w:hAnsi="楷体" w:eastAsia="仿宋_GB2312"/>
          <w:color w:val="auto"/>
          <w:sz w:val="24"/>
        </w:rPr>
        <w:t>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sz w:val="24"/>
        </w:rPr>
      </w:pPr>
      <w:bookmarkStart w:id="520" w:name="_Toc1125"/>
      <w:bookmarkStart w:id="521" w:name="_Toc14563"/>
      <w:bookmarkStart w:id="522" w:name="_Toc6596"/>
      <w:r>
        <w:rPr>
          <w:rFonts w:hint="eastAsia" w:ascii="仿宋_GB2312" w:hAnsi="楷体" w:eastAsia="仿宋_GB2312"/>
          <w:b/>
          <w:color w:val="auto"/>
          <w:sz w:val="24"/>
        </w:rPr>
        <w:t xml:space="preserve">2.17 </w:t>
      </w:r>
      <w:r>
        <w:rPr>
          <w:rFonts w:hint="eastAsia" w:ascii="仿宋_GB2312" w:hAnsi="楷体" w:eastAsia="仿宋_GB2312"/>
          <w:b/>
          <w:sz w:val="24"/>
        </w:rPr>
        <w:t>检验和验收</w:t>
      </w:r>
      <w:bookmarkEnd w:id="520"/>
      <w:bookmarkEnd w:id="521"/>
      <w:bookmarkEnd w:id="522"/>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92"/>
    <w:bookmarkEnd w:id="493"/>
    <w:bookmarkEnd w:id="494"/>
    <w:bookmarkEnd w:id="495"/>
    <w:p>
      <w:pPr>
        <w:spacing w:line="360" w:lineRule="auto"/>
        <w:ind w:firstLine="482" w:firstLineChars="200"/>
        <w:outlineLvl w:val="0"/>
        <w:rPr>
          <w:rFonts w:ascii="仿宋_GB2312" w:hAnsi="楷体" w:eastAsia="仿宋_GB2312"/>
          <w:b/>
          <w:sz w:val="24"/>
        </w:rPr>
      </w:pPr>
      <w:bookmarkStart w:id="523" w:name="_Toc279701261"/>
      <w:bookmarkStart w:id="524" w:name="_Toc259093690"/>
      <w:bookmarkStart w:id="525" w:name="_Toc487900371"/>
      <w:bookmarkStart w:id="526" w:name="_Toc25182"/>
      <w:bookmarkStart w:id="527" w:name="_Toc19604"/>
      <w:bookmarkStart w:id="528" w:name="_Toc11284"/>
      <w:r>
        <w:rPr>
          <w:rFonts w:hint="eastAsia" w:ascii="仿宋_GB2312" w:hAnsi="楷体" w:eastAsia="仿宋_GB2312"/>
          <w:b/>
          <w:sz w:val="24"/>
        </w:rPr>
        <w:t>2.18 通知</w:t>
      </w:r>
      <w:bookmarkEnd w:id="523"/>
      <w:bookmarkEnd w:id="524"/>
      <w:bookmarkEnd w:id="525"/>
      <w:r>
        <w:rPr>
          <w:rFonts w:hint="eastAsia" w:ascii="仿宋_GB2312" w:hAnsi="楷体" w:eastAsia="仿宋_GB2312"/>
          <w:b/>
          <w:sz w:val="24"/>
        </w:rPr>
        <w:t>和送达</w:t>
      </w:r>
      <w:bookmarkEnd w:id="526"/>
      <w:bookmarkEnd w:id="527"/>
      <w:bookmarkEnd w:id="528"/>
    </w:p>
    <w:p>
      <w:pPr>
        <w:spacing w:line="360" w:lineRule="auto"/>
        <w:ind w:firstLine="480" w:firstLineChars="200"/>
        <w:rPr>
          <w:rFonts w:ascii="仿宋_GB2312" w:hAnsi="楷体" w:eastAsia="仿宋_GB2312"/>
          <w:color w:val="auto"/>
          <w:sz w:val="24"/>
        </w:rPr>
      </w:pPr>
      <w:bookmarkStart w:id="529" w:name="_Toc6698"/>
      <w:bookmarkStart w:id="530" w:name="_Toc3135"/>
      <w:bookmarkStart w:id="531" w:name="_Toc279701262"/>
      <w:bookmarkStart w:id="532" w:name="_Toc259093691"/>
      <w:bookmarkStart w:id="533"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w:t>
      </w:r>
      <w:r>
        <w:rPr>
          <w:rFonts w:hint="eastAsia" w:ascii="仿宋_GB2312" w:hAnsi="楷体" w:eastAsia="仿宋_GB2312"/>
          <w:color w:val="auto"/>
          <w:sz w:val="24"/>
        </w:rPr>
        <w:t>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529"/>
      <w:bookmarkEnd w:id="530"/>
    </w:p>
    <w:p>
      <w:pPr>
        <w:spacing w:line="360" w:lineRule="auto"/>
        <w:ind w:firstLine="480" w:firstLineChars="200"/>
        <w:rPr>
          <w:rFonts w:ascii="仿宋_GB2312" w:hAnsi="楷体" w:eastAsia="仿宋_GB2312"/>
          <w:color w:val="auto"/>
          <w:sz w:val="24"/>
        </w:rPr>
      </w:pPr>
      <w:bookmarkStart w:id="534" w:name="_Toc23294"/>
      <w:bookmarkStart w:id="535" w:name="_Toc23128"/>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360" w:lineRule="auto"/>
        <w:ind w:firstLine="482" w:firstLineChars="200"/>
        <w:outlineLvl w:val="0"/>
        <w:rPr>
          <w:rFonts w:ascii="仿宋_GB2312" w:hAnsi="楷体" w:eastAsia="仿宋_GB2312"/>
          <w:b/>
          <w:color w:val="auto"/>
          <w:sz w:val="24"/>
        </w:rPr>
      </w:pPr>
      <w:bookmarkStart w:id="536" w:name="_Toc4355"/>
      <w:bookmarkStart w:id="537" w:name="_Toc30599"/>
      <w:bookmarkStart w:id="538" w:name="_Toc18540"/>
      <w:r>
        <w:rPr>
          <w:rFonts w:hint="eastAsia" w:ascii="仿宋_GB2312" w:hAnsi="楷体" w:eastAsia="仿宋_GB2312"/>
          <w:b/>
          <w:color w:val="auto"/>
          <w:sz w:val="24"/>
        </w:rPr>
        <w:t>2.19 计量单位</w:t>
      </w:r>
      <w:bookmarkEnd w:id="531"/>
      <w:bookmarkEnd w:id="532"/>
      <w:bookmarkEnd w:id="533"/>
      <w:bookmarkEnd w:id="536"/>
      <w:bookmarkEnd w:id="537"/>
      <w:bookmarkEnd w:id="538"/>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color w:val="auto"/>
          <w:sz w:val="24"/>
        </w:rPr>
      </w:pPr>
      <w:bookmarkStart w:id="539" w:name="_Toc18567"/>
      <w:bookmarkStart w:id="540" w:name="_Toc259093692"/>
      <w:bookmarkStart w:id="541" w:name="_Toc10330"/>
      <w:bookmarkStart w:id="542" w:name="_Toc279701263"/>
      <w:bookmarkStart w:id="543" w:name="_Toc487900373"/>
      <w:bookmarkStart w:id="544" w:name="_Toc12773"/>
      <w:r>
        <w:rPr>
          <w:rFonts w:hint="eastAsia" w:ascii="仿宋_GB2312" w:hAnsi="楷体" w:eastAsia="仿宋_GB2312"/>
          <w:b/>
          <w:color w:val="auto"/>
          <w:sz w:val="24"/>
        </w:rPr>
        <w:t>2.20 合同使用的文字和适用的法律</w:t>
      </w:r>
      <w:bookmarkEnd w:id="539"/>
      <w:bookmarkEnd w:id="540"/>
      <w:bookmarkEnd w:id="541"/>
      <w:bookmarkEnd w:id="542"/>
      <w:bookmarkEnd w:id="543"/>
      <w:bookmarkEnd w:id="544"/>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45" w:name="_Toc279701264"/>
      <w:bookmarkStart w:id="546" w:name="_Toc16673"/>
      <w:bookmarkStart w:id="547" w:name="_Toc259093693"/>
      <w:bookmarkStart w:id="548" w:name="_Toc12004"/>
      <w:bookmarkStart w:id="549" w:name="_Toc3148"/>
      <w:bookmarkStart w:id="550" w:name="_Toc487900374"/>
      <w:r>
        <w:rPr>
          <w:rFonts w:hint="eastAsia" w:ascii="仿宋_GB2312" w:hAnsi="楷体" w:eastAsia="仿宋_GB2312"/>
          <w:b/>
          <w:color w:val="auto"/>
          <w:sz w:val="24"/>
        </w:rPr>
        <w:t>2.21 履约保证金</w:t>
      </w:r>
      <w:bookmarkEnd w:id="545"/>
      <w:bookmarkEnd w:id="546"/>
      <w:bookmarkEnd w:id="547"/>
      <w:bookmarkEnd w:id="548"/>
      <w:bookmarkEnd w:id="549"/>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w:t>
      </w:r>
      <w:r>
        <w:rPr>
          <w:rFonts w:hint="eastAsia" w:ascii="仿宋_GB2312" w:hAnsi="楷体" w:eastAsia="仿宋_GB2312"/>
          <w:color w:val="auto"/>
          <w:sz w:val="24"/>
          <w:u w:val="single"/>
          <w:lang w:val="en-US" w:eastAsia="zh-CN"/>
        </w:rPr>
        <w:t xml:space="preserve"> </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0"/>
    <w:p>
      <w:pPr>
        <w:spacing w:line="360" w:lineRule="auto"/>
        <w:ind w:firstLine="482" w:firstLineChars="200"/>
        <w:outlineLvl w:val="0"/>
        <w:rPr>
          <w:rFonts w:ascii="仿宋_GB2312" w:hAnsi="楷体" w:eastAsia="仿宋_GB2312"/>
          <w:b/>
          <w:sz w:val="24"/>
        </w:rPr>
      </w:pPr>
      <w:bookmarkStart w:id="551" w:name="_Toc6885"/>
      <w:bookmarkStart w:id="552" w:name="_Toc14001"/>
      <w:bookmarkStart w:id="553" w:name="_Toc19890"/>
      <w:r>
        <w:rPr>
          <w:rFonts w:hint="eastAsia" w:ascii="仿宋_GB2312" w:hAnsi="楷体" w:eastAsia="仿宋_GB2312"/>
          <w:b/>
          <w:sz w:val="24"/>
        </w:rPr>
        <w:t>2.22 合同份数</w:t>
      </w:r>
      <w:bookmarkEnd w:id="551"/>
      <w:bookmarkEnd w:id="552"/>
      <w:bookmarkEnd w:id="553"/>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0"/>
        <w:jc w:val="center"/>
        <w:rPr>
          <w:rFonts w:ascii="仿宋_GB2312" w:hAnsi="楷体" w:eastAsia="仿宋_GB2312"/>
          <w:b/>
          <w:szCs w:val="24"/>
        </w:rPr>
      </w:pPr>
      <w:r>
        <w:rPr>
          <w:rFonts w:hint="eastAsia" w:ascii="仿宋_GB2312" w:hAnsi="楷体" w:eastAsia="仿宋_GB2312"/>
          <w:szCs w:val="24"/>
        </w:rPr>
        <w:br w:type="page"/>
      </w:r>
      <w:bookmarkStart w:id="554" w:name="_Toc331685784"/>
      <w:r>
        <w:rPr>
          <w:rFonts w:hint="eastAsia" w:ascii="仿宋_GB2312" w:hAnsi="楷体" w:eastAsia="仿宋_GB2312"/>
          <w:b/>
          <w:szCs w:val="24"/>
        </w:rPr>
        <w:t xml:space="preserve">第三部分  </w:t>
      </w:r>
      <w:r>
        <w:rPr>
          <w:rFonts w:hint="eastAsia" w:ascii="仿宋_GB2312" w:hAnsi="仿宋" w:eastAsia="仿宋_GB2312"/>
          <w:b/>
          <w:color w:val="000000"/>
        </w:rPr>
        <w:t>※</w:t>
      </w:r>
      <w:r>
        <w:rPr>
          <w:rFonts w:hint="eastAsia" w:ascii="仿宋_GB2312" w:hAnsi="楷体" w:eastAsia="仿宋_GB2312"/>
          <w:b/>
          <w:szCs w:val="24"/>
        </w:rPr>
        <w:t>合同专用条款</w:t>
      </w:r>
      <w:bookmarkEnd w:id="554"/>
    </w:p>
    <w:p>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25"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bl>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widowControl/>
        <w:ind w:firstLine="1446" w:firstLineChars="400"/>
        <w:jc w:val="center"/>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393"/>
      <w:r>
        <w:rPr>
          <w:rFonts w:hint="eastAsia" w:ascii="仿宋_GB2312" w:hAnsi="仿宋" w:eastAsia="仿宋_GB2312" w:cs="仿宋_GB2312"/>
          <w:b/>
          <w:sz w:val="36"/>
          <w:szCs w:val="20"/>
        </w:rPr>
        <w:t xml:space="preserve"> </w:t>
      </w:r>
      <w:bookmarkEnd w:id="394"/>
      <w:r>
        <w:rPr>
          <w:rFonts w:hint="eastAsia" w:ascii="仿宋_GB2312" w:hAnsi="仿宋" w:eastAsia="仿宋_GB2312" w:cs="仿宋_GB2312"/>
          <w:b/>
          <w:sz w:val="36"/>
          <w:szCs w:val="20"/>
        </w:rPr>
        <w:t>应提交的有关格式范例</w:t>
      </w:r>
    </w:p>
    <w:p>
      <w:pPr>
        <w:adjustRightInd w:val="0"/>
        <w:spacing w:line="360" w:lineRule="auto"/>
        <w:ind w:firstLine="480" w:firstLineChars="200"/>
        <w:outlineLvl w:val="0"/>
        <w:rPr>
          <w:rFonts w:ascii="仿宋_GB2312" w:hAnsi="仿宋" w:eastAsia="仿宋_GB2312" w:cs="仿宋_GB2312"/>
          <w:sz w:val="24"/>
          <w:szCs w:val="24"/>
        </w:rPr>
      </w:pPr>
      <w:r>
        <w:rPr>
          <w:rFonts w:hint="eastAsia" w:ascii="仿宋_GB2312" w:hAnsi="仿宋" w:eastAsia="仿宋_GB2312" w:cs="仿宋_GB2312"/>
          <w:sz w:val="24"/>
          <w:szCs w:val="24"/>
        </w:rPr>
        <w:t>投标人按照以下格式编制投标文件。</w:t>
      </w:r>
    </w:p>
    <w:p>
      <w:pPr>
        <w:adjustRightInd w:val="0"/>
        <w:spacing w:line="360" w:lineRule="auto"/>
        <w:jc w:val="center"/>
        <w:outlineLvl w:val="0"/>
        <w:rPr>
          <w:rFonts w:ascii="仿宋_GB2312" w:hAnsi="仿宋" w:eastAsia="仿宋_GB2312" w:cs="仿宋_GB2312"/>
          <w:sz w:val="36"/>
          <w:szCs w:val="36"/>
          <w:lang w:val="zh-CN"/>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 xml:space="preserve"> </w:t>
      </w:r>
      <w:r>
        <w:rPr>
          <w:rFonts w:hint="eastAsia" w:ascii="仿宋_GB2312" w:hAnsi="仿宋" w:eastAsia="仿宋_GB2312" w:cs="仿宋_GB2312"/>
          <w:b/>
          <w:kern w:val="0"/>
          <w:sz w:val="36"/>
          <w:szCs w:val="36"/>
        </w:rPr>
        <w:t>资格文件部分</w:t>
      </w: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cs="Times New Roman"/>
          <w:sz w:val="24"/>
          <w:szCs w:val="24"/>
        </w:rPr>
        <w:t>营业执照(或事业法人登记证或其他工商等登记证明材料)复印件（投标人为自然人的，须提供</w:t>
      </w:r>
      <w:r>
        <w:rPr>
          <w:rFonts w:hint="eastAsia" w:ascii="仿宋_GB2312" w:hAnsi="仿宋" w:eastAsia="仿宋_GB2312" w:cs="Helvetica"/>
          <w:kern w:val="0"/>
          <w:sz w:val="24"/>
          <w:szCs w:val="24"/>
        </w:rPr>
        <w:t>自然人的身份证明</w:t>
      </w:r>
      <w:r>
        <w:rPr>
          <w:rFonts w:hint="eastAsia" w:ascii="仿宋_GB2312" w:hAnsi="仿宋" w:eastAsia="仿宋_GB2312" w:cs="Times New Roman"/>
          <w:sz w:val="24"/>
          <w:szCs w:val="24"/>
        </w:rPr>
        <w:t>）</w:t>
      </w:r>
      <w:r>
        <w:rPr>
          <w:rFonts w:hint="eastAsia" w:ascii="仿宋_GB2312" w:hAnsi="仿宋" w:eastAsia="仿宋_GB2312" w:cs="仿宋_GB2312"/>
          <w:kern w:val="0"/>
          <w:sz w:val="24"/>
          <w:szCs w:val="24"/>
        </w:rPr>
        <w:t>…………………………………………………（页码）</w:t>
      </w:r>
    </w:p>
    <w:p>
      <w:pPr>
        <w:snapToGrid w:val="0"/>
        <w:spacing w:line="360" w:lineRule="auto"/>
        <w:rPr>
          <w:rFonts w:ascii="仿宋_GB2312" w:hAnsi="仿宋" w:eastAsia="仿宋_GB2312"/>
          <w:sz w:val="24"/>
        </w:rPr>
      </w:pPr>
      <w:r>
        <w:rPr>
          <w:rFonts w:hint="eastAsia" w:ascii="仿宋_GB2312" w:hAnsi="仿宋" w:eastAsia="仿宋_GB2312" w:cs="仿宋_GB2312"/>
          <w:kern w:val="0"/>
          <w:sz w:val="24"/>
        </w:rPr>
        <w:t>（2）授权书 …</w:t>
      </w:r>
      <w:r>
        <w:rPr>
          <w:rFonts w:hint="eastAsia" w:ascii="仿宋_GB2312" w:hAnsi="仿宋" w:eastAsia="仿宋_GB2312"/>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（4）符合参与政府采购活动的资格条件并且没有税收缴纳、社会保障等方面的失信记录的承诺函</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（8）符合特定资格条件（如果项目要求）的有关证明材料（复印件）…………（页码）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）以联合体形式投标的，提供联合体协议；本项目不接受联合体投标或者投标人不以联合体形式投标的，则不需要提供…………………………………………………（页码）</w:t>
      </w:r>
    </w:p>
    <w:p>
      <w:pPr>
        <w:adjustRightInd w:val="0"/>
        <w:spacing w:line="360" w:lineRule="auto"/>
        <w:rPr>
          <w:rFonts w:ascii="仿宋_GB2312" w:hAnsi="仿宋" w:eastAsia="仿宋_GB2312" w:cs="Times New Roman"/>
          <w:sz w:val="24"/>
          <w:szCs w:val="24"/>
        </w:rPr>
      </w:pPr>
    </w:p>
    <w:p>
      <w:pPr>
        <w:pStyle w:val="2"/>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pStyle w:val="3"/>
        <w:rPr>
          <w:rFonts w:ascii="仿宋_GB2312" w:hAnsi="仿宋" w:eastAsia="仿宋_GB2312" w:cs="Times New Roman"/>
          <w:sz w:val="24"/>
          <w:szCs w:val="24"/>
        </w:rPr>
      </w:pPr>
    </w:p>
    <w:p>
      <w:pPr>
        <w:adjustRightInd w:val="0"/>
        <w:snapToGrid w:val="0"/>
        <w:spacing w:line="360" w:lineRule="auto"/>
        <w:rPr>
          <w:rFonts w:ascii="仿宋_GB2312" w:hAnsi="仿宋" w:eastAsia="仿宋_GB2312" w:cs="仿宋_GB2312"/>
          <w:b/>
          <w:kern w:val="0"/>
          <w:sz w:val="32"/>
          <w:szCs w:val="32"/>
          <w:lang w:val="zh-CN"/>
        </w:rPr>
      </w:pPr>
    </w:p>
    <w:p>
      <w:pPr>
        <w:adjustRightInd w:val="0"/>
        <w:snapToGrid w:val="0"/>
        <w:spacing w:line="360" w:lineRule="auto"/>
        <w:jc w:val="left"/>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w:t>
      </w:r>
    </w:p>
    <w:p>
      <w:pPr>
        <w:adjustRightInd w:val="0"/>
        <w:spacing w:line="360" w:lineRule="auto"/>
        <w:jc w:val="center"/>
        <w:rPr>
          <w:rFonts w:ascii="仿宋_GB2312" w:hAnsi="仿宋" w:eastAsia="仿宋_GB2312" w:cs="仿宋_GB2312"/>
          <w:b/>
          <w:sz w:val="30"/>
          <w:szCs w:val="30"/>
        </w:rPr>
      </w:pPr>
    </w:p>
    <w:p>
      <w:pPr>
        <w:adjustRightInd w:val="0"/>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szCs w:val="24"/>
          <w:lang w:val="zh-CN"/>
        </w:rPr>
        <w:t xml:space="preserve">                   日期：  年  月   日</w:t>
      </w:r>
    </w:p>
    <w:p>
      <w:pPr>
        <w:spacing w:line="360" w:lineRule="auto"/>
        <w:jc w:val="center"/>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法定代表人（签章）</w:t>
      </w:r>
      <w:r>
        <w:rPr>
          <w:rFonts w:hint="eastAsia" w:ascii="仿宋_GB2312" w:hAnsi="仿宋" w:eastAsia="仿宋_GB2312" w:cs="仿宋_GB2312"/>
          <w:kern w:val="0"/>
          <w:sz w:val="24"/>
          <w:lang w:val="zh-CN"/>
        </w:rPr>
        <w:t>：</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646"/>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pStyle w:val="646"/>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临安分中心</w:t>
      </w:r>
      <w:r>
        <w:rPr>
          <w:rFonts w:hint="eastAsia" w:ascii="仿宋_GB2312" w:hAnsi="仿宋" w:eastAsia="仿宋_GB2312" w:cs="仿宋_GB2312"/>
          <w:sz w:val="24"/>
        </w:rPr>
        <w:t>：</w:t>
      </w:r>
    </w:p>
    <w:p>
      <w:pPr>
        <w:spacing w:line="360" w:lineRule="auto"/>
        <w:ind w:firstLine="480" w:firstLineChars="200"/>
        <w:rPr>
          <w:rFonts w:hint="eastAsia" w:ascii="仿宋_GB2312" w:hAnsi="仿宋" w:eastAsia="仿宋_GB2312" w:cs="仿宋_GB2312"/>
          <w:b/>
          <w:sz w:val="30"/>
          <w:szCs w:val="30"/>
          <w:lang w:eastAsia="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sz w:val="24"/>
          <w:lang w:eastAsia="zh-CN"/>
        </w:rPr>
        <w:t>。</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snapToGrid w:val="0"/>
        <w:spacing w:line="360" w:lineRule="auto"/>
        <w:ind w:right="480"/>
        <w:jc w:val="center"/>
        <w:rPr>
          <w:rFonts w:hint="default" w:ascii="仿宋_GB2312" w:hAnsi="仿宋" w:eastAsia="仿宋_GB2312" w:cs="仿宋_GB2312"/>
          <w:kern w:val="0"/>
          <w:sz w:val="24"/>
          <w:lang w:val="en-US" w:eastAsia="zh-CN"/>
        </w:rPr>
      </w:pPr>
    </w:p>
    <w:p>
      <w:pPr>
        <w:snapToGrid w:val="0"/>
        <w:spacing w:line="360" w:lineRule="auto"/>
        <w:ind w:right="480"/>
        <w:jc w:val="center"/>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pStyle w:val="78"/>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pStyle w:val="78"/>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932"/>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32"/>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b/>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78"/>
        <w:rPr>
          <w:rFonts w:ascii="仿宋_GB2312" w:hAnsi="仿宋" w:eastAsia="仿宋_GB2312" w:cs="仿宋_GB2312"/>
          <w:b/>
          <w:sz w:val="32"/>
          <w:szCs w:val="32"/>
        </w:rPr>
      </w:pPr>
    </w:p>
    <w:p>
      <w:pPr>
        <w:pStyle w:val="78"/>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snapToGrid w:val="0"/>
        <w:spacing w:line="360" w:lineRule="auto"/>
        <w:rPr>
          <w:rFonts w:hint="eastAsia" w:ascii="仿宋_GB2312" w:hAnsi="仿宋" w:eastAsia="仿宋_GB2312" w:cs="仿宋_GB2312"/>
          <w:b/>
          <w:bCs/>
          <w:sz w:val="32"/>
          <w:szCs w:val="32"/>
        </w:rPr>
      </w:pPr>
    </w:p>
    <w:p>
      <w:pPr>
        <w:snapToGrid w:val="0"/>
        <w:spacing w:line="360" w:lineRule="auto"/>
        <w:rPr>
          <w:rFonts w:hint="eastAsia" w:ascii="仿宋_GB2312" w:hAnsi="仿宋" w:eastAsia="仿宋_GB2312" w:cs="仿宋_GB2312"/>
          <w:b/>
          <w:bCs/>
          <w:sz w:val="32"/>
          <w:szCs w:val="32"/>
        </w:rPr>
      </w:pPr>
    </w:p>
    <w:p>
      <w:pPr>
        <w:snapToGrid w:val="0"/>
        <w:spacing w:before="50" w:after="50" w:line="360" w:lineRule="auto"/>
        <w:jc w:val="center"/>
        <w:rPr>
          <w:rFonts w:ascii="仿宋_GB2312" w:hAnsi="仿宋" w:eastAsia="仿宋_GB2312" w:cs="仿宋_GB2312"/>
          <w:b/>
          <w:sz w:val="30"/>
          <w:szCs w:val="30"/>
        </w:rPr>
      </w:pPr>
      <w:r>
        <w:rPr>
          <w:rFonts w:hint="eastAsia" w:ascii="仿宋_GB2312" w:hAnsi="仿宋" w:eastAsia="仿宋_GB2312" w:cs="仿宋_GB2312"/>
          <w:b/>
          <w:sz w:val="32"/>
          <w:szCs w:val="32"/>
        </w:rPr>
        <w:t>九</w:t>
      </w:r>
      <w:r>
        <w:rPr>
          <w:rFonts w:hint="eastAsia" w:ascii="仿宋_GB2312" w:hAnsi="仿宋" w:eastAsia="仿宋_GB2312" w:cs="仿宋_GB2312"/>
          <w:b/>
          <w:sz w:val="30"/>
          <w:szCs w:val="30"/>
        </w:rPr>
        <w:t>、联合体协议</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（以联合体形式投标的，提供联合体协议；本项目不允许联合体投标，或者投标人不以联合体形式投标的，则不需要提供）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乙方：</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各方经协商一致，决定组成一个联合体，以一个投标人的身份就</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】共同投标。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Arial"/>
          <w:sz w:val="24"/>
        </w:rPr>
        <w:t>指定</w:t>
      </w:r>
      <w:r>
        <w:rPr>
          <w:rFonts w:hint="eastAsia" w:ascii="仿宋_GB2312" w:hAnsi="仿宋" w:eastAsia="仿宋_GB2312"/>
          <w:u w:val="single"/>
        </w:rPr>
        <w:t xml:space="preserve">   </w:t>
      </w:r>
      <w:r>
        <w:rPr>
          <w:rFonts w:hint="eastAsia" w:ascii="仿宋_GB2312" w:hAnsi="仿宋" w:eastAsia="仿宋_GB2312" w:cs="Arial"/>
          <w:sz w:val="24"/>
        </w:rPr>
        <w:t>方牵头人，代表所有联合体成员负责投标和合同实施阶段的主办、协调工作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三、本次联合投标中，分工如下：甲方承担的工作和义务为：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；乙方承担的工作和义务为：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甲方单位：    （公章/ 电子签名）    乙方单位：      （公章/ 电子签名）</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adjustRightInd w:val="0"/>
        <w:snapToGrid w:val="0"/>
        <w:spacing w:before="50" w:after="50" w:line="360" w:lineRule="auto"/>
        <w:jc w:val="both"/>
        <w:rPr>
          <w:rFonts w:hint="eastAsia" w:ascii="仿宋_GB2312" w:hAnsi="仿宋" w:eastAsia="仿宋_GB2312" w:cs="仿宋_GB2312"/>
          <w:b/>
          <w:sz w:val="32"/>
          <w:szCs w:val="32"/>
          <w:lang w:eastAsia="zh-CN"/>
        </w:rPr>
      </w:pPr>
    </w:p>
    <w:p>
      <w:pPr>
        <w:adjustRightInd w:val="0"/>
        <w:snapToGrid w:val="0"/>
        <w:spacing w:line="360" w:lineRule="auto"/>
        <w:ind w:firstLine="3614" w:firstLineChars="1000"/>
        <w:rPr>
          <w:rFonts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（1）投标响应函……………………………………………………（页码）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（2）投标（开标）一览表…………………………………………（页码）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（3）中小企业声明函………………………………………………（页码）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(投标人全称)授权</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(全权代表姓名)</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1、我方同意在投标人</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(1)具有独立承担民事责任的能力；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(4)良好的资金、财务状况；</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(6)没有违反政府采购法规、政策的记录；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(7)没有发生重大经济纠纷和走私犯罪记录。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3、我方中标后拟在中标后将</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工作分包，分包承担主体是</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，我方承诺分包承担主体具备相应资质条件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4、提供</w:t>
      </w:r>
      <w:r>
        <w:rPr>
          <w:rFonts w:hint="eastAsia" w:ascii="仿宋_GB2312" w:hAnsi="仿宋" w:eastAsia="仿宋_GB2312" w:cs="仿宋_GB2312"/>
          <w:snapToGrid w:val="0"/>
          <w:kern w:val="44"/>
          <w:sz w:val="24"/>
          <w:szCs w:val="21"/>
        </w:rPr>
        <w:t>投标人须知</w:t>
      </w:r>
      <w:r>
        <w:rPr>
          <w:rFonts w:hint="eastAsia" w:ascii="仿宋_GB2312" w:hAnsi="仿宋" w:eastAsia="仿宋_GB2312" w:cs="仿宋_GB2312"/>
          <w:snapToGrid w:val="0"/>
          <w:sz w:val="24"/>
          <w:szCs w:val="21"/>
        </w:rPr>
        <w:t>规定的全部投标文件</w:t>
      </w:r>
      <w:r>
        <w:rPr>
          <w:rFonts w:hint="eastAsia" w:ascii="仿宋_GB2312" w:hAnsi="仿宋" w:eastAsia="仿宋_GB2312" w:cs="仿宋_GB2312"/>
          <w:snapToGrid w:val="0"/>
          <w:kern w:val="44"/>
          <w:sz w:val="24"/>
          <w:szCs w:val="21"/>
        </w:rPr>
        <w:t>。</w:t>
      </w:r>
      <w:r>
        <w:rPr>
          <w:rFonts w:hint="eastAsia" w:ascii="仿宋_GB2312" w:hAnsi="仿宋" w:eastAsia="仿宋_GB2312" w:cs="仿宋_GB2312"/>
          <w:snapToGrid w:val="0"/>
          <w:sz w:val="24"/>
          <w:szCs w:val="21"/>
        </w:rPr>
        <w:t>具体内容为：</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(2)投标</w:t>
      </w:r>
      <w:r>
        <w:rPr>
          <w:rFonts w:hint="eastAsia" w:ascii="仿宋_GB2312" w:hAnsi="仿宋" w:eastAsia="仿宋_GB2312" w:cs="仿宋_GB2312"/>
          <w:kern w:val="0"/>
          <w:sz w:val="24"/>
          <w:szCs w:val="24"/>
          <w:lang w:val="zh-CN"/>
        </w:rPr>
        <w:t>技术文件和</w:t>
      </w:r>
      <w:r>
        <w:rPr>
          <w:rFonts w:hint="eastAsia" w:ascii="仿宋_GB2312" w:hAnsi="仿宋" w:eastAsia="仿宋_GB2312" w:cs="仿宋_GB2312"/>
          <w:sz w:val="24"/>
          <w:szCs w:val="24"/>
          <w:lang w:val="zh-CN"/>
        </w:rPr>
        <w:t>商务文件</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要求投标人提交的全部文件；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(6)保证遵守招标文件中的其他有关规定。</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5、我方承诺投标有效期从提交投标文件的截止之日起</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a)提供虚假材料谋取中标、成交的；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b)采取不正当手段诋毁、排挤其他供应商的；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f)拒绝有关部门监督检查或提供虚假情况的。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供应商有前款第a)至e)项情形之一的，中标、成交无效。</w:t>
      </w:r>
    </w:p>
    <w:p>
      <w:pPr>
        <w:adjustRightInd w:val="0"/>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 xml:space="preserve">投标人名称（电子签名）：                          </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kern w:val="0"/>
          <w:sz w:val="24"/>
          <w:szCs w:val="24"/>
          <w:u w:val="single"/>
          <w:lang w:val="zh-CN"/>
        </w:rPr>
      </w:pP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联系人：</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 xml:space="preserve">联系电话： </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联系地址：</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邮政编码：</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传真号码：</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b/>
          <w:kern w:val="0"/>
          <w:sz w:val="24"/>
          <w:szCs w:val="24"/>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sz w:val="32"/>
          <w:szCs w:val="32"/>
        </w:rPr>
      </w:pPr>
      <w:r>
        <w:rPr>
          <w:rFonts w:hint="eastAsia" w:ascii="仿宋_GB2312" w:hAnsi="仿宋" w:eastAsia="仿宋_GB2312" w:cs="仿宋_GB2312"/>
          <w:b/>
          <w:sz w:val="32"/>
          <w:szCs w:val="32"/>
        </w:rPr>
        <w:t>二、投标(开标)一览表</w:t>
      </w:r>
    </w:p>
    <w:p>
      <w:pPr>
        <w:adjustRightInd w:val="0"/>
        <w:snapToGrid w:val="0"/>
        <w:spacing w:line="360" w:lineRule="auto"/>
        <w:rPr>
          <w:rFonts w:ascii="仿宋_GB2312" w:hAnsi="仿宋" w:eastAsia="仿宋_GB2312" w:cs="仿宋_GB2312"/>
          <w:kern w:val="0"/>
          <w:sz w:val="24"/>
          <w:szCs w:val="24"/>
        </w:rPr>
      </w:pPr>
      <w:bookmarkStart w:id="555"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rPr>
        <w:t>XXXXXX项目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XXX】的实施</w:t>
      </w:r>
      <w:r>
        <w:rPr>
          <w:rFonts w:hint="eastAsia" w:ascii="仿宋_GB2312" w:hAnsi="仿宋" w:eastAsia="仿宋_GB2312" w:cs="仿宋_GB2312"/>
          <w:kern w:val="0"/>
          <w:sz w:val="24"/>
          <w:szCs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62"/>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14"/>
        <w:gridCol w:w="1559"/>
        <w:gridCol w:w="1155"/>
        <w:gridCol w:w="1192"/>
        <w:gridCol w:w="907"/>
        <w:gridCol w:w="786"/>
        <w:gridCol w:w="77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5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714"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名称</w:t>
            </w:r>
          </w:p>
        </w:tc>
        <w:tc>
          <w:tcPr>
            <w:tcW w:w="787" w:type="pct"/>
            <w:vAlign w:val="center"/>
          </w:tcPr>
          <w:p>
            <w:pPr>
              <w:adjustRightInd w:val="0"/>
              <w:spacing w:line="360" w:lineRule="auto"/>
              <w:jc w:val="center"/>
              <w:rPr>
                <w:rFonts w:hint="eastAsia" w:ascii="仿宋_GB2312" w:hAnsi="仿宋" w:eastAsia="仿宋_GB2312" w:cs="Times New Roman"/>
                <w:b/>
                <w:sz w:val="24"/>
                <w:szCs w:val="24"/>
                <w:lang w:eastAsia="zh-CN"/>
              </w:rPr>
            </w:pPr>
            <w:r>
              <w:rPr>
                <w:rFonts w:hint="eastAsia" w:ascii="仿宋_GB2312" w:hAnsi="仿宋" w:eastAsia="仿宋_GB2312" w:cs="Times New Roman"/>
                <w:b/>
                <w:sz w:val="24"/>
                <w:szCs w:val="24"/>
                <w:lang w:eastAsia="zh-CN"/>
              </w:rPr>
              <w:t>制造商名称</w:t>
            </w:r>
          </w:p>
        </w:tc>
        <w:tc>
          <w:tcPr>
            <w:tcW w:w="583"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品牌</w:t>
            </w:r>
          </w:p>
        </w:tc>
        <w:tc>
          <w:tcPr>
            <w:tcW w:w="60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规格型号</w:t>
            </w:r>
          </w:p>
        </w:tc>
        <w:tc>
          <w:tcPr>
            <w:tcW w:w="458"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数量</w:t>
            </w:r>
          </w:p>
        </w:tc>
        <w:tc>
          <w:tcPr>
            <w:tcW w:w="397"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391"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06"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714" w:type="pct"/>
            <w:vAlign w:val="center"/>
          </w:tcPr>
          <w:p>
            <w:pPr>
              <w:adjustRightInd w:val="0"/>
              <w:snapToGrid w:val="0"/>
              <w:spacing w:line="360" w:lineRule="auto"/>
              <w:jc w:val="center"/>
              <w:rPr>
                <w:rFonts w:ascii="仿宋_GB2312" w:hAnsi="仿宋" w:eastAsia="仿宋_GB2312" w:cs="仿宋_GB2312"/>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714" w:type="pct"/>
            <w:vAlign w:val="center"/>
          </w:tcPr>
          <w:p>
            <w:pPr>
              <w:adjustRightInd w:val="0"/>
              <w:snapToGrid w:val="0"/>
              <w:spacing w:line="360" w:lineRule="auto"/>
              <w:jc w:val="center"/>
              <w:rPr>
                <w:rFonts w:ascii="仿宋_GB2312" w:hAnsi="宋体" w:eastAsia="仿宋_GB2312" w:cs="Times New Roman"/>
                <w:b/>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9"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714"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787" w:type="pct"/>
            <w:vAlign w:val="center"/>
          </w:tcPr>
          <w:p>
            <w:pPr>
              <w:adjustRightInd w:val="0"/>
              <w:snapToGrid w:val="0"/>
              <w:spacing w:line="360" w:lineRule="auto"/>
              <w:jc w:val="center"/>
              <w:rPr>
                <w:rFonts w:ascii="仿宋_GB2312" w:hAnsi="仿宋" w:eastAsia="仿宋_GB2312" w:cs="仿宋_GB2312"/>
                <w:sz w:val="24"/>
                <w:szCs w:val="24"/>
              </w:rPr>
            </w:pPr>
          </w:p>
        </w:tc>
        <w:tc>
          <w:tcPr>
            <w:tcW w:w="583" w:type="pct"/>
            <w:vAlign w:val="center"/>
          </w:tcPr>
          <w:p>
            <w:pPr>
              <w:adjustRightInd w:val="0"/>
              <w:snapToGrid w:val="0"/>
              <w:spacing w:line="360" w:lineRule="auto"/>
              <w:jc w:val="center"/>
              <w:rPr>
                <w:rFonts w:ascii="仿宋_GB2312" w:hAnsi="仿宋" w:eastAsia="仿宋_GB2312" w:cs="仿宋_GB2312"/>
                <w:sz w:val="24"/>
                <w:szCs w:val="24"/>
              </w:rPr>
            </w:pPr>
          </w:p>
        </w:tc>
        <w:tc>
          <w:tcPr>
            <w:tcW w:w="601" w:type="pct"/>
            <w:vAlign w:val="center"/>
          </w:tcPr>
          <w:p>
            <w:pPr>
              <w:adjustRightInd w:val="0"/>
              <w:snapToGrid w:val="0"/>
              <w:spacing w:line="360" w:lineRule="auto"/>
              <w:jc w:val="center"/>
              <w:rPr>
                <w:rFonts w:ascii="仿宋_GB2312" w:hAnsi="仿宋" w:eastAsia="仿宋_GB2312" w:cs="仿宋_GB2312"/>
                <w:sz w:val="24"/>
                <w:szCs w:val="24"/>
              </w:rPr>
            </w:pPr>
          </w:p>
        </w:tc>
        <w:tc>
          <w:tcPr>
            <w:tcW w:w="458" w:type="pct"/>
            <w:vAlign w:val="center"/>
          </w:tcPr>
          <w:p>
            <w:pPr>
              <w:adjustRightInd w:val="0"/>
              <w:snapToGrid w:val="0"/>
              <w:spacing w:line="360" w:lineRule="auto"/>
              <w:jc w:val="center"/>
              <w:rPr>
                <w:rFonts w:ascii="仿宋_GB2312" w:hAnsi="仿宋" w:eastAsia="仿宋_GB2312" w:cs="仿宋_GB2312"/>
                <w:sz w:val="24"/>
                <w:szCs w:val="24"/>
              </w:rPr>
            </w:pPr>
          </w:p>
        </w:tc>
        <w:tc>
          <w:tcPr>
            <w:tcW w:w="397" w:type="pct"/>
            <w:vAlign w:val="center"/>
          </w:tcPr>
          <w:p>
            <w:pPr>
              <w:adjustRightInd w:val="0"/>
              <w:spacing w:line="360" w:lineRule="auto"/>
              <w:jc w:val="center"/>
              <w:rPr>
                <w:rFonts w:ascii="仿宋_GB2312" w:hAnsi="仿宋" w:eastAsia="仿宋_GB2312" w:cs="仿宋_GB2312"/>
                <w:sz w:val="24"/>
                <w:szCs w:val="24"/>
              </w:rPr>
            </w:pPr>
          </w:p>
        </w:tc>
        <w:tc>
          <w:tcPr>
            <w:tcW w:w="391" w:type="pct"/>
            <w:vAlign w:val="center"/>
          </w:tcPr>
          <w:p>
            <w:pPr>
              <w:adjustRightInd w:val="0"/>
              <w:spacing w:line="360" w:lineRule="auto"/>
              <w:jc w:val="center"/>
              <w:rPr>
                <w:rFonts w:ascii="仿宋_GB2312" w:hAnsi="仿宋" w:eastAsia="仿宋_GB2312" w:cs="仿宋_GB2312"/>
                <w:sz w:val="24"/>
                <w:szCs w:val="24"/>
              </w:rPr>
            </w:pPr>
          </w:p>
        </w:tc>
        <w:tc>
          <w:tcPr>
            <w:tcW w:w="706"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59" w:type="pct"/>
            <w:vAlign w:val="center"/>
          </w:tcPr>
          <w:p>
            <w:pPr>
              <w:adjustRightInd w:val="0"/>
              <w:spacing w:line="360" w:lineRule="auto"/>
              <w:jc w:val="center"/>
              <w:rPr>
                <w:rFonts w:hint="eastAsia" w:ascii="仿宋_GB2312" w:hAnsi="仿宋" w:eastAsia="仿宋_GB2312" w:cs="仿宋_GB2312"/>
                <w:b/>
                <w:sz w:val="24"/>
                <w:szCs w:val="24"/>
              </w:rPr>
            </w:pPr>
          </w:p>
        </w:tc>
        <w:tc>
          <w:tcPr>
            <w:tcW w:w="2686"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1954" w:type="pct"/>
            <w:gridSpan w:val="4"/>
            <w:vAlign w:val="center"/>
          </w:tcPr>
          <w:p>
            <w:pPr>
              <w:adjustRightInd w:val="0"/>
              <w:spacing w:line="360" w:lineRule="auto"/>
              <w:jc w:val="center"/>
              <w:rPr>
                <w:rFonts w:ascii="仿宋_GB2312" w:hAnsi="仿宋" w:eastAsia="仿宋_GB2312" w:cs="仿宋_GB2312"/>
                <w:sz w:val="24"/>
                <w:szCs w:val="24"/>
              </w:rPr>
            </w:pPr>
          </w:p>
        </w:tc>
      </w:tr>
    </w:tbl>
    <w:p>
      <w:pPr>
        <w:adjustRightInd w:val="0"/>
        <w:snapToGrid w:val="0"/>
        <w:spacing w:line="360" w:lineRule="auto"/>
        <w:ind w:left="480"/>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注：</w:t>
      </w:r>
    </w:p>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auto"/>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en-US" w:eastAsia="zh-CN"/>
        </w:rPr>
        <w:t>3</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、特别提示：采购机构将对项目名称和项目编号，中标供应商名称、地址和中标金额，主要中标标的的名称、规格型号、数量、单价、服务要求等予以公示。</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en-US" w:eastAsia="zh-CN"/>
        </w:rPr>
        <w:t>4</w:t>
      </w:r>
      <w:r>
        <w:rPr>
          <w:rFonts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w:t>
      </w:r>
      <w:r>
        <w:rPr>
          <w:rFonts w:ascii="仿宋_GB2312" w:hAnsi="仿宋" w:eastAsia="仿宋_GB2312" w:cs="仿宋_GB2312"/>
          <w:kern w:val="0"/>
          <w:sz w:val="24"/>
          <w:szCs w:val="24"/>
          <w:lang w:val="zh-CN"/>
        </w:rPr>
        <w:t>提供</w:t>
      </w:r>
      <w:r>
        <w:rPr>
          <w:rFonts w:hint="eastAsia" w:ascii="仿宋_GB2312" w:hAnsi="仿宋" w:eastAsia="仿宋_GB2312" w:cs="仿宋_GB2312"/>
          <w:kern w:val="0"/>
          <w:sz w:val="24"/>
          <w:szCs w:val="24"/>
          <w:lang w:val="zh-CN"/>
        </w:rPr>
        <w:t>的中小企业</w:t>
      </w:r>
      <w:r>
        <w:rPr>
          <w:rFonts w:ascii="仿宋_GB2312" w:hAnsi="仿宋" w:eastAsia="仿宋_GB2312" w:cs="仿宋_GB2312"/>
          <w:kern w:val="0"/>
          <w:sz w:val="24"/>
          <w:szCs w:val="24"/>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kern w:val="0"/>
          <w:sz w:val="24"/>
          <w:szCs w:val="24"/>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right"/>
        <w:rPr>
          <w:rFonts w:ascii="仿宋_GB2312" w:hAnsi="仿宋" w:eastAsia="仿宋_GB2312" w:cs="仿宋_GB2312"/>
          <w:sz w:val="24"/>
          <w:szCs w:val="24"/>
        </w:rPr>
      </w:pPr>
      <w:r>
        <w:rPr>
          <w:rFonts w:hint="eastAsia" w:ascii="仿宋_GB2312" w:hAnsi="仿宋" w:eastAsia="仿宋_GB2312" w:cs="仿宋_GB2312"/>
          <w:sz w:val="24"/>
          <w:szCs w:val="24"/>
          <w:lang w:eastAsia="zh-CN"/>
        </w:rPr>
        <w:t>投标</w:t>
      </w:r>
      <w:r>
        <w:rPr>
          <w:rFonts w:hint="eastAsia" w:ascii="仿宋_GB2312" w:hAnsi="仿宋" w:eastAsia="仿宋_GB2312" w:cs="仿宋_GB2312"/>
          <w:sz w:val="24"/>
          <w:szCs w:val="24"/>
        </w:rPr>
        <w:t>人名称（电子签名）：</w:t>
      </w:r>
    </w:p>
    <w:p>
      <w:pPr>
        <w:adjustRightInd w:val="0"/>
        <w:spacing w:line="360" w:lineRule="auto"/>
        <w:ind w:right="480"/>
        <w:jc w:val="center"/>
        <w:rPr>
          <w:rFonts w:ascii="仿宋_GB2312" w:hAnsi="仿宋" w:eastAsia="仿宋_GB2312" w:cs="仿宋_GB2312"/>
          <w:sz w:val="36"/>
          <w:szCs w:val="36"/>
          <w:lang w:val="zh-CN"/>
        </w:rPr>
        <w:sectPr>
          <w:pgSz w:w="11906" w:h="16838"/>
          <w:pgMar w:top="1276" w:right="1418" w:bottom="1247" w:left="1418" w:header="851" w:footer="992" w:gutter="0"/>
          <w:cols w:space="720" w:num="1"/>
          <w:titlePg/>
          <w:docGrid w:linePitch="312" w:charSpace="0"/>
        </w:sect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 xml:space="preserve">日期：  年   月  </w:t>
      </w:r>
      <w:bookmarkEnd w:id="555"/>
    </w:p>
    <w:p>
      <w:pPr>
        <w:pStyle w:val="625"/>
        <w:keepNext w:val="0"/>
        <w:pageBreakBefore w:val="0"/>
        <w:tabs>
          <w:tab w:val="clear" w:pos="720"/>
        </w:tabs>
        <w:snapToGrid w:val="0"/>
        <w:spacing w:before="120" w:after="120"/>
        <w:jc w:val="center"/>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仿宋" w:eastAsia="仿宋_GB2312" w:cs="仿宋_GB2312"/>
          <w:sz w:val="24"/>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36"/>
          <w:szCs w:val="36"/>
        </w:rPr>
      </w:pPr>
      <w:r>
        <w:rPr>
          <w:rFonts w:hint="eastAsia" w:ascii="仿宋_GB2312" w:hAnsi="仿宋" w:eastAsia="仿宋_GB2312" w:cs="仿宋_GB2312"/>
          <w:sz w:val="24"/>
        </w:rPr>
        <w:t xml:space="preserve">  </w:t>
      </w:r>
      <w:r>
        <w:rPr>
          <w:rFonts w:hint="eastAsia" w:ascii="仿宋_GB2312" w:hAnsi="仿宋" w:eastAsia="仿宋_GB2312" w:cs="仿宋_GB2312"/>
          <w:sz w:val="22"/>
          <w:szCs w:val="21"/>
        </w:rPr>
        <w:t xml:space="preserve"> </w:t>
      </w:r>
      <w:r>
        <w:rPr>
          <w:rFonts w:hint="eastAsia" w:ascii="仿宋_GB2312" w:hAnsi="仿宋" w:eastAsia="仿宋_GB2312" w:cs="仿宋_GB2312"/>
          <w:sz w:val="24"/>
          <w:szCs w:val="22"/>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pStyle w:val="78"/>
        <w:rPr>
          <w:rFonts w:hint="eastAsia" w:eastAsia="仿宋_GB2312"/>
          <w:b/>
          <w:bCs/>
          <w:sz w:val="24"/>
          <w:szCs w:val="24"/>
          <w:lang w:eastAsia="zh-CN"/>
        </w:rPr>
      </w:pPr>
      <w:r>
        <w:rPr>
          <w:rFonts w:hint="eastAsia"/>
          <w:b/>
          <w:bCs/>
          <w:sz w:val="24"/>
          <w:szCs w:val="24"/>
          <w:lang w:eastAsia="zh-CN"/>
        </w:rPr>
        <w:t>采购标的：见下表：所属行业：工业</w:t>
      </w: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4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55寸LCD显示单元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55寸屏支架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大屏拼接控制设备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无线投屏盒子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智能交互会议平板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智能交互会议平板支架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多媒体地插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无线手持话筒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手拉手会议主机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手拉手主席单元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手拉手代表单元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手拉手专用线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多媒体管控平台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编程软件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8路电源管理器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无线控制终端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控制机柜（27U)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46寸LCD显示单元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46寸屏支架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分体机双屏电脑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分体机单屏电脑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22寸壁挂播控一体机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立式信息发布屏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档案自助查阅机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无线取号机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无线叫号器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无线评价器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面板式AP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线阵低音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返听功放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台唇功放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无线头戴话筒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有线会议话筒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12路自动混音器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有源监听音箱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音箱地插盒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线阵音箱支架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控制机柜（32U)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分布式交互管理软件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2路分布式视频输入节点（带音频）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2路分布式视频输出节点（带音频）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控制系统主机模块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DANTE网络扩展箱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4路HDMI输入板卡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4路HDMI输出板卡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便携式录播主机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视频会议摄像机接口地插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室内LED大屏P2.5（中间大屏）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室内LED大屏P2.5（侧边大屏）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电子会标LED屏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LED大屏控制卡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LED屏异步控制卡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室内大屏框架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PLC智能控制配电箱（20KW)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网络功放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16路调音台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2路分布式视频输入节点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2路分布式视频输出节点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分布式控制扩展终端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PLC智能控制配电箱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多媒体桌插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15.6寸带话筒无纸化一体机升降机(含话筒)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无纸化会议控制电脑主机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无纸化后台管理软件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无纸化会议终端客户端软件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手拉手数字会议主机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投影同屏控制器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无纸化流媒体服务器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无线会议话筒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室内LED大屏P2.5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嵌入式信息发布系统软件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信息发布客户端授权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会议预定软件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会议预定接口软件</w:t>
            </w:r>
          </w:p>
        </w:tc>
      </w:tr>
    </w:tbl>
    <w:p>
      <w:pPr>
        <w:pStyle w:val="78"/>
        <w:rPr>
          <w:sz w:val="24"/>
          <w:szCs w:val="24"/>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）资信文件复印件（如果要求提供）…………………………</w:t>
      </w:r>
      <w:r>
        <w:rPr>
          <w:rFonts w:hint="eastAsia" w:ascii="仿宋_GB2312" w:hAnsi="仿宋_GB2312" w:eastAsia="仿宋_GB2312" w:cs="仿宋_GB2312"/>
          <w:lang w:val="zh-CN"/>
        </w:rPr>
        <w:t>…</w:t>
      </w:r>
      <w:r>
        <w:rPr>
          <w:rFonts w:hint="eastAsia" w:ascii="仿宋_GB2312" w:hAnsi="仿宋_GB2312" w:eastAsia="仿宋_GB2312" w:cs="仿宋_GB2312"/>
        </w:rPr>
        <w:t>…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zh-CN"/>
        </w:rPr>
        <w:t>主要业绩证明… ……………………………………………………</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bookmarkStart w:id="556" w:name="OLE_LINK6"/>
      <w:bookmarkStart w:id="557" w:name="OLE_LINK7"/>
      <w:bookmarkStart w:id="558" w:name="OLE_LINK5"/>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）其他商务文件或说明</w:t>
      </w:r>
      <w:r>
        <w:rPr>
          <w:rFonts w:hint="eastAsia" w:ascii="仿宋_GB2312" w:hAnsi="仿宋_GB2312" w:eastAsia="仿宋_GB2312" w:cs="仿宋_GB2312"/>
          <w:lang w:val="zh-CN"/>
        </w:rPr>
        <w:t xml:space="preserve">……………………………………………… </w:t>
      </w:r>
      <w:r>
        <w:rPr>
          <w:rFonts w:hint="eastAsia" w:ascii="仿宋_GB2312" w:hAnsi="仿宋_GB2312" w:eastAsia="仿宋_GB2312" w:cs="仿宋_GB2312"/>
        </w:rPr>
        <w:t>（页码）</w:t>
      </w:r>
      <w:bookmarkEnd w:id="556"/>
      <w:bookmarkEnd w:id="557"/>
    </w:p>
    <w:bookmarkEnd w:id="558"/>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 w:eastAsia="仿宋_GB2312" w:cs="仿宋_GB2312"/>
          <w:kern w:val="0"/>
          <w:sz w:val="24"/>
        </w:rPr>
        <w:t>技术解决方案</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 w:eastAsia="仿宋_GB2312" w:cs="仿宋_GB2312"/>
          <w:kern w:val="0"/>
          <w:sz w:val="24"/>
        </w:rPr>
        <w:t>技术偏离说明表</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）组织实施方案………………………………………………………（页码）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w:t>
      </w:r>
      <w:r>
        <w:rPr>
          <w:rFonts w:hint="eastAsia" w:ascii="仿宋_GB2312" w:hAnsi="仿宋" w:eastAsia="仿宋_GB2312" w:cs="仿宋_GB2312"/>
          <w:kern w:val="0"/>
          <w:sz w:val="24"/>
        </w:rPr>
        <w:t>售后服务方案</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w:t>
      </w:r>
      <w:r>
        <w:rPr>
          <w:rFonts w:hint="eastAsia" w:ascii="仿宋_GB2312" w:hAnsi="仿宋" w:eastAsia="仿宋_GB2312" w:cs="仿宋_GB2312"/>
          <w:kern w:val="0"/>
          <w:sz w:val="24"/>
        </w:rPr>
        <w:t>项目小组人员名单</w:t>
      </w:r>
      <w:r>
        <w:rPr>
          <w:rFonts w:hint="eastAsia" w:ascii="仿宋_GB2312" w:hAnsi="仿宋_GB2312" w:eastAsia="仿宋_GB2312" w:cs="仿宋_GB2312"/>
        </w:rPr>
        <w:t xml:space="preserve">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hAnsi="仿宋_GB2312" w:cs="仿宋_GB2312"/>
          <w:lang w:val="en-US" w:eastAsia="zh-CN"/>
        </w:rPr>
        <w:t>9</w:t>
      </w:r>
      <w:r>
        <w:rPr>
          <w:rFonts w:hint="eastAsia" w:ascii="仿宋_GB2312" w:hAnsi="仿宋_GB2312" w:eastAsia="仿宋_GB2312" w:cs="仿宋_GB2312"/>
        </w:rPr>
        <w:t>）</w:t>
      </w:r>
      <w:r>
        <w:rPr>
          <w:rFonts w:hint="eastAsia" w:ascii="仿宋_GB2312" w:hAnsi="仿宋" w:eastAsia="仿宋_GB2312" w:cs="仿宋_GB2312"/>
          <w:kern w:val="0"/>
          <w:sz w:val="24"/>
          <w:lang w:val="zh-CN"/>
        </w:rPr>
        <w:t>优惠条件及特殊承诺</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val="en-US" w:eastAsia="zh-CN"/>
        </w:rPr>
        <w:t>0</w:t>
      </w:r>
      <w:r>
        <w:rPr>
          <w:rFonts w:hint="eastAsia" w:ascii="仿宋_GB2312" w:hAnsi="仿宋_GB2312" w:eastAsia="仿宋_GB2312" w:cs="仿宋_GB2312"/>
        </w:rPr>
        <w:t>）</w:t>
      </w:r>
      <w:r>
        <w:rPr>
          <w:rFonts w:hint="eastAsia" w:ascii="仿宋_GB2312" w:hAnsi="仿宋" w:eastAsia="仿宋_GB2312" w:cs="仿宋_GB2312"/>
          <w:kern w:val="0"/>
          <w:sz w:val="24"/>
          <w:lang w:val="zh-CN"/>
        </w:rPr>
        <w:t>备品备件及供选择的配套零部件清单</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 w:eastAsia="仿宋_GB2312" w:cs="仿宋_GB2312"/>
          <w:kern w:val="0"/>
          <w:sz w:val="24"/>
        </w:rPr>
      </w:pPr>
      <w:r>
        <w:rPr>
          <w:rFonts w:hint="eastAsia" w:cs="仿宋_GB2312"/>
          <w:kern w:val="0"/>
          <w:sz w:val="24"/>
          <w:lang w:val="zh-CN"/>
        </w:rPr>
        <w:t>（</w:t>
      </w:r>
      <w:r>
        <w:rPr>
          <w:rFonts w:hint="eastAsia" w:cs="仿宋_GB2312"/>
          <w:kern w:val="0"/>
          <w:sz w:val="24"/>
          <w:lang w:val="en-US" w:eastAsia="zh-CN"/>
        </w:rPr>
        <w:t>11</w:t>
      </w:r>
      <w:r>
        <w:rPr>
          <w:rFonts w:hint="eastAsia" w:cs="仿宋_GB2312"/>
          <w:kern w:val="0"/>
          <w:sz w:val="24"/>
          <w:lang w:val="zh-CN"/>
        </w:rPr>
        <w:t>）</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eastAsia="zh-CN"/>
        </w:rPr>
      </w:pPr>
      <w:r>
        <w:rPr>
          <w:rFonts w:hint="eastAsia" w:ascii="仿宋_GB2312" w:hAnsi="仿宋" w:eastAsia="仿宋_GB2312" w:cs="仿宋_GB2312"/>
          <w:kern w:val="0"/>
          <w:sz w:val="24"/>
          <w:lang w:val="zh-CN" w:eastAsia="zh-CN"/>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lang w:val="zh-CN" w:eastAsia="zh-CN"/>
        </w:rPr>
        <w:t>）廉政承诺书</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pStyle w:val="436"/>
        <w:spacing w:line="360" w:lineRule="auto"/>
        <w:rPr>
          <w:rFonts w:hint="eastAsia" w:ascii="仿宋_GB2312" w:hAnsi="仿宋" w:eastAsia="仿宋_GB2312" w:cs="仿宋_GB2312"/>
          <w:kern w:val="0"/>
          <w:sz w:val="24"/>
          <w:lang w:val="zh-CN"/>
        </w:rPr>
      </w:pPr>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注：以上目录是基本格式要求，各投标人可根据自身情况进一步细化。</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both"/>
        <w:rPr>
          <w:rFonts w:hint="eastAsia" w:ascii="仿宋" w:hAnsi="仿宋" w:eastAsia="仿宋" w:cs="仿宋"/>
          <w:b/>
          <w:sz w:val="32"/>
          <w:szCs w:val="32"/>
          <w:lang w:eastAsia="zh-CN"/>
        </w:rPr>
      </w:pPr>
    </w:p>
    <w:p>
      <w:pPr>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、资信文件复印件（如果要求提供）</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pacing w:line="360" w:lineRule="auto"/>
        <w:jc w:val="center"/>
        <w:rPr>
          <w:rFonts w:hint="eastAsia" w:ascii="仿宋_GB2312" w:hAnsi="仿宋_GB2312" w:eastAsia="仿宋_GB2312" w:cs="仿宋_GB2312"/>
          <w:b/>
          <w:bCs/>
          <w:sz w:val="32"/>
          <w:szCs w:val="32"/>
        </w:rPr>
      </w:pPr>
    </w:p>
    <w:p>
      <w:pPr>
        <w:snapToGrid w:val="0"/>
        <w:spacing w:line="360" w:lineRule="auto"/>
        <w:ind w:firstLine="576"/>
        <w:jc w:val="center"/>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0"/>
          <w:sz w:val="24"/>
          <w:lang w:val="zh-CN"/>
        </w:rPr>
        <w:t xml:space="preserve">                   日期：  年  月</w:t>
      </w:r>
      <w:r>
        <w:rPr>
          <w:rFonts w:hint="eastAsia" w:ascii="仿宋_GB2312" w:hAnsi="仿宋_GB2312" w:eastAsia="仿宋_GB2312" w:cs="仿宋_GB2312"/>
          <w:kern w:val="0"/>
          <w:sz w:val="24"/>
          <w:lang w:val="en-US" w:eastAsia="zh-CN"/>
        </w:rPr>
        <w:t xml:space="preserve">  日</w:t>
      </w: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w:t>
      </w:r>
      <w:bookmarkStart w:id="559" w:name="OLE_LINK17"/>
      <w:bookmarkStart w:id="560" w:name="OLE_LINK16"/>
      <w:r>
        <w:rPr>
          <w:rFonts w:hint="eastAsia" w:ascii="仿宋_GB2312" w:hAnsi="仿宋_GB2312" w:eastAsia="仿宋_GB2312" w:cs="仿宋_GB2312"/>
          <w:b/>
          <w:bCs/>
          <w:sz w:val="32"/>
          <w:szCs w:val="32"/>
        </w:rPr>
        <w:t>其他商务文件或说明</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bookmarkStart w:id="561" w:name="OLE_LINK11"/>
      <w:bookmarkStart w:id="562" w:name="OLE_LINK10"/>
      <w:r>
        <w:rPr>
          <w:rFonts w:hint="eastAsia" w:ascii="仿宋_GB2312" w:hAnsi="仿宋_GB2312" w:eastAsia="仿宋_GB2312" w:cs="仿宋_GB2312"/>
          <w:sz w:val="24"/>
        </w:rPr>
        <w:t>其他商务文件或说明由投标人根据采购需求自行编制</w:t>
      </w:r>
      <w:bookmarkEnd w:id="561"/>
      <w:bookmarkEnd w:id="562"/>
      <w:r>
        <w:rPr>
          <w:rFonts w:hint="eastAsia" w:ascii="仿宋_GB2312" w:hAnsi="仿宋_GB2312" w:eastAsia="仿宋_GB2312" w:cs="仿宋_GB2312"/>
          <w:sz w:val="24"/>
        </w:rPr>
        <w:t>）</w:t>
      </w:r>
    </w:p>
    <w:bookmarkEnd w:id="559"/>
    <w:bookmarkEnd w:id="560"/>
    <w:p>
      <w:pPr>
        <w:spacing w:line="360" w:lineRule="auto"/>
        <w:jc w:val="center"/>
        <w:rPr>
          <w:rFonts w:hint="eastAsia" w:ascii="仿宋_GB2312" w:hAnsi="仿宋_GB2312" w:eastAsia="仿宋_GB2312" w:cs="仿宋_GB2312"/>
          <w:sz w:val="24"/>
        </w:rPr>
      </w:pPr>
    </w:p>
    <w:p>
      <w:pPr>
        <w:autoSpaceDE w:val="0"/>
        <w:autoSpaceDN w:val="0"/>
        <w:spacing w:line="360" w:lineRule="auto"/>
        <w:ind w:firstLine="4800" w:firstLineChars="20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rPr>
          <w:rFonts w:hint="eastAsia" w:ascii="仿宋_GB2312" w:hAnsi="仿宋_GB2312" w:eastAsia="仿宋_GB2312" w:cs="仿宋_GB2312"/>
          <w:kern w:val="0"/>
          <w:sz w:val="24"/>
          <w:lang w:val="zh-CN"/>
        </w:rPr>
      </w:pPr>
    </w:p>
    <w:p>
      <w:pPr>
        <w:autoSpaceDE w:val="0"/>
        <w:autoSpaceDN w:val="0"/>
        <w:spacing w:line="360" w:lineRule="auto"/>
        <w:rPr>
          <w:rFonts w:hint="eastAsia" w:ascii="仿宋_GB2312" w:hAnsi="仿宋_GB2312"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bCs/>
          <w:sz w:val="32"/>
          <w:szCs w:val="32"/>
        </w:rPr>
        <w:t>、</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、技术和服务偏离说明表</w:t>
      </w:r>
    </w:p>
    <w:p>
      <w:pPr>
        <w:spacing w:line="360" w:lineRule="auto"/>
        <w:jc w:val="center"/>
        <w:rPr>
          <w:rFonts w:hint="eastAsia" w:ascii="仿宋_GB2312" w:hAnsi="仿宋_GB2312" w:eastAsia="仿宋_GB2312" w:cs="仿宋_GB2312"/>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_GB2312" w:eastAsia="仿宋_GB2312" w:cs="仿宋_GB2312"/>
                <w:sz w:val="24"/>
              </w:rPr>
            </w:pPr>
          </w:p>
        </w:tc>
      </w:tr>
    </w:tbl>
    <w:p>
      <w:pPr>
        <w:autoSpaceDE w:val="0"/>
        <w:autoSpaceDN w:val="0"/>
        <w:spacing w:line="360" w:lineRule="auto"/>
        <w:ind w:firstLine="5040" w:firstLineChars="2100"/>
        <w:rPr>
          <w:rFonts w:hint="eastAsia" w:ascii="仿宋_GB2312" w:hAnsi="仿宋_GB2312" w:eastAsia="仿宋_GB2312" w:cs="仿宋_GB2312"/>
          <w:kern w:val="0"/>
          <w:sz w:val="24"/>
          <w:lang w:val="zh-CN"/>
        </w:rPr>
      </w:pPr>
    </w:p>
    <w:p>
      <w:pPr>
        <w:autoSpaceDE w:val="0"/>
        <w:autoSpaceDN w:val="0"/>
        <w:spacing w:line="360" w:lineRule="auto"/>
        <w:ind w:firstLine="5040" w:firstLineChars="21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投标人名称（电子签名）：      </w:t>
      </w:r>
    </w:p>
    <w:p>
      <w:pPr>
        <w:autoSpaceDE w:val="0"/>
        <w:autoSpaceDN w:val="0"/>
        <w:spacing w:line="360" w:lineRule="auto"/>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pStyle w:val="932"/>
        <w:numPr>
          <w:ilvl w:val="0"/>
          <w:numId w:val="0"/>
        </w:numPr>
        <w:jc w:val="both"/>
        <w:rPr>
          <w:rFonts w:hint="eastAsia" w:ascii="仿宋_GB2312" w:hAnsi="仿宋_GB2312" w:eastAsia="仿宋_GB2312" w:cs="仿宋_GB2312"/>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六、组织实施方案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kern w:val="0"/>
          <w:sz w:val="24"/>
          <w:lang w:val="zh-CN"/>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rPr>
        <w:t>投标人名称（电子签名）：</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pStyle w:val="932"/>
        <w:numPr>
          <w:ilvl w:val="0"/>
          <w:numId w:val="0"/>
        </w:numPr>
        <w:jc w:val="both"/>
        <w:rPr>
          <w:rFonts w:hint="eastAsia" w:ascii="仿宋" w:hAnsi="仿宋" w:eastAsia="仿宋" w:cs="仿宋"/>
          <w:b/>
          <w:sz w:val="36"/>
          <w:szCs w:val="36"/>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24"/>
          <w:szCs w:val="24"/>
        </w:rPr>
      </w:pPr>
    </w:p>
    <w:p>
      <w:pPr>
        <w:pStyle w:val="932"/>
        <w:numPr>
          <w:ilvl w:val="0"/>
          <w:numId w:val="0"/>
        </w:numPr>
        <w:jc w:val="both"/>
        <w:rPr>
          <w:rFonts w:hint="eastAsia" w:ascii="仿宋" w:hAnsi="仿宋" w:eastAsia="仿宋" w:cs="仿宋"/>
          <w:b/>
          <w:sz w:val="36"/>
          <w:szCs w:val="36"/>
        </w:rPr>
      </w:pP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w:t>
      </w:r>
      <w:r>
        <w:rPr>
          <w:rFonts w:hint="eastAsia" w:ascii="仿宋_GB2312" w:hAnsi="仿宋" w:eastAsia="仿宋_GB2312" w:cs="仿宋_GB2312"/>
          <w:b/>
          <w:sz w:val="24"/>
          <w:lang w:eastAsia="zh-CN"/>
        </w:rPr>
        <w:t>（或项目负责人）</w:t>
      </w:r>
      <w:r>
        <w:rPr>
          <w:rFonts w:hint="eastAsia" w:ascii="仿宋_GB2312" w:hAnsi="仿宋" w:eastAsia="仿宋_GB2312" w:cs="仿宋_GB2312"/>
          <w:b/>
          <w:sz w:val="24"/>
        </w:rPr>
        <w:t>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both"/>
        <w:rPr>
          <w:rFonts w:hint="eastAsia" w:ascii="仿宋" w:hAnsi="仿宋" w:eastAsia="仿宋" w:cs="仿宋"/>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adjustRightInd w:val="0"/>
        <w:spacing w:line="360" w:lineRule="auto"/>
        <w:rPr>
          <w:rFonts w:ascii="仿宋_GB2312" w:hAnsi="仿宋" w:eastAsia="仿宋_GB2312" w:cs="仿宋_GB2312"/>
          <w:b/>
          <w:bCs/>
          <w:sz w:val="18"/>
          <w:szCs w:val="18"/>
        </w:rPr>
      </w:pPr>
    </w:p>
    <w:p>
      <w:pPr>
        <w:autoSpaceDE w:val="0"/>
        <w:autoSpaceDN w:val="0"/>
        <w:spacing w:line="360" w:lineRule="auto"/>
        <w:rPr>
          <w:rFonts w:hint="eastAsia" w:ascii="仿宋" w:hAnsi="仿宋" w:eastAsia="仿宋" w:cs="仿宋"/>
          <w:b/>
          <w:bCs/>
          <w:sz w:val="18"/>
          <w:szCs w:val="18"/>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_GB2312" w:hAnsi="仿宋" w:eastAsia="仿宋_GB2312" w:cs="仿宋_GB2312"/>
          <w:b/>
          <w:kern w:val="0"/>
          <w:sz w:val="32"/>
          <w:szCs w:val="32"/>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20" w:type="dxa"/>
          <w:bottom w:w="0" w:type="dxa"/>
          <w:right w:w="120" w:type="dxa"/>
        </w:tblCellMar>
      </w:tblPr>
      <w:tblGrid>
        <w:gridCol w:w="2224"/>
        <w:gridCol w:w="1542"/>
        <w:gridCol w:w="1143"/>
        <w:gridCol w:w="1172"/>
        <w:gridCol w:w="1226"/>
        <w:gridCol w:w="177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764" w:hRule="atLeast"/>
        </w:trPr>
        <w:tc>
          <w:tcPr>
            <w:tcW w:w="1224" w:type="pct"/>
            <w:tcBorders>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849" w:type="pct"/>
            <w:tcBorders>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629"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645" w:type="pct"/>
            <w:tcBorders>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675" w:type="pct"/>
            <w:tcBorders>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975" w:type="pct"/>
            <w:tcBorders>
              <w:left w:val="single" w:color="auto" w:sz="6" w:space="0"/>
              <w:bottom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81"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273" w:hRule="atLeast"/>
        </w:trPr>
        <w:tc>
          <w:tcPr>
            <w:tcW w:w="1224" w:type="pct"/>
            <w:tcBorders>
              <w:top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849" w:type="pct"/>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bottom w:val="nil"/>
            </w:tcBorders>
          </w:tcPr>
          <w:p>
            <w:pPr>
              <w:tabs>
                <w:tab w:val="left" w:pos="7"/>
              </w:tabs>
              <w:suppressAutoHyphens/>
              <w:autoSpaceDE w:val="0"/>
              <w:autoSpaceDN w:val="0"/>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20" w:type="dxa"/>
            <w:bottom w:w="0" w:type="dxa"/>
            <w:right w:w="120" w:type="dxa"/>
          </w:tblCellMar>
        </w:tblPrEx>
        <w:trPr>
          <w:trHeight w:val="110" w:hRule="atLeast"/>
        </w:trPr>
        <w:tc>
          <w:tcPr>
            <w:tcW w:w="1224" w:type="pct"/>
            <w:tcBorders>
              <w:top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p>
        </w:tc>
        <w:tc>
          <w:tcPr>
            <w:tcW w:w="84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29" w:type="pct"/>
            <w:tcBorders>
              <w:top w:val="single" w:color="auto" w:sz="6" w:space="0"/>
              <w:left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645" w:type="pct"/>
            <w:tcBorders>
              <w:top w:val="single" w:color="auto" w:sz="6" w:space="0"/>
              <w:left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675" w:type="pct"/>
            <w:tcBorders>
              <w:top w:val="single" w:color="auto" w:sz="6" w:space="0"/>
              <w:left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975" w:type="pct"/>
            <w:tcBorders>
              <w:top w:val="single" w:color="auto" w:sz="6" w:space="0"/>
              <w:lef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pStyle w:val="78"/>
        <w:rPr>
          <w:rFonts w:ascii="仿宋_GB2312" w:hAnsi="仿宋" w:eastAsia="仿宋_GB2312" w:cs="仿宋_GB2312"/>
          <w:sz w:val="24"/>
        </w:rPr>
      </w:pPr>
    </w:p>
    <w:p>
      <w:pPr>
        <w:pStyle w:val="78"/>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78"/>
        <w:rPr>
          <w:rFonts w:hint="eastAsia" w:ascii="仿宋_GB2312" w:hAnsi="仿宋" w:eastAsia="仿宋_GB2312" w:cs="仿宋_GB2312"/>
          <w:kern w:val="0"/>
          <w:sz w:val="24"/>
          <w:lang w:val="zh-CN"/>
        </w:rPr>
      </w:pPr>
    </w:p>
    <w:p>
      <w:pPr>
        <w:pStyle w:val="78"/>
        <w:rPr>
          <w:rFonts w:hint="eastAsia" w:ascii="仿宋_GB2312" w:hAnsi="仿宋" w:eastAsia="仿宋_GB2312" w:cs="仿宋_GB2312"/>
          <w:kern w:val="0"/>
          <w:sz w:val="24"/>
          <w:lang w:val="zh-CN"/>
        </w:rPr>
      </w:pPr>
    </w:p>
    <w:p>
      <w:pPr>
        <w:spacing w:line="360" w:lineRule="auto"/>
        <w:jc w:val="center"/>
        <w:rPr>
          <w:rFonts w:ascii="仿宋_GB2312" w:hAnsi="仿宋" w:eastAsia="仿宋_GB2312" w:cs="仿宋_GB2312"/>
          <w:b/>
          <w:kern w:val="0"/>
          <w:sz w:val="30"/>
          <w:szCs w:val="30"/>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ind w:firstLine="2570" w:firstLineChars="800"/>
        <w:rPr>
          <w:rFonts w:hint="eastAsia" w:ascii="仿宋" w:hAnsi="仿宋" w:eastAsia="仿宋" w:cs="仿宋"/>
          <w:b/>
          <w:bCs/>
          <w:sz w:val="32"/>
          <w:szCs w:val="32"/>
        </w:rPr>
      </w:pPr>
    </w:p>
    <w:p>
      <w:pPr>
        <w:tabs>
          <w:tab w:val="left" w:pos="0"/>
        </w:tabs>
        <w:autoSpaceDE w:val="0"/>
        <w:autoSpaceDN w:val="0"/>
        <w:spacing w:line="360" w:lineRule="auto"/>
        <w:jc w:val="center"/>
        <w:rPr>
          <w:rFonts w:hint="eastAsia" w:ascii="仿宋" w:hAnsi="仿宋" w:eastAsia="仿宋" w:cs="仿宋"/>
          <w:b/>
          <w:bCs/>
          <w:sz w:val="32"/>
          <w:szCs w:val="32"/>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rFonts w:ascii="Times New Roman" w:hAnsi="Times New Roman" w:eastAsia="宋体" w:cs="Times New Roman"/>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78"/>
        <w:rPr>
          <w:lang w:val="zh-CN"/>
        </w:rPr>
      </w:pP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563" w:name="_Toc465665161"/>
      <w:r>
        <w:rPr>
          <w:rFonts w:hint="eastAsia" w:ascii="仿宋" w:hAnsi="仿宋" w:eastAsia="仿宋" w:cs="仿宋"/>
        </w:rPr>
        <w:t>附件</w:t>
      </w:r>
      <w:bookmarkEnd w:id="563"/>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64" w:name="OLE_LINK14"/>
      <w:bookmarkStart w:id="565" w:name="OLE_LINK13"/>
      <w:r>
        <w:rPr>
          <w:rFonts w:hint="eastAsia" w:ascii="仿宋" w:hAnsi="仿宋" w:eastAsia="仿宋" w:cs="仿宋"/>
          <w:b/>
          <w:spacing w:val="6"/>
          <w:sz w:val="32"/>
          <w:szCs w:val="32"/>
        </w:rPr>
        <w:t>残疾人福利性单位声明函</w:t>
      </w:r>
    </w:p>
    <w:bookmarkEnd w:id="564"/>
    <w:bookmarkEnd w:id="565"/>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pStyle w:val="24"/>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24"/>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4"/>
        <w:keepNext w:val="0"/>
        <w:keepLines w:val="0"/>
        <w:pageBreakBefore w:val="0"/>
        <w:widowControl w:val="0"/>
        <w:numPr>
          <w:ilvl w:val="0"/>
          <w:numId w:val="14"/>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bCs/>
          <w:sz w:val="32"/>
          <w:szCs w:val="32"/>
          <w:lang w:val="en-US" w:eastAsia="zh-CN"/>
        </w:rPr>
      </w:pPr>
    </w:p>
    <w:p>
      <w:pPr>
        <w:spacing w:line="360" w:lineRule="auto"/>
        <w:jc w:val="left"/>
        <w:rPr>
          <w:rFonts w:asciiTheme="minorEastAsia" w:hAnsiTheme="minorEastAsia" w:eastAsiaTheme="minorEastAsia" w:cstheme="minorEastAsia"/>
          <w:b/>
          <w:color w:val="auto"/>
          <w:sz w:val="36"/>
          <w:szCs w:val="36"/>
        </w:rPr>
      </w:pPr>
      <w:r>
        <w:rPr>
          <w:rFonts w:hint="eastAsia" w:ascii="仿宋" w:hAnsi="仿宋" w:eastAsia="仿宋" w:cs="仿宋"/>
          <w:b/>
          <w:bCs/>
          <w:snapToGrid w:val="0"/>
          <w:kern w:val="2"/>
          <w:sz w:val="32"/>
          <w:szCs w:val="32"/>
          <w:lang w:val="en-US" w:eastAsia="zh-CN" w:bidi="ar-SA"/>
        </w:rPr>
        <w:t>附件3：成本测算表</w:t>
      </w:r>
    </w:p>
    <w:p>
      <w:pPr>
        <w:pStyle w:val="33"/>
        <w:spacing w:beforeLines="100" w:beforeAutospacing="0" w:afterLines="50" w:afterAutospacing="0"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0"/>
          <w:szCs w:val="30"/>
        </w:rPr>
        <w:t>1、</w:t>
      </w:r>
      <w:r>
        <w:rPr>
          <w:rFonts w:hint="eastAsia" w:ascii="仿宋_GB2312" w:hAnsi="仿宋_GB2312" w:eastAsia="仿宋_GB2312" w:cs="仿宋_GB2312"/>
          <w:b/>
          <w:color w:val="auto"/>
          <w:sz w:val="36"/>
          <w:szCs w:val="36"/>
        </w:rPr>
        <w:t>制造商投标主要产品成本测算表</w:t>
      </w:r>
    </w:p>
    <w:p>
      <w:pPr>
        <w:pStyle w:val="33"/>
        <w:spacing w:beforeLines="100" w:beforeAutospacing="0" w:afterLines="50" w:afterAutospacing="0"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
        <w:gridCol w:w="2771"/>
        <w:gridCol w:w="5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制造商生产主要产品</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一、产品生产成本</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1、直接材料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2、辅助材料</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3、燃料（动能）</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4、工人工资</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5、工资附加</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6、制造费用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529"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主要产品生产成本合计</w:t>
            </w:r>
          </w:p>
        </w:tc>
        <w:tc>
          <w:tcPr>
            <w:tcW w:w="2969"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529" w:type="pct"/>
            <w:vAlign w:val="center"/>
          </w:tcPr>
          <w:p>
            <w:pPr>
              <w:pStyle w:val="2"/>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969"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说明：1、供应商为制造商的，请填此表。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制造商名称（盖章）：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color w:val="auto"/>
          <w:sz w:val="24"/>
        </w:rPr>
        <w:sectPr>
          <w:pgSz w:w="11906" w:h="16838"/>
          <w:pgMar w:top="1440" w:right="1531" w:bottom="1440" w:left="1531" w:header="851" w:footer="992" w:gutter="0"/>
          <w:cols w:space="720" w:num="1"/>
          <w:docGrid w:type="lines" w:linePitch="312" w:charSpace="0"/>
        </w:sectPr>
      </w:pPr>
      <w:r>
        <w:rPr>
          <w:rFonts w:hint="eastAsia" w:ascii="仿宋_GB2312" w:hAnsi="仿宋_GB2312" w:eastAsia="仿宋_GB2312" w:cs="仿宋_GB2312"/>
          <w:color w:val="auto"/>
          <w:sz w:val="24"/>
        </w:rPr>
        <w:t xml:space="preserve">         投标日期：</w:t>
      </w:r>
    </w:p>
    <w:p>
      <w:pPr>
        <w:pStyle w:val="33"/>
        <w:spacing w:line="240" w:lineRule="auto"/>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6"/>
          <w:szCs w:val="36"/>
        </w:rPr>
        <w:t>2、代理商投标主要产品成本测算表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金额单位：元</w:t>
      </w:r>
    </w:p>
    <w:tbl>
      <w:tblPr>
        <w:tblStyle w:val="6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3064"/>
        <w:gridCol w:w="4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供应商代理主要产品</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一、进货成本</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1、商品进价</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4、保险</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5、仓储费用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6、维保费用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二、管理费用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1工资、福利费用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2、保险费用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3、办公费用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4、其他应交税费</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三、财务费用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四、销售费用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五、运输费用</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747" w:type="pct"/>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六、销售税金</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747"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主要产品代理成本合计</w:t>
            </w:r>
          </w:p>
        </w:tc>
        <w:tc>
          <w:tcPr>
            <w:tcW w:w="2627" w:type="pct"/>
          </w:tcPr>
          <w:p>
            <w:pPr>
              <w:pStyle w:val="33"/>
              <w:spacing w:line="240" w:lineRule="auto"/>
              <w:rPr>
                <w:rFonts w:hint="eastAsia" w:ascii="仿宋_GB2312" w:hAnsi="仿宋_GB2312" w:eastAsia="仿宋_GB2312" w:cs="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pct"/>
            <w:vAlign w:val="center"/>
          </w:tcPr>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747" w:type="pct"/>
            <w:vAlign w:val="center"/>
          </w:tcPr>
          <w:p>
            <w:pPr>
              <w:pStyle w:val="2"/>
              <w:spacing w:before="0" w:beforeAutospacing="0" w:after="0" w:afterAutospacing="0" w:line="240" w:lineRule="auto"/>
              <w:ind w:firstLine="0"/>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c>
          <w:tcPr>
            <w:tcW w:w="2627" w:type="pct"/>
          </w:tcPr>
          <w:p>
            <w:pPr>
              <w:pStyle w:val="33"/>
              <w:spacing w:line="240" w:lineRule="auto"/>
              <w:rPr>
                <w:rFonts w:hint="eastAsia" w:ascii="仿宋_GB2312" w:hAnsi="仿宋_GB2312" w:eastAsia="仿宋_GB2312" w:cs="仿宋_GB2312"/>
                <w:color w:val="auto"/>
                <w:sz w:val="24"/>
                <w:szCs w:val="24"/>
              </w:rPr>
            </w:pPr>
          </w:p>
        </w:tc>
      </w:tr>
    </w:tbl>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1、供应商为代理商的，请填此表。</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2、表中第19项产品生产成本合计＝8项+14至18项。</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3、供应商可结合企业实际对表内项目进行适当调整，但要求能真实、准确地反映产品生产成本。</w:t>
      </w:r>
    </w:p>
    <w:p>
      <w:pPr>
        <w:pStyle w:val="3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4、专家小组认为有必要的，可要求代理商提供进货凭据或与制造商的意向合同。</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pStyle w:val="78"/>
        <w:rPr>
          <w:rFonts w:hint="eastAsia" w:ascii="仿宋_GB2312" w:hAnsi="仿宋_GB2312" w:eastAsia="仿宋_GB2312" w:cs="仿宋_GB2312"/>
          <w:color w:val="auto"/>
          <w:sz w:val="24"/>
        </w:rPr>
      </w:pPr>
    </w:p>
    <w:p>
      <w:pPr>
        <w:spacing w:beforeLines="50" w:beforeAutospacing="0" w:afterLines="50" w:afterAutospacing="0" w:line="240" w:lineRule="auto"/>
        <w:ind w:firstLine="723" w:firstLineChars="200"/>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36"/>
          <w:szCs w:val="36"/>
        </w:rPr>
        <w:t>3.投标主要产品成本汇总表</w:t>
      </w:r>
    </w:p>
    <w:p>
      <w:pPr>
        <w:spacing w:beforeLines="50" w:beforeAutospacing="0" w:afterLines="50" w:afterAutospacing="0" w:line="24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2768"/>
        <w:gridCol w:w="1674"/>
        <w:gridCol w:w="1110"/>
        <w:gridCol w:w="1411"/>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42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579"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主要产品名称</w:t>
            </w:r>
          </w:p>
        </w:tc>
        <w:tc>
          <w:tcPr>
            <w:tcW w:w="955"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制造商名称</w:t>
            </w:r>
          </w:p>
        </w:tc>
        <w:tc>
          <w:tcPr>
            <w:tcW w:w="633" w:type="pct"/>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数量</w:t>
            </w:r>
          </w:p>
        </w:tc>
        <w:tc>
          <w:tcPr>
            <w:tcW w:w="80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成本总计（元）</w:t>
            </w:r>
          </w:p>
        </w:tc>
        <w:tc>
          <w:tcPr>
            <w:tcW w:w="603" w:type="pct"/>
            <w:tcBorders>
              <w:left w:val="single" w:color="auto" w:sz="4" w:space="0"/>
            </w:tcBorders>
            <w:vAlign w:val="center"/>
          </w:tcPr>
          <w:p>
            <w:pPr>
              <w:pStyle w:val="2"/>
              <w:spacing w:before="0" w:beforeAutospacing="0" w:after="0" w:afterAutospacing="0" w:line="240" w:lineRule="auto"/>
              <w:ind w:left="0" w:leftChars="0" w:firstLine="0" w:firstLineChars="0"/>
              <w:jc w:val="center"/>
              <w:rPr>
                <w:rFonts w:hint="eastAsia" w:ascii="仿宋_GB2312" w:hAnsi="仿宋_GB2312" w:eastAsia="仿宋_GB2312" w:cs="仿宋_GB2312"/>
                <w:b/>
                <w:color w:val="auto"/>
                <w:szCs w:val="24"/>
              </w:rPr>
            </w:pPr>
            <w:r>
              <w:rPr>
                <w:rFonts w:hint="eastAsia" w:ascii="仿宋_GB2312" w:hAnsi="仿宋_GB2312" w:eastAsia="仿宋_GB2312" w:cs="仿宋_GB2312"/>
                <w:b/>
                <w:color w:val="auto"/>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1579"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955"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33" w:type="pct"/>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80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c>
          <w:tcPr>
            <w:tcW w:w="603"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color w:val="auto"/>
                <w:kern w:val="0"/>
                <w:sz w:val="24"/>
              </w:rPr>
            </w:pPr>
          </w:p>
        </w:tc>
      </w:tr>
    </w:tbl>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spacing w:beforeLines="50" w:beforeAutospacing="0" w:afterLines="50" w:afterAutospacing="0" w:line="240" w:lineRule="auto"/>
        <w:ind w:firstLine="480" w:firstLineChars="200"/>
        <w:rPr>
          <w:rFonts w:hint="eastAsia" w:ascii="仿宋_GB2312" w:hAnsi="仿宋_GB2312" w:eastAsia="仿宋_GB2312" w:cs="仿宋_GB2312"/>
          <w:color w:val="auto"/>
          <w:sz w:val="24"/>
        </w:rPr>
      </w:pP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供应商名称（盖章）：</w:t>
      </w:r>
    </w:p>
    <w:p>
      <w:pPr>
        <w:adjustRightInd w:val="0"/>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法定代表人或授权代表（签字）：</w:t>
      </w:r>
    </w:p>
    <w:p>
      <w:pPr>
        <w:spacing w:beforeLines="50" w:beforeAutospacing="0" w:afterLines="50" w:afterAutospacing="0" w:line="240" w:lineRule="auto"/>
        <w:ind w:firstLine="480" w:firstLineChars="20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投标日期：</w:t>
      </w:r>
    </w:p>
    <w:p>
      <w:pPr>
        <w:pStyle w:val="78"/>
        <w:rPr>
          <w:rFonts w:hint="eastAsia" w:ascii="仿宋_GB2312" w:hAnsi="仿宋_GB2312" w:eastAsia="仿宋_GB2312" w:cs="仿宋_GB231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eastAsia="zh-CN"/>
        </w:rPr>
        <w:t>。</w:t>
      </w: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5" w:type="first"/>
      <w:footerReference r:id="rId18" w:type="first"/>
      <w:headerReference r:id="rId14" w:type="default"/>
      <w:footerReference r:id="rId16" w:type="default"/>
      <w:footerReference r:id="rId17" w:type="even"/>
      <w:pgSz w:w="11906" w:h="16838"/>
      <w:pgMar w:top="1440" w:right="1797" w:bottom="1440" w:left="1559"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66" w:name="_Toc164085800"/>
    <w:bookmarkStart w:id="567" w:name="_Toc91899912"/>
    <w:bookmarkStart w:id="568" w:name="_Toc131845147"/>
    <w:bookmarkStart w:id="569" w:name="_Toc36110187"/>
    <w:r>
      <w:rPr>
        <w:rFonts w:hint="eastAsia" w:ascii="仿宋_GB2312" w:eastAsia="仿宋_GB2312"/>
        <w:kern w:val="0"/>
        <w:szCs w:val="21"/>
      </w:rPr>
      <w:t xml:space="preserve"> 页</w:t>
    </w:r>
    <w:bookmarkEnd w:id="566"/>
    <w:bookmarkEnd w:id="567"/>
    <w:bookmarkEnd w:id="568"/>
    <w:bookmarkEnd w:id="5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09291"/>
    <w:multiLevelType w:val="singleLevel"/>
    <w:tmpl w:val="E1109291"/>
    <w:lvl w:ilvl="0" w:tentative="0">
      <w:start w:val="1"/>
      <w:numFmt w:val="chineseCounting"/>
      <w:suff w:val="nothing"/>
      <w:lvlText w:val="%1、"/>
      <w:lvlJc w:val="left"/>
      <w:rPr>
        <w:rFonts w:hint="eastAsia"/>
      </w:rPr>
    </w:lvl>
  </w:abstractNum>
  <w:abstractNum w:abstractNumId="1">
    <w:nsid w:val="EE7A7B8F"/>
    <w:multiLevelType w:val="singleLevel"/>
    <w:tmpl w:val="EE7A7B8F"/>
    <w:lvl w:ilvl="0" w:tentative="0">
      <w:start w:val="1"/>
      <w:numFmt w:val="decimal"/>
      <w:suff w:val="nothing"/>
      <w:lvlText w:val="%1、"/>
      <w:lvlJc w:val="left"/>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150C8106"/>
    <w:multiLevelType w:val="singleLevel"/>
    <w:tmpl w:val="150C8106"/>
    <w:lvl w:ilvl="0" w:tentative="0">
      <w:start w:val="1"/>
      <w:numFmt w:val="chineseCounting"/>
      <w:suff w:val="nothing"/>
      <w:lvlText w:val="%1、"/>
      <w:lvlJc w:val="left"/>
      <w:rPr>
        <w:rFonts w:hint="eastAsia"/>
      </w:rPr>
    </w:lvl>
  </w:abstractNum>
  <w:abstractNum w:abstractNumId="9">
    <w:nsid w:val="470DF4D9"/>
    <w:multiLevelType w:val="singleLevel"/>
    <w:tmpl w:val="470DF4D9"/>
    <w:lvl w:ilvl="0" w:tentative="0">
      <w:start w:val="2"/>
      <w:numFmt w:val="decimal"/>
      <w:lvlText w:val="%1)"/>
      <w:lvlJc w:val="left"/>
      <w:pPr>
        <w:tabs>
          <w:tab w:val="left" w:pos="312"/>
        </w:tabs>
      </w:pPr>
    </w:lvl>
  </w:abstractNum>
  <w:abstractNum w:abstractNumId="10">
    <w:nsid w:val="4C54DD79"/>
    <w:multiLevelType w:val="singleLevel"/>
    <w:tmpl w:val="4C54DD79"/>
    <w:lvl w:ilvl="0" w:tentative="0">
      <w:start w:val="1"/>
      <w:numFmt w:val="decimal"/>
      <w:suff w:val="nothing"/>
      <w:lvlText w:val="%1、"/>
      <w:lvlJc w:val="left"/>
    </w:lvl>
  </w:abstractNum>
  <w:abstractNum w:abstractNumId="11">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2"/>
  </w:num>
  <w:num w:numId="4">
    <w:abstractNumId w:val="13"/>
  </w:num>
  <w:num w:numId="5">
    <w:abstractNumId w:val="3"/>
  </w:num>
  <w:num w:numId="6">
    <w:abstractNumId w:val="11"/>
  </w:num>
  <w:num w:numId="7">
    <w:abstractNumId w:val="12"/>
  </w:num>
  <w:num w:numId="8">
    <w:abstractNumId w:val="5"/>
  </w:num>
  <w:num w:numId="9">
    <w:abstractNumId w:val="8"/>
  </w:num>
  <w:num w:numId="10">
    <w:abstractNumId w:val="9"/>
  </w:num>
  <w:num w:numId="11">
    <w:abstractNumId w:val="0"/>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3010BE2"/>
    <w:rsid w:val="04930CCD"/>
    <w:rsid w:val="04AD1233"/>
    <w:rsid w:val="0534223B"/>
    <w:rsid w:val="061D6415"/>
    <w:rsid w:val="08E02C1D"/>
    <w:rsid w:val="094B511D"/>
    <w:rsid w:val="0A090B1E"/>
    <w:rsid w:val="0B962139"/>
    <w:rsid w:val="0BEF3062"/>
    <w:rsid w:val="0CC15827"/>
    <w:rsid w:val="0D0053A3"/>
    <w:rsid w:val="0D234B8B"/>
    <w:rsid w:val="0E0639F0"/>
    <w:rsid w:val="10B4324F"/>
    <w:rsid w:val="139A1ED3"/>
    <w:rsid w:val="15F07094"/>
    <w:rsid w:val="17EE0F95"/>
    <w:rsid w:val="18087CB7"/>
    <w:rsid w:val="184B2178"/>
    <w:rsid w:val="189623A9"/>
    <w:rsid w:val="1C72147C"/>
    <w:rsid w:val="1DD42D71"/>
    <w:rsid w:val="1E28236A"/>
    <w:rsid w:val="1F0A3878"/>
    <w:rsid w:val="1F574A5F"/>
    <w:rsid w:val="20F5288B"/>
    <w:rsid w:val="235C28BF"/>
    <w:rsid w:val="236F4C74"/>
    <w:rsid w:val="23990220"/>
    <w:rsid w:val="24DA7D36"/>
    <w:rsid w:val="25091656"/>
    <w:rsid w:val="25F22B38"/>
    <w:rsid w:val="26116FE6"/>
    <w:rsid w:val="28037EAF"/>
    <w:rsid w:val="28861541"/>
    <w:rsid w:val="288B4CF0"/>
    <w:rsid w:val="29337492"/>
    <w:rsid w:val="29493640"/>
    <w:rsid w:val="29F37328"/>
    <w:rsid w:val="2A581951"/>
    <w:rsid w:val="2B1B1882"/>
    <w:rsid w:val="2B2E72E7"/>
    <w:rsid w:val="2B9C55E1"/>
    <w:rsid w:val="2C097464"/>
    <w:rsid w:val="2C8C58CC"/>
    <w:rsid w:val="2CDB6F3C"/>
    <w:rsid w:val="2DB008B6"/>
    <w:rsid w:val="2DD31B43"/>
    <w:rsid w:val="2E5840E6"/>
    <w:rsid w:val="2E833715"/>
    <w:rsid w:val="2F486F0F"/>
    <w:rsid w:val="2F8E6CEE"/>
    <w:rsid w:val="2FCC3349"/>
    <w:rsid w:val="31A025B3"/>
    <w:rsid w:val="33E87591"/>
    <w:rsid w:val="343A1163"/>
    <w:rsid w:val="34F801C2"/>
    <w:rsid w:val="37370ACC"/>
    <w:rsid w:val="385C4A6C"/>
    <w:rsid w:val="38950B0D"/>
    <w:rsid w:val="38AA4650"/>
    <w:rsid w:val="39103069"/>
    <w:rsid w:val="39AD45A7"/>
    <w:rsid w:val="3B125890"/>
    <w:rsid w:val="3B431335"/>
    <w:rsid w:val="3C3E672F"/>
    <w:rsid w:val="3C7C78E2"/>
    <w:rsid w:val="3C922EF8"/>
    <w:rsid w:val="3D022ADB"/>
    <w:rsid w:val="3D505C29"/>
    <w:rsid w:val="40F54F9A"/>
    <w:rsid w:val="41290A94"/>
    <w:rsid w:val="41977BAA"/>
    <w:rsid w:val="41DA1AF4"/>
    <w:rsid w:val="43C22DAA"/>
    <w:rsid w:val="44E96FFD"/>
    <w:rsid w:val="45333510"/>
    <w:rsid w:val="45821A21"/>
    <w:rsid w:val="469408CC"/>
    <w:rsid w:val="47443960"/>
    <w:rsid w:val="479A5621"/>
    <w:rsid w:val="47D454DA"/>
    <w:rsid w:val="490F3BDA"/>
    <w:rsid w:val="4AB113A5"/>
    <w:rsid w:val="4D5A1A3B"/>
    <w:rsid w:val="4D611758"/>
    <w:rsid w:val="4F28613F"/>
    <w:rsid w:val="4F7419C4"/>
    <w:rsid w:val="50E0418D"/>
    <w:rsid w:val="5111612F"/>
    <w:rsid w:val="51A21A7A"/>
    <w:rsid w:val="51AB4CDB"/>
    <w:rsid w:val="52307328"/>
    <w:rsid w:val="529354FB"/>
    <w:rsid w:val="53FC15E1"/>
    <w:rsid w:val="542455FB"/>
    <w:rsid w:val="550C3FFE"/>
    <w:rsid w:val="55134D06"/>
    <w:rsid w:val="55AE3BCF"/>
    <w:rsid w:val="568C5730"/>
    <w:rsid w:val="580A6DE4"/>
    <w:rsid w:val="585A61BF"/>
    <w:rsid w:val="595B1B53"/>
    <w:rsid w:val="5A7E75F4"/>
    <w:rsid w:val="5AB07846"/>
    <w:rsid w:val="5AEC25E8"/>
    <w:rsid w:val="5DC874A2"/>
    <w:rsid w:val="5DFF3F0E"/>
    <w:rsid w:val="5E9D0571"/>
    <w:rsid w:val="5F8E104F"/>
    <w:rsid w:val="5FFE21B8"/>
    <w:rsid w:val="60041071"/>
    <w:rsid w:val="603B1A91"/>
    <w:rsid w:val="60671434"/>
    <w:rsid w:val="607A6DD9"/>
    <w:rsid w:val="60C14490"/>
    <w:rsid w:val="6175443E"/>
    <w:rsid w:val="623B7906"/>
    <w:rsid w:val="63A8413D"/>
    <w:rsid w:val="652F1697"/>
    <w:rsid w:val="653D1E2C"/>
    <w:rsid w:val="65C565B3"/>
    <w:rsid w:val="66BB4A50"/>
    <w:rsid w:val="6A065420"/>
    <w:rsid w:val="6A370FF1"/>
    <w:rsid w:val="6A531ED1"/>
    <w:rsid w:val="6C345328"/>
    <w:rsid w:val="6C4A3BEA"/>
    <w:rsid w:val="6D146C24"/>
    <w:rsid w:val="6D911A0B"/>
    <w:rsid w:val="6FDA2517"/>
    <w:rsid w:val="705457BE"/>
    <w:rsid w:val="70F607C4"/>
    <w:rsid w:val="7124112B"/>
    <w:rsid w:val="717532C3"/>
    <w:rsid w:val="71D7171B"/>
    <w:rsid w:val="722F7C72"/>
    <w:rsid w:val="72580E4D"/>
    <w:rsid w:val="751B5B3E"/>
    <w:rsid w:val="75534F89"/>
    <w:rsid w:val="75AE1161"/>
    <w:rsid w:val="76AF23D8"/>
    <w:rsid w:val="76B51D65"/>
    <w:rsid w:val="76FA3C39"/>
    <w:rsid w:val="7B583A24"/>
    <w:rsid w:val="7B6843F2"/>
    <w:rsid w:val="7C8169B2"/>
    <w:rsid w:val="7CFC153F"/>
    <w:rsid w:val="7D0C031E"/>
    <w:rsid w:val="7E00497E"/>
    <w:rsid w:val="7F205479"/>
    <w:rsid w:val="7F6E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3">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25"/>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First Indent"/>
    <w:basedOn w:val="24"/>
    <w:link w:val="109"/>
    <w:qFormat/>
    <w:uiPriority w:val="0"/>
    <w:pPr>
      <w:ind w:firstLine="420"/>
    </w:pPr>
    <w:rPr>
      <w:rFonts w:hAnsiTheme="minorHAnsi" w:eastAsiaTheme="minorEastAsia" w:cstheme="minorBidi"/>
      <w:snapToGrid/>
      <w:szCs w:val="22"/>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3"/>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0"/>
    <w:next w:val="20"/>
    <w:link w:val="290"/>
    <w:qFormat/>
    <w:uiPriority w:val="0"/>
    <w:rPr>
      <w:b/>
      <w:bCs/>
      <w:lang w:val="zh-CN"/>
    </w:rPr>
  </w:style>
  <w:style w:type="paragraph" w:styleId="61">
    <w:name w:val="Body Text First Indent 2"/>
    <w:basedOn w:val="2"/>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5"/>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3"/>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3"/>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3"/>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basedOn w:val="69"/>
    <w:qFormat/>
    <w:uiPriority w:val="0"/>
    <w:rPr>
      <w:rFonts w:ascii="微软雅黑" w:hAnsi="微软雅黑" w:eastAsia="微软雅黑" w:cs="微软雅黑"/>
      <w:color w:val="000000"/>
      <w:sz w:val="20"/>
      <w:szCs w:val="20"/>
      <w:u w:val="none"/>
    </w:rPr>
  </w:style>
  <w:style w:type="character" w:customStyle="1" w:styleId="699">
    <w:name w:val="font51"/>
    <w:basedOn w:val="69"/>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basedOn w:val="69"/>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3"/>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5"/>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character" w:customStyle="1" w:styleId="933">
    <w:name w:val="font91"/>
    <w:basedOn w:val="69"/>
    <w:qFormat/>
    <w:uiPriority w:val="0"/>
    <w:rPr>
      <w:rFonts w:hint="eastAsia" w:ascii="宋体" w:hAnsi="宋体" w:eastAsia="宋体" w:cs="宋体"/>
      <w:b/>
      <w:color w:val="000000"/>
      <w:sz w:val="20"/>
      <w:szCs w:val="20"/>
      <w:u w:val="none"/>
    </w:rPr>
  </w:style>
  <w:style w:type="character" w:customStyle="1" w:styleId="934">
    <w:name w:val="font71"/>
    <w:basedOn w:val="6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14</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2021-11-23T02:14:23Z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38FFC216290E45AE937A3F4DF40FD81C</vt:lpwstr>
  </property>
</Properties>
</file>