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b/>
          <w:spacing w:val="28"/>
          <w:sz w:val="36"/>
          <w:szCs w:val="36"/>
        </w:rPr>
      </w:pPr>
      <w:r>
        <w:rPr>
          <w:rFonts w:hint="eastAsia" w:ascii="宋体" w:hAnsi="宋体"/>
          <w:b/>
          <w:spacing w:val="28"/>
          <w:sz w:val="36"/>
          <w:szCs w:val="36"/>
        </w:rPr>
        <w:t>临安山核桃特色产业云服务平台建设及数据采集与标准化、数据服务与应用采购项目</w:t>
      </w:r>
    </w:p>
    <w:p>
      <w:pPr>
        <w:ind w:right="-110"/>
        <w:jc w:val="center"/>
        <w:rPr>
          <w:rFonts w:ascii="宋体" w:hAnsi="宋体"/>
          <w:b/>
          <w:spacing w:val="28"/>
          <w:sz w:val="36"/>
          <w:szCs w:val="36"/>
        </w:rPr>
      </w:pPr>
    </w:p>
    <w:p>
      <w:pPr>
        <w:ind w:right="-110"/>
        <w:jc w:val="center"/>
        <w:rPr>
          <w:rFonts w:ascii="宋体" w:hAnsi="宋体"/>
          <w:b/>
          <w:spacing w:val="28"/>
          <w:sz w:val="36"/>
          <w:szCs w:val="36"/>
        </w:rPr>
      </w:pPr>
    </w:p>
    <w:p>
      <w:pPr>
        <w:ind w:right="-110"/>
        <w:jc w:val="center"/>
        <w:rPr>
          <w:rFonts w:ascii="宋体" w:hAnsi="宋体"/>
          <w:b/>
          <w:spacing w:val="28"/>
          <w:sz w:val="36"/>
          <w:szCs w:val="36"/>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color w:val="auto"/>
          <w:sz w:val="30"/>
          <w:szCs w:val="30"/>
        </w:rPr>
        <w:t>08041）</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rPr>
      </w:pPr>
      <w:r>
        <w:rPr>
          <w:rFonts w:hint="eastAsia" w:ascii="宋体" w:hAnsi="宋体"/>
          <w:sz w:val="32"/>
          <w:szCs w:val="32"/>
        </w:rPr>
        <w:t>采购单位：杭州临安青丰农业有限公司</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35"/>
        <w:rPr>
          <w:rFonts w:ascii="宋体" w:hAnsi="宋体"/>
          <w:sz w:val="24"/>
        </w:rPr>
      </w:pPr>
    </w:p>
    <w:p>
      <w:pPr>
        <w:pStyle w:val="18"/>
        <w:spacing w:before="156" w:after="156" w:line="360" w:lineRule="auto"/>
        <w:jc w:val="center"/>
        <w:rPr>
          <w:rFonts w:hAnsi="宋体"/>
          <w:b/>
        </w:rPr>
      </w:pPr>
    </w:p>
    <w:p>
      <w:pPr>
        <w:pStyle w:val="18"/>
        <w:spacing w:before="156" w:after="156" w:line="360" w:lineRule="auto"/>
        <w:jc w:val="both"/>
        <w:rPr>
          <w:rFonts w:hAnsi="宋体"/>
          <w:b/>
          <w:sz w:val="32"/>
          <w:szCs w:val="32"/>
        </w:rPr>
      </w:pPr>
    </w:p>
    <w:p>
      <w:pPr>
        <w:spacing w:beforeLines="50" w:line="480" w:lineRule="exact"/>
        <w:ind w:firstLine="3534" w:firstLineChars="800"/>
        <w:rPr>
          <w:rFonts w:ascii="宋体" w:hAnsi="宋体"/>
          <w:b/>
          <w:sz w:val="44"/>
          <w:szCs w:val="44"/>
        </w:rPr>
      </w:pPr>
      <w:r>
        <w:rPr>
          <w:rFonts w:hint="eastAsia" w:ascii="宋体" w:hAnsi="宋体"/>
          <w:b/>
          <w:sz w:val="44"/>
          <w:szCs w:val="44"/>
        </w:rPr>
        <w:t>目    录</w:t>
      </w:r>
    </w:p>
    <w:p>
      <w:pPr>
        <w:pStyle w:val="18"/>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w:t>
      </w:r>
    </w:p>
    <w:p>
      <w:pPr>
        <w:spacing w:beforeLines="50" w:line="480" w:lineRule="exact"/>
        <w:ind w:left="165"/>
        <w:rPr>
          <w:rFonts w:ascii="宋体" w:hAnsi="宋体"/>
          <w:sz w:val="32"/>
          <w:szCs w:val="32"/>
        </w:rPr>
      </w:pPr>
      <w:r>
        <w:rPr>
          <w:rFonts w:hint="eastAsia" w:ascii="宋体" w:hAnsi="宋体"/>
          <w:sz w:val="32"/>
          <w:szCs w:val="32"/>
        </w:rPr>
        <w:t>第二章    投标须知</w:t>
      </w:r>
    </w:p>
    <w:p>
      <w:pPr>
        <w:spacing w:beforeLines="50" w:line="480" w:lineRule="exact"/>
        <w:ind w:left="165"/>
        <w:rPr>
          <w:rFonts w:ascii="宋体" w:hAnsi="宋体"/>
          <w:sz w:val="32"/>
          <w:szCs w:val="32"/>
        </w:rPr>
      </w:pPr>
      <w:r>
        <w:rPr>
          <w:rFonts w:hint="eastAsia" w:ascii="宋体" w:hAnsi="宋体"/>
          <w:sz w:val="32"/>
          <w:szCs w:val="32"/>
        </w:rPr>
        <w:t>第三章    评标办法及评标标准</w:t>
      </w:r>
    </w:p>
    <w:p>
      <w:pPr>
        <w:spacing w:beforeLines="50" w:line="480" w:lineRule="exact"/>
        <w:ind w:left="165"/>
        <w:rPr>
          <w:rFonts w:ascii="宋体" w:hAnsi="宋体"/>
          <w:sz w:val="32"/>
          <w:szCs w:val="32"/>
        </w:rPr>
      </w:pPr>
      <w:r>
        <w:rPr>
          <w:rFonts w:hint="eastAsia" w:ascii="宋体" w:hAnsi="宋体"/>
          <w:sz w:val="32"/>
          <w:szCs w:val="32"/>
        </w:rPr>
        <w:t>第四章    采购需求</w:t>
      </w:r>
    </w:p>
    <w:p>
      <w:pPr>
        <w:spacing w:beforeLines="50" w:line="480" w:lineRule="exact"/>
        <w:ind w:left="165"/>
        <w:rPr>
          <w:rFonts w:ascii="宋体" w:hAnsi="宋体"/>
          <w:sz w:val="32"/>
          <w:szCs w:val="32"/>
        </w:rPr>
      </w:pPr>
      <w:r>
        <w:rPr>
          <w:rFonts w:hint="eastAsia" w:ascii="宋体" w:hAnsi="宋体"/>
          <w:sz w:val="32"/>
          <w:szCs w:val="32"/>
        </w:rPr>
        <w:t>第五章    政府采购合同主要条款</w:t>
      </w:r>
    </w:p>
    <w:p>
      <w:pPr>
        <w:spacing w:beforeLines="50" w:line="480" w:lineRule="exact"/>
        <w:ind w:left="165"/>
        <w:rPr>
          <w:rFonts w:ascii="宋体" w:hAnsi="宋体"/>
          <w:sz w:val="32"/>
          <w:szCs w:val="32"/>
        </w:rPr>
      </w:pPr>
      <w:r>
        <w:rPr>
          <w:rFonts w:hint="eastAsia" w:ascii="宋体" w:hAnsi="宋体"/>
          <w:sz w:val="32"/>
          <w:szCs w:val="32"/>
        </w:rPr>
        <w:t>第六章    投标文件格式</w:t>
      </w:r>
    </w:p>
    <w:p>
      <w:pPr>
        <w:pStyle w:val="18"/>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临安青丰农业有限公司的委托，杭州市公共资源交易中心临安分中心（以下简称“采购机构”），就以下临安山核桃特色产业云服务平台建设及数据采集与标准化、数据服务与应用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rPr>
        <w:t>08041</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29"/>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50"/>
        <w:gridCol w:w="816"/>
        <w:gridCol w:w="2520"/>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7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25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Arial"/>
                <w:bCs/>
                <w:sz w:val="24"/>
              </w:rPr>
            </w:pPr>
            <w:r>
              <w:rPr>
                <w:rFonts w:hint="eastAsia" w:ascii="宋体" w:hAnsi="宋体" w:cs="Arial"/>
                <w:bCs/>
                <w:sz w:val="24"/>
              </w:rPr>
              <w:t>技术要求</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50" w:type="dxa"/>
            <w:tcBorders>
              <w:top w:val="single" w:color="auto" w:sz="4" w:space="0"/>
              <w:left w:val="single" w:color="auto" w:sz="4" w:space="0"/>
              <w:right w:val="single" w:color="auto" w:sz="4" w:space="0"/>
            </w:tcBorders>
            <w:vAlign w:val="center"/>
          </w:tcPr>
          <w:p>
            <w:pPr>
              <w:snapToGrid w:val="0"/>
              <w:spacing w:line="360" w:lineRule="auto"/>
              <w:jc w:val="both"/>
              <w:rPr>
                <w:rFonts w:ascii="宋体" w:hAnsi="宋体"/>
                <w:sz w:val="24"/>
              </w:rPr>
            </w:pPr>
            <w:r>
              <w:rPr>
                <w:rFonts w:hint="eastAsia" w:ascii="宋体" w:hAnsi="宋体"/>
                <w:sz w:val="24"/>
              </w:rPr>
              <w:t>临安山核桃特色产业云服务平台建设及数据采集与标准化、数据服务与应用采购项目</w:t>
            </w:r>
          </w:p>
        </w:tc>
        <w:tc>
          <w:tcPr>
            <w:tcW w:w="81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2520"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详见采购需求</w:t>
            </w:r>
          </w:p>
        </w:tc>
        <w:tc>
          <w:tcPr>
            <w:tcW w:w="181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840万元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rPr>
          <w:rFonts w:hint="eastAsia" w:ascii="宋体" w:hAnsi="宋体"/>
          <w:color w:val="000000"/>
          <w:sz w:val="24"/>
          <w:lang w:eastAsia="zh-CN"/>
        </w:rPr>
        <w:t>：</w:t>
      </w:r>
      <w:r>
        <w:rPr>
          <w:rFonts w:ascii="宋体" w:hAnsi="宋体"/>
          <w:color w:val="000000"/>
          <w:sz w:val="24"/>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"http://zfcg.czt.zj.gov.cn/" </w:instrText>
      </w:r>
      <w:r>
        <w:rPr>
          <w:rFonts w:ascii="宋体" w:hAnsi="宋体" w:eastAsia="宋体" w:cs="宋体"/>
          <w:sz w:val="24"/>
          <w:szCs w:val="24"/>
        </w:rPr>
        <w:fldChar w:fldCharType="separate"/>
      </w:r>
      <w:r>
        <w:rPr>
          <w:rStyle w:val="33"/>
          <w:rFonts w:ascii="宋体" w:hAnsi="宋体" w:eastAsia="宋体" w:cs="宋体"/>
          <w:sz w:val="24"/>
          <w:szCs w:val="24"/>
        </w:rPr>
        <w:t>http://zfcg.czt.zj.gov.cn</w:t>
      </w:r>
      <w:r>
        <w:rPr>
          <w:rFonts w:ascii="宋体" w:hAnsi="宋体" w:eastAsia="宋体" w:cs="宋体"/>
          <w:sz w:val="24"/>
          <w:szCs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"https://www.hzctc.cn/Index/Home" </w:instrText>
      </w:r>
      <w:r>
        <w:fldChar w:fldCharType="separate"/>
      </w:r>
      <w:r>
        <w:rPr>
          <w:rStyle w:val="33"/>
          <w:rFonts w:ascii="宋体" w:hAnsi="宋体" w:cs="宋体"/>
          <w:sz w:val="24"/>
        </w:rPr>
        <w:t>https://www.hzctc.cn/Index/Home</w:t>
      </w:r>
      <w:r>
        <w:rPr>
          <w:rStyle w:val="33"/>
          <w:rFonts w:ascii="宋体" w:hAnsi="宋体" w:cs="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rPr>
          <w:rFonts w:hint="eastAsia" w:ascii="宋体" w:hAnsi="宋体"/>
          <w:color w:val="000000"/>
          <w:sz w:val="24"/>
          <w:lang w:eastAsia="zh-CN"/>
        </w:rPr>
        <w:t>：</w:t>
      </w:r>
      <w:r>
        <w:rPr>
          <w:rFonts w:hint="eastAsia" w:ascii="宋体" w:hAnsi="宋体"/>
          <w:color w:val="000000"/>
          <w:sz w:val="24"/>
        </w:rPr>
        <w:t>(</w:t>
      </w:r>
      <w:r>
        <w:fldChar w:fldCharType="begin"/>
      </w:r>
      <w:r>
        <w:instrText xml:space="preserve"> HYPERLINK "http://www.linan.gov.cn/col/col1366369/" </w:instrText>
      </w:r>
      <w:r>
        <w:fldChar w:fldCharType="separate"/>
      </w:r>
      <w:r>
        <w:rPr>
          <w:rStyle w:val="33"/>
          <w:rFonts w:ascii="宋体" w:hAnsi="宋体"/>
          <w:sz w:val="24"/>
        </w:rPr>
        <w:t>http://www.linan.gov.cn/col/col1366369/</w:t>
      </w:r>
      <w:r>
        <w:rPr>
          <w:rStyle w:val="33"/>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18"/>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18"/>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18"/>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18"/>
        <w:adjustRightInd w:val="0"/>
        <w:snapToGrid w:val="0"/>
        <w:spacing w:before="156" w:after="156" w:line="360" w:lineRule="auto"/>
        <w:ind w:firstLine="484" w:firstLineChars="201"/>
        <w:rPr>
          <w:rFonts w:hAnsi="宋体" w:cs="Arial"/>
          <w:b/>
          <w:color w:val="auto"/>
        </w:rPr>
      </w:pPr>
      <w:r>
        <w:rPr>
          <w:rFonts w:hint="eastAsia" w:hAnsi="宋体" w:cs="Arial"/>
          <w:b/>
          <w:color w:val="auto"/>
        </w:rPr>
        <w:t>本项目于2020年8月</w:t>
      </w:r>
      <w:r>
        <w:rPr>
          <w:rFonts w:hint="eastAsia" w:hAnsi="宋体" w:cs="Arial"/>
          <w:b/>
          <w:color w:val="auto"/>
          <w:lang w:val="en-US" w:eastAsia="zh-CN"/>
        </w:rPr>
        <w:t>26</w:t>
      </w:r>
      <w:r>
        <w:rPr>
          <w:rFonts w:hint="eastAsia" w:hAnsi="宋体" w:cs="Arial"/>
          <w:b/>
          <w:color w:val="auto"/>
        </w:rPr>
        <w:t>日9:00投标截止。</w:t>
      </w:r>
    </w:p>
    <w:p>
      <w:pPr>
        <w:pStyle w:val="18"/>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联系人：杨颖</w:t>
      </w:r>
    </w:p>
    <w:p>
      <w:pPr>
        <w:snapToGrid w:val="0"/>
        <w:spacing w:line="360" w:lineRule="auto"/>
        <w:ind w:firstLine="480" w:firstLineChars="200"/>
        <w:rPr>
          <w:rFonts w:hint="default" w:ascii="宋体" w:hAnsi="宋体" w:eastAsia="宋体" w:cs="Arial"/>
          <w:sz w:val="24"/>
          <w:lang w:val="en-US" w:eastAsia="zh-CN"/>
        </w:rPr>
      </w:pPr>
      <w:r>
        <w:rPr>
          <w:rFonts w:hint="eastAsia" w:ascii="宋体" w:hAnsi="宋体" w:cs="Arial"/>
          <w:sz w:val="24"/>
        </w:rPr>
        <w:t>联系电话：0571-23616011              传真：0571-23616</w:t>
      </w:r>
      <w:r>
        <w:rPr>
          <w:rFonts w:hint="eastAsia" w:ascii="宋体" w:hAnsi="宋体" w:cs="Arial"/>
          <w:sz w:val="24"/>
          <w:lang w:val="en-US" w:eastAsia="zh-CN"/>
        </w:rPr>
        <w:t>007</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质疑答复岗联系人：张晨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采购单位联系人：林地                 联系电话：13867425034</w:t>
      </w: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2020年8月5日</w:t>
      </w:r>
    </w:p>
    <w:p>
      <w:pPr>
        <w:pStyle w:val="18"/>
        <w:snapToGrid w:val="0"/>
        <w:spacing w:beforeLines="0" w:afterLines="0" w:line="500" w:lineRule="exact"/>
        <w:jc w:val="center"/>
        <w:outlineLvl w:val="0"/>
        <w:rPr>
          <w:rFonts w:hint="eastAsia" w:hAnsi="宋体"/>
          <w:b/>
          <w:sz w:val="32"/>
          <w:szCs w:val="32"/>
        </w:rPr>
      </w:pPr>
    </w:p>
    <w:p>
      <w:pPr>
        <w:pStyle w:val="18"/>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29"/>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18"/>
              <w:spacing w:beforeLines="0" w:afterLines="0"/>
              <w:ind w:firstLine="4" w:firstLineChars="2"/>
              <w:jc w:val="left"/>
              <w:rPr>
                <w:rFonts w:hAnsi="宋体"/>
                <w:color w:val="FF0000"/>
              </w:rPr>
            </w:pPr>
            <w:r>
              <w:rPr>
                <w:rFonts w:hint="eastAsia" w:hAnsi="宋体"/>
              </w:rPr>
              <w:t>项目名称：临安山核桃特色产业云服务平台建设及数据采集与标准化、数据服务与应用采购项目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投标保证金应按《采购公告》六规定交纳。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 w:val="24"/>
              </w:rPr>
            </w:pPr>
            <w:r>
              <w:rPr>
                <w:rFonts w:hint="eastAsia" w:ascii="宋体" w:hAnsi="宋体"/>
                <w:color w:val="auto"/>
                <w:sz w:val="24"/>
              </w:rPr>
              <w:t>投标截止时间：2020年8月</w:t>
            </w:r>
            <w:r>
              <w:rPr>
                <w:rFonts w:hint="eastAsia" w:ascii="宋体" w:hAnsi="宋体"/>
                <w:color w:val="auto"/>
                <w:sz w:val="24"/>
                <w:lang w:val="en-US" w:eastAsia="zh-CN"/>
              </w:rPr>
              <w:t>26</w:t>
            </w:r>
            <w:r>
              <w:rPr>
                <w:rFonts w:hint="eastAsia" w:ascii="宋体" w:hAnsi="宋体"/>
                <w:color w:val="auto"/>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 w:val="24"/>
              </w:rPr>
            </w:pPr>
            <w:r>
              <w:rPr>
                <w:rFonts w:hint="eastAsia" w:ascii="宋体" w:hAnsi="宋体"/>
                <w:color w:val="auto"/>
                <w:sz w:val="24"/>
              </w:rPr>
              <w:t>开标时间、地点：2020年8月</w:t>
            </w:r>
            <w:r>
              <w:rPr>
                <w:rFonts w:hint="eastAsia" w:ascii="宋体" w:hAnsi="宋体"/>
                <w:color w:val="auto"/>
                <w:sz w:val="24"/>
                <w:lang w:val="en-US" w:eastAsia="zh-CN"/>
              </w:rPr>
              <w:t>26</w:t>
            </w:r>
            <w:r>
              <w:rPr>
                <w:rFonts w:hint="eastAsia" w:ascii="宋体" w:hAnsi="宋体"/>
                <w:color w:val="auto"/>
                <w:sz w:val="24"/>
              </w:rPr>
              <w:t>日9时00分。本项目采用全流程电子化交易，无须参加现场开标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sz w:val="24"/>
              </w:rPr>
            </w:pPr>
            <w:r>
              <w:rPr>
                <w:rFonts w:hint="eastAsia" w:ascii="宋体" w:hAnsi="宋体"/>
                <w:b/>
                <w:sz w:val="24"/>
              </w:rPr>
              <w:t>本项目实行网上投标。</w:t>
            </w:r>
            <w:r>
              <w:rPr>
                <w:rFonts w:hint="eastAsia" w:ascii="宋体" w:hAnsi="宋体" w:cs="Arial"/>
                <w:b/>
                <w:sz w:val="24"/>
              </w:rPr>
              <w:t>目前政府采购全流程电子化交易，</w:t>
            </w:r>
            <w:r>
              <w:rPr>
                <w:rFonts w:hint="eastAsia" w:ascii="宋体" w:hAnsi="宋体"/>
                <w:b/>
                <w:sz w:val="24"/>
              </w:rPr>
              <w:t>供应商应准备电子投标文件投标文件：电子投标文件，按政采云平台项目采购-电子招投标操作指南及本招标文件要求递交。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000000" w:themeColor="text1"/>
                <w:sz w:val="24"/>
              </w:rPr>
            </w:pPr>
            <w:r>
              <w:rPr>
                <w:rFonts w:hint="eastAsia" w:ascii="宋体" w:hAnsi="宋体"/>
                <w:b/>
                <w:color w:val="000000" w:themeColor="text1"/>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投标人还可以在投标截止时间前直接提交或者以邮政快递方式递交备份投标文件1份。备份投标文的制作、存储、密封详见招标文件第二章第二部分“投标文件的编制”第八点“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18"/>
              <w:adjustRightInd w:val="0"/>
              <w:snapToGrid w:val="0"/>
              <w:spacing w:beforeLines="0" w:afterLines="0"/>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18"/>
              <w:adjustRightInd w:val="0"/>
              <w:spacing w:before="156" w:after="156"/>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18"/>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8"/>
              <w:adjustRightInd w:val="0"/>
              <w:spacing w:before="156" w:after="156"/>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18"/>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18"/>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18"/>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8"/>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8"/>
              <w:adjustRightInd w:val="0"/>
              <w:spacing w:before="156" w:after="156"/>
              <w:rPr>
                <w:rFonts w:hAnsi="宋体"/>
              </w:rPr>
            </w:pPr>
            <w:r>
              <w:rPr>
                <w:rFonts w:hint="eastAsia" w:hAnsi="宋体"/>
              </w:rPr>
              <w:t>(注：未提供以上材料的，均不给予价格扣除）。</w:t>
            </w:r>
          </w:p>
          <w:p>
            <w:pPr>
              <w:pStyle w:val="18"/>
              <w:adjustRightInd w:val="0"/>
              <w:spacing w:before="156" w:after="156"/>
              <w:rPr>
                <w:rFonts w:hAnsi="宋体"/>
                <w:b/>
                <w:color w:val="000000" w:themeColor="text1"/>
              </w:rPr>
            </w:pPr>
            <w:r>
              <w:rPr>
                <w:rFonts w:hint="eastAsia" w:hAnsi="宋体"/>
                <w:color w:val="000000" w:themeColor="text1"/>
              </w:rPr>
              <w:t>4、凡已在浙江政府采购网网上注册入库，并取得临安区政府采购合同的中小企业供应商，均可申请政府采购信用融资。联系方式见附表（政府采购融资畅通工程金融机构联系信息表）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18"/>
              <w:adjustRightInd w:val="0"/>
              <w:spacing w:before="156" w:after="156"/>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18"/>
              <w:adjustRightInd w:val="0"/>
              <w:spacing w:before="156" w:after="156"/>
              <w:rPr>
                <w:rFonts w:hAnsi="宋体"/>
              </w:rPr>
            </w:pPr>
            <w:r>
              <w:rPr>
                <w:rFonts w:hint="eastAsia" w:hAnsi="宋体"/>
              </w:rPr>
              <w:t>解释：本采购文件的解释权属于杭州市公共资源交易中心临安分中心。</w:t>
            </w:r>
          </w:p>
        </w:tc>
      </w:tr>
    </w:tbl>
    <w:p>
      <w:pPr>
        <w:pStyle w:val="18"/>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仅适用于本次采购文件中采购项目的投标、验收、合同履约、付款等行为（法律、法规另有规定的，从其规定）。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w:t>
      </w:r>
      <w:r>
        <w:rPr>
          <w:rFonts w:hint="eastAsia" w:ascii="宋体" w:hAnsi="宋体" w:cs="Arial"/>
          <w:sz w:val="24"/>
          <w:lang w:val="en-US" w:eastAsia="zh-CN"/>
        </w:rPr>
        <w:t>.</w:t>
      </w:r>
      <w:r>
        <w:rPr>
          <w:rFonts w:hint="eastAsia" w:ascii="宋体" w:hAnsi="宋体" w:cs="Arial"/>
          <w:sz w:val="24"/>
        </w:rPr>
        <w:t>“采购人”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18"/>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18"/>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18"/>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18"/>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18"/>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18"/>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1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25"/>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18"/>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（五）投标文件的有效期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（六）投标保证金（若有）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（七）投标文件的签署和份数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snapToGrid w:val="0"/>
        <w:spacing w:line="380" w:lineRule="exact"/>
        <w:ind w:firstLine="472" w:firstLineChars="196"/>
        <w:jc w:val="left"/>
        <w:outlineLvl w:val="0"/>
        <w:rPr>
          <w:rFonts w:ascii="宋体" w:hAnsi="宋体"/>
          <w:b/>
          <w:sz w:val="24"/>
        </w:rPr>
      </w:pPr>
      <w:r>
        <w:rPr>
          <w:rFonts w:hint="eastAsia" w:ascii="宋体" w:hAnsi="宋体"/>
          <w:b/>
          <w:sz w:val="24"/>
        </w:rPr>
        <w:t>（八）备份投标文件</w:t>
      </w:r>
    </w:p>
    <w:p>
      <w:pPr>
        <w:snapToGrid w:val="0"/>
        <w:spacing w:line="380" w:lineRule="exact"/>
        <w:ind w:firstLine="480" w:firstLineChars="200"/>
        <w:jc w:val="left"/>
        <w:rPr>
          <w:rFonts w:ascii="宋体" w:hAnsi="宋体"/>
          <w:b/>
          <w:color w:val="000000" w:themeColor="text1"/>
          <w:sz w:val="24"/>
        </w:rPr>
      </w:pPr>
      <w:r>
        <w:rPr>
          <w:rFonts w:hint="eastAsia" w:ascii="宋体" w:hAnsi="宋体"/>
          <w:color w:val="000000" w:themeColor="text1"/>
          <w:sz w:val="24"/>
        </w:rPr>
        <w:t>1.投标人在电子交易平台传输递交投标文件后，还可以在投标截止时间前直接提交或者以邮政快递方式递交备份投标文件1份，</w:t>
      </w:r>
      <w:r>
        <w:rPr>
          <w:rFonts w:hint="eastAsia" w:ascii="宋体" w:hAnsi="宋体"/>
          <w:b/>
          <w:color w:val="000000" w:themeColor="text1"/>
          <w:sz w:val="24"/>
        </w:rPr>
        <w:t>但采购人、采购机构不强制或变相强制投标人提交备份投标文件。</w:t>
      </w:r>
    </w:p>
    <w:p>
      <w:pPr>
        <w:snapToGrid w:val="0"/>
        <w:spacing w:line="380" w:lineRule="exact"/>
        <w:ind w:firstLine="480" w:firstLineChars="200"/>
        <w:jc w:val="left"/>
        <w:rPr>
          <w:rFonts w:ascii="仿宋" w:hAnsi="仿宋" w:eastAsia="仿宋" w:cs="仿宋"/>
          <w:b/>
          <w:bCs/>
          <w:color w:val="000000" w:themeColor="text1"/>
          <w:sz w:val="24"/>
        </w:rPr>
      </w:pPr>
      <w:r>
        <w:rPr>
          <w:rFonts w:hint="eastAsia" w:ascii="宋体" w:hAnsi="宋体"/>
          <w:color w:val="000000" w:themeColor="text1"/>
          <w:sz w:val="24"/>
        </w:rPr>
        <w:t>2.备份投标文件须在“政采云投标客户端”制作生成，并储存在DVD光盘中。备份投标文件应当密封包装并在包装上加盖公章并注明投标项目名称，投标人名称</w:t>
      </w:r>
      <w:r>
        <w:rPr>
          <w:rFonts w:hint="eastAsia" w:ascii="宋体" w:hAnsi="宋体"/>
          <w:b/>
          <w:color w:val="000000" w:themeColor="text1"/>
          <w:sz w:val="24"/>
        </w:rPr>
        <w:t>▲不符合上述制作、存储、密封规定的备份投标文件将被视为无效或者被拒绝接收。</w:t>
      </w:r>
    </w:p>
    <w:p>
      <w:pPr>
        <w:snapToGrid w:val="0"/>
        <w:spacing w:line="380" w:lineRule="exact"/>
        <w:ind w:firstLine="480" w:firstLineChars="200"/>
        <w:jc w:val="left"/>
        <w:rPr>
          <w:rFonts w:ascii="宋体" w:hAnsi="宋体"/>
          <w:color w:val="000000" w:themeColor="text1"/>
          <w:sz w:val="24"/>
        </w:rPr>
      </w:pPr>
      <w:r>
        <w:rPr>
          <w:rFonts w:hint="eastAsia" w:ascii="宋体" w:hAnsi="宋体"/>
          <w:color w:val="000000" w:themeColor="text1"/>
          <w:sz w:val="24"/>
        </w:rPr>
        <w:t>3.直接提交备份投标文件的，投标人应于投标截止时间前在招标公告中载明的开标地点将备份投标文件提交给采购机构，采购机构将拒绝接受逾期送达的备份投标文件。</w:t>
      </w:r>
    </w:p>
    <w:p>
      <w:pPr>
        <w:snapToGrid w:val="0"/>
        <w:spacing w:line="380" w:lineRule="exact"/>
        <w:ind w:firstLine="480" w:firstLineChars="200"/>
        <w:jc w:val="left"/>
        <w:rPr>
          <w:rFonts w:ascii="宋体" w:hAnsi="宋体"/>
          <w:color w:val="000000" w:themeColor="text1"/>
          <w:sz w:val="24"/>
        </w:rPr>
      </w:pPr>
      <w:r>
        <w:rPr>
          <w:rFonts w:hint="eastAsia" w:ascii="宋体" w:hAnsi="宋体"/>
          <w:color w:val="000000" w:themeColor="text1"/>
          <w:sz w:val="24"/>
        </w:rPr>
        <w:t>4.以邮政快递方式递交备份投标文件的，投标人应先将备份投标文件按要求密封和标记，再进行邮政快递包装后邮寄。备份投标文件须在投标截止时间之前送达浙江省杭州市临安区锦北街道科技大道4398号B座4楼B448办公室；送达时间以签收人签收时间为准（签收人：杨颖， 联系电话：18768193991）。采购机构将拒绝接受逾期送达的备份投标文件。邮寄过程中，电子备份投标文件发生泄露、遗失、损坏或延期送达等情况的，由投标人自行负责。</w:t>
      </w:r>
    </w:p>
    <w:p>
      <w:pPr>
        <w:snapToGrid w:val="0"/>
        <w:spacing w:line="380" w:lineRule="exact"/>
        <w:ind w:firstLine="482" w:firstLineChars="200"/>
        <w:jc w:val="left"/>
        <w:rPr>
          <w:rFonts w:ascii="宋体" w:hAnsi="宋体"/>
          <w:b/>
          <w:color w:val="000000" w:themeColor="text1"/>
          <w:sz w:val="24"/>
        </w:rPr>
      </w:pPr>
      <w:r>
        <w:rPr>
          <w:rFonts w:hint="eastAsia" w:ascii="宋体" w:hAnsi="宋体"/>
          <w:b/>
          <w:color w:val="000000" w:themeColor="text1"/>
          <w:sz w:val="24"/>
        </w:rPr>
        <w:t>5.投标人仅提交备份投标文件，没有在电子交易平台传输递交投标文件的，投标无效。</w:t>
      </w:r>
    </w:p>
    <w:p>
      <w:pPr>
        <w:pStyle w:val="2"/>
        <w:ind w:firstLine="344"/>
        <w:rPr>
          <w:color w:val="000000" w:themeColor="text1"/>
        </w:rPr>
      </w:pPr>
    </w:p>
    <w:p>
      <w:pPr>
        <w:pStyle w:val="3"/>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3"/>
        <w:spacing w:line="360" w:lineRule="auto"/>
        <w:jc w:val="left"/>
        <w:outlineLvl w:val="1"/>
        <w:rPr>
          <w:rFonts w:hAnsi="宋体"/>
          <w:b/>
          <w:bCs/>
          <w:sz w:val="24"/>
        </w:rPr>
      </w:pPr>
      <w:bookmarkStart w:id="1" w:name="_Toc177870554"/>
      <w:r>
        <w:rPr>
          <w:rFonts w:hint="eastAsia" w:hAnsi="宋体"/>
          <w:b/>
          <w:bCs/>
          <w:sz w:val="24"/>
        </w:rPr>
        <w:t>（一）组织开标程序</w:t>
      </w:r>
    </w:p>
    <w:p>
      <w:pPr>
        <w:pStyle w:val="18"/>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18"/>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18"/>
        <w:spacing w:before="156" w:after="156" w:line="360" w:lineRule="auto"/>
        <w:ind w:firstLine="551"/>
        <w:rPr>
          <w:rFonts w:hAnsi="宋体"/>
          <w:b/>
          <w:bCs/>
        </w:rPr>
      </w:pPr>
      <w:r>
        <w:rPr>
          <w:rFonts w:hint="eastAsia" w:hAnsi="宋体"/>
          <w:b/>
          <w:bCs/>
        </w:rPr>
        <w:t>2.电子招投标开标及评审程序</w:t>
      </w:r>
    </w:p>
    <w:p>
      <w:pPr>
        <w:pStyle w:val="18"/>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18"/>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18"/>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18"/>
        <w:snapToGrid w:val="0"/>
        <w:spacing w:before="156" w:after="156" w:line="360" w:lineRule="auto"/>
        <w:ind w:firstLine="472" w:firstLineChars="196"/>
        <w:rPr>
          <w:rFonts w:hAnsi="宋体"/>
          <w:b/>
          <w:bCs/>
        </w:rPr>
      </w:pPr>
      <w:r>
        <w:rPr>
          <w:rFonts w:hint="eastAsia" w:hAnsi="宋体"/>
          <w:b/>
          <w:bCs/>
        </w:rPr>
        <w:t>2.4在系统上公开报价开标情况；</w:t>
      </w:r>
    </w:p>
    <w:p>
      <w:pPr>
        <w:pStyle w:val="18"/>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18"/>
        <w:snapToGrid w:val="0"/>
        <w:spacing w:before="156" w:after="156" w:line="360" w:lineRule="auto"/>
        <w:ind w:firstLine="472" w:firstLineChars="196"/>
        <w:rPr>
          <w:rFonts w:hAnsi="宋体"/>
          <w:b/>
          <w:bCs/>
        </w:rPr>
      </w:pPr>
      <w:r>
        <w:rPr>
          <w:rFonts w:hint="eastAsia" w:hAnsi="宋体"/>
          <w:b/>
          <w:bCs/>
        </w:rPr>
        <w:t>2.6在系统上公布评审结果。</w:t>
      </w:r>
    </w:p>
    <w:p>
      <w:pPr>
        <w:pStyle w:val="18"/>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18"/>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18"/>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18"/>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22"/>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22"/>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22"/>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60" w:lineRule="auto"/>
        <w:ind w:firstLine="316" w:firstLineChars="132"/>
        <w:jc w:val="left"/>
        <w:outlineLvl w:val="0"/>
        <w:rPr>
          <w:rFonts w:ascii="宋体" w:hAnsi="宋体"/>
          <w:sz w:val="24"/>
        </w:rPr>
      </w:pPr>
      <w:bookmarkStart w:id="2" w:name="_Toc170792772"/>
      <w:bookmarkStart w:id="3" w:name="_Toc107820051"/>
      <w:r>
        <w:rPr>
          <w:rFonts w:hint="eastAsia" w:ascii="宋体" w:hAnsi="宋体"/>
          <w:sz w:val="24"/>
        </w:rPr>
        <w:t>（一）确定成交人。本项目由采购人确定成交人。</w:t>
      </w:r>
    </w:p>
    <w:p>
      <w:pPr>
        <w:snapToGrid w:val="0"/>
        <w:spacing w:line="360" w:lineRule="auto"/>
        <w:ind w:firstLine="436" w:firstLineChars="182"/>
        <w:jc w:val="left"/>
        <w:outlineLvl w:val="0"/>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60" w:lineRule="auto"/>
        <w:ind w:firstLine="436" w:firstLineChars="182"/>
        <w:jc w:val="left"/>
        <w:outlineLvl w:val="0"/>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60" w:lineRule="auto"/>
        <w:ind w:firstLine="316" w:firstLineChars="132"/>
        <w:jc w:val="left"/>
        <w:outlineLvl w:val="0"/>
        <w:rPr>
          <w:rFonts w:ascii="宋体" w:hAnsi="宋体"/>
          <w:sz w:val="24"/>
        </w:rPr>
      </w:pPr>
      <w:r>
        <w:rPr>
          <w:rFonts w:hint="eastAsia" w:ascii="宋体" w:hAnsi="宋体"/>
          <w:sz w:val="24"/>
        </w:rPr>
        <w:t>（二）采购人依法确定成交人后，采购机构以书面形式发出《成交通知书》。</w:t>
      </w:r>
    </w:p>
    <w:p>
      <w:pPr>
        <w:snapToGrid w:val="0"/>
        <w:spacing w:line="360" w:lineRule="auto"/>
        <w:ind w:firstLine="316" w:firstLineChars="132"/>
        <w:jc w:val="left"/>
        <w:outlineLvl w:val="0"/>
        <w:rPr>
          <w:rFonts w:ascii="宋体" w:hAnsi="宋体"/>
          <w:color w:val="000000" w:themeColor="text1"/>
          <w:sz w:val="24"/>
        </w:rPr>
      </w:pPr>
      <w:r>
        <w:rPr>
          <w:rFonts w:hint="eastAsia" w:ascii="宋体" w:hAnsi="宋体"/>
          <w:color w:val="000000" w:themeColor="text1"/>
          <w:sz w:val="24"/>
        </w:rPr>
        <w:t>（三）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22"/>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18"/>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采购机构依法组建由5人以上（含）奇数的人员组成的评标委员会，负责对投标文件进行审查、质询、评审和比较等。评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b/>
          <w:sz w:val="24"/>
          <w:lang w:val="en-US" w:eastAsia="zh-CN"/>
        </w:rPr>
        <w:t xml:space="preserve">  </w:t>
      </w:r>
      <w:r>
        <w:rPr>
          <w:rFonts w:hint="eastAsia" w:ascii="宋体" w:hAnsi="宋体"/>
          <w:b/>
          <w:sz w:val="24"/>
        </w:rPr>
        <w:t>本项目先开资信、技术文件，再开报价文件。其中资信和技术分占80%，报价分占20%。</w:t>
      </w:r>
    </w:p>
    <w:p>
      <w:pPr>
        <w:spacing w:line="400" w:lineRule="exact"/>
        <w:ind w:firstLine="482" w:firstLineChars="200"/>
        <w:rPr>
          <w:rFonts w:ascii="宋体" w:hAnsi="宋体"/>
          <w:b/>
          <w:sz w:val="24"/>
        </w:rPr>
      </w:pPr>
      <w:r>
        <w:rPr>
          <w:rFonts w:hint="eastAsia" w:ascii="宋体" w:hAnsi="宋体" w:cs="Times New Roman"/>
          <w:b/>
          <w:sz w:val="24"/>
        </w:rPr>
        <w:t>第五条</w:t>
      </w:r>
      <w:r>
        <w:rPr>
          <w:rFonts w:hint="eastAsia" w:ascii="宋体" w:hAnsi="宋体" w:cs="Times New Roman"/>
          <w:b/>
          <w:sz w:val="24"/>
          <w:lang w:val="en-US" w:eastAsia="zh-CN"/>
        </w:rPr>
        <w:t xml:space="preserve">  </w:t>
      </w:r>
      <w:r>
        <w:rPr>
          <w:rFonts w:hint="eastAsia" w:ascii="宋体" w:hAnsi="宋体" w:cs="Times New Roman"/>
          <w:b/>
          <w:sz w:val="24"/>
        </w:rPr>
        <w:t>本项目采用综合评分法。即在全部满足采购文件实质性要求的前提下，评标委员会对通过评审的所有投标人以总分由高到低推荐中标候选人，得分最高的投标人为排名第一的中标候选人</w:t>
      </w:r>
      <w:r>
        <w:rPr>
          <w:rFonts w:hint="eastAsia" w:ascii="宋体" w:hAnsi="宋体" w:cs="Times New Roman"/>
          <w:b/>
          <w:sz w:val="24"/>
          <w:lang w:eastAsia="zh-CN"/>
        </w:rPr>
        <w:t>，</w:t>
      </w:r>
      <w:r>
        <w:rPr>
          <w:rFonts w:hint="eastAsia" w:ascii="宋体" w:hAnsi="宋体" w:cs="Times New Roman"/>
          <w:b/>
          <w:sz w:val="24"/>
        </w:rPr>
        <w:t>并进行采购结果公示。</w:t>
      </w:r>
    </w:p>
    <w:p>
      <w:pPr>
        <w:widowControl/>
        <w:spacing w:line="300" w:lineRule="exact"/>
        <w:ind w:firstLine="482" w:firstLineChars="200"/>
        <w:rPr>
          <w:rFonts w:ascii="宋体" w:hAnsi="宋体"/>
          <w:b/>
          <w:sz w:val="24"/>
        </w:rPr>
      </w:pPr>
      <w:r>
        <w:rPr>
          <w:rFonts w:hint="eastAsia" w:ascii="宋体" w:hAnsi="宋体"/>
          <w:b/>
          <w:sz w:val="24"/>
        </w:rPr>
        <w:t>资信及商务、技术评分表</w:t>
      </w:r>
    </w:p>
    <w:tbl>
      <w:tblPr>
        <w:tblStyle w:val="29"/>
        <w:tblW w:w="5037"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735"/>
        <w:gridCol w:w="671"/>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05"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类别及权重</w:t>
            </w:r>
          </w:p>
        </w:tc>
        <w:tc>
          <w:tcPr>
            <w:tcW w:w="385"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评分因素</w:t>
            </w:r>
          </w:p>
        </w:tc>
        <w:tc>
          <w:tcPr>
            <w:tcW w:w="352"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分值</w:t>
            </w: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05"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商务部分（25分）</w:t>
            </w:r>
          </w:p>
        </w:tc>
        <w:tc>
          <w:tcPr>
            <w:tcW w:w="385"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rPr>
              <w:t>企业资质</w:t>
            </w:r>
          </w:p>
        </w:tc>
        <w:tc>
          <w:tcPr>
            <w:tcW w:w="352"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14</w:t>
            </w:r>
          </w:p>
        </w:tc>
        <w:tc>
          <w:tcPr>
            <w:tcW w:w="3756" w:type="pct"/>
            <w:vAlign w:val="center"/>
          </w:tcPr>
          <w:p>
            <w:pPr>
              <w:pStyle w:val="38"/>
              <w:numPr>
                <w:ilvl w:val="255"/>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rPr>
              <w:t>具有相关部门或者省软件行业协会颁发的软件企业证书且在有效期内的得2分。需提供相关证书材料复印件或扫描件并加盖投标人公章。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p>
        </w:tc>
        <w:tc>
          <w:tcPr>
            <w:tcW w:w="352"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p>
        </w:tc>
        <w:tc>
          <w:tcPr>
            <w:tcW w:w="3756" w:type="pct"/>
            <w:vAlign w:val="center"/>
          </w:tcPr>
          <w:p>
            <w:pPr>
              <w:pStyle w:val="38"/>
              <w:numPr>
                <w:ilvl w:val="255"/>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投标人获得过省厅级行政主管部门颁发的科技相关技术证书的得3分，市级的得1分。需提供相关证书材料复印件或扫描件并加盖投标人公章。 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p>
        </w:tc>
        <w:tc>
          <w:tcPr>
            <w:tcW w:w="38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p>
        </w:tc>
        <w:tc>
          <w:tcPr>
            <w:tcW w:w="352"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p>
        </w:tc>
        <w:tc>
          <w:tcPr>
            <w:tcW w:w="3756" w:type="pct"/>
            <w:vAlign w:val="center"/>
          </w:tcPr>
          <w:p>
            <w:pPr>
              <w:pStyle w:val="38"/>
              <w:numPr>
                <w:ilvl w:val="255"/>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具有计算机系统开发经验，拥有</w:t>
            </w:r>
            <w:r>
              <w:rPr>
                <w:rFonts w:ascii="宋体" w:hAnsi="宋体" w:eastAsia="宋体" w:cs="仿宋"/>
                <w:color w:val="000000" w:themeColor="text1"/>
                <w:sz w:val="24"/>
                <w:szCs w:val="24"/>
              </w:rPr>
              <w:t>文档管理系统</w:t>
            </w:r>
            <w:r>
              <w:rPr>
                <w:rFonts w:ascii="宋体" w:hAnsi="宋体" w:eastAsia="宋体" w:cs="仿宋"/>
                <w:color w:val="000000" w:themeColor="text1"/>
                <w:sz w:val="24"/>
                <w:szCs w:val="24"/>
                <w:lang w:val="zh-CN"/>
              </w:rPr>
              <w:t>、</w:t>
            </w:r>
            <w:r>
              <w:rPr>
                <w:rFonts w:ascii="宋体" w:hAnsi="宋体" w:eastAsia="宋体" w:cs="仿宋"/>
                <w:color w:val="000000" w:themeColor="text1"/>
                <w:sz w:val="24"/>
                <w:szCs w:val="24"/>
              </w:rPr>
              <w:t>数据可视化大屏管理、农村电商、在线教育</w:t>
            </w:r>
            <w:r>
              <w:rPr>
                <w:rFonts w:ascii="宋体" w:hAnsi="宋体" w:eastAsia="宋体" w:cs="仿宋"/>
                <w:color w:val="000000" w:themeColor="text1"/>
                <w:sz w:val="24"/>
                <w:szCs w:val="24"/>
                <w:lang w:val="zh-CN"/>
              </w:rPr>
              <w:t>软件著作权</w:t>
            </w:r>
            <w:r>
              <w:rPr>
                <w:rFonts w:ascii="宋体" w:hAnsi="宋体" w:eastAsia="宋体" w:cs="仿宋"/>
                <w:color w:val="000000" w:themeColor="text1"/>
                <w:sz w:val="24"/>
                <w:szCs w:val="24"/>
              </w:rPr>
              <w:t>证书，</w:t>
            </w:r>
            <w:r>
              <w:rPr>
                <w:rFonts w:ascii="宋体" w:hAnsi="宋体" w:eastAsia="宋体" w:cs="仿宋"/>
                <w:color w:val="000000" w:themeColor="text1"/>
                <w:sz w:val="24"/>
                <w:szCs w:val="24"/>
                <w:lang w:val="zh-CN"/>
              </w:rPr>
              <w:t>每提供一项计</w:t>
            </w:r>
            <w:r>
              <w:rPr>
                <w:rFonts w:ascii="宋体" w:hAnsi="宋体" w:eastAsia="宋体" w:cs="仿宋"/>
                <w:color w:val="000000" w:themeColor="text1"/>
                <w:sz w:val="24"/>
                <w:szCs w:val="24"/>
              </w:rPr>
              <w:t>2</w:t>
            </w:r>
            <w:r>
              <w:rPr>
                <w:rFonts w:ascii="宋体" w:hAnsi="宋体" w:eastAsia="宋体" w:cs="仿宋"/>
                <w:color w:val="000000" w:themeColor="text1"/>
                <w:sz w:val="24"/>
                <w:szCs w:val="24"/>
                <w:lang w:val="zh-CN"/>
              </w:rPr>
              <w:t>分，满分</w:t>
            </w:r>
            <w:r>
              <w:rPr>
                <w:rFonts w:ascii="宋体" w:hAnsi="宋体" w:eastAsia="宋体" w:cs="仿宋"/>
                <w:color w:val="000000" w:themeColor="text1"/>
                <w:sz w:val="24"/>
                <w:szCs w:val="24"/>
              </w:rPr>
              <w:t>8</w:t>
            </w:r>
            <w:r>
              <w:rPr>
                <w:rFonts w:ascii="宋体" w:hAnsi="宋体" w:eastAsia="宋体" w:cs="仿宋"/>
                <w:color w:val="000000" w:themeColor="text1"/>
                <w:sz w:val="24"/>
                <w:szCs w:val="24"/>
                <w:lang w:val="zh-CN"/>
              </w:rPr>
              <w:t>分。需</w:t>
            </w:r>
            <w:r>
              <w:rPr>
                <w:rFonts w:ascii="宋体" w:hAnsi="宋体" w:eastAsia="宋体" w:cs="仿宋"/>
                <w:color w:val="000000" w:themeColor="text1"/>
                <w:sz w:val="24"/>
                <w:szCs w:val="24"/>
              </w:rPr>
              <w:t>提供相关证书材料复印件或扫描件并加盖投标人公章。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lang w:val="zh-CN"/>
              </w:rPr>
            </w:pPr>
          </w:p>
        </w:tc>
        <w:tc>
          <w:tcPr>
            <w:tcW w:w="38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lang w:val="zh-CN"/>
              </w:rPr>
            </w:pPr>
          </w:p>
        </w:tc>
        <w:tc>
          <w:tcPr>
            <w:tcW w:w="352"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lang w:val="zh-CN"/>
              </w:rPr>
            </w:pPr>
          </w:p>
        </w:tc>
        <w:tc>
          <w:tcPr>
            <w:tcW w:w="3756" w:type="pct"/>
            <w:vAlign w:val="center"/>
          </w:tcPr>
          <w:p>
            <w:pPr>
              <w:pStyle w:val="38"/>
              <w:numPr>
                <w:ilvl w:val="255"/>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rPr>
              <w:t>具有</w:t>
            </w:r>
            <w:r>
              <w:rPr>
                <w:rFonts w:ascii="宋体" w:hAnsi="宋体" w:eastAsia="宋体" w:cs="仿宋"/>
                <w:color w:val="000000" w:themeColor="text1"/>
                <w:sz w:val="24"/>
                <w:szCs w:val="24"/>
                <w:lang w:val="zh-CN"/>
              </w:rPr>
              <w:t>质量管理体系认证证书</w:t>
            </w:r>
            <w:r>
              <w:rPr>
                <w:rFonts w:ascii="宋体" w:hAnsi="宋体" w:eastAsia="宋体" w:cs="仿宋"/>
                <w:color w:val="000000" w:themeColor="text1"/>
                <w:sz w:val="24"/>
                <w:szCs w:val="24"/>
              </w:rPr>
              <w:t>的得1</w:t>
            </w:r>
            <w:r>
              <w:rPr>
                <w:rFonts w:ascii="宋体" w:hAnsi="宋体" w:eastAsia="宋体" w:cs="仿宋"/>
                <w:color w:val="000000" w:themeColor="text1"/>
                <w:sz w:val="24"/>
                <w:szCs w:val="24"/>
                <w:lang w:val="zh-CN"/>
              </w:rPr>
              <w:t>分。需</w:t>
            </w:r>
            <w:r>
              <w:rPr>
                <w:rFonts w:ascii="宋体" w:hAnsi="宋体" w:eastAsia="宋体" w:cs="仿宋"/>
                <w:color w:val="000000" w:themeColor="text1"/>
                <w:sz w:val="24"/>
                <w:szCs w:val="24"/>
              </w:rPr>
              <w:t>提供相关证书材料复印件或扫描件并加盖投标人公章。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人员团队</w:t>
            </w:r>
          </w:p>
        </w:tc>
        <w:tc>
          <w:tcPr>
            <w:tcW w:w="352"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9</w:t>
            </w: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rPr>
              <w:t>聘请山核桃产业专家</w:t>
            </w:r>
            <w:r>
              <w:rPr>
                <w:rFonts w:ascii="宋体" w:hAnsi="宋体" w:eastAsia="宋体" w:cs="仿宋"/>
                <w:color w:val="000000" w:themeColor="text1"/>
                <w:sz w:val="24"/>
                <w:szCs w:val="24"/>
                <w:lang w:val="zh-CN"/>
              </w:rPr>
              <w:t>作为项目咨询顾问，提供技术支持，专家职称低于高级工程师的不得分。专家拥有副高职称的，每签订一份顾问协议得</w:t>
            </w:r>
            <w:r>
              <w:rPr>
                <w:rFonts w:ascii="宋体" w:hAnsi="宋体" w:eastAsia="宋体" w:cs="仿宋"/>
                <w:color w:val="000000" w:themeColor="text1"/>
                <w:sz w:val="24"/>
                <w:szCs w:val="24"/>
              </w:rPr>
              <w:t>2</w:t>
            </w:r>
            <w:r>
              <w:rPr>
                <w:rFonts w:ascii="宋体" w:hAnsi="宋体" w:eastAsia="宋体" w:cs="仿宋"/>
                <w:color w:val="000000" w:themeColor="text1"/>
                <w:sz w:val="24"/>
                <w:szCs w:val="24"/>
                <w:lang w:val="zh-CN"/>
              </w:rPr>
              <w:t>分；专家拥有教授职称的，每签订一份顾问协议得</w:t>
            </w:r>
            <w:r>
              <w:rPr>
                <w:rFonts w:ascii="宋体" w:hAnsi="宋体" w:eastAsia="宋体" w:cs="仿宋"/>
                <w:color w:val="000000" w:themeColor="text1"/>
                <w:sz w:val="24"/>
                <w:szCs w:val="24"/>
              </w:rPr>
              <w:t>2.5分；</w:t>
            </w:r>
            <w:r>
              <w:rPr>
                <w:rFonts w:ascii="宋体" w:hAnsi="宋体" w:eastAsia="宋体" w:cs="仿宋"/>
                <w:color w:val="000000" w:themeColor="text1"/>
                <w:sz w:val="24"/>
                <w:szCs w:val="24"/>
                <w:lang w:val="zh-CN"/>
              </w:rPr>
              <w:t>专家拥有二级教授职称的，每签订一份顾问协议得</w:t>
            </w:r>
            <w:r>
              <w:rPr>
                <w:rFonts w:ascii="宋体" w:hAnsi="宋体" w:eastAsia="宋体" w:cs="仿宋"/>
                <w:color w:val="000000" w:themeColor="text1"/>
                <w:sz w:val="24"/>
                <w:szCs w:val="24"/>
              </w:rPr>
              <w:t>3分</w:t>
            </w:r>
            <w:r>
              <w:rPr>
                <w:rFonts w:hint="eastAsia" w:ascii="宋体" w:hAnsi="宋体" w:eastAsia="宋体" w:cs="仿宋"/>
                <w:color w:val="000000" w:themeColor="text1"/>
                <w:sz w:val="24"/>
                <w:szCs w:val="24"/>
                <w:lang w:eastAsia="zh-CN"/>
              </w:rPr>
              <w:t>。此项</w:t>
            </w:r>
            <w:r>
              <w:rPr>
                <w:rFonts w:ascii="宋体" w:hAnsi="宋体" w:eastAsia="宋体" w:cs="仿宋"/>
                <w:color w:val="000000" w:themeColor="text1"/>
                <w:sz w:val="24"/>
                <w:szCs w:val="24"/>
                <w:lang w:val="zh-CN"/>
              </w:rPr>
              <w:t>最高得</w:t>
            </w:r>
            <w:r>
              <w:rPr>
                <w:rFonts w:ascii="宋体" w:hAnsi="宋体" w:eastAsia="宋体" w:cs="仿宋"/>
                <w:color w:val="000000" w:themeColor="text1"/>
                <w:sz w:val="24"/>
                <w:szCs w:val="24"/>
              </w:rPr>
              <w:t>5</w:t>
            </w:r>
            <w:r>
              <w:rPr>
                <w:rFonts w:ascii="宋体" w:hAnsi="宋体" w:eastAsia="宋体" w:cs="仿宋"/>
                <w:color w:val="000000" w:themeColor="text1"/>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p>
        </w:tc>
        <w:tc>
          <w:tcPr>
            <w:tcW w:w="38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p>
        </w:tc>
        <w:tc>
          <w:tcPr>
            <w:tcW w:w="352"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聘请农林信息技术专家</w:t>
            </w:r>
            <w:r>
              <w:rPr>
                <w:rFonts w:ascii="宋体" w:hAnsi="宋体" w:eastAsia="宋体" w:cs="仿宋"/>
                <w:color w:val="000000" w:themeColor="text1"/>
                <w:sz w:val="24"/>
                <w:szCs w:val="24"/>
                <w:lang w:val="zh-CN"/>
              </w:rPr>
              <w:t>作为项目咨询顾问，提供技术支持，专家职称低于教授的不得分。专家拥有教授</w:t>
            </w:r>
            <w:r>
              <w:rPr>
                <w:rFonts w:ascii="宋体" w:hAnsi="宋体" w:eastAsia="宋体" w:cs="仿宋"/>
                <w:color w:val="000000" w:themeColor="text1"/>
                <w:sz w:val="24"/>
                <w:szCs w:val="24"/>
              </w:rPr>
              <w:t>及以上</w:t>
            </w:r>
            <w:r>
              <w:rPr>
                <w:rFonts w:ascii="宋体" w:hAnsi="宋体" w:eastAsia="宋体" w:cs="仿宋"/>
                <w:color w:val="000000" w:themeColor="text1"/>
                <w:sz w:val="24"/>
                <w:szCs w:val="24"/>
                <w:lang w:val="zh-CN"/>
              </w:rPr>
              <w:t>职称的，每签定一份顾问协议得</w:t>
            </w:r>
            <w:r>
              <w:rPr>
                <w:rFonts w:ascii="宋体" w:hAnsi="宋体" w:eastAsia="宋体" w:cs="仿宋"/>
                <w:color w:val="000000" w:themeColor="text1"/>
                <w:sz w:val="24"/>
                <w:szCs w:val="24"/>
              </w:rPr>
              <w:t>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p>
        </w:tc>
        <w:tc>
          <w:tcPr>
            <w:tcW w:w="385"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标书质量</w:t>
            </w:r>
          </w:p>
        </w:tc>
        <w:tc>
          <w:tcPr>
            <w:tcW w:w="352"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ind w:firstLine="120" w:firstLineChars="50"/>
              <w:jc w:val="left"/>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2</w:t>
            </w: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cs="宋体"/>
                <w:color w:val="000000" w:themeColor="text1"/>
                <w:kern w:val="0"/>
                <w:sz w:val="24"/>
              </w:rPr>
              <w:t>投标文件编制完整，格式规范、符合招标文件要求的，得0-2分；投标文件有关内容前后矛盾、与招标文件要求不一致等，评标委员会允许且需要通过询标等程序进行澄清的，该项不得分；投标文件存在其他错漏的，每项（次）扣 0.5分，扣完该项得分为止。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05"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技术部分（</w:t>
            </w:r>
            <w:r>
              <w:rPr>
                <w:rFonts w:ascii="宋体" w:hAnsi="宋体" w:eastAsia="宋体" w:cs="仿宋"/>
                <w:color w:val="000000" w:themeColor="text1"/>
                <w:sz w:val="24"/>
                <w:szCs w:val="24"/>
              </w:rPr>
              <w:t>55</w:t>
            </w:r>
            <w:r>
              <w:rPr>
                <w:rFonts w:ascii="宋体" w:hAnsi="宋体" w:eastAsia="宋体" w:cs="仿宋"/>
                <w:color w:val="000000" w:themeColor="text1"/>
                <w:sz w:val="24"/>
                <w:szCs w:val="24"/>
                <w:lang w:val="zh-CN"/>
              </w:rPr>
              <w:t>）</w:t>
            </w:r>
          </w:p>
        </w:tc>
        <w:tc>
          <w:tcPr>
            <w:tcW w:w="385"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技术响应能力</w:t>
            </w:r>
          </w:p>
        </w:tc>
        <w:tc>
          <w:tcPr>
            <w:tcW w:w="352"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6</w:t>
            </w: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eastAsia="宋体" w:cs="仿宋"/>
                <w:color w:val="000000" w:themeColor="text1"/>
                <w:kern w:val="0"/>
                <w:sz w:val="24"/>
                <w:szCs w:val="24"/>
              </w:rPr>
              <w:t>根据投标人提交的投标文件对技术和服务要求逐项响应情况进行评分，完全满足招标文件技术和服务要求的得6分，有不满足的，每项扣1分，扣完为止。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服务经验</w:t>
            </w:r>
          </w:p>
        </w:tc>
        <w:tc>
          <w:tcPr>
            <w:tcW w:w="352"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3</w:t>
            </w: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投标人或投标人控股的单位具有山核桃产业相关服务经验的（林地流转、生产、物联网基地、农技服务、营销等），得3分，需提供相关证明材料加盖公章扫描件。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r>
              <w:rPr>
                <w:rFonts w:ascii="宋体" w:hAnsi="宋体" w:eastAsia="宋体" w:cs="仿宋"/>
                <w:color w:val="000000" w:themeColor="text1"/>
                <w:sz w:val="24"/>
                <w:szCs w:val="24"/>
                <w:lang w:val="zh-CN"/>
              </w:rPr>
              <w:t>项目建设方案</w:t>
            </w:r>
          </w:p>
        </w:tc>
        <w:tc>
          <w:tcPr>
            <w:tcW w:w="352" w:type="pct"/>
            <w:vMerge w:val="restar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p>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16</w:t>
            </w: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投标人需提供完整、符合产业现状的技术方案，对森林资源大数据平台、</w:t>
            </w:r>
            <w:r>
              <w:rPr>
                <w:rFonts w:ascii="宋体" w:hAnsi="宋体" w:cs="仿宋"/>
                <w:bCs/>
                <w:color w:val="000000" w:themeColor="text1"/>
                <w:sz w:val="24"/>
              </w:rPr>
              <w:t>山核桃</w:t>
            </w:r>
            <w:r>
              <w:rPr>
                <w:rFonts w:ascii="宋体" w:hAnsi="宋体" w:eastAsia="宋体" w:cs="仿宋"/>
                <w:bCs/>
                <w:color w:val="000000" w:themeColor="text1"/>
                <w:sz w:val="24"/>
              </w:rPr>
              <w:t>特色</w:t>
            </w:r>
            <w:r>
              <w:rPr>
                <w:rFonts w:ascii="宋体" w:hAnsi="宋体" w:cs="仿宋"/>
                <w:bCs/>
                <w:color w:val="000000" w:themeColor="text1"/>
                <w:sz w:val="24"/>
              </w:rPr>
              <w:t>产业云服务平台</w:t>
            </w:r>
            <w:r>
              <w:rPr>
                <w:rFonts w:ascii="宋体" w:hAnsi="宋体" w:eastAsia="宋体" w:cs="仿宋"/>
                <w:color w:val="000000" w:themeColor="text1"/>
                <w:sz w:val="24"/>
                <w:szCs w:val="24"/>
              </w:rPr>
              <w:t>、产业大数据中心、八个应用系统方案进行阐述。根据方案的先进性、合理性进行综合评分（0-8分），最高得8分，未提供方案的不得分。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52"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投标人需提供完整、符合产业现状的技术方案，对数据采集与标准化、数据服务与应用方案（包括数据采集与整理方案、</w:t>
            </w:r>
            <w:r>
              <w:rPr>
                <w:rFonts w:ascii="宋体" w:hAnsi="宋体" w:eastAsia="宋体" w:cs="仿宋"/>
                <w:color w:val="000000" w:themeColor="text1"/>
                <w:sz w:val="24"/>
              </w:rPr>
              <w:t>数据标准化建立</w:t>
            </w:r>
            <w:r>
              <w:rPr>
                <w:rFonts w:ascii="宋体" w:hAnsi="宋体" w:eastAsia="宋体" w:cs="仿宋"/>
                <w:color w:val="000000" w:themeColor="text1"/>
                <w:sz w:val="24"/>
                <w:szCs w:val="24"/>
              </w:rPr>
              <w:t>方案、</w:t>
            </w:r>
            <w:r>
              <w:rPr>
                <w:rFonts w:ascii="宋体" w:hAnsi="宋体" w:eastAsia="宋体" w:cs="仿宋"/>
                <w:color w:val="000000" w:themeColor="text1"/>
                <w:sz w:val="24"/>
              </w:rPr>
              <w:t>产业模型标准数据参数建立</w:t>
            </w:r>
            <w:r>
              <w:rPr>
                <w:rFonts w:ascii="宋体" w:hAnsi="宋体" w:eastAsia="宋体" w:cs="仿宋"/>
                <w:color w:val="000000" w:themeColor="text1"/>
                <w:sz w:val="24"/>
                <w:szCs w:val="24"/>
              </w:rPr>
              <w:t>方案、</w:t>
            </w:r>
            <w:r>
              <w:rPr>
                <w:rFonts w:ascii="宋体" w:hAnsi="宋体" w:eastAsia="宋体" w:cs="仿宋"/>
                <w:color w:val="000000" w:themeColor="text1"/>
                <w:sz w:val="24"/>
              </w:rPr>
              <w:t>数据服务</w:t>
            </w:r>
            <w:r>
              <w:rPr>
                <w:rFonts w:ascii="宋体" w:hAnsi="宋体" w:eastAsia="宋体" w:cs="仿宋"/>
                <w:color w:val="000000" w:themeColor="text1"/>
                <w:sz w:val="24"/>
                <w:szCs w:val="24"/>
              </w:rPr>
              <w:t>方案、</w:t>
            </w:r>
            <w:r>
              <w:rPr>
                <w:rFonts w:ascii="宋体" w:hAnsi="宋体" w:eastAsia="宋体" w:cs="仿宋"/>
                <w:color w:val="000000" w:themeColor="text1"/>
                <w:sz w:val="24"/>
              </w:rPr>
              <w:t>数字化证书及应用</w:t>
            </w:r>
            <w:r>
              <w:rPr>
                <w:rFonts w:ascii="宋体" w:hAnsi="宋体" w:eastAsia="宋体" w:cs="仿宋"/>
                <w:color w:val="000000" w:themeColor="text1"/>
                <w:sz w:val="24"/>
                <w:szCs w:val="24"/>
              </w:rPr>
              <w:t>方案）进行阐述。根据方案的先进性、合理性进行综合评分（0-8分），最高得8分，未提供方案的不得分。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系统演示</w:t>
            </w:r>
          </w:p>
        </w:tc>
        <w:tc>
          <w:tcPr>
            <w:tcW w:w="352"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rPr>
            </w:pPr>
            <w:r>
              <w:rPr>
                <w:rFonts w:ascii="宋体" w:hAnsi="宋体" w:eastAsia="宋体" w:cs="仿宋"/>
                <w:color w:val="000000" w:themeColor="text1"/>
                <w:sz w:val="24"/>
                <w:szCs w:val="24"/>
              </w:rPr>
              <w:t>12</w:t>
            </w:r>
          </w:p>
        </w:tc>
        <w:tc>
          <w:tcPr>
            <w:tcW w:w="3756" w:type="pct"/>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rPr>
            </w:pPr>
            <w:r>
              <w:rPr>
                <w:rFonts w:ascii="宋体" w:hAnsi="宋体" w:eastAsia="宋体" w:cs="仿宋"/>
                <w:color w:val="000000" w:themeColor="text1"/>
                <w:sz w:val="24"/>
              </w:rPr>
              <w:t>对森林资源大数据平台进行演示：</w:t>
            </w:r>
            <w:r>
              <w:rPr>
                <w:rFonts w:ascii="宋体" w:hAnsi="宋体" w:cs="宋体"/>
                <w:color w:val="000000" w:themeColor="text1"/>
                <w:sz w:val="24"/>
              </w:rPr>
              <w:t>★演示须制作成光盘或U盘，在投标截止前寄至杭州市临安区行政服务中心B座四楼B448办公室。</w:t>
            </w:r>
          </w:p>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rPr>
            </w:pPr>
            <w:r>
              <w:rPr>
                <w:rFonts w:ascii="宋体" w:hAnsi="宋体" w:eastAsia="宋体" w:cs="仿宋"/>
                <w:color w:val="000000" w:themeColor="text1"/>
                <w:sz w:val="24"/>
              </w:rPr>
              <w:t>1、森林资源大数据展示：（1）对内展示：森林发布模块、公益林、湿地资源、业务系统、自然保护地；（2）公众展示：一张图大数据、年度出数、公益林、自然保护地、野生动植物、古树名木、湿地资源；</w:t>
            </w:r>
            <w:r>
              <w:rPr>
                <w:rFonts w:ascii="宋体" w:hAnsi="宋体" w:eastAsia="宋体" w:cs="仿宋"/>
                <w:color w:val="000000" w:themeColor="text1"/>
                <w:sz w:val="24"/>
                <w:szCs w:val="24"/>
              </w:rPr>
              <w:t>（0-3分）</w:t>
            </w:r>
          </w:p>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rPr>
            </w:pPr>
            <w:r>
              <w:rPr>
                <w:rFonts w:ascii="宋体" w:hAnsi="宋体" w:eastAsia="宋体" w:cs="仿宋"/>
                <w:color w:val="000000" w:themeColor="text1"/>
                <w:sz w:val="24"/>
              </w:rPr>
              <w:t>2、森林资源动态更新展示：（1）年度监测：现状图斑、森林督查图斑、征占林地、绿化造林、林木采伐、行政处罚、森林灾害；（2）汇总统计；</w:t>
            </w:r>
            <w:r>
              <w:rPr>
                <w:rFonts w:ascii="宋体" w:hAnsi="宋体" w:eastAsia="宋体" w:cs="仿宋"/>
                <w:color w:val="000000" w:themeColor="text1"/>
                <w:sz w:val="24"/>
                <w:szCs w:val="24"/>
              </w:rPr>
              <w:t>（0-3分）</w:t>
            </w:r>
          </w:p>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rPr>
            </w:pPr>
            <w:r>
              <w:rPr>
                <w:rFonts w:ascii="宋体" w:hAnsi="宋体" w:eastAsia="宋体" w:cs="仿宋"/>
                <w:color w:val="000000" w:themeColor="text1"/>
                <w:sz w:val="24"/>
              </w:rPr>
              <w:t>3、移动数据采集APP：（1）整体功能展示；（2）落地上图演示：征占林地、绿化造林、林木采伐、行政处罚、森林灾害落地上图；</w:t>
            </w:r>
            <w:r>
              <w:rPr>
                <w:rFonts w:ascii="宋体" w:hAnsi="宋体" w:eastAsia="宋体" w:cs="仿宋"/>
                <w:color w:val="000000" w:themeColor="text1"/>
                <w:sz w:val="24"/>
                <w:szCs w:val="24"/>
              </w:rPr>
              <w:t>（</w:t>
            </w:r>
            <w:r>
              <w:rPr>
                <w:rFonts w:hint="eastAsia" w:ascii="宋体" w:hAnsi="宋体" w:eastAsia="宋体" w:cs="仿宋"/>
                <w:color w:val="000000" w:themeColor="text1"/>
                <w:sz w:val="24"/>
                <w:szCs w:val="24"/>
                <w:lang w:val="en-US" w:eastAsia="zh-CN"/>
              </w:rPr>
              <w:t>0</w:t>
            </w:r>
            <w:r>
              <w:rPr>
                <w:rFonts w:ascii="宋体" w:hAnsi="宋体" w:eastAsia="宋体" w:cs="仿宋"/>
                <w:color w:val="000000" w:themeColor="text1"/>
                <w:sz w:val="24"/>
                <w:szCs w:val="24"/>
              </w:rPr>
              <w:t>-3分）</w:t>
            </w:r>
          </w:p>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rPr>
            </w:pPr>
            <w:r>
              <w:rPr>
                <w:rFonts w:ascii="宋体" w:hAnsi="宋体" w:eastAsia="宋体" w:cs="仿宋"/>
                <w:color w:val="000000" w:themeColor="text1"/>
                <w:sz w:val="24"/>
              </w:rPr>
              <w:t>4、林业资源档案数据展示：二类调查、本期一张图、各类资源专题图、造林验收、征占林地、林木采伐、古树名木、古树群、湿地资源、自然保护地等。</w:t>
            </w:r>
            <w:r>
              <w:rPr>
                <w:rFonts w:ascii="宋体" w:hAnsi="宋体" w:eastAsia="宋体" w:cs="仿宋"/>
                <w:color w:val="000000" w:themeColor="text1"/>
                <w:sz w:val="24"/>
                <w:szCs w:val="24"/>
              </w:rPr>
              <w:t>（0-3分）</w:t>
            </w:r>
          </w:p>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left"/>
              <w:rPr>
                <w:rFonts w:hint="default" w:ascii="宋体" w:hAnsi="宋体" w:eastAsia="宋体" w:cs="仿宋"/>
                <w:color w:val="000000" w:themeColor="text1"/>
                <w:sz w:val="24"/>
              </w:rPr>
            </w:pPr>
            <w:r>
              <w:rPr>
                <w:rFonts w:ascii="宋体" w:hAnsi="宋体" w:eastAsia="宋体" w:cs="仿宋"/>
                <w:color w:val="000000" w:themeColor="text1"/>
                <w:sz w:val="24"/>
              </w:rPr>
              <w:t>每个展示最高得3分，共12分。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Align w:val="center"/>
          </w:tcPr>
          <w:p>
            <w:pPr>
              <w:jc w:val="center"/>
              <w:rPr>
                <w:rFonts w:ascii="宋体" w:hAnsi="宋体" w:cs="仿宋"/>
                <w:color w:val="000000" w:themeColor="text1"/>
                <w:sz w:val="24"/>
                <w:lang w:val="zh-CN"/>
              </w:rPr>
            </w:pPr>
            <w:r>
              <w:rPr>
                <w:rFonts w:hint="eastAsia" w:ascii="宋体" w:hAnsi="宋体" w:cs="仿宋"/>
                <w:color w:val="000000" w:themeColor="text1"/>
                <w:sz w:val="24"/>
              </w:rPr>
              <w:t>项目实施方案</w:t>
            </w:r>
          </w:p>
        </w:tc>
        <w:tc>
          <w:tcPr>
            <w:tcW w:w="352" w:type="pct"/>
            <w:vAlign w:val="center"/>
          </w:tcPr>
          <w:p>
            <w:pPr>
              <w:jc w:val="center"/>
              <w:rPr>
                <w:rFonts w:ascii="宋体" w:hAnsi="宋体" w:cs="仿宋"/>
                <w:color w:val="000000" w:themeColor="text1"/>
                <w:sz w:val="24"/>
              </w:rPr>
            </w:pPr>
            <w:r>
              <w:rPr>
                <w:rFonts w:hint="eastAsia" w:ascii="宋体" w:hAnsi="宋体" w:cs="仿宋"/>
                <w:color w:val="000000" w:themeColor="text1"/>
                <w:sz w:val="24"/>
              </w:rPr>
              <w:t>10</w:t>
            </w:r>
          </w:p>
        </w:tc>
        <w:tc>
          <w:tcPr>
            <w:tcW w:w="3756" w:type="pct"/>
            <w:vAlign w:val="center"/>
          </w:tcPr>
          <w:p>
            <w:pPr>
              <w:pStyle w:val="18"/>
              <w:spacing w:beforeLines="0" w:afterLines="0" w:line="240" w:lineRule="auto"/>
              <w:rPr>
                <w:rFonts w:hAnsi="宋体" w:cs="仿宋"/>
                <w:color w:val="000000" w:themeColor="text1"/>
              </w:rPr>
            </w:pPr>
            <w:r>
              <w:rPr>
                <w:rFonts w:hint="eastAsia" w:hAnsi="宋体" w:cs="仿宋"/>
                <w:color w:val="000000" w:themeColor="text1"/>
              </w:rPr>
              <w:t>提供项目组织实施方案，评委根据方案中人员组织、进度安排、实施步骤、保障措施等内容进行综合打分（0-10），最高得10分，</w:t>
            </w:r>
            <w:r>
              <w:rPr>
                <w:rFonts w:hAnsi="宋体" w:cs="仿宋"/>
                <w:color w:val="000000" w:themeColor="text1"/>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505" w:type="pct"/>
            <w:vMerge w:val="continue"/>
            <w:vAlign w:val="center"/>
          </w:tcPr>
          <w:p>
            <w:pPr>
              <w:pStyle w:val="3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adjustRightInd w:val="0"/>
              <w:snapToGrid w:val="0"/>
              <w:jc w:val="center"/>
              <w:rPr>
                <w:rFonts w:hint="default" w:ascii="宋体" w:hAnsi="宋体" w:eastAsia="宋体" w:cs="仿宋"/>
                <w:color w:val="000000" w:themeColor="text1"/>
                <w:sz w:val="24"/>
                <w:szCs w:val="24"/>
                <w:lang w:val="zh-CN"/>
              </w:rPr>
            </w:pPr>
          </w:p>
        </w:tc>
        <w:tc>
          <w:tcPr>
            <w:tcW w:w="385" w:type="pct"/>
            <w:vAlign w:val="center"/>
          </w:tcPr>
          <w:p>
            <w:pPr>
              <w:jc w:val="center"/>
              <w:rPr>
                <w:rFonts w:ascii="宋体" w:hAnsi="宋体" w:cs="仿宋"/>
                <w:color w:val="000000" w:themeColor="text1"/>
                <w:sz w:val="24"/>
                <w:lang w:val="zh-CN"/>
              </w:rPr>
            </w:pPr>
            <w:r>
              <w:rPr>
                <w:rFonts w:hint="eastAsia" w:ascii="宋体" w:hAnsi="宋体" w:cs="仿宋"/>
                <w:color w:val="000000" w:themeColor="text1"/>
                <w:sz w:val="24"/>
              </w:rPr>
              <w:t>履约能力、售后服务方案</w:t>
            </w:r>
          </w:p>
        </w:tc>
        <w:tc>
          <w:tcPr>
            <w:tcW w:w="352" w:type="pct"/>
            <w:vAlign w:val="center"/>
          </w:tcPr>
          <w:p>
            <w:pPr>
              <w:jc w:val="center"/>
              <w:rPr>
                <w:rFonts w:ascii="宋体" w:hAnsi="宋体" w:cs="仿宋"/>
                <w:color w:val="000000" w:themeColor="text1"/>
                <w:sz w:val="24"/>
              </w:rPr>
            </w:pPr>
            <w:r>
              <w:rPr>
                <w:rFonts w:hint="eastAsia" w:ascii="宋体" w:hAnsi="宋体" w:cs="仿宋"/>
                <w:color w:val="000000" w:themeColor="text1"/>
                <w:sz w:val="24"/>
              </w:rPr>
              <w:t>8</w:t>
            </w:r>
          </w:p>
        </w:tc>
        <w:tc>
          <w:tcPr>
            <w:tcW w:w="3756" w:type="pct"/>
            <w:vAlign w:val="center"/>
          </w:tcPr>
          <w:p>
            <w:pPr>
              <w:pStyle w:val="18"/>
              <w:spacing w:before="156" w:after="156" w:line="240" w:lineRule="auto"/>
              <w:rPr>
                <w:rFonts w:hAnsi="宋体" w:cs="仿宋"/>
                <w:color w:val="000000" w:themeColor="text1"/>
              </w:rPr>
            </w:pPr>
            <w:r>
              <w:rPr>
                <w:rFonts w:hAnsi="宋体" w:cs="仿宋"/>
                <w:color w:val="000000" w:themeColor="text1"/>
              </w:rPr>
              <w:t>根据</w:t>
            </w:r>
            <w:r>
              <w:rPr>
                <w:rFonts w:hint="eastAsia" w:hAnsi="宋体" w:cs="仿宋"/>
                <w:color w:val="000000" w:themeColor="text1"/>
              </w:rPr>
              <w:t>投标人</w:t>
            </w:r>
            <w:r>
              <w:rPr>
                <w:rFonts w:hAnsi="宋体" w:cs="仿宋"/>
                <w:color w:val="000000" w:themeColor="text1"/>
              </w:rPr>
              <w:t>承</w:t>
            </w:r>
            <w:bookmarkStart w:id="28" w:name="_GoBack"/>
            <w:bookmarkEnd w:id="28"/>
            <w:r>
              <w:rPr>
                <w:rFonts w:hAnsi="宋体" w:cs="仿宋"/>
                <w:color w:val="000000" w:themeColor="text1"/>
              </w:rPr>
              <w:t>诺在项目建设期内驻场开发与实施人员方案</w:t>
            </w:r>
            <w:r>
              <w:rPr>
                <w:rFonts w:hint="eastAsia" w:hAnsi="宋体" w:cs="仿宋"/>
                <w:color w:val="000000" w:themeColor="text1"/>
              </w:rPr>
              <w:t>和项目售后服务方案，评委根据方案中投标人服务网点及人员计划、服务计划、服务事项、服务流程、服务方式、服务期和响应时间等内容进行综合打分</w:t>
            </w:r>
            <w:r>
              <w:rPr>
                <w:rFonts w:hAnsi="宋体" w:cs="仿宋"/>
                <w:color w:val="000000" w:themeColor="text1"/>
              </w:rPr>
              <w:t>（0-</w:t>
            </w:r>
            <w:r>
              <w:rPr>
                <w:rFonts w:hint="eastAsia" w:hAnsi="宋体" w:cs="仿宋"/>
                <w:color w:val="000000" w:themeColor="text1"/>
                <w:lang w:val="en-US" w:eastAsia="zh-CN"/>
              </w:rPr>
              <w:t>8</w:t>
            </w:r>
            <w:r>
              <w:rPr>
                <w:rFonts w:hAnsi="宋体" w:cs="仿宋"/>
                <w:color w:val="000000" w:themeColor="text1"/>
              </w:rPr>
              <w:t>分）</w:t>
            </w:r>
            <w:r>
              <w:rPr>
                <w:rFonts w:hint="eastAsia" w:hAnsi="宋体" w:cs="仿宋"/>
                <w:color w:val="000000" w:themeColor="text1"/>
              </w:rPr>
              <w:t>，最高得</w:t>
            </w:r>
            <w:r>
              <w:rPr>
                <w:rFonts w:hint="eastAsia" w:hAnsi="宋体" w:cs="仿宋"/>
                <w:color w:val="000000" w:themeColor="text1"/>
                <w:lang w:val="en-US" w:eastAsia="zh-CN"/>
              </w:rPr>
              <w:t>8</w:t>
            </w:r>
            <w:r>
              <w:rPr>
                <w:rFonts w:hint="eastAsia" w:hAnsi="宋体" w:cs="仿宋"/>
                <w:color w:val="000000" w:themeColor="text1"/>
              </w:rPr>
              <w:t>分，</w:t>
            </w:r>
            <w:r>
              <w:rPr>
                <w:rFonts w:hAnsi="宋体" w:cs="仿宋"/>
                <w:color w:val="000000" w:themeColor="text1"/>
              </w:rPr>
              <w:t>未提供方案的不得分。</w:t>
            </w:r>
          </w:p>
        </w:tc>
      </w:tr>
    </w:tbl>
    <w:p>
      <w:pPr>
        <w:widowControl/>
        <w:spacing w:line="360" w:lineRule="exact"/>
        <w:ind w:left="729" w:leftChars="3" w:right="-514" w:rightChars="-245" w:hanging="723" w:hangingChars="300"/>
        <w:rPr>
          <w:rFonts w:ascii="宋体" w:hAnsi="宋体"/>
          <w:b/>
          <w:sz w:val="24"/>
        </w:rPr>
      </w:pPr>
    </w:p>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18"/>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numPr>
          <w:ilvl w:val="0"/>
          <w:numId w:val="3"/>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1、项目名称</w:t>
      </w:r>
    </w:p>
    <w:p>
      <w:pPr>
        <w:spacing w:line="400" w:lineRule="exact"/>
        <w:ind w:firstLine="480" w:firstLineChars="200"/>
        <w:rPr>
          <w:rFonts w:ascii="宋体" w:hAnsi="宋体" w:cs="仿宋"/>
          <w:sz w:val="24"/>
        </w:rPr>
      </w:pPr>
      <w:r>
        <w:rPr>
          <w:rFonts w:hint="eastAsia" w:ascii="宋体" w:hAnsi="宋体" w:cs="仿宋"/>
          <w:sz w:val="24"/>
        </w:rPr>
        <w:t>临安山核桃特色产业云服务平台建设及数据采集与标准化、数据服务与应用项目</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2、项目背景</w:t>
      </w:r>
    </w:p>
    <w:p>
      <w:pPr>
        <w:spacing w:line="400" w:lineRule="exact"/>
        <w:ind w:firstLine="480" w:firstLineChars="200"/>
        <w:rPr>
          <w:rFonts w:ascii="宋体" w:hAnsi="宋体" w:cs="仿宋"/>
          <w:sz w:val="24"/>
        </w:rPr>
      </w:pPr>
      <w:r>
        <w:rPr>
          <w:rFonts w:hint="eastAsia" w:ascii="宋体" w:hAnsi="宋体" w:cs="仿宋"/>
          <w:sz w:val="24"/>
        </w:rPr>
        <w:t>临安是全国唯一的“中国山核桃之都”,中国特色山核桃产品优势区。山核桃在临安有500多年的生产加工历史，山核桃是我区西部地区4万农户、10多万林农赖以生存的“民生之树”和最大的“摇钱树”,是推动我区农村经济健康发展的“支柱产业”。</w:t>
      </w:r>
    </w:p>
    <w:p>
      <w:pPr>
        <w:spacing w:line="400" w:lineRule="exact"/>
        <w:ind w:firstLine="480" w:firstLineChars="200"/>
        <w:rPr>
          <w:rFonts w:ascii="宋体" w:hAnsi="宋体" w:cs="仿宋"/>
          <w:sz w:val="24"/>
        </w:rPr>
      </w:pPr>
      <w:r>
        <w:rPr>
          <w:rFonts w:hint="eastAsia" w:ascii="宋体" w:hAnsi="宋体" w:cs="仿宋"/>
          <w:sz w:val="24"/>
        </w:rPr>
        <w:t>立足于临安山核桃产业资源优势，以产业云服务平台建设为基础，支持推进数字化建设向乡村、产业深度延伸，全力促进数字经济新技术、新设施、新业态在山核桃产业发展领域的应用和转化，进一步激发乡村内在活力，着力推动乡村智慧化发展、农业绿色发展、城乡融合发展，促进农业发展方式转变和乡村产业高质量发展探索路径、打造数字乡村浙江样板。</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3、项目目标</w:t>
      </w:r>
    </w:p>
    <w:p>
      <w:pPr>
        <w:spacing w:line="400" w:lineRule="exact"/>
        <w:ind w:firstLine="480" w:firstLineChars="200"/>
        <w:rPr>
          <w:rFonts w:ascii="宋体" w:hAnsi="宋体" w:cs="仿宋"/>
          <w:sz w:val="24"/>
        </w:rPr>
      </w:pPr>
      <w:r>
        <w:rPr>
          <w:rFonts w:hint="eastAsia" w:ascii="宋体" w:hAnsi="宋体" w:cs="仿宋"/>
          <w:sz w:val="24"/>
        </w:rPr>
        <w:t>在科学发展观指导下，着眼于提升农业管理和服务效能，通过互联网、云计算、物联网、移动通信等新一代信息技术的创新应用，建成统一规划、过程可控、风险可防、产销可融、公众可查的“数字农业”服务体系，探索构建管理部门、行政相对人、公众互动的农业数字生态体系，推动临安区山核桃产业数字服务水平发生质的飞越，更好的用数据智能建设规范有序的公共数据资产，让临安区产业数字化工作走在全省前列。</w:t>
      </w:r>
    </w:p>
    <w:p>
      <w:pPr>
        <w:spacing w:line="400" w:lineRule="exact"/>
        <w:ind w:firstLine="480" w:firstLineChars="200"/>
        <w:rPr>
          <w:rFonts w:ascii="宋体" w:hAnsi="宋体" w:cs="仿宋"/>
          <w:sz w:val="24"/>
        </w:rPr>
      </w:pPr>
      <w:r>
        <w:rPr>
          <w:rFonts w:hint="eastAsia" w:ascii="宋体" w:hAnsi="宋体" w:cs="仿宋"/>
          <w:sz w:val="24"/>
        </w:rPr>
        <w:t>“产业云服务平台”项目将在现有信息化基础上，结合临安山核桃产业管理与服务的相关业务需求和“数字乡村”建设的核心内涵，进一步扩展对辖区内多个主导产业的资源、生产、加工、经营、管理等全过程的感知管控能力，以构建产业长效发展机制为核心，深化农业管理、科技推广、质量安全、产业监管等业务的应用，并为社会公众提供多渠道的互动指导服务。项目围绕产业振兴、产业融合、风险防控和数字服务等内容，深化建设“一个平台、一个中心、多个应用服务体系”，构建集“提高管理效率、促进产业发展、连接社会服务、服务从业主体、加强基础建设、可持续性发展”于一体的数字农业服务体系。</w:t>
      </w:r>
    </w:p>
    <w:p>
      <w:pPr>
        <w:spacing w:line="400" w:lineRule="exact"/>
        <w:ind w:firstLine="480" w:firstLineChars="200"/>
        <w:rPr>
          <w:rFonts w:ascii="宋体" w:hAnsi="宋体" w:cs="仿宋"/>
          <w:sz w:val="24"/>
        </w:rPr>
      </w:pPr>
      <w:r>
        <w:rPr>
          <w:rFonts w:hint="eastAsia" w:ascii="宋体" w:hAnsi="宋体" w:cs="仿宋"/>
          <w:sz w:val="24"/>
        </w:rPr>
        <w:t>1、一产+数字</w:t>
      </w:r>
    </w:p>
    <w:p>
      <w:pPr>
        <w:spacing w:line="400" w:lineRule="exact"/>
        <w:ind w:firstLine="480" w:firstLineChars="200"/>
        <w:rPr>
          <w:rFonts w:ascii="宋体" w:hAnsi="宋体" w:cs="仿宋"/>
          <w:sz w:val="24"/>
        </w:rPr>
      </w:pPr>
      <w:r>
        <w:rPr>
          <w:rFonts w:hint="eastAsia" w:ascii="宋体" w:hAnsi="宋体" w:cs="仿宋"/>
          <w:sz w:val="24"/>
        </w:rPr>
        <w:t>“一产+数字”重点实施山核桃生产标准化与智能化，管理数字化，建设山核桃产业标准模型，建设一批产业数字化生产示范基地，推广一批节本增效山地特色数字农业应用模式。</w:t>
      </w:r>
    </w:p>
    <w:p>
      <w:pPr>
        <w:spacing w:line="400" w:lineRule="exact"/>
        <w:ind w:firstLine="480" w:firstLineChars="200"/>
        <w:rPr>
          <w:rFonts w:ascii="宋体" w:hAnsi="宋体" w:cs="仿宋"/>
          <w:sz w:val="24"/>
        </w:rPr>
      </w:pPr>
      <w:r>
        <w:rPr>
          <w:rFonts w:hint="eastAsia" w:ascii="宋体" w:hAnsi="宋体" w:cs="仿宋"/>
          <w:sz w:val="24"/>
        </w:rPr>
        <w:t>2、二产+数字</w:t>
      </w:r>
    </w:p>
    <w:p>
      <w:pPr>
        <w:spacing w:line="400" w:lineRule="exact"/>
        <w:ind w:firstLine="480" w:firstLineChars="200"/>
        <w:rPr>
          <w:rFonts w:ascii="宋体" w:hAnsi="宋体" w:cs="仿宋"/>
          <w:sz w:val="24"/>
        </w:rPr>
      </w:pPr>
      <w:r>
        <w:rPr>
          <w:rFonts w:hint="eastAsia" w:ascii="宋体" w:hAnsi="宋体" w:cs="仿宋"/>
          <w:sz w:val="24"/>
        </w:rPr>
        <w:t>“二产+数字”重点提升山核桃产品原料管理、生产加工工艺数字化管理水平，实施临安山核桃质量安全监管工程，强化产品质量安全全程追溯和投入品监管，优化产品质量安全追溯平台建设与管理，推动产品生产、流通过程数据自动化、智能化采集，应用区块链技术使追溯数据上链，增强平台可信性，提升临安山核桃产业全链条、全流程、全领域质量安全监管能力。</w:t>
      </w:r>
    </w:p>
    <w:p>
      <w:pPr>
        <w:spacing w:line="400" w:lineRule="exact"/>
        <w:ind w:firstLine="480" w:firstLineChars="200"/>
        <w:rPr>
          <w:rFonts w:ascii="宋体" w:hAnsi="宋体" w:cs="仿宋"/>
          <w:sz w:val="24"/>
        </w:rPr>
      </w:pPr>
      <w:r>
        <w:rPr>
          <w:rFonts w:hint="eastAsia" w:ascii="宋体" w:hAnsi="宋体" w:cs="仿宋"/>
          <w:sz w:val="24"/>
        </w:rPr>
        <w:t>3、三产+数字</w:t>
      </w:r>
    </w:p>
    <w:p>
      <w:pPr>
        <w:spacing w:line="400" w:lineRule="exact"/>
        <w:ind w:firstLine="480" w:firstLineChars="200"/>
        <w:rPr>
          <w:rFonts w:ascii="宋体" w:hAnsi="宋体" w:cs="仿宋"/>
          <w:sz w:val="24"/>
        </w:rPr>
      </w:pPr>
      <w:r>
        <w:rPr>
          <w:rFonts w:hint="eastAsia" w:ascii="宋体" w:hAnsi="宋体" w:cs="仿宋"/>
          <w:sz w:val="24"/>
        </w:rPr>
        <w:t>“三产+数字”重点围绕品牌+科技+电商+公共服务，实现产业融合发展，挖掘产业大数据商用、政用、民用价值，服务于政府、服务于市场、服务于公众，促进产业提质增效。利用大数据分析临安山核桃产业，提供生产销售的智能决策参考，倒逼生产标准化、规模化、品牌化。</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4、采购内容</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4.1软件平台研发</w:t>
      </w:r>
    </w:p>
    <w:p>
      <w:pPr>
        <w:spacing w:line="400" w:lineRule="exact"/>
        <w:ind w:firstLine="480" w:firstLineChars="200"/>
        <w:rPr>
          <w:rFonts w:ascii="宋体" w:hAnsi="宋体" w:cs="仿宋"/>
          <w:sz w:val="24"/>
        </w:rPr>
      </w:pPr>
      <w:r>
        <w:rPr>
          <w:rFonts w:hint="eastAsia" w:ascii="宋体" w:hAnsi="宋体" w:cs="仿宋"/>
          <w:sz w:val="24"/>
        </w:rPr>
        <w:t>临安山核桃产业云服务平台包括森林资源大数据平台、数字产业云服务平台、产业大数据中心和八个应用系统。云服务平台具体技术指标</w:t>
      </w:r>
      <w:r>
        <w:rPr>
          <w:rFonts w:ascii="宋体" w:hAnsi="宋体" w:cs="仿宋"/>
          <w:sz w:val="24"/>
        </w:rPr>
        <w:t>及</w:t>
      </w:r>
      <w:r>
        <w:rPr>
          <w:rFonts w:hint="eastAsia" w:ascii="宋体" w:hAnsi="宋体" w:cs="仿宋"/>
          <w:sz w:val="24"/>
        </w:rPr>
        <w:t>参数要求如下：</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205"/>
        <w:gridCol w:w="3614"/>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21" w:type="pct"/>
            <w:shd w:val="clear" w:color="auto" w:fill="FFFFFF"/>
            <w:vAlign w:val="center"/>
          </w:tcPr>
          <w:p>
            <w:pPr>
              <w:autoSpaceDE w:val="0"/>
              <w:autoSpaceDN w:val="0"/>
              <w:adjustRightInd w:val="0"/>
              <w:spacing w:line="400" w:lineRule="exact"/>
              <w:jc w:val="center"/>
              <w:rPr>
                <w:rFonts w:ascii="宋体" w:hAnsi="宋体" w:cs="仿宋"/>
                <w:b/>
                <w:bCs/>
                <w:sz w:val="24"/>
              </w:rPr>
            </w:pPr>
            <w:r>
              <w:rPr>
                <w:rFonts w:hint="eastAsia" w:ascii="宋体" w:hAnsi="宋体" w:cs="仿宋"/>
                <w:b/>
                <w:bCs/>
                <w:sz w:val="24"/>
              </w:rPr>
              <w:t>序号</w:t>
            </w:r>
          </w:p>
        </w:tc>
        <w:tc>
          <w:tcPr>
            <w:tcW w:w="637" w:type="pct"/>
            <w:shd w:val="clear" w:color="auto" w:fill="FFFFFF"/>
            <w:vAlign w:val="center"/>
          </w:tcPr>
          <w:p>
            <w:pPr>
              <w:autoSpaceDE w:val="0"/>
              <w:autoSpaceDN w:val="0"/>
              <w:adjustRightInd w:val="0"/>
              <w:spacing w:line="400" w:lineRule="exact"/>
              <w:jc w:val="center"/>
              <w:rPr>
                <w:rFonts w:ascii="宋体" w:hAnsi="宋体" w:cs="仿宋"/>
                <w:b/>
                <w:bCs/>
                <w:sz w:val="24"/>
              </w:rPr>
            </w:pPr>
            <w:r>
              <w:rPr>
                <w:rFonts w:hint="eastAsia" w:ascii="宋体" w:hAnsi="宋体" w:cs="仿宋"/>
                <w:b/>
                <w:bCs/>
                <w:sz w:val="24"/>
              </w:rPr>
              <w:t>系统</w:t>
            </w:r>
          </w:p>
        </w:tc>
        <w:tc>
          <w:tcPr>
            <w:tcW w:w="1911" w:type="pct"/>
            <w:shd w:val="clear" w:color="auto" w:fill="FFFFFF"/>
            <w:vAlign w:val="center"/>
          </w:tcPr>
          <w:p>
            <w:pPr>
              <w:spacing w:line="400" w:lineRule="exact"/>
              <w:jc w:val="center"/>
              <w:rPr>
                <w:rFonts w:ascii="宋体" w:hAnsi="宋体" w:cs="仿宋"/>
                <w:sz w:val="24"/>
              </w:rPr>
            </w:pPr>
            <w:r>
              <w:rPr>
                <w:rFonts w:hint="eastAsia" w:ascii="宋体" w:hAnsi="宋体" w:cs="仿宋"/>
                <w:b/>
                <w:bCs/>
                <w:sz w:val="24"/>
              </w:rPr>
              <w:t>模块</w:t>
            </w:r>
          </w:p>
        </w:tc>
        <w:tc>
          <w:tcPr>
            <w:tcW w:w="2130" w:type="pct"/>
            <w:shd w:val="clear" w:color="auto" w:fill="FFFFFF"/>
            <w:vAlign w:val="center"/>
          </w:tcPr>
          <w:p>
            <w:pPr>
              <w:spacing w:line="400" w:lineRule="exact"/>
              <w:jc w:val="center"/>
              <w:rPr>
                <w:rFonts w:ascii="宋体" w:hAnsi="宋体" w:cs="仿宋"/>
                <w:b/>
                <w:bCs/>
                <w:sz w:val="24"/>
              </w:rPr>
            </w:pPr>
            <w:r>
              <w:rPr>
                <w:rFonts w:hint="eastAsia" w:ascii="宋体" w:hAnsi="宋体" w:cs="仿宋"/>
                <w:b/>
                <w:bCs/>
                <w:sz w:val="24"/>
              </w:rPr>
              <w:t>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1</w:t>
            </w:r>
          </w:p>
        </w:tc>
        <w:tc>
          <w:tcPr>
            <w:tcW w:w="637"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森林</w:t>
            </w:r>
          </w:p>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资源</w:t>
            </w:r>
          </w:p>
          <w:p>
            <w:pPr>
              <w:autoSpaceDE w:val="0"/>
              <w:autoSpaceDN w:val="0"/>
              <w:adjustRightInd w:val="0"/>
              <w:spacing w:line="400" w:lineRule="exact"/>
              <w:jc w:val="center"/>
              <w:rPr>
                <w:rFonts w:ascii="宋体" w:hAnsi="宋体" w:cs="仿宋"/>
                <w:sz w:val="24"/>
              </w:rPr>
            </w:pPr>
            <w:r>
              <w:rPr>
                <w:rFonts w:hint="eastAsia" w:ascii="宋体" w:hAnsi="宋体" w:cs="仿宋"/>
                <w:bCs/>
                <w:sz w:val="24"/>
              </w:rPr>
              <w:t>大数据平台</w:t>
            </w:r>
          </w:p>
        </w:tc>
        <w:tc>
          <w:tcPr>
            <w:tcW w:w="1911"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森林资源大数据</w:t>
            </w:r>
          </w:p>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建设与管理</w:t>
            </w: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总体架构建设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637"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191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数据结构及建库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637"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191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数据库安全设计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637"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191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数据库管理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637"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1911" w:type="pct"/>
            <w:vMerge w:val="continue"/>
            <w:shd w:val="clear" w:color="auto" w:fill="FFFFFF"/>
            <w:vAlign w:val="center"/>
          </w:tcPr>
          <w:p>
            <w:pPr>
              <w:autoSpaceDE w:val="0"/>
              <w:autoSpaceDN w:val="0"/>
              <w:adjustRightInd w:val="0"/>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数据逻辑与关联模型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sz w:val="24"/>
              </w:rPr>
              <w:t>森林资源</w:t>
            </w:r>
            <w:r>
              <w:rPr>
                <w:rFonts w:hint="eastAsia" w:ascii="宋体" w:hAnsi="宋体" w:cs="仿宋"/>
                <w:bCs/>
                <w:sz w:val="24"/>
              </w:rPr>
              <w:t>大数据分析与展示系统</w:t>
            </w: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平台网站门户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电子屏展示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资源信息发布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专题分析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森林资源档案分析与管理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森林资源即时状态分析与管理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专项调查数据分析与管理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经营利用地状态分析与管理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多数据融合分析与管理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森林资源更新管理系统</w:t>
            </w: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资源档案管理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成果统计分析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渐变数据管理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突变数据管理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资源数据测算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数据修正上报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林业业务支撑系统</w:t>
            </w: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审批申请表对接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采伐信息对接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造林设计对接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造林验收对接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森林火灾数据对接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地质灾害数据对接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病虫害数据对接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结案报告对接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审批申请表对接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采伐信息对接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移动数据采集系统</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定位导航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调查设计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底图加载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智能规划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小班属性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后台管理系统</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角色管理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账号管理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掌上专业办公系统</w:t>
            </w: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资源数据查询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统计分析展示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空间数据展示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公共信息调取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专题信息调取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信息搜索定位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autoSpaceDE w:val="0"/>
              <w:autoSpaceDN w:val="0"/>
              <w:adjustRightInd w:val="0"/>
              <w:spacing w:line="400" w:lineRule="exact"/>
              <w:jc w:val="center"/>
              <w:rPr>
                <w:rFonts w:ascii="宋体" w:hAnsi="宋体" w:cs="仿宋"/>
                <w:sz w:val="24"/>
              </w:rPr>
            </w:pPr>
            <w:r>
              <w:rPr>
                <w:rFonts w:hint="eastAsia" w:ascii="宋体" w:hAnsi="宋体" w:cs="仿宋"/>
                <w:sz w:val="24"/>
              </w:rPr>
              <w:t>林业景观分享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21"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2</w:t>
            </w:r>
          </w:p>
        </w:tc>
        <w:tc>
          <w:tcPr>
            <w:tcW w:w="637"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山核桃产业云服务平台</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政务办公门户模块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统一应用登录入口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前端栏目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内容发布管理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应用集成管理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公共服务网站模块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统一登录入口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前端栏目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内容发布管理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微门户模块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宣传性能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网上学堂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产业云平台大屏</w:t>
            </w:r>
          </w:p>
          <w:p>
            <w:pPr>
              <w:spacing w:line="400" w:lineRule="exact"/>
              <w:jc w:val="center"/>
              <w:rPr>
                <w:rFonts w:ascii="宋体" w:hAnsi="宋体" w:cs="仿宋"/>
                <w:bCs/>
                <w:sz w:val="24"/>
              </w:rPr>
            </w:pPr>
            <w:r>
              <w:rPr>
                <w:rFonts w:hint="eastAsia" w:ascii="宋体" w:hAnsi="宋体" w:cs="仿宋"/>
                <w:bCs/>
                <w:sz w:val="24"/>
              </w:rPr>
              <w:t>展示模块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“一心一区一带”项目成果展示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一二三产GIS分布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山核桃森林资源呈现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产业化程度数据展示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产业物联网数据展示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投入品“两减”数据展示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病虫害数据展示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供应数据展示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市场数据展示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3</w:t>
            </w:r>
          </w:p>
        </w:tc>
        <w:tc>
          <w:tcPr>
            <w:tcW w:w="637"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产业</w:t>
            </w:r>
          </w:p>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大数据中心（基于数据中台技术）</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数据资源中心模块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文档数据库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GIS空间信息数据库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数据存储模块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整合数据库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数据仓库/主题库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元数据库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数据保护模块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存储保护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备份保护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容灾保护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数据交换模块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数据中心数据流转结构设计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数据交换内容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数据交换平台要求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元数据管理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数据应用模块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服务层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组件层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桌面层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展示层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4</w:t>
            </w:r>
          </w:p>
        </w:tc>
        <w:tc>
          <w:tcPr>
            <w:tcW w:w="637"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产业资源采集系统</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数据直连采集接口</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全量抽取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增量抽取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触发器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全表比对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接口数据采集模块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跨网络数据交换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定制化数据采集模块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网格化配置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计划、任务设定，工作流程设定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过程管控，计划、任务完成度评估、预警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任务提醒，移动端便捷采集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FTP文件接口采集模块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传输管理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统计和配置管理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互联网数据网络爬虫</w:t>
            </w:r>
          </w:p>
          <w:p>
            <w:pPr>
              <w:spacing w:line="400" w:lineRule="exact"/>
              <w:jc w:val="center"/>
              <w:rPr>
                <w:rFonts w:ascii="宋体" w:hAnsi="宋体" w:cs="仿宋"/>
                <w:bCs/>
                <w:sz w:val="24"/>
              </w:rPr>
            </w:pPr>
            <w:r>
              <w:rPr>
                <w:rFonts w:hint="eastAsia" w:ascii="宋体" w:hAnsi="宋体" w:cs="仿宋"/>
                <w:bCs/>
                <w:sz w:val="24"/>
              </w:rPr>
              <w:t>采集模块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设置爬取规则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数据爬取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统计爬取量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互联网数据接入模块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土壤墒情自动监测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苗情灾情一体化自动监测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虫情自动监测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卫星遥感数据采集模块</w:t>
            </w:r>
          </w:p>
        </w:tc>
        <w:tc>
          <w:tcPr>
            <w:tcW w:w="2130" w:type="pct"/>
            <w:shd w:val="clear" w:color="auto" w:fill="FFFFFF"/>
            <w:vAlign w:val="center"/>
          </w:tcPr>
          <w:p>
            <w:pPr>
              <w:pStyle w:val="17"/>
              <w:spacing w:line="400" w:lineRule="exact"/>
              <w:jc w:val="center"/>
              <w:rPr>
                <w:rFonts w:ascii="宋体" w:hAnsi="宋体" w:cs="仿宋"/>
                <w:sz w:val="24"/>
              </w:rPr>
            </w:pPr>
            <w:r>
              <w:rPr>
                <w:rFonts w:hint="eastAsia" w:ascii="宋体" w:hAnsi="宋体" w:cs="仿宋"/>
                <w:sz w:val="24"/>
              </w:rPr>
              <w:t>种植面积遥感提取技术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pStyle w:val="17"/>
              <w:spacing w:line="400" w:lineRule="exact"/>
              <w:jc w:val="center"/>
              <w:rPr>
                <w:rFonts w:ascii="宋体" w:hAnsi="宋体" w:cs="仿宋"/>
                <w:sz w:val="24"/>
              </w:rPr>
            </w:pPr>
            <w:r>
              <w:rPr>
                <w:rFonts w:hint="eastAsia" w:ascii="宋体" w:hAnsi="宋体" w:cs="仿宋"/>
                <w:sz w:val="24"/>
              </w:rPr>
              <w:t>遥感数据采集技术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植被覆盖分析技术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5</w:t>
            </w:r>
          </w:p>
        </w:tc>
        <w:tc>
          <w:tcPr>
            <w:tcW w:w="637" w:type="pct"/>
            <w:vMerge w:val="restart"/>
            <w:shd w:val="clear" w:color="auto" w:fill="FFFFFF"/>
            <w:vAlign w:val="center"/>
          </w:tcPr>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投入</w:t>
            </w:r>
          </w:p>
          <w:p>
            <w:pPr>
              <w:autoSpaceDE w:val="0"/>
              <w:autoSpaceDN w:val="0"/>
              <w:adjustRightInd w:val="0"/>
              <w:spacing w:line="400" w:lineRule="exact"/>
              <w:jc w:val="center"/>
              <w:rPr>
                <w:rFonts w:ascii="宋体" w:hAnsi="宋体" w:cs="仿宋"/>
                <w:bCs/>
                <w:sz w:val="24"/>
              </w:rPr>
            </w:pPr>
            <w:r>
              <w:rPr>
                <w:rFonts w:hint="eastAsia" w:ascii="宋体" w:hAnsi="宋体" w:cs="仿宋"/>
                <w:bCs/>
                <w:sz w:val="24"/>
              </w:rPr>
              <w:t>品管理模块</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生产经营主体数据</w:t>
            </w:r>
          </w:p>
          <w:p>
            <w:pPr>
              <w:spacing w:line="400" w:lineRule="exact"/>
              <w:jc w:val="center"/>
              <w:rPr>
                <w:rFonts w:ascii="宋体" w:hAnsi="宋体" w:cs="仿宋"/>
                <w:bCs/>
                <w:sz w:val="24"/>
              </w:rPr>
            </w:pPr>
            <w:r>
              <w:rPr>
                <w:rFonts w:hint="eastAsia" w:ascii="宋体" w:hAnsi="宋体" w:cs="仿宋"/>
                <w:bCs/>
                <w:sz w:val="24"/>
              </w:rPr>
              <w:t>分析模块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生产经营主体信息数据分析模块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信息查询模块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报表输出、打印模块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农资产品名目数据</w:t>
            </w:r>
          </w:p>
          <w:p>
            <w:pPr>
              <w:spacing w:line="400" w:lineRule="exact"/>
              <w:jc w:val="center"/>
              <w:rPr>
                <w:rFonts w:ascii="宋体" w:hAnsi="宋体" w:cs="仿宋"/>
                <w:bCs/>
                <w:sz w:val="24"/>
              </w:rPr>
            </w:pPr>
            <w:r>
              <w:rPr>
                <w:rFonts w:hint="eastAsia" w:ascii="宋体" w:hAnsi="宋体" w:cs="仿宋"/>
                <w:bCs/>
                <w:sz w:val="24"/>
              </w:rPr>
              <w:t>分析模块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农资产品准入信息数据库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报表输出、打印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假劣农资产品数据</w:t>
            </w:r>
          </w:p>
          <w:p>
            <w:pPr>
              <w:spacing w:line="400" w:lineRule="exact"/>
              <w:jc w:val="center"/>
              <w:rPr>
                <w:rFonts w:ascii="宋体" w:hAnsi="宋体" w:cs="仿宋"/>
                <w:bCs/>
                <w:sz w:val="24"/>
              </w:rPr>
            </w:pPr>
            <w:r>
              <w:rPr>
                <w:rFonts w:hint="eastAsia" w:ascii="宋体" w:hAnsi="宋体" w:cs="仿宋"/>
                <w:bCs/>
                <w:sz w:val="24"/>
              </w:rPr>
              <w:t>分析模块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假劣农资产品数据管理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采购数据分析模块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采购数据统计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销售数据分析模块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销售数据统计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库存数据分析模块</w:t>
            </w:r>
          </w:p>
        </w:tc>
        <w:tc>
          <w:tcPr>
            <w:tcW w:w="2130" w:type="pct"/>
            <w:shd w:val="clear" w:color="auto" w:fill="FFFFFF"/>
            <w:vAlign w:val="center"/>
          </w:tcPr>
          <w:p>
            <w:pPr>
              <w:spacing w:line="400" w:lineRule="exact"/>
              <w:jc w:val="center"/>
              <w:rPr>
                <w:rFonts w:ascii="宋体" w:hAnsi="宋体" w:cs="仿宋"/>
                <w:sz w:val="24"/>
                <w:lang w:val="zh-CN"/>
              </w:rPr>
            </w:pPr>
            <w:r>
              <w:rPr>
                <w:rFonts w:hint="eastAsia" w:ascii="宋体" w:hAnsi="宋体" w:cs="仿宋"/>
                <w:sz w:val="24"/>
              </w:rPr>
              <w:t>库存数据统计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检测数据分析模块</w:t>
            </w:r>
          </w:p>
        </w:tc>
        <w:tc>
          <w:tcPr>
            <w:tcW w:w="2130" w:type="pct"/>
            <w:shd w:val="clear" w:color="auto" w:fill="FFFFFF"/>
            <w:vAlign w:val="center"/>
          </w:tcPr>
          <w:p>
            <w:pPr>
              <w:spacing w:line="400" w:lineRule="exact"/>
              <w:jc w:val="center"/>
              <w:rPr>
                <w:rFonts w:ascii="宋体" w:hAnsi="宋体" w:cs="仿宋"/>
                <w:sz w:val="24"/>
                <w:lang w:val="zh-CN"/>
              </w:rPr>
            </w:pPr>
            <w:r>
              <w:rPr>
                <w:rFonts w:hint="eastAsia" w:ascii="宋体" w:hAnsi="宋体" w:cs="仿宋"/>
                <w:sz w:val="24"/>
              </w:rPr>
              <w:t>检测数据统计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监督检查数据分析模块</w:t>
            </w:r>
          </w:p>
        </w:tc>
        <w:tc>
          <w:tcPr>
            <w:tcW w:w="2130" w:type="pct"/>
            <w:shd w:val="clear" w:color="auto" w:fill="FFFFFF"/>
            <w:vAlign w:val="center"/>
          </w:tcPr>
          <w:p>
            <w:pPr>
              <w:spacing w:line="400" w:lineRule="exact"/>
              <w:jc w:val="center"/>
              <w:rPr>
                <w:rFonts w:ascii="宋体" w:hAnsi="宋体" w:cs="仿宋"/>
                <w:sz w:val="24"/>
                <w:lang w:val="zh-CN"/>
              </w:rPr>
            </w:pPr>
            <w:r>
              <w:rPr>
                <w:rFonts w:hint="eastAsia" w:ascii="宋体" w:hAnsi="宋体" w:cs="仿宋"/>
                <w:sz w:val="24"/>
              </w:rPr>
              <w:t>监督检查数据统计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lang w:val="zh-CN"/>
              </w:rPr>
            </w:pPr>
            <w:r>
              <w:rPr>
                <w:rFonts w:hint="eastAsia" w:ascii="宋体" w:hAnsi="宋体" w:cs="仿宋"/>
                <w:sz w:val="24"/>
              </w:rPr>
              <w:t>生成监督检查数据库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信用数据分析模块</w:t>
            </w:r>
          </w:p>
        </w:tc>
        <w:tc>
          <w:tcPr>
            <w:tcW w:w="2130" w:type="pct"/>
            <w:shd w:val="clear" w:color="auto" w:fill="FFFFFF"/>
            <w:vAlign w:val="center"/>
          </w:tcPr>
          <w:p>
            <w:pPr>
              <w:spacing w:line="400" w:lineRule="exact"/>
              <w:jc w:val="center"/>
              <w:rPr>
                <w:rFonts w:ascii="宋体" w:hAnsi="宋体" w:cs="仿宋"/>
                <w:sz w:val="24"/>
                <w:lang w:val="zh-CN"/>
              </w:rPr>
            </w:pPr>
            <w:r>
              <w:rPr>
                <w:rFonts w:hint="eastAsia" w:ascii="宋体" w:hAnsi="宋体" w:cs="仿宋"/>
                <w:sz w:val="24"/>
              </w:rPr>
              <w:t>信用数据统计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lang w:val="zh-CN"/>
              </w:rPr>
            </w:pPr>
            <w:r>
              <w:rPr>
                <w:rFonts w:hint="eastAsia" w:ascii="宋体" w:hAnsi="宋体" w:cs="仿宋"/>
                <w:sz w:val="24"/>
              </w:rPr>
              <w:t>预警提醒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第三方数据对接</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第三方数据对接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6</w:t>
            </w:r>
          </w:p>
        </w:tc>
        <w:tc>
          <w:tcPr>
            <w:tcW w:w="637"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农事管理系统</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农场地图管理模块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农场信息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地块分布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作物分布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设施分布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种植规划模块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种植计划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生产管理模块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农田笔记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长势监测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气象服务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履历档案模块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生产档案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溯源对接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数据管理模块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地块管理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农资管理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生产数据管理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用户管理模块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7</w:t>
            </w:r>
          </w:p>
        </w:tc>
        <w:tc>
          <w:tcPr>
            <w:tcW w:w="637"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产业模型管理</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山核桃综合指数模型</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环境指数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品质指数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生产指数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市场指数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综合指数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森林空间结构模型</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森林资源空间分布的集聚模型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空间差异性或均匀度模型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空间相对区位分析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基于树种空间结构模型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基于林种空间结构模型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生态适应性评价模型</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立地因子集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树种集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空间结构集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干腐病发生机制</w:t>
            </w:r>
          </w:p>
          <w:p>
            <w:pPr>
              <w:spacing w:line="400" w:lineRule="exact"/>
              <w:jc w:val="center"/>
              <w:rPr>
                <w:rFonts w:ascii="宋体" w:hAnsi="宋体" w:cs="仿宋"/>
                <w:bCs/>
                <w:sz w:val="24"/>
              </w:rPr>
            </w:pPr>
            <w:r>
              <w:rPr>
                <w:rFonts w:hint="eastAsia" w:ascii="宋体" w:hAnsi="宋体" w:cs="仿宋"/>
                <w:bCs/>
                <w:sz w:val="24"/>
              </w:rPr>
              <w:t>绿色防治模型</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绘制疾病发生趋势图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预判核桃树长势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sz w:val="24"/>
              </w:rPr>
            </w:pPr>
            <w:r>
              <w:rPr>
                <w:rFonts w:hint="eastAsia" w:ascii="宋体" w:hAnsi="宋体" w:cs="仿宋"/>
                <w:bCs/>
                <w:sz w:val="24"/>
              </w:rPr>
              <w:t>灾害监测模型模块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数据采集及整理技术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构建网格化评价模型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划定地质灾害山核桃重点影响区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ind w:firstLine="420"/>
              <w:jc w:val="center"/>
              <w:rPr>
                <w:rFonts w:ascii="宋体" w:hAnsi="宋体" w:cs="仿宋"/>
                <w:sz w:val="24"/>
              </w:rPr>
            </w:pPr>
            <w:r>
              <w:rPr>
                <w:rFonts w:hint="eastAsia" w:ascii="宋体" w:hAnsi="宋体" w:cs="仿宋"/>
                <w:sz w:val="24"/>
              </w:rPr>
              <w:t>建立典型病害和虫害图像自动识别分析系统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ind w:firstLine="420"/>
              <w:jc w:val="center"/>
              <w:rPr>
                <w:rFonts w:ascii="宋体" w:hAnsi="宋体" w:cs="仿宋"/>
                <w:sz w:val="24"/>
              </w:rPr>
            </w:pPr>
            <w:r>
              <w:rPr>
                <w:rFonts w:hint="eastAsia" w:ascii="宋体" w:hAnsi="宋体" w:cs="仿宋"/>
                <w:sz w:val="24"/>
              </w:rPr>
              <w:t>形成灾害现状分析报告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山核桃虚拟生长模型</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图像获得和求解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树干二位模型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相机自标定程序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三维结构模型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山核桃生长发育模型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山核桃主要物候期预测模型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8</w:t>
            </w:r>
          </w:p>
        </w:tc>
        <w:tc>
          <w:tcPr>
            <w:tcW w:w="637"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全程</w:t>
            </w:r>
          </w:p>
          <w:p>
            <w:pPr>
              <w:spacing w:line="400" w:lineRule="exact"/>
              <w:jc w:val="center"/>
              <w:rPr>
                <w:rFonts w:ascii="宋体" w:hAnsi="宋体" w:cs="仿宋"/>
                <w:bCs/>
                <w:sz w:val="24"/>
              </w:rPr>
            </w:pPr>
            <w:r>
              <w:rPr>
                <w:rFonts w:hint="eastAsia" w:ascii="宋体" w:hAnsi="宋体" w:cs="仿宋"/>
                <w:bCs/>
                <w:sz w:val="24"/>
              </w:rPr>
              <w:t>追溯</w:t>
            </w:r>
          </w:p>
          <w:p>
            <w:pPr>
              <w:spacing w:line="400" w:lineRule="exact"/>
              <w:jc w:val="center"/>
              <w:rPr>
                <w:rFonts w:ascii="宋体" w:hAnsi="宋体" w:cs="仿宋"/>
                <w:bCs/>
                <w:sz w:val="24"/>
              </w:rPr>
            </w:pPr>
            <w:r>
              <w:rPr>
                <w:rFonts w:hint="eastAsia" w:ascii="宋体" w:hAnsi="宋体" w:cs="仿宋"/>
                <w:bCs/>
                <w:sz w:val="24"/>
              </w:rPr>
              <w:t>管理</w:t>
            </w:r>
          </w:p>
          <w:p>
            <w:pPr>
              <w:spacing w:line="400" w:lineRule="exact"/>
              <w:jc w:val="center"/>
              <w:rPr>
                <w:rFonts w:ascii="宋体" w:hAnsi="宋体" w:cs="仿宋"/>
                <w:bCs/>
                <w:sz w:val="24"/>
              </w:rPr>
            </w:pPr>
            <w:r>
              <w:rPr>
                <w:rFonts w:hint="eastAsia" w:ascii="宋体" w:hAnsi="宋体" w:cs="仿宋"/>
                <w:bCs/>
                <w:sz w:val="24"/>
              </w:rPr>
              <w:t>系统</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全链数据采集模块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种植管理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采摘管理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流转管理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加工管理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检测信息管理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仓储物流管理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销售管理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追溯标识管理模块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标识申请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标识审核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码段关联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追溯查询管理模块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电话语音查询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Web查询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触摸屏及其他终端查询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码段数字营销管理模块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红包植入式营销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会员积分制营销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实物礼品营销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9</w:t>
            </w:r>
          </w:p>
        </w:tc>
        <w:tc>
          <w:tcPr>
            <w:tcW w:w="637"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产业</w:t>
            </w:r>
          </w:p>
          <w:p>
            <w:pPr>
              <w:spacing w:line="400" w:lineRule="exact"/>
              <w:jc w:val="center"/>
              <w:rPr>
                <w:rFonts w:ascii="宋体" w:hAnsi="宋体" w:cs="仿宋"/>
                <w:bCs/>
                <w:sz w:val="24"/>
              </w:rPr>
            </w:pPr>
            <w:r>
              <w:rPr>
                <w:rFonts w:hint="eastAsia" w:ascii="宋体" w:hAnsi="宋体" w:cs="仿宋"/>
                <w:bCs/>
                <w:sz w:val="24"/>
              </w:rPr>
              <w:t>监管</w:t>
            </w:r>
          </w:p>
          <w:p>
            <w:pPr>
              <w:spacing w:line="400" w:lineRule="exact"/>
              <w:jc w:val="center"/>
              <w:rPr>
                <w:rFonts w:ascii="宋体" w:hAnsi="宋体" w:cs="仿宋"/>
                <w:bCs/>
                <w:sz w:val="24"/>
              </w:rPr>
            </w:pPr>
            <w:r>
              <w:rPr>
                <w:rFonts w:hint="eastAsia" w:ascii="宋体" w:hAnsi="宋体" w:cs="仿宋"/>
                <w:bCs/>
                <w:sz w:val="24"/>
              </w:rPr>
              <w:t>系统</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监管责任管理模块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监管区域网格划分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责任网络设置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监管信息上报模块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监管信息上报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监管信息管理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事件功能管理模块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事件上报管理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事件分流管理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事件办结管理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统计分析管理</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监管信息统计分析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事件管理统计分析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sz w:val="24"/>
              </w:rPr>
            </w:pPr>
            <w:r>
              <w:rPr>
                <w:rFonts w:hint="eastAsia" w:ascii="宋体" w:hAnsi="宋体" w:cs="仿宋"/>
                <w:bCs/>
                <w:sz w:val="24"/>
              </w:rPr>
              <w:t>项目管理模块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系统操作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项目实时管理系统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项目现场管理系统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10</w:t>
            </w:r>
          </w:p>
        </w:tc>
        <w:tc>
          <w:tcPr>
            <w:tcW w:w="637"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数字</w:t>
            </w:r>
          </w:p>
          <w:p>
            <w:pPr>
              <w:spacing w:line="400" w:lineRule="exact"/>
              <w:jc w:val="center"/>
              <w:rPr>
                <w:rFonts w:ascii="宋体" w:hAnsi="宋体" w:cs="仿宋"/>
                <w:bCs/>
                <w:sz w:val="24"/>
              </w:rPr>
            </w:pPr>
            <w:r>
              <w:rPr>
                <w:rFonts w:hint="eastAsia" w:ascii="宋体" w:hAnsi="宋体" w:cs="仿宋"/>
                <w:bCs/>
                <w:sz w:val="24"/>
              </w:rPr>
              <w:t>服务</w:t>
            </w:r>
          </w:p>
          <w:p>
            <w:pPr>
              <w:spacing w:line="400" w:lineRule="exact"/>
              <w:jc w:val="center"/>
              <w:rPr>
                <w:rFonts w:ascii="宋体" w:hAnsi="宋体" w:cs="仿宋"/>
                <w:bCs/>
                <w:sz w:val="24"/>
              </w:rPr>
            </w:pPr>
            <w:r>
              <w:rPr>
                <w:rFonts w:hint="eastAsia" w:ascii="宋体" w:hAnsi="宋体" w:cs="仿宋"/>
                <w:bCs/>
                <w:sz w:val="24"/>
              </w:rPr>
              <w:t>系统</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专家库模块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专家基本信息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互动操作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数字智能问答管理模块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搜索相关问题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问题分类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在线解答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移动终端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病虫害远程呼叫</w:t>
            </w:r>
          </w:p>
          <w:p>
            <w:pPr>
              <w:spacing w:line="400" w:lineRule="exact"/>
              <w:jc w:val="center"/>
              <w:rPr>
                <w:rFonts w:ascii="宋体" w:hAnsi="宋体" w:cs="仿宋"/>
                <w:bCs/>
                <w:sz w:val="24"/>
              </w:rPr>
            </w:pPr>
            <w:r>
              <w:rPr>
                <w:rFonts w:hint="eastAsia" w:ascii="宋体" w:hAnsi="宋体" w:cs="仿宋"/>
                <w:bCs/>
                <w:sz w:val="24"/>
              </w:rPr>
              <w:t>与咨询模块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咨询内容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咨询查询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咨询回答提醒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用户登录推介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病虫害诊断模块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山核桃病害诊断领域模型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山核桃病虫害诊断知识表示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山核桃病虫害诊断推理机制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山核桃病虫害诊断知识获取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诊断平台开发与应用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病虫害诊断决策模块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山核桃病虫害基础数据字段建立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病虫害便捷识别模型构建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bCs/>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病虫害远程诊断平台架构搭建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生态治理决策咨询系统</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生态治理技术子系统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专家咨询子系统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2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11</w:t>
            </w:r>
          </w:p>
        </w:tc>
        <w:tc>
          <w:tcPr>
            <w:tcW w:w="637"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品牌管理系统</w:t>
            </w: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“临安山核桃”品牌管理</w:t>
            </w:r>
          </w:p>
          <w:p>
            <w:pPr>
              <w:spacing w:line="400" w:lineRule="exact"/>
              <w:jc w:val="center"/>
              <w:rPr>
                <w:rFonts w:ascii="宋体" w:hAnsi="宋体" w:cs="仿宋"/>
                <w:bCs/>
                <w:sz w:val="24"/>
              </w:rPr>
            </w:pPr>
            <w:r>
              <w:rPr>
                <w:rFonts w:hint="eastAsia" w:ascii="宋体" w:hAnsi="宋体" w:cs="仿宋"/>
                <w:bCs/>
                <w:sz w:val="24"/>
              </w:rPr>
              <w:t>标准模块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品牌准入标准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品牌评定与授权管理办法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商标管理办法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品牌标识管理办法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“临安山核桃”品牌VI</w:t>
            </w:r>
          </w:p>
          <w:p>
            <w:pPr>
              <w:spacing w:line="400" w:lineRule="exact"/>
              <w:jc w:val="center"/>
              <w:rPr>
                <w:rFonts w:ascii="宋体" w:hAnsi="宋体" w:cs="仿宋"/>
                <w:bCs/>
                <w:sz w:val="24"/>
              </w:rPr>
            </w:pPr>
            <w:r>
              <w:rPr>
                <w:rFonts w:hint="eastAsia" w:ascii="宋体" w:hAnsi="宋体" w:cs="仿宋"/>
                <w:bCs/>
                <w:sz w:val="24"/>
              </w:rPr>
              <w:t>识别系统模块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产品包装视觉统一性与符号性规划设计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产品整体包装视觉形象系统设计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1" w:type="pct"/>
            <w:vMerge w:val="continue"/>
            <w:shd w:val="clear" w:color="auto" w:fill="FFFFFF"/>
            <w:vAlign w:val="center"/>
          </w:tcPr>
          <w:p>
            <w:pPr>
              <w:spacing w:line="400" w:lineRule="exact"/>
              <w:jc w:val="center"/>
              <w:rPr>
                <w:rFonts w:ascii="宋体" w:hAnsi="宋体" w:cs="仿宋"/>
                <w:bCs/>
                <w:sz w:val="24"/>
              </w:rPr>
            </w:pPr>
          </w:p>
        </w:tc>
        <w:tc>
          <w:tcPr>
            <w:tcW w:w="637" w:type="pct"/>
            <w:vMerge w:val="continue"/>
            <w:shd w:val="clear" w:color="auto" w:fill="FFFFFF"/>
            <w:vAlign w:val="center"/>
          </w:tcPr>
          <w:p>
            <w:pPr>
              <w:spacing w:line="400" w:lineRule="exact"/>
              <w:jc w:val="center"/>
              <w:rPr>
                <w:rFonts w:ascii="宋体" w:hAnsi="宋体" w:cs="仿宋"/>
                <w:bCs/>
                <w:sz w:val="24"/>
              </w:rPr>
            </w:pPr>
          </w:p>
        </w:tc>
        <w:tc>
          <w:tcPr>
            <w:tcW w:w="1911" w:type="pct"/>
            <w:vMerge w:val="restart"/>
            <w:shd w:val="clear" w:color="auto" w:fill="FFFFFF"/>
            <w:vAlign w:val="center"/>
          </w:tcPr>
          <w:p>
            <w:pPr>
              <w:spacing w:line="400" w:lineRule="exact"/>
              <w:jc w:val="center"/>
              <w:rPr>
                <w:rFonts w:ascii="宋体" w:hAnsi="宋体" w:cs="仿宋"/>
                <w:bCs/>
                <w:sz w:val="24"/>
              </w:rPr>
            </w:pPr>
            <w:r>
              <w:rPr>
                <w:rFonts w:hint="eastAsia" w:ascii="宋体" w:hAnsi="宋体" w:cs="仿宋"/>
                <w:bCs/>
                <w:sz w:val="24"/>
              </w:rPr>
              <w:t>临安山核桃品牌管理系统软件模块</w:t>
            </w: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企业品牌申请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品牌申请准入审核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品牌授权管理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品牌授权证书管理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1" w:type="pct"/>
            <w:vMerge w:val="continue"/>
            <w:shd w:val="clear" w:color="auto" w:fill="FFFFFF"/>
            <w:vAlign w:val="center"/>
          </w:tcPr>
          <w:p>
            <w:pPr>
              <w:spacing w:line="400" w:lineRule="exact"/>
              <w:jc w:val="center"/>
              <w:rPr>
                <w:rFonts w:ascii="宋体" w:hAnsi="宋体" w:cs="仿宋"/>
                <w:sz w:val="24"/>
              </w:rPr>
            </w:pPr>
          </w:p>
        </w:tc>
        <w:tc>
          <w:tcPr>
            <w:tcW w:w="637" w:type="pct"/>
            <w:vMerge w:val="continue"/>
            <w:shd w:val="clear" w:color="auto" w:fill="FFFFFF"/>
            <w:vAlign w:val="center"/>
          </w:tcPr>
          <w:p>
            <w:pPr>
              <w:spacing w:line="400" w:lineRule="exact"/>
              <w:jc w:val="center"/>
              <w:rPr>
                <w:rFonts w:ascii="宋体" w:hAnsi="宋体" w:cs="仿宋"/>
                <w:sz w:val="24"/>
              </w:rPr>
            </w:pPr>
          </w:p>
        </w:tc>
        <w:tc>
          <w:tcPr>
            <w:tcW w:w="1911" w:type="pct"/>
            <w:vMerge w:val="continue"/>
            <w:shd w:val="clear" w:color="auto" w:fill="FFFFFF"/>
            <w:vAlign w:val="center"/>
          </w:tcPr>
          <w:p>
            <w:pPr>
              <w:spacing w:line="400" w:lineRule="exact"/>
              <w:jc w:val="center"/>
              <w:rPr>
                <w:rFonts w:ascii="宋体" w:hAnsi="宋体" w:cs="仿宋"/>
                <w:sz w:val="24"/>
              </w:rPr>
            </w:pPr>
          </w:p>
        </w:tc>
        <w:tc>
          <w:tcPr>
            <w:tcW w:w="2130" w:type="pct"/>
            <w:shd w:val="clear" w:color="auto" w:fill="FFFFFF"/>
            <w:vAlign w:val="center"/>
          </w:tcPr>
          <w:p>
            <w:pPr>
              <w:spacing w:line="400" w:lineRule="exact"/>
              <w:jc w:val="center"/>
              <w:rPr>
                <w:rFonts w:ascii="宋体" w:hAnsi="宋体" w:cs="仿宋"/>
                <w:sz w:val="24"/>
              </w:rPr>
            </w:pPr>
            <w:r>
              <w:rPr>
                <w:rFonts w:hint="eastAsia" w:ascii="宋体" w:hAnsi="宋体" w:cs="仿宋"/>
                <w:sz w:val="24"/>
              </w:rPr>
              <w:t>品牌标识申请与发放管理</w:t>
            </w:r>
          </w:p>
        </w:tc>
      </w:tr>
    </w:tbl>
    <w:p>
      <w:pPr>
        <w:spacing w:line="400" w:lineRule="exact"/>
        <w:ind w:firstLine="482" w:firstLineChars="200"/>
        <w:rPr>
          <w:rFonts w:ascii="宋体" w:hAnsi="宋体" w:cs="仿宋"/>
          <w:b/>
          <w:bCs/>
          <w:sz w:val="24"/>
        </w:rPr>
      </w:pPr>
      <w:r>
        <w:rPr>
          <w:rFonts w:hint="eastAsia" w:ascii="宋体" w:hAnsi="宋体" w:cs="仿宋"/>
          <w:b/>
          <w:bCs/>
          <w:sz w:val="24"/>
        </w:rPr>
        <w:t>▲招标文件中的建设需求为初步需求，中标方应以在项目实施过程中通过和建设单位书面确定的实际建设需求作为本次项目交付的依据。</w:t>
      </w:r>
    </w:p>
    <w:p>
      <w:pPr>
        <w:spacing w:line="400" w:lineRule="exact"/>
        <w:ind w:firstLine="482" w:firstLineChars="200"/>
        <w:rPr>
          <w:rFonts w:ascii="宋体" w:hAnsi="宋体" w:cs="仿宋"/>
          <w:b/>
          <w:bCs/>
          <w:sz w:val="24"/>
        </w:rPr>
      </w:pPr>
      <w:r>
        <w:rPr>
          <w:rFonts w:hint="eastAsia" w:ascii="宋体" w:hAnsi="宋体" w:cs="仿宋"/>
          <w:b/>
          <w:bCs/>
          <w:sz w:val="24"/>
        </w:rPr>
        <w:t>▲软件应用系统基于临安区政务云平台开发和部署实施。</w:t>
      </w:r>
    </w:p>
    <w:p>
      <w:pPr>
        <w:spacing w:line="400" w:lineRule="exact"/>
        <w:ind w:firstLine="482" w:firstLineChars="200"/>
        <w:rPr>
          <w:rFonts w:ascii="宋体" w:hAnsi="宋体" w:cs="仿宋"/>
          <w:b/>
          <w:bCs/>
          <w:sz w:val="24"/>
        </w:rPr>
      </w:pPr>
      <w:r>
        <w:rPr>
          <w:rFonts w:hint="eastAsia" w:ascii="宋体" w:hAnsi="宋体" w:cs="仿宋"/>
          <w:b/>
          <w:bCs/>
          <w:sz w:val="24"/>
        </w:rPr>
        <w:t>▲涉及跨部门数据对接和交换，应基于临安区政务数据共享交换平台实现。</w:t>
      </w:r>
    </w:p>
    <w:p>
      <w:pPr>
        <w:spacing w:line="400" w:lineRule="exact"/>
        <w:ind w:firstLine="482" w:firstLineChars="200"/>
        <w:rPr>
          <w:rFonts w:ascii="宋体" w:hAnsi="宋体" w:cs="仿宋"/>
          <w:b/>
          <w:bCs/>
          <w:sz w:val="24"/>
        </w:rPr>
      </w:pPr>
      <w:r>
        <w:rPr>
          <w:rFonts w:hint="eastAsia" w:ascii="宋体" w:hAnsi="宋体" w:cs="仿宋"/>
          <w:b/>
          <w:bCs/>
          <w:sz w:val="24"/>
        </w:rPr>
        <w:t>▲基于“天地图”实现本次项目各类资源数据的展示和应用。</w:t>
      </w:r>
    </w:p>
    <w:p>
      <w:pPr>
        <w:pStyle w:val="6"/>
        <w:numPr>
          <w:ilvl w:val="2"/>
          <w:numId w:val="0"/>
        </w:numPr>
        <w:spacing w:line="400" w:lineRule="exact"/>
        <w:ind w:left="575" w:hanging="575"/>
        <w:rPr>
          <w:rFonts w:ascii="宋体" w:hAnsi="宋体" w:eastAsia="宋体" w:cs="仿宋"/>
          <w:sz w:val="24"/>
        </w:rPr>
      </w:pPr>
      <w:r>
        <w:rPr>
          <w:rFonts w:hint="eastAsia" w:ascii="宋体" w:hAnsi="宋体" w:eastAsia="宋体" w:cs="仿宋"/>
          <w:sz w:val="24"/>
        </w:rPr>
        <w:t>4.1.1森林资源大数据平台</w:t>
      </w:r>
    </w:p>
    <w:p>
      <w:pPr>
        <w:spacing w:line="400" w:lineRule="exact"/>
        <w:ind w:firstLine="480" w:firstLineChars="200"/>
        <w:rPr>
          <w:rFonts w:ascii="宋体" w:hAnsi="宋体" w:cs="仿宋"/>
          <w:sz w:val="24"/>
        </w:rPr>
      </w:pPr>
      <w:r>
        <w:rPr>
          <w:rFonts w:hint="eastAsia" w:ascii="宋体" w:hAnsi="宋体" w:cs="仿宋"/>
          <w:sz w:val="24"/>
        </w:rPr>
        <w:t>使用主体：农业农村局涉林业务科室。</w:t>
      </w:r>
    </w:p>
    <w:p>
      <w:pPr>
        <w:spacing w:line="400" w:lineRule="exact"/>
        <w:ind w:firstLine="480" w:firstLineChars="200"/>
        <w:rPr>
          <w:rFonts w:ascii="宋体" w:hAnsi="宋体" w:cs="仿宋"/>
          <w:sz w:val="24"/>
          <w:lang w:val="zh-CN"/>
        </w:rPr>
      </w:pPr>
      <w:r>
        <w:rPr>
          <w:rFonts w:hint="eastAsia" w:ascii="宋体" w:hAnsi="宋体" w:cs="仿宋"/>
          <w:sz w:val="24"/>
          <w:lang w:val="zh-CN"/>
        </w:rPr>
        <w:t>1）创立森林资源大数据库：以森林资源“二类”数据为核心，整合权属、公益林、古树名木、自然保护地、野生动植物、风景资源专题专项数据以及山核桃等特色资源数据，形成互联融通的森林资源大数据库。</w:t>
      </w:r>
    </w:p>
    <w:p>
      <w:pPr>
        <w:spacing w:line="400" w:lineRule="exact"/>
        <w:ind w:firstLine="480" w:firstLineChars="200"/>
        <w:rPr>
          <w:rFonts w:ascii="宋体" w:hAnsi="宋体" w:cs="仿宋"/>
          <w:sz w:val="24"/>
          <w:lang w:val="zh-CN"/>
        </w:rPr>
      </w:pPr>
      <w:r>
        <w:rPr>
          <w:rFonts w:hint="eastAsia" w:ascii="宋体" w:hAnsi="宋体" w:cs="仿宋"/>
          <w:sz w:val="24"/>
          <w:lang w:val="zh-CN"/>
        </w:rPr>
        <w:t>2）一体化的业务协同监管与资源动态评测：研发采伐、营造林、林地审批等业务系统（包括Web版、移动版），实现</w:t>
      </w:r>
      <w:r>
        <w:rPr>
          <w:rFonts w:hint="eastAsia" w:ascii="宋体" w:hAnsi="宋体" w:cs="仿宋"/>
          <w:sz w:val="24"/>
        </w:rPr>
        <w:t>林业业务监管与资源动态评测一体化化管理，</w:t>
      </w:r>
      <w:r>
        <w:rPr>
          <w:rFonts w:hint="eastAsia" w:ascii="宋体" w:hAnsi="宋体" w:cs="仿宋"/>
          <w:sz w:val="24"/>
          <w:lang w:val="zh-CN"/>
        </w:rPr>
        <w:t>体现部门的管理协同高效、信息精准配置。</w:t>
      </w:r>
    </w:p>
    <w:p>
      <w:pPr>
        <w:spacing w:line="400" w:lineRule="exact"/>
        <w:ind w:firstLine="480" w:firstLineChars="200"/>
        <w:rPr>
          <w:rFonts w:ascii="宋体" w:hAnsi="宋体" w:cs="仿宋"/>
          <w:sz w:val="24"/>
          <w:lang w:val="zh-CN"/>
        </w:rPr>
      </w:pPr>
      <w:r>
        <w:rPr>
          <w:rFonts w:hint="eastAsia" w:ascii="宋体" w:hAnsi="宋体" w:cs="仿宋"/>
          <w:sz w:val="24"/>
          <w:lang w:val="zh-CN"/>
        </w:rPr>
        <w:t>3）移动化服务与决策。通过平板端和手机端的多层级数据应用开发，实现及时、实时的野外定位、数据推送、落界上图、智能规划、数据查询、可视化服务。</w:t>
      </w:r>
    </w:p>
    <w:p>
      <w:pPr>
        <w:spacing w:line="400" w:lineRule="exact"/>
        <w:ind w:firstLine="480" w:firstLineChars="200"/>
        <w:rPr>
          <w:rFonts w:ascii="宋体" w:hAnsi="宋体" w:cs="仿宋"/>
          <w:sz w:val="24"/>
          <w:lang w:val="zh-CN"/>
        </w:rPr>
      </w:pPr>
      <w:r>
        <w:rPr>
          <w:rFonts w:hint="eastAsia" w:ascii="宋体" w:hAnsi="宋体" w:cs="仿宋"/>
          <w:sz w:val="24"/>
          <w:lang w:val="zh-CN"/>
        </w:rPr>
        <w:t>4）全方位、多层次的状态与趋势展现。通过数据融合分析与建模，全方位、多角度展示全区森林资源以及山核桃资源状态、历史演变和趋势，充分反映林业生产经营的过程与成效。</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4.1.1.1森林资源大数据库建设与管理</w:t>
      </w:r>
    </w:p>
    <w:p>
      <w:pPr>
        <w:spacing w:line="400" w:lineRule="exact"/>
        <w:ind w:firstLine="480" w:firstLineChars="200"/>
        <w:rPr>
          <w:rFonts w:ascii="宋体" w:hAnsi="宋体" w:cs="仿宋"/>
          <w:sz w:val="24"/>
        </w:rPr>
      </w:pPr>
      <w:r>
        <w:rPr>
          <w:rFonts w:hint="eastAsia" w:ascii="宋体" w:hAnsi="宋体" w:cs="仿宋"/>
          <w:sz w:val="24"/>
        </w:rPr>
        <w:t>大数据库建设：大数据库的数据类型主要包括：地理信息类数据、森林资源本底数据、突变信息类数据、渐变信息类数据、关联类数据。</w:t>
      </w:r>
    </w:p>
    <w:p>
      <w:pPr>
        <w:spacing w:line="400" w:lineRule="exact"/>
        <w:ind w:firstLine="480" w:firstLineChars="200"/>
        <w:rPr>
          <w:rFonts w:ascii="宋体" w:hAnsi="宋体" w:cs="仿宋"/>
          <w:sz w:val="24"/>
        </w:rPr>
      </w:pPr>
      <w:r>
        <w:rPr>
          <w:rFonts w:hint="eastAsia" w:ascii="宋体" w:hAnsi="宋体" w:cs="仿宋"/>
          <w:sz w:val="24"/>
        </w:rPr>
        <w:t>大数据库管理：针对已有业务系统数据的管理和关联，还没有相关业务系统实现数据的采集、查询以及统计汇总等基本功能，满足数据管理的需要。</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4.1.1.2大数据分析与展示系统</w:t>
      </w:r>
    </w:p>
    <w:p>
      <w:pPr>
        <w:spacing w:line="400" w:lineRule="exact"/>
        <w:ind w:firstLine="480" w:firstLineChars="200"/>
        <w:rPr>
          <w:rFonts w:ascii="宋体" w:hAnsi="宋体" w:cs="仿宋"/>
          <w:sz w:val="24"/>
        </w:rPr>
      </w:pPr>
      <w:r>
        <w:rPr>
          <w:rFonts w:hint="eastAsia" w:ascii="宋体" w:hAnsi="宋体" w:cs="仿宋"/>
          <w:sz w:val="24"/>
        </w:rPr>
        <w:t>基于森林资源更新中的各类成果数据，包括各类资源档案数据（林地征占用、林木采伐、营造林、森林灾害、林业行政处罚、山核桃特色资源等）、资源变更成果数据，经数据融合、建模、分析并以可视化方式展现森林资源以及监测成果数据。</w:t>
      </w:r>
    </w:p>
    <w:p>
      <w:pPr>
        <w:spacing w:line="400" w:lineRule="exact"/>
        <w:ind w:firstLine="480" w:firstLineChars="200"/>
        <w:rPr>
          <w:rFonts w:ascii="宋体" w:hAnsi="宋体" w:cs="仿宋"/>
          <w:sz w:val="24"/>
        </w:rPr>
      </w:pPr>
      <w:r>
        <w:rPr>
          <w:rFonts w:hint="eastAsia" w:ascii="宋体" w:hAnsi="宋体" w:cs="仿宋"/>
          <w:sz w:val="24"/>
        </w:rPr>
        <w:t>面向公众的大数据分析与展示：包括门户系统开发，用于向公众展示各类森林资源数据和变化数据，可以通过网站或大屏幕，主要包括“二类”数据、公益林、经济林资源、古树名木、</w:t>
      </w:r>
      <w:r>
        <w:rPr>
          <w:rFonts w:hint="eastAsia" w:ascii="宋体" w:hAnsi="宋体" w:cs="仿宋"/>
          <w:sz w:val="24"/>
          <w:lang w:val="zh-CN"/>
        </w:rPr>
        <w:t>自然保护地、风景资源、</w:t>
      </w:r>
      <w:r>
        <w:rPr>
          <w:rFonts w:hint="eastAsia" w:ascii="宋体" w:hAnsi="宋体" w:cs="仿宋"/>
          <w:sz w:val="24"/>
        </w:rPr>
        <w:t>其他特色资源等数据的服务展示与发布。同时可以分专题进行展求。</w:t>
      </w:r>
    </w:p>
    <w:p>
      <w:pPr>
        <w:spacing w:line="400" w:lineRule="exact"/>
        <w:ind w:firstLine="480" w:firstLineChars="200"/>
        <w:rPr>
          <w:rFonts w:ascii="宋体" w:hAnsi="宋体" w:cs="仿宋"/>
          <w:sz w:val="24"/>
        </w:rPr>
      </w:pPr>
      <w:r>
        <w:rPr>
          <w:rFonts w:hint="eastAsia" w:ascii="宋体" w:hAnsi="宋体" w:cs="仿宋"/>
          <w:sz w:val="24"/>
        </w:rPr>
        <w:t>面向内部用户的大数据分析与展示：开发基于PC端的面向内部用户使用的森林资源大数据分析与展示系统，包括：森林资源档案分析与管理、森林资源即时状态分析与管理、专项调查数据分析与管理（公益林、古树名木、</w:t>
      </w:r>
      <w:r>
        <w:rPr>
          <w:rFonts w:hint="eastAsia" w:ascii="宋体" w:hAnsi="宋体" w:cs="仿宋"/>
          <w:sz w:val="24"/>
          <w:lang w:val="zh-CN"/>
        </w:rPr>
        <w:t>自然保护地、</w:t>
      </w:r>
      <w:r>
        <w:rPr>
          <w:rFonts w:hint="eastAsia" w:ascii="宋体" w:hAnsi="宋体" w:cs="仿宋"/>
          <w:sz w:val="24"/>
        </w:rPr>
        <w:t>野生动植物、风景资源、其他特色资源）、经营利用地状态分析与管理以及多数据融合分析与管理。展示多重资源分布、进度跟踪、林地一张图等展示以及图形工具。</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4.1.1.3森林资源动态更新系统</w:t>
      </w:r>
    </w:p>
    <w:p>
      <w:pPr>
        <w:spacing w:line="400" w:lineRule="exact"/>
        <w:ind w:firstLine="480" w:firstLineChars="200"/>
        <w:rPr>
          <w:rFonts w:ascii="宋体" w:hAnsi="宋体" w:cs="仿宋"/>
          <w:sz w:val="24"/>
        </w:rPr>
      </w:pPr>
      <w:r>
        <w:rPr>
          <w:rFonts w:hint="eastAsia" w:ascii="宋体" w:hAnsi="宋体" w:cs="仿宋"/>
          <w:sz w:val="24"/>
        </w:rPr>
        <w:t>在森林资源档案本底数据基础上，基于各类林业业务专项监测数据（林地征占用、林木采伐、营造林、森林灾害等），结合遥感影像提取的森林资源变化数据，并辅以外业督查、核实调查，形成资源变化监测的成果数据，利用监测成果为资源更新提供数据源，实现对资源的及时更新，并按流程对年度更新数据固化。</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4.1.1.4林业业务支撑系统</w:t>
      </w:r>
    </w:p>
    <w:p>
      <w:pPr>
        <w:spacing w:line="400" w:lineRule="exact"/>
        <w:ind w:firstLine="480" w:firstLineChars="200"/>
        <w:rPr>
          <w:rFonts w:ascii="宋体" w:hAnsi="宋体" w:cs="仿宋"/>
          <w:sz w:val="24"/>
        </w:rPr>
      </w:pPr>
      <w:r>
        <w:rPr>
          <w:rFonts w:hint="eastAsia" w:ascii="宋体" w:hAnsi="宋体" w:cs="仿宋"/>
          <w:sz w:val="24"/>
        </w:rPr>
        <w:t>分析林地征占用管理、林木采伐管理、营造林管理、行政处罚管理、自然灾害管理等五大业务系统进行开发或对接。实现直接反映了相应小班属性数据和空间数据的变化情况。</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4.1.1.5移动数据采集系统</w:t>
      </w:r>
    </w:p>
    <w:p>
      <w:pPr>
        <w:spacing w:line="400" w:lineRule="exact"/>
        <w:ind w:firstLine="480" w:firstLineChars="200"/>
        <w:rPr>
          <w:rFonts w:ascii="宋体" w:hAnsi="宋体" w:cs="仿宋"/>
          <w:sz w:val="24"/>
        </w:rPr>
      </w:pPr>
      <w:r>
        <w:rPr>
          <w:rFonts w:hint="eastAsia" w:ascii="宋体" w:hAnsi="宋体" w:cs="仿宋"/>
          <w:sz w:val="24"/>
        </w:rPr>
        <w:t>系统涉及到林地征占用、采伐、造林绿化、森林灾害、山核桃规划等，功能包括区专题调查资料、其他档案资料图层下载、编辑、上传；红线数据、小班成果空间属性、影像、界线的在线加载；数据备份还原、收藏、影像地图下载、影像导入、数据归类、信息推送、智能规划等。</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4.1.1.6后台管理系统</w:t>
      </w:r>
    </w:p>
    <w:p>
      <w:pPr>
        <w:spacing w:line="400" w:lineRule="exact"/>
        <w:ind w:firstLine="480" w:firstLineChars="200"/>
        <w:rPr>
          <w:rFonts w:ascii="宋体" w:hAnsi="宋体" w:cs="仿宋"/>
          <w:sz w:val="24"/>
        </w:rPr>
      </w:pPr>
      <w:r>
        <w:rPr>
          <w:rFonts w:hint="eastAsia" w:ascii="宋体" w:hAnsi="宋体" w:cs="仿宋"/>
          <w:sz w:val="24"/>
        </w:rPr>
        <w:t>后台管理系统需要完成全区统一用户（平台、平板、手机端、浙政钉用户）管理及单点登录，以及与之相关的现有账号梳理、转换、相关接口开发和后台账户管理搭建等。整合各业务系统权限管理纳入统一管理，按照部门和层级原则统一管理业务权限与模块功能。开发各类接口：各业务系统的共享数据梳理、转换、对接、交互数。</w:t>
      </w:r>
    </w:p>
    <w:p>
      <w:pPr>
        <w:spacing w:line="400" w:lineRule="exact"/>
        <w:ind w:firstLine="480" w:firstLineChars="200"/>
        <w:rPr>
          <w:rFonts w:ascii="宋体" w:hAnsi="宋体" w:cs="仿宋"/>
          <w:sz w:val="24"/>
        </w:rPr>
      </w:pPr>
      <w:r>
        <w:rPr>
          <w:rFonts w:hint="eastAsia" w:ascii="宋体" w:hAnsi="宋体" w:cs="仿宋"/>
          <w:sz w:val="24"/>
        </w:rPr>
        <w:t>用户管理、账号类型、权限管理、设备开通包括：平台、掌上林业“采集版”、掌上林业“展示版”。</w:t>
      </w:r>
    </w:p>
    <w:p>
      <w:pPr>
        <w:spacing w:line="400" w:lineRule="exact"/>
        <w:ind w:firstLine="480" w:firstLineChars="200"/>
        <w:rPr>
          <w:rFonts w:ascii="宋体" w:hAnsi="宋体" w:cs="仿宋"/>
          <w:sz w:val="24"/>
        </w:rPr>
      </w:pPr>
      <w:r>
        <w:rPr>
          <w:rFonts w:hint="eastAsia" w:ascii="宋体" w:hAnsi="宋体" w:cs="仿宋"/>
          <w:sz w:val="24"/>
        </w:rPr>
        <w:t>全区统一用户及单点登录包括：林木采伐系统、征占林地系统、营造林系统、行政处置系统、森林资源更新系统、特色资源治理系统、综合分析与展示系统等。</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4.1.1.7掌上专业办公系统</w:t>
      </w:r>
    </w:p>
    <w:p>
      <w:pPr>
        <w:spacing w:line="400" w:lineRule="exact"/>
        <w:ind w:firstLine="480" w:firstLineChars="200"/>
        <w:rPr>
          <w:rFonts w:ascii="宋体" w:hAnsi="宋体" w:cs="仿宋"/>
          <w:sz w:val="24"/>
        </w:rPr>
      </w:pPr>
      <w:r>
        <w:rPr>
          <w:rFonts w:hint="eastAsia" w:ascii="宋体" w:hAnsi="宋体" w:cs="仿宋"/>
          <w:sz w:val="24"/>
        </w:rPr>
        <w:t>基于平板端和手机端（APP、小程序、浙政钉）开发多层级数据展示功能及业务实用功能。具体包括年度出数、公益林、经济林资源、古树名木、自然保护地、风景资源等业务数据及特色林业资源数据的展示。</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4.1.1.8掌上办公平板展示版</w:t>
      </w:r>
    </w:p>
    <w:p>
      <w:pPr>
        <w:spacing w:line="400" w:lineRule="exact"/>
        <w:ind w:firstLine="480" w:firstLineChars="200"/>
        <w:rPr>
          <w:rFonts w:ascii="宋体" w:hAnsi="宋体" w:cs="仿宋"/>
          <w:sz w:val="24"/>
        </w:rPr>
      </w:pPr>
      <w:r>
        <w:rPr>
          <w:rFonts w:hint="eastAsia" w:ascii="宋体" w:hAnsi="宋体" w:cs="仿宋"/>
          <w:sz w:val="24"/>
        </w:rPr>
        <w:t>主要面向决策者、管理者，系统基于全区各级森林资源更新中的各类成果数据，包括各类资源档案数据、资源变更成果数据，经数据融合、建模和分析并以可视化方式展现全区各级森林资源以及监测成果数据，并形成对成果的数据的综合展示，为域森林资源管理和辅助决策提供支撑。</w:t>
      </w:r>
    </w:p>
    <w:p>
      <w:pPr>
        <w:spacing w:line="400" w:lineRule="exact"/>
        <w:ind w:firstLine="480" w:firstLineChars="200"/>
        <w:rPr>
          <w:rFonts w:ascii="宋体" w:hAnsi="宋体" w:cs="仿宋"/>
          <w:kern w:val="0"/>
          <w:sz w:val="24"/>
        </w:rPr>
      </w:pPr>
      <w:r>
        <w:rPr>
          <w:rFonts w:hint="eastAsia" w:ascii="宋体" w:hAnsi="宋体" w:cs="仿宋"/>
          <w:sz w:val="24"/>
        </w:rPr>
        <w:t>实现森林发布覆盖率、林地面积、森林蓄积、乔木林蓄积单位、保护等级、天然人工林和各专题图分析展示。</w:t>
      </w:r>
      <w:r>
        <w:rPr>
          <w:rFonts w:hint="eastAsia" w:ascii="宋体" w:hAnsi="宋体" w:cs="仿宋"/>
          <w:kern w:val="0"/>
          <w:sz w:val="24"/>
        </w:rPr>
        <w:t xml:space="preserve">      </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4.1.1.9掌上办公手机版</w:t>
      </w:r>
    </w:p>
    <w:p>
      <w:pPr>
        <w:spacing w:line="400" w:lineRule="exact"/>
        <w:ind w:firstLine="480" w:firstLineChars="200"/>
        <w:rPr>
          <w:rFonts w:ascii="宋体" w:hAnsi="宋体" w:cs="仿宋"/>
          <w:sz w:val="24"/>
        </w:rPr>
      </w:pPr>
      <w:r>
        <w:rPr>
          <w:rFonts w:hint="eastAsia" w:ascii="宋体" w:hAnsi="宋体" w:cs="仿宋"/>
          <w:sz w:val="24"/>
        </w:rPr>
        <w:t>基于“浙政钉”和“浙里办”，主要面向社会公众，具有展示森林资源小班，分享林业景观等功能。</w:t>
      </w:r>
    </w:p>
    <w:p>
      <w:pPr>
        <w:spacing w:line="400" w:lineRule="exact"/>
        <w:ind w:firstLine="480" w:firstLineChars="200"/>
        <w:rPr>
          <w:rFonts w:ascii="宋体" w:hAnsi="宋体" w:cs="仿宋"/>
          <w:sz w:val="24"/>
        </w:rPr>
      </w:pPr>
      <w:r>
        <w:rPr>
          <w:rFonts w:hint="eastAsia" w:ascii="宋体" w:hAnsi="宋体" w:cs="仿宋"/>
          <w:sz w:val="24"/>
        </w:rPr>
        <w:t>公共信息调取展示、专题信息调取展示和小班快速搜索定位功能、对森林景观拍照与社会公众进行分享推荐。</w:t>
      </w:r>
      <w:r>
        <w:rPr>
          <w:rFonts w:hint="eastAsia" w:ascii="宋体" w:hAnsi="宋体" w:cs="仿宋"/>
          <w:kern w:val="0"/>
          <w:sz w:val="24"/>
        </w:rPr>
        <w:t xml:space="preserve"> </w:t>
      </w:r>
    </w:p>
    <w:p>
      <w:pPr>
        <w:pStyle w:val="6"/>
        <w:numPr>
          <w:ilvl w:val="2"/>
          <w:numId w:val="0"/>
        </w:numPr>
        <w:spacing w:line="400" w:lineRule="exact"/>
        <w:ind w:left="575" w:hanging="575"/>
        <w:rPr>
          <w:rFonts w:ascii="宋体" w:hAnsi="宋体" w:eastAsia="宋体" w:cs="仿宋"/>
          <w:sz w:val="24"/>
        </w:rPr>
      </w:pPr>
      <w:r>
        <w:rPr>
          <w:rFonts w:hint="eastAsia" w:ascii="宋体" w:hAnsi="宋体" w:eastAsia="宋体" w:cs="仿宋"/>
          <w:sz w:val="24"/>
        </w:rPr>
        <w:t>4.1.2山核桃特色产业云服务平台</w:t>
      </w:r>
    </w:p>
    <w:p>
      <w:pPr>
        <w:spacing w:line="400" w:lineRule="exact"/>
        <w:ind w:firstLine="480" w:firstLineChars="200"/>
        <w:rPr>
          <w:rFonts w:ascii="宋体" w:hAnsi="宋体" w:cs="仿宋"/>
          <w:sz w:val="24"/>
        </w:rPr>
      </w:pPr>
      <w:r>
        <w:rPr>
          <w:rFonts w:hint="eastAsia" w:ascii="宋体" w:hAnsi="宋体" w:cs="仿宋"/>
          <w:sz w:val="24"/>
        </w:rPr>
        <w:t>在消费互联网给我们的生活带来各种便利的同时，将山核桃产品的种植、加工、销售、物流等全链路上下游通过互联网的技术打通，让山核桃产品生产、流通全面数字化，通过销售指数和产品供应链的结合，使得农业产业的各个环节更加高效和开放。</w:t>
      </w:r>
    </w:p>
    <w:p>
      <w:pPr>
        <w:spacing w:line="400" w:lineRule="exact"/>
        <w:ind w:firstLine="482" w:firstLineChars="200"/>
        <w:rPr>
          <w:rFonts w:ascii="宋体" w:hAnsi="宋体" w:cs="仿宋"/>
          <w:sz w:val="24"/>
        </w:rPr>
      </w:pPr>
      <w:r>
        <w:rPr>
          <w:rFonts w:hint="eastAsia" w:ascii="宋体" w:hAnsi="宋体" w:cs="仿宋"/>
          <w:b/>
          <w:bCs/>
          <w:sz w:val="24"/>
        </w:rPr>
        <w:t>本次项目通过在平台上搭建八个应用服务系统，整合对接临安数字乡村监管服务平台、食品安全监管云平台、农业投入品监管平台，构建起农技、农资、病虫害防治、业务模型、质量追溯、产业监管、品牌管理等产业服务功能，为临安山核桃数字产业提供统一的数据中心和业务中心基础平台。</w:t>
      </w:r>
    </w:p>
    <w:p>
      <w:pPr>
        <w:spacing w:line="400" w:lineRule="exact"/>
        <w:ind w:firstLine="480" w:firstLineChars="200"/>
        <w:rPr>
          <w:rFonts w:ascii="宋体" w:hAnsi="宋体" w:cs="仿宋"/>
          <w:sz w:val="24"/>
        </w:rPr>
      </w:pPr>
      <w:r>
        <w:rPr>
          <w:rFonts w:hint="eastAsia" w:ascii="宋体" w:hAnsi="宋体" w:cs="仿宋"/>
          <w:sz w:val="24"/>
        </w:rPr>
        <w:t>云平台以数据大屏、门户网站、小程序、APP等为载体提供山核桃产业综合服务。</w:t>
      </w:r>
    </w:p>
    <w:p>
      <w:pPr>
        <w:spacing w:line="400" w:lineRule="exact"/>
        <w:ind w:firstLine="480" w:firstLineChars="200"/>
        <w:rPr>
          <w:rFonts w:ascii="宋体" w:hAnsi="宋体" w:cs="仿宋"/>
          <w:sz w:val="24"/>
        </w:rPr>
      </w:pPr>
      <w:r>
        <w:rPr>
          <w:rFonts w:hint="eastAsia" w:ascii="宋体" w:hAnsi="宋体" w:cs="仿宋"/>
          <w:sz w:val="24"/>
        </w:rPr>
        <w:t>为了为公众提供更好的服务，公众服务平台需要综合考虑便利性、互动性、普及性及功能性。</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4.1.2.1政务办公门户</w:t>
      </w:r>
    </w:p>
    <w:p>
      <w:pPr>
        <w:spacing w:line="400" w:lineRule="exact"/>
        <w:ind w:firstLine="480" w:firstLineChars="200"/>
        <w:rPr>
          <w:rFonts w:ascii="宋体" w:hAnsi="宋体" w:cs="仿宋"/>
          <w:sz w:val="24"/>
        </w:rPr>
      </w:pPr>
      <w:r>
        <w:rPr>
          <w:rFonts w:hint="eastAsia" w:ascii="宋体" w:hAnsi="宋体" w:cs="仿宋"/>
          <w:sz w:val="24"/>
        </w:rPr>
        <w:t xml:space="preserve">建立一个面向临安区山核桃质量产业服务机构、安全监管机构、检测机构等部门的政务办公门户。 </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4.1.2.2公共服务网站</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4.1.2.3微门户</w:t>
      </w:r>
    </w:p>
    <w:p>
      <w:pPr>
        <w:spacing w:line="400" w:lineRule="exact"/>
        <w:ind w:firstLine="480" w:firstLineChars="200"/>
        <w:rPr>
          <w:rFonts w:ascii="宋体" w:hAnsi="宋体" w:cs="仿宋"/>
          <w:sz w:val="24"/>
        </w:rPr>
      </w:pPr>
      <w:r>
        <w:rPr>
          <w:rFonts w:hint="eastAsia" w:ascii="宋体" w:hAnsi="宋体" w:cs="仿宋"/>
          <w:sz w:val="24"/>
          <w:lang w:val="zh-CN"/>
        </w:rPr>
        <w:t>通过APP、微信、微博等移动客户端和微门户，提高公众的便利性。微门户的优势在于其较强的互动性和便利性。公众可以在任何时间、任何地点获取定制性服务。为了发挥微门户的优势，将提供政务公开、</w:t>
      </w:r>
      <w:r>
        <w:rPr>
          <w:rFonts w:hint="eastAsia" w:ascii="宋体" w:hAnsi="宋体" w:cs="仿宋"/>
          <w:sz w:val="24"/>
        </w:rPr>
        <w:t>信息查询、宣传中心、投诉举报和网上学堂五项功能。</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4.1.2.4产业云平台大屏展示系统</w:t>
      </w:r>
    </w:p>
    <w:p>
      <w:pPr>
        <w:spacing w:line="400" w:lineRule="exact"/>
        <w:ind w:firstLine="480" w:firstLineChars="200"/>
        <w:rPr>
          <w:rFonts w:ascii="宋体" w:hAnsi="宋体" w:cs="仿宋"/>
          <w:sz w:val="24"/>
        </w:rPr>
      </w:pPr>
      <w:r>
        <w:rPr>
          <w:rFonts w:hint="eastAsia" w:ascii="宋体" w:hAnsi="宋体" w:cs="仿宋"/>
          <w:sz w:val="24"/>
          <w:lang w:val="zh-CN"/>
        </w:rPr>
        <w:t>建设山核桃产业云平台可视化展示系统，有效整合多源异构数据，实现集“一心一区一带”项目成果、山核桃产业GIS分布、山核桃产业数据分析成果等的可视化展示。</w:t>
      </w:r>
    </w:p>
    <w:p>
      <w:pPr>
        <w:pStyle w:val="6"/>
        <w:numPr>
          <w:ilvl w:val="2"/>
          <w:numId w:val="0"/>
        </w:numPr>
        <w:spacing w:line="400" w:lineRule="exact"/>
        <w:ind w:left="575" w:hanging="575"/>
        <w:rPr>
          <w:rFonts w:ascii="宋体" w:hAnsi="宋体" w:eastAsia="宋体" w:cs="仿宋"/>
          <w:sz w:val="24"/>
        </w:rPr>
      </w:pPr>
      <w:r>
        <w:rPr>
          <w:rFonts w:hint="eastAsia" w:ascii="宋体" w:hAnsi="宋体" w:eastAsia="宋体" w:cs="仿宋"/>
          <w:sz w:val="24"/>
        </w:rPr>
        <w:t>4.1.3产业大数据中心</w:t>
      </w:r>
    </w:p>
    <w:p>
      <w:pPr>
        <w:spacing w:line="400" w:lineRule="exact"/>
        <w:ind w:firstLine="480" w:firstLineChars="200"/>
        <w:rPr>
          <w:rFonts w:ascii="宋体" w:hAnsi="宋体" w:cs="仿宋"/>
          <w:sz w:val="24"/>
        </w:rPr>
      </w:pPr>
      <w:r>
        <w:rPr>
          <w:rFonts w:hint="eastAsia" w:ascii="宋体" w:hAnsi="宋体" w:cs="仿宋"/>
          <w:sz w:val="24"/>
        </w:rPr>
        <w:t>临安山核桃产业大数据中心建设的内容包括元数据管理、全域数据模型（EDM）、主数据管理、整合数据库、数据仓库、数据质量管理、数据交换平台，以及基于数据中心开发的各类数据应用。</w:t>
      </w:r>
    </w:p>
    <w:p>
      <w:pPr>
        <w:spacing w:line="400" w:lineRule="exact"/>
        <w:ind w:firstLine="480" w:firstLineChars="200"/>
        <w:rPr>
          <w:rFonts w:ascii="宋体" w:hAnsi="宋体" w:cs="仿宋"/>
          <w:sz w:val="24"/>
          <w:lang w:val="zh-CN"/>
        </w:rPr>
      </w:pPr>
      <w:r>
        <w:rPr>
          <w:rFonts w:hint="eastAsia" w:ascii="宋体" w:hAnsi="宋体" w:cs="仿宋"/>
          <w:sz w:val="24"/>
        </w:rPr>
        <w:t>通过对以上内容进行归纳和扩展延伸，可以将数据中心的建设内容划分为数据保护、数据架构、数据交换、数据存储、数据应用、数据管理六部分，通过应用门户进行数据中心业务应用。</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4.1.3.1数据资源中心</w:t>
      </w:r>
    </w:p>
    <w:p>
      <w:pPr>
        <w:spacing w:line="400" w:lineRule="exact"/>
        <w:ind w:firstLine="480" w:firstLineChars="200"/>
        <w:rPr>
          <w:rFonts w:ascii="宋体" w:hAnsi="宋体" w:cs="仿宋"/>
          <w:sz w:val="24"/>
        </w:rPr>
      </w:pPr>
      <w:r>
        <w:rPr>
          <w:rFonts w:hint="eastAsia" w:ascii="宋体" w:hAnsi="宋体" w:cs="仿宋"/>
          <w:sz w:val="24"/>
        </w:rPr>
        <w:t>在数据资源规划定义的全域数据模型基础上，根据不同数据的特点和数据共享应用的需要，以支持临安山核桃产业信息化融合发展和信息资源整合为目标，充分整合全区山核桃产业数据资源形成涉及山核桃产业数据的采集/存储/计算/分析能力，将采集来的海量、多源、异构数据，按照数据中心建设的有关技术标准规范进行梳理、分类、处理、加工, 按照资源的更新频度、数据结构、访问特点、数据位置等对数据资源进行顶层规划，形成山核桃产业数据库，并按照数据用途、功能定位把产业云服务平台相关数据划分成基础数据库、业务数据库和主题数据库，各数据库具体包含内容详见相关数据标准。</w:t>
      </w:r>
    </w:p>
    <w:p>
      <w:pPr>
        <w:spacing w:line="400" w:lineRule="exact"/>
        <w:ind w:firstLine="480" w:firstLineChars="200"/>
        <w:rPr>
          <w:rFonts w:ascii="宋体" w:hAnsi="宋体" w:cs="仿宋"/>
          <w:sz w:val="24"/>
        </w:rPr>
      </w:pPr>
      <w:r>
        <w:rPr>
          <w:rFonts w:hint="eastAsia" w:ascii="宋体" w:hAnsi="宋体" w:cs="仿宋"/>
          <w:sz w:val="24"/>
        </w:rPr>
        <w:t>针对各个业务系统相互独立，业务处理中存在数据来源不一、数据格式不规范甚至是业务间缺少关联性等现状及问题，建立大数据整合平台，可实现单个业务系统大数据挖掘、清洗、筛选与多系统数据联合分析，通过大量标准接口服务可以对外提供丰富数据共享接口，方便系统扩展，为生产运行及综合分析提供实时有效的基础数据，多业务数据联合分析可实现单一业务系统无法完成的数据分析，让数据挖掘变得更有意义。</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4.1.3.2数据存储</w:t>
      </w:r>
    </w:p>
    <w:p>
      <w:pPr>
        <w:spacing w:line="400" w:lineRule="exact"/>
        <w:ind w:firstLine="480" w:firstLineChars="200"/>
        <w:rPr>
          <w:rFonts w:ascii="宋体" w:hAnsi="宋体" w:cs="仿宋"/>
          <w:sz w:val="24"/>
        </w:rPr>
      </w:pPr>
      <w:r>
        <w:rPr>
          <w:rFonts w:hint="eastAsia" w:ascii="宋体" w:hAnsi="宋体" w:cs="仿宋"/>
          <w:sz w:val="24"/>
        </w:rPr>
        <w:t>整合数据库存储的是准实时的明细数据，为各类实时性的数据应用提供支撑；</w:t>
      </w:r>
    </w:p>
    <w:p>
      <w:pPr>
        <w:spacing w:line="400" w:lineRule="exact"/>
        <w:ind w:firstLine="480" w:firstLineChars="200"/>
        <w:rPr>
          <w:rFonts w:ascii="宋体" w:hAnsi="宋体" w:cs="仿宋"/>
          <w:sz w:val="24"/>
        </w:rPr>
      </w:pPr>
      <w:r>
        <w:rPr>
          <w:rFonts w:hint="eastAsia" w:ascii="宋体" w:hAnsi="宋体" w:cs="仿宋"/>
          <w:sz w:val="24"/>
        </w:rPr>
        <w:t>整合数据库作为农业产业业务数据集中存储和共享平台，要求在收集组织内各业务系统中生产数据过程中，能够按照食品监管全域数据模型进行数据整合，提供生产数据共享，支撑跨系统数据的应用，提升数据质量。</w:t>
      </w:r>
    </w:p>
    <w:p>
      <w:pPr>
        <w:spacing w:line="400" w:lineRule="exact"/>
        <w:ind w:firstLine="480" w:firstLineChars="200"/>
        <w:rPr>
          <w:rFonts w:ascii="宋体" w:hAnsi="宋体" w:cs="仿宋"/>
          <w:sz w:val="24"/>
        </w:rPr>
      </w:pPr>
      <w:bookmarkStart w:id="6" w:name="_Toc352015727"/>
      <w:r>
        <w:rPr>
          <w:rFonts w:hint="eastAsia" w:ascii="宋体" w:hAnsi="宋体" w:cs="仿宋"/>
          <w:sz w:val="24"/>
        </w:rPr>
        <w:t>通过建立农业产业数据标准，基于全域数据模型完成对山核桃生产企业基础信息、业务信息、产品信息、从业人员信息等各类信息资源的整合，内部实现与区农业产业汇总数据的纵向资源整合，外部实现与其他政府部门的横向资源整合。</w:t>
      </w:r>
      <w:bookmarkEnd w:id="6"/>
    </w:p>
    <w:p>
      <w:pPr>
        <w:spacing w:line="400" w:lineRule="exact"/>
        <w:ind w:firstLine="480" w:firstLineChars="200"/>
        <w:rPr>
          <w:rFonts w:ascii="宋体" w:hAnsi="宋体" w:cs="仿宋"/>
          <w:sz w:val="24"/>
        </w:rPr>
      </w:pPr>
      <w:r>
        <w:rPr>
          <w:rFonts w:hint="eastAsia" w:ascii="宋体" w:hAnsi="宋体" w:cs="仿宋"/>
          <w:sz w:val="24"/>
        </w:rPr>
        <w:t>整合数据库将平台产业数据整合后，将系统内归集好的数据以数据共享的形式提供给数据资源管理局。</w:t>
      </w:r>
    </w:p>
    <w:p>
      <w:pPr>
        <w:spacing w:line="400" w:lineRule="exact"/>
        <w:ind w:firstLine="480" w:firstLineChars="200"/>
        <w:rPr>
          <w:rFonts w:ascii="宋体" w:hAnsi="宋体" w:cs="仿宋"/>
          <w:sz w:val="24"/>
        </w:rPr>
      </w:pPr>
      <w:r>
        <w:rPr>
          <w:rFonts w:hint="eastAsia" w:ascii="宋体" w:hAnsi="宋体" w:cs="仿宋"/>
          <w:sz w:val="24"/>
        </w:rPr>
        <w:t>整合数据库在数据收敛的过程中，能完成对数据质量提升的工作。</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4.1.3.3数据保护</w:t>
      </w:r>
    </w:p>
    <w:p>
      <w:pPr>
        <w:spacing w:line="400" w:lineRule="exact"/>
        <w:ind w:firstLine="480" w:firstLineChars="200"/>
        <w:rPr>
          <w:rFonts w:ascii="宋体" w:hAnsi="宋体" w:cs="仿宋"/>
          <w:sz w:val="24"/>
        </w:rPr>
      </w:pPr>
      <w:r>
        <w:rPr>
          <w:rFonts w:hint="eastAsia" w:ascii="宋体" w:hAnsi="宋体" w:cs="仿宋"/>
          <w:sz w:val="24"/>
        </w:rPr>
        <w:t>数据保护域包含存储保护（为整合数据库、数据仓库、元数据库提供在线数据的安全保护）、备份保护（为整合数据库、数据仓库、元数据库提供近线与离线数据的安全保护）与容灾保护（当本地数据中心机房遭遇火灾、水淹等毁灭性灾难的情况下，通过容灾中心，使临安山核桃产业核心的数据资产依然得以保存），为数据中心以提供各个层次的数据保护服务，同时也可为各类应用系统提供数据保护服务。</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4.1.3.4数据交换</w:t>
      </w:r>
    </w:p>
    <w:p>
      <w:pPr>
        <w:spacing w:line="400" w:lineRule="exact"/>
        <w:ind w:firstLine="480" w:firstLineChars="200"/>
        <w:rPr>
          <w:rFonts w:ascii="宋体" w:hAnsi="宋体" w:cs="仿宋"/>
          <w:sz w:val="24"/>
        </w:rPr>
      </w:pPr>
      <w:r>
        <w:rPr>
          <w:rFonts w:hint="eastAsia" w:ascii="宋体" w:hAnsi="宋体" w:cs="仿宋"/>
          <w:sz w:val="24"/>
        </w:rPr>
        <w:t>数据共享域的核心内容包括数据交换平台的建设和数据共享中心的建设。数据交换平台将主要支撑单位内部各业务系统与数据中心之间实时数据、准实时批量数据、以及特殊通信协议数据交换和路由转发，实现数据中心的数据集成。而依托于山核桃产业服务云的数据共享中心则主要同时承担临安区农业产业数据与外部数据中心的数据交互。</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4.1.3.5数据管理模块</w:t>
      </w:r>
    </w:p>
    <w:p>
      <w:pPr>
        <w:spacing w:line="400" w:lineRule="exact"/>
        <w:ind w:firstLine="480" w:firstLineChars="200"/>
        <w:rPr>
          <w:rFonts w:ascii="宋体" w:hAnsi="宋体" w:cs="仿宋"/>
          <w:sz w:val="24"/>
        </w:rPr>
      </w:pPr>
      <w:r>
        <w:rPr>
          <w:rFonts w:hint="eastAsia" w:ascii="宋体" w:hAnsi="宋体" w:cs="仿宋"/>
          <w:sz w:val="24"/>
        </w:rPr>
        <w:t>数据管控的主要工作包括数据需求、数据所有权、数据安全、数据生命周期（包括数据产生、数据处理、数据存储、数据应用、数据归档和备份）和数据质量等项内容。</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4.1.3.6数据应用基础平台</w:t>
      </w:r>
    </w:p>
    <w:p>
      <w:pPr>
        <w:spacing w:line="400" w:lineRule="exact"/>
        <w:ind w:firstLine="480" w:firstLineChars="200"/>
        <w:rPr>
          <w:rFonts w:ascii="宋体" w:hAnsi="宋体" w:cs="仿宋"/>
          <w:sz w:val="24"/>
        </w:rPr>
      </w:pPr>
      <w:r>
        <w:rPr>
          <w:rFonts w:hint="eastAsia" w:ascii="宋体" w:hAnsi="宋体" w:cs="仿宋"/>
          <w:sz w:val="24"/>
        </w:rPr>
        <w:t>数据应用基础平台是数据中心基础支撑平台。提供基于数据中心数据应用所需的各类基础组件服务，可以利用提供的组件快速配置开发各类数据应用，包括指标监控、统计报表、多维分析、数据挖掘、GIS展现等各种应用。</w:t>
      </w:r>
    </w:p>
    <w:p>
      <w:pPr>
        <w:spacing w:line="400" w:lineRule="exact"/>
        <w:ind w:firstLine="480" w:firstLineChars="200"/>
        <w:rPr>
          <w:rFonts w:ascii="宋体" w:hAnsi="宋体" w:cs="仿宋"/>
          <w:sz w:val="24"/>
        </w:rPr>
      </w:pPr>
      <w:r>
        <w:rPr>
          <w:rFonts w:hint="eastAsia" w:ascii="宋体" w:hAnsi="宋体" w:cs="仿宋"/>
          <w:sz w:val="24"/>
        </w:rPr>
        <w:t>数据应用基础平台要求采用SOA框架，由服务库、功能组件库、桌面门户三部分构成，通过数据中心的统一数据架构设计、应用系统的解耦并标准化服务封装、桌面层的界面功能松耦合设计。</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4.1.4产业资源采集系统</w:t>
      </w:r>
    </w:p>
    <w:p>
      <w:pPr>
        <w:spacing w:line="400" w:lineRule="exact"/>
        <w:ind w:firstLine="480" w:firstLineChars="200"/>
        <w:rPr>
          <w:rFonts w:ascii="宋体" w:hAnsi="宋体" w:cs="仿宋"/>
          <w:sz w:val="24"/>
        </w:rPr>
      </w:pPr>
      <w:r>
        <w:rPr>
          <w:rFonts w:hint="eastAsia" w:ascii="宋体" w:hAnsi="宋体" w:cs="仿宋"/>
          <w:sz w:val="24"/>
        </w:rPr>
        <w:t>使用主体：农业农村局相关业务科室。为林农/基地、加工企业开发微信小程序，固定好数据表单，生产经营人员通过手机即可便捷上传种植、加工数据。</w:t>
      </w:r>
    </w:p>
    <w:p>
      <w:pPr>
        <w:spacing w:line="400" w:lineRule="exact"/>
        <w:ind w:firstLine="480" w:firstLineChars="200"/>
        <w:rPr>
          <w:rFonts w:ascii="宋体" w:hAnsi="宋体" w:cs="仿宋"/>
          <w:sz w:val="24"/>
        </w:rPr>
      </w:pPr>
      <w:r>
        <w:rPr>
          <w:rFonts w:hint="eastAsia" w:ascii="宋体" w:hAnsi="宋体" w:cs="仿宋"/>
          <w:sz w:val="24"/>
        </w:rPr>
        <w:t>制定临安山核桃产业资源数据标准，搭建临安山核桃产业资源采集系统，结合物联网采集设备、第三方业务系统对接、网络采集、人工整理导入等信息采集渠道，建立实时可持续的产业资源采集体系，对采集要素（指标、范围、频次、周期等）进行动态管理和配置。数据采集系统是构建在整个项目数据采集的核心系统。系统实现建立网格化采集机制，实现长效、真实、准确、及时的数据采集；计划、任务驱动，责任到人，实现目标可控、过程可控、责任可控；数据采集与日常职能工作有机结合；便捷、灵动，形成以数字说话的办事作风。</w:t>
      </w:r>
    </w:p>
    <w:p>
      <w:pPr>
        <w:spacing w:line="400" w:lineRule="exact"/>
        <w:ind w:firstLine="480" w:firstLineChars="200"/>
        <w:rPr>
          <w:rFonts w:ascii="宋体" w:hAnsi="宋体" w:cs="仿宋"/>
          <w:sz w:val="24"/>
        </w:rPr>
      </w:pPr>
      <w:r>
        <w:rPr>
          <w:rFonts w:hint="eastAsia" w:ascii="宋体" w:hAnsi="宋体" w:cs="仿宋"/>
          <w:sz w:val="24"/>
        </w:rPr>
        <w:t>数据采集支持按数据时间属性（支持离线数据/实时数据）、数据量属性（全量数据/增量数据）、数据类型（结构化数据/半结构数据/非结构化数据）、数据来源（数据库/文件系统/应用系统/应用日志/WEB日志）、数据获取方式（源系统推送/主动获取）等多个维度描述的数据获取。</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4.1.4.1</w:t>
      </w:r>
      <w:r>
        <w:rPr>
          <w:rFonts w:hint="eastAsia" w:ascii="宋体" w:hAnsi="宋体" w:eastAsia="宋体" w:cs="仿宋"/>
          <w:kern w:val="0"/>
          <w:sz w:val="24"/>
        </w:rPr>
        <w:t>数据库直连采集</w:t>
      </w:r>
    </w:p>
    <w:p>
      <w:pPr>
        <w:spacing w:line="400" w:lineRule="exact"/>
        <w:ind w:firstLine="480" w:firstLineChars="200"/>
        <w:rPr>
          <w:rFonts w:ascii="宋体" w:hAnsi="宋体" w:cs="仿宋"/>
          <w:sz w:val="24"/>
        </w:rPr>
      </w:pPr>
      <w:r>
        <w:rPr>
          <w:rFonts w:hint="eastAsia" w:ascii="宋体" w:hAnsi="宋体" w:cs="仿宋"/>
          <w:sz w:val="24"/>
        </w:rPr>
        <w:t>关系型数据的整合技术相对较为成熟，支持主流关系型数据库DB2、Oracle、Microsoft SQL Server、Sybase、MySQL、PostgreSQL、Access等，以及大数据环境的数据采集。支持大数据存储载体Hadoop/HDFS，支持访问HDFS内的文件内容。支持主流NoSQL数据库，包括：HBase，MongoDB等。实际应用中，数据源较多采用的是关系数据库。从数据库中抽取数据一般有以下几种方式：</w:t>
      </w:r>
    </w:p>
    <w:p>
      <w:pPr>
        <w:spacing w:line="400" w:lineRule="exact"/>
        <w:ind w:firstLine="480" w:firstLineChars="200"/>
        <w:rPr>
          <w:rFonts w:ascii="宋体" w:hAnsi="宋体" w:cs="仿宋"/>
          <w:sz w:val="24"/>
        </w:rPr>
      </w:pPr>
      <w:r>
        <w:rPr>
          <w:rFonts w:hint="eastAsia" w:ascii="宋体" w:hAnsi="宋体" w:cs="仿宋"/>
          <w:sz w:val="24"/>
        </w:rPr>
        <w:t>全量抽取类似于数据迁移或数据复制，它将数据源中的表或视图的数据原封不动的从数据库中抽取出来，并转换成自己的ETL工具可以识别的格式。全量抽取比较简单。</w:t>
      </w:r>
    </w:p>
    <w:p>
      <w:pPr>
        <w:spacing w:line="400" w:lineRule="exact"/>
        <w:ind w:firstLine="480" w:firstLineChars="200"/>
        <w:rPr>
          <w:rFonts w:ascii="宋体" w:hAnsi="宋体" w:cs="仿宋"/>
          <w:sz w:val="24"/>
        </w:rPr>
      </w:pPr>
      <w:r>
        <w:rPr>
          <w:rFonts w:hint="eastAsia" w:ascii="宋体" w:hAnsi="宋体" w:cs="仿宋"/>
          <w:sz w:val="24"/>
        </w:rPr>
        <w:t>增量抽取只抽取自上次抽取以来数据库中要抽取的表中新增或修改的数据。在ETL使用过程中。增量抽取较全量抽取应用更广。如何捕获变化的数据是增量抽取的关键。对捕获方法一般有两点要求：准确性，能够将业务系统中的变化数据按一定的频率准确地捕获到；性能，不能对业务系统造成太大的压力，影响现有业务。</w:t>
      </w:r>
    </w:p>
    <w:p>
      <w:pPr>
        <w:pStyle w:val="7"/>
        <w:numPr>
          <w:ilvl w:val="3"/>
          <w:numId w:val="0"/>
        </w:numPr>
        <w:spacing w:line="400" w:lineRule="exact"/>
        <w:ind w:left="864" w:hanging="864"/>
        <w:rPr>
          <w:rFonts w:ascii="宋体" w:hAnsi="宋体" w:eastAsia="宋体" w:cs="仿宋"/>
          <w:kern w:val="0"/>
          <w:sz w:val="24"/>
        </w:rPr>
      </w:pPr>
      <w:r>
        <w:rPr>
          <w:rFonts w:hint="eastAsia" w:ascii="宋体" w:hAnsi="宋体" w:eastAsia="宋体" w:cs="仿宋"/>
          <w:sz w:val="24"/>
        </w:rPr>
        <w:t>4.1.4.2</w:t>
      </w:r>
      <w:r>
        <w:rPr>
          <w:rFonts w:hint="eastAsia" w:ascii="宋体" w:hAnsi="宋体" w:eastAsia="宋体" w:cs="仿宋"/>
          <w:kern w:val="0"/>
          <w:sz w:val="24"/>
        </w:rPr>
        <w:t>采集接口数据设计</w:t>
      </w:r>
    </w:p>
    <w:p>
      <w:pPr>
        <w:spacing w:line="400" w:lineRule="exact"/>
        <w:ind w:firstLine="480" w:firstLineChars="200"/>
        <w:rPr>
          <w:rFonts w:ascii="宋体" w:hAnsi="宋体" w:cs="仿宋"/>
          <w:sz w:val="24"/>
        </w:rPr>
      </w:pPr>
      <w:r>
        <w:rPr>
          <w:rFonts w:hint="eastAsia" w:ascii="宋体" w:hAnsi="宋体" w:cs="仿宋"/>
          <w:sz w:val="24"/>
        </w:rPr>
        <w:t>根据项目实际情况，平台直接通过接口实现外网实时消息主动推送到政务专网消息服务器上。对具备数据交互接口的IT系统/前置机，能适应其数据传输的接口规范，包括常见REST、HTTP、Webservice 接口API。</w:t>
      </w:r>
    </w:p>
    <w:p>
      <w:pPr>
        <w:spacing w:line="400" w:lineRule="exact"/>
        <w:ind w:firstLine="480" w:firstLineChars="200"/>
        <w:rPr>
          <w:rFonts w:ascii="宋体" w:hAnsi="宋体" w:cs="仿宋"/>
          <w:sz w:val="24"/>
        </w:rPr>
      </w:pPr>
      <w:r>
        <w:rPr>
          <w:rFonts w:hint="eastAsia" w:ascii="宋体" w:hAnsi="宋体" w:cs="仿宋"/>
          <w:sz w:val="24"/>
        </w:rPr>
        <w:t>为解决各委办局、政府部门及相关社会机构等部门的接口数据采集问题，实现社会数据资源的整合，需要采用成熟的跨网络数据交换技术。在跨网络的数据交换过程中，涉及到硬件及软件两个层面的各种技术，还需要解决数据的安全性问题，其流程较复杂，对稳定性要求高，也涉及大量核心技术。</w:t>
      </w:r>
    </w:p>
    <w:p>
      <w:pPr>
        <w:pStyle w:val="7"/>
        <w:numPr>
          <w:ilvl w:val="3"/>
          <w:numId w:val="0"/>
        </w:numPr>
        <w:spacing w:line="400" w:lineRule="exact"/>
        <w:ind w:left="864" w:hanging="864"/>
        <w:rPr>
          <w:rFonts w:ascii="宋体" w:hAnsi="宋体" w:eastAsia="宋体" w:cs="仿宋"/>
          <w:kern w:val="0"/>
          <w:sz w:val="24"/>
        </w:rPr>
      </w:pPr>
      <w:r>
        <w:rPr>
          <w:rFonts w:hint="eastAsia" w:ascii="宋体" w:hAnsi="宋体" w:eastAsia="宋体" w:cs="仿宋"/>
          <w:sz w:val="24"/>
        </w:rPr>
        <w:t>4.1.4.3</w:t>
      </w:r>
      <w:r>
        <w:rPr>
          <w:rFonts w:hint="eastAsia" w:ascii="宋体" w:hAnsi="宋体" w:eastAsia="宋体" w:cs="仿宋"/>
          <w:bCs/>
          <w:sz w:val="24"/>
        </w:rPr>
        <w:t>定制化数据采集设计</w:t>
      </w:r>
    </w:p>
    <w:p>
      <w:pPr>
        <w:spacing w:line="400" w:lineRule="exact"/>
        <w:ind w:firstLine="480" w:firstLineChars="200"/>
        <w:rPr>
          <w:rFonts w:ascii="宋体" w:hAnsi="宋体" w:cs="仿宋"/>
          <w:sz w:val="24"/>
        </w:rPr>
      </w:pPr>
      <w:r>
        <w:rPr>
          <w:rFonts w:hint="eastAsia" w:ascii="宋体" w:hAnsi="宋体" w:cs="仿宋"/>
          <w:sz w:val="24"/>
        </w:rPr>
        <w:t>支持WEB页面的定制化数据采集：系统提供自定义表单的功能，以满足各数据源单位数据填报的需要。</w:t>
      </w:r>
    </w:p>
    <w:p>
      <w:pPr>
        <w:pStyle w:val="7"/>
        <w:numPr>
          <w:ilvl w:val="3"/>
          <w:numId w:val="0"/>
        </w:numPr>
        <w:spacing w:line="400" w:lineRule="exact"/>
        <w:ind w:left="864" w:hanging="864"/>
        <w:rPr>
          <w:rFonts w:ascii="宋体" w:hAnsi="宋体" w:eastAsia="宋体" w:cs="仿宋"/>
          <w:bCs/>
          <w:sz w:val="24"/>
        </w:rPr>
      </w:pPr>
      <w:r>
        <w:rPr>
          <w:rFonts w:hint="eastAsia" w:ascii="宋体" w:hAnsi="宋体" w:eastAsia="宋体" w:cs="仿宋"/>
          <w:sz w:val="24"/>
        </w:rPr>
        <w:t>4.1.4.4FTP文件接口采集设计</w:t>
      </w:r>
    </w:p>
    <w:p>
      <w:pPr>
        <w:spacing w:line="400" w:lineRule="exact"/>
        <w:ind w:firstLine="480" w:firstLineChars="200"/>
        <w:rPr>
          <w:rFonts w:ascii="宋体" w:hAnsi="宋体" w:cs="仿宋"/>
          <w:sz w:val="24"/>
        </w:rPr>
      </w:pPr>
      <w:r>
        <w:rPr>
          <w:rFonts w:hint="eastAsia" w:ascii="宋体" w:hAnsi="宋体" w:cs="仿宋"/>
          <w:sz w:val="24"/>
        </w:rPr>
        <w:t>TP文件接口采集：能配置FTP连接参数，支持的文件格式包括预定义格式文本文件、CSV文件、Excel文件、固定宽度格式文件。</w:t>
      </w:r>
    </w:p>
    <w:p>
      <w:pPr>
        <w:spacing w:line="400" w:lineRule="exact"/>
        <w:ind w:firstLine="480" w:firstLineChars="200"/>
        <w:rPr>
          <w:rFonts w:ascii="宋体" w:hAnsi="宋体" w:cs="仿宋"/>
          <w:sz w:val="24"/>
        </w:rPr>
      </w:pPr>
      <w:r>
        <w:rPr>
          <w:rFonts w:hint="eastAsia" w:ascii="宋体" w:hAnsi="宋体" w:cs="仿宋"/>
          <w:sz w:val="24"/>
        </w:rPr>
        <w:t>文件传输主要用于工作文件、音视频文件、图片等多种文件，并提供传输管理功能。</w:t>
      </w:r>
    </w:p>
    <w:p>
      <w:pPr>
        <w:spacing w:line="400" w:lineRule="exact"/>
        <w:ind w:firstLine="480" w:firstLineChars="200"/>
        <w:rPr>
          <w:rFonts w:ascii="宋体" w:hAnsi="宋体" w:cs="仿宋"/>
          <w:sz w:val="24"/>
        </w:rPr>
      </w:pPr>
      <w:r>
        <w:rPr>
          <w:rFonts w:hint="eastAsia" w:ascii="宋体" w:hAnsi="宋体" w:cs="仿宋"/>
          <w:sz w:val="24"/>
        </w:rPr>
        <w:t>需支持各种文件（包括工作文件、视音频、图片等）的传输，提供WEB管理界面，支持查看统计和配置管理。</w:t>
      </w:r>
    </w:p>
    <w:p>
      <w:pPr>
        <w:spacing w:line="400" w:lineRule="exact"/>
        <w:ind w:firstLine="480" w:firstLineChars="200"/>
        <w:rPr>
          <w:rFonts w:ascii="宋体" w:hAnsi="宋体" w:cs="仿宋"/>
          <w:sz w:val="24"/>
        </w:rPr>
      </w:pPr>
      <w:r>
        <w:rPr>
          <w:rFonts w:hint="eastAsia" w:ascii="宋体" w:hAnsi="宋体" w:cs="仿宋"/>
          <w:sz w:val="24"/>
        </w:rPr>
        <w:t>借助文件传输平台，用户无需进行任何编码，只需在本系统中配置源路径和目标路径，就可以轻松实现不同节点间的文件的安全、可靠、高效传输。</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4.1.4.5互联网数据网络爬虫采集技术设计</w:t>
      </w:r>
    </w:p>
    <w:p>
      <w:pPr>
        <w:spacing w:line="400" w:lineRule="exact"/>
        <w:ind w:firstLine="480" w:firstLineChars="200"/>
        <w:rPr>
          <w:rFonts w:ascii="宋体" w:hAnsi="宋体" w:cs="仿宋"/>
          <w:sz w:val="24"/>
        </w:rPr>
      </w:pPr>
      <w:r>
        <w:rPr>
          <w:rFonts w:hint="eastAsia" w:ascii="宋体" w:hAnsi="宋体" w:cs="仿宋"/>
          <w:sz w:val="24"/>
        </w:rPr>
        <w:t>针对于农产品价格、电商数据、统计局等互联网公开涉农数据，需要通过网络爬取的技术进行采集。</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4.1.4.6物联网数据接入</w:t>
      </w:r>
    </w:p>
    <w:p>
      <w:pPr>
        <w:spacing w:line="400" w:lineRule="exact"/>
        <w:ind w:firstLine="480" w:firstLineChars="200"/>
        <w:rPr>
          <w:rFonts w:ascii="宋体" w:hAnsi="宋体" w:cs="仿宋"/>
          <w:sz w:val="24"/>
        </w:rPr>
      </w:pPr>
      <w:r>
        <w:rPr>
          <w:rFonts w:hint="eastAsia" w:ascii="宋体" w:hAnsi="宋体" w:cs="仿宋"/>
          <w:sz w:val="24"/>
        </w:rPr>
        <w:t>大数据中心支持通过分布式消息队列获取物联网数据，并根据映射关系加载到数据库中进行存储，也支持通过分布式消息队列获取物联网数据后，用于Spark Streaming 实时流框架处理。</w:t>
      </w:r>
    </w:p>
    <w:p>
      <w:pPr>
        <w:spacing w:line="400" w:lineRule="exact"/>
        <w:ind w:firstLine="480" w:firstLineChars="200"/>
        <w:rPr>
          <w:rFonts w:ascii="宋体" w:hAnsi="宋体" w:cs="仿宋"/>
          <w:sz w:val="24"/>
        </w:rPr>
      </w:pPr>
      <w:r>
        <w:rPr>
          <w:rFonts w:hint="eastAsia" w:ascii="宋体" w:hAnsi="宋体" w:cs="仿宋"/>
          <w:sz w:val="24"/>
        </w:rPr>
        <w:t>农业物联网数据主要包括生产环境数据（空气温湿度、风速风向、土壤温度、土壤湿度、降水量等）等。</w:t>
      </w:r>
    </w:p>
    <w:p>
      <w:pPr>
        <w:spacing w:line="400" w:lineRule="exact"/>
        <w:ind w:firstLine="480" w:firstLineChars="200"/>
        <w:rPr>
          <w:rFonts w:ascii="宋体" w:hAnsi="宋体" w:cs="仿宋"/>
          <w:sz w:val="24"/>
        </w:rPr>
      </w:pPr>
      <w:r>
        <w:rPr>
          <w:rFonts w:hint="eastAsia" w:ascii="宋体" w:hAnsi="宋体" w:cs="仿宋"/>
          <w:sz w:val="24"/>
        </w:rPr>
        <w:t>通过墒情自动监测系统针对土壤水分含量进行监测；通过在场区布置的多套环境传感器进行数据采集对苗情灾情一体化自动监测；通过虫情信息采集设备、病菌孢子捕捉培养系统、环境监测设备、以及预警预报系统、专家系统、信息管理平台实现虫情自动监测。</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4.1.4.7</w:t>
      </w:r>
      <w:r>
        <w:rPr>
          <w:rFonts w:hint="eastAsia" w:ascii="宋体" w:hAnsi="宋体" w:eastAsia="宋体" w:cs="仿宋"/>
          <w:bCs/>
          <w:sz w:val="24"/>
        </w:rPr>
        <w:t>卫星遥感数据采集模块设计</w:t>
      </w:r>
    </w:p>
    <w:p>
      <w:pPr>
        <w:spacing w:line="400" w:lineRule="exact"/>
        <w:ind w:firstLine="480" w:firstLineChars="200"/>
        <w:jc w:val="left"/>
        <w:rPr>
          <w:rFonts w:ascii="宋体" w:hAnsi="宋体" w:cs="仿宋"/>
          <w:sz w:val="24"/>
        </w:rPr>
      </w:pPr>
      <w:r>
        <w:rPr>
          <w:rFonts w:hint="eastAsia" w:ascii="宋体" w:hAnsi="宋体" w:cs="仿宋"/>
          <w:sz w:val="24"/>
        </w:rPr>
        <w:t xml:space="preserve">以遥感技术为基础性技术，通过山核桃产业资源的数字化、生态适宜性的评价、植被覆盖的动态变化分析和水土流失分析，最终为山核桃产业规划、生态治理、金融价值体现提供决策依据。 </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4.1.5投入品管理系统</w:t>
      </w:r>
    </w:p>
    <w:p>
      <w:pPr>
        <w:spacing w:line="400" w:lineRule="exact"/>
        <w:ind w:firstLine="480" w:firstLineChars="200"/>
        <w:jc w:val="left"/>
        <w:rPr>
          <w:rFonts w:ascii="宋体" w:hAnsi="宋体" w:cs="仿宋"/>
          <w:sz w:val="24"/>
        </w:rPr>
      </w:pPr>
      <w:r>
        <w:rPr>
          <w:rFonts w:hint="eastAsia" w:ascii="宋体" w:hAnsi="宋体" w:cs="仿宋"/>
          <w:sz w:val="24"/>
        </w:rPr>
        <w:t>使用主体：农业农村局相关业务科室。接入临安区执法大队的投入品“两制”监管系统（农药实名制、化肥定额制），规范农业投入品（尤其是草甘膦）的经营、采购、库存及使用，对接获取建立农资大数据，并对山核桃主产区投入品数据挖掘分析，数据主要包括生产经营主体数据、农资产品品目数据、农资进销存数据、农资检测数据、诚信数据、农资监督检查数据等，并形成投入品在山核桃主产区的“二减”趋势图。</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4.1.5.1生产经营主体数据分析</w:t>
      </w:r>
    </w:p>
    <w:p>
      <w:pPr>
        <w:spacing w:line="400" w:lineRule="exact"/>
        <w:ind w:firstLine="480" w:firstLineChars="200"/>
        <w:jc w:val="left"/>
        <w:rPr>
          <w:rFonts w:ascii="宋体" w:hAnsi="宋体" w:cs="仿宋"/>
          <w:sz w:val="24"/>
        </w:rPr>
      </w:pPr>
      <w:r>
        <w:rPr>
          <w:rFonts w:hint="eastAsia" w:ascii="宋体" w:hAnsi="宋体" w:cs="仿宋"/>
          <w:sz w:val="24"/>
        </w:rPr>
        <w:t>建立农资生产经营主体信息数据库，内容包括名称、地址、法人代表、联系电话、营业执照编号、经营许可证编号等，实现对全区农资经营企业档案的电子化管理。平台还提供对农资经营企业档案按名称、营业执照等条件进行查询以及报表输出、打印等管理功能。</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4.1.5.2农资产品品目数据分析</w:t>
      </w:r>
    </w:p>
    <w:p>
      <w:pPr>
        <w:spacing w:line="400" w:lineRule="exact"/>
        <w:ind w:firstLine="480" w:firstLineChars="200"/>
        <w:jc w:val="left"/>
        <w:rPr>
          <w:rFonts w:ascii="宋体" w:hAnsi="宋体" w:cs="仿宋"/>
          <w:sz w:val="24"/>
        </w:rPr>
      </w:pPr>
      <w:r>
        <w:rPr>
          <w:rFonts w:hint="eastAsia" w:ascii="宋体" w:hAnsi="宋体" w:cs="仿宋"/>
          <w:sz w:val="24"/>
        </w:rPr>
        <w:t>建立农资产品准入信息数据库，内容包括产品名称、产品类型、生产厂家、剂型、毒性、有效成分及含量等，实现对全区农资产品名录的电子化管理。平台还提供对按产品名称等条件进行查询以及报表输出、打印等管理功能。</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4.1.5.3假劣农资产品数据分析</w:t>
      </w:r>
    </w:p>
    <w:p>
      <w:pPr>
        <w:spacing w:line="400" w:lineRule="exact"/>
        <w:ind w:firstLine="480" w:firstLineChars="200"/>
        <w:jc w:val="left"/>
        <w:rPr>
          <w:rFonts w:ascii="宋体" w:hAnsi="宋体" w:cs="仿宋"/>
          <w:sz w:val="24"/>
        </w:rPr>
      </w:pPr>
      <w:r>
        <w:rPr>
          <w:rFonts w:hint="eastAsia" w:ascii="宋体" w:hAnsi="宋体" w:cs="仿宋"/>
          <w:sz w:val="24"/>
        </w:rPr>
        <w:t xml:space="preserve">对区内外发现的假劣或疑似假劣农资产品数据进行统一管理，并通过农资监管及服务平台向监管部门及经营主体发起警示。 </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4.1.5.4采购数据分析</w:t>
      </w:r>
    </w:p>
    <w:p>
      <w:pPr>
        <w:spacing w:line="400" w:lineRule="exact"/>
        <w:ind w:firstLine="480" w:firstLineChars="200"/>
        <w:jc w:val="left"/>
        <w:rPr>
          <w:rFonts w:ascii="宋体" w:hAnsi="宋体" w:cs="仿宋"/>
          <w:sz w:val="24"/>
        </w:rPr>
      </w:pPr>
      <w:r>
        <w:rPr>
          <w:rFonts w:hint="eastAsia" w:ascii="宋体" w:hAnsi="宋体" w:cs="仿宋"/>
          <w:sz w:val="24"/>
        </w:rPr>
        <w:t>对农资经营门店的采购数据进行统计，可按照门店、农资产品品目等维度进行统计。</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4.1.5.5销售数据分析</w:t>
      </w:r>
    </w:p>
    <w:p>
      <w:pPr>
        <w:spacing w:line="400" w:lineRule="exact"/>
        <w:ind w:firstLine="480" w:firstLineChars="200"/>
        <w:jc w:val="left"/>
        <w:rPr>
          <w:rFonts w:ascii="宋体" w:hAnsi="宋体" w:cs="仿宋"/>
          <w:sz w:val="24"/>
        </w:rPr>
      </w:pPr>
      <w:r>
        <w:rPr>
          <w:rFonts w:hint="eastAsia" w:ascii="宋体" w:hAnsi="宋体" w:cs="仿宋"/>
          <w:sz w:val="24"/>
        </w:rPr>
        <w:t>对农资经营门店的销售数据进行统计，可按照门店、农资产品品目等维度进行统计。</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4.1.5.6库存数据分析</w:t>
      </w:r>
    </w:p>
    <w:p>
      <w:pPr>
        <w:spacing w:line="400" w:lineRule="exact"/>
        <w:ind w:firstLine="480" w:firstLineChars="200"/>
        <w:jc w:val="left"/>
        <w:rPr>
          <w:rFonts w:ascii="宋体" w:hAnsi="宋体" w:cs="仿宋"/>
          <w:sz w:val="24"/>
        </w:rPr>
      </w:pPr>
      <w:r>
        <w:rPr>
          <w:rFonts w:hint="eastAsia" w:ascii="宋体" w:hAnsi="宋体" w:cs="仿宋"/>
          <w:sz w:val="24"/>
        </w:rPr>
        <w:t>对农资经营门店的库存数据进行统计，可按照门店、农资产品品目等维度进行统计。</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4.1.5.7检测数据分析</w:t>
      </w:r>
    </w:p>
    <w:p>
      <w:pPr>
        <w:spacing w:line="400" w:lineRule="exact"/>
        <w:ind w:firstLine="480" w:firstLineChars="200"/>
        <w:jc w:val="left"/>
        <w:rPr>
          <w:rFonts w:ascii="宋体" w:hAnsi="宋体" w:cs="仿宋"/>
          <w:sz w:val="24"/>
        </w:rPr>
      </w:pPr>
      <w:r>
        <w:rPr>
          <w:rFonts w:hint="eastAsia" w:ascii="宋体" w:hAnsi="宋体" w:cs="仿宋"/>
          <w:sz w:val="24"/>
        </w:rPr>
        <w:t>对农资的检测数据进行统计，可按农资产品全品类、单一品目等维度进行统计。</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4.1.5.8监督检查数据分析</w:t>
      </w:r>
    </w:p>
    <w:p>
      <w:pPr>
        <w:spacing w:line="400" w:lineRule="exact"/>
        <w:ind w:firstLine="480" w:firstLineChars="200"/>
        <w:jc w:val="left"/>
        <w:rPr>
          <w:rFonts w:ascii="宋体" w:hAnsi="宋体" w:cs="仿宋"/>
          <w:sz w:val="24"/>
        </w:rPr>
      </w:pPr>
      <w:r>
        <w:rPr>
          <w:rFonts w:hint="eastAsia" w:ascii="宋体" w:hAnsi="宋体" w:cs="仿宋"/>
          <w:sz w:val="24"/>
        </w:rPr>
        <w:t>对区域内农资监督检查及案件查处情况进行统计，并按要求生成月度、季度、年度监督检查数据库。</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4.1.5.9信用数据分析</w:t>
      </w:r>
    </w:p>
    <w:p>
      <w:pPr>
        <w:spacing w:line="400" w:lineRule="exact"/>
        <w:ind w:firstLine="480" w:firstLineChars="200"/>
        <w:jc w:val="left"/>
        <w:rPr>
          <w:rFonts w:ascii="宋体" w:hAnsi="宋体" w:cs="仿宋"/>
          <w:sz w:val="24"/>
        </w:rPr>
      </w:pPr>
      <w:r>
        <w:rPr>
          <w:rFonts w:hint="eastAsia" w:ascii="宋体" w:hAnsi="宋体" w:cs="仿宋"/>
          <w:sz w:val="24"/>
        </w:rPr>
        <w:t>对区内外发现的存在违法情况的农资生产主体或经营主体进行统一管理，建立农资企业黑名单，并通过农资监管及服务平台向监管部门、经营主体发起警示。</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4.1.6农事管理系统</w:t>
      </w:r>
    </w:p>
    <w:p>
      <w:pPr>
        <w:spacing w:line="400" w:lineRule="exact"/>
        <w:ind w:firstLine="480" w:firstLineChars="200"/>
        <w:jc w:val="left"/>
        <w:rPr>
          <w:rFonts w:ascii="宋体" w:hAnsi="宋体" w:cs="仿宋"/>
          <w:sz w:val="24"/>
        </w:rPr>
      </w:pPr>
      <w:r>
        <w:rPr>
          <w:rFonts w:hint="eastAsia" w:ascii="宋体" w:hAnsi="宋体" w:cs="仿宋"/>
          <w:sz w:val="24"/>
        </w:rPr>
        <w:t>使用主体：规模生产主体。基于区块链技术，搭建生产主体农事管理系统，对生产计划、农业生产资料、农事、进销存、员工管理等环节进行在线管理，掌握实时生产情况。为200亩以上规模大户提供农事作业支持。基于GIS的数字农业生产服务系统，通过提供数字农业新农具服务，一方面为政府部门提供全区重点龙头农业主体的生产管理服务，另一方面为园区生产者农民提供手机新农具的生产经营信息服务，提升农业生产经营和管理服务的数字化水平。</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4.1.6.1农场地图管理</w:t>
      </w:r>
    </w:p>
    <w:p>
      <w:pPr>
        <w:spacing w:line="400" w:lineRule="exact"/>
        <w:ind w:firstLine="480" w:firstLineChars="200"/>
        <w:jc w:val="left"/>
        <w:rPr>
          <w:rFonts w:ascii="宋体" w:hAnsi="宋体" w:cs="仿宋"/>
          <w:sz w:val="24"/>
        </w:rPr>
      </w:pPr>
      <w:r>
        <w:rPr>
          <w:rFonts w:hint="eastAsia" w:ascii="宋体" w:hAnsi="宋体" w:cs="仿宋"/>
          <w:sz w:val="24"/>
        </w:rPr>
        <w:t>农场地图主要面向全区农业规模企业主体（200亩以上）提供基于GIS的农场地图服务，主要包括农场基本信息、农田地块分布、作物生产分布、农业设施分布等时空数据服务。通过农场地图，可以直观查看各个基地的基本信息、地块资产、设施资产以及详细种植信息，实现数字化管理。</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4.1.6.2种植规划管理</w:t>
      </w:r>
    </w:p>
    <w:p>
      <w:pPr>
        <w:spacing w:line="400" w:lineRule="exact"/>
        <w:ind w:firstLine="480" w:firstLineChars="200"/>
        <w:jc w:val="left"/>
        <w:rPr>
          <w:rFonts w:ascii="宋体" w:hAnsi="宋体" w:cs="仿宋"/>
          <w:sz w:val="24"/>
        </w:rPr>
      </w:pPr>
      <w:r>
        <w:rPr>
          <w:rFonts w:hint="eastAsia" w:ascii="宋体" w:hAnsi="宋体" w:cs="仿宋"/>
          <w:sz w:val="24"/>
        </w:rPr>
        <w:t>种植规划包括操作规程和种植计划两个功能，为农业主体提供主要农产品的标准化操作规程，并提供数字化的种植计划工具。</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4.1.6.3生产管理管理</w:t>
      </w:r>
    </w:p>
    <w:p>
      <w:pPr>
        <w:spacing w:line="400" w:lineRule="exact"/>
        <w:ind w:firstLine="480" w:firstLineChars="200"/>
        <w:jc w:val="left"/>
        <w:rPr>
          <w:rFonts w:ascii="宋体" w:hAnsi="宋体" w:cs="仿宋"/>
          <w:sz w:val="24"/>
        </w:rPr>
      </w:pPr>
      <w:r>
        <w:rPr>
          <w:rFonts w:hint="eastAsia" w:ascii="宋体" w:hAnsi="宋体" w:cs="仿宋"/>
          <w:sz w:val="24"/>
        </w:rPr>
        <w:t>生产管理为基地生产管理人员提供农田笔记、长势监测、气象服务、环境监测等生产管理服务，实现基地生产环境、作物生产操作的数字化记录，为生产档案和产品溯源提供数据基础。</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4.1.6.4履历档案管理</w:t>
      </w:r>
    </w:p>
    <w:p>
      <w:pPr>
        <w:spacing w:line="400" w:lineRule="exact"/>
        <w:ind w:firstLine="480" w:firstLineChars="200"/>
        <w:jc w:val="left"/>
        <w:rPr>
          <w:rFonts w:ascii="宋体" w:hAnsi="宋体" w:cs="仿宋"/>
          <w:sz w:val="24"/>
        </w:rPr>
      </w:pPr>
      <w:r>
        <w:rPr>
          <w:rFonts w:hint="eastAsia" w:ascii="宋体" w:hAnsi="宋体" w:cs="仿宋"/>
          <w:sz w:val="24"/>
        </w:rPr>
        <w:t>履历档案将生产管理的记录形成数字化档案，包括农产品生产关键环节施肥、浇水、打药等农事操作的数字化管理,履历档案支持按地块、按批次的档案管理，支持与已有质量溯源系统的追溯信息对接，为溯源提供真实可靠的地块信息、生产操作信息等服务。</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4.1.6.5系统数据管理</w:t>
      </w:r>
    </w:p>
    <w:p>
      <w:pPr>
        <w:spacing w:line="400" w:lineRule="exact"/>
        <w:ind w:firstLine="480" w:firstLineChars="200"/>
        <w:jc w:val="left"/>
        <w:rPr>
          <w:rFonts w:ascii="宋体" w:hAnsi="宋体" w:cs="仿宋"/>
          <w:sz w:val="24"/>
        </w:rPr>
      </w:pPr>
      <w:r>
        <w:rPr>
          <w:rFonts w:hint="eastAsia" w:ascii="宋体" w:hAnsi="宋体" w:cs="仿宋"/>
          <w:sz w:val="24"/>
        </w:rPr>
        <w:t>数据管理为农业生产信息管理系统提供必要的基础数据管理，包括种植的地块单元、农资投入品、人员、设备、数据等生产要素的统一管理。</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4.1.6.6系统用户管理</w:t>
      </w:r>
    </w:p>
    <w:p>
      <w:pPr>
        <w:spacing w:line="400" w:lineRule="exact"/>
        <w:ind w:firstLine="480" w:firstLineChars="200"/>
        <w:jc w:val="left"/>
        <w:rPr>
          <w:rFonts w:ascii="宋体" w:hAnsi="宋体" w:cs="仿宋"/>
          <w:sz w:val="24"/>
        </w:rPr>
      </w:pPr>
      <w:r>
        <w:rPr>
          <w:rFonts w:hint="eastAsia" w:ascii="宋体" w:hAnsi="宋体" w:cs="仿宋"/>
          <w:sz w:val="24"/>
        </w:rPr>
        <w:t>为平台用户提供了公司级架构管理、人员结构的管理，可通过此模块配置参与系统的身份信息，保护用户管理和权限管理。</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4.1.7产业模型系统</w:t>
      </w:r>
    </w:p>
    <w:p>
      <w:pPr>
        <w:spacing w:line="400" w:lineRule="exact"/>
        <w:ind w:firstLine="480" w:firstLineChars="200"/>
        <w:jc w:val="left"/>
        <w:rPr>
          <w:rFonts w:ascii="宋体" w:hAnsi="宋体" w:cs="仿宋"/>
          <w:sz w:val="24"/>
        </w:rPr>
      </w:pPr>
      <w:r>
        <w:rPr>
          <w:rFonts w:hint="eastAsia" w:ascii="宋体" w:hAnsi="宋体" w:cs="仿宋"/>
          <w:sz w:val="24"/>
        </w:rPr>
        <w:t>使用主体：农业农村局，为嵌入式应用，为其他数据分析应用提供基础支持。建立临安山核桃产业模型，服务于临安山核桃生态化治理。优化山核桃综合指数模型，包括环境指数、生产指数、品质指数、市场指数（如产量预估模型，根据气象数据、遥感监测数据进行产量预估；定价模型，根据产量、库存量、农资价格等因素进行建模分析，来预估今年的山核桃价格；山核桃原料品质模型，通过空籽率、饱满度、黑斑病、颗粒大小等维度分析；品牌价值模型，根据市场知名度、市场占有率、服务、管理机制等品牌评价各指标进行分析）；森林空间结构模型，从森林资源大数据库中提取基础资源档案数据，构建生物多样性指数、均匀度、集聚度等模型，用于揭示森林质量和森林结构的优劣；生态适宜性评价模型，实现退果还林及山核桃林改造及分类经营方案决策指导；干腐病发生机制及绿色防治模型，根据气象监测数据、土壤数据进行干腐病、根腐病发生机制的分析，同时根据病虫害各因子进行绿色防治模型建立，提出诊断治疗方案；灾害监测模型，通过对自然灾害监测和针对山核桃的病虫害监测来建模分析；山核桃虚拟生长模型，根据山核桃树龄，对山核桃树树高、冠幅、生物量等因子进行测量和计算，搭建山核桃虚拟生长模型。</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4.1.7.1综合指数模型</w:t>
      </w:r>
    </w:p>
    <w:p>
      <w:pPr>
        <w:spacing w:line="400" w:lineRule="exact"/>
        <w:ind w:firstLine="480" w:firstLineChars="200"/>
        <w:jc w:val="left"/>
        <w:rPr>
          <w:rFonts w:ascii="宋体" w:hAnsi="宋体" w:cs="仿宋"/>
          <w:sz w:val="24"/>
        </w:rPr>
      </w:pPr>
      <w:r>
        <w:rPr>
          <w:rFonts w:hint="eastAsia" w:ascii="宋体" w:hAnsi="宋体" w:cs="仿宋"/>
          <w:sz w:val="24"/>
        </w:rPr>
        <w:t>临安山核桃综合指数模型，是运用现代统计指数理论和方法，通过对反映山核桃产业发展态势的相关数据进行调查采集、定量检测、建模分析等综合性科学计算，得出的一系列量化指标。它能更加准确地反映临安山核桃产业态势，指导企业生产，引导健康消费。</w:t>
      </w:r>
    </w:p>
    <w:p>
      <w:pPr>
        <w:spacing w:line="400" w:lineRule="exact"/>
        <w:ind w:firstLine="480" w:firstLineChars="200"/>
        <w:jc w:val="left"/>
        <w:rPr>
          <w:rFonts w:ascii="宋体" w:hAnsi="宋体" w:cs="仿宋"/>
          <w:sz w:val="24"/>
        </w:rPr>
      </w:pPr>
      <w:r>
        <w:rPr>
          <w:rFonts w:hint="eastAsia" w:ascii="宋体" w:hAnsi="宋体" w:cs="仿宋"/>
          <w:sz w:val="24"/>
        </w:rPr>
        <w:t xml:space="preserve">临安山核桃综合指数体系优化主要从现有的指数分析和指数编制两块内容的基础上开展实施，最终构建临安山核桃的综合指数体系。即通过对环境指数、品质指数（外观指数和品质指数）、生产指数（产量指数）、市场指数（品牌指数）的采集、调查、分析、筛选等，形成一系列综合量化指标，即综合指数，最后通过官方信息平台进行发布交流。为政府决策、企业经营和居民消费提供客观参考，规避市场风险，维护市场平稳运行。 </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4.1.7.2森林空间结构模型</w:t>
      </w:r>
    </w:p>
    <w:p>
      <w:pPr>
        <w:spacing w:line="400" w:lineRule="exact"/>
        <w:ind w:firstLine="480" w:firstLineChars="200"/>
        <w:jc w:val="left"/>
        <w:rPr>
          <w:rFonts w:ascii="宋体" w:hAnsi="宋体" w:cs="仿宋"/>
          <w:sz w:val="24"/>
        </w:rPr>
      </w:pPr>
      <w:r>
        <w:rPr>
          <w:rFonts w:hint="eastAsia" w:ascii="宋体" w:hAnsi="宋体" w:cs="仿宋"/>
          <w:sz w:val="24"/>
        </w:rPr>
        <w:t>运用GIS技术强大的空间分析功能及3D展示技术，研究森林空间结构特征，实现数据管理、森林业务相关的空间分析等模块的开发，从森林资源大数据库中提取基础资源档案数据，构建一套涵盖生物多样性指数、均匀度、集聚度等维度的模型，用于揭示森林质量和森林结构的优劣。此模型可用来评估山核桃生态结构，并为山核桃的生态化经营提出指导方案。</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4.1.7.3生态适宜性评价模型</w:t>
      </w:r>
    </w:p>
    <w:p>
      <w:pPr>
        <w:spacing w:line="400" w:lineRule="exact"/>
        <w:ind w:firstLine="480" w:firstLineChars="200"/>
        <w:jc w:val="left"/>
        <w:rPr>
          <w:rFonts w:ascii="宋体" w:hAnsi="宋体" w:cs="仿宋"/>
          <w:sz w:val="24"/>
        </w:rPr>
      </w:pPr>
      <w:r>
        <w:rPr>
          <w:rFonts w:hint="eastAsia" w:ascii="宋体" w:hAnsi="宋体" w:cs="仿宋"/>
          <w:sz w:val="24"/>
        </w:rPr>
        <w:t>临安区山核桃种植面积不断扩大，但由于地貌复杂、气候多变以及山核桃的区划不合理等原因，导致山核桃的产量和质量大幅度波动。因此对山核桃产区的气候、地形和土壤等环境条件进行种植适宜性综合性量化评价，合理安排山核桃的种植布局很有必要。</w:t>
      </w:r>
    </w:p>
    <w:p>
      <w:pPr>
        <w:spacing w:line="400" w:lineRule="exact"/>
        <w:ind w:firstLine="480" w:firstLineChars="200"/>
        <w:jc w:val="left"/>
        <w:rPr>
          <w:rFonts w:ascii="宋体" w:hAnsi="宋体" w:cs="仿宋"/>
          <w:sz w:val="24"/>
        </w:rPr>
      </w:pPr>
      <w:r>
        <w:rPr>
          <w:rFonts w:hint="eastAsia" w:ascii="宋体" w:hAnsi="宋体" w:cs="仿宋"/>
          <w:sz w:val="24"/>
        </w:rPr>
        <w:t>可利用GIS地理信息系统，从气候条件、地形条件、土壤条件和工程条件四个方面选取生态评价指标，建立临安区山核桃生态适宜性评价指标体系。其中气候条件、地形条件和土壤条件作为自然条件，可建立模型进行量化评价，工程条件属于人为条件，作为模型补充修正因子。</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4.1.7.4干腐病发生机制分析及绿色防治模型</w:t>
      </w:r>
    </w:p>
    <w:p>
      <w:pPr>
        <w:spacing w:line="400" w:lineRule="exact"/>
        <w:ind w:firstLine="480" w:firstLineChars="200"/>
        <w:jc w:val="left"/>
        <w:rPr>
          <w:rFonts w:ascii="宋体" w:hAnsi="宋体" w:cs="仿宋"/>
          <w:sz w:val="24"/>
        </w:rPr>
      </w:pPr>
      <w:r>
        <w:rPr>
          <w:rFonts w:hint="eastAsia" w:ascii="宋体" w:hAnsi="宋体" w:cs="仿宋"/>
          <w:sz w:val="24"/>
        </w:rPr>
        <w:t>山核桃根腐病和干腐病是核桃生长期间出现的一种病害，严重影响了山核桃的正常生长，降低了山核桃的品质和产量，给农户们造成了极大的损失。</w:t>
      </w:r>
    </w:p>
    <w:p>
      <w:pPr>
        <w:spacing w:line="400" w:lineRule="exact"/>
        <w:ind w:firstLine="480" w:firstLineChars="200"/>
        <w:jc w:val="left"/>
        <w:rPr>
          <w:rFonts w:ascii="宋体" w:hAnsi="宋体" w:cs="仿宋"/>
          <w:sz w:val="24"/>
        </w:rPr>
      </w:pPr>
      <w:r>
        <w:rPr>
          <w:rFonts w:hint="eastAsia" w:ascii="宋体" w:hAnsi="宋体" w:cs="仿宋"/>
          <w:sz w:val="24"/>
        </w:rPr>
        <w:t>基于山核桃根腐病和干腐病发病原理及外部影响发病因子，通过建立山核桃根腐病和干腐病发生机制模型，绘制疾病的发生趋势图，通过该模型可预判核桃树的生长趋势，同时起到预警的作用，有效提高农户抗病、抗灾能力，提高山核桃质量和产量。</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4.1.7.5灾害监测模型</w:t>
      </w:r>
    </w:p>
    <w:p>
      <w:pPr>
        <w:spacing w:line="400" w:lineRule="exact"/>
        <w:ind w:firstLine="480" w:firstLineChars="200"/>
        <w:jc w:val="left"/>
        <w:rPr>
          <w:rFonts w:ascii="宋体" w:hAnsi="宋体" w:cs="仿宋"/>
          <w:sz w:val="24"/>
        </w:rPr>
      </w:pPr>
      <w:r>
        <w:rPr>
          <w:rFonts w:hint="eastAsia" w:ascii="宋体" w:hAnsi="宋体" w:cs="仿宋"/>
          <w:sz w:val="24"/>
        </w:rPr>
        <w:t>包括自然灾害监测和针对山核桃的病虫害监测。</w:t>
      </w:r>
    </w:p>
    <w:p>
      <w:pPr>
        <w:spacing w:line="400" w:lineRule="exact"/>
        <w:ind w:firstLine="480" w:firstLineChars="200"/>
        <w:jc w:val="left"/>
        <w:rPr>
          <w:rFonts w:ascii="宋体" w:hAnsi="宋体" w:cs="仿宋"/>
          <w:sz w:val="24"/>
        </w:rPr>
      </w:pPr>
      <w:r>
        <w:rPr>
          <w:rFonts w:hint="eastAsia" w:ascii="宋体" w:hAnsi="宋体" w:cs="仿宋"/>
          <w:sz w:val="24"/>
        </w:rPr>
        <w:t>以台风和地质灾害为主的气象灾害。通过灾害评价模型的建立，预报气象致灾因子的强度等级及分布范围，根据山核桃林地的生态脆弱性，来得出林地的风险指数，并最终进行网格化的量化评价。</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4.1.7.6虚拟生长模型</w:t>
      </w:r>
    </w:p>
    <w:p>
      <w:pPr>
        <w:spacing w:line="400" w:lineRule="exact"/>
        <w:ind w:firstLine="480" w:firstLineChars="200"/>
        <w:jc w:val="left"/>
        <w:rPr>
          <w:rFonts w:ascii="宋体" w:hAnsi="宋体" w:cs="仿宋"/>
          <w:sz w:val="24"/>
        </w:rPr>
      </w:pPr>
      <w:r>
        <w:rPr>
          <w:rFonts w:hint="eastAsia" w:ascii="宋体" w:hAnsi="宋体" w:cs="仿宋"/>
          <w:sz w:val="24"/>
        </w:rPr>
        <w:t>根据山核桃树龄，对山核桃树树高、冠幅、生物量等因子进行测量和计算，搭建山核桃虚拟生长模型。</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4.1.8全程追溯管理系统</w:t>
      </w:r>
    </w:p>
    <w:p>
      <w:pPr>
        <w:spacing w:line="400" w:lineRule="exact"/>
        <w:ind w:firstLine="480" w:firstLineChars="200"/>
        <w:jc w:val="left"/>
        <w:rPr>
          <w:rFonts w:ascii="宋体" w:hAnsi="宋体" w:cs="仿宋"/>
          <w:sz w:val="24"/>
        </w:rPr>
      </w:pPr>
      <w:r>
        <w:rPr>
          <w:rFonts w:hint="eastAsia" w:ascii="宋体" w:hAnsi="宋体" w:cs="仿宋"/>
          <w:sz w:val="24"/>
        </w:rPr>
        <w:t>使用主体：山核桃产业龙头企业。基于区块链技术，建立全程追溯管理系统，消费者可通过电话语音、网站、二维码扫描、触摸屏查询终端等途径凭借产品身份码进行质量安全保障信息查询，让消费者识别商品的品种、等级、原料来源、基地农事数据、加工数据、检测数据、物联网数据等全链条信息，打造消费信任桥梁，实现放心消费与忠诚营销，让消费者形成品牌认知。</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4.1.8.1全链数据采集</w:t>
      </w:r>
    </w:p>
    <w:p>
      <w:pPr>
        <w:spacing w:line="400" w:lineRule="exact"/>
        <w:ind w:firstLine="480" w:firstLineChars="200"/>
        <w:jc w:val="left"/>
        <w:rPr>
          <w:rFonts w:ascii="宋体" w:hAnsi="宋体" w:cs="仿宋"/>
          <w:sz w:val="24"/>
        </w:rPr>
      </w:pPr>
      <w:r>
        <w:rPr>
          <w:rFonts w:hint="eastAsia" w:ascii="宋体" w:hAnsi="宋体" w:cs="仿宋"/>
          <w:sz w:val="24"/>
        </w:rPr>
        <w:t>建立统一的山核桃种植追溯管理系统。划定特定区域（种植过程相同或统一划定的管辖区域，一般是以基地/地块为追溯单元）为追溯单元，一般情况下以地块作为一个批次，在每个种植基地，设立溯源信息网络采集站点。采集信息包括施肥信息、病虫害防治信息、农事操作，溯源信息形式包括文字、现场照片、现场视频等。</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4.1.8.2追溯标识管理</w:t>
      </w:r>
    </w:p>
    <w:p>
      <w:pPr>
        <w:spacing w:line="400" w:lineRule="exact"/>
        <w:ind w:firstLine="480" w:firstLineChars="200"/>
        <w:jc w:val="left"/>
        <w:rPr>
          <w:rFonts w:ascii="宋体" w:hAnsi="宋体" w:cs="仿宋"/>
          <w:sz w:val="24"/>
        </w:rPr>
      </w:pPr>
      <w:r>
        <w:rPr>
          <w:rFonts w:hint="eastAsia" w:ascii="宋体" w:hAnsi="宋体" w:cs="仿宋"/>
          <w:sz w:val="24"/>
        </w:rPr>
        <w:t>规范临安区山核桃追溯标识管理机制。以特点鲜明的二维码标识进行临安区山核桃追溯标识统一宣传，对临安区山核桃追溯标识的使用进行授权，并通过标识管理系统进行在线管理，实现对临安区山核桃防伪追溯标识的统一管理。</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4.1.8.3追溯查询管理</w:t>
      </w:r>
    </w:p>
    <w:p>
      <w:pPr>
        <w:spacing w:line="400" w:lineRule="exact"/>
        <w:ind w:firstLine="480" w:firstLineChars="200"/>
        <w:jc w:val="left"/>
        <w:rPr>
          <w:rFonts w:ascii="宋体" w:hAnsi="宋体" w:cs="仿宋"/>
          <w:sz w:val="24"/>
        </w:rPr>
      </w:pPr>
      <w:r>
        <w:rPr>
          <w:rFonts w:hint="eastAsia" w:ascii="宋体" w:hAnsi="宋体" w:cs="仿宋"/>
          <w:sz w:val="24"/>
        </w:rPr>
        <w:t>通过语音数据库与语音播报软件，将人工录制的语音内容与软件进行整合，消费者拨打专用的电话查询号码后，输入追溯条码信息，自动语音服务将对追溯信息进行播报；</w:t>
      </w:r>
    </w:p>
    <w:p>
      <w:pPr>
        <w:spacing w:line="400" w:lineRule="exact"/>
        <w:ind w:firstLine="480" w:firstLineChars="200"/>
        <w:jc w:val="left"/>
        <w:rPr>
          <w:rFonts w:ascii="宋体" w:hAnsi="宋体" w:cs="仿宋"/>
          <w:sz w:val="24"/>
        </w:rPr>
      </w:pPr>
      <w:r>
        <w:rPr>
          <w:rFonts w:hint="eastAsia" w:ascii="宋体" w:hAnsi="宋体" w:cs="仿宋"/>
          <w:sz w:val="24"/>
        </w:rPr>
        <w:t>建立追溯查询网站，网站对质量安全的基本情况进行展示，对企业的信息与多媒体内容进行展示，通过输入追溯号码，可以查询到追溯产品的企业信息、产品信息、批次信息与生产档案信息等全部内容；</w:t>
      </w:r>
    </w:p>
    <w:p>
      <w:pPr>
        <w:spacing w:line="400" w:lineRule="exact"/>
        <w:ind w:firstLine="480" w:firstLineChars="200"/>
        <w:jc w:val="left"/>
        <w:rPr>
          <w:rFonts w:ascii="宋体" w:hAnsi="宋体" w:cs="仿宋"/>
          <w:sz w:val="24"/>
        </w:rPr>
      </w:pPr>
      <w:r>
        <w:rPr>
          <w:rFonts w:hint="eastAsia" w:ascii="宋体" w:hAnsi="宋体" w:cs="仿宋"/>
          <w:sz w:val="24"/>
        </w:rPr>
        <w:t>消费者可以通过手机等扫描工具对标签的二维码进行扫描，可以查询到追溯产品的企业信息、产品信息、批次信息、生产档案、保质期和检测信息等全部内容；</w:t>
      </w:r>
    </w:p>
    <w:p>
      <w:pPr>
        <w:spacing w:line="400" w:lineRule="exact"/>
        <w:ind w:firstLine="480" w:firstLineChars="200"/>
        <w:jc w:val="left"/>
        <w:rPr>
          <w:rFonts w:ascii="宋体" w:hAnsi="宋体" w:cs="仿宋"/>
          <w:sz w:val="24"/>
        </w:rPr>
      </w:pPr>
      <w:r>
        <w:rPr>
          <w:rFonts w:hint="eastAsia" w:ascii="宋体" w:hAnsi="宋体" w:cs="仿宋"/>
          <w:sz w:val="24"/>
        </w:rPr>
        <w:t>在超市或者批发市场等场所，消费者可以通过触摸屏及其他终端方式进行产品查询，可以查询到追溯的企业信息、产品信息、批次信息与生产档案信息等全部内容。</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4.1.8.4码端数字营销管理</w:t>
      </w:r>
    </w:p>
    <w:p>
      <w:pPr>
        <w:spacing w:line="400" w:lineRule="exact"/>
        <w:ind w:firstLine="480" w:firstLineChars="200"/>
        <w:jc w:val="left"/>
        <w:rPr>
          <w:rFonts w:ascii="宋体" w:hAnsi="宋体" w:cs="仿宋"/>
          <w:sz w:val="24"/>
        </w:rPr>
      </w:pPr>
      <w:r>
        <w:rPr>
          <w:rFonts w:hint="eastAsia" w:ascii="宋体" w:hAnsi="宋体" w:cs="仿宋"/>
          <w:sz w:val="24"/>
        </w:rPr>
        <w:t>为每个包装产品加载产品身份证（追溯标签），一品一码，基于“码”的应用，进行红包植入式营销、会员积分制营销、实物礼品营销，引流消费者，提高黏性，推动产品营销。</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4.1.9产业监管系统</w:t>
      </w:r>
    </w:p>
    <w:p>
      <w:pPr>
        <w:spacing w:line="400" w:lineRule="exact"/>
        <w:ind w:firstLine="480" w:firstLineChars="200"/>
        <w:jc w:val="left"/>
        <w:rPr>
          <w:rFonts w:ascii="宋体" w:hAnsi="宋体" w:cs="仿宋"/>
          <w:b/>
          <w:bCs/>
          <w:sz w:val="24"/>
        </w:rPr>
      </w:pPr>
      <w:r>
        <w:rPr>
          <w:rFonts w:hint="eastAsia" w:ascii="宋体" w:hAnsi="宋体" w:cs="仿宋"/>
          <w:sz w:val="24"/>
        </w:rPr>
        <w:t>使用主体：农业农村局相关业务科室、相关镇街。为切实改善山核桃产区生态宜居环境，促进山核桃产业高质量发展，加强山核桃产业生态治理，围绕生态治理“八个一律”，搭建山核桃林地生态治理工作简报工作系统，整合示范基地监控数据，对生态化治理示范基地进行实时检查、综合评价和现场督导，将监管数据实时上传平台。全区计划建设50个移动终端，建成后覆盖所有乡镇和产业重点村。</w:t>
      </w:r>
      <w:r>
        <w:rPr>
          <w:rFonts w:hint="eastAsia" w:ascii="宋体" w:hAnsi="宋体" w:cs="仿宋"/>
          <w:b/>
          <w:bCs/>
          <w:sz w:val="24"/>
        </w:rPr>
        <w:t>同时接入市场监督管理局的食品安全监管云平台。</w:t>
      </w:r>
    </w:p>
    <w:p>
      <w:pPr>
        <w:spacing w:line="400" w:lineRule="exact"/>
        <w:ind w:firstLine="480" w:firstLineChars="200"/>
        <w:jc w:val="left"/>
        <w:rPr>
          <w:rFonts w:ascii="宋体" w:hAnsi="宋体" w:cs="仿宋"/>
          <w:sz w:val="24"/>
        </w:rPr>
      </w:pPr>
      <w:r>
        <w:rPr>
          <w:rFonts w:hint="eastAsia" w:ascii="宋体" w:hAnsi="宋体" w:cs="仿宋"/>
          <w:sz w:val="24"/>
        </w:rPr>
        <w:t>产业监管主要包括以下内容：山核桃林下一律禁用除草剂；侵占公益林一律严肃处置；保占国有、集体林地一律予以清退；山核桃林中一律禁止毁坏其它林木；枯死木一律清理下；产区一律禁止新种山核桃树；山核桃蒲壳一律禁止违规倾倒；生态敏感区一律禁止新建林道。</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4.1.9.1</w:t>
      </w:r>
      <w:r>
        <w:rPr>
          <w:rFonts w:hint="eastAsia" w:ascii="宋体" w:hAnsi="宋体" w:eastAsia="宋体" w:cs="仿宋"/>
          <w:bCs/>
          <w:sz w:val="24"/>
        </w:rPr>
        <w:t>监管责任管理</w:t>
      </w:r>
    </w:p>
    <w:p>
      <w:pPr>
        <w:spacing w:line="400" w:lineRule="exact"/>
        <w:ind w:firstLine="480" w:firstLineChars="200"/>
        <w:jc w:val="left"/>
        <w:rPr>
          <w:rFonts w:ascii="宋体" w:hAnsi="宋体" w:cs="仿宋"/>
          <w:sz w:val="24"/>
        </w:rPr>
      </w:pPr>
      <w:r>
        <w:rPr>
          <w:rFonts w:hint="eastAsia" w:ascii="宋体" w:hAnsi="宋体" w:cs="仿宋"/>
          <w:sz w:val="24"/>
        </w:rPr>
        <w:t xml:space="preserve">产业监管主要包括监管区域网格划分和责任网格设置功能，详细功能设计如下： </w:t>
      </w:r>
    </w:p>
    <w:p>
      <w:pPr>
        <w:spacing w:line="400" w:lineRule="exact"/>
        <w:ind w:firstLine="480" w:firstLineChars="200"/>
        <w:jc w:val="left"/>
        <w:rPr>
          <w:rFonts w:ascii="宋体" w:hAnsi="宋体" w:cs="仿宋"/>
          <w:sz w:val="24"/>
        </w:rPr>
      </w:pPr>
      <w:r>
        <w:rPr>
          <w:rFonts w:hint="eastAsia" w:ascii="宋体" w:hAnsi="宋体" w:cs="仿宋"/>
          <w:sz w:val="24"/>
        </w:rPr>
        <w:t xml:space="preserve">①监管区域网格划分 </w:t>
      </w:r>
    </w:p>
    <w:p>
      <w:pPr>
        <w:spacing w:line="400" w:lineRule="exact"/>
        <w:ind w:firstLine="480" w:firstLineChars="200"/>
        <w:jc w:val="left"/>
        <w:rPr>
          <w:rFonts w:ascii="宋体" w:hAnsi="宋体" w:cs="仿宋"/>
          <w:sz w:val="24"/>
        </w:rPr>
      </w:pPr>
      <w:r>
        <w:rPr>
          <w:rFonts w:hint="eastAsia" w:ascii="宋体" w:hAnsi="宋体" w:cs="仿宋"/>
          <w:sz w:val="24"/>
        </w:rPr>
        <w:t xml:space="preserve">系统管理人员可以根据山核桃生态治理监管的业务需求，录入相关机构或人员的监管单位，系统可以进行监管区域的网格划分，划分完成后，系统页面中就会显示出划分好的网格区域图。系统支持对录入数据的维护管理，能够根据业务需求进行网格区域的完善。 </w:t>
      </w:r>
    </w:p>
    <w:p>
      <w:pPr>
        <w:spacing w:line="400" w:lineRule="exact"/>
        <w:ind w:firstLine="480" w:firstLineChars="200"/>
        <w:jc w:val="left"/>
        <w:rPr>
          <w:rFonts w:ascii="宋体" w:hAnsi="宋体" w:cs="仿宋"/>
          <w:sz w:val="24"/>
        </w:rPr>
      </w:pPr>
      <w:r>
        <w:rPr>
          <w:rFonts w:hint="eastAsia" w:ascii="宋体" w:hAnsi="宋体" w:cs="仿宋"/>
          <w:sz w:val="24"/>
        </w:rPr>
        <w:t xml:space="preserve">②责任网格设置 </w:t>
      </w:r>
    </w:p>
    <w:p>
      <w:pPr>
        <w:spacing w:line="400" w:lineRule="exact"/>
        <w:ind w:firstLine="480" w:firstLineChars="200"/>
        <w:jc w:val="left"/>
        <w:rPr>
          <w:rFonts w:ascii="宋体" w:hAnsi="宋体" w:cs="仿宋"/>
          <w:sz w:val="24"/>
        </w:rPr>
      </w:pPr>
      <w:r>
        <w:rPr>
          <w:rFonts w:hint="eastAsia" w:ascii="宋体" w:hAnsi="宋体" w:cs="仿宋"/>
          <w:sz w:val="24"/>
        </w:rPr>
        <w:t xml:space="preserve">系统进行监管区域网格划分后，管理人员可登陆系统对责任网格进行设置。 </w:t>
      </w:r>
    </w:p>
    <w:p>
      <w:pPr>
        <w:spacing w:line="400" w:lineRule="exact"/>
        <w:ind w:firstLine="480" w:firstLineChars="200"/>
        <w:jc w:val="left"/>
        <w:rPr>
          <w:rFonts w:ascii="宋体" w:hAnsi="宋体" w:cs="仿宋"/>
          <w:sz w:val="24"/>
        </w:rPr>
      </w:pPr>
      <w:r>
        <w:rPr>
          <w:rFonts w:hint="eastAsia" w:ascii="宋体" w:hAnsi="宋体" w:cs="仿宋"/>
          <w:sz w:val="24"/>
        </w:rPr>
        <w:t>系统支持对网格区域的山核桃生态治理监管机构和相关人员进行配置管理，可以设定每个网格区域的监管人员，设定完成后，网格区域的相关事件信息会及时传送给相关机构和责任人。通过系统，区域负责人可以实时查看监管人员位置信息，及时派发工作任务。</w:t>
      </w:r>
    </w:p>
    <w:p>
      <w:pPr>
        <w:pStyle w:val="7"/>
        <w:numPr>
          <w:ilvl w:val="3"/>
          <w:numId w:val="0"/>
        </w:numPr>
        <w:spacing w:line="400" w:lineRule="exact"/>
        <w:ind w:left="864" w:hanging="864"/>
        <w:rPr>
          <w:rFonts w:ascii="宋体" w:hAnsi="宋体" w:eastAsia="宋体" w:cs="仿宋"/>
          <w:bCs/>
          <w:sz w:val="24"/>
        </w:rPr>
      </w:pPr>
      <w:r>
        <w:rPr>
          <w:rFonts w:hint="eastAsia" w:ascii="宋体" w:hAnsi="宋体" w:eastAsia="宋体" w:cs="仿宋"/>
          <w:sz w:val="24"/>
        </w:rPr>
        <w:t>4.1.9.2</w:t>
      </w:r>
      <w:r>
        <w:rPr>
          <w:rFonts w:hint="eastAsia" w:ascii="宋体" w:hAnsi="宋体" w:eastAsia="宋体" w:cs="仿宋"/>
          <w:bCs/>
          <w:sz w:val="24"/>
        </w:rPr>
        <w:t>信息上报</w:t>
      </w:r>
    </w:p>
    <w:p>
      <w:pPr>
        <w:spacing w:line="400" w:lineRule="exact"/>
        <w:ind w:firstLine="480" w:firstLineChars="200"/>
        <w:jc w:val="left"/>
        <w:rPr>
          <w:rFonts w:ascii="宋体" w:hAnsi="宋体" w:cs="仿宋"/>
          <w:sz w:val="24"/>
        </w:rPr>
      </w:pPr>
      <w:r>
        <w:rPr>
          <w:rFonts w:hint="eastAsia" w:ascii="宋体" w:hAnsi="宋体" w:cs="仿宋"/>
          <w:sz w:val="24"/>
        </w:rPr>
        <w:t xml:space="preserve">信息上报主要包括生态治理信息上报、生态治理信息管理等功能，详细功能设计如下： </w:t>
      </w:r>
    </w:p>
    <w:p>
      <w:pPr>
        <w:spacing w:line="400" w:lineRule="exact"/>
        <w:ind w:firstLine="480" w:firstLineChars="200"/>
        <w:jc w:val="left"/>
        <w:rPr>
          <w:rFonts w:ascii="宋体" w:hAnsi="宋体" w:cs="仿宋"/>
          <w:sz w:val="24"/>
        </w:rPr>
      </w:pPr>
      <w:r>
        <w:rPr>
          <w:rFonts w:hint="eastAsia" w:ascii="宋体" w:hAnsi="宋体" w:cs="仿宋"/>
          <w:sz w:val="24"/>
        </w:rPr>
        <w:t xml:space="preserve">①信息上报 </w:t>
      </w:r>
    </w:p>
    <w:p>
      <w:pPr>
        <w:spacing w:line="400" w:lineRule="exact"/>
        <w:ind w:firstLine="480" w:firstLineChars="200"/>
        <w:jc w:val="left"/>
        <w:rPr>
          <w:rFonts w:ascii="宋体" w:hAnsi="宋体" w:cs="仿宋"/>
          <w:sz w:val="24"/>
        </w:rPr>
      </w:pPr>
      <w:r>
        <w:rPr>
          <w:rFonts w:hint="eastAsia" w:ascii="宋体" w:hAnsi="宋体" w:cs="仿宋"/>
          <w:sz w:val="24"/>
        </w:rPr>
        <w:t xml:space="preserve">信息上报主要包括自动预警信息和人工填报信息，系统通过分析其他关联数据的指标，对异常的自动触发预警结果和监督抽查结果进行预警，并将预警信息发送给相关的网格责任主体。同时系统还支持人工录入的监管信息，主要包括监管举报、监管任务等，录入完成后相关责任主体会接受监管信息。 </w:t>
      </w:r>
    </w:p>
    <w:p>
      <w:pPr>
        <w:spacing w:line="400" w:lineRule="exact"/>
        <w:ind w:firstLine="480" w:firstLineChars="200"/>
        <w:jc w:val="left"/>
        <w:rPr>
          <w:rFonts w:ascii="宋体" w:hAnsi="宋体" w:cs="仿宋"/>
          <w:sz w:val="24"/>
        </w:rPr>
      </w:pPr>
      <w:r>
        <w:rPr>
          <w:rFonts w:hint="eastAsia" w:ascii="宋体" w:hAnsi="宋体" w:cs="仿宋"/>
          <w:sz w:val="24"/>
        </w:rPr>
        <w:t xml:space="preserve">②信息管理 </w:t>
      </w:r>
    </w:p>
    <w:p>
      <w:pPr>
        <w:spacing w:line="400" w:lineRule="exact"/>
        <w:ind w:firstLine="480" w:firstLineChars="200"/>
        <w:jc w:val="left"/>
        <w:rPr>
          <w:rFonts w:ascii="宋体" w:hAnsi="宋体" w:cs="仿宋"/>
          <w:sz w:val="24"/>
        </w:rPr>
      </w:pPr>
      <w:r>
        <w:rPr>
          <w:rFonts w:hint="eastAsia" w:ascii="宋体" w:hAnsi="宋体" w:cs="仿宋"/>
          <w:sz w:val="24"/>
        </w:rPr>
        <w:t>监管信息上报后，对应网格区域监管人员可以对监管信息进行处理，可以通过系统选择处理方式，同时还可以设定监管信息分组，对于紧急和一般情况的信息进行分类。</w:t>
      </w:r>
    </w:p>
    <w:p>
      <w:pPr>
        <w:pStyle w:val="7"/>
        <w:numPr>
          <w:ilvl w:val="3"/>
          <w:numId w:val="0"/>
        </w:numPr>
        <w:spacing w:line="400" w:lineRule="exact"/>
        <w:ind w:left="864" w:hanging="864"/>
        <w:rPr>
          <w:rFonts w:ascii="宋体" w:hAnsi="宋体" w:eastAsia="宋体" w:cs="仿宋"/>
          <w:bCs/>
          <w:sz w:val="24"/>
        </w:rPr>
      </w:pPr>
      <w:r>
        <w:rPr>
          <w:rFonts w:hint="eastAsia" w:ascii="宋体" w:hAnsi="宋体" w:eastAsia="宋体" w:cs="仿宋"/>
          <w:sz w:val="24"/>
        </w:rPr>
        <w:t>4.1.9.3</w:t>
      </w:r>
      <w:r>
        <w:rPr>
          <w:rFonts w:hint="eastAsia" w:ascii="宋体" w:hAnsi="宋体" w:eastAsia="宋体" w:cs="仿宋"/>
          <w:kern w:val="0"/>
          <w:sz w:val="24"/>
        </w:rPr>
        <w:t>事件功能管理</w:t>
      </w:r>
    </w:p>
    <w:p>
      <w:pPr>
        <w:spacing w:line="400" w:lineRule="exact"/>
        <w:ind w:firstLine="480" w:firstLineChars="200"/>
        <w:jc w:val="left"/>
        <w:rPr>
          <w:rFonts w:ascii="宋体" w:hAnsi="宋体" w:cs="仿宋"/>
          <w:sz w:val="24"/>
        </w:rPr>
      </w:pPr>
      <w:r>
        <w:rPr>
          <w:rFonts w:hint="eastAsia" w:ascii="宋体" w:hAnsi="宋体" w:cs="仿宋"/>
          <w:sz w:val="24"/>
        </w:rPr>
        <w:t>事件功能管理主要包括事件上报管理、事件分流管理和事件办结管理等功能。</w:t>
      </w:r>
    </w:p>
    <w:p>
      <w:pPr>
        <w:pStyle w:val="7"/>
        <w:numPr>
          <w:ilvl w:val="3"/>
          <w:numId w:val="0"/>
        </w:numPr>
        <w:spacing w:line="400" w:lineRule="exact"/>
        <w:ind w:left="864" w:hanging="864"/>
        <w:rPr>
          <w:rFonts w:ascii="宋体" w:hAnsi="宋体" w:eastAsia="宋体" w:cs="仿宋"/>
          <w:kern w:val="0"/>
          <w:sz w:val="24"/>
        </w:rPr>
      </w:pPr>
      <w:r>
        <w:rPr>
          <w:rFonts w:hint="eastAsia" w:ascii="宋体" w:hAnsi="宋体" w:eastAsia="宋体" w:cs="仿宋"/>
          <w:sz w:val="24"/>
        </w:rPr>
        <w:t>4.1.9.4</w:t>
      </w:r>
      <w:r>
        <w:rPr>
          <w:rFonts w:hint="eastAsia" w:ascii="宋体" w:hAnsi="宋体" w:eastAsia="宋体" w:cs="仿宋"/>
          <w:kern w:val="0"/>
          <w:sz w:val="24"/>
        </w:rPr>
        <w:t>统计分析管理</w:t>
      </w:r>
    </w:p>
    <w:p>
      <w:pPr>
        <w:spacing w:line="400" w:lineRule="exact"/>
        <w:ind w:firstLine="480" w:firstLineChars="200"/>
        <w:jc w:val="left"/>
        <w:rPr>
          <w:rFonts w:ascii="宋体" w:hAnsi="宋体" w:cs="仿宋"/>
          <w:sz w:val="24"/>
        </w:rPr>
      </w:pPr>
      <w:r>
        <w:rPr>
          <w:rFonts w:hint="eastAsia" w:ascii="宋体" w:hAnsi="宋体" w:cs="仿宋"/>
          <w:sz w:val="24"/>
        </w:rPr>
        <w:t>统计分析管理主要包括生态治理监管信息统计分析、事件管理统计分析等功能。</w:t>
      </w:r>
    </w:p>
    <w:p>
      <w:pPr>
        <w:pStyle w:val="7"/>
        <w:numPr>
          <w:ilvl w:val="3"/>
          <w:numId w:val="0"/>
        </w:numPr>
        <w:spacing w:line="400" w:lineRule="exact"/>
        <w:ind w:left="864" w:hanging="864"/>
        <w:rPr>
          <w:rFonts w:ascii="宋体" w:hAnsi="宋体" w:eastAsia="宋体" w:cs="仿宋"/>
          <w:kern w:val="0"/>
          <w:sz w:val="24"/>
        </w:rPr>
      </w:pPr>
      <w:r>
        <w:rPr>
          <w:rFonts w:hint="eastAsia" w:ascii="宋体" w:hAnsi="宋体" w:eastAsia="宋体" w:cs="仿宋"/>
          <w:sz w:val="24"/>
        </w:rPr>
        <w:t>4.1.9.5</w:t>
      </w:r>
      <w:r>
        <w:rPr>
          <w:rFonts w:hint="eastAsia" w:ascii="宋体" w:hAnsi="宋体" w:eastAsia="宋体" w:cs="仿宋"/>
          <w:kern w:val="0"/>
          <w:sz w:val="24"/>
        </w:rPr>
        <w:t>项目管理</w:t>
      </w:r>
    </w:p>
    <w:p>
      <w:pPr>
        <w:spacing w:line="400" w:lineRule="exact"/>
        <w:ind w:firstLine="480" w:firstLineChars="200"/>
        <w:jc w:val="left"/>
        <w:rPr>
          <w:rFonts w:ascii="宋体" w:hAnsi="宋体" w:cs="仿宋"/>
          <w:sz w:val="24"/>
        </w:rPr>
      </w:pPr>
      <w:r>
        <w:rPr>
          <w:rFonts w:hint="eastAsia" w:ascii="宋体" w:hAnsi="宋体" w:cs="仿宋"/>
          <w:sz w:val="24"/>
        </w:rPr>
        <w:t>为增加云平台的粘合度，农业主管部门将通过文件形式规定，凡是有关山核桃采用项目，都必须通过本项目管理模块申报、评审、项目跟踪、验收、项目绩效、项目现场管理。农业项目管理中涉及了众多的人、财、物的调配和管理，靠传统人工管理的方式难以适应信息化发展的需要。应用信息技术开发设计项目管理系统是现代农业发展的潮流和趋势，不可阻挡。该系统由项目实施管理系统、项目现场管理系统、项目实施辅助系统组成。</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4.1.10数字服务系统</w:t>
      </w:r>
    </w:p>
    <w:p>
      <w:pPr>
        <w:spacing w:line="400" w:lineRule="exact"/>
        <w:ind w:firstLine="480" w:firstLineChars="200"/>
        <w:jc w:val="left"/>
        <w:rPr>
          <w:rFonts w:ascii="宋体" w:hAnsi="宋体" w:cs="仿宋"/>
          <w:sz w:val="24"/>
        </w:rPr>
      </w:pPr>
      <w:r>
        <w:rPr>
          <w:rFonts w:hint="eastAsia" w:ascii="宋体" w:hAnsi="宋体" w:cs="仿宋"/>
          <w:sz w:val="24"/>
        </w:rPr>
        <w:t>使用主体：种植山核桃的林农。依托产业模型系统，开发小程序，搭建山核桃智能问答系统及农业专家实时互动交流平台，系统通过将专家库、多媒体技术、网络技术有机集成在一起，农业方面专家对预处理过的数据进行筛选，同时基于自然语言处理及机器学习实现智能问答及病虫害远程诊断等服务。</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4.1.10.1专家库</w:t>
      </w:r>
    </w:p>
    <w:p>
      <w:pPr>
        <w:spacing w:line="400" w:lineRule="exact"/>
        <w:ind w:firstLine="480" w:firstLineChars="200"/>
        <w:jc w:val="left"/>
        <w:rPr>
          <w:rFonts w:ascii="宋体" w:hAnsi="宋体" w:cs="仿宋"/>
          <w:sz w:val="24"/>
        </w:rPr>
      </w:pPr>
      <w:r>
        <w:rPr>
          <w:rFonts w:hint="eastAsia" w:ascii="宋体" w:hAnsi="宋体" w:cs="仿宋"/>
          <w:sz w:val="24"/>
        </w:rPr>
        <w:t>基于临安山核桃产业生产发展需要，建立一定规模专家库，指导全区种植户科学种植山核桃，提升全区山核桃产业效益。专家库中录入了林业方向生产指导专家，这些专家基本来自科研所、各类专业院校等科研机构。专家库充分展示了专家信息，具体包括姓名、专业特长、职称、工作单位、研究领域、曾获奖项、可提供技术服务支持等方面信息。企业用户可以利用平台的专家智库咨询向资深专家提问与产业相关的农事操作、病虫害治理等问题。</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4.1.10.2数字智能问答管理</w:t>
      </w:r>
    </w:p>
    <w:p>
      <w:pPr>
        <w:spacing w:line="400" w:lineRule="exact"/>
        <w:ind w:firstLine="480" w:firstLineChars="200"/>
        <w:jc w:val="left"/>
        <w:rPr>
          <w:rFonts w:ascii="宋体" w:hAnsi="宋体" w:cs="仿宋"/>
          <w:sz w:val="24"/>
        </w:rPr>
      </w:pPr>
      <w:r>
        <w:rPr>
          <w:rFonts w:hint="eastAsia" w:ascii="宋体" w:hAnsi="宋体" w:cs="仿宋"/>
          <w:sz w:val="24"/>
        </w:rPr>
        <w:t>针对当前农业信息服务中常遇到的种植技术问题制约着农民生产,结合当前的信息化方式,提出一种基于用户偏好算法的智能农业问答系统，重点结合林农用户的偏好,构建一个信息检索匹配模型。数字智能问答管理系统是自然语言处理的一个重要分支。现在普遍认为智能问答能够独立解决很多问题，但是必须要承认现在技术所处的初级阶段的性质。也就是说，智能问答系统在现阶段最大的价值在于为客服人员赋能，而并非独立于人自行解决众多目前还有巨大错误率和不确定性的问题。通过智能问答系统为客服人员赋能，将智能问答系统做成一个工具和产品，通过产品化、工具化的方式，实现这个预期。</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4.1.10.3病虫害远程呼叫与咨询</w:t>
      </w:r>
    </w:p>
    <w:p>
      <w:pPr>
        <w:spacing w:line="400" w:lineRule="exact"/>
        <w:ind w:firstLine="480" w:firstLineChars="200"/>
        <w:jc w:val="left"/>
        <w:rPr>
          <w:rFonts w:ascii="宋体" w:hAnsi="宋体" w:cs="仿宋"/>
          <w:sz w:val="24"/>
        </w:rPr>
      </w:pPr>
      <w:r>
        <w:rPr>
          <w:rFonts w:hint="eastAsia" w:ascii="宋体" w:hAnsi="宋体" w:cs="仿宋"/>
          <w:sz w:val="24"/>
        </w:rPr>
        <w:t>远程呼叫与咨询是指一个在线咨询专家与农业从业人员的互动平台，提供专家列表供从业人员与专家一对一进行在线咨询和服务。呼叫中心统一接入系统，能实现WEB、手机、邮件、传真等多种信息获取手段的融合，用户信息库、各种数据的统计分析算法、自动呼叫分配算法以及自动语音应答。借鉴CRM (客户关系管理)思想，搭建基于数据仓库的数据分析决策系统，实现用户分类及信息需求预测等功能，为实现“个性化、针对性”信息服务提供决策支持。</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4.1.10.4病虫害诊断</w:t>
      </w:r>
    </w:p>
    <w:p>
      <w:pPr>
        <w:spacing w:line="400" w:lineRule="exact"/>
        <w:ind w:firstLine="480" w:firstLineChars="200"/>
        <w:jc w:val="left"/>
        <w:rPr>
          <w:rFonts w:ascii="宋体" w:hAnsi="宋体" w:cs="仿宋"/>
          <w:sz w:val="24"/>
        </w:rPr>
      </w:pPr>
      <w:r>
        <w:rPr>
          <w:rFonts w:hint="eastAsia" w:ascii="宋体" w:hAnsi="宋体" w:cs="仿宋"/>
          <w:sz w:val="24"/>
        </w:rPr>
        <w:t>选取山核桃常见病虫害作为研究对象，利用病害与病症之间的集合模型及产生式规则得到病虫害的诊断规则，构建基于B/S结构的山核桃病虫害诊断模块。通过该模块的建立，能普及科学的山核桃种植生产技术以及提高种植户对常见山核桃病虫害的防治能力。</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4.1.10.5病虫害诊断决策</w:t>
      </w:r>
    </w:p>
    <w:p>
      <w:pPr>
        <w:spacing w:line="400" w:lineRule="exact"/>
        <w:ind w:firstLine="480" w:firstLineChars="200"/>
        <w:jc w:val="left"/>
        <w:rPr>
          <w:rFonts w:ascii="宋体" w:hAnsi="宋体" w:cs="仿宋"/>
          <w:sz w:val="24"/>
        </w:rPr>
      </w:pPr>
      <w:r>
        <w:rPr>
          <w:rFonts w:hint="eastAsia" w:ascii="宋体" w:hAnsi="宋体" w:cs="仿宋"/>
          <w:sz w:val="24"/>
        </w:rPr>
        <w:t>病虫害远程识别诊断系统主要由病虫害文字数据库、图片数据库和病虫害便捷识别模型构成。</w:t>
      </w:r>
    </w:p>
    <w:p>
      <w:pPr>
        <w:spacing w:line="400" w:lineRule="exact"/>
        <w:ind w:firstLine="480" w:firstLineChars="200"/>
        <w:jc w:val="left"/>
        <w:rPr>
          <w:rFonts w:ascii="宋体" w:hAnsi="宋体" w:cs="仿宋"/>
          <w:sz w:val="24"/>
        </w:rPr>
      </w:pPr>
      <w:r>
        <w:rPr>
          <w:rFonts w:hint="eastAsia" w:ascii="宋体" w:hAnsi="宋体" w:cs="仿宋"/>
          <w:sz w:val="24"/>
        </w:rPr>
        <w:t>1、山核桃病虫害基础数据库建立</w:t>
      </w:r>
    </w:p>
    <w:p>
      <w:pPr>
        <w:spacing w:line="400" w:lineRule="exact"/>
        <w:ind w:firstLine="480" w:firstLineChars="200"/>
        <w:jc w:val="left"/>
        <w:rPr>
          <w:rFonts w:ascii="宋体" w:hAnsi="宋体" w:cs="仿宋"/>
          <w:sz w:val="24"/>
        </w:rPr>
      </w:pPr>
      <w:r>
        <w:rPr>
          <w:rFonts w:hint="eastAsia" w:ascii="宋体" w:hAnsi="宋体" w:cs="仿宋"/>
          <w:sz w:val="24"/>
        </w:rPr>
        <w:t>通过查阅国内外有关山核桃病虫害的专著、文献、网站，列出已报道的山核桃病害和虫害名单，建立一个基于病虫害的数据字段、数据属性、数据视图及数据函数的信息数据库。</w:t>
      </w:r>
    </w:p>
    <w:p>
      <w:pPr>
        <w:spacing w:line="400" w:lineRule="exact"/>
        <w:ind w:firstLine="480" w:firstLineChars="200"/>
        <w:jc w:val="left"/>
        <w:rPr>
          <w:rFonts w:ascii="宋体" w:hAnsi="宋体" w:cs="仿宋"/>
          <w:sz w:val="24"/>
        </w:rPr>
      </w:pPr>
      <w:r>
        <w:rPr>
          <w:rFonts w:hint="eastAsia" w:ascii="宋体" w:hAnsi="宋体" w:cs="仿宋"/>
          <w:sz w:val="24"/>
        </w:rPr>
        <w:t>2、病虫害便捷识别模型构建</w:t>
      </w:r>
    </w:p>
    <w:p>
      <w:pPr>
        <w:spacing w:line="400" w:lineRule="exact"/>
        <w:ind w:firstLine="480" w:firstLineChars="200"/>
        <w:jc w:val="left"/>
        <w:rPr>
          <w:rFonts w:ascii="宋体" w:hAnsi="宋体" w:cs="仿宋"/>
          <w:sz w:val="24"/>
        </w:rPr>
      </w:pPr>
      <w:r>
        <w:rPr>
          <w:rFonts w:hint="eastAsia" w:ascii="宋体" w:hAnsi="宋体" w:cs="仿宋"/>
          <w:sz w:val="24"/>
        </w:rPr>
        <w:t>基于山核桃病虫害基础数据库，构建病虫害便捷识别模型。病虫害便捷识别模型首先确定发生期和发生部位，然后鉴别病虫害在作物和环境中留下的直观痕迹特征和粗略的外形特征，必要时进一步鉴别虫体或病原菌本身的细微形态特征，最后诊断出病虫害种类，查看发生规律、预测预报及防治方法等信息。</w:t>
      </w:r>
    </w:p>
    <w:p>
      <w:pPr>
        <w:spacing w:line="400" w:lineRule="exact"/>
        <w:ind w:firstLine="480" w:firstLineChars="200"/>
        <w:jc w:val="left"/>
        <w:rPr>
          <w:rFonts w:ascii="宋体" w:hAnsi="宋体" w:cs="仿宋"/>
          <w:sz w:val="24"/>
        </w:rPr>
      </w:pPr>
      <w:r>
        <w:rPr>
          <w:rFonts w:hint="eastAsia" w:ascii="宋体" w:hAnsi="宋体" w:cs="仿宋"/>
          <w:sz w:val="24"/>
        </w:rPr>
        <w:t>3、病虫害远程诊断</w:t>
      </w:r>
    </w:p>
    <w:p>
      <w:pPr>
        <w:spacing w:line="400" w:lineRule="exact"/>
        <w:ind w:firstLine="480" w:firstLineChars="200"/>
        <w:jc w:val="left"/>
        <w:rPr>
          <w:rFonts w:ascii="宋体" w:hAnsi="宋体" w:cs="仿宋"/>
          <w:sz w:val="24"/>
        </w:rPr>
      </w:pPr>
      <w:r>
        <w:rPr>
          <w:rFonts w:hint="eastAsia" w:ascii="宋体" w:hAnsi="宋体" w:cs="仿宋"/>
          <w:sz w:val="24"/>
        </w:rPr>
        <w:t>利用病虫害远程诊断系统，实现用户与山核桃病虫害快捷识别模型的在线交互。系统程序首先调取识别模型中发生期识别特征的文字和图片数据，供用户选择；然后根据用户选择的发生期，调出识别模型中发生部位识别特征的文字和图片数据，供用户选择，一次进行，根据用户的选择，调出识别模型中下一级识别特征的文字和图片数据；最后确诊病虫害种类，并调取病虫害详细文字描述及图片数据。系统界面设计采用友好的对话框形式，将模型中每一步的识别特征作为选项，辅以图文描述，用户只需根据实际病虫害情况进行比较选择，根据系统对病虫害进行远程识别诊断。</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4.1.10.6生态治理决策咨询系统</w:t>
      </w:r>
    </w:p>
    <w:p>
      <w:pPr>
        <w:spacing w:line="400" w:lineRule="exact"/>
        <w:ind w:firstLine="480" w:firstLineChars="200"/>
        <w:jc w:val="left"/>
        <w:rPr>
          <w:rFonts w:ascii="宋体" w:hAnsi="宋体" w:cs="仿宋"/>
          <w:sz w:val="24"/>
        </w:rPr>
      </w:pPr>
      <w:r>
        <w:rPr>
          <w:rFonts w:hint="eastAsia" w:ascii="宋体" w:hAnsi="宋体" w:cs="仿宋"/>
          <w:sz w:val="24"/>
        </w:rPr>
        <w:t>建立生态治理决策咨询系统，内嵌多种山核桃生态治理技术，根据临安山核桃产业在发展过程中出现的生态问题，农户可进入该模块进行问题查看，获取相应治理技术，对于比较复杂的生态问题，还可以进行线上咨询，生态领域专家会提供相应解决方案。</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4.1.10.7生产经营主体上传数据</w:t>
      </w:r>
    </w:p>
    <w:p>
      <w:pPr>
        <w:spacing w:line="400" w:lineRule="exact"/>
        <w:ind w:firstLine="480" w:firstLineChars="200"/>
        <w:jc w:val="left"/>
        <w:rPr>
          <w:rFonts w:ascii="宋体" w:hAnsi="宋体" w:cs="仿宋"/>
          <w:sz w:val="24"/>
        </w:rPr>
      </w:pPr>
      <w:r>
        <w:rPr>
          <w:rFonts w:hint="eastAsia" w:ascii="宋体" w:hAnsi="宋体" w:cs="仿宋"/>
          <w:sz w:val="24"/>
        </w:rPr>
        <w:t>开发小程序、APP，根据平台业务需要，设置基础信息表单、动态信息表单，林农、基地、加工企业、销售企业等生产经营主体通过手机就可以上传数据到平台，实现日常生产经营数据的动态补充。</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4.1.11品牌管理系统</w:t>
      </w:r>
    </w:p>
    <w:p>
      <w:pPr>
        <w:spacing w:line="400" w:lineRule="exact"/>
        <w:ind w:firstLine="480" w:firstLineChars="200"/>
        <w:jc w:val="left"/>
        <w:rPr>
          <w:rFonts w:ascii="宋体" w:hAnsi="宋体" w:cs="仿宋"/>
          <w:sz w:val="24"/>
        </w:rPr>
      </w:pPr>
      <w:r>
        <w:rPr>
          <w:rFonts w:hint="eastAsia" w:ascii="宋体" w:hAnsi="宋体" w:cs="仿宋"/>
          <w:sz w:val="24"/>
        </w:rPr>
        <w:t>使用主体：山核桃产业协会。制定“临安山核桃”区域公用品牌管理标准。制定标准，统一规范“临安山核桃”在生产区块、生产环境、生产加工、贮运操作、产品检测认证等方面的准入要求；制定品牌评定与授权管理办法，规范“临安山核桃”品牌使用申请与评定、授权流程与机制；制定品牌标识管理办法，规范“临安山核桃”品牌标识使用申请、审核、发放流程与机制。搭建品牌管理系统，实现统一管理全区范围内区域公用品牌、企业品牌和产品品牌，对“临安山核桃”品牌标识进行在线申请与审核发放。品牌备案准入与授权管理系统，生产经营主体在纳入品牌准许使用范围之前，需进行品牌备案，供管理部门进行备案申请的审核，备案信息主要包括主体名称、营业执照号、法人代表、联系电话、详细地址、商标、企业品牌、基地、产品情况等内容，对备案审核通过的品牌进行区域品牌授权管理。品牌标识管理系统，以临安山核桃品牌标识管理系统为依托，对全区域内生产经营主体进行品牌标识管理，实现临安山核桃区域品牌防伪追溯标识统一管理。</w:t>
      </w:r>
    </w:p>
    <w:p>
      <w:pPr>
        <w:spacing w:line="400" w:lineRule="exact"/>
        <w:ind w:firstLine="480" w:firstLineChars="200"/>
        <w:jc w:val="left"/>
        <w:rPr>
          <w:rFonts w:ascii="宋体" w:hAnsi="宋体" w:cs="仿宋"/>
          <w:sz w:val="24"/>
        </w:rPr>
      </w:pPr>
      <w:r>
        <w:rPr>
          <w:rFonts w:hint="eastAsia" w:ascii="宋体" w:hAnsi="宋体" w:cs="仿宋"/>
          <w:sz w:val="24"/>
        </w:rPr>
        <w:t>基于区块链技术，为临安区山核桃产业构建品牌管理平台，统一规范“临安山核桃”全区域山核桃产品区域公共品牌管理。</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4.1.11 .1“临安山核桃”品牌管理标准</w:t>
      </w:r>
    </w:p>
    <w:p>
      <w:pPr>
        <w:spacing w:line="400" w:lineRule="exact"/>
        <w:ind w:firstLine="480" w:firstLineChars="200"/>
        <w:jc w:val="left"/>
        <w:rPr>
          <w:rFonts w:ascii="宋体" w:hAnsi="宋体" w:cs="仿宋"/>
          <w:sz w:val="24"/>
        </w:rPr>
      </w:pPr>
      <w:r>
        <w:rPr>
          <w:rFonts w:hint="eastAsia" w:ascii="宋体" w:hAnsi="宋体" w:cs="仿宋"/>
          <w:sz w:val="24"/>
        </w:rPr>
        <w:t>制定“临安山核桃”品牌管理标准对品牌进行规范化、有效化管理。</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4.1.11 .2“临安山核桃”品牌VI识别系统</w:t>
      </w:r>
    </w:p>
    <w:p>
      <w:pPr>
        <w:spacing w:line="400" w:lineRule="exact"/>
        <w:ind w:firstLine="480" w:firstLineChars="200"/>
        <w:jc w:val="left"/>
        <w:rPr>
          <w:rFonts w:ascii="宋体" w:hAnsi="宋体" w:cs="仿宋"/>
          <w:sz w:val="24"/>
        </w:rPr>
      </w:pPr>
      <w:r>
        <w:rPr>
          <w:rFonts w:hint="eastAsia" w:ascii="宋体" w:hAnsi="宋体" w:cs="仿宋"/>
          <w:sz w:val="24"/>
        </w:rPr>
        <w:t>构建协会、企业、产业参与者共同统一的品牌VI识别系统，以视觉强化品牌的统一性、向心力与整合力。</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22" w:type="dxa"/>
            <w:vAlign w:val="center"/>
          </w:tcPr>
          <w:p>
            <w:pPr>
              <w:spacing w:line="400" w:lineRule="exact"/>
              <w:ind w:firstLine="560"/>
              <w:rPr>
                <w:rFonts w:ascii="宋体" w:hAnsi="宋体" w:cs="仿宋"/>
                <w:sz w:val="24"/>
              </w:rPr>
            </w:pPr>
            <w:r>
              <w:rPr>
                <w:rFonts w:hint="eastAsia" w:ascii="宋体" w:hAnsi="宋体" w:cs="仿宋"/>
                <w:sz w:val="24"/>
              </w:rPr>
              <w:t>品牌用品视觉规范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ind w:firstLine="560"/>
              <w:rPr>
                <w:rFonts w:ascii="宋体" w:hAnsi="宋体" w:cs="仿宋"/>
                <w:sz w:val="24"/>
              </w:rPr>
            </w:pPr>
            <w:r>
              <w:rPr>
                <w:rFonts w:hint="eastAsia" w:ascii="宋体" w:hAnsi="宋体" w:cs="仿宋"/>
                <w:sz w:val="24"/>
              </w:rPr>
              <w:t>□ 名片    □ 信封       □ 信纸     □ PPT模板</w:t>
            </w:r>
          </w:p>
          <w:p>
            <w:pPr>
              <w:spacing w:line="400" w:lineRule="exact"/>
              <w:ind w:firstLine="560"/>
              <w:rPr>
                <w:rFonts w:ascii="宋体" w:hAnsi="宋体" w:cs="仿宋"/>
                <w:sz w:val="24"/>
              </w:rPr>
            </w:pPr>
            <w:r>
              <w:rPr>
                <w:rFonts w:hint="eastAsia" w:ascii="宋体" w:hAnsi="宋体" w:cs="仿宋"/>
                <w:sz w:val="24"/>
              </w:rPr>
              <w:t xml:space="preserve">□ 票据夹  □ 合同夹     □ 合同书   □ 档案盒      </w:t>
            </w:r>
          </w:p>
          <w:p>
            <w:pPr>
              <w:spacing w:line="400" w:lineRule="exact"/>
              <w:ind w:firstLine="560"/>
              <w:rPr>
                <w:rFonts w:ascii="宋体" w:hAnsi="宋体" w:cs="仿宋"/>
                <w:sz w:val="24"/>
              </w:rPr>
            </w:pPr>
            <w:r>
              <w:rPr>
                <w:rFonts w:hint="eastAsia" w:ascii="宋体" w:hAnsi="宋体" w:cs="仿宋"/>
                <w:sz w:val="24"/>
              </w:rPr>
              <w:t xml:space="preserve">□ 工作证  □ 文件夹     □ 文件袋   □ 档案袋 </w:t>
            </w:r>
          </w:p>
          <w:p>
            <w:pPr>
              <w:spacing w:line="400" w:lineRule="exact"/>
              <w:ind w:firstLine="560"/>
              <w:rPr>
                <w:rFonts w:ascii="宋体" w:hAnsi="宋体" w:cs="仿宋"/>
                <w:sz w:val="24"/>
              </w:rPr>
            </w:pPr>
            <w:r>
              <w:rPr>
                <w:rFonts w:hint="eastAsia" w:ascii="宋体" w:hAnsi="宋体" w:cs="仿宋"/>
                <w:sz w:val="24"/>
              </w:rPr>
              <w:t xml:space="preserve">□ 纸杯    □ 挂旗       □ 吊旗     □ 桌旗 </w:t>
            </w:r>
          </w:p>
          <w:p>
            <w:pPr>
              <w:spacing w:line="400" w:lineRule="exact"/>
              <w:ind w:firstLine="560"/>
              <w:rPr>
                <w:rFonts w:ascii="宋体" w:hAnsi="宋体" w:cs="仿宋"/>
                <w:sz w:val="24"/>
              </w:rPr>
            </w:pPr>
            <w:r>
              <w:rPr>
                <w:rFonts w:hint="eastAsia" w:ascii="宋体" w:hAnsi="宋体" w:cs="仿宋"/>
                <w:sz w:val="24"/>
              </w:rPr>
              <w:t>□ 手提袋  □ 标识伞</w:t>
            </w:r>
          </w:p>
        </w:tc>
      </w:tr>
    </w:tbl>
    <w:p>
      <w:pPr>
        <w:spacing w:line="400" w:lineRule="exact"/>
        <w:ind w:firstLine="480" w:firstLineChars="200"/>
        <w:jc w:val="left"/>
        <w:rPr>
          <w:rFonts w:ascii="宋体" w:hAnsi="宋体" w:cs="仿宋"/>
          <w:sz w:val="24"/>
        </w:rPr>
      </w:pPr>
      <w:r>
        <w:rPr>
          <w:rFonts w:hint="eastAsia" w:ascii="宋体" w:hAnsi="宋体" w:cs="仿宋"/>
          <w:sz w:val="24"/>
        </w:rPr>
        <w:t>基于统一品牌VI识别系统基础，进行品牌包装标准化设计，在视觉层面完成“临安山核桃”区域公用品牌在产品包装层面的统一性视觉规划，让所有系列产品归属于这个品牌家族，拥有这个品牌家族的独特血统印记。</w:t>
      </w:r>
    </w:p>
    <w:p>
      <w:pPr>
        <w:spacing w:line="400" w:lineRule="exact"/>
        <w:ind w:firstLine="480" w:firstLineChars="200"/>
        <w:jc w:val="left"/>
        <w:rPr>
          <w:rFonts w:ascii="宋体" w:hAnsi="宋体" w:cs="仿宋"/>
          <w:sz w:val="24"/>
        </w:rPr>
      </w:pPr>
      <w:r>
        <w:rPr>
          <w:rFonts w:hint="eastAsia" w:ascii="宋体" w:hAnsi="宋体" w:cs="仿宋"/>
          <w:sz w:val="24"/>
        </w:rPr>
        <w:t>（1）基于规划的整体产品线，完成“临安山核桃”品牌旗下系列产品包装视觉统一性与符号性规划设计。</w:t>
      </w:r>
    </w:p>
    <w:p>
      <w:pPr>
        <w:spacing w:line="400" w:lineRule="exact"/>
        <w:ind w:firstLine="480" w:firstLineChars="200"/>
        <w:jc w:val="left"/>
        <w:rPr>
          <w:rFonts w:ascii="宋体" w:hAnsi="宋体" w:cs="仿宋"/>
          <w:sz w:val="24"/>
        </w:rPr>
      </w:pPr>
      <w:r>
        <w:rPr>
          <w:rFonts w:hint="eastAsia" w:ascii="宋体" w:hAnsi="宋体" w:cs="仿宋"/>
          <w:sz w:val="24"/>
        </w:rPr>
        <w:t>在视觉层面完成“临安山核桃”品牌在产品包装层面的视觉统一性、符号识别性规划。</w:t>
      </w:r>
    </w:p>
    <w:p>
      <w:pPr>
        <w:spacing w:line="400" w:lineRule="exact"/>
        <w:ind w:firstLine="480" w:firstLineChars="200"/>
        <w:jc w:val="left"/>
        <w:rPr>
          <w:rFonts w:ascii="宋体" w:hAnsi="宋体" w:cs="仿宋"/>
          <w:sz w:val="24"/>
        </w:rPr>
      </w:pPr>
      <w:r>
        <w:rPr>
          <w:rFonts w:hint="eastAsia" w:ascii="宋体" w:hAnsi="宋体" w:cs="仿宋"/>
          <w:sz w:val="24"/>
        </w:rPr>
        <w:t>（2）“临安山核桃”品牌系列产品整体包装视觉形象系统设计。</w:t>
      </w:r>
    </w:p>
    <w:p>
      <w:pPr>
        <w:spacing w:line="400" w:lineRule="exact"/>
        <w:ind w:firstLine="480" w:firstLineChars="200"/>
        <w:jc w:val="left"/>
        <w:rPr>
          <w:rFonts w:ascii="宋体" w:hAnsi="宋体" w:cs="仿宋"/>
          <w:sz w:val="24"/>
        </w:rPr>
      </w:pPr>
      <w:r>
        <w:rPr>
          <w:rFonts w:hint="eastAsia" w:ascii="宋体" w:hAnsi="宋体" w:cs="仿宋"/>
          <w:sz w:val="24"/>
        </w:rPr>
        <w:t>完成“临安山核桃”品牌旗下系列产品整体包装的标准化设计。包括：整体包装视觉形象稿、产品包装层面的品牌价值传达与文案创作、整体包装效果图。</w:t>
      </w:r>
    </w:p>
    <w:p>
      <w:pPr>
        <w:pStyle w:val="7"/>
        <w:numPr>
          <w:ilvl w:val="3"/>
          <w:numId w:val="0"/>
        </w:numPr>
        <w:spacing w:line="400" w:lineRule="exact"/>
        <w:ind w:left="864" w:hanging="864"/>
        <w:rPr>
          <w:rFonts w:ascii="宋体" w:hAnsi="宋体" w:eastAsia="宋体" w:cs="仿宋"/>
          <w:sz w:val="24"/>
        </w:rPr>
      </w:pPr>
      <w:r>
        <w:rPr>
          <w:rFonts w:hint="eastAsia" w:ascii="宋体" w:hAnsi="宋体" w:eastAsia="宋体" w:cs="仿宋"/>
          <w:sz w:val="24"/>
        </w:rPr>
        <w:t>4.1.11.3临安山核桃品牌管理系统软件</w:t>
      </w:r>
    </w:p>
    <w:p>
      <w:pPr>
        <w:spacing w:line="400" w:lineRule="exact"/>
        <w:ind w:firstLine="480" w:firstLineChars="200"/>
        <w:jc w:val="left"/>
        <w:rPr>
          <w:rFonts w:ascii="宋体" w:hAnsi="宋体" w:cs="仿宋"/>
          <w:sz w:val="24"/>
        </w:rPr>
      </w:pPr>
      <w:r>
        <w:rPr>
          <w:rFonts w:hint="eastAsia" w:ascii="宋体" w:hAnsi="宋体" w:cs="仿宋"/>
          <w:sz w:val="24"/>
        </w:rPr>
        <w:t>为保证“临安山核桃”品牌规范使用，构建“临安山核桃”品牌管理系统进行企业品牌授权使用管理。该系统主要包括企业品牌申请、品牌申请准入审核、品牌授权管理、品牌授权书管理等。</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4.2数据采集与标准化、数据服务与应用</w:t>
      </w:r>
    </w:p>
    <w:p>
      <w:pPr>
        <w:spacing w:line="400" w:lineRule="exact"/>
        <w:ind w:firstLine="480" w:firstLineChars="200"/>
        <w:rPr>
          <w:rFonts w:ascii="宋体" w:hAnsi="宋体" w:cs="仿宋"/>
          <w:sz w:val="24"/>
        </w:rPr>
      </w:pPr>
      <w:r>
        <w:rPr>
          <w:rFonts w:hint="eastAsia" w:ascii="宋体" w:hAnsi="宋体" w:cs="仿宋"/>
          <w:sz w:val="24"/>
        </w:rPr>
        <w:t>按照1：500比例尺，通过采集各类数据，建立农业产业数据标准化、产业模型标准数据参数和数字证书，响应内部和外部数据整合需求，内部实现与区农业产业汇总数据的纵向资源整合，外部实现与其他政府部门的横向资源整合，对数据进行采集、清洗、挖掘、分析、整理，将数据成果应用到产业服务与政府监管中，发挥云平台的价值，提升林农等生产主体的获得感。</w:t>
      </w:r>
    </w:p>
    <w:p>
      <w:pPr>
        <w:spacing w:line="400" w:lineRule="exact"/>
        <w:ind w:firstLine="480" w:firstLineChars="200"/>
        <w:rPr>
          <w:rFonts w:ascii="宋体" w:hAnsi="宋体" w:cs="仿宋"/>
          <w:sz w:val="24"/>
        </w:rPr>
      </w:pPr>
      <w:r>
        <w:rPr>
          <w:rFonts w:hint="eastAsia" w:ascii="宋体" w:hAnsi="宋体" w:cs="仿宋"/>
          <w:sz w:val="24"/>
        </w:rPr>
        <w:t>本项目利用平台动态数据进行整理、分析、应用，运营方为平台使用主体为区政府、农林管理部门提供山核桃生态治理、产业规划与管理等方面的实施建议；增强林农对云服务平台的获得感；为企业入驻与退出平台提供依据；为科研人员找出影响原料品质与产量的关键因素，进行技术攻关与指导。同时与国家级山核桃种子资源库对接，建立山核桃优质种苗资源库；增强消费者产品透明度与信任力，建立云平台的公信力。</w:t>
      </w:r>
    </w:p>
    <w:p>
      <w:pPr>
        <w:spacing w:line="400" w:lineRule="exact"/>
        <w:ind w:firstLine="480" w:firstLineChars="200"/>
        <w:jc w:val="left"/>
        <w:rPr>
          <w:rFonts w:ascii="宋体" w:hAnsi="宋体" w:cs="仿宋"/>
          <w:sz w:val="24"/>
        </w:rPr>
      </w:pPr>
    </w:p>
    <w:p>
      <w:pPr>
        <w:pStyle w:val="6"/>
        <w:numPr>
          <w:ilvl w:val="2"/>
          <w:numId w:val="0"/>
        </w:numPr>
        <w:spacing w:line="400" w:lineRule="exact"/>
        <w:ind w:left="575" w:hanging="575"/>
        <w:rPr>
          <w:rFonts w:ascii="宋体" w:hAnsi="宋体" w:eastAsia="宋体" w:cs="仿宋"/>
          <w:sz w:val="24"/>
        </w:rPr>
      </w:pPr>
      <w:r>
        <w:rPr>
          <w:rFonts w:hint="eastAsia" w:ascii="宋体" w:hAnsi="宋体" w:eastAsia="宋体" w:cs="仿宋"/>
          <w:sz w:val="24"/>
        </w:rPr>
        <w:t>4.2.1数据采集与整理</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4.2.1.1森林资源</w:t>
      </w:r>
    </w:p>
    <w:p>
      <w:pPr>
        <w:spacing w:line="400" w:lineRule="exact"/>
        <w:ind w:firstLine="480" w:firstLineChars="200"/>
        <w:jc w:val="left"/>
        <w:rPr>
          <w:rFonts w:ascii="宋体" w:hAnsi="宋体" w:cs="仿宋"/>
          <w:sz w:val="24"/>
        </w:rPr>
      </w:pPr>
      <w:r>
        <w:rPr>
          <w:rFonts w:hint="eastAsia" w:ascii="宋体" w:hAnsi="宋体" w:cs="仿宋"/>
          <w:sz w:val="24"/>
        </w:rPr>
        <w:t>1、森林资源基础数据整理（包括“二类调查”之后几年的动态数据归集）：</w:t>
      </w:r>
    </w:p>
    <w:p>
      <w:pPr>
        <w:spacing w:line="400" w:lineRule="exact"/>
        <w:ind w:firstLine="480" w:firstLineChars="200"/>
        <w:jc w:val="left"/>
        <w:rPr>
          <w:rFonts w:ascii="宋体" w:hAnsi="宋体" w:cs="仿宋"/>
          <w:sz w:val="24"/>
        </w:rPr>
      </w:pPr>
      <w:r>
        <w:rPr>
          <w:rFonts w:hint="eastAsia" w:ascii="宋体" w:hAnsi="宋体" w:cs="仿宋"/>
          <w:sz w:val="24"/>
        </w:rPr>
        <w:t>1）临安区森林资源“二类调查”数据（本底）库。涉及“二类调查”矢量数据和属性数据。</w:t>
      </w:r>
    </w:p>
    <w:p>
      <w:pPr>
        <w:spacing w:line="400" w:lineRule="exact"/>
        <w:ind w:firstLine="480" w:firstLineChars="200"/>
        <w:jc w:val="left"/>
        <w:rPr>
          <w:rFonts w:ascii="宋体" w:hAnsi="宋体" w:cs="仿宋"/>
          <w:sz w:val="24"/>
        </w:rPr>
      </w:pPr>
      <w:r>
        <w:rPr>
          <w:rFonts w:hint="eastAsia" w:ascii="宋体" w:hAnsi="宋体" w:cs="仿宋"/>
          <w:sz w:val="24"/>
        </w:rPr>
        <w:t>（1）11万个地块的矢量数据；</w:t>
      </w:r>
    </w:p>
    <w:p>
      <w:pPr>
        <w:spacing w:line="400" w:lineRule="exact"/>
        <w:ind w:firstLine="480" w:firstLineChars="200"/>
        <w:jc w:val="left"/>
        <w:rPr>
          <w:rFonts w:ascii="宋体" w:hAnsi="宋体" w:cs="仿宋"/>
          <w:sz w:val="24"/>
        </w:rPr>
      </w:pPr>
      <w:r>
        <w:rPr>
          <w:rFonts w:hint="eastAsia" w:ascii="宋体" w:hAnsi="宋体" w:cs="仿宋"/>
          <w:sz w:val="24"/>
        </w:rPr>
        <w:t>（2）每个地块40余项属性因子数据，包括:乡镇、村、林班、小班、地类、起源、权属、森林类别、保护等级、林种、树种结构、小地名、面积、蓄积等。</w:t>
      </w:r>
    </w:p>
    <w:p>
      <w:pPr>
        <w:spacing w:line="400" w:lineRule="exact"/>
        <w:ind w:firstLine="480" w:firstLineChars="200"/>
        <w:jc w:val="left"/>
        <w:rPr>
          <w:rFonts w:ascii="宋体" w:hAnsi="宋体" w:cs="仿宋"/>
          <w:sz w:val="24"/>
        </w:rPr>
      </w:pPr>
      <w:r>
        <w:rPr>
          <w:rFonts w:hint="eastAsia" w:ascii="宋体" w:hAnsi="宋体" w:cs="仿宋"/>
          <w:sz w:val="24"/>
        </w:rPr>
        <w:t>2）森林资源动态（简称：“一张图”）数据库。涉及基于本底数据的每年度动态更新的矢量数据和属性数据。</w:t>
      </w:r>
    </w:p>
    <w:p>
      <w:pPr>
        <w:spacing w:line="400" w:lineRule="exact"/>
        <w:ind w:firstLine="480" w:firstLineChars="200"/>
        <w:jc w:val="left"/>
        <w:rPr>
          <w:rFonts w:ascii="宋体" w:hAnsi="宋体" w:cs="仿宋"/>
          <w:sz w:val="24"/>
        </w:rPr>
      </w:pPr>
      <w:r>
        <w:rPr>
          <w:rFonts w:hint="eastAsia" w:ascii="宋体" w:hAnsi="宋体" w:cs="仿宋"/>
          <w:sz w:val="24"/>
        </w:rPr>
        <w:t>（1）在11万个地块的矢量数据的基础上变更地块的矢量数据；</w:t>
      </w:r>
    </w:p>
    <w:p>
      <w:pPr>
        <w:spacing w:line="400" w:lineRule="exact"/>
        <w:ind w:firstLine="480" w:firstLineChars="200"/>
        <w:jc w:val="left"/>
        <w:rPr>
          <w:rFonts w:ascii="宋体" w:hAnsi="宋体" w:cs="仿宋"/>
          <w:sz w:val="24"/>
        </w:rPr>
      </w:pPr>
      <w:r>
        <w:rPr>
          <w:rFonts w:hint="eastAsia" w:ascii="宋体" w:hAnsi="宋体" w:cs="仿宋"/>
          <w:sz w:val="24"/>
        </w:rPr>
        <w:t>（2）每个地块变化属性因子数据，包括:小班、地类、起源、权属、森林类别、保护等级、林种、树种结构、面积、蓄积等。</w:t>
      </w:r>
    </w:p>
    <w:p>
      <w:pPr>
        <w:spacing w:line="400" w:lineRule="exact"/>
        <w:ind w:firstLine="480" w:firstLineChars="200"/>
        <w:jc w:val="left"/>
        <w:rPr>
          <w:rFonts w:ascii="宋体" w:hAnsi="宋体" w:cs="仿宋"/>
          <w:sz w:val="24"/>
        </w:rPr>
      </w:pPr>
      <w:r>
        <w:rPr>
          <w:rFonts w:hint="eastAsia" w:ascii="宋体" w:hAnsi="宋体" w:cs="仿宋"/>
          <w:sz w:val="24"/>
        </w:rPr>
        <w:t>2、森林资源权属数据整理：</w:t>
      </w:r>
    </w:p>
    <w:p>
      <w:pPr>
        <w:spacing w:line="400" w:lineRule="exact"/>
        <w:ind w:firstLine="480" w:firstLineChars="200"/>
        <w:jc w:val="left"/>
        <w:rPr>
          <w:rFonts w:ascii="宋体" w:hAnsi="宋体" w:cs="仿宋"/>
          <w:sz w:val="24"/>
        </w:rPr>
      </w:pPr>
      <w:r>
        <w:rPr>
          <w:rFonts w:hint="eastAsia" w:ascii="宋体" w:hAnsi="宋体" w:cs="仿宋"/>
          <w:sz w:val="24"/>
        </w:rPr>
        <w:t>1）国有山，集体所有权、使用权等约40万个地块属性数据。每个地块括申请表编号、林权字号、林权证号、行政代码、单位、法人、乡镇、坐落、小地名、面积、四至等25项相关因子。</w:t>
      </w:r>
    </w:p>
    <w:p>
      <w:pPr>
        <w:spacing w:line="400" w:lineRule="exact"/>
        <w:ind w:firstLine="480" w:firstLineChars="200"/>
        <w:jc w:val="left"/>
        <w:rPr>
          <w:rFonts w:ascii="宋体" w:hAnsi="宋体" w:cs="仿宋"/>
          <w:sz w:val="24"/>
        </w:rPr>
      </w:pPr>
      <w:r>
        <w:rPr>
          <w:rFonts w:hint="eastAsia" w:ascii="宋体" w:hAnsi="宋体" w:cs="仿宋"/>
          <w:sz w:val="24"/>
        </w:rPr>
        <w:t>（2）国有山、所有权的2.2万余个地块的矢量数据。即所有权、国有使用山地落界上图，按照浙江省林权信息管理系统建设规程的要求实施。</w:t>
      </w:r>
    </w:p>
    <w:p>
      <w:pPr>
        <w:spacing w:line="400" w:lineRule="exact"/>
        <w:ind w:firstLine="480" w:firstLineChars="200"/>
        <w:jc w:val="left"/>
        <w:rPr>
          <w:rFonts w:ascii="宋体" w:hAnsi="宋体" w:cs="仿宋"/>
          <w:sz w:val="24"/>
        </w:rPr>
      </w:pPr>
      <w:r>
        <w:rPr>
          <w:rFonts w:hint="eastAsia" w:ascii="宋体" w:hAnsi="宋体" w:cs="仿宋"/>
          <w:sz w:val="24"/>
        </w:rPr>
        <w:t>3、森林资源专项数据整理：</w:t>
      </w:r>
    </w:p>
    <w:p>
      <w:pPr>
        <w:spacing w:line="400" w:lineRule="exact"/>
        <w:ind w:firstLine="480" w:firstLineChars="200"/>
        <w:jc w:val="left"/>
        <w:rPr>
          <w:rFonts w:ascii="宋体" w:hAnsi="宋体" w:cs="仿宋"/>
          <w:sz w:val="24"/>
        </w:rPr>
      </w:pPr>
      <w:r>
        <w:rPr>
          <w:rFonts w:hint="eastAsia" w:ascii="宋体" w:hAnsi="宋体" w:cs="仿宋"/>
          <w:sz w:val="24"/>
        </w:rPr>
        <w:t>1）公益林2万余个地块的矢量数据和属性数据。核定公益林小班属性因子，建立公益林属性数据数据库，其因子包括坐落、林班、</w:t>
      </w:r>
      <w:r>
        <w:rPr>
          <w:rFonts w:hint="eastAsia" w:ascii="宋体" w:hAnsi="宋体" w:cs="仿宋"/>
          <w:sz w:val="24"/>
          <w:lang w:val="zh-CN"/>
        </w:rPr>
        <w:t>小班、对应的林地一张图小班、对应的二类调查小班、所有权属、使用权属、保护等级、</w:t>
      </w:r>
      <w:r>
        <w:rPr>
          <w:rFonts w:hint="eastAsia" w:ascii="宋体" w:hAnsi="宋体" w:cs="仿宋"/>
          <w:sz w:val="24"/>
        </w:rPr>
        <w:t>生态区位等30余个因子。地理坐标系统一采用2000中国大地坐标系（CGCS2000），最终以.SHP格式提交，其数据库结构参考国家公益林小班属性表数据结构，内容包括点、线、面等相关数据。</w:t>
      </w:r>
    </w:p>
    <w:p>
      <w:pPr>
        <w:spacing w:line="400" w:lineRule="exact"/>
        <w:ind w:firstLine="480" w:firstLineChars="200"/>
        <w:jc w:val="left"/>
        <w:rPr>
          <w:rFonts w:ascii="宋体" w:hAnsi="宋体" w:cs="仿宋"/>
          <w:sz w:val="24"/>
        </w:rPr>
      </w:pPr>
      <w:r>
        <w:rPr>
          <w:rFonts w:hint="eastAsia" w:ascii="宋体" w:hAnsi="宋体" w:cs="仿宋"/>
          <w:sz w:val="24"/>
        </w:rPr>
        <w:t>2）1万余株古树名木和约100个古树群的属性数据、图片数据、空间数据。古树名木数据采集《古树名木每木调查表》中的调查因子，包括古树编号、调查号、树种、位置、特点、权属、树龄、古树等级、树高、胸径、冠幅、立地条件、生长势、生长环境、影响生长环境因素、现存状态、养护复壮现状等30余个因子；古树群采集《古树群调查表》，主要因子包括群号、调查号、地点、四至界限、主要树种、面积、古树株数、林分平均高度、林分平均胸径（地径）、平均树龄、郁闭度、海拔、坡向、坡度等20余个因子；图片数据包括古树名木2张图片、古树名木群一张照片；古树名木空间数据根据《浙江省古树名木普查建档技术操作细则》要求，地理坐标系统一采用2000中国大地坐标系（CGCS2000），最终以.SHP格式提交。</w:t>
      </w:r>
    </w:p>
    <w:p>
      <w:pPr>
        <w:spacing w:line="400" w:lineRule="exact"/>
        <w:ind w:firstLine="480" w:firstLineChars="200"/>
        <w:jc w:val="left"/>
        <w:rPr>
          <w:rFonts w:ascii="宋体" w:hAnsi="宋体" w:cs="仿宋"/>
          <w:sz w:val="24"/>
        </w:rPr>
      </w:pPr>
      <w:r>
        <w:rPr>
          <w:rFonts w:hint="eastAsia" w:ascii="宋体" w:hAnsi="宋体" w:cs="仿宋"/>
          <w:sz w:val="24"/>
        </w:rPr>
        <w:t>3）6个自然保护地所涉及的属性数据和空间数据。临安区自然保护地6个,面积530565亩,其中地质公园1个面积30255亩,森林公园3个面积267270亩,自然保护区2个面积233040亩;包括矢量数据和属性数据，其因子包括保护地编号、保护地名称、面积、保护地类别、保护地级别等14个项，地理坐标系统一采用2000中国大地坐标系（CGCS2000），最终以.SHP格式提交。</w:t>
      </w:r>
    </w:p>
    <w:p>
      <w:pPr>
        <w:spacing w:line="400" w:lineRule="exact"/>
        <w:ind w:firstLine="480" w:firstLineChars="200"/>
        <w:jc w:val="left"/>
        <w:rPr>
          <w:rFonts w:ascii="宋体" w:hAnsi="宋体" w:cs="仿宋"/>
          <w:sz w:val="24"/>
        </w:rPr>
      </w:pPr>
      <w:r>
        <w:rPr>
          <w:rFonts w:hint="eastAsia" w:ascii="宋体" w:hAnsi="宋体" w:cs="仿宋"/>
          <w:sz w:val="24"/>
        </w:rPr>
        <w:t>4）风景资源数据：临安区森林风景资源包括生物景观资源、地文景观资源、水文景观资源、天象景观资源等四个主类，其中生物景观资源涉及4个亚类，13个次亚类；地文景观资源涉及5个亚类，7个次亚类；水文景观资源涉及3个亚类，6个次亚类；天象景观资源涉及1个亚类，1个次亚类；人文景观资源涉及3个亚类，16个次亚类。属性数据包括单体编号、单体名称、主类、亚类、次亚类、特征与性质、保存现状、保护措施等因子；空间数据包括点、线、面各种单体的空间分布数据，地理坐标系统一采用2000中国大地坐标系（CGCS2000），最终以.SHP格式提交。</w:t>
      </w:r>
    </w:p>
    <w:p>
      <w:pPr>
        <w:spacing w:line="400" w:lineRule="exact"/>
        <w:ind w:firstLine="480" w:firstLineChars="200"/>
        <w:jc w:val="left"/>
        <w:rPr>
          <w:rFonts w:ascii="宋体" w:hAnsi="宋体" w:cs="仿宋"/>
          <w:sz w:val="24"/>
        </w:rPr>
      </w:pPr>
      <w:r>
        <w:rPr>
          <w:rFonts w:hint="eastAsia" w:ascii="宋体" w:hAnsi="宋体" w:cs="仿宋"/>
          <w:sz w:val="24"/>
        </w:rPr>
        <w:t>5）其他特色资源等若干数量的数据。临安区域范围内具有特殊的森林资源专项数据，包括空间数据和属性数据。</w:t>
      </w:r>
    </w:p>
    <w:p>
      <w:pPr>
        <w:spacing w:line="400" w:lineRule="exact"/>
        <w:ind w:firstLine="480" w:firstLineChars="200"/>
        <w:jc w:val="left"/>
        <w:rPr>
          <w:rFonts w:ascii="宋体" w:hAnsi="宋体" w:cs="仿宋"/>
          <w:sz w:val="24"/>
        </w:rPr>
      </w:pPr>
      <w:r>
        <w:rPr>
          <w:rFonts w:hint="eastAsia" w:ascii="宋体" w:hAnsi="宋体" w:cs="仿宋"/>
          <w:sz w:val="24"/>
        </w:rPr>
        <w:t>4、森林资源经营管理数据整理</w:t>
      </w:r>
    </w:p>
    <w:p>
      <w:pPr>
        <w:spacing w:line="400" w:lineRule="exact"/>
        <w:ind w:firstLine="480" w:firstLineChars="200"/>
        <w:jc w:val="left"/>
        <w:rPr>
          <w:rFonts w:ascii="宋体" w:hAnsi="宋体" w:cs="仿宋"/>
          <w:sz w:val="24"/>
        </w:rPr>
      </w:pPr>
      <w:r>
        <w:rPr>
          <w:rFonts w:hint="eastAsia" w:ascii="宋体" w:hAnsi="宋体" w:cs="仿宋"/>
          <w:sz w:val="24"/>
        </w:rPr>
        <w:t>1）突变信息类数据：森林经营等非自然数据是将采伐、造林、征占、森林灾害（火灾和病虫害）、行政处罚（盗伐及乱砍乱伐）等与森林资源动态更新关系最为密切的数据，通过数据采集获取相关数据，包括属性数据和落地上图数据，并且将碎片化、数据分散进行空间数据和属性数据进行整理，实现数据有条件、宽范围共享。</w:t>
      </w:r>
    </w:p>
    <w:p>
      <w:pPr>
        <w:spacing w:line="400" w:lineRule="exact"/>
        <w:ind w:firstLine="480" w:firstLineChars="200"/>
        <w:jc w:val="left"/>
        <w:rPr>
          <w:rFonts w:ascii="宋体" w:hAnsi="宋体" w:cs="仿宋"/>
          <w:sz w:val="24"/>
        </w:rPr>
      </w:pPr>
      <w:r>
        <w:rPr>
          <w:rFonts w:hint="eastAsia" w:ascii="宋体" w:hAnsi="宋体" w:cs="仿宋"/>
          <w:sz w:val="24"/>
        </w:rPr>
        <w:t>2）渐变信息类数据：以全区为单位，利用生长与收获模型，为小班蓄积数据更新服务。搜集整理标准地、样地调查资料，结合县级森林资源消耗特点、森林资源经营管理实际情况，以小班为单位进行数据更新，获取渐变数据。</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4.2.1.2自然环境</w:t>
      </w:r>
    </w:p>
    <w:p>
      <w:pPr>
        <w:spacing w:line="400" w:lineRule="exact"/>
        <w:ind w:firstLine="480" w:firstLineChars="200"/>
        <w:jc w:val="left"/>
        <w:rPr>
          <w:rFonts w:ascii="宋体" w:hAnsi="宋体" w:cs="仿宋"/>
          <w:sz w:val="24"/>
        </w:rPr>
      </w:pPr>
      <w:r>
        <w:rPr>
          <w:rFonts w:hint="eastAsia" w:ascii="宋体" w:hAnsi="宋体" w:cs="仿宋"/>
          <w:sz w:val="24"/>
        </w:rPr>
        <w:t>（1）气象数据</w:t>
      </w:r>
    </w:p>
    <w:p>
      <w:pPr>
        <w:spacing w:line="400" w:lineRule="exact"/>
        <w:ind w:firstLine="480" w:firstLineChars="200"/>
        <w:jc w:val="left"/>
        <w:rPr>
          <w:rFonts w:ascii="宋体" w:hAnsi="宋体" w:cs="仿宋"/>
          <w:sz w:val="24"/>
        </w:rPr>
      </w:pPr>
      <w:r>
        <w:rPr>
          <w:rFonts w:hint="eastAsia" w:ascii="宋体" w:hAnsi="宋体" w:cs="仿宋"/>
          <w:sz w:val="24"/>
        </w:rPr>
        <w:t>通过对接临安区气象局，整理获取2016年-2020年临安区气象数据；</w:t>
      </w:r>
    </w:p>
    <w:p>
      <w:pPr>
        <w:spacing w:line="400" w:lineRule="exact"/>
        <w:ind w:firstLine="480" w:firstLineChars="200"/>
        <w:jc w:val="left"/>
        <w:rPr>
          <w:rFonts w:ascii="宋体" w:hAnsi="宋体" w:cs="仿宋"/>
          <w:sz w:val="24"/>
        </w:rPr>
      </w:pPr>
      <w:r>
        <w:rPr>
          <w:rFonts w:hint="eastAsia" w:ascii="宋体" w:hAnsi="宋体" w:cs="仿宋"/>
          <w:sz w:val="24"/>
        </w:rPr>
        <w:t>通过数字化示范基地的物联网设备采集基地的气象数据，包括环境温度、湿度、光照强度、风速、风向、降雨量、紫外线强度、辐射强度等气象要素的数据，这些数据通过无线传输模块，将带有时间空间信息的环境数据自动传送至平台端进行实时记录。</w:t>
      </w:r>
    </w:p>
    <w:p>
      <w:pPr>
        <w:spacing w:line="400" w:lineRule="exact"/>
        <w:ind w:firstLine="480" w:firstLineChars="200"/>
        <w:jc w:val="left"/>
        <w:rPr>
          <w:rFonts w:ascii="宋体" w:hAnsi="宋体" w:cs="仿宋"/>
          <w:sz w:val="24"/>
        </w:rPr>
      </w:pPr>
      <w:r>
        <w:rPr>
          <w:rFonts w:hint="eastAsia" w:ascii="宋体" w:hAnsi="宋体" w:cs="仿宋"/>
          <w:sz w:val="24"/>
        </w:rPr>
        <w:t>（2）土壤数据</w:t>
      </w:r>
    </w:p>
    <w:p>
      <w:pPr>
        <w:spacing w:line="400" w:lineRule="exact"/>
        <w:ind w:firstLine="480" w:firstLineChars="200"/>
        <w:jc w:val="left"/>
        <w:rPr>
          <w:rFonts w:ascii="宋体" w:hAnsi="宋体" w:cs="仿宋"/>
          <w:sz w:val="24"/>
        </w:rPr>
      </w:pPr>
      <w:r>
        <w:rPr>
          <w:rFonts w:hint="eastAsia" w:ascii="宋体" w:hAnsi="宋体" w:cs="仿宋"/>
          <w:sz w:val="24"/>
        </w:rPr>
        <w:t>主要包括土壤墒情（土壤湿度）与分层湿度、土壤温度与分层温度、土壤pH值、土壤盐分、土壤紧实度等。</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pacing w:line="400" w:lineRule="exact"/>
              <w:ind w:firstLine="480"/>
              <w:jc w:val="center"/>
              <w:rPr>
                <w:rFonts w:hint="default" w:ascii="宋体" w:hAnsi="宋体" w:cs="仿宋"/>
                <w:sz w:val="24"/>
              </w:rPr>
            </w:pPr>
            <w:r>
              <w:rPr>
                <w:rFonts w:hint="eastAsia" w:ascii="宋体" w:hAnsi="宋体" w:cs="仿宋"/>
                <w:sz w:val="24"/>
              </w:rPr>
              <w:t>土壤信息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00" w:lineRule="exact"/>
              <w:jc w:val="center"/>
              <w:rPr>
                <w:rFonts w:hint="default" w:ascii="宋体" w:hAnsi="宋体" w:cs="仿宋"/>
                <w:sz w:val="24"/>
              </w:rPr>
            </w:pPr>
            <w:r>
              <w:rPr>
                <w:rFonts w:hint="eastAsia" w:ascii="宋体" w:hAnsi="宋体" w:cs="仿宋"/>
                <w:sz w:val="24"/>
              </w:rPr>
              <w:t>土壤温度</w:t>
            </w:r>
          </w:p>
        </w:tc>
        <w:tc>
          <w:tcPr>
            <w:tcW w:w="2130" w:type="dxa"/>
          </w:tcPr>
          <w:p>
            <w:pPr>
              <w:spacing w:line="400" w:lineRule="exact"/>
              <w:jc w:val="center"/>
              <w:rPr>
                <w:rFonts w:hint="default" w:ascii="宋体" w:hAnsi="宋体" w:cs="仿宋"/>
                <w:sz w:val="24"/>
              </w:rPr>
            </w:pPr>
            <w:r>
              <w:rPr>
                <w:rFonts w:hint="eastAsia" w:ascii="宋体" w:hAnsi="宋体" w:cs="仿宋"/>
                <w:sz w:val="24"/>
              </w:rPr>
              <w:t>土壤湿度</w:t>
            </w:r>
          </w:p>
        </w:tc>
        <w:tc>
          <w:tcPr>
            <w:tcW w:w="2131" w:type="dxa"/>
          </w:tcPr>
          <w:p>
            <w:pPr>
              <w:spacing w:line="400" w:lineRule="exact"/>
              <w:jc w:val="center"/>
              <w:rPr>
                <w:rFonts w:hint="default" w:ascii="宋体" w:hAnsi="宋体" w:cs="仿宋"/>
                <w:sz w:val="24"/>
              </w:rPr>
            </w:pPr>
            <w:r>
              <w:rPr>
                <w:rFonts w:hint="eastAsia" w:ascii="宋体" w:hAnsi="宋体" w:cs="仿宋"/>
                <w:sz w:val="24"/>
              </w:rPr>
              <w:t>PH值</w:t>
            </w:r>
          </w:p>
        </w:tc>
        <w:tc>
          <w:tcPr>
            <w:tcW w:w="2131" w:type="dxa"/>
          </w:tcPr>
          <w:p>
            <w:pPr>
              <w:spacing w:line="400" w:lineRule="exact"/>
              <w:jc w:val="center"/>
              <w:rPr>
                <w:rFonts w:hint="default" w:ascii="宋体" w:hAnsi="宋体" w:cs="仿宋"/>
                <w:sz w:val="24"/>
              </w:rPr>
            </w:pPr>
            <w:r>
              <w:rPr>
                <w:rFonts w:hint="eastAsia" w:ascii="宋体" w:hAnsi="宋体" w:cs="仿宋"/>
                <w:sz w:val="24"/>
              </w:rPr>
              <w:t>氮磷钾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400" w:lineRule="exact"/>
              <w:jc w:val="center"/>
              <w:rPr>
                <w:rFonts w:hint="default" w:ascii="宋体" w:hAnsi="宋体" w:cs="仿宋"/>
                <w:sz w:val="24"/>
              </w:rPr>
            </w:pPr>
            <w:r>
              <w:rPr>
                <w:rFonts w:hint="eastAsia" w:ascii="宋体" w:hAnsi="宋体" w:cs="仿宋"/>
                <w:sz w:val="24"/>
              </w:rPr>
              <w:t>有机质</w:t>
            </w:r>
          </w:p>
        </w:tc>
        <w:tc>
          <w:tcPr>
            <w:tcW w:w="2130" w:type="dxa"/>
          </w:tcPr>
          <w:p>
            <w:pPr>
              <w:spacing w:line="400" w:lineRule="exact"/>
              <w:jc w:val="center"/>
              <w:rPr>
                <w:rFonts w:hint="default" w:ascii="宋体" w:hAnsi="宋体" w:cs="仿宋"/>
                <w:sz w:val="24"/>
              </w:rPr>
            </w:pPr>
            <w:r>
              <w:rPr>
                <w:rFonts w:hint="eastAsia" w:ascii="宋体" w:hAnsi="宋体" w:cs="仿宋"/>
                <w:sz w:val="24"/>
              </w:rPr>
              <w:t>中微量元素</w:t>
            </w:r>
          </w:p>
        </w:tc>
        <w:tc>
          <w:tcPr>
            <w:tcW w:w="2131" w:type="dxa"/>
          </w:tcPr>
          <w:p>
            <w:pPr>
              <w:spacing w:line="400" w:lineRule="exact"/>
              <w:jc w:val="center"/>
              <w:rPr>
                <w:rFonts w:hint="default" w:ascii="宋体" w:hAnsi="宋体" w:cs="仿宋"/>
                <w:sz w:val="24"/>
              </w:rPr>
            </w:pPr>
            <w:r>
              <w:rPr>
                <w:rFonts w:hint="eastAsia" w:ascii="宋体" w:hAnsi="宋体" w:cs="仿宋"/>
                <w:sz w:val="24"/>
              </w:rPr>
              <w:t>盐分</w:t>
            </w:r>
          </w:p>
        </w:tc>
        <w:tc>
          <w:tcPr>
            <w:tcW w:w="2131" w:type="dxa"/>
          </w:tcPr>
          <w:p>
            <w:pPr>
              <w:spacing w:line="400" w:lineRule="exact"/>
              <w:jc w:val="center"/>
              <w:rPr>
                <w:rFonts w:hint="default" w:ascii="宋体" w:hAnsi="宋体" w:cs="仿宋"/>
                <w:sz w:val="24"/>
              </w:rPr>
            </w:pPr>
            <w:r>
              <w:rPr>
                <w:rFonts w:hint="eastAsia" w:ascii="宋体" w:hAnsi="宋体" w:cs="仿宋"/>
                <w:sz w:val="24"/>
              </w:rPr>
              <w:t>土壤紧实度</w:t>
            </w:r>
          </w:p>
        </w:tc>
      </w:tr>
    </w:tbl>
    <w:p>
      <w:pPr>
        <w:spacing w:line="400" w:lineRule="exact"/>
        <w:ind w:firstLine="480" w:firstLineChars="200"/>
        <w:jc w:val="left"/>
        <w:rPr>
          <w:rFonts w:ascii="宋体" w:hAnsi="宋体" w:cs="仿宋"/>
          <w:sz w:val="24"/>
        </w:rPr>
      </w:pPr>
      <w:r>
        <w:rPr>
          <w:rFonts w:hint="eastAsia" w:ascii="宋体" w:hAnsi="宋体" w:cs="仿宋"/>
          <w:sz w:val="24"/>
        </w:rPr>
        <w:t>对接、整理浙江农林大学300个左右土壤监测点的山核桃林地土壤检测数据；</w:t>
      </w:r>
    </w:p>
    <w:p>
      <w:pPr>
        <w:spacing w:line="400" w:lineRule="exact"/>
        <w:ind w:firstLine="480" w:firstLineChars="200"/>
        <w:jc w:val="left"/>
        <w:rPr>
          <w:rFonts w:ascii="宋体" w:hAnsi="宋体" w:cs="仿宋"/>
          <w:sz w:val="24"/>
        </w:rPr>
      </w:pPr>
      <w:r>
        <w:rPr>
          <w:rFonts w:hint="eastAsia" w:ascii="宋体" w:hAnsi="宋体" w:cs="仿宋"/>
          <w:sz w:val="24"/>
        </w:rPr>
        <w:t>采集临安区6个山核桃数字示范基地由传感器采集到的所有土壤数据，自动传输到平台端进行实时记录。</w:t>
      </w:r>
    </w:p>
    <w:p>
      <w:pPr>
        <w:spacing w:line="400" w:lineRule="exact"/>
        <w:ind w:firstLine="480" w:firstLineChars="200"/>
        <w:jc w:val="left"/>
        <w:rPr>
          <w:rFonts w:ascii="宋体" w:hAnsi="宋体" w:cs="仿宋"/>
          <w:sz w:val="24"/>
        </w:rPr>
      </w:pPr>
      <w:r>
        <w:rPr>
          <w:rFonts w:hint="eastAsia" w:ascii="宋体" w:hAnsi="宋体" w:cs="仿宋"/>
          <w:sz w:val="24"/>
        </w:rPr>
        <w:t>（3）地形数据</w:t>
      </w:r>
    </w:p>
    <w:p>
      <w:pPr>
        <w:spacing w:line="400" w:lineRule="exact"/>
        <w:ind w:firstLine="480" w:firstLineChars="200"/>
        <w:jc w:val="left"/>
        <w:rPr>
          <w:rFonts w:ascii="宋体" w:hAnsi="宋体" w:cs="仿宋"/>
          <w:sz w:val="24"/>
        </w:rPr>
      </w:pPr>
      <w:r>
        <w:rPr>
          <w:rFonts w:hint="eastAsia" w:ascii="宋体" w:hAnsi="宋体" w:cs="仿宋"/>
          <w:sz w:val="24"/>
        </w:rPr>
        <w:t>针对全区山核桃林地，通过组合导航、激光雷达装备、穿戴式设备集成与显示、三维精细重构、摄影测量集成与数据传输等技术，呈现精确到每一单元的地形数据的数字地形模型。</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4.2.1.3种植情况</w:t>
      </w:r>
    </w:p>
    <w:p>
      <w:pPr>
        <w:spacing w:line="400" w:lineRule="exact"/>
        <w:ind w:firstLine="480" w:firstLineChars="200"/>
        <w:jc w:val="left"/>
        <w:rPr>
          <w:rFonts w:ascii="宋体" w:hAnsi="宋体" w:cs="仿宋"/>
          <w:sz w:val="24"/>
        </w:rPr>
      </w:pPr>
      <w:r>
        <w:rPr>
          <w:rFonts w:hint="eastAsia" w:ascii="宋体" w:hAnsi="宋体" w:cs="仿宋"/>
          <w:sz w:val="24"/>
        </w:rPr>
        <w:t>山核桃主要种植情况主要包含种植面积、种植株数、种植间距、生长周期、病虫害等情况。</w:t>
      </w:r>
    </w:p>
    <w:p>
      <w:pPr>
        <w:spacing w:line="400" w:lineRule="exact"/>
        <w:ind w:firstLine="480" w:firstLineChars="200"/>
        <w:jc w:val="left"/>
        <w:rPr>
          <w:rFonts w:ascii="宋体" w:hAnsi="宋体" w:cs="仿宋"/>
          <w:sz w:val="24"/>
        </w:rPr>
      </w:pPr>
      <w:r>
        <w:rPr>
          <w:rFonts w:hint="eastAsia" w:ascii="宋体" w:hAnsi="宋体" w:cs="仿宋"/>
          <w:sz w:val="24"/>
        </w:rPr>
        <w:t>（1）种植面积</w:t>
      </w:r>
    </w:p>
    <w:p>
      <w:pPr>
        <w:spacing w:line="400" w:lineRule="exact"/>
        <w:ind w:firstLine="480" w:firstLineChars="200"/>
        <w:jc w:val="left"/>
        <w:rPr>
          <w:rFonts w:ascii="宋体" w:hAnsi="宋体" w:cs="仿宋"/>
          <w:sz w:val="24"/>
        </w:rPr>
      </w:pPr>
      <w:r>
        <w:rPr>
          <w:rFonts w:hint="eastAsia" w:ascii="宋体" w:hAnsi="宋体" w:cs="仿宋"/>
          <w:sz w:val="24"/>
        </w:rPr>
        <w:t>使用2016年-2020年来临安山核桃种植区域的国产高分系列卫星影像数据，通过影像智能处理技术和人工校正，获取高精度山核桃种植区域及面积数据，要求50万亩以上数据。测绘山核桃产业重点镇分布与面积。对接共享2004年、2017年山核桃二类资源调查数据。使用无人机测绘6个山核桃数字示范基地地形图，为无人机植保提供数据支持服务。</w:t>
      </w:r>
    </w:p>
    <w:p>
      <w:pPr>
        <w:spacing w:line="400" w:lineRule="exact"/>
        <w:ind w:firstLine="480" w:firstLineChars="200"/>
        <w:jc w:val="left"/>
        <w:rPr>
          <w:rFonts w:ascii="宋体" w:hAnsi="宋体" w:cs="仿宋"/>
          <w:sz w:val="24"/>
        </w:rPr>
      </w:pPr>
      <w:r>
        <w:rPr>
          <w:rFonts w:hint="eastAsia" w:ascii="宋体" w:hAnsi="宋体" w:cs="仿宋"/>
          <w:sz w:val="24"/>
        </w:rPr>
        <w:t>（2）种植密度</w:t>
      </w:r>
    </w:p>
    <w:p>
      <w:pPr>
        <w:spacing w:line="400" w:lineRule="exact"/>
        <w:ind w:firstLine="480" w:firstLineChars="200"/>
        <w:jc w:val="left"/>
        <w:rPr>
          <w:rFonts w:ascii="宋体" w:hAnsi="宋体" w:cs="仿宋"/>
          <w:sz w:val="24"/>
        </w:rPr>
      </w:pPr>
      <w:r>
        <w:rPr>
          <w:rFonts w:hint="eastAsia" w:ascii="宋体" w:hAnsi="宋体" w:cs="仿宋"/>
          <w:sz w:val="24"/>
        </w:rPr>
        <w:t>使用无人机，搭载高分辨率摄像头，选取示范性山核桃种植林地，对临安区9个基于地区海拔不同分布的示范基地种植区域进行影像拍摄，精准计算种植间距与种植株数，并横向比较不同种植密度对山核桃产量、品质的影响。</w:t>
      </w:r>
    </w:p>
    <w:p>
      <w:pPr>
        <w:spacing w:line="400" w:lineRule="exact"/>
        <w:ind w:firstLine="480" w:firstLineChars="200"/>
        <w:jc w:val="left"/>
        <w:rPr>
          <w:rFonts w:ascii="宋体" w:hAnsi="宋体" w:cs="仿宋"/>
          <w:sz w:val="24"/>
        </w:rPr>
      </w:pPr>
      <w:r>
        <w:rPr>
          <w:rFonts w:hint="eastAsia" w:ascii="宋体" w:hAnsi="宋体" w:cs="仿宋"/>
          <w:sz w:val="24"/>
        </w:rPr>
        <w:t>（3）生长周期</w:t>
      </w:r>
    </w:p>
    <w:p>
      <w:pPr>
        <w:spacing w:line="400" w:lineRule="exact"/>
        <w:ind w:firstLine="480" w:firstLineChars="200"/>
        <w:jc w:val="left"/>
        <w:rPr>
          <w:rFonts w:ascii="宋体" w:hAnsi="宋体" w:cs="仿宋"/>
          <w:sz w:val="24"/>
        </w:rPr>
      </w:pPr>
      <w:r>
        <w:rPr>
          <w:rFonts w:hint="eastAsia" w:ascii="宋体" w:hAnsi="宋体" w:cs="仿宋"/>
          <w:sz w:val="24"/>
        </w:rPr>
        <w:t>使用无人机搭载多光谱的传感器对临安区9个基于地区海拔不同分布的示范基地的山核桃生长周期进行监测，观测山核桃树的生长年龄和物候期，用于山核桃生长趋势分析。</w:t>
      </w:r>
    </w:p>
    <w:p>
      <w:pPr>
        <w:spacing w:line="400" w:lineRule="exact"/>
        <w:ind w:firstLine="480" w:firstLineChars="200"/>
        <w:jc w:val="left"/>
        <w:rPr>
          <w:rFonts w:ascii="宋体" w:hAnsi="宋体" w:cs="仿宋"/>
          <w:sz w:val="24"/>
        </w:rPr>
      </w:pPr>
      <w:r>
        <w:rPr>
          <w:rFonts w:hint="eastAsia" w:ascii="宋体" w:hAnsi="宋体" w:cs="仿宋"/>
          <w:sz w:val="24"/>
        </w:rPr>
        <w:t>（4）病虫害</w:t>
      </w:r>
    </w:p>
    <w:p>
      <w:pPr>
        <w:spacing w:line="400" w:lineRule="exact"/>
        <w:ind w:firstLine="480" w:firstLineChars="200"/>
        <w:jc w:val="left"/>
        <w:rPr>
          <w:rFonts w:ascii="宋体" w:hAnsi="宋体" w:cs="仿宋"/>
          <w:sz w:val="24"/>
        </w:rPr>
      </w:pPr>
      <w:r>
        <w:rPr>
          <w:rFonts w:hint="eastAsia" w:ascii="宋体" w:hAnsi="宋体" w:cs="仿宋"/>
          <w:sz w:val="24"/>
        </w:rPr>
        <w:t>对接共享山核桃病虫害历史数据。通过无人机、虫情测报灯及智能信息采集设备、人工校正等方式，对临安区6个山核桃数字示范基地统计不同种类害虫的总量，记录不同病害在不同季节的爆发程度和该病害的叶片或植株症状，以测算受病害的植株总量并建立林地内病害数据库。</w:t>
      </w:r>
    </w:p>
    <w:p>
      <w:pPr>
        <w:spacing w:line="400" w:lineRule="exact"/>
        <w:ind w:firstLine="480" w:firstLineChars="200"/>
        <w:jc w:val="left"/>
        <w:rPr>
          <w:rFonts w:ascii="宋体" w:hAnsi="宋体" w:cs="仿宋"/>
          <w:sz w:val="24"/>
        </w:rPr>
      </w:pPr>
      <w:r>
        <w:rPr>
          <w:rFonts w:hint="eastAsia" w:ascii="宋体" w:hAnsi="宋体" w:cs="仿宋"/>
          <w:sz w:val="24"/>
        </w:rPr>
        <w:t>其中种植面积、种植密度及生长周期通过遥感影像解译完成，并进行5%-10%的实地复核。</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4.2.1.4生态治理</w:t>
      </w:r>
    </w:p>
    <w:p>
      <w:pPr>
        <w:spacing w:line="400" w:lineRule="exact"/>
        <w:ind w:firstLine="480" w:firstLineChars="200"/>
        <w:jc w:val="left"/>
        <w:rPr>
          <w:rFonts w:ascii="宋体" w:hAnsi="宋体" w:cs="仿宋"/>
          <w:sz w:val="24"/>
        </w:rPr>
      </w:pPr>
      <w:r>
        <w:rPr>
          <w:rFonts w:hint="eastAsia" w:ascii="宋体" w:hAnsi="宋体" w:cs="仿宋"/>
          <w:sz w:val="24"/>
        </w:rPr>
        <w:t>对接临安区山核桃禁止经营区、生态经营区划分的底层数据，并制定划分标准，形成成果图鉴，在大屏上直观显示禁止经营区与生态经营区的分布及变化。</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4.2.1.5自然灾害</w:t>
      </w:r>
    </w:p>
    <w:p>
      <w:pPr>
        <w:spacing w:line="400" w:lineRule="exact"/>
        <w:ind w:firstLine="480" w:firstLineChars="200"/>
        <w:jc w:val="left"/>
        <w:rPr>
          <w:rFonts w:ascii="宋体" w:hAnsi="宋体" w:cs="仿宋"/>
          <w:sz w:val="24"/>
        </w:rPr>
      </w:pPr>
      <w:r>
        <w:rPr>
          <w:rFonts w:hint="eastAsia" w:ascii="宋体" w:hAnsi="宋体" w:cs="仿宋"/>
          <w:sz w:val="24"/>
        </w:rPr>
        <w:t>对接临安气象部门、地质部门和水利部门，采集2016年-2020年影响临安山核桃各种气象灾害数据，并收集对应时间的高精度卫星遥感影像，对比分析灾前灾后林地植株在影像上的特征表现，最终综合评估自然灾害对山核桃种植影响，重点是对当年产量和品质的影响并为未来灾害预警提供指导性手册。</w:t>
      </w:r>
    </w:p>
    <w:p>
      <w:pPr>
        <w:spacing w:line="400" w:lineRule="exact"/>
        <w:ind w:firstLine="480" w:firstLineChars="200"/>
        <w:jc w:val="left"/>
        <w:rPr>
          <w:rFonts w:ascii="宋体" w:hAnsi="宋体" w:cs="仿宋"/>
          <w:sz w:val="24"/>
        </w:rPr>
      </w:pPr>
      <w:r>
        <w:rPr>
          <w:rFonts w:hint="eastAsia" w:ascii="宋体" w:hAnsi="宋体" w:cs="仿宋"/>
          <w:sz w:val="24"/>
        </w:rPr>
        <w:t>（1）台风自然灾害数据收集</w:t>
      </w:r>
    </w:p>
    <w:p>
      <w:pPr>
        <w:spacing w:line="400" w:lineRule="exact"/>
        <w:ind w:firstLine="480" w:firstLineChars="200"/>
        <w:jc w:val="left"/>
        <w:rPr>
          <w:rFonts w:ascii="宋体" w:hAnsi="宋体" w:cs="仿宋"/>
          <w:sz w:val="24"/>
        </w:rPr>
      </w:pPr>
      <w:r>
        <w:rPr>
          <w:rFonts w:hint="eastAsia" w:ascii="宋体" w:hAnsi="宋体" w:cs="仿宋"/>
          <w:sz w:val="24"/>
        </w:rPr>
        <w:t>重大台风数据，包括台风名称、时间、路径、强度、影响范围和造成的经济损失等；</w:t>
      </w:r>
    </w:p>
    <w:p>
      <w:pPr>
        <w:spacing w:line="400" w:lineRule="exact"/>
        <w:ind w:firstLine="480" w:firstLineChars="200"/>
        <w:jc w:val="left"/>
        <w:rPr>
          <w:rFonts w:ascii="宋体" w:hAnsi="宋体" w:cs="仿宋"/>
          <w:sz w:val="24"/>
        </w:rPr>
      </w:pPr>
      <w:r>
        <w:rPr>
          <w:rFonts w:hint="eastAsia" w:ascii="宋体" w:hAnsi="宋体" w:cs="仿宋"/>
          <w:sz w:val="24"/>
        </w:rPr>
        <w:t>（2）地质灾害数据收集</w:t>
      </w:r>
    </w:p>
    <w:p>
      <w:pPr>
        <w:spacing w:line="400" w:lineRule="exact"/>
        <w:ind w:firstLine="480" w:firstLineChars="200"/>
        <w:jc w:val="left"/>
        <w:rPr>
          <w:rFonts w:ascii="宋体" w:hAnsi="宋体" w:cs="仿宋"/>
          <w:sz w:val="24"/>
        </w:rPr>
      </w:pPr>
      <w:r>
        <w:rPr>
          <w:rFonts w:hint="eastAsia" w:ascii="宋体" w:hAnsi="宋体" w:cs="仿宋"/>
          <w:sz w:val="24"/>
        </w:rPr>
        <w:t>重大地质灾害数据，包括地质灾害成因、规模等级、方量、影响范围和造成的经济损失等。</w:t>
      </w:r>
    </w:p>
    <w:p>
      <w:pPr>
        <w:spacing w:line="400" w:lineRule="exact"/>
        <w:ind w:firstLine="480" w:firstLineChars="200"/>
        <w:jc w:val="left"/>
        <w:rPr>
          <w:rFonts w:ascii="宋体" w:hAnsi="宋体" w:cs="仿宋"/>
          <w:sz w:val="24"/>
        </w:rPr>
      </w:pPr>
      <w:r>
        <w:rPr>
          <w:rFonts w:hint="eastAsia" w:ascii="宋体" w:hAnsi="宋体" w:cs="仿宋"/>
          <w:sz w:val="24"/>
        </w:rPr>
        <w:t>（3）卫星遥感影像解译</w:t>
      </w:r>
    </w:p>
    <w:p>
      <w:pPr>
        <w:spacing w:line="400" w:lineRule="exact"/>
        <w:ind w:firstLine="480" w:firstLineChars="200"/>
        <w:jc w:val="left"/>
        <w:rPr>
          <w:rFonts w:ascii="宋体" w:hAnsi="宋体" w:cs="仿宋"/>
          <w:sz w:val="24"/>
        </w:rPr>
      </w:pPr>
      <w:r>
        <w:rPr>
          <w:rFonts w:hint="eastAsia" w:ascii="宋体" w:hAnsi="宋体" w:cs="仿宋"/>
          <w:sz w:val="24"/>
        </w:rPr>
        <w:t>收集临安区岛石镇、清凉峰镇、龙岗镇、昌化镇、湍口镇5个镇卫星遥感数据，并解译重大自然灾害前后山核桃遥感信息，分析受灾面积和受灾强度。</w:t>
      </w:r>
    </w:p>
    <w:p>
      <w:pPr>
        <w:spacing w:line="400" w:lineRule="exact"/>
        <w:ind w:firstLine="480" w:firstLineChars="200"/>
        <w:jc w:val="left"/>
        <w:rPr>
          <w:rFonts w:ascii="宋体" w:hAnsi="宋体" w:cs="仿宋"/>
          <w:sz w:val="24"/>
        </w:rPr>
      </w:pPr>
      <w:r>
        <w:rPr>
          <w:rFonts w:hint="eastAsia" w:ascii="宋体" w:hAnsi="宋体" w:cs="仿宋"/>
          <w:sz w:val="24"/>
        </w:rPr>
        <w:t xml:space="preserve">（4）预警指导手册   </w:t>
      </w:r>
    </w:p>
    <w:p>
      <w:pPr>
        <w:spacing w:line="400" w:lineRule="exact"/>
        <w:ind w:firstLine="480" w:firstLineChars="200"/>
        <w:jc w:val="left"/>
        <w:rPr>
          <w:rFonts w:ascii="宋体" w:hAnsi="宋体" w:cs="仿宋"/>
          <w:sz w:val="24"/>
        </w:rPr>
      </w:pPr>
      <w:r>
        <w:rPr>
          <w:rFonts w:hint="eastAsia" w:ascii="宋体" w:hAnsi="宋体" w:cs="仿宋"/>
          <w:sz w:val="24"/>
        </w:rPr>
        <w:t>编制《临安区山核桃自然灾害预警手册》，手册内容包括受灾原因分析、不同等级灾害下山核桃受灾表现及相应灾害预警下可采取的预防性措施建议，手册下发至每个乡镇，下发总数不少于500册。</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4.2.1.6产量数据</w:t>
      </w:r>
    </w:p>
    <w:p>
      <w:pPr>
        <w:spacing w:line="400" w:lineRule="exact"/>
        <w:ind w:firstLine="480" w:firstLineChars="200"/>
        <w:jc w:val="left"/>
        <w:rPr>
          <w:rFonts w:ascii="宋体" w:hAnsi="宋体" w:cs="仿宋"/>
          <w:sz w:val="24"/>
        </w:rPr>
      </w:pPr>
      <w:r>
        <w:rPr>
          <w:rFonts w:hint="eastAsia" w:ascii="宋体" w:hAnsi="宋体" w:cs="仿宋"/>
          <w:sz w:val="24"/>
        </w:rPr>
        <w:t>采集2015年-2019年临安山核桃产量的官方数据。采集山核桃产业重点镇（岛石镇、龙岗镇、昌化镇、湍口镇、清凉峰镇等）、行政村、合作社及6个山核桃数字示范基地的产量数据。</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4.2.1.7生产加工</w:t>
      </w:r>
    </w:p>
    <w:p>
      <w:pPr>
        <w:spacing w:line="400" w:lineRule="exact"/>
        <w:ind w:firstLine="480" w:firstLineChars="200"/>
        <w:jc w:val="left"/>
        <w:rPr>
          <w:rFonts w:ascii="宋体" w:hAnsi="宋体" w:cs="仿宋"/>
          <w:sz w:val="24"/>
        </w:rPr>
      </w:pPr>
      <w:r>
        <w:rPr>
          <w:rFonts w:hint="eastAsia" w:ascii="宋体" w:hAnsi="宋体" w:cs="仿宋"/>
          <w:sz w:val="24"/>
        </w:rPr>
        <w:t>采集2017年-2019年临安主要加工厂（20家以上）及脱蒲中心数据，包括加工设备、进货量、加工量、出货量、库存量、产品规格、口味、质量检测数据等，全面反映临安山核桃的加工能力。</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4.2.1.8市场销售</w:t>
      </w:r>
    </w:p>
    <w:p>
      <w:pPr>
        <w:spacing w:line="400" w:lineRule="exact"/>
        <w:ind w:firstLine="480" w:firstLineChars="200"/>
        <w:jc w:val="left"/>
        <w:rPr>
          <w:rFonts w:ascii="宋体" w:hAnsi="宋体" w:cs="仿宋"/>
          <w:sz w:val="24"/>
        </w:rPr>
      </w:pPr>
      <w:r>
        <w:rPr>
          <w:rFonts w:hint="eastAsia" w:ascii="宋体" w:hAnsi="宋体" w:cs="仿宋"/>
          <w:sz w:val="24"/>
        </w:rPr>
        <w:t>针对于2017年-2019年农产品价格、电商数据、统计局等互联网公开涉农数据进行采集。市场数据包括全国农批市场、各市场当天最高最低大宗价、全国整体山核桃总需求量、供应量、各地域消费量及产业市场资讯等，绘制山核桃价格曲线图。</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4.2.1.9品牌数据</w:t>
      </w:r>
    </w:p>
    <w:p>
      <w:pPr>
        <w:spacing w:line="400" w:lineRule="exact"/>
        <w:ind w:firstLine="480" w:firstLineChars="200"/>
        <w:jc w:val="left"/>
        <w:rPr>
          <w:rFonts w:ascii="宋体" w:hAnsi="宋体" w:cs="仿宋"/>
          <w:sz w:val="24"/>
        </w:rPr>
      </w:pPr>
      <w:r>
        <w:rPr>
          <w:rFonts w:hint="eastAsia" w:ascii="宋体" w:hAnsi="宋体" w:cs="仿宋"/>
          <w:sz w:val="24"/>
        </w:rPr>
        <w:t>采集2017年-2019年30家以上山核桃龙头企业品牌基础数据：品牌名称、产品类型、商标信息、生产能力、年营业额等，录入临安山核桃品牌管理系统，进行区域品牌申请审核与授权，评价临安山核桃龙头企业品牌竞争力。</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4.2.1.10产业主体</w:t>
      </w:r>
    </w:p>
    <w:p>
      <w:pPr>
        <w:spacing w:line="400" w:lineRule="exact"/>
        <w:ind w:firstLine="480" w:firstLineChars="200"/>
        <w:jc w:val="left"/>
        <w:rPr>
          <w:rFonts w:ascii="宋体" w:hAnsi="宋体" w:cs="仿宋"/>
          <w:sz w:val="24"/>
        </w:rPr>
      </w:pPr>
      <w:r>
        <w:rPr>
          <w:rFonts w:hint="eastAsia" w:ascii="宋体" w:hAnsi="宋体" w:cs="仿宋"/>
          <w:sz w:val="24"/>
        </w:rPr>
        <w:t>采集从事山核桃生产经营及服务的种植大户、专业合作社、农技专家、加工厂、龙头企业、新型职业农民等100个以上产业相关主体数据，评价临安山核桃产业主体专业化程度。</w:t>
      </w:r>
    </w:p>
    <w:p>
      <w:pPr>
        <w:spacing w:line="400" w:lineRule="exact"/>
        <w:ind w:firstLine="480" w:firstLineChars="200"/>
        <w:jc w:val="left"/>
        <w:rPr>
          <w:rFonts w:ascii="宋体" w:hAnsi="宋体" w:cs="仿宋"/>
          <w:sz w:val="24"/>
        </w:rPr>
      </w:pPr>
      <w:bookmarkStart w:id="7" w:name="_Toc41902823"/>
      <w:r>
        <w:rPr>
          <w:rFonts w:hint="eastAsia" w:ascii="宋体" w:hAnsi="宋体" w:cs="仿宋"/>
          <w:sz w:val="24"/>
        </w:rPr>
        <w:t>（1）种植大户数据收集</w:t>
      </w:r>
      <w:bookmarkEnd w:id="7"/>
      <w:r>
        <w:rPr>
          <w:rFonts w:hint="eastAsia" w:ascii="宋体" w:hAnsi="宋体" w:cs="仿宋"/>
          <w:sz w:val="24"/>
        </w:rPr>
        <w:tab/>
      </w:r>
    </w:p>
    <w:p>
      <w:pPr>
        <w:spacing w:line="400" w:lineRule="exact"/>
        <w:ind w:firstLine="480" w:firstLineChars="200"/>
        <w:jc w:val="left"/>
        <w:rPr>
          <w:rFonts w:ascii="宋体" w:hAnsi="宋体" w:cs="仿宋"/>
          <w:sz w:val="24"/>
        </w:rPr>
      </w:pPr>
      <w:r>
        <w:rPr>
          <w:rFonts w:hint="eastAsia" w:ascii="宋体" w:hAnsi="宋体" w:cs="仿宋"/>
          <w:sz w:val="24"/>
        </w:rPr>
        <w:t>（2）合作社信息收集</w:t>
      </w:r>
    </w:p>
    <w:p>
      <w:pPr>
        <w:spacing w:line="400" w:lineRule="exact"/>
        <w:ind w:firstLine="480" w:firstLineChars="200"/>
        <w:jc w:val="left"/>
        <w:rPr>
          <w:rFonts w:ascii="宋体" w:hAnsi="宋体" w:cs="仿宋"/>
          <w:sz w:val="24"/>
        </w:rPr>
      </w:pPr>
      <w:r>
        <w:rPr>
          <w:rFonts w:hint="eastAsia" w:ascii="宋体" w:hAnsi="宋体" w:cs="仿宋"/>
          <w:sz w:val="24"/>
        </w:rPr>
        <w:t>（3）农技专家数据收集</w:t>
      </w:r>
    </w:p>
    <w:p>
      <w:pPr>
        <w:spacing w:line="400" w:lineRule="exact"/>
        <w:ind w:firstLine="480" w:firstLineChars="200"/>
        <w:jc w:val="left"/>
        <w:rPr>
          <w:rFonts w:ascii="宋体" w:hAnsi="宋体" w:cs="仿宋"/>
          <w:sz w:val="24"/>
        </w:rPr>
      </w:pPr>
      <w:r>
        <w:rPr>
          <w:rFonts w:hint="eastAsia" w:ascii="宋体" w:hAnsi="宋体" w:cs="仿宋"/>
          <w:sz w:val="24"/>
        </w:rPr>
        <w:t>（4）加工厂数据收集</w:t>
      </w:r>
    </w:p>
    <w:p>
      <w:pPr>
        <w:spacing w:line="400" w:lineRule="exact"/>
        <w:ind w:firstLine="480" w:firstLineChars="200"/>
        <w:jc w:val="left"/>
        <w:rPr>
          <w:rFonts w:ascii="宋体" w:hAnsi="宋体" w:cs="仿宋"/>
          <w:sz w:val="24"/>
        </w:rPr>
      </w:pPr>
      <w:r>
        <w:rPr>
          <w:rFonts w:hint="eastAsia" w:ascii="宋体" w:hAnsi="宋体" w:cs="仿宋"/>
          <w:sz w:val="24"/>
        </w:rPr>
        <w:t>（5）农业企业信息表</w:t>
      </w:r>
    </w:p>
    <w:p>
      <w:pPr>
        <w:spacing w:line="400" w:lineRule="exact"/>
        <w:ind w:firstLine="480" w:firstLineChars="200"/>
        <w:jc w:val="left"/>
        <w:rPr>
          <w:rFonts w:ascii="宋体" w:hAnsi="宋体" w:cs="仿宋"/>
          <w:sz w:val="24"/>
        </w:rPr>
      </w:pPr>
      <w:r>
        <w:rPr>
          <w:rFonts w:hint="eastAsia" w:ascii="宋体" w:hAnsi="宋体" w:cs="仿宋"/>
          <w:sz w:val="24"/>
        </w:rPr>
        <w:t>（6）新型职业农民信息收集</w:t>
      </w:r>
    </w:p>
    <w:p>
      <w:pPr>
        <w:pStyle w:val="7"/>
        <w:numPr>
          <w:ilvl w:val="3"/>
          <w:numId w:val="0"/>
        </w:numPr>
        <w:spacing w:line="400" w:lineRule="exact"/>
        <w:ind w:left="720" w:hanging="720"/>
        <w:rPr>
          <w:rFonts w:ascii="宋体" w:hAnsi="宋体" w:eastAsia="宋体" w:cs="仿宋"/>
          <w:sz w:val="24"/>
        </w:rPr>
      </w:pPr>
      <w:r>
        <w:rPr>
          <w:rFonts w:hint="eastAsia" w:ascii="宋体" w:hAnsi="宋体" w:eastAsia="宋体" w:cs="仿宋"/>
          <w:sz w:val="24"/>
        </w:rPr>
        <w:t>4.2.1.11其他数据采集</w:t>
      </w:r>
    </w:p>
    <w:p>
      <w:pPr>
        <w:spacing w:line="400" w:lineRule="exact"/>
        <w:ind w:firstLine="480" w:firstLineChars="200"/>
        <w:jc w:val="left"/>
        <w:rPr>
          <w:rFonts w:ascii="宋体" w:hAnsi="宋体" w:cs="仿宋"/>
          <w:sz w:val="24"/>
        </w:rPr>
      </w:pPr>
      <w:r>
        <w:rPr>
          <w:rFonts w:hint="eastAsia" w:ascii="宋体" w:hAnsi="宋体" w:cs="仿宋"/>
          <w:sz w:val="24"/>
        </w:rPr>
        <w:t>涉及到临安山核桃产业的其他平台数据获取到临安山核桃特色产业云服务平台上来，汇聚形成数据充实完整的产业大数据。人工或系统采集不定量的、动态的山核桃产业数据，如营销活动数据、林地混交改造数据、张网采收数据、新型技术方案、行业竞品、政府项目或补贴政策等，任务定向发送到数据基点责任人，分日常任务、临时任务等，日常任务一次设定可在设定期内自动发送，临时任务需即时设定。数据基点责任人可以在小程序或APP收到各项工作提醒（可设定多次提醒），便捷采集数据并提供支撑材料、证明材料。</w:t>
      </w:r>
    </w:p>
    <w:p>
      <w:pPr>
        <w:spacing w:line="400" w:lineRule="exact"/>
        <w:rPr>
          <w:rFonts w:ascii="宋体" w:hAnsi="宋体" w:cs="仿宋"/>
          <w:sz w:val="24"/>
        </w:rPr>
      </w:pPr>
    </w:p>
    <w:p>
      <w:pPr>
        <w:pStyle w:val="6"/>
        <w:numPr>
          <w:ilvl w:val="2"/>
          <w:numId w:val="0"/>
        </w:numPr>
        <w:spacing w:line="400" w:lineRule="exact"/>
        <w:ind w:left="575" w:hanging="575"/>
        <w:rPr>
          <w:rFonts w:ascii="宋体" w:hAnsi="宋体" w:eastAsia="宋体" w:cs="仿宋"/>
          <w:sz w:val="24"/>
        </w:rPr>
      </w:pPr>
      <w:r>
        <w:rPr>
          <w:rFonts w:hint="eastAsia" w:ascii="宋体" w:hAnsi="宋体" w:eastAsia="宋体" w:cs="仿宋"/>
          <w:sz w:val="24"/>
        </w:rPr>
        <w:t>4.2.2数据标准化建立</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4.2.2.1数据标准建设工作任务</w:t>
      </w:r>
    </w:p>
    <w:p>
      <w:pPr>
        <w:spacing w:line="400" w:lineRule="exact"/>
        <w:ind w:firstLine="480" w:firstLineChars="200"/>
        <w:rPr>
          <w:rFonts w:ascii="宋体" w:hAnsi="宋体" w:cs="仿宋"/>
          <w:sz w:val="24"/>
        </w:rPr>
      </w:pPr>
      <w:r>
        <w:rPr>
          <w:rFonts w:hint="eastAsia" w:ascii="宋体" w:hAnsi="宋体" w:cs="仿宋"/>
          <w:sz w:val="24"/>
        </w:rPr>
        <w:t>根据临安山核桃特色产业云平台的数据标准体系结构，对项目数据标准化工作需求进行分析，工作任务包括以下三大部分：</w:t>
      </w:r>
    </w:p>
    <w:p>
      <w:pPr>
        <w:spacing w:line="400" w:lineRule="exact"/>
        <w:ind w:firstLine="480" w:firstLineChars="200"/>
        <w:rPr>
          <w:rFonts w:ascii="宋体" w:hAnsi="宋体" w:cs="仿宋"/>
          <w:sz w:val="24"/>
        </w:rPr>
      </w:pPr>
      <w:r>
        <w:rPr>
          <w:rFonts w:hint="eastAsia" w:ascii="宋体" w:hAnsi="宋体" w:cs="仿宋"/>
          <w:sz w:val="24"/>
        </w:rPr>
        <w:t>1.进行标准化总体设计</w:t>
      </w:r>
    </w:p>
    <w:p>
      <w:pPr>
        <w:spacing w:line="400" w:lineRule="exact"/>
        <w:ind w:firstLine="480" w:firstLineChars="200"/>
        <w:rPr>
          <w:rFonts w:ascii="宋体" w:hAnsi="宋体" w:cs="仿宋"/>
          <w:sz w:val="24"/>
        </w:rPr>
      </w:pPr>
      <w:r>
        <w:rPr>
          <w:rFonts w:hint="eastAsia" w:ascii="宋体" w:hAnsi="宋体" w:cs="仿宋"/>
          <w:sz w:val="24"/>
        </w:rPr>
        <w:t>（1）确定临安山核桃特色产业云平台数据标准化目标；</w:t>
      </w:r>
    </w:p>
    <w:p>
      <w:pPr>
        <w:spacing w:line="400" w:lineRule="exact"/>
        <w:ind w:firstLine="480" w:firstLineChars="200"/>
        <w:rPr>
          <w:rFonts w:ascii="宋体" w:hAnsi="宋体" w:cs="仿宋"/>
          <w:sz w:val="24"/>
        </w:rPr>
      </w:pPr>
      <w:r>
        <w:rPr>
          <w:rFonts w:hint="eastAsia" w:ascii="宋体" w:hAnsi="宋体" w:cs="仿宋"/>
          <w:sz w:val="24"/>
        </w:rPr>
        <w:t>（2）确定临安山核桃特色产业云平台数据标准体系框架；</w:t>
      </w:r>
    </w:p>
    <w:p>
      <w:pPr>
        <w:spacing w:line="400" w:lineRule="exact"/>
        <w:ind w:firstLine="480" w:firstLineChars="200"/>
        <w:rPr>
          <w:rFonts w:ascii="宋体" w:hAnsi="宋体" w:cs="仿宋"/>
          <w:sz w:val="24"/>
        </w:rPr>
      </w:pPr>
      <w:r>
        <w:rPr>
          <w:rFonts w:hint="eastAsia" w:ascii="宋体" w:hAnsi="宋体" w:cs="仿宋"/>
          <w:sz w:val="24"/>
        </w:rPr>
        <w:t>（3）建立临安山核桃特色产业云平台数据标准化管理机制；</w:t>
      </w:r>
    </w:p>
    <w:p>
      <w:pPr>
        <w:spacing w:line="400" w:lineRule="exact"/>
        <w:ind w:firstLine="480" w:firstLineChars="200"/>
        <w:rPr>
          <w:rFonts w:ascii="宋体" w:hAnsi="宋体" w:cs="仿宋"/>
          <w:sz w:val="24"/>
        </w:rPr>
      </w:pPr>
      <w:r>
        <w:rPr>
          <w:rFonts w:hint="eastAsia" w:ascii="宋体" w:hAnsi="宋体" w:cs="仿宋"/>
          <w:sz w:val="24"/>
        </w:rPr>
        <w:t>（4）制定临安山核桃特色产业云平台数据标准化指南。</w:t>
      </w:r>
    </w:p>
    <w:p>
      <w:pPr>
        <w:spacing w:line="400" w:lineRule="exact"/>
        <w:ind w:firstLine="480" w:firstLineChars="200"/>
        <w:rPr>
          <w:rFonts w:ascii="宋体" w:hAnsi="宋体" w:cs="仿宋"/>
          <w:sz w:val="24"/>
        </w:rPr>
      </w:pPr>
      <w:r>
        <w:rPr>
          <w:rFonts w:hint="eastAsia" w:ascii="宋体" w:hAnsi="宋体" w:cs="仿宋"/>
          <w:sz w:val="24"/>
        </w:rPr>
        <w:t>2.建立和完善标准体系</w:t>
      </w:r>
    </w:p>
    <w:p>
      <w:pPr>
        <w:spacing w:line="400" w:lineRule="exact"/>
        <w:ind w:firstLine="480" w:firstLineChars="200"/>
        <w:rPr>
          <w:rFonts w:ascii="宋体" w:hAnsi="宋体" w:cs="仿宋"/>
          <w:sz w:val="24"/>
        </w:rPr>
      </w:pPr>
      <w:r>
        <w:rPr>
          <w:rFonts w:hint="eastAsia" w:ascii="宋体" w:hAnsi="宋体" w:cs="仿宋"/>
          <w:sz w:val="24"/>
        </w:rPr>
        <w:t>（1）确定工程可用的国家标准；</w:t>
      </w:r>
    </w:p>
    <w:p>
      <w:pPr>
        <w:spacing w:line="400" w:lineRule="exact"/>
        <w:ind w:firstLine="480" w:firstLineChars="200"/>
        <w:rPr>
          <w:rFonts w:ascii="宋体" w:hAnsi="宋体" w:cs="仿宋"/>
          <w:sz w:val="24"/>
        </w:rPr>
      </w:pPr>
      <w:r>
        <w:rPr>
          <w:rFonts w:hint="eastAsia" w:ascii="宋体" w:hAnsi="宋体" w:cs="仿宋"/>
          <w:sz w:val="24"/>
        </w:rPr>
        <w:t>（2）研究确定拟采用的国际标准和国外先进标准；</w:t>
      </w:r>
    </w:p>
    <w:p>
      <w:pPr>
        <w:spacing w:line="400" w:lineRule="exact"/>
        <w:ind w:firstLine="480" w:firstLineChars="200"/>
        <w:rPr>
          <w:rFonts w:ascii="宋体" w:hAnsi="宋体" w:cs="仿宋"/>
          <w:sz w:val="24"/>
        </w:rPr>
      </w:pPr>
      <w:r>
        <w:rPr>
          <w:rFonts w:hint="eastAsia" w:ascii="宋体" w:hAnsi="宋体" w:cs="仿宋"/>
          <w:sz w:val="24"/>
        </w:rPr>
        <w:t>（3）制定所需的共性、基础性、关键性标准；</w:t>
      </w:r>
    </w:p>
    <w:p>
      <w:pPr>
        <w:spacing w:line="400" w:lineRule="exact"/>
        <w:ind w:firstLine="480" w:firstLineChars="200"/>
        <w:rPr>
          <w:rFonts w:ascii="宋体" w:hAnsi="宋体" w:cs="仿宋"/>
          <w:sz w:val="24"/>
        </w:rPr>
      </w:pPr>
      <w:r>
        <w:rPr>
          <w:rFonts w:hint="eastAsia" w:ascii="宋体" w:hAnsi="宋体" w:cs="仿宋"/>
          <w:sz w:val="24"/>
        </w:rPr>
        <w:t>（4）适时调整标准体系及重点标准修订项目。</w:t>
      </w:r>
    </w:p>
    <w:p>
      <w:pPr>
        <w:spacing w:line="400" w:lineRule="exact"/>
        <w:ind w:firstLine="480" w:firstLineChars="200"/>
        <w:rPr>
          <w:rFonts w:ascii="宋体" w:hAnsi="宋体" w:cs="仿宋"/>
          <w:sz w:val="24"/>
        </w:rPr>
      </w:pPr>
      <w:r>
        <w:rPr>
          <w:rFonts w:hint="eastAsia" w:ascii="宋体" w:hAnsi="宋体" w:cs="仿宋"/>
          <w:sz w:val="24"/>
        </w:rPr>
        <w:t>3.强标准贯彻实施</w:t>
      </w:r>
    </w:p>
    <w:p>
      <w:pPr>
        <w:spacing w:line="400" w:lineRule="exact"/>
        <w:ind w:firstLine="480" w:firstLineChars="200"/>
        <w:rPr>
          <w:rFonts w:ascii="宋体" w:hAnsi="宋体" w:cs="仿宋"/>
          <w:sz w:val="24"/>
        </w:rPr>
      </w:pPr>
      <w:r>
        <w:rPr>
          <w:rFonts w:hint="eastAsia" w:ascii="宋体" w:hAnsi="宋体" w:cs="仿宋"/>
          <w:sz w:val="24"/>
        </w:rPr>
        <w:t>（1）制定标准贯彻措施，加强贯彻的管理与检查；</w:t>
      </w:r>
    </w:p>
    <w:p>
      <w:pPr>
        <w:spacing w:line="400" w:lineRule="exact"/>
        <w:ind w:firstLine="480" w:firstLineChars="200"/>
        <w:rPr>
          <w:rFonts w:ascii="宋体" w:hAnsi="宋体" w:cs="仿宋"/>
          <w:sz w:val="24"/>
        </w:rPr>
      </w:pPr>
      <w:r>
        <w:rPr>
          <w:rFonts w:hint="eastAsia" w:ascii="宋体" w:hAnsi="宋体" w:cs="仿宋"/>
          <w:sz w:val="24"/>
        </w:rPr>
        <w:t>（2）开发相应的标准应用辅助工具；</w:t>
      </w:r>
    </w:p>
    <w:p>
      <w:pPr>
        <w:spacing w:line="400" w:lineRule="exact"/>
        <w:ind w:firstLine="480" w:firstLineChars="200"/>
        <w:rPr>
          <w:rFonts w:ascii="宋体" w:hAnsi="宋体" w:cs="仿宋"/>
          <w:sz w:val="24"/>
        </w:rPr>
      </w:pPr>
      <w:r>
        <w:rPr>
          <w:rFonts w:hint="eastAsia" w:ascii="宋体" w:hAnsi="宋体" w:cs="仿宋"/>
          <w:sz w:val="24"/>
        </w:rPr>
        <w:t>（3）与工程应用紧密结合，推行试行标准并根据试行情况对标准进行完善；</w:t>
      </w:r>
    </w:p>
    <w:p>
      <w:pPr>
        <w:spacing w:line="400" w:lineRule="exact"/>
        <w:ind w:firstLine="480" w:firstLineChars="200"/>
        <w:rPr>
          <w:rFonts w:ascii="宋体" w:hAnsi="宋体" w:cs="仿宋"/>
          <w:sz w:val="24"/>
        </w:rPr>
      </w:pPr>
      <w:r>
        <w:rPr>
          <w:rFonts w:hint="eastAsia" w:ascii="宋体" w:hAnsi="宋体" w:cs="仿宋"/>
          <w:sz w:val="24"/>
        </w:rPr>
        <w:t>（4）建立标准符合性评定机制，确保标准实施的有效性。</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 xml:space="preserve">4.2.2.2信息化标准体系 </w:t>
      </w:r>
    </w:p>
    <w:p>
      <w:pPr>
        <w:spacing w:line="400" w:lineRule="exact"/>
        <w:ind w:firstLine="480" w:firstLineChars="200"/>
        <w:rPr>
          <w:rFonts w:ascii="宋体" w:hAnsi="宋体" w:cs="仿宋"/>
          <w:sz w:val="24"/>
        </w:rPr>
      </w:pPr>
      <w:r>
        <w:rPr>
          <w:rFonts w:hint="eastAsia" w:ascii="宋体" w:hAnsi="宋体" w:cs="仿宋"/>
          <w:sz w:val="24"/>
        </w:rPr>
        <w:t>数据资源标准体系建设应该包括信息资源标准、信息应用标准、基础设施标准和管理标准四部分。</w:t>
      </w:r>
    </w:p>
    <w:tbl>
      <w:tblPr>
        <w:tblStyle w:val="29"/>
        <w:tblW w:w="5016" w:type="pct"/>
        <w:tblInd w:w="0" w:type="dxa"/>
        <w:tblLayout w:type="autofit"/>
        <w:tblCellMar>
          <w:top w:w="0" w:type="dxa"/>
          <w:left w:w="0" w:type="dxa"/>
          <w:bottom w:w="0" w:type="dxa"/>
          <w:right w:w="0" w:type="dxa"/>
        </w:tblCellMar>
      </w:tblPr>
      <w:tblGrid>
        <w:gridCol w:w="936"/>
        <w:gridCol w:w="3883"/>
        <w:gridCol w:w="1328"/>
        <w:gridCol w:w="1346"/>
        <w:gridCol w:w="1788"/>
      </w:tblGrid>
      <w:tr>
        <w:tblPrEx>
          <w:tblCellMar>
            <w:top w:w="0" w:type="dxa"/>
            <w:left w:w="0" w:type="dxa"/>
            <w:bottom w:w="0" w:type="dxa"/>
            <w:right w:w="0" w:type="dxa"/>
          </w:tblCellMar>
        </w:tblPrEx>
        <w:trPr>
          <w:trHeight w:val="579" w:hRule="exact"/>
        </w:trPr>
        <w:tc>
          <w:tcPr>
            <w:tcW w:w="50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序号</w:t>
            </w:r>
          </w:p>
        </w:tc>
        <w:tc>
          <w:tcPr>
            <w:tcW w:w="20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建设内容</w:t>
            </w:r>
          </w:p>
        </w:tc>
        <w:tc>
          <w:tcPr>
            <w:tcW w:w="7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数量</w:t>
            </w:r>
          </w:p>
        </w:tc>
        <w:tc>
          <w:tcPr>
            <w:tcW w:w="72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单位</w:t>
            </w:r>
          </w:p>
        </w:tc>
        <w:tc>
          <w:tcPr>
            <w:tcW w:w="96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备注</w:t>
            </w:r>
          </w:p>
        </w:tc>
      </w:tr>
      <w:tr>
        <w:tblPrEx>
          <w:tblCellMar>
            <w:top w:w="0" w:type="dxa"/>
            <w:left w:w="0" w:type="dxa"/>
            <w:bottom w:w="0" w:type="dxa"/>
            <w:right w:w="0" w:type="dxa"/>
          </w:tblCellMar>
        </w:tblPrEx>
        <w:trPr>
          <w:trHeight w:val="534" w:hRule="exact"/>
        </w:trPr>
        <w:tc>
          <w:tcPr>
            <w:tcW w:w="50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1</w:t>
            </w:r>
          </w:p>
        </w:tc>
        <w:tc>
          <w:tcPr>
            <w:tcW w:w="20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信息资源标准</w:t>
            </w:r>
          </w:p>
        </w:tc>
        <w:tc>
          <w:tcPr>
            <w:tcW w:w="7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7</w:t>
            </w:r>
          </w:p>
        </w:tc>
        <w:tc>
          <w:tcPr>
            <w:tcW w:w="72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个</w:t>
            </w:r>
          </w:p>
        </w:tc>
        <w:tc>
          <w:tcPr>
            <w:tcW w:w="96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本项目建设</w:t>
            </w:r>
          </w:p>
        </w:tc>
      </w:tr>
      <w:tr>
        <w:tblPrEx>
          <w:tblCellMar>
            <w:top w:w="0" w:type="dxa"/>
            <w:left w:w="0" w:type="dxa"/>
            <w:bottom w:w="0" w:type="dxa"/>
            <w:right w:w="0" w:type="dxa"/>
          </w:tblCellMar>
        </w:tblPrEx>
        <w:trPr>
          <w:trHeight w:val="534" w:hRule="exact"/>
        </w:trPr>
        <w:tc>
          <w:tcPr>
            <w:tcW w:w="50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2</w:t>
            </w:r>
          </w:p>
        </w:tc>
        <w:tc>
          <w:tcPr>
            <w:tcW w:w="20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信息应用标准</w:t>
            </w:r>
          </w:p>
        </w:tc>
        <w:tc>
          <w:tcPr>
            <w:tcW w:w="7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8</w:t>
            </w:r>
          </w:p>
        </w:tc>
        <w:tc>
          <w:tcPr>
            <w:tcW w:w="72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个</w:t>
            </w:r>
          </w:p>
        </w:tc>
        <w:tc>
          <w:tcPr>
            <w:tcW w:w="96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本项目建设</w:t>
            </w:r>
          </w:p>
        </w:tc>
      </w:tr>
      <w:tr>
        <w:tblPrEx>
          <w:tblCellMar>
            <w:top w:w="0" w:type="dxa"/>
            <w:left w:w="0" w:type="dxa"/>
            <w:bottom w:w="0" w:type="dxa"/>
            <w:right w:w="0" w:type="dxa"/>
          </w:tblCellMar>
        </w:tblPrEx>
        <w:trPr>
          <w:trHeight w:val="489" w:hRule="exact"/>
        </w:trPr>
        <w:tc>
          <w:tcPr>
            <w:tcW w:w="50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3</w:t>
            </w:r>
          </w:p>
        </w:tc>
        <w:tc>
          <w:tcPr>
            <w:tcW w:w="20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基础设施标准</w:t>
            </w:r>
          </w:p>
        </w:tc>
        <w:tc>
          <w:tcPr>
            <w:tcW w:w="7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8</w:t>
            </w:r>
          </w:p>
        </w:tc>
        <w:tc>
          <w:tcPr>
            <w:tcW w:w="72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个</w:t>
            </w:r>
          </w:p>
        </w:tc>
        <w:tc>
          <w:tcPr>
            <w:tcW w:w="96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本项目建设</w:t>
            </w:r>
          </w:p>
        </w:tc>
      </w:tr>
      <w:tr>
        <w:tblPrEx>
          <w:tblCellMar>
            <w:top w:w="0" w:type="dxa"/>
            <w:left w:w="0" w:type="dxa"/>
            <w:bottom w:w="0" w:type="dxa"/>
            <w:right w:w="0" w:type="dxa"/>
          </w:tblCellMar>
        </w:tblPrEx>
        <w:trPr>
          <w:trHeight w:val="469" w:hRule="exact"/>
        </w:trPr>
        <w:tc>
          <w:tcPr>
            <w:tcW w:w="50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4</w:t>
            </w:r>
          </w:p>
        </w:tc>
        <w:tc>
          <w:tcPr>
            <w:tcW w:w="20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管理标准</w:t>
            </w:r>
          </w:p>
        </w:tc>
        <w:tc>
          <w:tcPr>
            <w:tcW w:w="7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6</w:t>
            </w:r>
          </w:p>
        </w:tc>
        <w:tc>
          <w:tcPr>
            <w:tcW w:w="72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个</w:t>
            </w:r>
          </w:p>
        </w:tc>
        <w:tc>
          <w:tcPr>
            <w:tcW w:w="96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本项目建设</w:t>
            </w:r>
          </w:p>
        </w:tc>
      </w:tr>
      <w:tr>
        <w:tblPrEx>
          <w:tblCellMar>
            <w:top w:w="0" w:type="dxa"/>
            <w:left w:w="0" w:type="dxa"/>
            <w:bottom w:w="0" w:type="dxa"/>
            <w:right w:w="0" w:type="dxa"/>
          </w:tblCellMar>
        </w:tblPrEx>
        <w:trPr>
          <w:trHeight w:val="499" w:hRule="exact"/>
        </w:trPr>
        <w:tc>
          <w:tcPr>
            <w:tcW w:w="50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5</w:t>
            </w:r>
          </w:p>
        </w:tc>
        <w:tc>
          <w:tcPr>
            <w:tcW w:w="20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合计</w:t>
            </w:r>
          </w:p>
        </w:tc>
        <w:tc>
          <w:tcPr>
            <w:tcW w:w="7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29</w:t>
            </w:r>
          </w:p>
        </w:tc>
        <w:tc>
          <w:tcPr>
            <w:tcW w:w="72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个</w:t>
            </w:r>
          </w:p>
        </w:tc>
        <w:tc>
          <w:tcPr>
            <w:tcW w:w="96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p>
        </w:tc>
      </w:tr>
    </w:tbl>
    <w:p>
      <w:pPr>
        <w:spacing w:line="400" w:lineRule="exact"/>
        <w:ind w:firstLine="482" w:firstLineChars="200"/>
        <w:rPr>
          <w:rFonts w:ascii="宋体" w:hAnsi="宋体" w:cs="仿宋"/>
          <w:b/>
          <w:bCs/>
          <w:sz w:val="24"/>
        </w:rPr>
      </w:pPr>
      <w:bookmarkStart w:id="8" w:name="_Toc21700"/>
      <w:bookmarkStart w:id="9" w:name="_Toc30173"/>
      <w:r>
        <w:rPr>
          <w:rFonts w:hint="eastAsia" w:ascii="宋体" w:hAnsi="宋体" w:cs="仿宋"/>
          <w:b/>
          <w:bCs/>
          <w:sz w:val="24"/>
        </w:rPr>
        <w:t>1、信息资源标准</w:t>
      </w:r>
      <w:bookmarkEnd w:id="8"/>
      <w:bookmarkEnd w:id="9"/>
    </w:p>
    <w:p>
      <w:pPr>
        <w:spacing w:line="400" w:lineRule="exact"/>
        <w:ind w:firstLine="480" w:firstLineChars="200"/>
        <w:rPr>
          <w:rFonts w:ascii="宋体" w:hAnsi="宋体" w:cs="仿宋"/>
          <w:sz w:val="24"/>
        </w:rPr>
      </w:pPr>
      <w:r>
        <w:rPr>
          <w:rFonts w:hint="eastAsia" w:ascii="宋体" w:hAnsi="宋体" w:cs="仿宋"/>
          <w:sz w:val="24"/>
        </w:rPr>
        <w:t>信息资源标准主要包括信息分类与编码、信息资源的表示和处理、信息资源定位、数据访问、目录服务和元数据等标准。</w:t>
      </w:r>
    </w:p>
    <w:tbl>
      <w:tblPr>
        <w:tblStyle w:val="29"/>
        <w:tblW w:w="8262" w:type="dxa"/>
        <w:jc w:val="center"/>
        <w:tblLayout w:type="fixed"/>
        <w:tblCellMar>
          <w:top w:w="0" w:type="dxa"/>
          <w:left w:w="0" w:type="dxa"/>
          <w:bottom w:w="0" w:type="dxa"/>
          <w:right w:w="0" w:type="dxa"/>
        </w:tblCellMar>
      </w:tblPr>
      <w:tblGrid>
        <w:gridCol w:w="1065"/>
        <w:gridCol w:w="5621"/>
        <w:gridCol w:w="1576"/>
      </w:tblGrid>
      <w:tr>
        <w:tblPrEx>
          <w:tblCellMar>
            <w:top w:w="0" w:type="dxa"/>
            <w:left w:w="0" w:type="dxa"/>
            <w:bottom w:w="0" w:type="dxa"/>
            <w:right w:w="0" w:type="dxa"/>
          </w:tblCellMar>
        </w:tblPrEx>
        <w:trPr>
          <w:trHeight w:val="474"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序号</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标准名称</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类别</w:t>
            </w:r>
          </w:p>
        </w:tc>
      </w:tr>
      <w:tr>
        <w:tblPrEx>
          <w:tblCellMar>
            <w:top w:w="0" w:type="dxa"/>
            <w:left w:w="0" w:type="dxa"/>
            <w:bottom w:w="0" w:type="dxa"/>
            <w:right w:w="0" w:type="dxa"/>
          </w:tblCellMar>
        </w:tblPrEx>
        <w:trPr>
          <w:trHeight w:val="599"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1</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分类与编码规范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数据描述</w:t>
            </w:r>
          </w:p>
        </w:tc>
      </w:tr>
      <w:tr>
        <w:tblPrEx>
          <w:tblCellMar>
            <w:top w:w="0" w:type="dxa"/>
            <w:left w:w="0" w:type="dxa"/>
            <w:bottom w:w="0" w:type="dxa"/>
            <w:right w:w="0" w:type="dxa"/>
          </w:tblCellMar>
        </w:tblPrEx>
        <w:trPr>
          <w:trHeight w:val="584"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2</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数据字典编制规范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数据描述</w:t>
            </w:r>
          </w:p>
        </w:tc>
      </w:tr>
      <w:tr>
        <w:tblPrEx>
          <w:tblCellMar>
            <w:top w:w="0" w:type="dxa"/>
            <w:left w:w="0" w:type="dxa"/>
            <w:bottom w:w="0" w:type="dxa"/>
            <w:right w:w="0" w:type="dxa"/>
          </w:tblCellMar>
        </w:tblPrEx>
        <w:trPr>
          <w:trHeight w:val="574"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3</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信息元数据</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数据描述</w:t>
            </w:r>
          </w:p>
        </w:tc>
      </w:tr>
      <w:tr>
        <w:tblPrEx>
          <w:tblCellMar>
            <w:top w:w="0" w:type="dxa"/>
            <w:left w:w="0" w:type="dxa"/>
            <w:bottom w:w="0" w:type="dxa"/>
            <w:right w:w="0" w:type="dxa"/>
          </w:tblCellMar>
        </w:tblPrEx>
        <w:trPr>
          <w:trHeight w:val="584"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4</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数据采集规范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采集加工</w:t>
            </w:r>
          </w:p>
        </w:tc>
      </w:tr>
      <w:tr>
        <w:tblPrEx>
          <w:tblCellMar>
            <w:top w:w="0" w:type="dxa"/>
            <w:left w:w="0" w:type="dxa"/>
            <w:bottom w:w="0" w:type="dxa"/>
            <w:right w:w="0" w:type="dxa"/>
          </w:tblCellMar>
        </w:tblPrEx>
        <w:trPr>
          <w:trHeight w:val="694"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5</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数据库设计总体规范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管理维护</w:t>
            </w:r>
          </w:p>
        </w:tc>
      </w:tr>
      <w:tr>
        <w:tblPrEx>
          <w:tblCellMar>
            <w:top w:w="0" w:type="dxa"/>
            <w:left w:w="0" w:type="dxa"/>
            <w:bottom w:w="0" w:type="dxa"/>
            <w:right w:w="0" w:type="dxa"/>
          </w:tblCellMar>
        </w:tblPrEx>
        <w:trPr>
          <w:trHeight w:val="619"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6</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数据库建设技术总体规范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管理维护</w:t>
            </w:r>
          </w:p>
        </w:tc>
      </w:tr>
      <w:tr>
        <w:tblPrEx>
          <w:tblCellMar>
            <w:top w:w="0" w:type="dxa"/>
            <w:left w:w="0" w:type="dxa"/>
            <w:bottom w:w="0" w:type="dxa"/>
            <w:right w:w="0" w:type="dxa"/>
          </w:tblCellMar>
        </w:tblPrEx>
        <w:trPr>
          <w:trHeight w:val="619" w:hRule="exact"/>
          <w:jc w:val="center"/>
        </w:trPr>
        <w:tc>
          <w:tcPr>
            <w:tcW w:w="106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7</w:t>
            </w:r>
          </w:p>
        </w:tc>
        <w:tc>
          <w:tcPr>
            <w:tcW w:w="562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数据库更新技术规范</w:t>
            </w:r>
          </w:p>
        </w:tc>
        <w:tc>
          <w:tcPr>
            <w:tcW w:w="15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管理维护</w:t>
            </w:r>
          </w:p>
        </w:tc>
      </w:tr>
    </w:tbl>
    <w:p>
      <w:pPr>
        <w:spacing w:line="400" w:lineRule="exact"/>
        <w:ind w:firstLine="482" w:firstLineChars="200"/>
        <w:rPr>
          <w:rFonts w:ascii="宋体" w:hAnsi="宋体" w:cs="仿宋"/>
          <w:b/>
          <w:bCs/>
          <w:sz w:val="24"/>
        </w:rPr>
      </w:pPr>
      <w:bookmarkStart w:id="10" w:name="_Toc6428"/>
      <w:bookmarkStart w:id="11" w:name="_Toc28863"/>
      <w:r>
        <w:rPr>
          <w:rFonts w:hint="eastAsia" w:ascii="宋体" w:hAnsi="宋体" w:cs="仿宋"/>
          <w:b/>
          <w:bCs/>
          <w:sz w:val="24"/>
        </w:rPr>
        <w:t>2、信息应用标准</w:t>
      </w:r>
      <w:bookmarkEnd w:id="10"/>
      <w:bookmarkEnd w:id="11"/>
    </w:p>
    <w:p>
      <w:pPr>
        <w:spacing w:line="400" w:lineRule="exact"/>
        <w:ind w:firstLine="480" w:firstLineChars="200"/>
        <w:rPr>
          <w:rFonts w:ascii="宋体" w:hAnsi="宋体" w:cs="仿宋"/>
          <w:sz w:val="24"/>
        </w:rPr>
      </w:pPr>
      <w:r>
        <w:rPr>
          <w:rFonts w:hint="eastAsia" w:ascii="宋体" w:hAnsi="宋体" w:cs="仿宋"/>
          <w:sz w:val="24"/>
        </w:rPr>
        <w:t>信息应用标准主要包括信息资源业务应用流程控制、资源成果文档格式、资源业务功能建模、资源业务流程建模、资源业务应用规程和信息资源目录和交换体系等标准。</w:t>
      </w:r>
    </w:p>
    <w:tbl>
      <w:tblPr>
        <w:tblStyle w:val="29"/>
        <w:tblW w:w="4998" w:type="pct"/>
        <w:tblInd w:w="0" w:type="dxa"/>
        <w:tblLayout w:type="autofit"/>
        <w:tblCellMar>
          <w:top w:w="0" w:type="dxa"/>
          <w:left w:w="0" w:type="dxa"/>
          <w:bottom w:w="0" w:type="dxa"/>
          <w:right w:w="0" w:type="dxa"/>
        </w:tblCellMar>
      </w:tblPr>
      <w:tblGrid>
        <w:gridCol w:w="1273"/>
        <w:gridCol w:w="5749"/>
        <w:gridCol w:w="2225"/>
      </w:tblGrid>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序号</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标准名称</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类别</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1</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服务接口规范</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Web服务</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2</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服务集成规范</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Web服务</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3</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信息发布与订阅规范</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Web服务</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4</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业务生产通用技术要求</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业务流程</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5</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应用系统建设指南</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6</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应用系统设计与开发规范</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7</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应用系统开发文档规范</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r>
        <w:tblPrEx>
          <w:tblCellMar>
            <w:top w:w="0" w:type="dxa"/>
            <w:left w:w="0" w:type="dxa"/>
            <w:bottom w:w="0" w:type="dxa"/>
            <w:right w:w="0" w:type="dxa"/>
          </w:tblCellMar>
        </w:tblPrEx>
        <w:trPr>
          <w:trHeight w:val="590" w:hRule="exact"/>
        </w:trPr>
        <w:tc>
          <w:tcPr>
            <w:tcW w:w="68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8</w:t>
            </w:r>
          </w:p>
        </w:tc>
        <w:tc>
          <w:tcPr>
            <w:tcW w:w="31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应用系统阶段评审规范</w:t>
            </w:r>
          </w:p>
        </w:tc>
        <w:tc>
          <w:tcPr>
            <w:tcW w:w="120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bl>
    <w:p>
      <w:pPr>
        <w:spacing w:line="400" w:lineRule="exact"/>
        <w:ind w:firstLine="482" w:firstLineChars="200"/>
        <w:rPr>
          <w:rFonts w:ascii="宋体" w:hAnsi="宋体" w:cs="仿宋"/>
          <w:b/>
          <w:bCs/>
          <w:sz w:val="24"/>
        </w:rPr>
      </w:pPr>
      <w:bookmarkStart w:id="12" w:name="_Toc10876"/>
      <w:bookmarkStart w:id="13" w:name="_Toc1605"/>
      <w:r>
        <w:rPr>
          <w:rFonts w:hint="eastAsia" w:ascii="宋体" w:hAnsi="宋体" w:cs="仿宋"/>
          <w:b/>
          <w:bCs/>
          <w:sz w:val="24"/>
        </w:rPr>
        <w:t>3、基础设施标准</w:t>
      </w:r>
      <w:bookmarkEnd w:id="12"/>
      <w:bookmarkEnd w:id="13"/>
    </w:p>
    <w:p>
      <w:pPr>
        <w:spacing w:line="400" w:lineRule="exact"/>
        <w:ind w:firstLine="480" w:firstLineChars="200"/>
        <w:rPr>
          <w:rFonts w:ascii="宋体" w:hAnsi="宋体" w:cs="仿宋"/>
          <w:sz w:val="24"/>
        </w:rPr>
      </w:pPr>
      <w:r>
        <w:rPr>
          <w:rFonts w:hint="eastAsia" w:ascii="宋体" w:hAnsi="宋体" w:cs="仿宋"/>
          <w:sz w:val="24"/>
        </w:rPr>
        <w:t>基础设施标准包括为信息化数据库和应用系统等建设提供基础支撑作用涉及到的标准规范以及信息安全基础设施和计算机设备等标准。</w:t>
      </w:r>
    </w:p>
    <w:tbl>
      <w:tblPr>
        <w:tblStyle w:val="29"/>
        <w:tblW w:w="4998" w:type="pct"/>
        <w:tblInd w:w="0" w:type="dxa"/>
        <w:tblLayout w:type="autofit"/>
        <w:tblCellMar>
          <w:top w:w="0" w:type="dxa"/>
          <w:left w:w="0" w:type="dxa"/>
          <w:bottom w:w="0" w:type="dxa"/>
          <w:right w:w="0" w:type="dxa"/>
        </w:tblCellMar>
      </w:tblPr>
      <w:tblGrid>
        <w:gridCol w:w="1013"/>
        <w:gridCol w:w="5668"/>
        <w:gridCol w:w="2566"/>
      </w:tblGrid>
      <w:tr>
        <w:tblPrEx>
          <w:tblCellMar>
            <w:top w:w="0" w:type="dxa"/>
            <w:left w:w="0" w:type="dxa"/>
            <w:bottom w:w="0" w:type="dxa"/>
            <w:right w:w="0" w:type="dxa"/>
          </w:tblCellMar>
        </w:tblPrEx>
        <w:trPr>
          <w:trHeight w:val="514"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序号</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标准名称</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类别</w:t>
            </w:r>
          </w:p>
        </w:tc>
      </w:tr>
      <w:tr>
        <w:tblPrEx>
          <w:tblCellMar>
            <w:top w:w="0" w:type="dxa"/>
            <w:left w:w="0" w:type="dxa"/>
            <w:bottom w:w="0" w:type="dxa"/>
            <w:right w:w="0" w:type="dxa"/>
          </w:tblCellMar>
        </w:tblPrEx>
        <w:trPr>
          <w:trHeight w:val="534"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1</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服务接口规范</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Web服务</w:t>
            </w:r>
          </w:p>
        </w:tc>
      </w:tr>
      <w:tr>
        <w:tblPrEx>
          <w:tblCellMar>
            <w:top w:w="0" w:type="dxa"/>
            <w:left w:w="0" w:type="dxa"/>
            <w:bottom w:w="0" w:type="dxa"/>
            <w:right w:w="0" w:type="dxa"/>
          </w:tblCellMar>
        </w:tblPrEx>
        <w:trPr>
          <w:trHeight w:val="489"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2</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服务集成规范</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Web服务</w:t>
            </w:r>
          </w:p>
        </w:tc>
      </w:tr>
      <w:tr>
        <w:tblPrEx>
          <w:tblCellMar>
            <w:top w:w="0" w:type="dxa"/>
            <w:left w:w="0" w:type="dxa"/>
            <w:bottom w:w="0" w:type="dxa"/>
            <w:right w:w="0" w:type="dxa"/>
          </w:tblCellMar>
        </w:tblPrEx>
        <w:trPr>
          <w:trHeight w:val="474"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3</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信息发布与订阅规范</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Web服务</w:t>
            </w:r>
          </w:p>
        </w:tc>
      </w:tr>
      <w:tr>
        <w:tblPrEx>
          <w:tblCellMar>
            <w:top w:w="0" w:type="dxa"/>
            <w:left w:w="0" w:type="dxa"/>
            <w:bottom w:w="0" w:type="dxa"/>
            <w:right w:w="0" w:type="dxa"/>
          </w:tblCellMar>
        </w:tblPrEx>
        <w:trPr>
          <w:trHeight w:val="549"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4</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业务生产通用技术要求</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业务流程</w:t>
            </w:r>
          </w:p>
        </w:tc>
      </w:tr>
      <w:tr>
        <w:tblPrEx>
          <w:tblCellMar>
            <w:top w:w="0" w:type="dxa"/>
            <w:left w:w="0" w:type="dxa"/>
            <w:bottom w:w="0" w:type="dxa"/>
            <w:right w:w="0" w:type="dxa"/>
          </w:tblCellMar>
        </w:tblPrEx>
        <w:trPr>
          <w:trHeight w:val="459"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5</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应用系统建设指南</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r>
        <w:tblPrEx>
          <w:tblCellMar>
            <w:top w:w="0" w:type="dxa"/>
            <w:left w:w="0" w:type="dxa"/>
            <w:bottom w:w="0" w:type="dxa"/>
            <w:right w:w="0" w:type="dxa"/>
          </w:tblCellMar>
        </w:tblPrEx>
        <w:trPr>
          <w:trHeight w:val="459"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6</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应用系统设计与开发规范</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r>
        <w:tblPrEx>
          <w:tblCellMar>
            <w:top w:w="0" w:type="dxa"/>
            <w:left w:w="0" w:type="dxa"/>
            <w:bottom w:w="0" w:type="dxa"/>
            <w:right w:w="0" w:type="dxa"/>
          </w:tblCellMar>
        </w:tblPrEx>
        <w:trPr>
          <w:trHeight w:val="504"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7</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应用系统开发文档规范</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r>
        <w:tblPrEx>
          <w:tblCellMar>
            <w:top w:w="0" w:type="dxa"/>
            <w:left w:w="0" w:type="dxa"/>
            <w:bottom w:w="0" w:type="dxa"/>
            <w:right w:w="0" w:type="dxa"/>
          </w:tblCellMar>
        </w:tblPrEx>
        <w:trPr>
          <w:trHeight w:val="539" w:hRule="exact"/>
        </w:trPr>
        <w:tc>
          <w:tcPr>
            <w:tcW w:w="54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8</w:t>
            </w:r>
          </w:p>
        </w:tc>
        <w:tc>
          <w:tcPr>
            <w:tcW w:w="3064"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应用系统阶段评审规范</w:t>
            </w:r>
          </w:p>
        </w:tc>
        <w:tc>
          <w:tcPr>
            <w:tcW w:w="1387"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应用系统</w:t>
            </w:r>
          </w:p>
        </w:tc>
      </w:tr>
    </w:tbl>
    <w:p>
      <w:pPr>
        <w:spacing w:line="400" w:lineRule="exact"/>
        <w:ind w:firstLine="482" w:firstLineChars="200"/>
        <w:rPr>
          <w:rFonts w:ascii="宋体" w:hAnsi="宋体" w:cs="仿宋"/>
          <w:b/>
          <w:bCs/>
          <w:sz w:val="24"/>
        </w:rPr>
      </w:pPr>
      <w:bookmarkStart w:id="14" w:name="_Toc23391"/>
      <w:bookmarkStart w:id="15" w:name="_Toc20821"/>
      <w:r>
        <w:rPr>
          <w:rFonts w:hint="eastAsia" w:ascii="宋体" w:hAnsi="宋体" w:cs="仿宋"/>
          <w:b/>
          <w:bCs/>
          <w:sz w:val="24"/>
        </w:rPr>
        <w:t>4、管理类标准</w:t>
      </w:r>
      <w:bookmarkEnd w:id="14"/>
      <w:bookmarkEnd w:id="15"/>
    </w:p>
    <w:p>
      <w:pPr>
        <w:spacing w:line="400" w:lineRule="exact"/>
        <w:ind w:firstLine="480" w:firstLineChars="200"/>
        <w:rPr>
          <w:rFonts w:ascii="宋体" w:hAnsi="宋体" w:cs="仿宋"/>
          <w:sz w:val="24"/>
        </w:rPr>
      </w:pPr>
      <w:r>
        <w:rPr>
          <w:rFonts w:hint="eastAsia" w:ascii="宋体" w:hAnsi="宋体" w:cs="仿宋"/>
          <w:sz w:val="24"/>
        </w:rPr>
        <w:t>为信息化建设和系统运行管理提供管理办法和制度等，包括信息化建设中的数据库、应用系统、应用支撑、基础设施建设和运行等方面的管理办法和制度。</w:t>
      </w:r>
    </w:p>
    <w:tbl>
      <w:tblPr>
        <w:tblStyle w:val="29"/>
        <w:tblW w:w="4998" w:type="pct"/>
        <w:tblInd w:w="0" w:type="dxa"/>
        <w:tblLayout w:type="autofit"/>
        <w:tblCellMar>
          <w:top w:w="0" w:type="dxa"/>
          <w:left w:w="0" w:type="dxa"/>
          <w:bottom w:w="0" w:type="dxa"/>
          <w:right w:w="0" w:type="dxa"/>
        </w:tblCellMar>
      </w:tblPr>
      <w:tblGrid>
        <w:gridCol w:w="940"/>
        <w:gridCol w:w="5934"/>
        <w:gridCol w:w="2373"/>
      </w:tblGrid>
      <w:tr>
        <w:tblPrEx>
          <w:tblCellMar>
            <w:top w:w="0" w:type="dxa"/>
            <w:left w:w="0" w:type="dxa"/>
            <w:bottom w:w="0" w:type="dxa"/>
            <w:right w:w="0" w:type="dxa"/>
          </w:tblCellMar>
        </w:tblPrEx>
        <w:trPr>
          <w:trHeight w:val="590" w:hRule="atLeast"/>
        </w:trPr>
        <w:tc>
          <w:tcPr>
            <w:tcW w:w="50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
                <w:sz w:val="24"/>
              </w:rPr>
            </w:pPr>
            <w:r>
              <w:rPr>
                <w:rFonts w:hint="eastAsia" w:ascii="宋体" w:hAnsi="宋体" w:cs="仿宋"/>
                <w:sz w:val="24"/>
              </w:rPr>
              <w:t>序号</w:t>
            </w:r>
          </w:p>
        </w:tc>
        <w:tc>
          <w:tcPr>
            <w:tcW w:w="32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标准名称</w:t>
            </w:r>
          </w:p>
        </w:tc>
        <w:tc>
          <w:tcPr>
            <w:tcW w:w="128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类别</w:t>
            </w:r>
          </w:p>
        </w:tc>
      </w:tr>
      <w:tr>
        <w:tblPrEx>
          <w:tblCellMar>
            <w:top w:w="0" w:type="dxa"/>
            <w:left w:w="0" w:type="dxa"/>
            <w:bottom w:w="0" w:type="dxa"/>
            <w:right w:w="0" w:type="dxa"/>
          </w:tblCellMar>
        </w:tblPrEx>
        <w:trPr>
          <w:trHeight w:val="590" w:hRule="atLeast"/>
        </w:trPr>
        <w:tc>
          <w:tcPr>
            <w:tcW w:w="5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1</w:t>
            </w:r>
          </w:p>
        </w:tc>
        <w:tc>
          <w:tcPr>
            <w:tcW w:w="32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信息化标准体系</w:t>
            </w:r>
          </w:p>
        </w:tc>
        <w:tc>
          <w:tcPr>
            <w:tcW w:w="128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标准化工作</w:t>
            </w:r>
          </w:p>
        </w:tc>
      </w:tr>
      <w:tr>
        <w:tblPrEx>
          <w:tblCellMar>
            <w:top w:w="0" w:type="dxa"/>
            <w:left w:w="0" w:type="dxa"/>
            <w:bottom w:w="0" w:type="dxa"/>
            <w:right w:w="0" w:type="dxa"/>
          </w:tblCellMar>
        </w:tblPrEx>
        <w:trPr>
          <w:trHeight w:val="90" w:hRule="atLeast"/>
        </w:trPr>
        <w:tc>
          <w:tcPr>
            <w:tcW w:w="5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2</w:t>
            </w:r>
          </w:p>
        </w:tc>
        <w:tc>
          <w:tcPr>
            <w:tcW w:w="32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项目管理规定</w:t>
            </w:r>
          </w:p>
        </w:tc>
        <w:tc>
          <w:tcPr>
            <w:tcW w:w="128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运维管理</w:t>
            </w:r>
          </w:p>
        </w:tc>
      </w:tr>
      <w:tr>
        <w:tblPrEx>
          <w:tblCellMar>
            <w:top w:w="0" w:type="dxa"/>
            <w:left w:w="0" w:type="dxa"/>
            <w:bottom w:w="0" w:type="dxa"/>
            <w:right w:w="0" w:type="dxa"/>
          </w:tblCellMar>
        </w:tblPrEx>
        <w:trPr>
          <w:trHeight w:val="590" w:hRule="atLeast"/>
        </w:trPr>
        <w:tc>
          <w:tcPr>
            <w:tcW w:w="5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3</w:t>
            </w:r>
          </w:p>
        </w:tc>
        <w:tc>
          <w:tcPr>
            <w:tcW w:w="32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共享交换管理规定</w:t>
            </w:r>
          </w:p>
        </w:tc>
        <w:tc>
          <w:tcPr>
            <w:tcW w:w="128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运维管理</w:t>
            </w:r>
          </w:p>
        </w:tc>
      </w:tr>
      <w:tr>
        <w:tblPrEx>
          <w:tblCellMar>
            <w:top w:w="0" w:type="dxa"/>
            <w:left w:w="0" w:type="dxa"/>
            <w:bottom w:w="0" w:type="dxa"/>
            <w:right w:w="0" w:type="dxa"/>
          </w:tblCellMar>
        </w:tblPrEx>
        <w:trPr>
          <w:trHeight w:val="590" w:hRule="atLeast"/>
        </w:trPr>
        <w:tc>
          <w:tcPr>
            <w:tcW w:w="5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4</w:t>
            </w:r>
          </w:p>
        </w:tc>
        <w:tc>
          <w:tcPr>
            <w:tcW w:w="32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档案管理规定</w:t>
            </w:r>
          </w:p>
        </w:tc>
        <w:tc>
          <w:tcPr>
            <w:tcW w:w="128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运维管理</w:t>
            </w:r>
          </w:p>
        </w:tc>
      </w:tr>
      <w:tr>
        <w:tblPrEx>
          <w:tblCellMar>
            <w:top w:w="0" w:type="dxa"/>
            <w:left w:w="0" w:type="dxa"/>
            <w:bottom w:w="0" w:type="dxa"/>
            <w:right w:w="0" w:type="dxa"/>
          </w:tblCellMar>
        </w:tblPrEx>
        <w:trPr>
          <w:trHeight w:val="590" w:hRule="atLeast"/>
        </w:trPr>
        <w:tc>
          <w:tcPr>
            <w:tcW w:w="5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5</w:t>
            </w:r>
          </w:p>
        </w:tc>
        <w:tc>
          <w:tcPr>
            <w:tcW w:w="32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验收规范</w:t>
            </w:r>
          </w:p>
        </w:tc>
        <w:tc>
          <w:tcPr>
            <w:tcW w:w="128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运维管理</w:t>
            </w:r>
          </w:p>
        </w:tc>
      </w:tr>
      <w:tr>
        <w:tblPrEx>
          <w:tblCellMar>
            <w:top w:w="0" w:type="dxa"/>
            <w:left w:w="0" w:type="dxa"/>
            <w:bottom w:w="0" w:type="dxa"/>
            <w:right w:w="0" w:type="dxa"/>
          </w:tblCellMar>
        </w:tblPrEx>
        <w:trPr>
          <w:trHeight w:val="590" w:hRule="atLeast"/>
        </w:trPr>
        <w:tc>
          <w:tcPr>
            <w:tcW w:w="5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6</w:t>
            </w:r>
          </w:p>
        </w:tc>
        <w:tc>
          <w:tcPr>
            <w:tcW w:w="3208"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运行维护管理规范</w:t>
            </w:r>
          </w:p>
        </w:tc>
        <w:tc>
          <w:tcPr>
            <w:tcW w:w="1283" w:type="pct"/>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仿宋"/>
                <w:sz w:val="24"/>
              </w:rPr>
            </w:pPr>
            <w:r>
              <w:rPr>
                <w:rFonts w:hint="eastAsia" w:ascii="宋体" w:hAnsi="宋体" w:cs="仿宋"/>
                <w:sz w:val="24"/>
              </w:rPr>
              <w:t>运维管理</w:t>
            </w:r>
          </w:p>
        </w:tc>
      </w:tr>
    </w:tbl>
    <w:p>
      <w:pPr>
        <w:spacing w:line="400" w:lineRule="exact"/>
        <w:ind w:firstLine="480" w:firstLineChars="200"/>
        <w:rPr>
          <w:rFonts w:ascii="宋体" w:hAnsi="宋体" w:cs="仿宋"/>
          <w:sz w:val="24"/>
        </w:rPr>
      </w:pPr>
    </w:p>
    <w:p>
      <w:pPr>
        <w:pStyle w:val="7"/>
        <w:numPr>
          <w:ilvl w:val="3"/>
          <w:numId w:val="0"/>
        </w:numPr>
        <w:spacing w:line="400" w:lineRule="exact"/>
        <w:ind w:left="720" w:hanging="720"/>
        <w:rPr>
          <w:rFonts w:ascii="宋体" w:hAnsi="宋体" w:eastAsia="宋体" w:cs="仿宋"/>
          <w:bCs/>
          <w:sz w:val="24"/>
        </w:rPr>
      </w:pPr>
      <w:bookmarkStart w:id="16" w:name="_bookmark22"/>
      <w:bookmarkEnd w:id="16"/>
      <w:bookmarkStart w:id="17" w:name="4.2.1.3标准化体系建设工作任务"/>
      <w:bookmarkEnd w:id="17"/>
      <w:r>
        <w:rPr>
          <w:rFonts w:hint="eastAsia" w:ascii="宋体" w:hAnsi="宋体" w:eastAsia="宋体" w:cs="仿宋"/>
          <w:bCs/>
          <w:sz w:val="24"/>
        </w:rPr>
        <w:t>4.2.2.3数据目录管理</w:t>
      </w:r>
    </w:p>
    <w:p>
      <w:pPr>
        <w:spacing w:line="400" w:lineRule="exact"/>
        <w:ind w:firstLine="480" w:firstLineChars="200"/>
        <w:rPr>
          <w:rFonts w:ascii="宋体" w:hAnsi="宋体" w:cs="仿宋"/>
          <w:sz w:val="24"/>
        </w:rPr>
      </w:pPr>
      <w:r>
        <w:rPr>
          <w:rFonts w:hint="eastAsia" w:ascii="宋体" w:hAnsi="宋体" w:cs="仿宋"/>
          <w:sz w:val="24"/>
        </w:rPr>
        <w:t>通过山核桃资源目录，能够快速定位到数据的来源（出处）、数据归属、数据属性、数据规模以及更新等信息。</w:t>
      </w:r>
    </w:p>
    <w:p>
      <w:pPr>
        <w:spacing w:line="400" w:lineRule="exact"/>
        <w:ind w:firstLine="480" w:firstLineChars="200"/>
        <w:rPr>
          <w:rFonts w:ascii="宋体" w:hAnsi="宋体" w:cs="仿宋"/>
          <w:sz w:val="24"/>
        </w:rPr>
      </w:pPr>
      <w:r>
        <w:rPr>
          <w:rFonts w:hint="eastAsia" w:ascii="宋体" w:hAnsi="宋体" w:cs="仿宋"/>
          <w:sz w:val="24"/>
        </w:rPr>
        <w:t>通过数据资源目录管理能够快速对数据资源进行检索和管理，建成临安山核桃“超级智慧硬盘”，相关人员通过自定义的关键字查询能够列出相关资源列表。</w:t>
      </w:r>
    </w:p>
    <w:p>
      <w:pPr>
        <w:spacing w:line="400" w:lineRule="exact"/>
        <w:ind w:firstLine="480" w:firstLineChars="200"/>
        <w:rPr>
          <w:rFonts w:ascii="宋体" w:hAnsi="宋体" w:cs="仿宋"/>
          <w:sz w:val="24"/>
        </w:rPr>
      </w:pPr>
      <w:r>
        <w:rPr>
          <w:rFonts w:hint="eastAsia" w:ascii="宋体" w:hAnsi="宋体" w:cs="仿宋"/>
          <w:sz w:val="24"/>
        </w:rPr>
        <w:t>1.数据目录资源划分</w:t>
      </w:r>
    </w:p>
    <w:p>
      <w:pPr>
        <w:spacing w:line="400" w:lineRule="exact"/>
        <w:ind w:firstLine="480" w:firstLineChars="200"/>
        <w:rPr>
          <w:rFonts w:ascii="宋体" w:hAnsi="宋体" w:cs="仿宋"/>
          <w:sz w:val="24"/>
        </w:rPr>
      </w:pPr>
      <w:r>
        <w:rPr>
          <w:rFonts w:hint="eastAsia" w:ascii="宋体" w:hAnsi="宋体" w:cs="仿宋"/>
          <w:sz w:val="24"/>
        </w:rPr>
        <w:t>按照临安区山核桃特色产业数据资源情况，分为森林资源、自然环境、种植情况、生态治理规划、自然灾害、产量数据、生产加工、市场销售、品牌数据、产业主体、投入品、第三方平台等数据。</w:t>
      </w:r>
    </w:p>
    <w:p>
      <w:pPr>
        <w:spacing w:line="400" w:lineRule="exact"/>
        <w:ind w:firstLine="480" w:firstLineChars="200"/>
        <w:rPr>
          <w:rFonts w:ascii="宋体" w:hAnsi="宋体" w:cs="仿宋"/>
          <w:sz w:val="24"/>
        </w:rPr>
      </w:pPr>
      <w:r>
        <w:rPr>
          <w:rFonts w:hint="eastAsia" w:ascii="宋体" w:hAnsi="宋体" w:cs="仿宋"/>
          <w:sz w:val="24"/>
        </w:rPr>
        <w:t>2.数据资源目录实施</w:t>
      </w:r>
    </w:p>
    <w:p>
      <w:pPr>
        <w:spacing w:line="400" w:lineRule="exact"/>
        <w:ind w:firstLine="480" w:firstLineChars="200"/>
        <w:rPr>
          <w:rFonts w:ascii="宋体" w:hAnsi="宋体" w:cs="仿宋"/>
          <w:sz w:val="24"/>
        </w:rPr>
      </w:pPr>
      <w:r>
        <w:rPr>
          <w:rFonts w:hint="eastAsia" w:ascii="宋体" w:hAnsi="宋体" w:cs="仿宋"/>
          <w:sz w:val="24"/>
        </w:rPr>
        <w:t>利用数据资源目录管理，对临安区山核桃特色产业核心数据进行整理、编目、注册，形成完整的临安区山核桃特色产业数据资源目录。</w:t>
      </w:r>
    </w:p>
    <w:p>
      <w:pPr>
        <w:spacing w:line="400" w:lineRule="exact"/>
        <w:ind w:firstLine="480" w:firstLineChars="200"/>
        <w:rPr>
          <w:rFonts w:ascii="宋体" w:hAnsi="宋体" w:cs="仿宋"/>
          <w:sz w:val="24"/>
        </w:rPr>
      </w:pPr>
      <w:r>
        <w:rPr>
          <w:rFonts w:hint="eastAsia" w:ascii="宋体" w:hAnsi="宋体" w:cs="仿宋"/>
          <w:sz w:val="24"/>
        </w:rPr>
        <w:t>3.数据资源目录管理</w:t>
      </w:r>
    </w:p>
    <w:p>
      <w:pPr>
        <w:spacing w:line="400" w:lineRule="exact"/>
        <w:ind w:firstLine="480" w:firstLineChars="200"/>
        <w:rPr>
          <w:rFonts w:ascii="宋体" w:hAnsi="宋体" w:cs="仿宋"/>
          <w:sz w:val="24"/>
        </w:rPr>
      </w:pPr>
      <w:r>
        <w:rPr>
          <w:rFonts w:hint="eastAsia" w:ascii="宋体" w:hAnsi="宋体" w:cs="仿宋"/>
          <w:sz w:val="24"/>
        </w:rPr>
        <w:t>数据资源目录管理提供包括目录管理、目录服务及资源目录导航功能。</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bCs/>
          <w:sz w:val="24"/>
        </w:rPr>
        <w:t>4.2.3</w:t>
      </w:r>
      <w:r>
        <w:rPr>
          <w:rFonts w:hint="eastAsia" w:ascii="宋体" w:hAnsi="宋体" w:eastAsia="宋体" w:cs="仿宋"/>
          <w:sz w:val="24"/>
        </w:rPr>
        <w:t>产业模型标准数据参数建立</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4.2.3.1山核桃综合指数标准数据参数建立</w:t>
      </w:r>
    </w:p>
    <w:p>
      <w:pPr>
        <w:spacing w:line="400" w:lineRule="exact"/>
        <w:ind w:firstLine="480" w:firstLineChars="200"/>
        <w:rPr>
          <w:rFonts w:ascii="宋体" w:hAnsi="宋体" w:cs="仿宋"/>
          <w:sz w:val="24"/>
        </w:rPr>
      </w:pPr>
      <w:r>
        <w:rPr>
          <w:rFonts w:hint="eastAsia" w:ascii="宋体" w:hAnsi="宋体" w:cs="仿宋"/>
          <w:sz w:val="24"/>
        </w:rPr>
        <w:t>通过对2016年-2020年的临安山核桃环境数据、生产数据、品质数据、市场数据进行整理、归类、分析，数据量达到10万条，研究并建立山核桃综合指数标准数据参数，优化完善山核桃综合指数。</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4.2.3.2森林空间结构标准数据参数建立</w:t>
      </w:r>
    </w:p>
    <w:p>
      <w:pPr>
        <w:spacing w:line="400" w:lineRule="exact"/>
        <w:ind w:firstLine="480" w:firstLineChars="200"/>
        <w:rPr>
          <w:rFonts w:ascii="宋体" w:hAnsi="宋体" w:cs="仿宋"/>
          <w:sz w:val="24"/>
        </w:rPr>
      </w:pPr>
      <w:r>
        <w:rPr>
          <w:rFonts w:hint="eastAsia" w:ascii="宋体" w:hAnsi="宋体" w:cs="仿宋"/>
          <w:sz w:val="24"/>
        </w:rPr>
        <w:t>提取山核桃优势树种地块，约1.8万个森林经营小班，明确地块的坐落、数量、蓄积、分布、地类等因子属性因子，研究建立森林空间结构标准数据参数</w:t>
      </w:r>
      <w:r>
        <w:rPr>
          <w:rFonts w:hint="eastAsia" w:ascii="宋体" w:hAnsi="宋体" w:cs="仿宋"/>
          <w:bCs/>
          <w:sz w:val="24"/>
        </w:rPr>
        <w:t>，</w:t>
      </w:r>
      <w:r>
        <w:rPr>
          <w:rFonts w:hint="eastAsia" w:ascii="宋体" w:hAnsi="宋体" w:cs="仿宋"/>
          <w:sz w:val="24"/>
        </w:rPr>
        <w:t>制作山核桃优势树种分布的空间数据，地理坐标系统一采用2000中国大地坐标系（CGCS2000），最终以.SHP格式提交。</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4.2.3.3生态适宜性评价标准数据参数建立</w:t>
      </w:r>
    </w:p>
    <w:p>
      <w:pPr>
        <w:spacing w:line="400" w:lineRule="exact"/>
        <w:ind w:firstLine="480" w:firstLineChars="200"/>
        <w:rPr>
          <w:rFonts w:ascii="宋体" w:hAnsi="宋体" w:cs="仿宋"/>
          <w:sz w:val="24"/>
        </w:rPr>
      </w:pPr>
      <w:r>
        <w:rPr>
          <w:rFonts w:hint="eastAsia" w:ascii="宋体" w:hAnsi="宋体" w:cs="仿宋"/>
          <w:sz w:val="24"/>
        </w:rPr>
        <w:t>利用GIS地理信息系统，采集山核桃种植近3年年气候条件、地形条件、土壤条件和工程条件四大类数据，每大类数据样点不少于100个。生态适宜性评价对象为临安区除建设用地和水域以外的所有土地。以50m×50m栅格为评价单元，建立不少于50万个评价单元，将各评价指标进行相同尺度的匹配处理，得到有统一空间坐标和相同栅格大小的数据，数据总量不少于100万条。研究建立生态适宜性评价标准数据参数，完成生态适宜性评价结果出图工作，图件总数不少于10份，用于指导山核桃适宜林地的选择。</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4.2.3.4病虫害发生机制分析及绿色防治标准数据参数建立</w:t>
      </w:r>
    </w:p>
    <w:p>
      <w:pPr>
        <w:spacing w:line="400" w:lineRule="exact"/>
        <w:ind w:firstLine="480" w:firstLineChars="200"/>
        <w:rPr>
          <w:rFonts w:ascii="宋体" w:hAnsi="宋体" w:cs="仿宋"/>
          <w:sz w:val="24"/>
        </w:rPr>
      </w:pPr>
      <w:r>
        <w:rPr>
          <w:rFonts w:hint="eastAsia" w:ascii="宋体" w:hAnsi="宋体" w:cs="仿宋"/>
          <w:sz w:val="24"/>
        </w:rPr>
        <w:t>对树龄、地形、空气温度、空气湿度、土壤熵情、光照等病虫害影响因子进行分析，分析对象覆盖9个基于地区海拔不同分布的示范点，数量1万株以上，数据囊括近五年，病虫害数据达到10000条以上，研究建立病虫害发生机制分析及绿色防治标准数据参数，绘制病虫害的发生趋势图，预判山核桃树的生长趋势。</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4.2.3.5自然灾害预警标准数据参数建立</w:t>
      </w:r>
    </w:p>
    <w:p>
      <w:pPr>
        <w:spacing w:line="400" w:lineRule="exact"/>
        <w:ind w:firstLine="480" w:firstLineChars="200"/>
        <w:rPr>
          <w:rFonts w:ascii="宋体" w:hAnsi="宋体" w:cs="仿宋"/>
          <w:sz w:val="24"/>
        </w:rPr>
      </w:pPr>
      <w:r>
        <w:rPr>
          <w:rFonts w:hint="eastAsia" w:ascii="宋体" w:hAnsi="宋体" w:cs="仿宋"/>
          <w:sz w:val="24"/>
        </w:rPr>
        <w:t>收集并整理过去10年对临安山核桃种植产生影响的台风和地质灾害，统计灾害发生规律，并对灾害造成的影响进行评价。台风灾害统计因素包括台风等级、台风路劲、影响范围及相关经济损失。地质灾害统计因素包括灾害类型、行政地点、诱发因子、规模、影响范围及影响强度。结合山核桃林地具体分布，对统计因素，进行不少于10万次的数值模拟，研究建立自然灾害预警标准数据，得到自然灾害影响分布结果。</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4.2.3.6虚拟生长标准数据参数建立</w:t>
      </w:r>
    </w:p>
    <w:p>
      <w:pPr>
        <w:spacing w:line="400" w:lineRule="exact"/>
        <w:ind w:firstLine="480" w:firstLineChars="200"/>
        <w:rPr>
          <w:rFonts w:ascii="宋体" w:hAnsi="宋体" w:cs="仿宋"/>
          <w:sz w:val="24"/>
        </w:rPr>
      </w:pPr>
      <w:r>
        <w:rPr>
          <w:rFonts w:hint="eastAsia" w:ascii="宋体" w:hAnsi="宋体" w:cs="仿宋"/>
          <w:sz w:val="24"/>
        </w:rPr>
        <w:t>建立山核桃树单体数据库，覆盖1万株山核桃树，涵盖树龄、树高、树高、冠幅、生物量等因子，对这些因子进行测量和计算，研究建立虚拟生长标准数据参数，预测山核桃树虚拟生长健康状况。</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4.2.3.7山核桃加工过程参数建立</w:t>
      </w:r>
    </w:p>
    <w:p>
      <w:pPr>
        <w:spacing w:line="400" w:lineRule="exact"/>
        <w:ind w:firstLine="480" w:firstLineChars="200"/>
        <w:rPr>
          <w:rFonts w:ascii="宋体" w:hAnsi="宋体" w:cs="仿宋"/>
          <w:sz w:val="24"/>
        </w:rPr>
      </w:pPr>
      <w:r>
        <w:rPr>
          <w:rFonts w:hint="eastAsia" w:ascii="宋体" w:hAnsi="宋体" w:cs="仿宋"/>
          <w:sz w:val="24"/>
        </w:rPr>
        <w:t>建立山核桃树加工过程数据，覆盖数字示范点加工设备、进货量、加工量、出货量、库存量、产品规格等信息，研究建立核桃加工过程参数，并进行不少于10万次数值模拟，为提升山核桃产品原料管理、生产加工工艺数字化管理水平提供技术支持。</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4.2.4数据服务</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4.2.4.1指导手册</w:t>
      </w:r>
    </w:p>
    <w:p>
      <w:pPr>
        <w:spacing w:line="400" w:lineRule="exact"/>
        <w:ind w:firstLine="480" w:firstLineChars="200"/>
        <w:rPr>
          <w:rFonts w:ascii="宋体" w:hAnsi="宋体" w:cs="仿宋"/>
          <w:sz w:val="24"/>
        </w:rPr>
      </w:pPr>
      <w:r>
        <w:rPr>
          <w:rFonts w:hint="eastAsia" w:ascii="宋体" w:hAnsi="宋体" w:cs="仿宋"/>
          <w:sz w:val="24"/>
        </w:rPr>
        <w:t>利用平台数据进行整理、挖掘、分析、应用，提供数据报告与数字化指导服务：《数字化标准生产模式图》、《病虫害图谱》、《测土配方使用指导》、《临安山核桃干腐病绿色防治标准》，各印刷不低于300册，并通过短信、华数电视进村入户、小程序、钉钉等方式将电子手册发给林农，并作培训指导。</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4.2.4.2管理服务</w:t>
      </w:r>
    </w:p>
    <w:p>
      <w:pPr>
        <w:spacing w:line="400" w:lineRule="exact"/>
        <w:ind w:firstLine="480" w:firstLineChars="200"/>
        <w:rPr>
          <w:rFonts w:ascii="宋体" w:hAnsi="宋体" w:cs="仿宋"/>
          <w:sz w:val="24"/>
        </w:rPr>
      </w:pPr>
      <w:r>
        <w:rPr>
          <w:rFonts w:hint="eastAsia" w:ascii="宋体" w:hAnsi="宋体" w:cs="仿宋"/>
          <w:sz w:val="24"/>
        </w:rPr>
        <w:t>（1）临安山核桃品牌管理系统至少30家企业入驻管理（以山核桃产业协会企业会员名单数为主），实现品牌申请与授权管理。为品牌授权企业管理与发放品牌追溯标签，指导使用，并生成发放数据与用户扫描数据报告，反馈给企业。</w:t>
      </w:r>
    </w:p>
    <w:p>
      <w:pPr>
        <w:spacing w:line="400" w:lineRule="exact"/>
        <w:ind w:firstLine="480" w:firstLineChars="200"/>
        <w:rPr>
          <w:rFonts w:ascii="宋体" w:hAnsi="宋体" w:cs="仿宋"/>
          <w:sz w:val="24"/>
        </w:rPr>
      </w:pPr>
      <w:r>
        <w:rPr>
          <w:rFonts w:hint="eastAsia" w:ascii="宋体" w:hAnsi="宋体" w:cs="仿宋"/>
          <w:sz w:val="24"/>
        </w:rPr>
        <w:t>（2）至少50个移动终端应用产业监管系统，覆盖所有乡镇和产业重点村，实现山核桃林地生态治理工作实时、便捷汇报。将农业项目进行在线化管理（申报、评审、检查、验收、绩效等），减轻行政人员工作负担，增强办公协作性，提高办事效率。</w:t>
      </w:r>
    </w:p>
    <w:p>
      <w:pPr>
        <w:spacing w:line="400" w:lineRule="exact"/>
        <w:ind w:firstLine="480" w:firstLineChars="200"/>
        <w:rPr>
          <w:rFonts w:ascii="宋体" w:hAnsi="宋体" w:cs="仿宋"/>
          <w:sz w:val="24"/>
        </w:rPr>
      </w:pPr>
      <w:r>
        <w:rPr>
          <w:rFonts w:hint="eastAsia" w:ascii="宋体" w:hAnsi="宋体" w:cs="仿宋"/>
          <w:sz w:val="24"/>
        </w:rPr>
        <w:t>（3）6个山核桃数字示范基地、重点加工企业纳入追溯体系建设，实现山核桃产品原料、加工过程可追溯。</w:t>
      </w:r>
    </w:p>
    <w:p>
      <w:pPr>
        <w:spacing w:line="400" w:lineRule="exact"/>
        <w:ind w:firstLine="480" w:firstLineChars="200"/>
        <w:rPr>
          <w:rFonts w:ascii="宋体" w:hAnsi="宋体" w:cs="仿宋"/>
          <w:sz w:val="24"/>
        </w:rPr>
      </w:pPr>
      <w:r>
        <w:rPr>
          <w:rFonts w:hint="eastAsia" w:ascii="宋体" w:hAnsi="宋体" w:cs="仿宋"/>
          <w:sz w:val="24"/>
        </w:rPr>
        <w:t>（4）6个山核桃数字示范基地生产经营主体入驻农事管理系统，引导主体进行农事规范管理。</w:t>
      </w:r>
    </w:p>
    <w:p>
      <w:pPr>
        <w:spacing w:line="400" w:lineRule="exact"/>
        <w:ind w:firstLine="480" w:firstLineChars="200"/>
        <w:rPr>
          <w:rFonts w:ascii="宋体" w:hAnsi="宋体" w:cs="仿宋"/>
          <w:sz w:val="24"/>
        </w:rPr>
      </w:pPr>
      <w:r>
        <w:rPr>
          <w:rFonts w:hint="eastAsia" w:ascii="宋体" w:hAnsi="宋体" w:cs="仿宋"/>
          <w:sz w:val="24"/>
        </w:rPr>
        <w:t>（5）制作产品使用文档，对系统使用主体开展产品使用培训1000人次以上，包括基础概念培训、业务流程培训、软硬件使用操作培训等。</w:t>
      </w:r>
    </w:p>
    <w:p>
      <w:pPr>
        <w:spacing w:line="400" w:lineRule="exact"/>
        <w:ind w:firstLine="480" w:firstLineChars="200"/>
        <w:rPr>
          <w:rFonts w:ascii="宋体" w:hAnsi="宋体" w:cs="仿宋"/>
          <w:sz w:val="24"/>
        </w:rPr>
      </w:pPr>
      <w:r>
        <w:rPr>
          <w:rFonts w:hint="eastAsia" w:ascii="宋体" w:hAnsi="宋体" w:cs="仿宋"/>
          <w:sz w:val="24"/>
        </w:rPr>
        <w:t>（6）在云平台录入山核桃产业政策、农业农村政策、农林新闻等资讯500条以上。发布500条以上各类政务办公信息，让产品生产厂家、合作社、林农了解政府部门的各种优惠政策动向及监管动态等。</w:t>
      </w:r>
    </w:p>
    <w:p>
      <w:pPr>
        <w:spacing w:line="400" w:lineRule="exact"/>
        <w:ind w:firstLine="480" w:firstLineChars="200"/>
        <w:rPr>
          <w:rFonts w:ascii="宋体" w:hAnsi="宋体" w:cs="仿宋"/>
          <w:sz w:val="24"/>
        </w:rPr>
      </w:pPr>
      <w:r>
        <w:rPr>
          <w:rFonts w:hint="eastAsia" w:ascii="宋体" w:hAnsi="宋体" w:cs="仿宋"/>
          <w:sz w:val="24"/>
        </w:rPr>
        <w:t>（7）引入临安区农业农村局山核桃产业专家、高校山核桃产业专家、高校农林信息技术专家、浙江省市林科所山核桃产业专家作为技术顾问，为平台提供产业模型建立指导及其他技术支持、技术咨询、病虫害防控等服务。</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4.2.5数字化证书及应用</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4.2.5.1数字证书体系建设</w:t>
      </w:r>
    </w:p>
    <w:p>
      <w:pPr>
        <w:spacing w:line="400" w:lineRule="exact"/>
        <w:ind w:firstLine="480" w:firstLineChars="200"/>
        <w:rPr>
          <w:rFonts w:ascii="宋体" w:hAnsi="宋体" w:cs="仿宋"/>
          <w:sz w:val="24"/>
        </w:rPr>
      </w:pPr>
      <w:r>
        <w:rPr>
          <w:rFonts w:hint="eastAsia" w:ascii="宋体" w:hAnsi="宋体" w:cs="仿宋"/>
          <w:sz w:val="24"/>
        </w:rPr>
        <w:t>对10000亩山核桃示范林地全要素进行数字化处理，并形成完整的评价体系，对各要素进行量化评价，最终以编码+金额的形式确定山核桃林地的要素属性和经济价值。</w:t>
      </w:r>
    </w:p>
    <w:p>
      <w:pPr>
        <w:spacing w:line="400" w:lineRule="exact"/>
        <w:ind w:firstLine="480" w:firstLineChars="200"/>
        <w:rPr>
          <w:rFonts w:ascii="宋体" w:hAnsi="宋体" w:cs="仿宋"/>
          <w:sz w:val="24"/>
        </w:rPr>
      </w:pPr>
      <w:r>
        <w:rPr>
          <w:rFonts w:hint="eastAsia" w:ascii="宋体" w:hAnsi="宋体" w:cs="仿宋"/>
          <w:sz w:val="24"/>
        </w:rPr>
        <w:t>重点评价要素有以下几类：</w:t>
      </w:r>
    </w:p>
    <w:p>
      <w:pPr>
        <w:spacing w:line="400" w:lineRule="exact"/>
        <w:ind w:firstLine="480" w:firstLineChars="200"/>
        <w:rPr>
          <w:rFonts w:ascii="宋体" w:hAnsi="宋体" w:cs="仿宋"/>
          <w:sz w:val="24"/>
        </w:rPr>
      </w:pPr>
      <w:r>
        <w:rPr>
          <w:rFonts w:hint="eastAsia" w:ascii="宋体" w:hAnsi="宋体" w:cs="仿宋"/>
          <w:sz w:val="24"/>
        </w:rPr>
        <w:t>（1）林地基础属性：包括林地面积、形状及边界走向；</w:t>
      </w:r>
    </w:p>
    <w:p>
      <w:pPr>
        <w:spacing w:line="400" w:lineRule="exact"/>
        <w:ind w:firstLine="480" w:firstLineChars="200"/>
        <w:rPr>
          <w:rFonts w:ascii="宋体" w:hAnsi="宋体" w:cs="仿宋"/>
          <w:sz w:val="24"/>
        </w:rPr>
      </w:pPr>
      <w:r>
        <w:rPr>
          <w:rFonts w:hint="eastAsia" w:ascii="宋体" w:hAnsi="宋体" w:cs="仿宋"/>
          <w:sz w:val="24"/>
        </w:rPr>
        <w:t>（2）林地地形地貌：包括海拔高度、坡长、坡度和朝向信息；</w:t>
      </w:r>
    </w:p>
    <w:p>
      <w:pPr>
        <w:spacing w:line="400" w:lineRule="exact"/>
        <w:ind w:firstLine="480" w:firstLineChars="200"/>
        <w:rPr>
          <w:rFonts w:ascii="宋体" w:hAnsi="宋体" w:cs="仿宋"/>
          <w:sz w:val="24"/>
        </w:rPr>
      </w:pPr>
      <w:r>
        <w:rPr>
          <w:rFonts w:hint="eastAsia" w:ascii="宋体" w:hAnsi="宋体" w:cs="仿宋"/>
          <w:sz w:val="24"/>
        </w:rPr>
        <w:t>（3）土壤数据：包括土壤类型及质地；</w:t>
      </w:r>
    </w:p>
    <w:p>
      <w:pPr>
        <w:spacing w:line="400" w:lineRule="exact"/>
        <w:ind w:firstLine="480" w:firstLineChars="200"/>
        <w:rPr>
          <w:rFonts w:ascii="宋体" w:hAnsi="宋体" w:cs="仿宋"/>
          <w:sz w:val="24"/>
        </w:rPr>
      </w:pPr>
      <w:r>
        <w:rPr>
          <w:rFonts w:hint="eastAsia" w:ascii="宋体" w:hAnsi="宋体" w:cs="仿宋"/>
          <w:sz w:val="24"/>
        </w:rPr>
        <w:t>（4）气象条件：包括温度湿度、光照、降水及重点生长月份的日照天数，并考虑可能存在的气象灾害风险，主要包括台风灾害和短时间内集中强降雨灾害；</w:t>
      </w:r>
    </w:p>
    <w:p>
      <w:pPr>
        <w:spacing w:line="400" w:lineRule="exact"/>
        <w:ind w:firstLine="480" w:firstLineChars="200"/>
        <w:rPr>
          <w:rFonts w:ascii="宋体" w:hAnsi="宋体" w:cs="仿宋"/>
          <w:sz w:val="24"/>
        </w:rPr>
      </w:pPr>
      <w:r>
        <w:rPr>
          <w:rFonts w:hint="eastAsia" w:ascii="宋体" w:hAnsi="宋体" w:cs="仿宋"/>
          <w:sz w:val="24"/>
        </w:rPr>
        <w:t>（5）周边环境：包括周边河流湖波等水资源状况、相邻林地情况及可能存在的地质灾害风险；</w:t>
      </w:r>
    </w:p>
    <w:p>
      <w:pPr>
        <w:spacing w:line="400" w:lineRule="exact"/>
        <w:ind w:firstLine="480" w:firstLineChars="200"/>
        <w:rPr>
          <w:rFonts w:ascii="宋体" w:hAnsi="宋体" w:cs="仿宋"/>
          <w:sz w:val="24"/>
        </w:rPr>
      </w:pPr>
      <w:r>
        <w:rPr>
          <w:rFonts w:hint="eastAsia" w:ascii="宋体" w:hAnsi="宋体" w:cs="仿宋"/>
          <w:sz w:val="24"/>
        </w:rPr>
        <w:t xml:space="preserve">（6）地表覆盖：包括林地周边5公里范围内土地利用情况，及山核桃林地自身林下植被覆盖情况和拉网覆盖情况； </w:t>
      </w:r>
    </w:p>
    <w:p>
      <w:pPr>
        <w:spacing w:line="400" w:lineRule="exact"/>
        <w:ind w:firstLine="480" w:firstLineChars="200"/>
        <w:rPr>
          <w:rFonts w:ascii="宋体" w:hAnsi="宋体" w:cs="仿宋"/>
          <w:sz w:val="24"/>
        </w:rPr>
      </w:pPr>
      <w:r>
        <w:rPr>
          <w:rFonts w:hint="eastAsia" w:ascii="宋体" w:hAnsi="宋体" w:cs="仿宋"/>
          <w:sz w:val="24"/>
        </w:rPr>
        <w:t>（7）山核桃植株：包括一定代表性的山核桃树龄、树株、树况及2016年-2020年生长情况（产量数据+品质数据）。其中树株是指山核桃种植区域密度及间距分布，树况是指树茎、树枝数量和树梢范围等表征其生长健康程度的数据。</w:t>
      </w:r>
    </w:p>
    <w:p>
      <w:pPr>
        <w:spacing w:line="400" w:lineRule="exact"/>
        <w:ind w:firstLine="480" w:firstLineChars="200"/>
        <w:rPr>
          <w:rFonts w:ascii="宋体" w:hAnsi="宋体" w:cs="仿宋"/>
          <w:sz w:val="24"/>
        </w:rPr>
      </w:pPr>
      <w:r>
        <w:rPr>
          <w:rFonts w:hint="eastAsia" w:ascii="宋体" w:hAnsi="宋体" w:cs="仿宋"/>
          <w:sz w:val="24"/>
        </w:rPr>
        <w:t>（8）工程措施：包括实行林地灌溉措施、水土保持措施等一系列已投入的人工措施。</w:t>
      </w:r>
    </w:p>
    <w:p>
      <w:pPr>
        <w:spacing w:line="400" w:lineRule="exact"/>
        <w:ind w:firstLine="480" w:firstLineChars="200"/>
        <w:rPr>
          <w:rFonts w:ascii="宋体" w:hAnsi="宋体" w:cs="仿宋"/>
          <w:sz w:val="24"/>
        </w:rPr>
      </w:pPr>
      <w:r>
        <w:rPr>
          <w:rFonts w:hint="eastAsia" w:ascii="宋体" w:hAnsi="宋体" w:cs="仿宋"/>
          <w:sz w:val="24"/>
        </w:rPr>
        <w:t>数据更新：数据证书评价体系涉及数据种类多，且来源丰富，不同数据的更新程度不同。根据评估要素的变化，并参考山核桃的年际生长周期，对山核桃林地价值进行季度更新。重点更新数据包括山核桃植株的生长状况及产量变化情况。</w:t>
      </w:r>
    </w:p>
    <w:p>
      <w:pPr>
        <w:spacing w:line="400" w:lineRule="exact"/>
        <w:ind w:firstLine="480" w:firstLineChars="200"/>
        <w:rPr>
          <w:rFonts w:ascii="宋体" w:hAnsi="宋体" w:cs="仿宋"/>
          <w:sz w:val="24"/>
        </w:rPr>
      </w:pPr>
      <w:r>
        <w:rPr>
          <w:rFonts w:hint="eastAsia" w:ascii="宋体" w:hAnsi="宋体" w:cs="仿宋"/>
          <w:sz w:val="24"/>
        </w:rPr>
        <w:t>动态的山核桃数字证书将作为山核桃林地的金融凭证，为种植户在经营山核桃林地过程中的抵押或贷款行为提供基础性数据支持。</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4.2.5.2数字证书的发放</w:t>
      </w:r>
    </w:p>
    <w:p>
      <w:pPr>
        <w:spacing w:line="400" w:lineRule="exact"/>
        <w:ind w:firstLine="480" w:firstLineChars="200"/>
        <w:rPr>
          <w:rFonts w:ascii="宋体" w:hAnsi="宋体" w:cs="仿宋"/>
          <w:sz w:val="24"/>
        </w:rPr>
      </w:pPr>
      <w:r>
        <w:rPr>
          <w:rFonts w:hint="eastAsia" w:ascii="宋体" w:hAnsi="宋体" w:cs="仿宋"/>
          <w:sz w:val="24"/>
        </w:rPr>
        <w:t>选取临安10000亩山核桃规模基地（包括6个山核桃数字示范基地），进行数字化证书的发放。</w:t>
      </w:r>
    </w:p>
    <w:p>
      <w:pPr>
        <w:spacing w:line="400" w:lineRule="exact"/>
        <w:ind w:firstLine="480" w:firstLineChars="200"/>
        <w:rPr>
          <w:rFonts w:ascii="宋体" w:hAnsi="宋体" w:cs="仿宋"/>
          <w:sz w:val="24"/>
        </w:rPr>
      </w:pPr>
      <w:r>
        <w:rPr>
          <w:rFonts w:hint="eastAsia" w:ascii="宋体" w:hAnsi="宋体" w:cs="仿宋"/>
          <w:sz w:val="24"/>
        </w:rPr>
        <w:t>证书形式：电子证书+纸质证书。电子证书以可视化系统的形式，对数字证书体系的所有要素进行综合化展示，并随着评价要素的变化情况对评价结果实现联动更新。林地业主可通过扫描二维码的形式实时查看数字证书。扫描二维码后可生成林地数字化过程报告，对并具体评价属性进行说明。</w:t>
      </w:r>
    </w:p>
    <w:p>
      <w:pPr>
        <w:spacing w:line="400" w:lineRule="exact"/>
        <w:ind w:firstLine="480" w:firstLineChars="200"/>
        <w:rPr>
          <w:rFonts w:ascii="宋体" w:hAnsi="宋体" w:cs="仿宋"/>
          <w:sz w:val="24"/>
        </w:rPr>
      </w:pPr>
      <w:r>
        <w:rPr>
          <w:rFonts w:hint="eastAsia" w:ascii="宋体" w:hAnsi="宋体" w:cs="仿宋"/>
          <w:sz w:val="24"/>
        </w:rPr>
        <w:t>在数字证书的发放过程中，将对接临安区农商银行及其他金融机构，通过银行认证的形式，保证数字证书的有效性。</w:t>
      </w:r>
    </w:p>
    <w:p>
      <w:pPr>
        <w:pStyle w:val="7"/>
        <w:numPr>
          <w:ilvl w:val="3"/>
          <w:numId w:val="0"/>
        </w:numPr>
        <w:spacing w:line="400" w:lineRule="exact"/>
        <w:ind w:left="720" w:hanging="720"/>
        <w:rPr>
          <w:rFonts w:ascii="宋体" w:hAnsi="宋体" w:eastAsia="宋体" w:cs="仿宋"/>
          <w:bCs/>
          <w:sz w:val="24"/>
        </w:rPr>
      </w:pPr>
      <w:r>
        <w:rPr>
          <w:rFonts w:hint="eastAsia" w:ascii="宋体" w:hAnsi="宋体" w:eastAsia="宋体" w:cs="仿宋"/>
          <w:bCs/>
          <w:sz w:val="24"/>
        </w:rPr>
        <w:t>4.2.5.3区块链技术的应用</w:t>
      </w:r>
    </w:p>
    <w:p>
      <w:pPr>
        <w:spacing w:line="400" w:lineRule="exact"/>
        <w:ind w:firstLine="480" w:firstLineChars="200"/>
        <w:rPr>
          <w:rFonts w:ascii="宋体" w:hAnsi="宋体" w:cs="仿宋"/>
          <w:sz w:val="24"/>
        </w:rPr>
      </w:pPr>
      <w:r>
        <w:rPr>
          <w:rFonts w:hint="eastAsia" w:ascii="宋体" w:hAnsi="宋体" w:cs="仿宋"/>
          <w:sz w:val="24"/>
        </w:rPr>
        <w:t>针对现有技术中存在的问题，本次工作将选择一种通过区块链和数字签名加密技术存储的电子证书管理系统，有效解决了证书存储困难、安全性差、公信力弱的问题。</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5主要功能技术实现要求</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5.1系统架构和关键技术要求</w:t>
      </w:r>
    </w:p>
    <w:p>
      <w:pPr>
        <w:spacing w:line="400" w:lineRule="exact"/>
        <w:ind w:firstLine="480" w:firstLineChars="200"/>
        <w:rPr>
          <w:rFonts w:ascii="宋体" w:hAnsi="宋体" w:cs="仿宋"/>
          <w:sz w:val="24"/>
        </w:rPr>
      </w:pPr>
      <w:r>
        <w:rPr>
          <w:rFonts w:hint="eastAsia" w:ascii="宋体" w:hAnsi="宋体" w:cs="仿宋"/>
          <w:sz w:val="24"/>
        </w:rPr>
        <w:t>系统应用界面干净简洁，各项功能一目了然，操作方便。</w:t>
      </w:r>
    </w:p>
    <w:p>
      <w:pPr>
        <w:spacing w:line="400" w:lineRule="exact"/>
        <w:ind w:firstLine="480" w:firstLineChars="200"/>
        <w:rPr>
          <w:rFonts w:ascii="宋体" w:hAnsi="宋体" w:cs="仿宋"/>
          <w:sz w:val="24"/>
        </w:rPr>
      </w:pPr>
      <w:r>
        <w:rPr>
          <w:rFonts w:hint="eastAsia" w:ascii="宋体" w:hAnsi="宋体" w:cs="仿宋"/>
          <w:sz w:val="24"/>
        </w:rPr>
        <w:t>本项目着力于农业大数据和农业服务，涉及到农业的各个方面，结合时下成熟的技术，将技术应用到农业各个环节中：</w:t>
      </w:r>
    </w:p>
    <w:p>
      <w:pPr>
        <w:spacing w:line="400" w:lineRule="exact"/>
        <w:ind w:firstLine="480" w:firstLineChars="200"/>
        <w:rPr>
          <w:rFonts w:ascii="宋体" w:hAnsi="宋体" w:cs="仿宋"/>
          <w:sz w:val="24"/>
        </w:rPr>
      </w:pPr>
      <w:r>
        <w:rPr>
          <w:rFonts w:hint="eastAsia" w:ascii="宋体" w:hAnsi="宋体" w:cs="仿宋"/>
          <w:sz w:val="24"/>
        </w:rPr>
        <w:t>1）云平台</w:t>
      </w:r>
      <w:r>
        <w:rPr>
          <w:rFonts w:hint="eastAsia" w:ascii="宋体" w:hAnsi="宋体" w:cs="仿宋"/>
          <w:sz w:val="24"/>
        </w:rPr>
        <w:br w:type="textWrapping"/>
      </w:r>
      <w:r>
        <w:rPr>
          <w:rFonts w:hint="eastAsia" w:ascii="宋体" w:hAnsi="宋体" w:cs="仿宋"/>
          <w:sz w:val="24"/>
        </w:rPr>
        <w:t xml:space="preserve">    为企业和机构提供硬件方面的计算、网络和存储能力、提供软件方面的按需接入。</w:t>
      </w:r>
    </w:p>
    <w:p>
      <w:pPr>
        <w:spacing w:line="400" w:lineRule="exact"/>
        <w:ind w:firstLine="480" w:firstLineChars="200"/>
        <w:rPr>
          <w:rFonts w:ascii="宋体" w:hAnsi="宋体" w:cs="仿宋"/>
          <w:sz w:val="24"/>
        </w:rPr>
      </w:pPr>
      <w:r>
        <w:rPr>
          <w:rFonts w:hint="eastAsia" w:ascii="宋体" w:hAnsi="宋体" w:cs="仿宋"/>
          <w:sz w:val="24"/>
        </w:rPr>
        <w:t>2）区块链</w:t>
      </w:r>
    </w:p>
    <w:p>
      <w:pPr>
        <w:spacing w:line="400" w:lineRule="exact"/>
        <w:ind w:firstLine="480" w:firstLineChars="200"/>
        <w:rPr>
          <w:rFonts w:ascii="宋体" w:hAnsi="宋体" w:cs="仿宋"/>
          <w:sz w:val="24"/>
        </w:rPr>
      </w:pPr>
      <w:r>
        <w:rPr>
          <w:rFonts w:hint="eastAsia" w:ascii="宋体" w:hAnsi="宋体" w:cs="仿宋"/>
          <w:sz w:val="24"/>
        </w:rPr>
        <w:t>山核桃特色产业云服务平台与区块链结合的技术，将区块链技术应用至产业资源采集系统、农事管理系统、全程追溯管理系统、品牌管理系统、产业大数据中心等应用系统平台中。</w:t>
      </w:r>
    </w:p>
    <w:p>
      <w:pPr>
        <w:spacing w:line="400" w:lineRule="exact"/>
        <w:ind w:firstLine="480" w:firstLineChars="200"/>
        <w:rPr>
          <w:rFonts w:ascii="宋体" w:hAnsi="宋体" w:cs="仿宋"/>
          <w:sz w:val="24"/>
        </w:rPr>
      </w:pPr>
      <w:r>
        <w:rPr>
          <w:rFonts w:hint="eastAsia" w:ascii="宋体" w:hAnsi="宋体" w:cs="仿宋"/>
          <w:sz w:val="24"/>
        </w:rPr>
        <w:t>3）数据分析挖掘</w:t>
      </w:r>
      <w:r>
        <w:rPr>
          <w:rFonts w:hint="eastAsia" w:ascii="宋体" w:hAnsi="宋体" w:cs="仿宋"/>
          <w:sz w:val="24"/>
        </w:rPr>
        <w:br w:type="textWrapping"/>
      </w:r>
      <w:r>
        <w:rPr>
          <w:rFonts w:hint="eastAsia" w:ascii="宋体" w:hAnsi="宋体" w:cs="仿宋"/>
          <w:sz w:val="24"/>
        </w:rPr>
        <w:t xml:space="preserve">    采用MapReduce面向大数据并行处理的计算模型、框架和平台，Spark计算引擎，Apache Kylin™，Apache Phoenix等技术。</w:t>
      </w:r>
    </w:p>
    <w:p>
      <w:pPr>
        <w:spacing w:line="400" w:lineRule="exact"/>
        <w:ind w:firstLine="480" w:firstLineChars="200"/>
        <w:rPr>
          <w:rFonts w:ascii="宋体" w:hAnsi="宋体" w:cs="仿宋"/>
          <w:sz w:val="24"/>
        </w:rPr>
      </w:pPr>
      <w:r>
        <w:rPr>
          <w:rFonts w:hint="eastAsia" w:ascii="宋体" w:hAnsi="宋体" w:cs="仿宋"/>
          <w:sz w:val="24"/>
        </w:rPr>
        <w:t>4）流式数据处理</w:t>
      </w:r>
      <w:r>
        <w:rPr>
          <w:rFonts w:hint="eastAsia" w:ascii="宋体" w:hAnsi="宋体" w:cs="仿宋"/>
          <w:sz w:val="24"/>
        </w:rPr>
        <w:br w:type="textWrapping"/>
      </w:r>
      <w:r>
        <w:rPr>
          <w:rFonts w:hint="eastAsia" w:ascii="宋体" w:hAnsi="宋体" w:cs="仿宋"/>
          <w:sz w:val="24"/>
        </w:rPr>
        <w:t xml:space="preserve">    采用Lambda架构作为实时大数据处理框架，Lambda架构能满足实时大数据系统关键特性的架构，集成Hadoop，Kafka，Spark，Spark Streaming，HBase等各类大数据组件。</w:t>
      </w:r>
    </w:p>
    <w:p>
      <w:pPr>
        <w:spacing w:line="400" w:lineRule="exact"/>
        <w:ind w:firstLine="480" w:firstLineChars="200"/>
        <w:rPr>
          <w:rFonts w:ascii="宋体" w:hAnsi="宋体" w:cs="仿宋"/>
          <w:sz w:val="24"/>
        </w:rPr>
      </w:pPr>
      <w:r>
        <w:rPr>
          <w:rFonts w:hint="eastAsia" w:ascii="宋体" w:hAnsi="宋体" w:cs="仿宋"/>
          <w:sz w:val="24"/>
        </w:rPr>
        <w:t>5）数据应用</w:t>
      </w:r>
      <w:r>
        <w:rPr>
          <w:rFonts w:hint="eastAsia" w:ascii="宋体" w:hAnsi="宋体" w:cs="仿宋"/>
          <w:sz w:val="24"/>
        </w:rPr>
        <w:br w:type="textWrapping"/>
      </w:r>
      <w:r>
        <w:rPr>
          <w:rFonts w:hint="eastAsia" w:ascii="宋体" w:hAnsi="宋体" w:cs="仿宋"/>
          <w:sz w:val="24"/>
        </w:rPr>
        <w:t xml:space="preserve">    数据应用采用微服务架构，微服务架构是一种架构模式，它提倡将单一应用程序划分成一组小的服务，服务之间互相协调、互相配合，为用户提供最终价值，基于HTTP协议的RESTful API。</w:t>
      </w:r>
    </w:p>
    <w:p>
      <w:pPr>
        <w:spacing w:line="400" w:lineRule="exact"/>
        <w:ind w:firstLine="480" w:firstLineChars="200"/>
        <w:rPr>
          <w:rFonts w:ascii="宋体" w:hAnsi="宋体" w:cs="仿宋"/>
          <w:sz w:val="24"/>
        </w:rPr>
      </w:pPr>
      <w:r>
        <w:rPr>
          <w:rFonts w:hint="eastAsia" w:ascii="宋体" w:hAnsi="宋体" w:cs="仿宋"/>
          <w:sz w:val="24"/>
        </w:rPr>
        <w:t>通过对项目接口与其他部门系统共享数据分析，主要提供WebService接口、RESTful API、JDBC接口等接口形式。</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5.2系统主要性能要求</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5.2.1技术规范和标准</w:t>
      </w:r>
    </w:p>
    <w:p>
      <w:pPr>
        <w:spacing w:line="400" w:lineRule="exact"/>
        <w:ind w:firstLine="480" w:firstLineChars="200"/>
        <w:rPr>
          <w:rFonts w:ascii="宋体" w:hAnsi="宋体" w:cs="仿宋"/>
          <w:sz w:val="24"/>
        </w:rPr>
      </w:pPr>
      <w:r>
        <w:rPr>
          <w:rFonts w:hint="eastAsia" w:ascii="宋体" w:hAnsi="宋体" w:cs="仿宋"/>
          <w:sz w:val="24"/>
        </w:rPr>
        <w:t>系统设计必须符合国际、国家、省和行业管理规范，符合计算机行业规范和检验业务规范；设计、开发和管理维护各阶段的技术文档要完整、规范、条理清晰。</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5.2.2先进性和成熟性</w:t>
      </w:r>
    </w:p>
    <w:p>
      <w:pPr>
        <w:spacing w:line="400" w:lineRule="exact"/>
        <w:ind w:firstLine="480" w:firstLineChars="200"/>
        <w:rPr>
          <w:rFonts w:ascii="宋体" w:hAnsi="宋体" w:cs="仿宋"/>
          <w:sz w:val="24"/>
        </w:rPr>
      </w:pPr>
      <w:r>
        <w:rPr>
          <w:rFonts w:hint="eastAsia" w:ascii="宋体" w:hAnsi="宋体" w:cs="仿宋"/>
          <w:sz w:val="24"/>
        </w:rPr>
        <w:t>具备当今的先进水平，在整个系统的生命周期内，必须能够不断完善、扩充、更新，使功能愈来愈丰富，性能愈来愈完善，使用愈来愈方便，而不至于过早地被淘汰，具备可伸缩的架构。平台界面美化设计，屏幕分辨率满足多种通用模式。</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5.2.3安全性能和保密性</w:t>
      </w:r>
    </w:p>
    <w:p>
      <w:pPr>
        <w:spacing w:line="400" w:lineRule="exact"/>
        <w:ind w:firstLine="480" w:firstLineChars="200"/>
        <w:rPr>
          <w:rFonts w:ascii="宋体" w:hAnsi="宋体" w:cs="仿宋"/>
          <w:sz w:val="24"/>
        </w:rPr>
      </w:pPr>
      <w:r>
        <w:rPr>
          <w:rFonts w:hint="eastAsia" w:ascii="宋体" w:hAnsi="宋体" w:cs="仿宋"/>
          <w:sz w:val="24"/>
        </w:rPr>
        <w:t>1）系统按国家信息安全等级二级等保要求进行建设，并需通过第三方等保安全检测；</w:t>
      </w:r>
    </w:p>
    <w:p>
      <w:pPr>
        <w:spacing w:line="400" w:lineRule="exact"/>
        <w:ind w:firstLine="480" w:firstLineChars="200"/>
        <w:rPr>
          <w:rFonts w:ascii="宋体" w:hAnsi="宋体" w:cs="仿宋"/>
          <w:sz w:val="24"/>
        </w:rPr>
      </w:pPr>
      <w:r>
        <w:rPr>
          <w:rFonts w:hint="eastAsia" w:ascii="宋体" w:hAnsi="宋体" w:cs="仿宋"/>
          <w:sz w:val="24"/>
        </w:rPr>
        <w:t>2）云基础设施（硬件、网络、安全设备等）的安全依托临安区数据局云服务器和数据存储；</w:t>
      </w:r>
    </w:p>
    <w:p>
      <w:pPr>
        <w:spacing w:line="400" w:lineRule="exact"/>
        <w:ind w:firstLine="480" w:firstLineChars="200"/>
        <w:rPr>
          <w:rFonts w:ascii="宋体" w:hAnsi="宋体" w:cs="仿宋"/>
          <w:sz w:val="24"/>
        </w:rPr>
      </w:pPr>
      <w:r>
        <w:rPr>
          <w:rFonts w:hint="eastAsia" w:ascii="宋体" w:hAnsi="宋体" w:cs="仿宋"/>
          <w:sz w:val="24"/>
        </w:rPr>
        <w:t>3）应用层在区电子政务安全防护基础上，增加云安全监控防护服务，支持安全态势感知、DDoS攻击防御、Web安全防御、主机安全防御；</w:t>
      </w:r>
    </w:p>
    <w:p>
      <w:pPr>
        <w:spacing w:line="400" w:lineRule="exact"/>
        <w:ind w:firstLine="480" w:firstLineChars="200"/>
        <w:rPr>
          <w:rFonts w:ascii="宋体" w:hAnsi="宋体" w:cs="仿宋"/>
          <w:sz w:val="24"/>
        </w:rPr>
      </w:pPr>
      <w:r>
        <w:rPr>
          <w:rFonts w:hint="eastAsia" w:ascii="宋体" w:hAnsi="宋体" w:cs="仿宋"/>
          <w:sz w:val="24"/>
        </w:rPr>
        <w:t>4）支持安全审计，应覆盖所有用户，审计记录无法被篡改；</w:t>
      </w:r>
    </w:p>
    <w:p>
      <w:pPr>
        <w:spacing w:line="400" w:lineRule="exact"/>
        <w:ind w:firstLine="480" w:firstLineChars="200"/>
        <w:rPr>
          <w:rFonts w:ascii="宋体" w:hAnsi="宋体" w:cs="仿宋"/>
          <w:sz w:val="24"/>
        </w:rPr>
      </w:pPr>
      <w:r>
        <w:rPr>
          <w:rFonts w:hint="eastAsia" w:ascii="宋体" w:hAnsi="宋体" w:cs="仿宋"/>
          <w:sz w:val="24"/>
        </w:rPr>
        <w:t>5）支持核心数据化信息存储加密，加密对数据访问透明；</w:t>
      </w:r>
    </w:p>
    <w:p>
      <w:pPr>
        <w:spacing w:line="400" w:lineRule="exact"/>
        <w:ind w:firstLine="480" w:firstLineChars="200"/>
        <w:rPr>
          <w:rFonts w:ascii="宋体" w:hAnsi="宋体" w:cs="仿宋"/>
          <w:sz w:val="24"/>
        </w:rPr>
      </w:pPr>
      <w:r>
        <w:rPr>
          <w:rFonts w:hint="eastAsia" w:ascii="宋体" w:hAnsi="宋体" w:cs="仿宋"/>
          <w:sz w:val="24"/>
        </w:rPr>
        <w:t>6）支持数据化信息在网络传输中加密；</w:t>
      </w:r>
    </w:p>
    <w:p>
      <w:pPr>
        <w:spacing w:line="400" w:lineRule="exact"/>
        <w:ind w:firstLine="480" w:firstLineChars="200"/>
        <w:rPr>
          <w:rFonts w:ascii="宋体" w:hAnsi="宋体" w:cs="仿宋"/>
          <w:sz w:val="24"/>
        </w:rPr>
      </w:pPr>
      <w:r>
        <w:rPr>
          <w:rFonts w:hint="eastAsia" w:ascii="宋体" w:hAnsi="宋体" w:cs="仿宋"/>
          <w:sz w:val="24"/>
        </w:rPr>
        <w:t>7）加、解密操作对性能影响不超过5％；</w:t>
      </w:r>
    </w:p>
    <w:p>
      <w:pPr>
        <w:spacing w:line="400" w:lineRule="exact"/>
        <w:ind w:firstLine="480" w:firstLineChars="200"/>
        <w:rPr>
          <w:rFonts w:ascii="宋体" w:hAnsi="宋体" w:cs="仿宋"/>
          <w:sz w:val="24"/>
        </w:rPr>
      </w:pPr>
      <w:r>
        <w:rPr>
          <w:rFonts w:hint="eastAsia" w:ascii="宋体" w:hAnsi="宋体" w:cs="仿宋"/>
          <w:sz w:val="24"/>
        </w:rPr>
        <w:t>8）能够检测数据化信息在传输及存储中完整性遭到破坏；</w:t>
      </w:r>
    </w:p>
    <w:p>
      <w:pPr>
        <w:spacing w:line="400" w:lineRule="exact"/>
        <w:ind w:firstLine="480" w:firstLineChars="200"/>
        <w:rPr>
          <w:rFonts w:ascii="宋体" w:hAnsi="宋体" w:cs="仿宋"/>
          <w:sz w:val="24"/>
        </w:rPr>
      </w:pPr>
      <w:r>
        <w:rPr>
          <w:rFonts w:hint="eastAsia" w:ascii="宋体" w:hAnsi="宋体" w:cs="仿宋"/>
          <w:sz w:val="24"/>
        </w:rPr>
        <w:t>9）采用统一认证中心，对用户数据权限进行统一校验管控；</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5.2.4高性能和高稳定性能</w:t>
      </w:r>
    </w:p>
    <w:p>
      <w:pPr>
        <w:spacing w:line="400" w:lineRule="exact"/>
        <w:ind w:firstLine="480" w:firstLineChars="200"/>
        <w:rPr>
          <w:rFonts w:ascii="宋体" w:hAnsi="宋体" w:cs="仿宋"/>
          <w:sz w:val="24"/>
        </w:rPr>
      </w:pPr>
      <w:r>
        <w:rPr>
          <w:rFonts w:hint="eastAsia" w:ascii="宋体" w:hAnsi="宋体" w:cs="仿宋"/>
          <w:sz w:val="24"/>
        </w:rPr>
        <w:t>1）用户访问单页面响应时间应小于100毫秒，单页面完整打开时间小于3秒，页面功能切换应小于1.5秒，信息浏览应小于1秒，简单查询应小于1.5秒，复杂搜索应小于2秒，表单提交应小于2.5秒；</w:t>
      </w:r>
    </w:p>
    <w:p>
      <w:pPr>
        <w:spacing w:line="400" w:lineRule="exact"/>
        <w:ind w:firstLine="480" w:firstLineChars="200"/>
        <w:rPr>
          <w:rFonts w:ascii="宋体" w:hAnsi="宋体" w:cs="仿宋"/>
          <w:sz w:val="24"/>
        </w:rPr>
      </w:pPr>
      <w:r>
        <w:rPr>
          <w:rFonts w:hint="eastAsia" w:ascii="宋体" w:hAnsi="宋体" w:cs="仿宋"/>
          <w:sz w:val="24"/>
        </w:rPr>
        <w:t>2）系统支持峰值2000个并发用户，正常200个并发用户的性能要求；</w:t>
      </w:r>
    </w:p>
    <w:p>
      <w:pPr>
        <w:spacing w:line="400" w:lineRule="exact"/>
        <w:ind w:firstLine="480" w:firstLineChars="200"/>
        <w:rPr>
          <w:rFonts w:ascii="宋体" w:hAnsi="宋体" w:cs="仿宋"/>
          <w:sz w:val="24"/>
        </w:rPr>
      </w:pPr>
      <w:r>
        <w:rPr>
          <w:rFonts w:hint="eastAsia" w:ascii="宋体" w:hAnsi="宋体" w:cs="仿宋"/>
          <w:sz w:val="24"/>
        </w:rPr>
        <w:t>3）单个管理用户登录后台页面的平均时间小于0.5秒，单项系统配置的平均时间小于1分钟；</w:t>
      </w:r>
    </w:p>
    <w:p>
      <w:pPr>
        <w:spacing w:line="400" w:lineRule="exact"/>
        <w:ind w:firstLine="480" w:firstLineChars="200"/>
        <w:rPr>
          <w:rFonts w:ascii="宋体" w:hAnsi="宋体" w:cs="仿宋"/>
          <w:sz w:val="24"/>
        </w:rPr>
      </w:pPr>
      <w:r>
        <w:rPr>
          <w:rFonts w:hint="eastAsia" w:ascii="宋体" w:hAnsi="宋体" w:cs="仿宋"/>
          <w:sz w:val="24"/>
        </w:rPr>
        <w:t>4）系统应做到7×24小时的系统在线，要求保证系统每年累计非计划停机时间合计小于8.8小时；关键应用因故障非计划停止服务至恢复服务时间每次应小于5分钟，在出现故障时，必须能够及时提供应急措施，以保证对接系统的业务不中断；</w:t>
      </w:r>
    </w:p>
    <w:p>
      <w:pPr>
        <w:spacing w:line="400" w:lineRule="exact"/>
        <w:ind w:firstLine="480" w:firstLineChars="200"/>
        <w:rPr>
          <w:rFonts w:ascii="宋体" w:hAnsi="宋体" w:cs="仿宋"/>
          <w:sz w:val="24"/>
        </w:rPr>
      </w:pPr>
      <w:r>
        <w:rPr>
          <w:rFonts w:hint="eastAsia" w:ascii="宋体" w:hAnsi="宋体" w:cs="仿宋"/>
          <w:sz w:val="24"/>
        </w:rPr>
        <w:t>5）系统版本升级应支持各微应用独立升级，且支持灰度发布。</w:t>
      </w:r>
    </w:p>
    <w:p>
      <w:pPr>
        <w:spacing w:line="400" w:lineRule="exact"/>
        <w:ind w:firstLine="480" w:firstLineChars="200"/>
        <w:rPr>
          <w:rFonts w:ascii="宋体" w:hAnsi="宋体" w:cs="仿宋"/>
          <w:sz w:val="24"/>
        </w:rPr>
      </w:pPr>
      <w:r>
        <w:rPr>
          <w:rFonts w:hint="eastAsia" w:ascii="宋体" w:hAnsi="宋体" w:cs="仿宋"/>
          <w:sz w:val="24"/>
        </w:rPr>
        <w:t>6）本项目备份系统依托现有数据中心基础运行环境，利用现有的灾备系统提供多种备份方案。</w:t>
      </w:r>
    </w:p>
    <w:p>
      <w:pPr>
        <w:pStyle w:val="6"/>
        <w:numPr>
          <w:ilvl w:val="2"/>
          <w:numId w:val="0"/>
        </w:numPr>
        <w:spacing w:line="400" w:lineRule="exact"/>
        <w:ind w:left="720" w:hanging="720"/>
        <w:rPr>
          <w:rFonts w:ascii="宋体" w:hAnsi="宋体" w:eastAsia="宋体" w:cs="仿宋"/>
          <w:sz w:val="24"/>
        </w:rPr>
      </w:pPr>
      <w:r>
        <w:rPr>
          <w:rFonts w:hint="eastAsia" w:ascii="宋体" w:hAnsi="宋体" w:eastAsia="宋体" w:cs="仿宋"/>
          <w:sz w:val="24"/>
        </w:rPr>
        <w:t>5.2.5可扩展性及易升级性</w:t>
      </w:r>
    </w:p>
    <w:p>
      <w:pPr>
        <w:spacing w:line="400" w:lineRule="exact"/>
        <w:ind w:firstLine="480" w:firstLineChars="200"/>
        <w:rPr>
          <w:rFonts w:ascii="宋体" w:hAnsi="宋体" w:cs="仿宋"/>
          <w:sz w:val="24"/>
        </w:rPr>
      </w:pPr>
      <w:r>
        <w:rPr>
          <w:rFonts w:hint="eastAsia" w:ascii="宋体" w:hAnsi="宋体" w:cs="仿宋"/>
          <w:sz w:val="24"/>
        </w:rPr>
        <w:t>1）项目选用技术要求自主可控，项目核心服务与应用应该采用开源技术构建；</w:t>
      </w:r>
    </w:p>
    <w:p>
      <w:pPr>
        <w:spacing w:line="400" w:lineRule="exact"/>
        <w:ind w:firstLine="480" w:firstLineChars="200"/>
        <w:rPr>
          <w:rFonts w:ascii="宋体" w:hAnsi="宋体" w:cs="仿宋"/>
          <w:sz w:val="24"/>
        </w:rPr>
      </w:pPr>
      <w:r>
        <w:rPr>
          <w:rFonts w:hint="eastAsia" w:ascii="宋体" w:hAnsi="宋体" w:cs="仿宋"/>
          <w:sz w:val="24"/>
        </w:rPr>
        <w:t>2）系统开放数据接口，支持二次开发，以实现与其他应用系统的数据交换。系统具有高可管理性，使得管理员和运行维护人员的管理简便快捷，降低运行维护费用。系统用户必须坚持易维护的设计原则，确保结构清晰、界面友好、操作简单、维护方便。</w:t>
      </w:r>
    </w:p>
    <w:p>
      <w:pPr>
        <w:spacing w:line="400" w:lineRule="exact"/>
        <w:ind w:firstLine="480" w:firstLineChars="200"/>
        <w:rPr>
          <w:rFonts w:ascii="宋体" w:hAnsi="宋体" w:cs="仿宋"/>
          <w:sz w:val="24"/>
        </w:rPr>
      </w:pPr>
      <w:r>
        <w:rPr>
          <w:rFonts w:hint="eastAsia" w:ascii="宋体" w:hAnsi="宋体" w:cs="仿宋"/>
          <w:sz w:val="24"/>
        </w:rPr>
        <w:t>3）应随项目移交所有模块源码和二次开发文档。</w:t>
      </w:r>
    </w:p>
    <w:p>
      <w:pPr>
        <w:pStyle w:val="5"/>
        <w:numPr>
          <w:ilvl w:val="1"/>
          <w:numId w:val="0"/>
        </w:numPr>
        <w:spacing w:line="400" w:lineRule="exact"/>
        <w:ind w:left="575" w:hanging="575"/>
        <w:rPr>
          <w:rFonts w:ascii="宋体" w:hAnsi="宋体" w:eastAsia="宋体" w:cs="仿宋"/>
          <w:sz w:val="24"/>
          <w:szCs w:val="24"/>
        </w:rPr>
      </w:pPr>
      <w:bookmarkStart w:id="18" w:name="_Toc13404"/>
      <w:r>
        <w:rPr>
          <w:rFonts w:hint="eastAsia" w:ascii="宋体" w:hAnsi="宋体" w:eastAsia="宋体" w:cs="仿宋"/>
          <w:sz w:val="24"/>
          <w:szCs w:val="24"/>
        </w:rPr>
        <w:t>5.3数据接口设计</w:t>
      </w:r>
      <w:bookmarkEnd w:id="18"/>
      <w:bookmarkStart w:id="19" w:name="_Toc456359942"/>
      <w:bookmarkEnd w:id="19"/>
      <w:bookmarkStart w:id="20" w:name="_Toc5152"/>
      <w:bookmarkEnd w:id="20"/>
      <w:bookmarkStart w:id="21" w:name="_Toc16079297"/>
      <w:bookmarkEnd w:id="21"/>
      <w:bookmarkStart w:id="22" w:name="_Toc13238"/>
      <w:bookmarkEnd w:id="22"/>
      <w:bookmarkStart w:id="23" w:name="_Toc23121"/>
      <w:bookmarkEnd w:id="23"/>
    </w:p>
    <w:p>
      <w:pPr>
        <w:spacing w:line="400" w:lineRule="exact"/>
        <w:ind w:firstLine="480" w:firstLineChars="200"/>
        <w:rPr>
          <w:rFonts w:ascii="宋体" w:hAnsi="宋体" w:cs="仿宋"/>
          <w:sz w:val="24"/>
        </w:rPr>
      </w:pPr>
      <w:r>
        <w:rPr>
          <w:rFonts w:hint="eastAsia" w:ascii="宋体" w:hAnsi="宋体" w:cs="仿宋"/>
          <w:sz w:val="24"/>
        </w:rPr>
        <w:t>为实现该平台与内部农业系统、其他部门系统之间数据共享、互联互通，需提供数据共享与交换接口。数据共享与交换建设包括两个方面，一是系统内部数据共享交换，如临安数字乡村监管服务平台、投入品管理系统、三资管理系统；二是与其他单位之间数据共享交换，包括与市农业农村局、省农业农村厅等部门系统之间的数据共享交换。</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6项目实施进度要求</w:t>
      </w:r>
    </w:p>
    <w:p>
      <w:pPr>
        <w:spacing w:line="400" w:lineRule="exact"/>
        <w:ind w:firstLine="480" w:firstLineChars="200"/>
        <w:rPr>
          <w:rFonts w:ascii="宋体" w:hAnsi="宋体" w:cs="仿宋"/>
          <w:sz w:val="24"/>
        </w:rPr>
      </w:pPr>
      <w:r>
        <w:rPr>
          <w:rFonts w:hint="eastAsia" w:ascii="宋体" w:hAnsi="宋体" w:cs="仿宋"/>
          <w:sz w:val="24"/>
        </w:rPr>
        <w:t>要求于2020年10月底前完成系统开发工作；</w:t>
      </w:r>
    </w:p>
    <w:p>
      <w:pPr>
        <w:spacing w:line="400" w:lineRule="exact"/>
        <w:ind w:firstLine="480" w:firstLineChars="200"/>
        <w:rPr>
          <w:rFonts w:ascii="宋体" w:hAnsi="宋体" w:cs="仿宋"/>
          <w:sz w:val="24"/>
        </w:rPr>
      </w:pPr>
      <w:r>
        <w:rPr>
          <w:rFonts w:hint="eastAsia" w:ascii="宋体" w:hAnsi="宋体" w:cs="仿宋"/>
          <w:sz w:val="24"/>
        </w:rPr>
        <w:t>要求于2020年11月底前完成项目系统的所有开发、测试、部署、数据准备、用户培训、试运行准备工作，具备正式上线运行条件，并通过初验；</w:t>
      </w:r>
    </w:p>
    <w:p>
      <w:pPr>
        <w:spacing w:line="400" w:lineRule="exact"/>
        <w:ind w:firstLine="480" w:firstLineChars="200"/>
        <w:rPr>
          <w:rFonts w:ascii="宋体" w:hAnsi="宋体" w:cs="仿宋"/>
          <w:sz w:val="24"/>
        </w:rPr>
      </w:pPr>
      <w:r>
        <w:rPr>
          <w:rFonts w:hint="eastAsia" w:ascii="宋体" w:hAnsi="宋体" w:cs="仿宋"/>
          <w:sz w:val="24"/>
        </w:rPr>
        <w:t>要求于2021年1月底前完成系统试运行，并提交项目所有资料，通过最终验收；</w:t>
      </w:r>
    </w:p>
    <w:p>
      <w:pPr>
        <w:spacing w:line="400" w:lineRule="exact"/>
        <w:ind w:firstLine="480" w:firstLineChars="200"/>
        <w:rPr>
          <w:rFonts w:ascii="宋体" w:hAnsi="宋体" w:cs="仿宋"/>
          <w:sz w:val="24"/>
        </w:rPr>
      </w:pPr>
      <w:r>
        <w:rPr>
          <w:rFonts w:hint="eastAsia" w:ascii="宋体" w:hAnsi="宋体" w:cs="仿宋"/>
          <w:sz w:val="24"/>
        </w:rPr>
        <w:t>要求提供完整的项目进度管理计划、项目进度计划、项目进度网络图；项目实施过程严格按照批准后的计划进行，如有变化需遵循项目整体变更控制；</w:t>
      </w:r>
    </w:p>
    <w:p>
      <w:pPr>
        <w:spacing w:line="400" w:lineRule="exact"/>
        <w:ind w:firstLine="480" w:firstLineChars="200"/>
        <w:rPr>
          <w:rFonts w:ascii="宋体" w:hAnsi="宋体" w:cs="仿宋"/>
          <w:sz w:val="24"/>
        </w:rPr>
      </w:pPr>
      <w:r>
        <w:rPr>
          <w:rFonts w:hint="eastAsia" w:ascii="宋体" w:hAnsi="宋体" w:cs="仿宋"/>
          <w:sz w:val="24"/>
        </w:rPr>
        <w:t>要求提供详细的项目沟通计划，按时提交项目周报，定期汇报项目实际进度</w:t>
      </w:r>
    </w:p>
    <w:p>
      <w:pPr>
        <w:spacing w:line="400" w:lineRule="exact"/>
        <w:ind w:firstLine="480" w:firstLineChars="200"/>
        <w:rPr>
          <w:rFonts w:ascii="宋体" w:hAnsi="宋体"/>
          <w:sz w:val="24"/>
        </w:rPr>
      </w:pPr>
      <w:r>
        <w:rPr>
          <w:rFonts w:hint="eastAsia" w:ascii="宋体" w:hAnsi="宋体" w:cs="仿宋"/>
          <w:sz w:val="24"/>
        </w:rPr>
        <w:t>若项目开发进度晚于预期，由采购单位与用户单位联合对中标单位进行约谈，并酌情扣除项目费用。</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7实施及验收要求</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 xml:space="preserve">7.1系统需求调研 </w:t>
      </w:r>
    </w:p>
    <w:p>
      <w:pPr>
        <w:spacing w:line="400" w:lineRule="exact"/>
        <w:ind w:firstLine="480" w:firstLineChars="200"/>
        <w:rPr>
          <w:rFonts w:ascii="宋体" w:hAnsi="宋体" w:cs="仿宋"/>
          <w:sz w:val="24"/>
        </w:rPr>
      </w:pPr>
      <w:r>
        <w:rPr>
          <w:rFonts w:hint="eastAsia" w:ascii="宋体" w:hAnsi="宋体" w:cs="仿宋"/>
          <w:sz w:val="24"/>
        </w:rPr>
        <w:t xml:space="preserve">通过需求调研，准确掌握最终用户对系统的信息管理在功能、特性、系统运行方面的要求，主要包括：信息需求、功能要求、性能要求、可靠性要求、安全和保密要求； </w:t>
      </w:r>
    </w:p>
    <w:p>
      <w:pPr>
        <w:spacing w:line="400" w:lineRule="exact"/>
        <w:ind w:firstLine="480" w:firstLineChars="200"/>
        <w:rPr>
          <w:rFonts w:ascii="宋体" w:hAnsi="宋体" w:cs="仿宋"/>
          <w:sz w:val="24"/>
        </w:rPr>
      </w:pPr>
      <w:r>
        <w:rPr>
          <w:rFonts w:hint="eastAsia" w:ascii="宋体" w:hAnsi="宋体" w:cs="仿宋"/>
          <w:sz w:val="24"/>
        </w:rPr>
        <w:t xml:space="preserve">开发费用和时间及资源方面的限制等。 </w:t>
      </w:r>
    </w:p>
    <w:p>
      <w:pPr>
        <w:spacing w:line="400" w:lineRule="exact"/>
        <w:ind w:firstLine="480" w:firstLineChars="200"/>
        <w:rPr>
          <w:rFonts w:ascii="宋体" w:hAnsi="宋体" w:cs="仿宋"/>
          <w:sz w:val="24"/>
        </w:rPr>
      </w:pPr>
      <w:r>
        <w:rPr>
          <w:rFonts w:hint="eastAsia" w:ascii="宋体" w:hAnsi="宋体" w:cs="仿宋"/>
          <w:sz w:val="24"/>
        </w:rPr>
        <w:t>通过需求调研，最终应形成需求报告。报告中还应阐述对各需求事项的分析。最终的需求成果，需要和用户单位进行书面确认，作为系统开发和项目测试及验收的依据。</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 xml:space="preserve">7.2项目开发团队要求 </w:t>
      </w:r>
    </w:p>
    <w:p>
      <w:pPr>
        <w:spacing w:line="400" w:lineRule="exact"/>
        <w:ind w:firstLine="480" w:firstLineChars="200"/>
        <w:rPr>
          <w:rFonts w:ascii="宋体" w:hAnsi="宋体" w:cs="仿宋"/>
          <w:sz w:val="24"/>
        </w:rPr>
      </w:pPr>
      <w:r>
        <w:rPr>
          <w:rFonts w:hint="eastAsia" w:ascii="宋体" w:hAnsi="宋体" w:cs="仿宋"/>
          <w:sz w:val="24"/>
        </w:rPr>
        <w:t>要求成立独立的项目团队开展项目的开发和实施工作，团队成员数量不得少于15人；</w:t>
      </w:r>
    </w:p>
    <w:p>
      <w:pPr>
        <w:spacing w:line="400" w:lineRule="exact"/>
        <w:ind w:firstLine="480" w:firstLineChars="200"/>
        <w:rPr>
          <w:rFonts w:ascii="宋体" w:hAnsi="宋体" w:cs="仿宋"/>
          <w:sz w:val="24"/>
        </w:rPr>
      </w:pPr>
      <w:r>
        <w:rPr>
          <w:rFonts w:hint="eastAsia" w:ascii="宋体" w:hAnsi="宋体" w:cs="仿宋"/>
          <w:sz w:val="24"/>
        </w:rPr>
        <w:t>要求在职的专职项目经理负责项目实施过程的全程管理，能够全程驻场；</w:t>
      </w:r>
    </w:p>
    <w:p>
      <w:pPr>
        <w:spacing w:line="400" w:lineRule="exact"/>
        <w:ind w:firstLine="480" w:firstLineChars="200"/>
        <w:rPr>
          <w:rFonts w:ascii="宋体" w:hAnsi="宋体" w:cs="仿宋"/>
          <w:sz w:val="24"/>
        </w:rPr>
      </w:pPr>
      <w:r>
        <w:rPr>
          <w:rFonts w:hint="eastAsia" w:ascii="宋体" w:hAnsi="宋体" w:cs="仿宋"/>
          <w:sz w:val="24"/>
        </w:rPr>
        <w:t>要求团队能够全程驻场开发和实施；</w:t>
      </w:r>
    </w:p>
    <w:p>
      <w:pPr>
        <w:spacing w:line="400" w:lineRule="exact"/>
        <w:ind w:firstLine="480" w:firstLineChars="200"/>
        <w:rPr>
          <w:rFonts w:ascii="宋体" w:hAnsi="宋体" w:cs="仿宋"/>
          <w:sz w:val="24"/>
        </w:rPr>
      </w:pPr>
      <w:r>
        <w:rPr>
          <w:rFonts w:hint="eastAsia" w:ascii="宋体" w:hAnsi="宋体" w:cs="仿宋"/>
          <w:sz w:val="24"/>
        </w:rPr>
        <w:t>要求保证整个开发实施过程中的人员稳定性，整个过程中人员替换不得超过2人次（人员主动离职情况除外，但需提供离职证明）；</w:t>
      </w:r>
    </w:p>
    <w:p>
      <w:pPr>
        <w:spacing w:line="400" w:lineRule="exact"/>
        <w:ind w:firstLine="480" w:firstLineChars="200"/>
        <w:rPr>
          <w:rFonts w:ascii="宋体" w:hAnsi="宋体" w:cs="仿宋"/>
          <w:sz w:val="24"/>
        </w:rPr>
      </w:pPr>
      <w:r>
        <w:rPr>
          <w:rFonts w:hint="eastAsia" w:ascii="宋体" w:hAnsi="宋体" w:cs="仿宋"/>
          <w:sz w:val="24"/>
        </w:rPr>
        <w:t>项目进入应用推广阶段后，开发和实施团队人员撤换不得超过50%。</w:t>
      </w:r>
    </w:p>
    <w:p>
      <w:pPr>
        <w:spacing w:line="400" w:lineRule="exact"/>
        <w:ind w:firstLine="480" w:firstLineChars="200"/>
        <w:rPr>
          <w:rFonts w:ascii="宋体" w:hAnsi="宋体" w:cs="仿宋"/>
          <w:sz w:val="24"/>
        </w:rPr>
      </w:pPr>
      <w:r>
        <w:rPr>
          <w:rFonts w:hint="eastAsia" w:ascii="宋体" w:hAnsi="宋体" w:cs="仿宋"/>
          <w:sz w:val="24"/>
        </w:rPr>
        <w:t xml:space="preserve">项目进入运维服务期，投标方应严格按照标书中承诺提供的项目人员，不得随意更换。运行维护与售后服务阶段，项目运维团队应不少于8人，并驻场开展运维服务（包括大屏展示和讲解）。 </w:t>
      </w:r>
    </w:p>
    <w:p>
      <w:pPr>
        <w:spacing w:line="400" w:lineRule="exact"/>
        <w:ind w:firstLine="480" w:firstLineChars="200"/>
        <w:rPr>
          <w:rFonts w:ascii="宋体" w:hAnsi="宋体" w:cs="仿宋"/>
          <w:sz w:val="24"/>
        </w:rPr>
      </w:pPr>
      <w:r>
        <w:rPr>
          <w:rFonts w:hint="eastAsia" w:ascii="宋体" w:hAnsi="宋体" w:cs="仿宋"/>
          <w:sz w:val="24"/>
        </w:rPr>
        <w:t>投标方必须针对上述要求列出详细人员计划，包括人员姓名、简历、资质和在本项目中的职责分工。</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 xml:space="preserve">7.3初步验收 </w:t>
      </w:r>
    </w:p>
    <w:p>
      <w:pPr>
        <w:spacing w:line="400" w:lineRule="exact"/>
        <w:ind w:firstLine="480" w:firstLineChars="200"/>
        <w:rPr>
          <w:rFonts w:ascii="宋体" w:hAnsi="宋体" w:cs="仿宋"/>
          <w:sz w:val="24"/>
        </w:rPr>
      </w:pPr>
      <w:r>
        <w:rPr>
          <w:rFonts w:hint="eastAsia" w:ascii="宋体" w:hAnsi="宋体" w:cs="仿宋"/>
          <w:sz w:val="24"/>
        </w:rPr>
        <w:t>中标方完成项目的所有开发、测试、部署、数据准备、用户培训、试运行准备工作，具备正式上线运行条件，由用户方组织进行初步验收，初步验收通过后，项目进入试运行。</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 xml:space="preserve">7.4软件试运行 </w:t>
      </w:r>
    </w:p>
    <w:p>
      <w:pPr>
        <w:spacing w:line="400" w:lineRule="exact"/>
        <w:ind w:firstLine="480" w:firstLineChars="200"/>
        <w:rPr>
          <w:rFonts w:ascii="宋体" w:hAnsi="宋体" w:cs="仿宋"/>
          <w:sz w:val="24"/>
        </w:rPr>
      </w:pPr>
      <w:r>
        <w:rPr>
          <w:rFonts w:hint="eastAsia" w:ascii="宋体" w:hAnsi="宋体" w:cs="仿宋"/>
          <w:sz w:val="24"/>
        </w:rPr>
        <w:t xml:space="preserve">项目试运行时间为三个月，在试运行期限内，项目中标方必须在试运行期内派专人常驻配合用户方做好试运行工作，对出现的问题及时进行修改完善。软件试运行结束，应出具试运行报告。中标方凭试运行报告，申请办理本合同的终验收手续。 </w:t>
      </w:r>
    </w:p>
    <w:p>
      <w:pPr>
        <w:pStyle w:val="5"/>
        <w:numPr>
          <w:ilvl w:val="1"/>
          <w:numId w:val="0"/>
        </w:numPr>
        <w:spacing w:line="400" w:lineRule="exact"/>
        <w:ind w:left="575" w:hanging="575"/>
        <w:rPr>
          <w:rFonts w:ascii="宋体" w:hAnsi="宋体" w:eastAsia="宋体" w:cs="仿宋"/>
          <w:sz w:val="24"/>
          <w:szCs w:val="24"/>
        </w:rPr>
      </w:pPr>
      <w:r>
        <w:rPr>
          <w:rFonts w:hint="eastAsia" w:ascii="宋体" w:hAnsi="宋体" w:eastAsia="宋体" w:cs="仿宋"/>
          <w:sz w:val="24"/>
          <w:szCs w:val="24"/>
        </w:rPr>
        <w:t>7.5最终验收</w:t>
      </w:r>
    </w:p>
    <w:p>
      <w:pPr>
        <w:spacing w:line="400" w:lineRule="exact"/>
        <w:ind w:firstLine="480" w:firstLineChars="200"/>
        <w:rPr>
          <w:rFonts w:ascii="宋体" w:hAnsi="宋体" w:cs="仿宋"/>
          <w:sz w:val="24"/>
        </w:rPr>
      </w:pPr>
      <w:r>
        <w:rPr>
          <w:rFonts w:hint="eastAsia" w:ascii="宋体" w:hAnsi="宋体" w:cs="仿宋"/>
          <w:sz w:val="24"/>
        </w:rPr>
        <w:t xml:space="preserve">试运行结束后，中标方应负责完成通过系统的第三方检测（包括：功能测试、性能测试、安全性测试、代码审计），出具合格的检测报告后，申请进行最终验收。按系统软件正常的运行规范、操作规程、安全规章对软件系统各部分，采购方将组织各类用户和专家进行全面运行检验，对系统进行最终的质量验收。 </w:t>
      </w:r>
    </w:p>
    <w:p>
      <w:pPr>
        <w:spacing w:line="400" w:lineRule="exact"/>
        <w:ind w:firstLine="480" w:firstLineChars="200"/>
        <w:rPr>
          <w:rFonts w:ascii="宋体" w:hAnsi="宋体" w:cs="仿宋"/>
          <w:sz w:val="24"/>
        </w:rPr>
      </w:pPr>
      <w:r>
        <w:rPr>
          <w:rFonts w:hint="eastAsia" w:ascii="宋体" w:hAnsi="宋体" w:cs="仿宋"/>
          <w:sz w:val="24"/>
        </w:rPr>
        <w:t xml:space="preserve">验收时如发现有影响其它分项工程或影响全系统工程正常运行的问题，按实际情况分清责任，责成项目中标方解决，并暂停验收，待项目中标方处理完毕后，再进行验收。 </w:t>
      </w:r>
    </w:p>
    <w:p>
      <w:pPr>
        <w:spacing w:line="400" w:lineRule="exact"/>
        <w:ind w:firstLine="480" w:firstLineChars="200"/>
        <w:rPr>
          <w:rFonts w:ascii="宋体" w:hAnsi="宋体" w:cs="仿宋"/>
          <w:sz w:val="24"/>
        </w:rPr>
      </w:pPr>
      <w:r>
        <w:rPr>
          <w:rFonts w:hint="eastAsia" w:ascii="宋体" w:hAnsi="宋体" w:cs="仿宋"/>
          <w:sz w:val="24"/>
        </w:rPr>
        <w:t xml:space="preserve">验收通过后，项目进入三年服务期。 </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8质量保障及售后服务要求</w:t>
      </w:r>
    </w:p>
    <w:p>
      <w:pPr>
        <w:spacing w:line="400" w:lineRule="exact"/>
        <w:ind w:firstLine="480" w:firstLineChars="200"/>
        <w:rPr>
          <w:rFonts w:ascii="宋体" w:hAnsi="宋体" w:cs="仿宋"/>
          <w:sz w:val="24"/>
        </w:rPr>
      </w:pPr>
      <w:r>
        <w:rPr>
          <w:rFonts w:hint="eastAsia" w:ascii="宋体" w:hAnsi="宋体" w:cs="仿宋"/>
          <w:sz w:val="24"/>
        </w:rPr>
        <w:t>要求严格按ISO9001 质量管理和保证体系的要求，按由上而下顺序进行项目质量管理，建立完善的项目质量保证体系，贯彻执行ISO9001 质量管理标准，实行项目经理负责制，实施全过程质量监控。</w:t>
      </w:r>
    </w:p>
    <w:p>
      <w:pPr>
        <w:spacing w:line="400" w:lineRule="exact"/>
        <w:ind w:firstLine="480" w:firstLineChars="200"/>
        <w:rPr>
          <w:rFonts w:ascii="宋体" w:hAnsi="宋体" w:cs="仿宋"/>
          <w:sz w:val="24"/>
        </w:rPr>
      </w:pPr>
      <w:r>
        <w:rPr>
          <w:rFonts w:hint="eastAsia" w:ascii="宋体" w:hAnsi="宋体" w:cs="仿宋"/>
          <w:sz w:val="24"/>
        </w:rPr>
        <w:t>要求提供完整的项目测试计划和测试用例，项目实施过程严格按计划进行系统测试，定期提交项目质量报告。</w:t>
      </w:r>
    </w:p>
    <w:p>
      <w:pPr>
        <w:spacing w:line="400" w:lineRule="exact"/>
        <w:ind w:firstLine="480" w:firstLineChars="200"/>
        <w:rPr>
          <w:rFonts w:ascii="宋体" w:hAnsi="宋体" w:cs="仿宋"/>
          <w:sz w:val="24"/>
        </w:rPr>
      </w:pPr>
      <w:r>
        <w:rPr>
          <w:rFonts w:hint="eastAsia" w:ascii="宋体" w:hAnsi="宋体" w:cs="仿宋"/>
          <w:sz w:val="24"/>
        </w:rPr>
        <w:t>要求提供完整的软件系统需求分析说明文档、软件系统设计文档（含概要设计、详细设计、数据库设计）、软件系统测试用例和测试结果说明文档、系统安装使用手册、用户使用、管理操作说明文档和帮助文档等相关软件开发过程管理文档。</w:t>
      </w:r>
    </w:p>
    <w:p>
      <w:pPr>
        <w:spacing w:line="400" w:lineRule="exact"/>
        <w:ind w:firstLine="480" w:firstLineChars="200"/>
        <w:rPr>
          <w:rFonts w:ascii="宋体" w:hAnsi="宋体" w:cs="仿宋"/>
          <w:sz w:val="24"/>
        </w:rPr>
      </w:pPr>
      <w:r>
        <w:rPr>
          <w:rFonts w:hint="eastAsia" w:ascii="宋体" w:hAnsi="宋体" w:cs="仿宋"/>
          <w:sz w:val="24"/>
        </w:rPr>
        <w:t>要求提供完整详细的系统故障维护应急响应机制说明文档，并进行应急响应演练。</w:t>
      </w:r>
    </w:p>
    <w:p>
      <w:pPr>
        <w:spacing w:line="400" w:lineRule="exact"/>
        <w:ind w:firstLine="480" w:firstLineChars="200"/>
        <w:rPr>
          <w:rFonts w:ascii="宋体" w:hAnsi="宋体" w:cs="仿宋"/>
          <w:sz w:val="24"/>
        </w:rPr>
      </w:pPr>
      <w:r>
        <w:rPr>
          <w:rFonts w:hint="eastAsia" w:ascii="宋体" w:hAnsi="宋体" w:cs="仿宋"/>
          <w:sz w:val="24"/>
        </w:rPr>
        <w:t>要求提供人员使用操作培训、管理员管理操作培训和二次开发培训直至相关人员熟练掌握所需技能。</w:t>
      </w:r>
    </w:p>
    <w:p>
      <w:pPr>
        <w:spacing w:line="400" w:lineRule="exact"/>
        <w:ind w:firstLine="480" w:firstLineChars="200"/>
        <w:rPr>
          <w:rFonts w:ascii="宋体" w:hAnsi="宋体" w:cs="仿宋"/>
          <w:sz w:val="24"/>
        </w:rPr>
      </w:pPr>
      <w:r>
        <w:rPr>
          <w:rFonts w:hint="eastAsia" w:ascii="宋体" w:hAnsi="宋体" w:cs="仿宋"/>
          <w:sz w:val="24"/>
        </w:rPr>
        <w:t>要求提供项目终验后3年驻场免费售后服务，在项目实施过程及售后服务期内，需指定专人负责与用户进行项目对接与服务，驻场人员不得少于8人。售后服务期内免费5×8小时驻场服务和7×24在线技术服务及系统数据容灾恢复上门现场服务。</w:t>
      </w:r>
    </w:p>
    <w:p>
      <w:pPr>
        <w:spacing w:line="400" w:lineRule="exact"/>
        <w:ind w:firstLine="480" w:firstLineChars="200"/>
        <w:rPr>
          <w:rFonts w:ascii="宋体" w:hAnsi="宋体" w:cs="仿宋"/>
          <w:sz w:val="24"/>
        </w:rPr>
      </w:pPr>
      <w:bookmarkStart w:id="24" w:name="_Toc30425"/>
      <w:r>
        <w:rPr>
          <w:rFonts w:hint="eastAsia" w:ascii="宋体" w:hAnsi="宋体" w:cs="仿宋"/>
          <w:sz w:val="24"/>
        </w:rPr>
        <w:t>要求对软件平台进行运维与安全维护，主要包括运行环境监控、系统故障分析处理、系统升级测试、系统发布验证、系统优化、网络安全管理、系统安全管理、数据容灾</w:t>
      </w:r>
      <w:bookmarkStart w:id="25" w:name="_Toc3961"/>
      <w:r>
        <w:rPr>
          <w:rFonts w:hint="eastAsia" w:ascii="宋体" w:hAnsi="宋体" w:cs="仿宋"/>
          <w:sz w:val="24"/>
        </w:rPr>
        <w:t>、平台数据库维护</w:t>
      </w:r>
      <w:bookmarkEnd w:id="25"/>
      <w:r>
        <w:rPr>
          <w:rFonts w:hint="eastAsia" w:ascii="宋体" w:hAnsi="宋体" w:cs="仿宋"/>
          <w:sz w:val="24"/>
        </w:rPr>
        <w:t>。</w:t>
      </w:r>
      <w:bookmarkEnd w:id="24"/>
    </w:p>
    <w:p>
      <w:pPr>
        <w:spacing w:line="400" w:lineRule="exact"/>
        <w:ind w:firstLine="480" w:firstLineChars="200"/>
        <w:rPr>
          <w:rFonts w:ascii="宋体" w:hAnsi="宋体" w:cs="仿宋"/>
          <w:sz w:val="24"/>
        </w:rPr>
      </w:pPr>
      <w:r>
        <w:rPr>
          <w:rFonts w:hint="eastAsia" w:ascii="宋体" w:hAnsi="宋体" w:cs="仿宋"/>
          <w:sz w:val="24"/>
        </w:rPr>
        <w:t>应用支持：通过电话、电子邮件以及其他方式提供7×24小时的应用支持服务，包括使用咨询、系统管理协助、应用政策建议。</w:t>
      </w:r>
    </w:p>
    <w:p>
      <w:pPr>
        <w:spacing w:line="400" w:lineRule="exact"/>
        <w:ind w:firstLine="480" w:firstLineChars="200"/>
        <w:rPr>
          <w:rFonts w:ascii="宋体" w:hAnsi="宋体" w:cs="仿宋"/>
          <w:sz w:val="24"/>
        </w:rPr>
      </w:pPr>
      <w:r>
        <w:rPr>
          <w:rFonts w:hint="eastAsia" w:ascii="宋体" w:hAnsi="宋体" w:cs="仿宋"/>
          <w:sz w:val="24"/>
        </w:rPr>
        <w:t>故障响应及修复：提供快捷、周到、规范的服务，在接到维修及技术服务要求后应在1小时之内作出响应。</w:t>
      </w:r>
    </w:p>
    <w:p>
      <w:pPr>
        <w:spacing w:line="400" w:lineRule="exact"/>
        <w:ind w:firstLine="482" w:firstLineChars="200"/>
        <w:rPr>
          <w:rFonts w:ascii="宋体" w:hAnsi="宋体" w:cs="仿宋"/>
          <w:b/>
          <w:bCs/>
          <w:sz w:val="24"/>
        </w:rPr>
      </w:pPr>
      <w:r>
        <w:rPr>
          <w:rFonts w:hint="eastAsia" w:ascii="宋体" w:hAnsi="宋体" w:cs="仿宋"/>
          <w:b/>
          <w:bCs/>
          <w:sz w:val="24"/>
        </w:rPr>
        <w:t>▲售后服务期内如果本系统被发现存在漏洞、开发实现层面的问题、性能问题，则需要中标方及时进行问题修复。</w:t>
      </w:r>
    </w:p>
    <w:p>
      <w:pPr>
        <w:spacing w:line="400" w:lineRule="exact"/>
        <w:ind w:firstLine="482" w:firstLineChars="200"/>
        <w:rPr>
          <w:rFonts w:ascii="宋体" w:hAnsi="宋体" w:cs="仿宋"/>
          <w:b/>
          <w:bCs/>
          <w:sz w:val="24"/>
        </w:rPr>
      </w:pPr>
      <w:r>
        <w:rPr>
          <w:rFonts w:hint="eastAsia" w:ascii="宋体" w:hAnsi="宋体" w:cs="仿宋"/>
          <w:b/>
          <w:bCs/>
          <w:sz w:val="24"/>
        </w:rPr>
        <w:t>▲售后服务期内如果本系统被发现存在对用户严重不友好不方便的操作，需要中标方及时对相关功能进行整改。</w:t>
      </w:r>
    </w:p>
    <w:p>
      <w:pPr>
        <w:pStyle w:val="4"/>
        <w:keepLines/>
        <w:widowControl w:val="0"/>
        <w:spacing w:before="340" w:after="330" w:line="400" w:lineRule="exact"/>
        <w:ind w:left="432" w:hanging="432"/>
        <w:jc w:val="both"/>
        <w:rPr>
          <w:rFonts w:ascii="宋体" w:hAnsi="宋体" w:eastAsia="宋体" w:cs="仿宋"/>
          <w:sz w:val="24"/>
          <w:szCs w:val="24"/>
        </w:rPr>
      </w:pPr>
      <w:r>
        <w:rPr>
          <w:rFonts w:hint="eastAsia" w:ascii="宋体" w:hAnsi="宋体" w:eastAsia="宋体" w:cs="仿宋"/>
          <w:sz w:val="24"/>
          <w:szCs w:val="24"/>
        </w:rPr>
        <w:t>9付款方式</w:t>
      </w:r>
    </w:p>
    <w:p>
      <w:pPr>
        <w:spacing w:line="400" w:lineRule="exact"/>
        <w:ind w:firstLine="480" w:firstLineChars="200"/>
        <w:rPr>
          <w:rFonts w:ascii="宋体" w:hAnsi="宋体" w:cs="仿宋"/>
          <w:sz w:val="24"/>
        </w:rPr>
      </w:pPr>
      <w:r>
        <w:rPr>
          <w:rFonts w:hint="eastAsia" w:ascii="宋体" w:hAnsi="宋体" w:cs="仿宋"/>
          <w:sz w:val="24"/>
        </w:rPr>
        <w:t>合同签订生效后15个工作日内，中标供应商应完成项目建设需求规格说明书和系统设计文档，经建设单位和用户单位审查通过后，建设单位向中标供应商预付合同金额20%的项目款（中标供应商需提供对应金额的预付款保函，待项目初验通过后保函失效）；系统初验合格后15个工作日内，建设单位向中标供应商支付合同金额40%的项目款；系统终验合格后15个工作日内，建设单位向中标供应商支付合同金额30%的项目款；前两年服务期结束通过用户单位考核后，建设单位向中标供应商支付合同金额5%的项目款，第三年服务期结束通过用户单位考核后，建设单位向中标供应商支付合同金额5%的项目款。</w:t>
      </w:r>
    </w:p>
    <w:p>
      <w:pPr>
        <w:pStyle w:val="2"/>
        <w:ind w:firstLine="344"/>
      </w:pPr>
    </w:p>
    <w:p>
      <w:pPr>
        <w:pStyle w:val="2"/>
        <w:ind w:firstLine="344"/>
      </w:pPr>
    </w:p>
    <w:p>
      <w:pPr>
        <w:snapToGrid w:val="0"/>
        <w:spacing w:line="480" w:lineRule="exact"/>
        <w:rPr>
          <w:rFonts w:ascii="宋体" w:hAnsi="宋体"/>
          <w:b/>
          <w:sz w:val="32"/>
          <w:szCs w:val="32"/>
        </w:rPr>
      </w:pPr>
    </w:p>
    <w:p>
      <w:pPr>
        <w:snapToGrid w:val="0"/>
        <w:spacing w:line="480" w:lineRule="exact"/>
        <w:ind w:firstLine="1911" w:firstLineChars="595"/>
        <w:rPr>
          <w:rFonts w:ascii="宋体" w:hAnsi="宋体"/>
          <w:b/>
          <w:sz w:val="32"/>
          <w:szCs w:val="32"/>
        </w:rPr>
      </w:pPr>
    </w:p>
    <w:p>
      <w:pPr>
        <w:pStyle w:val="2"/>
        <w:ind w:firstLine="344"/>
      </w:pPr>
    </w:p>
    <w:p>
      <w:pPr>
        <w:pStyle w:val="2"/>
        <w:ind w:firstLine="344"/>
      </w:pPr>
    </w:p>
    <w:p>
      <w:pPr>
        <w:snapToGrid w:val="0"/>
        <w:spacing w:line="480" w:lineRule="exact"/>
        <w:ind w:firstLine="1911" w:firstLineChars="595"/>
        <w:rPr>
          <w:rFonts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1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2"/>
        <w:ind w:firstLine="344"/>
      </w:pPr>
    </w:p>
    <w:p>
      <w:pPr>
        <w:tabs>
          <w:tab w:val="left" w:pos="567"/>
        </w:tabs>
        <w:adjustRightInd w:val="0"/>
        <w:snapToGrid w:val="0"/>
        <w:spacing w:line="360" w:lineRule="auto"/>
        <w:ind w:firstLine="240" w:firstLineChars="100"/>
        <w:rPr>
          <w:rFonts w:ascii="宋体" w:hAnsi="宋体"/>
          <w:snapToGrid w:val="0"/>
          <w:kern w:val="0"/>
          <w:sz w:val="24"/>
        </w:rPr>
      </w:pPr>
      <w:r>
        <w:rPr>
          <w:rFonts w:hint="eastAsia" w:ascii="宋体" w:hAnsi="宋体"/>
          <w:snapToGrid w:val="0"/>
          <w:kern w:val="0"/>
          <w:sz w:val="24"/>
        </w:rPr>
        <w:t>甲、乙双方根据杭州市公共资源交易中心临安分中心关于项目编号为**********的（标项及名称）项目公开招标的结果，签署本合同。依据《中华人民共和国政府采购法》、《中华人民共和国合同法》的规定，甲、乙双方就项目的技术开发经协商一致，签定本合同并遵照执行,双方同意下列文件作为本合同不可分割的组成部分：(1)本合同正文；(2)本合同附件；(3)中标人招标文件及书面承诺；(4)招标人招标文件、附件及澄清文件；(5)在合同实施过程中双方共同签署的补充与修正文件。</w:t>
      </w:r>
    </w:p>
    <w:p>
      <w:pPr>
        <w:pStyle w:val="18"/>
        <w:adjustRightInd w:val="0"/>
        <w:snapToGrid w:val="0"/>
        <w:spacing w:beforeLines="0" w:afterLines="0" w:line="480" w:lineRule="exact"/>
        <w:ind w:firstLine="475" w:firstLineChars="198"/>
        <w:rPr>
          <w:rFonts w:hAnsi="宋体"/>
        </w:rPr>
      </w:pPr>
    </w:p>
    <w:p>
      <w:pPr>
        <w:spacing w:line="360" w:lineRule="auto"/>
        <w:rPr>
          <w:rFonts w:ascii="宋体" w:hAnsi="宋体"/>
          <w:b/>
          <w:snapToGrid w:val="0"/>
          <w:kern w:val="0"/>
          <w:sz w:val="24"/>
        </w:rPr>
      </w:pPr>
      <w:r>
        <w:rPr>
          <w:rFonts w:hint="eastAsia" w:ascii="宋体" w:hAnsi="宋体"/>
          <w:b/>
          <w:snapToGrid w:val="0"/>
          <w:kern w:val="0"/>
          <w:sz w:val="24"/>
        </w:rPr>
        <w:t>一、货物内容及合同价格</w:t>
      </w:r>
    </w:p>
    <w:p>
      <w:pPr>
        <w:pStyle w:val="18"/>
        <w:adjustRightInd w:val="0"/>
        <w:snapToGrid w:val="0"/>
        <w:spacing w:before="156" w:after="156" w:line="360" w:lineRule="auto"/>
        <w:ind w:firstLine="511" w:firstLineChars="213"/>
        <w:jc w:val="right"/>
        <w:rPr>
          <w:rFonts w:hAnsi="宋体"/>
          <w:snapToGrid w:val="0"/>
          <w:kern w:val="0"/>
        </w:rPr>
      </w:pPr>
      <w:r>
        <w:rPr>
          <w:rFonts w:hint="eastAsia" w:hAnsi="宋体"/>
          <w:snapToGrid w:val="0"/>
          <w:kern w:val="0"/>
        </w:rPr>
        <w:t xml:space="preserve">金额单位：元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1417"/>
        <w:gridCol w:w="1418"/>
        <w:gridCol w:w="9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360" w:lineRule="auto"/>
              <w:jc w:val="center"/>
              <w:rPr>
                <w:rFonts w:hAnsi="宋体"/>
                <w:snapToGrid w:val="0"/>
                <w:kern w:val="0"/>
              </w:rPr>
            </w:pPr>
            <w:r>
              <w:rPr>
                <w:rFonts w:hint="eastAsia" w:hAnsi="宋体"/>
                <w:snapToGrid w:val="0"/>
                <w:kern w:val="0"/>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360" w:lineRule="auto"/>
              <w:jc w:val="center"/>
              <w:rPr>
                <w:rFonts w:hAnsi="宋体"/>
                <w:snapToGrid w:val="0"/>
                <w:kern w:val="0"/>
              </w:rPr>
            </w:pPr>
            <w:r>
              <w:rPr>
                <w:rFonts w:hint="eastAsia" w:hAnsi="宋体"/>
                <w:snapToGrid w:val="0"/>
                <w:kern w:val="0"/>
              </w:rPr>
              <w:t>型号规格</w:t>
            </w:r>
          </w:p>
        </w:tc>
        <w:tc>
          <w:tcPr>
            <w:tcW w:w="1418"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360" w:lineRule="auto"/>
              <w:jc w:val="center"/>
              <w:rPr>
                <w:rFonts w:hAnsi="宋体"/>
                <w:snapToGrid w:val="0"/>
                <w:kern w:val="0"/>
              </w:rPr>
            </w:pPr>
            <w:r>
              <w:rPr>
                <w:rFonts w:hint="eastAsia" w:hAnsi="宋体"/>
                <w:snapToGrid w:val="0"/>
                <w:kern w:val="0"/>
              </w:rPr>
              <w:t>配置要求</w:t>
            </w:r>
          </w:p>
        </w:tc>
        <w:tc>
          <w:tcPr>
            <w:tcW w:w="940"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360" w:lineRule="auto"/>
              <w:ind w:left="-108"/>
              <w:jc w:val="center"/>
              <w:rPr>
                <w:rFonts w:hAnsi="宋体"/>
                <w:snapToGrid w:val="0"/>
                <w:kern w:val="0"/>
              </w:rPr>
            </w:pPr>
            <w:r>
              <w:rPr>
                <w:rFonts w:hint="eastAsia" w:hAnsi="宋体"/>
                <w:snapToGrid w:val="0"/>
                <w:kern w:val="0"/>
              </w:rPr>
              <w:t>数量</w:t>
            </w:r>
          </w:p>
        </w:tc>
        <w:tc>
          <w:tcPr>
            <w:tcW w:w="2835"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360" w:lineRule="auto"/>
              <w:ind w:left="-108"/>
              <w:jc w:val="center"/>
              <w:rPr>
                <w:rFonts w:hAnsi="宋体"/>
                <w:snapToGrid w:val="0"/>
                <w:kern w:val="0"/>
              </w:rPr>
            </w:pPr>
            <w:r>
              <w:rPr>
                <w:rFonts w:hint="eastAsia" w:hAnsi="宋体"/>
                <w:snapToGrid w:val="0"/>
                <w:kern w:val="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24"/>
              </w:rPr>
            </w:pPr>
            <w:r>
              <w:rPr>
                <w:rFonts w:hint="eastAsia" w:ascii="宋体" w:hAnsi="宋体"/>
                <w:snapToGrid w:val="0"/>
                <w:kern w:val="0"/>
                <w:sz w:val="24"/>
              </w:rPr>
              <w:t>临安山核桃特色产业云服务平台建设及数据采集与标准化、数据服务与应用采购项目</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24"/>
              </w:rPr>
            </w:pPr>
            <w:r>
              <w:rPr>
                <w:rFonts w:hint="eastAsia" w:ascii="宋体" w:hAnsi="宋体"/>
                <w:snapToGrid w:val="0"/>
                <w:kern w:val="0"/>
                <w:sz w:val="24"/>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24"/>
              </w:rPr>
            </w:pPr>
            <w:r>
              <w:rPr>
                <w:rFonts w:hint="eastAsia" w:ascii="宋体" w:hAnsi="宋体"/>
                <w:snapToGrid w:val="0"/>
                <w:kern w:val="0"/>
                <w:sz w:val="24"/>
              </w:rPr>
              <w:t>/</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kern w:val="0"/>
                <w:sz w:val="24"/>
              </w:rPr>
            </w:pPr>
            <w:r>
              <w:rPr>
                <w:rFonts w:hint="eastAsia" w:ascii="宋体" w:hAnsi="宋体"/>
                <w:snapToGrid w:val="0"/>
                <w:kern w:val="0"/>
                <w:sz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pStyle w:val="73"/>
              <w:spacing w:line="360" w:lineRule="auto"/>
              <w:jc w:val="center"/>
              <w:rPr>
                <w:rFonts w:ascii="宋体" w:hAnsi="宋体" w:eastAsia="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5709" w:type="dxa"/>
            <w:gridSpan w:val="3"/>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240" w:lineRule="auto"/>
              <w:jc w:val="center"/>
              <w:rPr>
                <w:rFonts w:hAnsi="宋体"/>
                <w:snapToGrid w:val="0"/>
                <w:kern w:val="0"/>
              </w:rPr>
            </w:pPr>
            <w:r>
              <w:rPr>
                <w:rFonts w:hint="eastAsia" w:hAnsi="宋体"/>
                <w:snapToGrid w:val="0"/>
                <w:kern w:val="0"/>
              </w:rPr>
              <w:t>合计</w:t>
            </w:r>
          </w:p>
        </w:tc>
        <w:tc>
          <w:tcPr>
            <w:tcW w:w="940"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240" w:lineRule="auto"/>
              <w:jc w:val="center"/>
              <w:rPr>
                <w:rFonts w:hAnsi="宋体"/>
                <w:snapToGrid w:val="0"/>
                <w:kern w:val="0"/>
              </w:rPr>
            </w:pPr>
            <w:r>
              <w:rPr>
                <w:rFonts w:hint="eastAsia" w:hAnsi="宋体"/>
                <w:snapToGrid w:val="0"/>
                <w:kern w:val="0"/>
              </w:rPr>
              <w:t>1</w:t>
            </w:r>
          </w:p>
        </w:tc>
        <w:tc>
          <w:tcPr>
            <w:tcW w:w="2835" w:type="dxa"/>
            <w:tcBorders>
              <w:top w:val="single" w:color="auto" w:sz="4" w:space="0"/>
              <w:left w:val="single" w:color="auto" w:sz="4" w:space="0"/>
              <w:bottom w:val="single" w:color="auto" w:sz="4" w:space="0"/>
              <w:right w:val="single" w:color="auto" w:sz="4" w:space="0"/>
            </w:tcBorders>
            <w:vAlign w:val="center"/>
          </w:tcPr>
          <w:p>
            <w:pPr>
              <w:pStyle w:val="73"/>
              <w:spacing w:line="360" w:lineRule="auto"/>
              <w:jc w:val="center"/>
              <w:rPr>
                <w:rFonts w:ascii="宋体" w:hAnsi="宋体" w:eastAsia="宋体"/>
                <w:snapToGrid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484" w:type="dxa"/>
            <w:gridSpan w:val="5"/>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line="240" w:lineRule="auto"/>
              <w:rPr>
                <w:rFonts w:hAnsi="宋体"/>
                <w:snapToGrid w:val="0"/>
                <w:kern w:val="0"/>
              </w:rPr>
            </w:pPr>
            <w:r>
              <w:rPr>
                <w:rFonts w:hint="eastAsia" w:hAnsi="宋体"/>
                <w:snapToGrid w:val="0"/>
                <w:kern w:val="0"/>
              </w:rPr>
              <w:t xml:space="preserve">合同总价大写：                 ，小写：           </w:t>
            </w:r>
          </w:p>
        </w:tc>
      </w:tr>
    </w:tbl>
    <w:p>
      <w:pPr>
        <w:spacing w:line="360" w:lineRule="auto"/>
        <w:rPr>
          <w:rFonts w:ascii="宋体" w:hAnsi="宋体"/>
          <w:snapToGrid w:val="0"/>
          <w:kern w:val="0"/>
          <w:sz w:val="24"/>
        </w:rPr>
      </w:pPr>
      <w:r>
        <w:rPr>
          <w:rFonts w:hint="eastAsia" w:ascii="宋体" w:hAnsi="宋体"/>
          <w:snapToGrid w:val="0"/>
          <w:kern w:val="0"/>
          <w:sz w:val="24"/>
        </w:rPr>
        <w:t>注: 1.乙方保证所提供的软件能够正常运行使用；</w:t>
      </w:r>
    </w:p>
    <w:p>
      <w:pPr>
        <w:spacing w:line="360" w:lineRule="auto"/>
        <w:ind w:firstLine="360" w:firstLineChars="150"/>
        <w:rPr>
          <w:rFonts w:ascii="宋体" w:hAnsi="宋体"/>
          <w:snapToGrid w:val="0"/>
          <w:kern w:val="0"/>
          <w:sz w:val="24"/>
        </w:rPr>
      </w:pPr>
      <w:r>
        <w:rPr>
          <w:rFonts w:hint="eastAsia" w:ascii="宋体" w:hAnsi="宋体"/>
          <w:snapToGrid w:val="0"/>
          <w:kern w:val="0"/>
          <w:sz w:val="24"/>
        </w:rPr>
        <w:t xml:space="preserve"> 2.以上合同内容包括产品安装、实施，及驻场技术服务；</w:t>
      </w:r>
    </w:p>
    <w:p>
      <w:pPr>
        <w:spacing w:line="360" w:lineRule="auto"/>
        <w:ind w:firstLine="480" w:firstLineChars="200"/>
        <w:rPr>
          <w:rFonts w:ascii="宋体" w:hAnsi="宋体"/>
          <w:snapToGrid w:val="0"/>
          <w:kern w:val="0"/>
          <w:sz w:val="24"/>
        </w:rPr>
      </w:pPr>
      <w:r>
        <w:rPr>
          <w:rFonts w:hint="eastAsia" w:ascii="宋体" w:hAnsi="宋体"/>
          <w:snapToGrid w:val="0"/>
          <w:kern w:val="0"/>
          <w:sz w:val="24"/>
        </w:rPr>
        <w:t>3.乙方承诺所提供的软件无版权争议，拥有所列软件合法版权。</w:t>
      </w:r>
    </w:p>
    <w:p>
      <w:pPr>
        <w:spacing w:line="360" w:lineRule="auto"/>
        <w:ind w:firstLine="480" w:firstLineChars="200"/>
        <w:rPr>
          <w:rFonts w:ascii="宋体" w:hAnsi="宋体"/>
          <w:snapToGrid w:val="0"/>
          <w:kern w:val="0"/>
          <w:sz w:val="24"/>
        </w:rPr>
      </w:pPr>
      <w:r>
        <w:rPr>
          <w:rFonts w:hint="eastAsia" w:ascii="宋体" w:hAnsi="宋体"/>
          <w:snapToGrid w:val="0"/>
          <w:kern w:val="0"/>
          <w:sz w:val="24"/>
        </w:rPr>
        <w:t>4.如本合同未提到内容以招标相关文件为准。</w:t>
      </w:r>
    </w:p>
    <w:p>
      <w:pPr>
        <w:spacing w:line="360" w:lineRule="auto"/>
        <w:ind w:firstLine="480" w:firstLineChars="200"/>
        <w:rPr>
          <w:rFonts w:ascii="宋体" w:hAnsi="宋体"/>
          <w:snapToGrid w:val="0"/>
          <w:kern w:val="0"/>
          <w:sz w:val="24"/>
        </w:rPr>
      </w:pPr>
      <w:r>
        <w:rPr>
          <w:rFonts w:hint="eastAsia" w:ascii="宋体" w:hAnsi="宋体"/>
          <w:snapToGrid w:val="0"/>
          <w:kern w:val="0"/>
          <w:sz w:val="24"/>
        </w:rPr>
        <w:t>5.以上合同总价包含服务到达用户并能正常使用所需的一切费用。</w:t>
      </w:r>
    </w:p>
    <w:p>
      <w:pPr>
        <w:spacing w:line="360" w:lineRule="auto"/>
        <w:rPr>
          <w:rFonts w:ascii="宋体" w:hAnsi="宋体"/>
          <w:b/>
          <w:snapToGrid w:val="0"/>
          <w:kern w:val="0"/>
          <w:sz w:val="24"/>
        </w:rPr>
      </w:pPr>
      <w:r>
        <w:rPr>
          <w:rFonts w:hint="eastAsia" w:ascii="宋体" w:hAnsi="宋体"/>
          <w:b/>
          <w:snapToGrid w:val="0"/>
          <w:kern w:val="0"/>
          <w:sz w:val="24"/>
        </w:rPr>
        <w:t>二、合同履行和服务要求</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自本合同签订生效之日起，在杭州市临安区及指定地点履行。整体项目要求在合同签订后至2021年1底前完成所有开发、测试、部署、数据准备、用户培训、试运行等工作：要求2020年10月底前完成系统开发工作；要求2020年11月底前完成系统的所有开发、测试、部署、数据准备、用户培训、试运行准备工作，具备正式上线运行条件，并通过初验；要求于2021年1月底前完成系统试运行，并提交项目所有资料，平台正式上线运行并通过最终的项目验收。</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2.服务要求：提供叁年免费维护服务（自项目最终验收通过之日起）。乙方需负责本项目安全工作，根据甲方相应规定及要求，定期做好系统安全性检测及安全加固。</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3.售后要求：</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（1）要求严格按ISO9001 质量管理和保证体系的要求，按由上而下顺序进行项目质量管理，建立完善的项目质量保证体系，贯彻执行ISO9001 质量管理标准，实行项目经理负责制，实施全过程质量监控。</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（2）要求提供完整的项目测试计划和测试用例，项目实施过程严格按计划进行系统测试，定期提交项目质量报告。</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要求提供完整的软件系统需求分析说明文档、软件系统设计文档（含概要设计、详细设计、数据库设计）、软件系统测试用例和测试结果说明文档、系统安装使用手册、用户使用、管理操作说明文档和帮助文档等相关软件开发过程管理文档。</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（4）要求提供完整详细的系统故障维护应急响应机制说明文档，并进行应急响应演练。</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（5）要求提供人员使用操作培训、管理员管理操作培训和二次开发培训直至相关人员熟练掌握所需技能。</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6）要求提供项目终验后3年驻场免费售后服务，在项目实施过程及售后服务期内，需指定专人负责与用户进行项目对接与服务，驻场人员不得少于两人。售后服务期内免费5×8小时驻场服务和7×24在线技术服务及系统数据容灾恢复上门现场服务。</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（7）要求对软件平台进行运维与安全维护，主要包括运行环境监控、系统故障分析处理、系统升级测试、系统发布验证、系统优化、网络安全管理、系统安全管理、数据容灾、平台数据库维护。</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（8）应用支持：通过电话、电子邮件以及其他方式提供7×24小时的应用支持服务，包括使用咨询、系统管理协助、应用政策建议。</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（9）故障响应及修复：提供快捷、周到、规范的服务，在接到维修及技术服务要求后应在1小时之内作出响应。</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（10）售后服务期内如果本系统被发现存在漏洞、开发实现层面的问题、性能问题，则需要中标方及时进行问题修复。</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（11）售后服务期内如果本系统被发现存在对用户严重不友好不方便的操作，需要中标方及时对相关功能进行整改。</w:t>
      </w:r>
    </w:p>
    <w:p>
      <w:pPr>
        <w:tabs>
          <w:tab w:val="left" w:pos="567"/>
        </w:tabs>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4.其他要求：本项目开发需遵循甲方单位统一技术规范及管理要求。</w:t>
      </w:r>
    </w:p>
    <w:p>
      <w:pPr>
        <w:spacing w:line="360" w:lineRule="auto"/>
        <w:rPr>
          <w:rFonts w:ascii="宋体" w:hAnsi="宋体"/>
          <w:b/>
          <w:snapToGrid w:val="0"/>
          <w:kern w:val="0"/>
          <w:sz w:val="24"/>
        </w:rPr>
      </w:pPr>
      <w:r>
        <w:rPr>
          <w:rFonts w:hint="eastAsia" w:ascii="宋体" w:hAnsi="宋体"/>
          <w:b/>
          <w:snapToGrid w:val="0"/>
          <w:kern w:val="0"/>
          <w:sz w:val="24"/>
        </w:rPr>
        <w:t>三、质量保证</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乙方保证本合同中所供应的商品和服务是符合国家最新技术规格和质量标准的出厂原装合格产品和服务。如发生所供商品和服务与合同不符，甲方（使用方）有权拒收或退货，由此产生的一切责任和后果由乙方承担。乙方应保证系统在正常环境条件下满足至少壹年的运行期限。</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合同和招标文件所列的建设任务为总体要求，乙方应根据本合同和招标文件所列建设内容为依据，在项目实施过程进行细化，并以和甲方书面确定的实际建设需求作为本次项目交付的依据。通过需求调研，准确掌握最终用户对系统的信息管理在功能、特性、系统运行方面的要求，主要包括：信息需求、功能要求、性能要求、可靠性要求、安全和保密要求。</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3.根据甲方相关规定要求，对项目实行监理制，乙方在项目实施过程中需配合监理工作。</w:t>
      </w:r>
    </w:p>
    <w:p>
      <w:pPr>
        <w:spacing w:line="360" w:lineRule="auto"/>
        <w:rPr>
          <w:rFonts w:ascii="宋体" w:hAnsi="宋体"/>
          <w:b/>
          <w:snapToGrid w:val="0"/>
          <w:kern w:val="0"/>
          <w:sz w:val="24"/>
        </w:rPr>
      </w:pPr>
      <w:r>
        <w:rPr>
          <w:rFonts w:hint="eastAsia" w:ascii="宋体" w:hAnsi="宋体"/>
          <w:b/>
          <w:snapToGrid w:val="0"/>
          <w:kern w:val="0"/>
          <w:sz w:val="24"/>
        </w:rPr>
        <w:t>四、技术情报、资料的保密及知识产权</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1.乙方应与甲方签订保密协议（保密协议附后）。</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乙方应按招标文件规定的时间向甲方提供项目的有关技术资料。在项目开发过程和系统运行过程中，乙方所获得的有关甲方或属于甲方的信息，未经甲方同意，不得泄露给任何第三方。任何一方为本项目需要，向任何人透露有关资料或信息，应事先予以告知对方。乙方只能将该信息用于本项目，而且只能由相应的工程技术人员使用。</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3.乙方应遵循甲方各项安全保密制度和规章，所有信息数据在迁移、处理等过程中严禁私自复制、传输，完成建设任务后，档案信息数据需根据甲方要求进行物理清除。</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乙方应承诺保护甲方在使用合同服务（货物）或其任何一部分时不受第三方提出侵犯知识产权的起诉。如果任何第三方提出侵权指控，由乙方负责与第三方交涉并承担可能发生的一切费用和相关法律责任，甲方不承担由此引起的一切经济和法律责任。</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5.甲、乙双方在本项目的知识产权归甲方独享，乙方必须提供项目的所有源代码和开发文档，在项目终验时需提供系统源代码、部署应用系统接口源代码和开发文档，还需根据甲方工作要求，提供成果文档、进程文档等资料。</w:t>
      </w:r>
    </w:p>
    <w:p>
      <w:pPr>
        <w:spacing w:line="360" w:lineRule="auto"/>
        <w:rPr>
          <w:rFonts w:ascii="宋体" w:hAnsi="宋体"/>
          <w:b/>
          <w:snapToGrid w:val="0"/>
          <w:kern w:val="0"/>
          <w:sz w:val="24"/>
        </w:rPr>
      </w:pPr>
      <w:r>
        <w:rPr>
          <w:rFonts w:hint="eastAsia" w:ascii="宋体" w:hAnsi="宋体"/>
          <w:b/>
          <w:snapToGrid w:val="0"/>
          <w:kern w:val="0"/>
          <w:sz w:val="24"/>
        </w:rPr>
        <w:t>五、验收</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初验：乙方完成系统的所有开发、测试、部署、数据准备、用户培训、试运行准备工作，具备正式上线试运行条件后，应对系统作出全面检查和对验收文件进行整理，列出清单并材料一同提交甲方。投入试运行前，由甲方组织对项目进行初步验收，通过初验后进行试运行。初验费用包含在总费用中，由乙方承担。</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 xml:space="preserve">2.试运行：项目试运行时间为三个月，在试运行期限内，乙方必须在试运行期内派专人常驻配合用户方做好试运行工作，对出现的问题及时进行修改完善。软件试运行结束，应出具试运行报告。乙方凭试运行报告，申请办理本合同的终验收手续。 </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终验：试运行结束，甲方组织对项目进行最终验收，乙方配合，对系统进行现场部署。甲方可依据招标文件上的技术要求、投标文件承诺的技术标准和国家有关质量标准，邀请专家进行验收。终验费用包含在总费用中，由乙方承担。</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4.乙方在系统上线前，需按照《网络安全法》要求，完成第三方安全机构出具的软件功能性能测试、安全性测试和系统代码审计报告，并通过相关网络安全等级保护测评及备案</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5.甲方在乙方提供相关服务的过程中，不定期对服务内容和质量进行考核。不达要求者，乙方承担一切损失和费用。</w:t>
      </w:r>
    </w:p>
    <w:p>
      <w:pPr>
        <w:spacing w:line="360" w:lineRule="auto"/>
        <w:rPr>
          <w:rFonts w:ascii="宋体" w:hAnsi="宋体"/>
          <w:b/>
          <w:snapToGrid w:val="0"/>
          <w:kern w:val="0"/>
          <w:sz w:val="24"/>
        </w:rPr>
      </w:pPr>
      <w:r>
        <w:rPr>
          <w:rFonts w:hint="eastAsia" w:ascii="宋体" w:hAnsi="宋体"/>
          <w:b/>
          <w:snapToGrid w:val="0"/>
          <w:kern w:val="0"/>
          <w:sz w:val="24"/>
        </w:rPr>
        <w:t>六、合同修改与解除</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1.本合同供需双方的任何一方无权对合同内容进行修改，本合同如需修改，必须达成书面协议，并作为该合同的有效组成部分。</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2.合同可以经双方协商一致解除。</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3.合同经双方协商解除或因不可抗力解除的，乙方应返还甲方已支付未履行的款项，并按照同期银行贷款利率支付利息。</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4.乙方履行义务不符合国家有关规定或者合同约定，甲方可随时以书面形式通知乙方解除合同，并不免除乙方赔偿损失的责任。</w:t>
      </w:r>
    </w:p>
    <w:p>
      <w:pPr>
        <w:spacing w:line="360" w:lineRule="auto"/>
        <w:rPr>
          <w:rFonts w:ascii="宋体" w:hAnsi="宋体"/>
          <w:b/>
          <w:snapToGrid w:val="0"/>
          <w:kern w:val="0"/>
          <w:sz w:val="24"/>
        </w:rPr>
      </w:pPr>
      <w:r>
        <w:rPr>
          <w:rFonts w:hint="eastAsia" w:ascii="宋体" w:hAnsi="宋体"/>
          <w:b/>
          <w:snapToGrid w:val="0"/>
          <w:kern w:val="0"/>
          <w:sz w:val="24"/>
        </w:rPr>
        <w:t>七、协作和工作约定。</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1.甲方的责任和义务</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（1）协调乙方与甲方内部有关部门以及其他单位的工作关系，提供乙方工作需求；</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（2）向乙方提供必要的业务需求；</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（3）根据本合同相关条款按时向乙方支付合同款项；</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（4）向乙方提供实施本项目所必须的应由甲方提供的信息及资料；</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2.乙方的责任和义务</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（1）合同签署后5天内，乙方应书面指定项目负责人；项目负责人应被授权在履行本合同的所有事务中代表乙方，提供本项目所有人员名单（附后）；</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（2）向甲方提供合同所规定的所有服务内容；</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（3）在验收时，负责对合同规定的由乙方完成的所有图纸、文件、资料、记录等技术文档进行整理、归档，其中纸质材料一式两份移交给甲方，并同时提供电子版材料；</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（4）在整个技术服务过程中，应采用适合本项目技术服务的项目实施管理方法和工具，用以指导和管理项目技术服务。</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（5）转让和分包：未经甲方事先书面同意，乙方不得向第三方部分转让或全部转让其应履行的合同义务。</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（6）甲方在项目建设期间将委托第三方监理机构全程参与项目监理。</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（7）乙方须及时汇报项目的进展，定期提交项目进展报告及工作计划。</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（8）乙方有义务保证实施团队稳定性，乙方因人员调动客观上造成甲方工作进度或质量损害的，乙方须承担相应责任。</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（9）乙方负责按时做好项目验收工作，甲方收到乙方提交的文档，经与第三方监理机构协商后，给予答复或确认。</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（10）乙方提供的产品和服务均不得侵犯其知识产权。否则，所产生的一切责任由乙方负责。</w:t>
      </w:r>
    </w:p>
    <w:p>
      <w:pPr>
        <w:spacing w:line="360" w:lineRule="auto"/>
        <w:rPr>
          <w:rFonts w:ascii="宋体" w:hAnsi="宋体"/>
          <w:b/>
          <w:snapToGrid w:val="0"/>
          <w:kern w:val="0"/>
          <w:sz w:val="24"/>
        </w:rPr>
      </w:pPr>
      <w:r>
        <w:rPr>
          <w:rFonts w:hint="eastAsia" w:ascii="宋体" w:hAnsi="宋体"/>
          <w:b/>
          <w:snapToGrid w:val="0"/>
          <w:kern w:val="0"/>
          <w:sz w:val="24"/>
        </w:rPr>
        <w:t>八、合同金额及支付方式</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1.合同金额</w:t>
      </w:r>
    </w:p>
    <w:p>
      <w:pPr>
        <w:tabs>
          <w:tab w:val="left" w:pos="567"/>
        </w:tabs>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本项目合同总金额共计人民币：          万元。</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2.具体支付方式如下</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第一期付款：合同签订生效后，完成项目建设需求规格说明书和系统设计文档并通过审查。经审查通过并在乙方出具正式发票后15个工作日内，支付合同金额20%的项目款。同时乙方应向甲方出具相同金额的预付款保函。</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第二期付款：2020年11月底前完成项目的所有开发、测试、部署、数据准备、用户培训、试运行准备工作，具备正式上线运行条件，并通过初验，在乙方出具正式发票后15个工作日内，支付合同金额40%的项目款。</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第三期付款：2021年1月底完成系统试运行结束，系统正式上线稳定运行，通过项目最终验收，在乙方出具正式发票后15个工作日内，支付合同金额30%的项目款。</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服务期付款：前两年服务期结束通过用户单位考核后，建设单位向中标供应商支付合同金额5%的项目款，第三年服务期结束通过用户单位考核后，建设单位向中标供应商支付合同金额5%的项目款</w:t>
      </w:r>
    </w:p>
    <w:p>
      <w:pPr>
        <w:tabs>
          <w:tab w:val="left" w:pos="567"/>
        </w:tabs>
        <w:adjustRightInd w:val="0"/>
        <w:snapToGrid w:val="0"/>
        <w:spacing w:line="360" w:lineRule="auto"/>
        <w:ind w:firstLine="475" w:firstLineChars="198"/>
        <w:rPr>
          <w:rFonts w:ascii="仿宋" w:hAnsi="仿宋" w:eastAsia="仿宋" w:cs="仿宋"/>
          <w:sz w:val="30"/>
          <w:szCs w:val="30"/>
        </w:rPr>
      </w:pPr>
      <w:r>
        <w:rPr>
          <w:rFonts w:hint="eastAsia" w:ascii="宋体" w:hAnsi="宋体"/>
          <w:snapToGrid w:val="0"/>
          <w:kern w:val="0"/>
          <w:sz w:val="24"/>
        </w:rPr>
        <w:t>本合同执行中相关的一切税费均由乙方承担</w:t>
      </w:r>
      <w:r>
        <w:rPr>
          <w:rFonts w:hint="eastAsia" w:ascii="仿宋" w:hAnsi="仿宋" w:eastAsia="仿宋" w:cs="仿宋"/>
          <w:sz w:val="30"/>
          <w:szCs w:val="30"/>
        </w:rPr>
        <w:t>。</w:t>
      </w:r>
    </w:p>
    <w:p>
      <w:pPr>
        <w:spacing w:line="360" w:lineRule="auto"/>
        <w:rPr>
          <w:rFonts w:ascii="宋体" w:hAnsi="宋体"/>
          <w:b/>
          <w:snapToGrid w:val="0"/>
          <w:kern w:val="0"/>
          <w:sz w:val="24"/>
        </w:rPr>
      </w:pPr>
      <w:r>
        <w:rPr>
          <w:rFonts w:hint="eastAsia" w:ascii="宋体" w:hAnsi="宋体"/>
          <w:b/>
          <w:snapToGrid w:val="0"/>
          <w:kern w:val="0"/>
          <w:sz w:val="24"/>
        </w:rPr>
        <w:t>九、违约责任</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1.由于乙方原因，延误工期或达不到项目规定的技术指标，乙方应当承担违约责任。承担方式和违约金额如下：超期30天内，每天扣合同金额的0.2‰；累计超期30天，甲方有权终止执行合同。</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2.甲方未按合同按时支付给乙方应付金额，应按每逾期一天支付逾期付款金额0.2‰的比例向乙方支付滞纳金；甲方向乙方支付滞纳金后，本合同并不当然解除。</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双方一经签订合同，非经对方同意或不可抗力或对方严重违约触发本合同其他条款规定的终止合同的条件，不得终止合同，任何一方违约，必须按合同该期金额的30%支付违约金，同时赔偿非违约方因此而受到的合理损失。</w:t>
      </w:r>
    </w:p>
    <w:p>
      <w:pPr>
        <w:spacing w:line="360" w:lineRule="auto"/>
        <w:rPr>
          <w:rFonts w:ascii="宋体" w:hAnsi="宋体"/>
          <w:b/>
          <w:snapToGrid w:val="0"/>
          <w:kern w:val="0"/>
          <w:sz w:val="24"/>
        </w:rPr>
      </w:pPr>
      <w:r>
        <w:rPr>
          <w:rFonts w:hint="eastAsia" w:ascii="宋体" w:hAnsi="宋体"/>
          <w:b/>
          <w:snapToGrid w:val="0"/>
          <w:kern w:val="0"/>
          <w:sz w:val="24"/>
        </w:rPr>
        <w:t>十、争议的解决</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在合同履行过程中发生争议，双方应当协商解决，双方不愿协商、调解解决或者协商、调解不成的，双方商定，允许采用以下任何一种方式解决。</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（一）因本合同所发生任何争议，申请浙江省杭州市仲裁委员会仲裁；</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（二）在浙江省杭州市，按司法程序解决。</w:t>
      </w:r>
    </w:p>
    <w:p>
      <w:pPr>
        <w:spacing w:line="360" w:lineRule="auto"/>
        <w:rPr>
          <w:rFonts w:ascii="宋体" w:hAnsi="宋体"/>
          <w:b/>
          <w:snapToGrid w:val="0"/>
          <w:kern w:val="0"/>
          <w:sz w:val="24"/>
        </w:rPr>
      </w:pPr>
      <w:r>
        <w:rPr>
          <w:rFonts w:hint="eastAsia" w:ascii="宋体" w:hAnsi="宋体"/>
          <w:b/>
          <w:snapToGrid w:val="0"/>
          <w:kern w:val="0"/>
          <w:sz w:val="24"/>
        </w:rPr>
        <w:t>十一、其他约定</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1.本合同任何一方给另一方的通知，都应以书面形式发送，而另一方应以书面形式确认并发送到对方明确的地址。</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2.不可抗力：如果双方中任何一方由于战争、火灾、水灾、台风和地震以及其它经双方同意属于不可抗力的事故，致使合同履行受阻时，履行合同的期限应予延长，延长的期限应相当于事故所影响的时间。</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任何一方也有权解除合同。</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4.项目实施过程及验收阶段，乙方需提交以下文档供甲方确认，并保证所提交文档和程序代码的完整性、正确性和一致性：</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（1）需求规格说明书；</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（2）系统设计文档（包括概要设计、详细设计、数据库设计等）；</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（3）系统部署文档，包括软硬件清单、部署方案；</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（4）用户使用手册、管理手册及培训资料；</w:t>
      </w:r>
    </w:p>
    <w:p>
      <w:pPr>
        <w:tabs>
          <w:tab w:val="left" w:pos="567"/>
        </w:tabs>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（5）验收申请报告及验收所需的全部资料。</w:t>
      </w:r>
    </w:p>
    <w:p>
      <w:pPr>
        <w:spacing w:line="360" w:lineRule="auto"/>
        <w:rPr>
          <w:rFonts w:ascii="宋体" w:hAnsi="宋体"/>
          <w:snapToGrid w:val="0"/>
          <w:kern w:val="0"/>
          <w:sz w:val="24"/>
        </w:rPr>
      </w:pPr>
      <w:r>
        <w:rPr>
          <w:rFonts w:hint="eastAsia" w:ascii="宋体" w:hAnsi="宋体"/>
          <w:snapToGrid w:val="0"/>
          <w:kern w:val="0"/>
          <w:sz w:val="24"/>
        </w:rPr>
        <w:t>十二、合同生效及其它</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1.本合同由甲方、乙方、鉴证方签字盖章后生效。</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2.合同履行期内甲乙双方均不得随意变更或解除合同。合同若有未尽事宜，需经双方共同协商，订立补充协议，补充协议与本合同有同等法律效力。</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3.招标文件（招标编号：）、投标文件及评标过程中的文字资料均作为本合同的组成部分，优先次序如下：补充协议（若有）、本合同、投标文件及评标过程中的文字资料、招标文件。</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4.乙方在本合同外通过书面形式或大众媒体方式公开做出的服务承诺，自动成为本合同的组成部分，但其中为用户设定的义务，未经甲方同意的，不成为本合同的组成部分。</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5.本合同一式陆份，甲方、乙方叁份。</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6.适用法律：本合同应按中华人民共和国的法律进行解释。</w:t>
      </w:r>
    </w:p>
    <w:p>
      <w:pPr>
        <w:pStyle w:val="18"/>
        <w:adjustRightInd w:val="0"/>
        <w:snapToGrid w:val="0"/>
        <w:spacing w:beforeLines="0" w:afterLines="0" w:line="480" w:lineRule="exact"/>
        <w:ind w:left="2" w:leftChars="1" w:firstLine="480" w:firstLineChars="200"/>
        <w:rPr>
          <w:rFonts w:hAnsi="宋体"/>
          <w:snapToGrid w:val="0"/>
          <w:kern w:val="0"/>
        </w:rPr>
      </w:pPr>
    </w:p>
    <w:p>
      <w:pPr>
        <w:pStyle w:val="1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1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1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1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1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pPr>
    </w:p>
    <w:p>
      <w:pPr>
        <w:pStyle w:val="2"/>
        <w:ind w:firstLine="344"/>
      </w:pPr>
    </w:p>
    <w:p>
      <w:pPr>
        <w:pStyle w:val="2"/>
        <w:ind w:firstLine="344"/>
      </w:pPr>
    </w:p>
    <w:p>
      <w:pPr>
        <w:pStyle w:val="2"/>
        <w:ind w:firstLine="344"/>
      </w:pPr>
    </w:p>
    <w:p>
      <w:pPr>
        <w:spacing w:beforeLines="100" w:afterLines="200"/>
        <w:jc w:val="center"/>
        <w:rPr>
          <w:rFonts w:ascii="宋体" w:hAnsi="宋体"/>
          <w:b/>
          <w:snapToGrid w:val="0"/>
          <w:kern w:val="0"/>
          <w:sz w:val="24"/>
        </w:rPr>
      </w:pPr>
      <w:r>
        <w:rPr>
          <w:rFonts w:hint="eastAsia" w:ascii="宋体" w:hAnsi="宋体"/>
          <w:b/>
          <w:snapToGrid w:val="0"/>
          <w:kern w:val="0"/>
          <w:sz w:val="24"/>
        </w:rPr>
        <w:t>项目保密协议</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甲方：杭州临安青丰农业有限公司</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乙方：</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为确保项目的组织、管理、实施的安全性、有效性、正确性，规范工程实施行为，根据国家有关涉密信息系统建设的有关规定，就乙方参与上述项目工程实施的保密责任，甲乙双方达成如下一致意见：</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乙方严格遵守保密管理工作相关法律法规，保守在项目中所涉及的秘密。</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不得擅自记录、复制、拍摄、摘抄、收藏在项目中涉及的秘密和敏感信息；严禁将项目的相关技术方案及实施规划透露给无关人员。</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服从甲方安排，依照有关法律、法规和合同规定工作，不得将项目过程中接触到文件（包括会议纪要及各类通知）的内容泄露给无关人员；不得翻阅与项目无关的文件和资料，不得从事和合同无关的事。</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不得带领无关人员进入办公场所。</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乙方必须向甲方提供从事该项目的所以人员资料给甲方审核。乙方从事该项目的人员必须签订保密协议，保密内容听取甲方意见。</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乙方不得发表该项目的技术文档和论文，未经甲方同意，乙方不得使用工程项目案例进行演示或宣传。</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本协议视同合同的组成部分，对协议的任何修改，必须采取书面形式，并有双方负责人签字。</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乙方如未能遵守上述协议，有违反保密规定行为而造成泄密，甲方可依据有关规定追究乙方的责任，有权按照国家法律法规的规定，采取法律行动：包括要求法院发布禁令、要求责任方赔偿损失。</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乙方应在充分理解本责任书内容的基础上自觉签字承诺愿意接受本保密责任书的法律约束。</w:t>
      </w: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本保密协议书一式肆份，甲乙双方各贰份，双方签字、盖章生效。</w:t>
      </w: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甲方：（签章）</w:t>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乙方：（签章）</w:t>
      </w: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法定代表人：（签章）               法定代表人：（签章）</w:t>
      </w:r>
    </w:p>
    <w:p>
      <w:pPr>
        <w:tabs>
          <w:tab w:val="left" w:pos="567"/>
        </w:tabs>
        <w:adjustRightInd w:val="0"/>
        <w:snapToGrid w:val="0"/>
        <w:spacing w:line="360" w:lineRule="auto"/>
        <w:ind w:firstLine="475" w:firstLineChars="198"/>
        <w:rPr>
          <w:rFonts w:ascii="宋体" w:hAnsi="宋体"/>
          <w:snapToGrid w:val="0"/>
          <w:kern w:val="0"/>
          <w:sz w:val="24"/>
        </w:rPr>
      </w:pPr>
    </w:p>
    <w:p>
      <w:pPr>
        <w:tabs>
          <w:tab w:val="left" w:pos="567"/>
        </w:tabs>
        <w:adjustRightInd w:val="0"/>
        <w:snapToGrid w:val="0"/>
        <w:spacing w:line="360" w:lineRule="auto"/>
        <w:ind w:firstLine="475" w:firstLineChars="198"/>
        <w:rPr>
          <w:rFonts w:ascii="宋体" w:hAnsi="宋体"/>
          <w:snapToGrid w:val="0"/>
          <w:kern w:val="0"/>
          <w:sz w:val="24"/>
        </w:rPr>
      </w:pPr>
      <w:r>
        <w:rPr>
          <w:rFonts w:hint="eastAsia" w:ascii="宋体" w:hAnsi="宋体"/>
          <w:snapToGrid w:val="0"/>
          <w:kern w:val="0"/>
          <w:sz w:val="24"/>
        </w:rPr>
        <w:t>年   月   日</w:t>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ab/>
      </w:r>
      <w:r>
        <w:rPr>
          <w:rFonts w:hint="eastAsia" w:ascii="宋体" w:hAnsi="宋体"/>
          <w:snapToGrid w:val="0"/>
          <w:kern w:val="0"/>
          <w:sz w:val="24"/>
        </w:rPr>
        <w:t xml:space="preserve">   </w:t>
      </w:r>
      <w:r>
        <w:rPr>
          <w:rFonts w:hint="eastAsia" w:ascii="宋体" w:hAnsi="宋体"/>
          <w:snapToGrid w:val="0"/>
          <w:kern w:val="0"/>
          <w:sz w:val="24"/>
        </w:rPr>
        <w:tab/>
      </w:r>
      <w:r>
        <w:rPr>
          <w:rFonts w:hint="eastAsia" w:ascii="宋体" w:hAnsi="宋体"/>
          <w:snapToGrid w:val="0"/>
          <w:kern w:val="0"/>
          <w:sz w:val="24"/>
        </w:rPr>
        <w:t>年   月   日</w:t>
      </w:r>
    </w:p>
    <w:p>
      <w:pPr>
        <w:spacing w:beforeLines="100" w:afterLines="100"/>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r>
        <w:t xml:space="preserve"> </w:t>
      </w:r>
    </w:p>
    <w:p>
      <w:pPr>
        <w:pStyle w:val="18"/>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18"/>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9"/>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9"/>
        <w:overflowPunct w:val="0"/>
        <w:spacing w:line="460" w:lineRule="exact"/>
        <w:ind w:firstLine="513" w:firstLineChars="214"/>
        <w:rPr>
          <w:rFonts w:ascii="宋体" w:hAnsi="宋体"/>
          <w:sz w:val="24"/>
          <w:szCs w:val="24"/>
          <w:u w:val="single"/>
        </w:rPr>
      </w:pPr>
    </w:p>
    <w:p>
      <w:pPr>
        <w:pStyle w:val="9"/>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9"/>
        <w:overflowPunct w:val="0"/>
        <w:spacing w:line="460" w:lineRule="exact"/>
        <w:ind w:firstLine="513" w:firstLineChars="214"/>
        <w:rPr>
          <w:rFonts w:ascii="宋体" w:hAnsi="宋体"/>
          <w:sz w:val="24"/>
          <w:szCs w:val="24"/>
        </w:rPr>
      </w:pPr>
    </w:p>
    <w:p>
      <w:pPr>
        <w:pStyle w:val="9"/>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9"/>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29"/>
        <w:tblW w:w="8528" w:type="dxa"/>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9"/>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9"/>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9"/>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9"/>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9"/>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9"/>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9"/>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9"/>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9"/>
        <w:overflowPunct w:val="0"/>
        <w:spacing w:line="460" w:lineRule="exact"/>
        <w:ind w:firstLine="600"/>
        <w:rPr>
          <w:rFonts w:ascii="宋体" w:hAnsi="宋体"/>
          <w:sz w:val="28"/>
          <w:szCs w:val="28"/>
        </w:rPr>
      </w:pPr>
    </w:p>
    <w:p>
      <w:pPr>
        <w:pStyle w:val="9"/>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9"/>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r>
        <w:rPr>
          <w:rFonts w:hint="eastAsia" w:ascii="宋体" w:hAnsi="宋体"/>
          <w:sz w:val="24"/>
          <w:szCs w:val="24"/>
        </w:rPr>
        <w:t>授权人（签名）：</w:t>
      </w:r>
    </w:p>
    <w:p>
      <w:pPr>
        <w:pStyle w:val="9"/>
        <w:overflowPunct w:val="0"/>
        <w:spacing w:line="460" w:lineRule="exact"/>
        <w:ind w:firstLine="600"/>
        <w:rPr>
          <w:rFonts w:ascii="宋体" w:hAnsi="宋体"/>
          <w:sz w:val="24"/>
          <w:szCs w:val="24"/>
        </w:rPr>
      </w:pPr>
    </w:p>
    <w:p>
      <w:pPr>
        <w:pStyle w:val="9"/>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9"/>
        <w:overflowPunct w:val="0"/>
        <w:spacing w:line="460" w:lineRule="exact"/>
        <w:ind w:firstLine="600"/>
        <w:rPr>
          <w:rFonts w:ascii="宋体" w:hAnsi="宋体"/>
          <w:sz w:val="24"/>
          <w:szCs w:val="24"/>
        </w:rPr>
      </w:pPr>
    </w:p>
    <w:p>
      <w:pPr>
        <w:pStyle w:val="9"/>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9"/>
        <w:overflowPunct w:val="0"/>
        <w:spacing w:line="460" w:lineRule="exact"/>
        <w:ind w:firstLine="456" w:firstLineChars="190"/>
        <w:rPr>
          <w:rFonts w:ascii="宋体" w:hAnsi="宋体"/>
          <w:sz w:val="24"/>
          <w:szCs w:val="24"/>
        </w:rPr>
      </w:pPr>
    </w:p>
    <w:p>
      <w:pPr>
        <w:pStyle w:val="9"/>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29"/>
        <w:tblW w:w="8528" w:type="dxa"/>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p>
          <w:p>
            <w:pPr>
              <w:pStyle w:val="9"/>
              <w:overflowPunct w:val="0"/>
              <w:spacing w:line="460" w:lineRule="exact"/>
              <w:rPr>
                <w:rFonts w:ascii="宋体" w:hAnsi="宋体"/>
                <w:sz w:val="24"/>
                <w:szCs w:val="24"/>
              </w:rPr>
            </w:pPr>
            <w:r>
              <w:rPr>
                <w:rFonts w:hint="eastAsia" w:ascii="宋体" w:hAnsi="宋体"/>
                <w:sz w:val="24"/>
                <w:szCs w:val="24"/>
              </w:rPr>
              <w:t>联合体甲方单位：   （公章）</w:t>
            </w: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p>
          <w:p>
            <w:pPr>
              <w:pStyle w:val="9"/>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29"/>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1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14"/>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14"/>
        <w:snapToGrid w:val="0"/>
        <w:rPr>
          <w:rFonts w:ascii="宋体" w:hAnsi="宋体" w:eastAsia="宋体"/>
          <w:sz w:val="24"/>
          <w:szCs w:val="24"/>
        </w:rPr>
      </w:pPr>
      <w:r>
        <w:rPr>
          <w:rFonts w:hint="eastAsia" w:ascii="宋体" w:hAnsi="宋体" w:eastAsia="宋体"/>
          <w:sz w:val="24"/>
          <w:szCs w:val="24"/>
        </w:rPr>
        <w:t>货物类</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1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8"/>
              <w:snapToGrid w:val="0"/>
              <w:spacing w:before="156" w:after="156"/>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8"/>
              <w:snapToGrid w:val="0"/>
              <w:spacing w:before="156" w:after="156"/>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18"/>
              <w:snapToGrid w:val="0"/>
              <w:spacing w:before="156" w:after="156"/>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8"/>
              <w:snapToGrid w:val="0"/>
              <w:spacing w:before="156" w:after="156"/>
              <w:outlineLvl w:val="0"/>
              <w:rPr>
                <w:rFonts w:hAnsi="宋体"/>
              </w:rPr>
            </w:pPr>
          </w:p>
        </w:tc>
      </w:tr>
    </w:tbl>
    <w:p>
      <w:pPr>
        <w:pStyle w:val="16"/>
        <w:rPr>
          <w:rFonts w:ascii="宋体" w:hAnsi="宋体"/>
          <w:sz w:val="24"/>
        </w:rPr>
      </w:pPr>
    </w:p>
    <w:p>
      <w:pPr>
        <w:pStyle w:val="16"/>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pacing w:beforeLines="100" w:afterLines="100"/>
        <w:jc w:val="center"/>
        <w:rPr>
          <w:rFonts w:ascii="仿宋" w:hAnsi="仿宋" w:eastAsia="仿宋" w:cs="仿宋"/>
          <w:b/>
          <w:sz w:val="30"/>
          <w:szCs w:val="30"/>
        </w:rPr>
      </w:pPr>
      <w:r>
        <w:rPr>
          <w:rFonts w:hint="eastAsia" w:ascii="仿宋" w:hAnsi="仿宋" w:eastAsia="仿宋" w:cs="仿宋"/>
          <w:b/>
          <w:sz w:val="30"/>
          <w:szCs w:val="30"/>
        </w:rPr>
        <w:t>项目组成员名单</w:t>
      </w:r>
    </w:p>
    <w:p>
      <w:pPr>
        <w:spacing w:beforeLines="100" w:afterLines="100"/>
        <w:jc w:val="center"/>
        <w:rPr>
          <w:rFonts w:ascii="仿宋" w:hAnsi="仿宋" w:eastAsia="仿宋" w:cs="仿宋"/>
          <w:b/>
          <w:sz w:val="30"/>
          <w:szCs w:val="30"/>
        </w:rPr>
      </w:pPr>
      <w:r>
        <w:rPr>
          <w:rFonts w:hint="eastAsia" w:ascii="仿宋" w:hAnsi="仿宋" w:eastAsia="仿宋" w:cs="仿宋"/>
          <w:b/>
          <w:sz w:val="30"/>
          <w:szCs w:val="30"/>
        </w:rPr>
        <w:t>（招标编号： ）</w:t>
      </w:r>
    </w:p>
    <w:tbl>
      <w:tblPr>
        <w:tblStyle w:val="29"/>
        <w:tblpPr w:leftFromText="180" w:rightFromText="180" w:vertAnchor="text" w:horzAnchor="page" w:tblpX="1837"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6"/>
        <w:gridCol w:w="1620"/>
        <w:gridCol w:w="290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shd w:val="clear" w:color="auto" w:fill="D7D7D7"/>
            <w:vAlign w:val="center"/>
          </w:tcPr>
          <w:p>
            <w:pPr>
              <w:jc w:val="center"/>
              <w:rPr>
                <w:rFonts w:ascii="仿宋" w:hAnsi="仿宋" w:eastAsia="仿宋" w:cs="仿宋"/>
                <w:b/>
                <w:bCs/>
                <w:kern w:val="0"/>
                <w:sz w:val="30"/>
                <w:szCs w:val="30"/>
              </w:rPr>
            </w:pPr>
            <w:r>
              <w:rPr>
                <w:rFonts w:hint="eastAsia" w:ascii="仿宋" w:hAnsi="仿宋" w:eastAsia="仿宋" w:cs="仿宋"/>
                <w:b/>
                <w:bCs/>
                <w:kern w:val="0"/>
                <w:sz w:val="30"/>
                <w:szCs w:val="30"/>
              </w:rPr>
              <w:t>序号</w:t>
            </w:r>
          </w:p>
        </w:tc>
        <w:tc>
          <w:tcPr>
            <w:tcW w:w="1956" w:type="dxa"/>
            <w:shd w:val="clear" w:color="auto" w:fill="D7D7D7"/>
            <w:vAlign w:val="center"/>
          </w:tcPr>
          <w:p>
            <w:pPr>
              <w:jc w:val="center"/>
              <w:rPr>
                <w:rFonts w:ascii="仿宋" w:hAnsi="仿宋" w:eastAsia="仿宋" w:cs="仿宋"/>
                <w:b/>
                <w:bCs/>
                <w:kern w:val="0"/>
                <w:sz w:val="30"/>
                <w:szCs w:val="30"/>
              </w:rPr>
            </w:pPr>
            <w:r>
              <w:rPr>
                <w:rFonts w:hint="eastAsia" w:ascii="仿宋" w:hAnsi="仿宋" w:eastAsia="仿宋" w:cs="仿宋"/>
                <w:b/>
                <w:bCs/>
                <w:kern w:val="0"/>
                <w:sz w:val="30"/>
                <w:szCs w:val="30"/>
              </w:rPr>
              <w:t>姓名</w:t>
            </w:r>
          </w:p>
        </w:tc>
        <w:tc>
          <w:tcPr>
            <w:tcW w:w="1620" w:type="dxa"/>
            <w:shd w:val="clear" w:color="auto" w:fill="D7D7D7"/>
            <w:vAlign w:val="center"/>
          </w:tcPr>
          <w:p>
            <w:pPr>
              <w:jc w:val="center"/>
              <w:rPr>
                <w:rFonts w:ascii="仿宋" w:hAnsi="仿宋" w:eastAsia="仿宋" w:cs="仿宋"/>
                <w:b/>
                <w:bCs/>
                <w:kern w:val="0"/>
                <w:sz w:val="30"/>
                <w:szCs w:val="30"/>
              </w:rPr>
            </w:pPr>
            <w:r>
              <w:rPr>
                <w:rFonts w:hint="eastAsia" w:ascii="仿宋" w:hAnsi="仿宋" w:eastAsia="仿宋" w:cs="仿宋"/>
                <w:b/>
                <w:bCs/>
                <w:kern w:val="0"/>
                <w:sz w:val="30"/>
                <w:szCs w:val="30"/>
              </w:rPr>
              <w:t>职务</w:t>
            </w:r>
          </w:p>
        </w:tc>
        <w:tc>
          <w:tcPr>
            <w:tcW w:w="2904" w:type="dxa"/>
            <w:shd w:val="clear" w:color="auto" w:fill="D7D7D7"/>
            <w:vAlign w:val="center"/>
          </w:tcPr>
          <w:p>
            <w:pPr>
              <w:jc w:val="center"/>
              <w:rPr>
                <w:rFonts w:ascii="仿宋" w:hAnsi="仿宋" w:eastAsia="仿宋" w:cs="仿宋"/>
                <w:b/>
                <w:bCs/>
                <w:kern w:val="0"/>
                <w:sz w:val="30"/>
                <w:szCs w:val="30"/>
              </w:rPr>
            </w:pPr>
            <w:r>
              <w:rPr>
                <w:rFonts w:hint="eastAsia" w:ascii="仿宋" w:hAnsi="仿宋" w:eastAsia="仿宋" w:cs="仿宋"/>
                <w:b/>
                <w:bCs/>
                <w:kern w:val="0"/>
                <w:sz w:val="30"/>
                <w:szCs w:val="30"/>
              </w:rPr>
              <w:t>联系电话</w:t>
            </w:r>
          </w:p>
        </w:tc>
        <w:tc>
          <w:tcPr>
            <w:tcW w:w="1379" w:type="dxa"/>
            <w:shd w:val="clear" w:color="auto" w:fill="D7D7D7"/>
            <w:vAlign w:val="center"/>
          </w:tcPr>
          <w:p>
            <w:pPr>
              <w:jc w:val="center"/>
              <w:rPr>
                <w:rFonts w:ascii="仿宋" w:hAnsi="仿宋" w:eastAsia="仿宋" w:cs="仿宋"/>
                <w:b/>
                <w:bCs/>
                <w:kern w:val="0"/>
                <w:sz w:val="30"/>
                <w:szCs w:val="30"/>
              </w:rPr>
            </w:pPr>
            <w:r>
              <w:rPr>
                <w:rFonts w:hint="eastAsia" w:ascii="仿宋" w:hAnsi="仿宋" w:eastAsia="仿宋" w:cs="仿宋"/>
                <w:b/>
                <w:bCs/>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3</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4</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5</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6</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7</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8</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9</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10</w:t>
            </w:r>
          </w:p>
        </w:tc>
        <w:tc>
          <w:tcPr>
            <w:tcW w:w="1956" w:type="dxa"/>
            <w:vAlign w:val="center"/>
          </w:tcPr>
          <w:p>
            <w:pPr>
              <w:rPr>
                <w:rFonts w:ascii="仿宋" w:hAnsi="仿宋" w:eastAsia="仿宋" w:cs="仿宋"/>
                <w:sz w:val="30"/>
                <w:szCs w:val="30"/>
              </w:rPr>
            </w:pPr>
          </w:p>
        </w:tc>
        <w:tc>
          <w:tcPr>
            <w:tcW w:w="1620" w:type="dxa"/>
            <w:vAlign w:val="center"/>
          </w:tcPr>
          <w:p>
            <w:pPr>
              <w:rPr>
                <w:rFonts w:ascii="仿宋" w:hAnsi="仿宋" w:eastAsia="仿宋" w:cs="仿宋"/>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11</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12</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13</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14</w:t>
            </w:r>
          </w:p>
        </w:tc>
        <w:tc>
          <w:tcPr>
            <w:tcW w:w="1956" w:type="dxa"/>
            <w:vAlign w:val="center"/>
          </w:tcPr>
          <w:p>
            <w:pPr>
              <w:rPr>
                <w:rFonts w:ascii="仿宋" w:hAnsi="仿宋" w:eastAsia="仿宋" w:cs="仿宋"/>
                <w:kern w:val="0"/>
                <w:sz w:val="30"/>
                <w:szCs w:val="30"/>
              </w:rPr>
            </w:pPr>
          </w:p>
        </w:tc>
        <w:tc>
          <w:tcPr>
            <w:tcW w:w="1620" w:type="dxa"/>
            <w:vAlign w:val="center"/>
          </w:tcPr>
          <w:p>
            <w:pPr>
              <w:rPr>
                <w:rFonts w:ascii="仿宋" w:hAnsi="仿宋" w:eastAsia="仿宋" w:cs="仿宋"/>
                <w:kern w:val="0"/>
                <w:sz w:val="30"/>
                <w:szCs w:val="30"/>
              </w:rPr>
            </w:pPr>
          </w:p>
        </w:tc>
        <w:tc>
          <w:tcPr>
            <w:tcW w:w="2904" w:type="dxa"/>
            <w:vAlign w:val="center"/>
          </w:tcPr>
          <w:p>
            <w:pPr>
              <w:rPr>
                <w:rFonts w:ascii="仿宋" w:hAnsi="仿宋" w:eastAsia="仿宋" w:cs="仿宋"/>
                <w:kern w:val="0"/>
                <w:sz w:val="30"/>
                <w:szCs w:val="30"/>
              </w:rPr>
            </w:pPr>
          </w:p>
        </w:tc>
        <w:tc>
          <w:tcPr>
            <w:tcW w:w="1379" w:type="dxa"/>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8" w:type="dxa"/>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15</w:t>
            </w:r>
          </w:p>
        </w:tc>
        <w:tc>
          <w:tcPr>
            <w:tcW w:w="1956" w:type="dxa"/>
            <w:tcBorders>
              <w:bottom w:val="single" w:color="auto" w:sz="4" w:space="0"/>
            </w:tcBorders>
            <w:vAlign w:val="center"/>
          </w:tcPr>
          <w:p>
            <w:pPr>
              <w:rPr>
                <w:rFonts w:ascii="仿宋" w:hAnsi="仿宋" w:eastAsia="仿宋" w:cs="仿宋"/>
                <w:kern w:val="0"/>
                <w:sz w:val="30"/>
                <w:szCs w:val="30"/>
              </w:rPr>
            </w:pPr>
          </w:p>
        </w:tc>
        <w:tc>
          <w:tcPr>
            <w:tcW w:w="1620" w:type="dxa"/>
            <w:tcBorders>
              <w:bottom w:val="single" w:color="auto" w:sz="4" w:space="0"/>
            </w:tcBorders>
            <w:vAlign w:val="center"/>
          </w:tcPr>
          <w:p>
            <w:pPr>
              <w:rPr>
                <w:rFonts w:ascii="仿宋" w:hAnsi="仿宋" w:eastAsia="仿宋" w:cs="仿宋"/>
                <w:kern w:val="0"/>
                <w:sz w:val="30"/>
                <w:szCs w:val="30"/>
              </w:rPr>
            </w:pPr>
          </w:p>
        </w:tc>
        <w:tc>
          <w:tcPr>
            <w:tcW w:w="2904" w:type="dxa"/>
            <w:tcBorders>
              <w:bottom w:val="single" w:color="auto" w:sz="4" w:space="0"/>
            </w:tcBorders>
            <w:vAlign w:val="center"/>
          </w:tcPr>
          <w:p>
            <w:pPr>
              <w:rPr>
                <w:rFonts w:ascii="仿宋" w:hAnsi="仿宋" w:eastAsia="仿宋" w:cs="仿宋"/>
                <w:kern w:val="0"/>
                <w:sz w:val="30"/>
                <w:szCs w:val="30"/>
              </w:rPr>
            </w:pPr>
          </w:p>
        </w:tc>
        <w:tc>
          <w:tcPr>
            <w:tcW w:w="1379" w:type="dxa"/>
            <w:tcBorders>
              <w:bottom w:val="single" w:color="auto" w:sz="4" w:space="0"/>
            </w:tcBorders>
            <w:vAlign w:val="center"/>
          </w:tcPr>
          <w:p>
            <w:pPr>
              <w:rPr>
                <w:rFonts w:ascii="仿宋" w:hAnsi="仿宋" w:eastAsia="仿宋" w:cs="仿宋"/>
                <w:kern w:val="0"/>
                <w:sz w:val="30"/>
                <w:szCs w:val="30"/>
              </w:rPr>
            </w:pPr>
          </w:p>
        </w:tc>
      </w:tr>
    </w:tbl>
    <w:p>
      <w:pPr>
        <w:spacing w:beforeLines="100" w:afterLines="100"/>
        <w:jc w:val="right"/>
        <w:rPr>
          <w:rFonts w:ascii="仿宋" w:hAnsi="仿宋" w:eastAsia="仿宋" w:cs="仿宋"/>
          <w:sz w:val="30"/>
          <w:szCs w:val="30"/>
        </w:rPr>
      </w:pPr>
      <w:r>
        <w:rPr>
          <w:rFonts w:hint="eastAsia" w:ascii="仿宋" w:hAnsi="仿宋" w:eastAsia="仿宋" w:cs="仿宋"/>
          <w:sz w:val="30"/>
          <w:szCs w:val="30"/>
        </w:rPr>
        <w:t xml:space="preserve">                            </w:t>
      </w:r>
    </w:p>
    <w:p>
      <w:pPr>
        <w:spacing w:beforeLines="100" w:afterLines="100"/>
        <w:jc w:val="center"/>
        <w:rPr>
          <w:rFonts w:ascii="仿宋" w:hAnsi="仿宋" w:eastAsia="仿宋" w:cs="仿宋"/>
          <w:sz w:val="30"/>
          <w:szCs w:val="30"/>
        </w:rPr>
      </w:pPr>
      <w:r>
        <w:rPr>
          <w:rFonts w:hint="eastAsia" w:ascii="仿宋" w:hAnsi="仿宋" w:eastAsia="仿宋" w:cs="仿宋"/>
          <w:sz w:val="30"/>
          <w:szCs w:val="30"/>
        </w:rPr>
        <w:t xml:space="preserve">                                （签章）</w:t>
      </w:r>
    </w:p>
    <w:p>
      <w:pPr>
        <w:spacing w:beforeLines="100" w:afterLines="100"/>
        <w:jc w:val="center"/>
        <w:rPr>
          <w:rFonts w:ascii="仿宋" w:hAnsi="仿宋" w:eastAsia="仿宋" w:cs="仿宋"/>
          <w:sz w:val="30"/>
          <w:szCs w:val="30"/>
        </w:rPr>
      </w:pPr>
      <w:r>
        <w:rPr>
          <w:rFonts w:hint="eastAsia" w:ascii="仿宋" w:hAnsi="仿宋" w:eastAsia="仿宋" w:cs="仿宋"/>
          <w:sz w:val="30"/>
          <w:szCs w:val="30"/>
        </w:rPr>
        <w:t xml:space="preserve">             日期：</w:t>
      </w:r>
      <w:r>
        <w:rPr>
          <w:rFonts w:hint="eastAsia" w:ascii="仿宋" w:hAnsi="仿宋" w:eastAsia="仿宋" w:cs="仿宋"/>
          <w:sz w:val="30"/>
          <w:szCs w:val="30"/>
          <w:u w:val="single"/>
        </w:rPr>
        <w:t xml:space="preserve">                     </w:t>
      </w:r>
    </w:p>
    <w:p>
      <w:pPr>
        <w:pStyle w:val="2"/>
        <w:ind w:firstLine="344"/>
        <w:sectPr>
          <w:footerReference r:id="rId10" w:type="first"/>
          <w:headerReference r:id="rId7" w:type="default"/>
          <w:footerReference r:id="rId8" w:type="default"/>
          <w:footerReference r:id="rId9" w:type="even"/>
          <w:pgSz w:w="11906" w:h="16838"/>
          <w:pgMar w:top="1418" w:right="1247" w:bottom="1418" w:left="1418" w:header="851" w:footer="992" w:gutter="0"/>
          <w:cols w:space="720" w:num="1"/>
          <w:docGrid w:type="lines" w:linePitch="312" w:charSpace="0"/>
        </w:sectPr>
      </w:pPr>
    </w:p>
    <w:p>
      <w:pPr>
        <w:snapToGrid w:val="0"/>
        <w:spacing w:before="50"/>
        <w:jc w:val="left"/>
        <w:rPr>
          <w:rFonts w:ascii="宋体" w:hAnsi="宋体"/>
          <w:sz w:val="28"/>
          <w:szCs w:val="28"/>
        </w:rPr>
      </w:pP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14"/>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14"/>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29"/>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9"/>
        <w:snapToGrid w:val="0"/>
        <w:spacing w:line="360" w:lineRule="auto"/>
        <w:ind w:left="5250"/>
        <w:rPr>
          <w:rFonts w:ascii="宋体" w:hAnsi="宋体" w:eastAsia="宋体"/>
          <w:sz w:val="28"/>
          <w:szCs w:val="28"/>
        </w:rPr>
      </w:pPr>
    </w:p>
    <w:p>
      <w:pPr>
        <w:pStyle w:val="19"/>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9"/>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25"/>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29"/>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18"/>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14"/>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2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26"/>
        <w:spacing w:before="0" w:beforeAutospacing="0" w:after="0" w:afterAutospacing="0" w:line="560" w:lineRule="exact"/>
        <w:ind w:right="685"/>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pPr>
    </w:p>
    <w:p>
      <w:pPr>
        <w:pStyle w:val="18"/>
        <w:adjustRightInd w:val="0"/>
        <w:snapToGrid w:val="0"/>
        <w:spacing w:before="156" w:after="156" w:line="460" w:lineRule="exact"/>
      </w:pPr>
    </w:p>
    <w:p>
      <w:pPr>
        <w:pStyle w:val="18"/>
        <w:adjustRightInd w:val="0"/>
        <w:snapToGrid w:val="0"/>
        <w:spacing w:before="156" w:after="156" w:line="460" w:lineRule="exact"/>
      </w:pPr>
    </w:p>
    <w:p>
      <w:pPr>
        <w:pStyle w:val="18"/>
        <w:adjustRightInd w:val="0"/>
        <w:snapToGrid w:val="0"/>
        <w:spacing w:before="156" w:after="156" w:line="460" w:lineRule="exact"/>
      </w:pPr>
    </w:p>
    <w:p>
      <w:pPr>
        <w:pStyle w:val="18"/>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26" w:name="OLE_LINK13"/>
      <w:bookmarkStart w:id="27" w:name="OLE_LINK14"/>
      <w:r>
        <w:rPr>
          <w:rFonts w:hint="eastAsia" w:ascii="宋体" w:hAnsi="宋体"/>
          <w:b/>
          <w:spacing w:val="6"/>
          <w:sz w:val="28"/>
          <w:szCs w:val="28"/>
        </w:rPr>
        <w:t>残疾人福利性单位声明函</w:t>
      </w:r>
      <w:bookmarkEnd w:id="26"/>
      <w:bookmarkEnd w:id="27"/>
    </w:p>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511" w:firstLineChars="213"/>
        <w:jc w:val="center"/>
      </w:pPr>
    </w:p>
    <w:p>
      <w:pPr>
        <w:pStyle w:val="18"/>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eastAsia" w:ascii="方正小标宋简体" w:hAnsi="宋体" w:eastAsia="方正小标宋简体"/>
          <w:sz w:val="28"/>
          <w:szCs w:val="28"/>
          <w:lang w:eastAsia="zh-CN"/>
        </w:rPr>
      </w:pPr>
      <w:r>
        <w:rPr>
          <w:rFonts w:hint="eastAsia" w:ascii="方正小标宋简体" w:hAnsi="宋体" w:eastAsia="方正小标宋简体"/>
          <w:sz w:val="28"/>
          <w:szCs w:val="28"/>
          <w:lang w:eastAsia="zh-CN"/>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29"/>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26"/>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61092936</w:t>
            </w:r>
          </w:p>
          <w:p>
            <w:pPr>
              <w:jc w:val="center"/>
              <w:rPr>
                <w:rFonts w:hint="eastAsia"/>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DejaVu Sans">
    <w:altName w:val="Times New Roman"/>
    <w:panose1 w:val="00000000000000000000"/>
    <w:charset w:val="00"/>
    <w:family w:val="roman"/>
    <w:pitch w:val="default"/>
    <w:sig w:usb0="00000000" w:usb1="00000000" w:usb2="00000008"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方正书宋_GBK">
    <w:altName w:val="微软雅黑"/>
    <w:panose1 w:val="00000000000000000000"/>
    <w:charset w:val="86"/>
    <w:family w:val="auto"/>
    <w:pitch w:val="default"/>
    <w:sig w:usb0="00000000" w:usb1="00000000" w:usb2="00082016" w:usb3="00000000" w:csb0="00040001" w:csb1="00000000"/>
  </w:font>
  <w:font w:name="华文黑体">
    <w:altName w:val="黑体"/>
    <w:panose1 w:val="00000000000000000000"/>
    <w:charset w:val="86"/>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separate"/>
    </w:r>
    <w:r>
      <w:rPr>
        <w:rStyle w:val="32"/>
      </w:rPr>
      <w:t>17</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separate"/>
    </w:r>
    <w:r>
      <w:rPr>
        <w:rStyle w:val="32"/>
      </w:rPr>
      <w:t>80</w:t>
    </w:r>
    <w:r>
      <w:fldChar w:fldCharType="end"/>
    </w:r>
  </w:p>
  <w:p>
    <w:pPr>
      <w:pStyle w:val="2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1">
    <w:nsid w:val="2B7676BD"/>
    <w:multiLevelType w:val="multilevel"/>
    <w:tmpl w:val="2B7676BD"/>
    <w:lvl w:ilvl="0" w:tentative="0">
      <w:start w:val="1"/>
      <w:numFmt w:val="decimal"/>
      <w:pStyle w:val="65"/>
      <w:suff w:val="nothing"/>
      <w:lvlText w:val="图%1："/>
      <w:lvlJc w:val="left"/>
      <w:pPr>
        <w:ind w:left="0" w:firstLine="0"/>
      </w:pPr>
      <w:rPr>
        <w:rFonts w:hint="eastAsia"/>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30719B5"/>
    <w:multiLevelType w:val="multilevel"/>
    <w:tmpl w:val="730719B5"/>
    <w:lvl w:ilvl="0" w:tentative="0">
      <w:start w:val="1"/>
      <w:numFmt w:val="decimal"/>
      <w:suff w:val="space"/>
      <w:lvlText w:val="第%1章"/>
      <w:lvlJc w:val="center"/>
      <w:pPr>
        <w:ind w:left="0" w:firstLine="2410"/>
      </w:pPr>
      <w:rPr>
        <w:rFonts w:hint="eastAsia" w:ascii="黑体" w:eastAsia="黑体"/>
        <w:b w:val="0"/>
        <w:i w:val="0"/>
      </w:rPr>
    </w:lvl>
    <w:lvl w:ilvl="1" w:tentative="0">
      <w:start w:val="1"/>
      <w:numFmt w:val="decimal"/>
      <w:pStyle w:val="61"/>
      <w:suff w:val="space"/>
      <w:lvlText w:val="%1.%2"/>
      <w:lvlJc w:val="left"/>
      <w:pPr>
        <w:ind w:left="426" w:firstLine="0"/>
      </w:pPr>
      <w:rPr>
        <w:rFonts w:hint="eastAsia" w:eastAsia="宋体" w:asciiTheme="minorEastAsia" w:hAnsiTheme="minorEastAsia"/>
        <w:b/>
        <w:i w:val="0"/>
      </w:rPr>
    </w:lvl>
    <w:lvl w:ilvl="2" w:tentative="0">
      <w:start w:val="1"/>
      <w:numFmt w:val="decimal"/>
      <w:pStyle w:val="62"/>
      <w:suff w:val="space"/>
      <w:lvlText w:val="%1.%2.%3"/>
      <w:lvlJc w:val="left"/>
      <w:pPr>
        <w:ind w:left="0" w:firstLine="0"/>
      </w:pPr>
      <w:rPr>
        <w:rFonts w:hint="eastAsia" w:ascii="黑体" w:eastAsia="黑体"/>
        <w:b w:val="0"/>
        <w:i w:val="0"/>
      </w:rPr>
    </w:lvl>
    <w:lvl w:ilvl="3" w:tentative="0">
      <w:start w:val="1"/>
      <w:numFmt w:val="decimal"/>
      <w:suff w:val="space"/>
      <w:lvlText w:val="%1.%2.%3.%4"/>
      <w:lvlJc w:val="left"/>
      <w:pPr>
        <w:ind w:left="0" w:firstLine="0"/>
      </w:pPr>
      <w:rPr>
        <w:rFonts w:hint="eastAsia" w:ascii="黑体" w:eastAsia="黑体"/>
        <w:b w:val="0"/>
        <w:i w:val="0"/>
      </w:rPr>
    </w:lvl>
    <w:lvl w:ilvl="4" w:tentative="0">
      <w:start w:val="1"/>
      <w:numFmt w:val="decimal"/>
      <w:suff w:val="space"/>
      <w:lvlText w:val="%1.%2.%3.%4.%5"/>
      <w:lvlJc w:val="left"/>
      <w:pPr>
        <w:ind w:left="0" w:firstLine="0"/>
      </w:pPr>
      <w:rPr>
        <w:rFonts w:hint="eastAsia" w:ascii="黑体" w:eastAsia="黑体"/>
        <w:b w:val="0"/>
        <w:i w:val="0"/>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485275"/>
    <w:rsid w:val="00044E1F"/>
    <w:rsid w:val="000910F8"/>
    <w:rsid w:val="000E3D76"/>
    <w:rsid w:val="000E68BE"/>
    <w:rsid w:val="000F5C04"/>
    <w:rsid w:val="00121C6E"/>
    <w:rsid w:val="0013070F"/>
    <w:rsid w:val="00130FC2"/>
    <w:rsid w:val="00154992"/>
    <w:rsid w:val="00156384"/>
    <w:rsid w:val="00163AA8"/>
    <w:rsid w:val="001B463A"/>
    <w:rsid w:val="001E365B"/>
    <w:rsid w:val="001F6346"/>
    <w:rsid w:val="00202217"/>
    <w:rsid w:val="0020714F"/>
    <w:rsid w:val="00225D00"/>
    <w:rsid w:val="002A2B74"/>
    <w:rsid w:val="002B6DE0"/>
    <w:rsid w:val="002D425E"/>
    <w:rsid w:val="002F13A3"/>
    <w:rsid w:val="002F408E"/>
    <w:rsid w:val="00311934"/>
    <w:rsid w:val="00337D88"/>
    <w:rsid w:val="00490809"/>
    <w:rsid w:val="00521F43"/>
    <w:rsid w:val="00581002"/>
    <w:rsid w:val="005B0EB8"/>
    <w:rsid w:val="005D4D8F"/>
    <w:rsid w:val="005E373C"/>
    <w:rsid w:val="005F30EE"/>
    <w:rsid w:val="00643054"/>
    <w:rsid w:val="00693A11"/>
    <w:rsid w:val="00693AA2"/>
    <w:rsid w:val="006B0070"/>
    <w:rsid w:val="006B3EB0"/>
    <w:rsid w:val="007A6C62"/>
    <w:rsid w:val="007F2535"/>
    <w:rsid w:val="00801FF6"/>
    <w:rsid w:val="00865A82"/>
    <w:rsid w:val="00882442"/>
    <w:rsid w:val="008A0FE7"/>
    <w:rsid w:val="008C19E9"/>
    <w:rsid w:val="009A1B0B"/>
    <w:rsid w:val="009C6A00"/>
    <w:rsid w:val="009F0575"/>
    <w:rsid w:val="00A6555F"/>
    <w:rsid w:val="00A65FA1"/>
    <w:rsid w:val="00AF387A"/>
    <w:rsid w:val="00B04415"/>
    <w:rsid w:val="00B44FE4"/>
    <w:rsid w:val="00B838F3"/>
    <w:rsid w:val="00BB78BB"/>
    <w:rsid w:val="00BC584D"/>
    <w:rsid w:val="00C101ED"/>
    <w:rsid w:val="00C32EFC"/>
    <w:rsid w:val="00C950DA"/>
    <w:rsid w:val="00CB6D14"/>
    <w:rsid w:val="00CC5A85"/>
    <w:rsid w:val="00CE1845"/>
    <w:rsid w:val="00D93384"/>
    <w:rsid w:val="00F24BC9"/>
    <w:rsid w:val="00F53ADB"/>
    <w:rsid w:val="00F72C18"/>
    <w:rsid w:val="00F814CE"/>
    <w:rsid w:val="00FB1827"/>
    <w:rsid w:val="00FB294B"/>
    <w:rsid w:val="00FD1562"/>
    <w:rsid w:val="00FE44F0"/>
    <w:rsid w:val="06906E0C"/>
    <w:rsid w:val="09D42946"/>
    <w:rsid w:val="15D6585D"/>
    <w:rsid w:val="16485275"/>
    <w:rsid w:val="1674D579"/>
    <w:rsid w:val="1BFAC747"/>
    <w:rsid w:val="26861B66"/>
    <w:rsid w:val="27E623BD"/>
    <w:rsid w:val="39A67E06"/>
    <w:rsid w:val="3E3F0EFA"/>
    <w:rsid w:val="3E4E4246"/>
    <w:rsid w:val="3FFDF451"/>
    <w:rsid w:val="424E7816"/>
    <w:rsid w:val="437C7C43"/>
    <w:rsid w:val="45062ACF"/>
    <w:rsid w:val="4C101269"/>
    <w:rsid w:val="4C58497F"/>
    <w:rsid w:val="4DBC593A"/>
    <w:rsid w:val="50A54296"/>
    <w:rsid w:val="53FF1F90"/>
    <w:rsid w:val="58865529"/>
    <w:rsid w:val="58913C40"/>
    <w:rsid w:val="5B273681"/>
    <w:rsid w:val="5BF20288"/>
    <w:rsid w:val="5C4D6E9E"/>
    <w:rsid w:val="5FFE641B"/>
    <w:rsid w:val="62636D51"/>
    <w:rsid w:val="65303A9F"/>
    <w:rsid w:val="678012E8"/>
    <w:rsid w:val="683F0B53"/>
    <w:rsid w:val="68B56984"/>
    <w:rsid w:val="68EA3463"/>
    <w:rsid w:val="6BA90D70"/>
    <w:rsid w:val="72F505B5"/>
    <w:rsid w:val="739B6D63"/>
    <w:rsid w:val="76010344"/>
    <w:rsid w:val="77CC2813"/>
    <w:rsid w:val="7F9FF18C"/>
    <w:rsid w:val="A3BF1CAD"/>
    <w:rsid w:val="B2FD60C7"/>
    <w:rsid w:val="BDD54B35"/>
    <w:rsid w:val="CBEBC285"/>
    <w:rsid w:val="EFD3DD12"/>
    <w:rsid w:val="FD227476"/>
    <w:rsid w:val="FFB79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3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1"/>
    <w:unhideWhenUsed/>
    <w:qFormat/>
    <w:uiPriority w:val="0"/>
    <w:pPr>
      <w:keepNext/>
      <w:keepLines/>
      <w:spacing w:before="260" w:after="260" w:line="413" w:lineRule="auto"/>
      <w:ind w:left="720" w:hanging="720"/>
      <w:outlineLvl w:val="2"/>
    </w:pPr>
    <w:rPr>
      <w:rFonts w:asciiTheme="minorHAnsi" w:hAnsiTheme="minorHAnsi" w:eastAsiaTheme="minorEastAsia" w:cstheme="minorBidi"/>
      <w:b/>
      <w:sz w:val="32"/>
    </w:rPr>
  </w:style>
  <w:style w:type="paragraph" w:styleId="7">
    <w:name w:val="heading 4"/>
    <w:basedOn w:val="1"/>
    <w:next w:val="1"/>
    <w:link w:val="42"/>
    <w:unhideWhenUsed/>
    <w:qFormat/>
    <w:uiPriority w:val="0"/>
    <w:pPr>
      <w:keepNext/>
      <w:keepLines/>
      <w:spacing w:before="280" w:after="290" w:line="372" w:lineRule="auto"/>
      <w:ind w:left="864" w:hanging="864"/>
      <w:outlineLvl w:val="3"/>
    </w:pPr>
    <w:rPr>
      <w:rFonts w:ascii="DejaVu Sans" w:hAnsi="DejaVu Sans" w:eastAsiaTheme="minorEastAsia" w:cstheme="minorBidi"/>
      <w:b/>
      <w:sz w:val="28"/>
    </w:rPr>
  </w:style>
  <w:style w:type="paragraph" w:styleId="8">
    <w:name w:val="heading 5"/>
    <w:basedOn w:val="1"/>
    <w:next w:val="9"/>
    <w:link w:val="43"/>
    <w:unhideWhenUsed/>
    <w:qFormat/>
    <w:uiPriority w:val="0"/>
    <w:pPr>
      <w:keepNext/>
      <w:keepLines/>
      <w:spacing w:before="280" w:after="290" w:line="372" w:lineRule="auto"/>
      <w:ind w:left="1008" w:hanging="1008"/>
      <w:outlineLvl w:val="4"/>
    </w:pPr>
    <w:rPr>
      <w:rFonts w:asciiTheme="minorHAnsi" w:hAnsiTheme="minorHAnsi" w:eastAsiaTheme="minorEastAsia" w:cstheme="minorBidi"/>
      <w:b/>
      <w:sz w:val="28"/>
    </w:rPr>
  </w:style>
  <w:style w:type="paragraph" w:styleId="10">
    <w:name w:val="heading 6"/>
    <w:basedOn w:val="1"/>
    <w:next w:val="1"/>
    <w:link w:val="44"/>
    <w:unhideWhenUsed/>
    <w:qFormat/>
    <w:uiPriority w:val="0"/>
    <w:pPr>
      <w:keepNext/>
      <w:keepLines/>
      <w:spacing w:before="240" w:after="64" w:line="317" w:lineRule="auto"/>
      <w:ind w:left="1151" w:hanging="1151"/>
      <w:outlineLvl w:val="5"/>
    </w:pPr>
    <w:rPr>
      <w:rFonts w:ascii="Arial" w:hAnsi="Arial" w:eastAsia="黑体" w:cstheme="minorBidi"/>
      <w:b/>
      <w:sz w:val="24"/>
    </w:rPr>
  </w:style>
  <w:style w:type="paragraph" w:styleId="11">
    <w:name w:val="heading 7"/>
    <w:basedOn w:val="1"/>
    <w:next w:val="1"/>
    <w:link w:val="45"/>
    <w:unhideWhenUsed/>
    <w:qFormat/>
    <w:uiPriority w:val="0"/>
    <w:pPr>
      <w:keepNext/>
      <w:keepLines/>
      <w:spacing w:before="240" w:after="64" w:line="317" w:lineRule="auto"/>
      <w:ind w:left="1296" w:hanging="1296"/>
      <w:outlineLvl w:val="6"/>
    </w:pPr>
    <w:rPr>
      <w:rFonts w:asciiTheme="minorHAnsi" w:hAnsiTheme="minorHAnsi" w:eastAsiaTheme="minorEastAsia" w:cstheme="minorBidi"/>
      <w:b/>
      <w:sz w:val="24"/>
    </w:rPr>
  </w:style>
  <w:style w:type="paragraph" w:styleId="12">
    <w:name w:val="heading 8"/>
    <w:basedOn w:val="1"/>
    <w:next w:val="1"/>
    <w:link w:val="46"/>
    <w:unhideWhenUsed/>
    <w:qFormat/>
    <w:uiPriority w:val="0"/>
    <w:pPr>
      <w:keepNext/>
      <w:keepLines/>
      <w:spacing w:before="240" w:after="64" w:line="317" w:lineRule="auto"/>
      <w:ind w:left="1440" w:hanging="1440"/>
      <w:outlineLvl w:val="7"/>
    </w:pPr>
    <w:rPr>
      <w:rFonts w:ascii="Arial" w:hAnsi="Arial" w:eastAsia="黑体" w:cstheme="minorBidi"/>
      <w:sz w:val="24"/>
    </w:rPr>
  </w:style>
  <w:style w:type="paragraph" w:styleId="13">
    <w:name w:val="heading 9"/>
    <w:basedOn w:val="1"/>
    <w:next w:val="1"/>
    <w:link w:val="47"/>
    <w:unhideWhenUsed/>
    <w:qFormat/>
    <w:uiPriority w:val="0"/>
    <w:pPr>
      <w:keepNext/>
      <w:keepLines/>
      <w:spacing w:before="240" w:after="64" w:line="317" w:lineRule="auto"/>
      <w:ind w:left="1583" w:hanging="1583"/>
      <w:outlineLvl w:val="8"/>
    </w:pPr>
    <w:rPr>
      <w:rFonts w:ascii="Arial" w:hAnsi="Arial" w:eastAsia="黑体" w:cstheme="minorBidi"/>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9">
    <w:name w:val="Normal Indent"/>
    <w:basedOn w:val="1"/>
    <w:qFormat/>
    <w:uiPriority w:val="0"/>
    <w:pPr>
      <w:ind w:firstLine="420"/>
    </w:pPr>
    <w:rPr>
      <w:szCs w:val="20"/>
    </w:rPr>
  </w:style>
  <w:style w:type="paragraph" w:styleId="14">
    <w:name w:val="caption"/>
    <w:basedOn w:val="1"/>
    <w:next w:val="1"/>
    <w:qFormat/>
    <w:uiPriority w:val="35"/>
    <w:pPr>
      <w:spacing w:before="152" w:after="160"/>
    </w:pPr>
    <w:rPr>
      <w:rFonts w:ascii="Arial" w:hAnsi="Arial" w:eastAsia="黑体"/>
      <w:sz w:val="20"/>
      <w:szCs w:val="20"/>
    </w:rPr>
  </w:style>
  <w:style w:type="paragraph" w:styleId="15">
    <w:name w:val="annotation text"/>
    <w:basedOn w:val="1"/>
    <w:link w:val="48"/>
    <w:qFormat/>
    <w:uiPriority w:val="0"/>
    <w:pPr>
      <w:jc w:val="left"/>
    </w:pPr>
    <w:rPr>
      <w:rFonts w:asciiTheme="minorHAnsi" w:hAnsiTheme="minorHAnsi" w:eastAsiaTheme="minorEastAsia" w:cstheme="minorBidi"/>
    </w:rPr>
  </w:style>
  <w:style w:type="paragraph" w:styleId="16">
    <w:name w:val="Body Text 3"/>
    <w:basedOn w:val="1"/>
    <w:qFormat/>
    <w:uiPriority w:val="0"/>
    <w:pPr>
      <w:snapToGrid w:val="0"/>
      <w:spacing w:before="50" w:after="50"/>
    </w:pPr>
  </w:style>
  <w:style w:type="paragraph" w:styleId="17">
    <w:name w:val="Body Text"/>
    <w:basedOn w:val="1"/>
    <w:link w:val="40"/>
    <w:qFormat/>
    <w:uiPriority w:val="0"/>
    <w:pPr>
      <w:spacing w:after="120"/>
    </w:pPr>
  </w:style>
  <w:style w:type="paragraph" w:styleId="18">
    <w:name w:val="Plain Text"/>
    <w:basedOn w:val="1"/>
    <w:link w:val="72"/>
    <w:qFormat/>
    <w:uiPriority w:val="0"/>
    <w:pPr>
      <w:spacing w:beforeLines="50" w:afterLines="50" w:line="400" w:lineRule="exact"/>
    </w:pPr>
    <w:rPr>
      <w:rFonts w:ascii="宋体" w:hAnsi="Courier New"/>
      <w:sz w:val="24"/>
    </w:rPr>
  </w:style>
  <w:style w:type="paragraph" w:styleId="19">
    <w:name w:val="Date"/>
    <w:basedOn w:val="1"/>
    <w:next w:val="1"/>
    <w:qFormat/>
    <w:uiPriority w:val="99"/>
    <w:pPr>
      <w:ind w:left="2500" w:leftChars="2500"/>
    </w:pPr>
    <w:rPr>
      <w:rFonts w:eastAsia="楷体_GB2312"/>
      <w:sz w:val="32"/>
      <w:szCs w:val="20"/>
    </w:rPr>
  </w:style>
  <w:style w:type="paragraph" w:styleId="20">
    <w:name w:val="Body Text Indent 2"/>
    <w:basedOn w:val="1"/>
    <w:link w:val="49"/>
    <w:qFormat/>
    <w:uiPriority w:val="0"/>
    <w:pPr>
      <w:widowControl/>
      <w:spacing w:line="480" w:lineRule="atLeast"/>
      <w:ind w:firstLine="480"/>
    </w:pPr>
    <w:rPr>
      <w:rFonts w:ascii="宋体" w:hAnsiTheme="minorHAnsi" w:eastAsiaTheme="minorEastAsia" w:cstheme="minorBidi"/>
      <w:kern w:val="0"/>
      <w:sz w:val="24"/>
      <w:szCs w:val="20"/>
    </w:rPr>
  </w:style>
  <w:style w:type="paragraph" w:styleId="21">
    <w:name w:val="Balloon Text"/>
    <w:basedOn w:val="1"/>
    <w:link w:val="50"/>
    <w:qFormat/>
    <w:uiPriority w:val="0"/>
    <w:rPr>
      <w:rFonts w:ascii="宋体" w:hAnsiTheme="minorHAnsi" w:cstheme="minorBidi"/>
      <w:sz w:val="18"/>
      <w:szCs w:val="18"/>
    </w:rPr>
  </w:style>
  <w:style w:type="paragraph" w:styleId="22">
    <w:name w:val="footer"/>
    <w:basedOn w:val="1"/>
    <w:link w:val="59"/>
    <w:qFormat/>
    <w:uiPriority w:val="99"/>
    <w:pPr>
      <w:tabs>
        <w:tab w:val="center" w:pos="4153"/>
        <w:tab w:val="right" w:pos="8306"/>
      </w:tabs>
      <w:snapToGrid w:val="0"/>
      <w:jc w:val="left"/>
    </w:pPr>
    <w:rPr>
      <w:sz w:val="18"/>
      <w:szCs w:val="18"/>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51"/>
    <w:qFormat/>
    <w:uiPriority w:val="0"/>
    <w:pPr>
      <w:autoSpaceDE w:val="0"/>
      <w:autoSpaceDN w:val="0"/>
      <w:spacing w:line="400" w:lineRule="atLeast"/>
      <w:ind w:firstLine="443" w:firstLineChars="200"/>
      <w:textAlignment w:val="bottom"/>
    </w:pPr>
    <w:rPr>
      <w:rFonts w:eastAsia="黑体" w:asciiTheme="minorHAnsi" w:hAnsiTheme="minorHAnsi" w:cstheme="minorBidi"/>
      <w:color w:val="000000"/>
      <w:sz w:val="24"/>
    </w:rPr>
  </w:style>
  <w:style w:type="paragraph" w:styleId="25">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annotation subject"/>
    <w:basedOn w:val="15"/>
    <w:next w:val="15"/>
    <w:link w:val="52"/>
    <w:qFormat/>
    <w:uiPriority w:val="0"/>
    <w:rPr>
      <w:b/>
      <w:bCs/>
    </w:rPr>
  </w:style>
  <w:style w:type="paragraph" w:styleId="28">
    <w:name w:val="Body Text First Indent"/>
    <w:basedOn w:val="17"/>
    <w:link w:val="53"/>
    <w:qFormat/>
    <w:uiPriority w:val="0"/>
    <w:pPr>
      <w:ind w:firstLine="420" w:firstLineChars="100"/>
    </w:pPr>
    <w:rPr>
      <w:rFonts w:hAnsiTheme="minorHAnsi" w:cstheme="minorBidi"/>
      <w:szCs w:val="20"/>
    </w:rPr>
  </w:style>
  <w:style w:type="table" w:styleId="30">
    <w:name w:val="Table Grid"/>
    <w:basedOn w:val="29"/>
    <w:qFormat/>
    <w:uiPriority w:val="0"/>
    <w:rPr>
      <w:rFonts w:hint="eastAsia" w:cs="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2">
    <w:name w:val="page number"/>
    <w:basedOn w:val="31"/>
    <w:qFormat/>
    <w:uiPriority w:val="0"/>
  </w:style>
  <w:style w:type="character" w:styleId="33">
    <w:name w:val="Hyperlink"/>
    <w:qFormat/>
    <w:uiPriority w:val="99"/>
    <w:rPr>
      <w:color w:val="0000FF"/>
      <w:u w:val="single"/>
    </w:rPr>
  </w:style>
  <w:style w:type="character" w:styleId="34">
    <w:name w:val="annotation reference"/>
    <w:basedOn w:val="31"/>
    <w:qFormat/>
    <w:uiPriority w:val="0"/>
    <w:rPr>
      <w:sz w:val="21"/>
      <w:szCs w:val="21"/>
    </w:rPr>
  </w:style>
  <w:style w:type="paragraph" w:customStyle="1" w:styleId="35">
    <w:name w:val="Char Char Char"/>
    <w:basedOn w:val="1"/>
    <w:qFormat/>
    <w:uiPriority w:val="0"/>
  </w:style>
  <w:style w:type="paragraph" w:customStyle="1" w:styleId="36">
    <w:name w:val="*正文"/>
    <w:basedOn w:val="1"/>
    <w:qFormat/>
    <w:uiPriority w:val="0"/>
    <w:pPr>
      <w:spacing w:line="360" w:lineRule="auto"/>
      <w:ind w:firstLine="200" w:firstLineChars="200"/>
    </w:pPr>
    <w:rPr>
      <w:rFonts w:ascii="宋体" w:hAnsi="宋体"/>
      <w:snapToGrid w:val="0"/>
      <w:kern w:val="0"/>
      <w:sz w:val="24"/>
    </w:rPr>
  </w:style>
  <w:style w:type="paragraph" w:customStyle="1" w:styleId="37">
    <w:name w:val="列出段落3"/>
    <w:basedOn w:val="1"/>
    <w:unhideWhenUsed/>
    <w:qFormat/>
    <w:uiPriority w:val="99"/>
    <w:pPr>
      <w:ind w:firstLine="420" w:firstLineChars="200"/>
    </w:pPr>
    <w:rPr>
      <w:rFonts w:ascii="Calibri" w:hAnsi="Calibri"/>
    </w:rPr>
  </w:style>
  <w:style w:type="paragraph" w:customStyle="1" w:styleId="38">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39">
    <w:name w:val="标题 2 Char"/>
    <w:basedOn w:val="31"/>
    <w:link w:val="5"/>
    <w:semiHidden/>
    <w:qFormat/>
    <w:uiPriority w:val="0"/>
    <w:rPr>
      <w:rFonts w:asciiTheme="majorHAnsi" w:hAnsiTheme="majorHAnsi" w:eastAsiaTheme="majorEastAsia" w:cstheme="majorBidi"/>
      <w:b/>
      <w:bCs/>
      <w:kern w:val="2"/>
      <w:sz w:val="32"/>
      <w:szCs w:val="32"/>
    </w:rPr>
  </w:style>
  <w:style w:type="character" w:customStyle="1" w:styleId="40">
    <w:name w:val="正文文本 Char"/>
    <w:basedOn w:val="31"/>
    <w:link w:val="17"/>
    <w:qFormat/>
    <w:uiPriority w:val="0"/>
    <w:rPr>
      <w:rFonts w:ascii="Times New Roman" w:hAnsi="Times New Roman"/>
      <w:kern w:val="2"/>
      <w:sz w:val="21"/>
      <w:szCs w:val="24"/>
    </w:rPr>
  </w:style>
  <w:style w:type="character" w:customStyle="1" w:styleId="41">
    <w:name w:val="标题 3 Char"/>
    <w:basedOn w:val="31"/>
    <w:link w:val="6"/>
    <w:qFormat/>
    <w:uiPriority w:val="0"/>
    <w:rPr>
      <w:rFonts w:asciiTheme="minorHAnsi" w:hAnsiTheme="minorHAnsi" w:eastAsiaTheme="minorEastAsia" w:cstheme="minorBidi"/>
      <w:b/>
      <w:kern w:val="2"/>
      <w:sz w:val="32"/>
      <w:szCs w:val="24"/>
    </w:rPr>
  </w:style>
  <w:style w:type="character" w:customStyle="1" w:styleId="42">
    <w:name w:val="标题 4 Char"/>
    <w:basedOn w:val="31"/>
    <w:link w:val="7"/>
    <w:qFormat/>
    <w:uiPriority w:val="0"/>
    <w:rPr>
      <w:rFonts w:ascii="DejaVu Sans" w:hAnsi="DejaVu Sans" w:eastAsiaTheme="minorEastAsia" w:cstheme="minorBidi"/>
      <w:b/>
      <w:kern w:val="2"/>
      <w:sz w:val="28"/>
      <w:szCs w:val="24"/>
    </w:rPr>
  </w:style>
  <w:style w:type="character" w:customStyle="1" w:styleId="43">
    <w:name w:val="标题 5 Char"/>
    <w:basedOn w:val="31"/>
    <w:link w:val="8"/>
    <w:qFormat/>
    <w:uiPriority w:val="0"/>
    <w:rPr>
      <w:rFonts w:asciiTheme="minorHAnsi" w:hAnsiTheme="minorHAnsi" w:eastAsiaTheme="minorEastAsia" w:cstheme="minorBidi"/>
      <w:b/>
      <w:kern w:val="2"/>
      <w:sz w:val="28"/>
      <w:szCs w:val="24"/>
    </w:rPr>
  </w:style>
  <w:style w:type="character" w:customStyle="1" w:styleId="44">
    <w:name w:val="标题 6 Char"/>
    <w:basedOn w:val="31"/>
    <w:link w:val="10"/>
    <w:qFormat/>
    <w:uiPriority w:val="0"/>
    <w:rPr>
      <w:rFonts w:ascii="Arial" w:hAnsi="Arial" w:eastAsia="黑体" w:cstheme="minorBidi"/>
      <w:b/>
      <w:kern w:val="2"/>
      <w:sz w:val="24"/>
      <w:szCs w:val="24"/>
    </w:rPr>
  </w:style>
  <w:style w:type="character" w:customStyle="1" w:styleId="45">
    <w:name w:val="标题 7 Char"/>
    <w:basedOn w:val="31"/>
    <w:link w:val="11"/>
    <w:qFormat/>
    <w:uiPriority w:val="0"/>
    <w:rPr>
      <w:rFonts w:asciiTheme="minorHAnsi" w:hAnsiTheme="minorHAnsi" w:eastAsiaTheme="minorEastAsia" w:cstheme="minorBidi"/>
      <w:b/>
      <w:kern w:val="2"/>
      <w:sz w:val="24"/>
      <w:szCs w:val="24"/>
    </w:rPr>
  </w:style>
  <w:style w:type="character" w:customStyle="1" w:styleId="46">
    <w:name w:val="标题 8 Char"/>
    <w:basedOn w:val="31"/>
    <w:link w:val="12"/>
    <w:qFormat/>
    <w:uiPriority w:val="0"/>
    <w:rPr>
      <w:rFonts w:ascii="Arial" w:hAnsi="Arial" w:eastAsia="黑体" w:cstheme="minorBidi"/>
      <w:kern w:val="2"/>
      <w:sz w:val="24"/>
      <w:szCs w:val="24"/>
    </w:rPr>
  </w:style>
  <w:style w:type="character" w:customStyle="1" w:styleId="47">
    <w:name w:val="标题 9 Char"/>
    <w:basedOn w:val="31"/>
    <w:link w:val="13"/>
    <w:qFormat/>
    <w:uiPriority w:val="0"/>
    <w:rPr>
      <w:rFonts w:ascii="Arial" w:hAnsi="Arial" w:eastAsia="黑体" w:cstheme="minorBidi"/>
      <w:kern w:val="2"/>
      <w:sz w:val="21"/>
      <w:szCs w:val="24"/>
    </w:rPr>
  </w:style>
  <w:style w:type="character" w:customStyle="1" w:styleId="48">
    <w:name w:val="批注文字 Char"/>
    <w:basedOn w:val="31"/>
    <w:link w:val="15"/>
    <w:qFormat/>
    <w:uiPriority w:val="0"/>
    <w:rPr>
      <w:rFonts w:asciiTheme="minorHAnsi" w:hAnsiTheme="minorHAnsi" w:eastAsiaTheme="minorEastAsia" w:cstheme="minorBidi"/>
      <w:kern w:val="2"/>
      <w:sz w:val="21"/>
      <w:szCs w:val="24"/>
    </w:rPr>
  </w:style>
  <w:style w:type="character" w:customStyle="1" w:styleId="49">
    <w:name w:val="正文文本缩进 2 Char"/>
    <w:basedOn w:val="31"/>
    <w:link w:val="20"/>
    <w:qFormat/>
    <w:uiPriority w:val="0"/>
    <w:rPr>
      <w:rFonts w:ascii="宋体" w:hAnsiTheme="minorHAnsi" w:eastAsiaTheme="minorEastAsia" w:cstheme="minorBidi"/>
      <w:sz w:val="24"/>
    </w:rPr>
  </w:style>
  <w:style w:type="character" w:customStyle="1" w:styleId="50">
    <w:name w:val="批注框文本 Char"/>
    <w:basedOn w:val="31"/>
    <w:link w:val="21"/>
    <w:qFormat/>
    <w:uiPriority w:val="0"/>
    <w:rPr>
      <w:rFonts w:ascii="宋体" w:hAnsiTheme="minorHAnsi" w:cstheme="minorBidi"/>
      <w:kern w:val="2"/>
      <w:sz w:val="18"/>
      <w:szCs w:val="18"/>
    </w:rPr>
  </w:style>
  <w:style w:type="character" w:customStyle="1" w:styleId="51">
    <w:name w:val="正文文本缩进 3 Char"/>
    <w:basedOn w:val="31"/>
    <w:link w:val="24"/>
    <w:qFormat/>
    <w:uiPriority w:val="0"/>
    <w:rPr>
      <w:rFonts w:eastAsia="黑体" w:asciiTheme="minorHAnsi" w:hAnsiTheme="minorHAnsi" w:cstheme="minorBidi"/>
      <w:color w:val="000000"/>
      <w:kern w:val="2"/>
      <w:sz w:val="24"/>
      <w:szCs w:val="24"/>
    </w:rPr>
  </w:style>
  <w:style w:type="character" w:customStyle="1" w:styleId="52">
    <w:name w:val="批注主题 Char"/>
    <w:basedOn w:val="48"/>
    <w:link w:val="27"/>
    <w:qFormat/>
    <w:uiPriority w:val="0"/>
    <w:rPr>
      <w:b/>
      <w:bCs/>
    </w:rPr>
  </w:style>
  <w:style w:type="character" w:customStyle="1" w:styleId="53">
    <w:name w:val="正文首行缩进 Char"/>
    <w:basedOn w:val="40"/>
    <w:link w:val="28"/>
    <w:qFormat/>
    <w:uiPriority w:val="0"/>
    <w:rPr>
      <w:rFonts w:hAnsiTheme="minorHAnsi" w:cstheme="minorBidi"/>
    </w:rPr>
  </w:style>
  <w:style w:type="paragraph" w:customStyle="1" w:styleId="54">
    <w:name w:val="表格文字"/>
    <w:basedOn w:val="1"/>
    <w:next w:val="17"/>
    <w:qFormat/>
    <w:uiPriority w:val="0"/>
    <w:pPr>
      <w:spacing w:before="25" w:after="25"/>
      <w:jc w:val="left"/>
    </w:pPr>
    <w:rPr>
      <w:rFonts w:asciiTheme="minorHAnsi" w:hAnsiTheme="minorHAnsi" w:eastAsiaTheme="minorEastAsia" w:cstheme="minorBidi"/>
      <w:bCs/>
      <w:spacing w:val="10"/>
      <w:kern w:val="0"/>
      <w:sz w:val="24"/>
      <w:szCs w:val="20"/>
    </w:rPr>
  </w:style>
  <w:style w:type="paragraph" w:customStyle="1" w:styleId="55">
    <w:name w:val="方案正文"/>
    <w:basedOn w:val="1"/>
    <w:qFormat/>
    <w:uiPriority w:val="0"/>
    <w:pPr>
      <w:spacing w:line="360" w:lineRule="auto"/>
      <w:ind w:firstLine="880" w:firstLineChars="200"/>
    </w:pPr>
    <w:rPr>
      <w:rFonts w:asciiTheme="minorHAnsi" w:hAnsiTheme="minorHAnsi" w:eastAsiaTheme="minorEastAsia" w:cstheme="minorBidi"/>
      <w:sz w:val="28"/>
    </w:rPr>
  </w:style>
  <w:style w:type="paragraph" w:customStyle="1" w:styleId="56">
    <w:name w:val="大标题"/>
    <w:basedOn w:val="18"/>
    <w:next w:val="55"/>
    <w:qFormat/>
    <w:uiPriority w:val="0"/>
    <w:pPr>
      <w:spacing w:beforeLines="0" w:afterLines="0" w:line="240" w:lineRule="auto"/>
      <w:jc w:val="center"/>
    </w:pPr>
    <w:rPr>
      <w:rFonts w:ascii="方正书宋_GBK" w:hAnsi="方正书宋_GBK" w:eastAsia="华文黑体" w:cstheme="minorBidi"/>
      <w:sz w:val="44"/>
    </w:rPr>
  </w:style>
  <w:style w:type="paragraph" w:customStyle="1" w:styleId="57">
    <w:name w:val="列出段落4"/>
    <w:basedOn w:val="1"/>
    <w:qFormat/>
    <w:uiPriority w:val="0"/>
    <w:pPr>
      <w:ind w:firstLine="420" w:firstLineChars="200"/>
    </w:pPr>
    <w:rPr>
      <w:rFonts w:ascii="Calibri" w:hAnsi="Calibri" w:eastAsiaTheme="minorEastAsia" w:cstheme="minorBidi"/>
      <w:szCs w:val="21"/>
    </w:rPr>
  </w:style>
  <w:style w:type="character" w:customStyle="1" w:styleId="58">
    <w:name w:val="页眉 Char"/>
    <w:basedOn w:val="31"/>
    <w:link w:val="23"/>
    <w:qFormat/>
    <w:uiPriority w:val="0"/>
    <w:rPr>
      <w:rFonts w:ascii="Times New Roman" w:hAnsi="Times New Roman"/>
      <w:kern w:val="2"/>
      <w:sz w:val="18"/>
      <w:szCs w:val="18"/>
    </w:rPr>
  </w:style>
  <w:style w:type="character" w:customStyle="1" w:styleId="59">
    <w:name w:val="页脚 Char"/>
    <w:basedOn w:val="31"/>
    <w:link w:val="22"/>
    <w:qFormat/>
    <w:uiPriority w:val="99"/>
    <w:rPr>
      <w:rFonts w:ascii="Times New Roman" w:hAnsi="Times New Roman"/>
      <w:kern w:val="2"/>
      <w:sz w:val="18"/>
      <w:szCs w:val="18"/>
    </w:rPr>
  </w:style>
  <w:style w:type="paragraph" w:customStyle="1" w:styleId="60">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61">
    <w:name w:val="GP标题2"/>
    <w:basedOn w:val="1"/>
    <w:next w:val="1"/>
    <w:qFormat/>
    <w:uiPriority w:val="0"/>
    <w:pPr>
      <w:widowControl/>
      <w:numPr>
        <w:ilvl w:val="1"/>
        <w:numId w:val="1"/>
      </w:numPr>
      <w:spacing w:beforeLines="50" w:afterLines="50" w:line="360" w:lineRule="auto"/>
      <w:jc w:val="left"/>
      <w:outlineLvl w:val="1"/>
    </w:pPr>
    <w:rPr>
      <w:rFonts w:ascii="华文细黑" w:hAnsi="华文细黑" w:eastAsia="华文细黑"/>
      <w:b/>
      <w:sz w:val="32"/>
      <w:szCs w:val="21"/>
    </w:rPr>
  </w:style>
  <w:style w:type="paragraph" w:customStyle="1" w:styleId="62">
    <w:name w:val="GP标题3"/>
    <w:basedOn w:val="1"/>
    <w:next w:val="1"/>
    <w:qFormat/>
    <w:uiPriority w:val="0"/>
    <w:pPr>
      <w:widowControl/>
      <w:numPr>
        <w:ilvl w:val="2"/>
        <w:numId w:val="1"/>
      </w:numPr>
      <w:spacing w:beforeLines="50" w:afterLines="50" w:line="360" w:lineRule="auto"/>
      <w:jc w:val="left"/>
      <w:outlineLvl w:val="2"/>
    </w:pPr>
    <w:rPr>
      <w:rFonts w:ascii="华文细黑" w:hAnsi="华文细黑" w:eastAsia="华文细黑"/>
      <w:b/>
      <w:sz w:val="30"/>
      <w:szCs w:val="21"/>
    </w:rPr>
  </w:style>
  <w:style w:type="paragraph" w:customStyle="1" w:styleId="63">
    <w:name w:val="LG正文"/>
    <w:basedOn w:val="9"/>
    <w:qFormat/>
    <w:uiPriority w:val="0"/>
    <w:pPr>
      <w:widowControl/>
      <w:adjustRightInd w:val="0"/>
      <w:snapToGrid w:val="0"/>
      <w:spacing w:line="360" w:lineRule="auto"/>
      <w:ind w:firstLine="480"/>
      <w:jc w:val="left"/>
    </w:pPr>
    <w:rPr>
      <w:rFonts w:ascii="仿宋" w:hAnsi="仿宋" w:eastAsia="仿宋"/>
      <w:kern w:val="0"/>
      <w:sz w:val="30"/>
    </w:rPr>
  </w:style>
  <w:style w:type="paragraph" w:customStyle="1" w:styleId="64">
    <w:name w:val="列出段落1"/>
    <w:basedOn w:val="1"/>
    <w:qFormat/>
    <w:uiPriority w:val="34"/>
    <w:pPr>
      <w:ind w:firstLine="420"/>
    </w:pPr>
    <w:rPr>
      <w:rFonts w:asciiTheme="minorHAnsi" w:hAnsiTheme="minorHAnsi" w:eastAsiaTheme="minorEastAsia" w:cstheme="minorBidi"/>
    </w:rPr>
  </w:style>
  <w:style w:type="paragraph" w:customStyle="1" w:styleId="65">
    <w:name w:val="T图形题注"/>
    <w:basedOn w:val="1"/>
    <w:next w:val="1"/>
    <w:qFormat/>
    <w:uiPriority w:val="0"/>
    <w:pPr>
      <w:numPr>
        <w:ilvl w:val="0"/>
        <w:numId w:val="2"/>
      </w:numPr>
      <w:jc w:val="center"/>
    </w:pPr>
    <w:rPr>
      <w:rFonts w:eastAsia="黑体" w:asciiTheme="minorHAnsi" w:hAnsiTheme="minorHAnsi" w:cstheme="minorBidi"/>
      <w:b/>
      <w:sz w:val="18"/>
    </w:rPr>
  </w:style>
  <w:style w:type="paragraph" w:customStyle="1" w:styleId="66">
    <w:name w:val="_Style 3"/>
    <w:basedOn w:val="4"/>
    <w:next w:val="1"/>
    <w:qFormat/>
    <w:uiPriority w:val="39"/>
    <w:pPr>
      <w:keepLines/>
      <w:widowControl w:val="0"/>
      <w:spacing w:before="480" w:line="276" w:lineRule="auto"/>
      <w:ind w:left="432" w:hanging="432"/>
      <w:jc w:val="both"/>
      <w:outlineLvl w:val="9"/>
    </w:pPr>
    <w:rPr>
      <w:rFonts w:ascii="仿宋" w:hAnsi="仿宋" w:eastAsiaTheme="minorEastAsia" w:cstheme="minorBidi"/>
      <w:color w:val="000000"/>
      <w:kern w:val="0"/>
      <w:sz w:val="44"/>
      <w:szCs w:val="32"/>
    </w:rPr>
  </w:style>
  <w:style w:type="paragraph" w:customStyle="1" w:styleId="67">
    <w:name w:val="样式2"/>
    <w:basedOn w:val="5"/>
    <w:next w:val="1"/>
    <w:qFormat/>
    <w:uiPriority w:val="0"/>
    <w:pPr>
      <w:spacing w:line="413" w:lineRule="auto"/>
      <w:ind w:left="575" w:hanging="575"/>
    </w:pPr>
    <w:rPr>
      <w:rFonts w:ascii="DejaVu Sans" w:hAnsi="DejaVu Sans" w:eastAsia="方正黑体_GBK" w:cstheme="minorBidi"/>
      <w:bCs w:val="0"/>
      <w:szCs w:val="24"/>
    </w:rPr>
  </w:style>
  <w:style w:type="paragraph" w:customStyle="1" w:styleId="68">
    <w:name w:val="Table Paragraph"/>
    <w:basedOn w:val="1"/>
    <w:qFormat/>
    <w:uiPriority w:val="1"/>
    <w:pPr>
      <w:overflowPunct w:val="0"/>
    </w:pPr>
    <w:rPr>
      <w:rFonts w:asciiTheme="minorHAnsi" w:hAnsiTheme="minorHAnsi" w:eastAsiaTheme="minorEastAsia" w:cstheme="minorBidi"/>
    </w:rPr>
  </w:style>
  <w:style w:type="paragraph" w:customStyle="1" w:styleId="69">
    <w:name w:val="TOC 标题1"/>
    <w:basedOn w:val="4"/>
    <w:next w:val="1"/>
    <w:qFormat/>
    <w:uiPriority w:val="0"/>
    <w:pPr>
      <w:keepLines/>
      <w:widowControl w:val="0"/>
      <w:spacing w:before="480" w:line="276" w:lineRule="auto"/>
      <w:ind w:left="432" w:hanging="432"/>
      <w:jc w:val="both"/>
      <w:outlineLvl w:val="9"/>
    </w:pPr>
    <w:rPr>
      <w:rFonts w:ascii="仿宋" w:hAnsi="仿宋" w:eastAsiaTheme="minorEastAsia" w:cstheme="minorBidi"/>
      <w:color w:val="000000"/>
      <w:kern w:val="0"/>
      <w:sz w:val="44"/>
      <w:szCs w:val="32"/>
    </w:rPr>
  </w:style>
  <w:style w:type="paragraph" w:customStyle="1" w:styleId="7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
    <w:basedOn w:val="1"/>
    <w:qFormat/>
    <w:uiPriority w:val="0"/>
    <w:pPr>
      <w:ind w:firstLine="200"/>
    </w:pPr>
    <w:rPr>
      <w:rFonts w:ascii="宋体" w:hAnsi="Calibri" w:eastAsiaTheme="minorEastAsia"/>
      <w:sz w:val="32"/>
      <w:szCs w:val="22"/>
    </w:rPr>
  </w:style>
  <w:style w:type="character" w:customStyle="1" w:styleId="72">
    <w:name w:val="纯文本 Char"/>
    <w:link w:val="18"/>
    <w:locked/>
    <w:uiPriority w:val="0"/>
    <w:rPr>
      <w:rFonts w:ascii="宋体" w:hAnsi="Courier New" w:eastAsia="宋体"/>
      <w:kern w:val="2"/>
      <w:sz w:val="24"/>
      <w:szCs w:val="24"/>
    </w:rPr>
  </w:style>
  <w:style w:type="paragraph" w:customStyle="1" w:styleId="73">
    <w:name w:val="Proposals body"/>
    <w:basedOn w:val="1"/>
    <w:next w:val="1"/>
    <w:qFormat/>
    <w:uiPriority w:val="0"/>
    <w:pPr>
      <w:widowControl/>
      <w:snapToGrid w:val="0"/>
      <w:spacing w:after="120" w:line="460" w:lineRule="exact"/>
      <w:ind w:right="600"/>
      <w:jc w:val="right"/>
    </w:pPr>
    <w:rPr>
      <w:rFonts w:ascii="仿宋" w:hAnsi="仿宋" w:eastAsia="仿宋"/>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9304</Words>
  <Characters>53038</Characters>
  <Lines>441</Lines>
  <Paragraphs>124</Paragraphs>
  <TotalTime>34</TotalTime>
  <ScaleCrop>false</ScaleCrop>
  <LinksUpToDate>false</LinksUpToDate>
  <CharactersWithSpaces>62218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2020-08-04T08:39:00Z</dcterms:created>
  <dc:creator>CHENJUN</dc:creator>
  <cp:lastModifiedBy>admin</cp:lastModifiedBy>
  <dcterms:modified xsi:type="dcterms:W3CDTF">2020-08-05T09:19:32Z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