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b/>
          <w:bCs/>
          <w:spacing w:val="40"/>
          <w:sz w:val="36"/>
          <w:szCs w:val="36"/>
        </w:rPr>
      </w:pPr>
    </w:p>
    <w:p>
      <w:pPr>
        <w:widowControl/>
        <w:rPr>
          <w:rFonts w:ascii="宋体" w:hAnsi="宋体" w:cs="宋体"/>
          <w:b/>
          <w:bCs/>
          <w:spacing w:val="40"/>
          <w:sz w:val="36"/>
          <w:szCs w:val="36"/>
        </w:rPr>
      </w:pPr>
    </w:p>
    <w:p>
      <w:pPr>
        <w:widowControl/>
        <w:jc w:val="center"/>
        <w:rPr>
          <w:rFonts w:ascii="宋体" w:cs="Times New Roman"/>
          <w:b/>
          <w:bCs/>
          <w:spacing w:val="40"/>
          <w:kern w:val="11"/>
          <w:sz w:val="36"/>
          <w:szCs w:val="36"/>
        </w:rPr>
      </w:pPr>
      <w:r>
        <w:rPr>
          <w:rFonts w:hint="eastAsia" w:ascii="宋体" w:hAnsi="宋体" w:cs="宋体"/>
          <w:b/>
          <w:bCs/>
          <w:spacing w:val="40"/>
          <w:sz w:val="36"/>
          <w:szCs w:val="36"/>
        </w:rPr>
        <w:t>中共杭州市临安区委办公室商用密码服务体系建设项目</w:t>
      </w:r>
      <w:r>
        <w:rPr>
          <w:rFonts w:hint="eastAsia" w:ascii="宋体" w:hAnsi="宋体" w:cs="宋体"/>
          <w:b/>
          <w:bCs/>
          <w:spacing w:val="40"/>
          <w:kern w:val="11"/>
          <w:sz w:val="36"/>
          <w:szCs w:val="36"/>
        </w:rPr>
        <w:t>竞争性磋商文件</w:t>
      </w:r>
    </w:p>
    <w:p>
      <w:pPr>
        <w:spacing w:beforeLines="100" w:line="240" w:lineRule="atLeast"/>
        <w:ind w:right="-108"/>
        <w:jc w:val="center"/>
        <w:rPr>
          <w:rFonts w:ascii="宋体" w:cs="Times New Roman"/>
          <w:sz w:val="32"/>
          <w:szCs w:val="32"/>
        </w:rPr>
      </w:pPr>
      <w:r>
        <w:rPr>
          <w:rFonts w:hint="eastAsia" w:ascii="宋体" w:hAnsi="宋体" w:cs="宋体"/>
          <w:sz w:val="32"/>
          <w:szCs w:val="32"/>
        </w:rPr>
        <w:t>（项目编号</w:t>
      </w:r>
      <w:r>
        <w:rPr>
          <w:rFonts w:ascii="宋体" w:hAnsi="宋体" w:cs="宋体"/>
          <w:sz w:val="32"/>
          <w:szCs w:val="32"/>
        </w:rPr>
        <w:t>:LZC-CS</w:t>
      </w:r>
      <w:r>
        <w:rPr>
          <w:rFonts w:ascii="宋体" w:cs="宋体"/>
          <w:sz w:val="32"/>
          <w:szCs w:val="32"/>
        </w:rPr>
        <w:t>-</w:t>
      </w:r>
      <w:r>
        <w:rPr>
          <w:rFonts w:ascii="宋体" w:hAnsi="宋体" w:cs="宋体"/>
          <w:sz w:val="32"/>
          <w:szCs w:val="32"/>
        </w:rPr>
        <w:t>2020</w:t>
      </w:r>
      <w:r>
        <w:rPr>
          <w:rFonts w:ascii="宋体" w:cs="宋体"/>
          <w:sz w:val="32"/>
          <w:szCs w:val="32"/>
        </w:rPr>
        <w:t>-</w:t>
      </w:r>
      <w:r>
        <w:rPr>
          <w:rFonts w:hint="eastAsia" w:ascii="宋体" w:cs="宋体"/>
          <w:sz w:val="32"/>
          <w:szCs w:val="32"/>
          <w:lang w:val="en-US" w:eastAsia="zh-CN"/>
        </w:rPr>
        <w:t>10231</w:t>
      </w:r>
      <w:r>
        <w:rPr>
          <w:rFonts w:ascii="宋体" w:hAnsi="宋体" w:cs="宋体"/>
          <w:sz w:val="32"/>
          <w:szCs w:val="32"/>
        </w:rPr>
        <w:t xml:space="preserve"> )</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pStyle w:val="2"/>
        <w:rPr>
          <w:rFonts w:cs="Times New Roman"/>
          <w:b/>
          <w:bCs/>
          <w:sz w:val="32"/>
          <w:szCs w:val="32"/>
        </w:rPr>
      </w:pPr>
    </w:p>
    <w:p>
      <w:pPr>
        <w:pStyle w:val="2"/>
        <w:rPr>
          <w:rFonts w:cs="Times New Roman"/>
          <w:b/>
          <w:bCs/>
          <w:sz w:val="32"/>
          <w:szCs w:val="32"/>
        </w:rPr>
      </w:pPr>
    </w:p>
    <w:p>
      <w:pPr>
        <w:pStyle w:val="2"/>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spacing w:line="500" w:lineRule="exact"/>
        <w:ind w:right="532" w:firstLine="300" w:firstLineChars="100"/>
        <w:rPr>
          <w:rFonts w:ascii="宋体" w:cs="Times New Roman"/>
          <w:sz w:val="30"/>
          <w:szCs w:val="30"/>
          <w:u w:val="single"/>
        </w:rPr>
      </w:pPr>
      <w:r>
        <w:rPr>
          <w:rFonts w:hint="eastAsia" w:ascii="宋体" w:hAnsi="宋体" w:cs="宋体"/>
          <w:sz w:val="30"/>
          <w:szCs w:val="30"/>
        </w:rPr>
        <w:t>采购单位：中共杭州市临安区委办公室</w:t>
      </w:r>
    </w:p>
    <w:p>
      <w:pPr>
        <w:spacing w:line="500" w:lineRule="exact"/>
        <w:ind w:right="532" w:firstLine="300" w:firstLineChars="100"/>
        <w:rPr>
          <w:rFonts w:ascii="宋体" w:cs="Times New Roman"/>
          <w:sz w:val="30"/>
          <w:szCs w:val="30"/>
        </w:rPr>
      </w:pPr>
      <w:r>
        <w:rPr>
          <w:rFonts w:hint="eastAsia" w:ascii="宋体" w:hAnsi="宋体" w:cs="宋体"/>
          <w:sz w:val="30"/>
          <w:szCs w:val="30"/>
        </w:rPr>
        <w:t>采购机构：杭州市公共资源交易中心临安分中心</w:t>
      </w:r>
    </w:p>
    <w:p>
      <w:pPr>
        <w:spacing w:line="500" w:lineRule="exact"/>
        <w:ind w:right="532" w:firstLine="300" w:firstLineChars="100"/>
        <w:rPr>
          <w:rFonts w:ascii="宋体" w:cs="Times New Roman"/>
          <w:sz w:val="30"/>
          <w:szCs w:val="30"/>
        </w:rPr>
      </w:pPr>
      <w:r>
        <w:rPr>
          <w:rFonts w:hint="eastAsia" w:ascii="宋体" w:hAnsi="宋体" w:cs="宋体"/>
          <w:sz w:val="30"/>
          <w:szCs w:val="30"/>
        </w:rPr>
        <w:t>备案单位：杭州市临安区政府采购办公室</w:t>
      </w:r>
    </w:p>
    <w:p>
      <w:pPr>
        <w:spacing w:line="500" w:lineRule="exact"/>
        <w:ind w:right="532" w:firstLine="300" w:firstLineChars="100"/>
        <w:rPr>
          <w:rFonts w:ascii="宋体" w:cs="Times New Roman"/>
        </w:rPr>
      </w:pP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址：临安区行政服务中心</w:t>
      </w:r>
      <w:r>
        <w:rPr>
          <w:rFonts w:ascii="宋体" w:hAnsi="宋体" w:cs="宋体"/>
          <w:sz w:val="30"/>
          <w:szCs w:val="30"/>
        </w:rPr>
        <w:t>B</w:t>
      </w:r>
      <w:r>
        <w:rPr>
          <w:rFonts w:hint="eastAsia" w:ascii="宋体" w:hAnsi="宋体" w:cs="宋体"/>
          <w:sz w:val="30"/>
          <w:szCs w:val="30"/>
        </w:rPr>
        <w:t>座</w:t>
      </w:r>
      <w:r>
        <w:rPr>
          <w:rFonts w:ascii="宋体" w:hAnsi="宋体" w:cs="宋体"/>
          <w:sz w:val="30"/>
          <w:szCs w:val="30"/>
        </w:rPr>
        <w:t>4</w:t>
      </w:r>
      <w:r>
        <w:rPr>
          <w:rFonts w:hint="eastAsia" w:ascii="宋体" w:hAnsi="宋体" w:cs="宋体"/>
          <w:sz w:val="30"/>
          <w:szCs w:val="30"/>
        </w:rPr>
        <w:t>楼</w:t>
      </w: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widowControl/>
        <w:jc w:val="left"/>
        <w:rPr>
          <w:rFonts w:cs="Times New Roman"/>
          <w:b/>
          <w:bCs/>
          <w:sz w:val="32"/>
          <w:szCs w:val="32"/>
        </w:rPr>
      </w:pPr>
    </w:p>
    <w:p>
      <w:pPr>
        <w:pStyle w:val="11"/>
        <w:spacing w:before="120" w:after="120" w:line="360" w:lineRule="auto"/>
        <w:jc w:val="center"/>
        <w:rPr>
          <w:rFonts w:hint="eastAsia" w:hAnsi="宋体"/>
          <w:b/>
          <w:bCs/>
          <w:sz w:val="44"/>
          <w:szCs w:val="44"/>
        </w:rPr>
      </w:pPr>
    </w:p>
    <w:p>
      <w:pPr>
        <w:pStyle w:val="11"/>
        <w:spacing w:before="120" w:after="120" w:line="360" w:lineRule="auto"/>
        <w:jc w:val="center"/>
        <w:rPr>
          <w:rFonts w:hAnsi="宋体" w:cs="Times New Roman"/>
          <w:b/>
          <w:bCs/>
          <w:sz w:val="44"/>
          <w:szCs w:val="44"/>
        </w:rPr>
      </w:pPr>
      <w:r>
        <w:rPr>
          <w:rFonts w:hint="eastAsia" w:hAnsi="宋体"/>
          <w:b/>
          <w:bCs/>
          <w:sz w:val="44"/>
          <w:szCs w:val="44"/>
        </w:rPr>
        <w:t>目</w:t>
      </w:r>
      <w:r>
        <w:rPr>
          <w:rFonts w:hAnsi="宋体"/>
          <w:b/>
          <w:bCs/>
          <w:sz w:val="44"/>
          <w:szCs w:val="44"/>
        </w:rPr>
        <w:t xml:space="preserve">    </w:t>
      </w:r>
      <w:r>
        <w:rPr>
          <w:rFonts w:hint="eastAsia" w:hAnsi="宋体"/>
          <w:b/>
          <w:bCs/>
          <w:sz w:val="44"/>
          <w:szCs w:val="44"/>
        </w:rPr>
        <w:t>录</w:t>
      </w:r>
    </w:p>
    <w:p>
      <w:pPr>
        <w:pStyle w:val="11"/>
        <w:spacing w:before="120" w:after="120" w:line="360" w:lineRule="auto"/>
        <w:jc w:val="center"/>
        <w:rPr>
          <w:rFonts w:hAnsi="宋体" w:cs="Times New Roman"/>
          <w:sz w:val="32"/>
          <w:szCs w:val="32"/>
        </w:rPr>
      </w:pP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ascii="宋体" w:cs="Times New Roman"/>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采购公告</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hint="eastAsia" w:ascii="宋体" w:hAnsi="宋体" w:cs="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磋商须知</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ascii="宋体" w:cs="Times New Roman"/>
          <w:sz w:val="32"/>
          <w:szCs w:val="32"/>
        </w:rPr>
      </w:pPr>
      <w:r>
        <w:rPr>
          <w:rFonts w:hint="eastAsia" w:ascii="宋体" w:hAnsi="宋体" w:cs="宋体"/>
          <w:sz w:val="32"/>
          <w:szCs w:val="32"/>
        </w:rPr>
        <w:t>第三章</w:t>
      </w:r>
      <w:r>
        <w:rPr>
          <w:rFonts w:ascii="宋体" w:hAnsi="宋体" w:cs="宋体"/>
          <w:sz w:val="32"/>
          <w:szCs w:val="32"/>
        </w:rPr>
        <w:t xml:space="preserve">    </w:t>
      </w:r>
      <w:r>
        <w:rPr>
          <w:rFonts w:hint="eastAsia" w:ascii="宋体" w:hAnsi="宋体" w:cs="宋体"/>
          <w:sz w:val="32"/>
          <w:szCs w:val="32"/>
        </w:rPr>
        <w:t>评审办法及评审标准</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ascii="宋体" w:cs="Times New Roman"/>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采购需求</w:t>
      </w:r>
    </w:p>
    <w:p>
      <w:pPr>
        <w:keepNext w:val="0"/>
        <w:keepLines w:val="0"/>
        <w:pageBreakBefore w:val="0"/>
        <w:kinsoku/>
        <w:wordWrap/>
        <w:overflowPunct/>
        <w:topLinePunct w:val="0"/>
        <w:autoSpaceDE/>
        <w:autoSpaceDN/>
        <w:bidi w:val="0"/>
        <w:adjustRightInd/>
        <w:snapToGrid/>
        <w:spacing w:beforeLines="50" w:line="480" w:lineRule="auto"/>
        <w:ind w:left="165"/>
        <w:textAlignment w:val="auto"/>
        <w:rPr>
          <w:rFonts w:hint="eastAsia" w:ascii="宋体" w:hAnsi="宋体" w:cs="宋体"/>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政府采购合同主要条款</w:t>
      </w:r>
    </w:p>
    <w:p>
      <w:pPr>
        <w:keepNext w:val="0"/>
        <w:keepLines w:val="0"/>
        <w:pageBreakBefore w:val="0"/>
        <w:widowControl/>
        <w:kinsoku/>
        <w:wordWrap/>
        <w:overflowPunct/>
        <w:topLinePunct w:val="0"/>
        <w:autoSpaceDE/>
        <w:autoSpaceDN/>
        <w:bidi w:val="0"/>
        <w:adjustRightInd/>
        <w:snapToGrid/>
        <w:spacing w:line="480" w:lineRule="auto"/>
        <w:ind w:firstLine="160" w:firstLineChars="50"/>
        <w:jc w:val="left"/>
        <w:textAlignment w:val="auto"/>
        <w:rPr>
          <w:rFonts w:cs="Times New Roman"/>
          <w:b/>
          <w:bCs/>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磋商响应文件格式</w:t>
      </w: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center"/>
        <w:outlineLvl w:val="0"/>
        <w:rPr>
          <w:rFonts w:ascii="宋体" w:cs="Times New Roman"/>
          <w:b/>
          <w:bCs/>
          <w:sz w:val="36"/>
          <w:szCs w:val="36"/>
        </w:rPr>
      </w:pPr>
    </w:p>
    <w:p>
      <w:pPr>
        <w:snapToGrid w:val="0"/>
        <w:spacing w:beforeLines="50" w:afterLines="100" w:line="460" w:lineRule="atLeast"/>
        <w:jc w:val="both"/>
        <w:outlineLvl w:val="0"/>
        <w:rPr>
          <w:rFonts w:ascii="宋体" w:cs="Times New Roman"/>
          <w:b/>
          <w:bCs/>
          <w:sz w:val="36"/>
          <w:szCs w:val="36"/>
        </w:rPr>
      </w:pPr>
    </w:p>
    <w:p>
      <w:pPr>
        <w:snapToGrid w:val="0"/>
        <w:spacing w:beforeLines="50" w:afterLines="100" w:line="460" w:lineRule="atLeast"/>
        <w:jc w:val="center"/>
        <w:outlineLvl w:val="0"/>
        <w:rPr>
          <w:rFonts w:hint="eastAsia" w:ascii="宋体" w:hAnsi="宋体" w:cs="宋体"/>
          <w:b/>
          <w:bCs/>
          <w:sz w:val="36"/>
          <w:szCs w:val="36"/>
        </w:rPr>
      </w:pPr>
    </w:p>
    <w:p>
      <w:pPr>
        <w:snapToGrid w:val="0"/>
        <w:spacing w:beforeLines="50" w:afterLines="100" w:line="460" w:lineRule="atLeast"/>
        <w:jc w:val="center"/>
        <w:outlineLvl w:val="0"/>
        <w:rPr>
          <w:rFonts w:ascii="宋体" w:cs="Times New Roman"/>
          <w:b/>
          <w:bCs/>
          <w:sz w:val="36"/>
          <w:szCs w:val="36"/>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采购公告</w:t>
      </w:r>
    </w:p>
    <w:p>
      <w:pPr>
        <w:snapToGrid w:val="0"/>
        <w:spacing w:line="460" w:lineRule="atLeast"/>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受中共杭州市临安区委办公室（以下简称“临安区委办”）</w:t>
      </w:r>
      <w:r>
        <w:rPr>
          <w:rFonts w:hint="eastAsia" w:ascii="Times New Roman" w:hAnsi="Times New Roman" w:cs="宋体"/>
          <w:color w:val="000000"/>
          <w:sz w:val="24"/>
          <w:szCs w:val="24"/>
          <w:highlight w:val="none"/>
        </w:rPr>
        <w:t>的委</w:t>
      </w:r>
      <w:r>
        <w:rPr>
          <w:rFonts w:hint="eastAsia" w:ascii="Times New Roman" w:hAnsi="Times New Roman" w:cs="宋体"/>
          <w:color w:val="000000"/>
          <w:sz w:val="24"/>
          <w:szCs w:val="24"/>
        </w:rPr>
        <w:t>托，杭州市公共资源交易中心临安分中心（以下简称“采购机构”），就以下中共杭州市临安区委办公室商用密码服务体系建设项目启动竞争性磋商，现欢迎有供货能力的合格供应商参加磋商。</w:t>
      </w:r>
    </w:p>
    <w:p>
      <w:pPr>
        <w:snapToGrid w:val="0"/>
        <w:spacing w:line="460" w:lineRule="atLeast"/>
        <w:ind w:firstLine="480" w:firstLineChars="200"/>
        <w:rPr>
          <w:rFonts w:hint="default" w:ascii="宋体" w:cs="Times New Roman"/>
          <w:sz w:val="24"/>
          <w:szCs w:val="24"/>
          <w:lang w:val="en-US"/>
        </w:rPr>
      </w:pPr>
      <w:r>
        <w:rPr>
          <w:rFonts w:hint="eastAsia" w:ascii="宋体" w:hAnsi="宋体" w:cs="宋体"/>
          <w:sz w:val="24"/>
          <w:szCs w:val="24"/>
        </w:rPr>
        <w:t>一、</w:t>
      </w:r>
      <w:r>
        <w:rPr>
          <w:rFonts w:hint="eastAsia" w:ascii="宋体" w:hAnsi="宋体" w:cs="宋体"/>
          <w:b/>
          <w:bCs/>
          <w:sz w:val="24"/>
          <w:szCs w:val="24"/>
        </w:rPr>
        <w:t>项目编号：</w:t>
      </w:r>
      <w:r>
        <w:rPr>
          <w:rFonts w:ascii="宋体" w:hAnsi="宋体" w:cs="宋体"/>
          <w:sz w:val="24"/>
          <w:szCs w:val="24"/>
          <w:highlight w:val="none"/>
        </w:rPr>
        <w:t>LZC-CS-2020</w:t>
      </w:r>
      <w:r>
        <w:rPr>
          <w:rFonts w:ascii="宋体" w:cs="宋体"/>
          <w:sz w:val="24"/>
          <w:szCs w:val="24"/>
          <w:highlight w:val="none"/>
        </w:rPr>
        <w:t>-</w:t>
      </w:r>
      <w:r>
        <w:rPr>
          <w:rFonts w:hint="eastAsia" w:ascii="宋体" w:cs="宋体"/>
          <w:sz w:val="24"/>
          <w:szCs w:val="24"/>
          <w:highlight w:val="none"/>
          <w:lang w:val="en-US" w:eastAsia="zh-CN"/>
        </w:rPr>
        <w:t>10231</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二、采购内容及数量</w:t>
      </w:r>
    </w:p>
    <w:tbl>
      <w:tblPr>
        <w:tblStyle w:val="19"/>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992"/>
        <w:gridCol w:w="3260"/>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3108"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数量</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highlight w:val="yellow"/>
              </w:rPr>
            </w:pPr>
            <w:r>
              <w:rPr>
                <w:rFonts w:hint="eastAsia" w:ascii="宋体" w:hAnsi="宋体" w:cs="宋体"/>
                <w:sz w:val="24"/>
                <w:szCs w:val="24"/>
              </w:rPr>
              <w:t>上限价</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108" w:type="dxa"/>
            <w:tcBorders>
              <w:top w:val="single" w:color="auto" w:sz="4" w:space="0"/>
              <w:bottom w:val="single" w:color="auto" w:sz="4" w:space="0"/>
              <w:right w:val="single" w:color="auto" w:sz="4" w:space="0"/>
            </w:tcBorders>
            <w:vAlign w:val="center"/>
          </w:tcPr>
          <w:p>
            <w:pPr>
              <w:widowControl/>
              <w:spacing w:line="460" w:lineRule="atLeast"/>
              <w:rPr>
                <w:rFonts w:ascii="宋体" w:cs="Times New Roman"/>
                <w:sz w:val="24"/>
                <w:szCs w:val="24"/>
              </w:rPr>
            </w:pPr>
            <w:r>
              <w:rPr>
                <w:rFonts w:hint="eastAsia" w:ascii="宋体" w:cs="Times New Roman"/>
                <w:sz w:val="24"/>
                <w:szCs w:val="24"/>
                <w:lang w:val="en-US" w:eastAsia="zh-CN"/>
              </w:rPr>
              <w:t>中共杭州市临安区委办公室商用密码服务体系建设项目</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批</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line="460" w:lineRule="atLeast"/>
              <w:jc w:val="center"/>
              <w:rPr>
                <w:rFonts w:hint="default" w:ascii="宋体" w:eastAsia="宋体" w:cs="Times New Roman"/>
                <w:sz w:val="24"/>
                <w:szCs w:val="24"/>
                <w:lang w:val="en-US" w:eastAsia="zh-CN"/>
              </w:rPr>
            </w:pPr>
            <w:r>
              <w:rPr>
                <w:rFonts w:hint="eastAsia" w:ascii="宋体" w:cs="Times New Roman"/>
                <w:sz w:val="24"/>
                <w:szCs w:val="24"/>
                <w:lang w:val="en-US" w:eastAsia="zh-CN"/>
              </w:rPr>
              <w:t>85万</w:t>
            </w:r>
          </w:p>
        </w:tc>
        <w:tc>
          <w:tcPr>
            <w:tcW w:w="2063" w:type="dxa"/>
            <w:tcBorders>
              <w:top w:val="single" w:color="auto" w:sz="4" w:space="0"/>
              <w:left w:val="single" w:color="auto" w:sz="4" w:space="0"/>
              <w:bottom w:val="single" w:color="auto" w:sz="4" w:space="0"/>
            </w:tcBorders>
            <w:vAlign w:val="center"/>
          </w:tcPr>
          <w:p>
            <w:pPr>
              <w:snapToGrid w:val="0"/>
              <w:spacing w:line="460" w:lineRule="atLeast"/>
              <w:jc w:val="center"/>
              <w:rPr>
                <w:rFonts w:ascii="宋体" w:cs="Times New Roman"/>
                <w:sz w:val="24"/>
                <w:szCs w:val="24"/>
              </w:rPr>
            </w:pPr>
            <w:r>
              <w:rPr>
                <w:rFonts w:hint="eastAsia" w:ascii="宋体" w:hAnsi="宋体" w:cs="宋体"/>
                <w:sz w:val="24"/>
                <w:szCs w:val="24"/>
              </w:rPr>
              <w:t>详见采购需求</w:t>
            </w:r>
          </w:p>
        </w:tc>
      </w:tr>
    </w:tbl>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三</w:t>
      </w:r>
      <w:r>
        <w:rPr>
          <w:rFonts w:hint="eastAsia" w:ascii="宋体" w:hAnsi="宋体" w:cs="宋体"/>
          <w:sz w:val="24"/>
          <w:szCs w:val="24"/>
        </w:rPr>
        <w:t>、</w:t>
      </w:r>
      <w:r>
        <w:rPr>
          <w:rFonts w:hint="eastAsia" w:ascii="宋体" w:hAnsi="宋体" w:cs="宋体"/>
          <w:b/>
          <w:bCs/>
          <w:sz w:val="24"/>
          <w:szCs w:val="24"/>
        </w:rPr>
        <w:t>合格供应商资格要求</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、符合《中华人民共和国政府采购法》第二十二条之规定；</w:t>
      </w:r>
    </w:p>
    <w:p>
      <w:pPr>
        <w:spacing w:line="460" w:lineRule="atLeas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未被</w:t>
      </w:r>
      <w:r>
        <w:rPr>
          <w:rFonts w:hint="eastAsia" w:ascii="宋体" w:cs="宋体"/>
          <w:color w:val="000000"/>
          <w:sz w:val="24"/>
          <w:szCs w:val="24"/>
        </w:rPr>
        <w:t>“</w:t>
      </w:r>
      <w:r>
        <w:rPr>
          <w:rFonts w:hint="eastAsia" w:ascii="宋体" w:hAnsi="宋体" w:cs="宋体"/>
          <w:color w:val="000000"/>
          <w:sz w:val="24"/>
          <w:szCs w:val="24"/>
        </w:rPr>
        <w:t>信用中国</w:t>
      </w:r>
      <w:r>
        <w:rPr>
          <w:rFonts w:hint="eastAsia" w:ascii="宋体" w:cs="宋体"/>
          <w:color w:val="000000"/>
          <w:sz w:val="24"/>
          <w:szCs w:val="24"/>
        </w:rPr>
        <w:t>”</w:t>
      </w:r>
      <w:r>
        <w:rPr>
          <w:rFonts w:hint="eastAsia" w:ascii="宋体" w:hAnsi="宋体" w:cs="宋体"/>
          <w:color w:val="000000"/>
          <w:sz w:val="24"/>
          <w:szCs w:val="24"/>
        </w:rPr>
        <w:t>（</w:t>
      </w:r>
      <w:r>
        <w:rPr>
          <w:rFonts w:ascii="宋体" w:cs="Times New Roman"/>
          <w:color w:val="000000"/>
          <w:sz w:val="24"/>
          <w:szCs w:val="24"/>
        </w:rPr>
        <w:drawing>
          <wp:inline distT="0" distB="0" distL="0" distR="0">
            <wp:extent cx="191135"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www.creditchina.gov.cn</w:t>
      </w:r>
      <w:r>
        <w:rPr>
          <w:rFonts w:hint="eastAsia" w:ascii="宋体" w:hAnsi="宋体" w:cs="宋体"/>
          <w:color w:val="000000"/>
          <w:sz w:val="24"/>
          <w:szCs w:val="24"/>
        </w:rPr>
        <w:t>）、中国政府采购网（</w:t>
      </w:r>
      <w:r>
        <w:rPr>
          <w:rFonts w:ascii="宋体" w:cs="Times New Roman"/>
          <w:color w:val="000000"/>
          <w:sz w:val="24"/>
          <w:szCs w:val="24"/>
        </w:rPr>
        <w:drawing>
          <wp:inline distT="0" distB="0" distL="0" distR="0">
            <wp:extent cx="19113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rPr>
          <w:rFonts w:ascii="宋体" w:hAnsi="宋体" w:cs="宋体"/>
          <w:color w:val="000000"/>
          <w:sz w:val="24"/>
          <w:szCs w:val="24"/>
        </w:rPr>
        <w:t>www.ccgp.gov.cn</w:t>
      </w:r>
      <w:r>
        <w:rPr>
          <w:rFonts w:hint="eastAsia" w:ascii="宋体" w:hAnsi="宋体" w:cs="宋体"/>
          <w:color w:val="000000"/>
          <w:sz w:val="24"/>
          <w:szCs w:val="24"/>
        </w:rPr>
        <w:t>）列入失信被执行人、重大税收违法案件当事人名单、政府采购严重违法失信行为记录名单；</w:t>
      </w:r>
    </w:p>
    <w:p>
      <w:pPr>
        <w:snapToGrid w:val="0"/>
        <w:spacing w:line="460" w:lineRule="atLeast"/>
        <w:ind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、本项目谢绝联合体磋商。</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四、磋商报名</w:t>
      </w:r>
    </w:p>
    <w:p>
      <w:pPr>
        <w:snapToGrid w:val="0"/>
        <w:spacing w:line="460" w:lineRule="atLeast"/>
        <w:ind w:firstLine="482" w:firstLineChars="200"/>
        <w:rPr>
          <w:rFonts w:ascii="宋体" w:cs="Times New Roman"/>
          <w:b/>
          <w:bCs/>
          <w:sz w:val="24"/>
          <w:szCs w:val="24"/>
        </w:rPr>
      </w:pPr>
      <w:r>
        <w:rPr>
          <w:rFonts w:hint="eastAsia" w:ascii="宋体" w:hAnsi="宋体" w:cs="宋体"/>
          <w:b/>
          <w:bCs/>
          <w:sz w:val="24"/>
          <w:szCs w:val="24"/>
        </w:rPr>
        <w:t>本项目实行网上报名，不接受现场报名。投标截止时间前，供应商自行登录浙江政府采购网（</w:t>
      </w:r>
      <w:r>
        <w:rPr>
          <w:rFonts w:ascii="宋体" w:hAnsi="宋体" w:cs="宋体"/>
          <w:b/>
          <w:bCs/>
          <w:sz w:val="24"/>
          <w:szCs w:val="24"/>
        </w:rPr>
        <w:t>http://www.zjzfcg.gov.cn</w:t>
      </w:r>
      <w:r>
        <w:rPr>
          <w:rFonts w:hint="eastAsia" w:ascii="宋体" w:hAnsi="宋体" w:cs="宋体"/>
          <w:b/>
          <w:bCs/>
          <w:sz w:val="24"/>
          <w:szCs w:val="24"/>
        </w:rPr>
        <w:t>）进行报名。</w:t>
      </w:r>
    </w:p>
    <w:p>
      <w:pPr>
        <w:snapToGrid w:val="0"/>
        <w:spacing w:line="460" w:lineRule="atLeast"/>
        <w:ind w:firstLine="438" w:firstLineChars="200"/>
        <w:rPr>
          <w:rFonts w:ascii="宋体" w:cs="Times New Roman"/>
          <w:b/>
          <w:bCs/>
          <w:spacing w:val="-23"/>
          <w:sz w:val="24"/>
          <w:szCs w:val="24"/>
        </w:rPr>
      </w:pPr>
      <w:r>
        <w:rPr>
          <w:rFonts w:hint="eastAsia" w:ascii="宋体" w:hAnsi="宋体" w:cs="宋体"/>
          <w:b/>
          <w:bCs/>
          <w:spacing w:val="-11"/>
          <w:sz w:val="24"/>
          <w:szCs w:val="24"/>
        </w:rPr>
        <w:t>《供应商网上报名操作指南》网址：浙江政府采购网，位置：“首页</w:t>
      </w:r>
      <w:r>
        <w:rPr>
          <w:rFonts w:ascii="宋体" w:cs="宋体"/>
          <w:b/>
          <w:bCs/>
          <w:spacing w:val="-11"/>
          <w:sz w:val="24"/>
          <w:szCs w:val="24"/>
        </w:rPr>
        <w:t>-</w:t>
      </w:r>
      <w:r>
        <w:rPr>
          <w:rFonts w:hint="eastAsia" w:ascii="宋体" w:hAnsi="宋体" w:cs="宋体"/>
          <w:b/>
          <w:bCs/>
          <w:spacing w:val="-11"/>
          <w:sz w:val="24"/>
          <w:szCs w:val="24"/>
        </w:rPr>
        <w:t>办事指南</w:t>
      </w:r>
      <w:r>
        <w:rPr>
          <w:rFonts w:ascii="宋体" w:cs="宋体"/>
          <w:b/>
          <w:bCs/>
          <w:spacing w:val="-11"/>
          <w:sz w:val="24"/>
          <w:szCs w:val="24"/>
        </w:rPr>
        <w:t>-</w:t>
      </w:r>
      <w:r>
        <w:rPr>
          <w:rFonts w:hint="eastAsia" w:ascii="宋体" w:hAnsi="宋体" w:cs="宋体"/>
          <w:b/>
          <w:bCs/>
          <w:spacing w:val="-11"/>
          <w:sz w:val="24"/>
          <w:szCs w:val="24"/>
        </w:rPr>
        <w:t>省采中心</w:t>
      </w:r>
      <w:r>
        <w:rPr>
          <w:rFonts w:ascii="宋体" w:cs="宋体"/>
          <w:b/>
          <w:bCs/>
          <w:spacing w:val="-11"/>
          <w:sz w:val="24"/>
          <w:szCs w:val="24"/>
        </w:rPr>
        <w:t>-</w:t>
      </w:r>
      <w:r>
        <w:rPr>
          <w:rFonts w:hint="eastAsia" w:ascii="宋体" w:hAnsi="宋体" w:cs="宋体"/>
          <w:b/>
          <w:bCs/>
          <w:spacing w:val="-11"/>
          <w:sz w:val="24"/>
          <w:szCs w:val="24"/>
        </w:rPr>
        <w:t>网上报名”</w:t>
      </w:r>
      <w:r>
        <w:rPr>
          <w:rFonts w:hint="eastAsia" w:ascii="宋体" w:hAnsi="宋体" w:cs="宋体"/>
          <w:b/>
          <w:bCs/>
          <w:spacing w:val="-23"/>
          <w:sz w:val="24"/>
          <w:szCs w:val="24"/>
        </w:rPr>
        <w:t>（</w:t>
      </w:r>
      <w:r>
        <w:rPr>
          <w:rFonts w:ascii="宋体" w:hAnsi="宋体" w:cs="宋体"/>
          <w:b/>
          <w:bCs/>
          <w:spacing w:val="-23"/>
          <w:sz w:val="24"/>
          <w:szCs w:val="24"/>
        </w:rPr>
        <w:t>http://www.zjzfcg.gov.cn/bs_other/2018-03-30/12002.html?_=2018-03-30 11:40:47</w:t>
      </w:r>
      <w:r>
        <w:rPr>
          <w:rFonts w:hint="eastAsia" w:ascii="宋体" w:hAnsi="宋体" w:cs="宋体"/>
          <w:b/>
          <w:bCs/>
          <w:spacing w:val="-23"/>
          <w:sz w:val="24"/>
          <w:szCs w:val="24"/>
        </w:rPr>
        <w:t>）。</w:t>
      </w:r>
    </w:p>
    <w:p>
      <w:pPr>
        <w:snapToGrid w:val="0"/>
        <w:spacing w:line="460" w:lineRule="atLeast"/>
        <w:ind w:firstLine="542" w:firstLineChars="225"/>
        <w:rPr>
          <w:rFonts w:ascii="宋体" w:cs="Times New Roman"/>
          <w:sz w:val="24"/>
          <w:szCs w:val="24"/>
        </w:rPr>
      </w:pPr>
      <w:r>
        <w:rPr>
          <w:rFonts w:hint="eastAsia" w:ascii="宋体" w:hAnsi="宋体" w:cs="宋体"/>
          <w:b/>
          <w:bCs/>
          <w:sz w:val="24"/>
          <w:szCs w:val="24"/>
        </w:rPr>
        <w:t>五、采购文件的获取</w:t>
      </w:r>
      <w:r>
        <w:rPr>
          <w:rFonts w:hint="eastAsia" w:ascii="宋体" w:hAnsi="宋体" w:cs="宋体"/>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自本公告发布之日起在公告附件中免费下载，下载地址：</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浙江省政府采购网（</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23"/>
          <w:rFonts w:ascii="宋体" w:hAnsi="宋体" w:eastAsia="宋体" w:cs="宋体"/>
          <w:sz w:val="24"/>
          <w:szCs w:val="24"/>
        </w:rPr>
        <w:t>http://zfcg.czt.zj.gov.cn</w:t>
      </w:r>
      <w:r>
        <w:rPr>
          <w:rFonts w:ascii="宋体" w:hAnsi="宋体" w:eastAsia="宋体" w:cs="宋体"/>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杭州市公共资源交易网（</w:t>
      </w:r>
      <w:r>
        <w:fldChar w:fldCharType="begin"/>
      </w:r>
      <w:r>
        <w:instrText xml:space="preserve"> HYPERLINK "https://www.hzctc.cn/Index/Home" </w:instrText>
      </w:r>
      <w:r>
        <w:fldChar w:fldCharType="separate"/>
      </w:r>
      <w:r>
        <w:rPr>
          <w:rStyle w:val="23"/>
          <w:rFonts w:ascii="宋体" w:hAnsi="宋体" w:cs="宋体"/>
          <w:sz w:val="24"/>
          <w:szCs w:val="24"/>
        </w:rPr>
        <w:t>https://www.hzctc.cn/Index/Home</w:t>
      </w:r>
      <w:r>
        <w:rPr>
          <w:rStyle w:val="23"/>
          <w:rFonts w:ascii="宋体" w:hAnsi="宋体" w:cs="宋体"/>
          <w:sz w:val="24"/>
          <w:szCs w:val="24"/>
        </w:rPr>
        <w:fldChar w:fldCharType="end"/>
      </w:r>
      <w:r>
        <w:rPr>
          <w:rFonts w:hint="eastAsia" w:ascii="宋体" w:hAnsi="宋体" w:cs="宋体"/>
          <w:color w:val="000000"/>
          <w:sz w:val="24"/>
          <w:szCs w:val="24"/>
        </w:rPr>
        <w:t>）；</w:t>
      </w:r>
    </w:p>
    <w:p>
      <w:pPr>
        <w:spacing w:line="460" w:lineRule="atLeast"/>
        <w:ind w:firstLine="480" w:firstLineChars="200"/>
        <w:rPr>
          <w:rFonts w:ascii="宋体" w:cs="Times New Roman"/>
          <w:color w:val="000000"/>
          <w:sz w:val="24"/>
          <w:szCs w:val="24"/>
        </w:rPr>
      </w:pPr>
      <w:r>
        <w:rPr>
          <w:rFonts w:hint="eastAsia" w:ascii="宋体" w:hAnsi="宋体" w:cs="宋体"/>
          <w:color w:val="000000"/>
          <w:sz w:val="24"/>
          <w:szCs w:val="24"/>
        </w:rPr>
        <w:t>临安区政府采购网</w:t>
      </w:r>
      <w:r>
        <w:rPr>
          <w:rFonts w:ascii="宋体" w:hAnsi="宋体" w:cs="宋体"/>
          <w:color w:val="000000"/>
          <w:sz w:val="24"/>
          <w:szCs w:val="24"/>
        </w:rPr>
        <w:t>(</w:t>
      </w:r>
      <w:r>
        <w:rPr>
          <w:rFonts w:hint="eastAsia" w:ascii="仿宋" w:hAnsi="仿宋" w:eastAsia="仿宋" w:cs="仿宋"/>
        </w:rPr>
        <w:fldChar w:fldCharType="begin"/>
      </w:r>
      <w:r>
        <w:rPr>
          <w:rFonts w:hint="eastAsia" w:ascii="仿宋" w:hAnsi="仿宋" w:eastAsia="仿宋" w:cs="仿宋"/>
        </w:rPr>
        <w:instrText xml:space="preserve"> HYPERLINK "http://www.linan.gov.cn/col/col1366369/" </w:instrText>
      </w:r>
      <w:r>
        <w:rPr>
          <w:rFonts w:hint="eastAsia" w:ascii="仿宋" w:hAnsi="仿宋" w:eastAsia="仿宋" w:cs="仿宋"/>
        </w:rPr>
        <w:fldChar w:fldCharType="separate"/>
      </w:r>
      <w:r>
        <w:rPr>
          <w:rStyle w:val="23"/>
          <w:rFonts w:hint="eastAsia" w:ascii="仿宋" w:hAnsi="仿宋" w:eastAsia="仿宋" w:cs="仿宋"/>
          <w:sz w:val="24"/>
        </w:rPr>
        <w:t>http://www.linan.gov.cn/col/col1366369/</w:t>
      </w:r>
      <w:r>
        <w:rPr>
          <w:rStyle w:val="23"/>
          <w:rFonts w:hint="eastAsia" w:ascii="仿宋" w:hAnsi="仿宋" w:eastAsia="仿宋" w:cs="仿宋"/>
          <w:sz w:val="24"/>
        </w:rPr>
        <w:fldChar w:fldCharType="end"/>
      </w:r>
      <w:r>
        <w:t>)</w:t>
      </w:r>
    </w:p>
    <w:p>
      <w:pPr>
        <w:spacing w:line="460" w:lineRule="atLeast"/>
        <w:ind w:firstLine="482" w:firstLineChars="200"/>
        <w:rPr>
          <w:rFonts w:ascii="宋体" w:cs="Times New Roman"/>
          <w:color w:val="000000"/>
          <w:sz w:val="24"/>
          <w:szCs w:val="24"/>
        </w:rPr>
      </w:pPr>
      <w:r>
        <w:rPr>
          <w:rFonts w:hint="eastAsia" w:ascii="宋体" w:hAnsi="宋体" w:cs="宋体"/>
          <w:b/>
          <w:bCs/>
          <w:sz w:val="24"/>
          <w:szCs w:val="24"/>
        </w:rPr>
        <w:t>（注：采购公告上附件里的采购文件仅供阅览使用，报名成功后才视作供应商依法获取采购文件，未进行报名的供应商，对采购文件提起的质疑，将不予受理。）</w:t>
      </w:r>
    </w:p>
    <w:p>
      <w:pPr>
        <w:spacing w:line="400" w:lineRule="atLeast"/>
        <w:ind w:firstLine="482" w:firstLineChars="200"/>
        <w:rPr>
          <w:rFonts w:ascii="宋体" w:cs="Times New Roman"/>
          <w:color w:val="000000"/>
          <w:sz w:val="24"/>
          <w:szCs w:val="24"/>
        </w:rPr>
      </w:pPr>
      <w:r>
        <w:rPr>
          <w:rFonts w:hint="eastAsia" w:ascii="宋体" w:hAnsi="宋体" w:cs="宋体"/>
          <w:b/>
          <w:bCs/>
          <w:color w:val="000000"/>
          <w:sz w:val="24"/>
          <w:szCs w:val="24"/>
        </w:rPr>
        <w:t>六、磋商保证金</w:t>
      </w:r>
      <w:r>
        <w:rPr>
          <w:rFonts w:hint="eastAsia" w:ascii="宋体" w:hAnsi="宋体" w:cs="宋体"/>
          <w:color w:val="000000"/>
          <w:sz w:val="24"/>
          <w:szCs w:val="24"/>
        </w:rPr>
        <w:t>：无</w:t>
      </w:r>
    </w:p>
    <w:p>
      <w:pPr>
        <w:snapToGrid w:val="0"/>
        <w:spacing w:line="400" w:lineRule="atLeast"/>
        <w:ind w:firstLine="482" w:firstLineChars="200"/>
        <w:rPr>
          <w:rFonts w:ascii="宋体" w:cs="Times New Roman"/>
          <w:b/>
          <w:bCs/>
          <w:sz w:val="24"/>
          <w:szCs w:val="24"/>
        </w:rPr>
      </w:pPr>
      <w:r>
        <w:rPr>
          <w:rFonts w:hint="eastAsia" w:ascii="宋体" w:hAnsi="宋体" w:cs="宋体"/>
          <w:b/>
          <w:bCs/>
          <w:sz w:val="24"/>
          <w:szCs w:val="24"/>
        </w:rPr>
        <w:t>七、磋商说明</w:t>
      </w:r>
    </w:p>
    <w:p>
      <w:pPr>
        <w:pStyle w:val="11"/>
        <w:adjustRightInd w:val="0"/>
        <w:snapToGrid w:val="0"/>
        <w:spacing w:before="120" w:after="120" w:line="400" w:lineRule="atLeast"/>
        <w:ind w:firstLine="484" w:firstLineChars="201"/>
        <w:rPr>
          <w:rFonts w:hAnsi="宋体" w:cs="Times New Roman"/>
          <w:b/>
          <w:bCs/>
        </w:rPr>
      </w:pPr>
      <w:r>
        <w:rPr>
          <w:rFonts w:hAnsi="宋体"/>
          <w:b/>
          <w:bCs/>
        </w:rPr>
        <w:t>1.</w:t>
      </w:r>
      <w:r>
        <w:rPr>
          <w:rFonts w:hint="eastAsia" w:hAnsi="宋体"/>
          <w:b/>
          <w:bCs/>
        </w:rPr>
        <w:t>本项目实行电子投标，应按照本项目磋商文件和政采云平台的要求编制、加密并递交磋商响应文件。供应商在使用系统进行投标的过程中遇到涉及平台使用的任何问题，可致电政采云平台技术支持热线咨询，联系方式：</w:t>
      </w:r>
      <w:r>
        <w:rPr>
          <w:rFonts w:hAnsi="宋体"/>
          <w:b/>
          <w:bCs/>
        </w:rPr>
        <w:t>400-881-7190</w:t>
      </w:r>
      <w:r>
        <w:rPr>
          <w:rFonts w:hint="eastAsia" w:hAnsi="宋体"/>
          <w:b/>
          <w:bCs/>
        </w:rPr>
        <w:t>。</w:t>
      </w:r>
    </w:p>
    <w:p>
      <w:pPr>
        <w:pStyle w:val="11"/>
        <w:adjustRightInd w:val="0"/>
        <w:snapToGrid w:val="0"/>
        <w:spacing w:before="120" w:after="120" w:line="400" w:lineRule="atLeast"/>
        <w:ind w:firstLine="484" w:firstLineChars="201"/>
        <w:rPr>
          <w:rFonts w:hAnsi="宋体" w:cs="Times New Roman"/>
          <w:b/>
          <w:bCs/>
        </w:rPr>
      </w:pPr>
      <w:r>
        <w:rPr>
          <w:rFonts w:hAnsi="宋体"/>
          <w:b/>
          <w:bCs/>
        </w:rPr>
        <w:t>2.</w:t>
      </w:r>
      <w:r>
        <w:rPr>
          <w:rFonts w:hint="eastAsia" w:hAnsi="宋体"/>
          <w:b/>
          <w:bCs/>
        </w:rPr>
        <w:t>磋商响应方应在开标前完成</w:t>
      </w:r>
      <w:r>
        <w:rPr>
          <w:rFonts w:hAnsi="宋体"/>
          <w:b/>
          <w:bCs/>
        </w:rPr>
        <w:t>CA</w:t>
      </w:r>
      <w:r>
        <w:rPr>
          <w:rFonts w:hint="eastAsia" w:hAnsi="宋体"/>
          <w:b/>
          <w:bCs/>
        </w:rPr>
        <w:t>数字证书办理。（办理流程详见</w:t>
      </w:r>
      <w:r>
        <w:fldChar w:fldCharType="begin"/>
      </w:r>
      <w:r>
        <w:instrText xml:space="preserve">HYPERLINK "http://www.zjzfcg.gov.cn/bidClientTemplate/2019-05-27/12945.html"</w:instrText>
      </w:r>
      <w:r>
        <w:fldChar w:fldCharType="separate"/>
      </w:r>
      <w:r>
        <w:rPr>
          <w:rFonts w:hAnsi="宋体"/>
          <w:b/>
          <w:bCs/>
        </w:rPr>
        <w:t>http://www.zjzfcg.gov.cn/bidClientTemplate/2019-05-27/12945.html</w:t>
      </w:r>
      <w:r>
        <w:fldChar w:fldCharType="end"/>
      </w:r>
      <w:r>
        <w:rPr>
          <w:rFonts w:hint="eastAsia" w:hAnsi="宋体"/>
          <w:b/>
          <w:bCs/>
        </w:rPr>
        <w:t>）。完成</w:t>
      </w:r>
      <w:r>
        <w:rPr>
          <w:rFonts w:hAnsi="宋体"/>
          <w:b/>
          <w:bCs/>
        </w:rPr>
        <w:t>CA</w:t>
      </w:r>
      <w:r>
        <w:rPr>
          <w:rFonts w:hint="eastAsia" w:hAnsi="宋体"/>
          <w:b/>
          <w:bCs/>
        </w:rPr>
        <w:t>数字证书办理预计一周左右，建议各磋商响应方抓紧时间办理。</w:t>
      </w:r>
    </w:p>
    <w:p>
      <w:pPr>
        <w:pStyle w:val="11"/>
        <w:adjustRightInd w:val="0"/>
        <w:snapToGrid w:val="0"/>
        <w:spacing w:before="120" w:after="120" w:line="400" w:lineRule="atLeast"/>
        <w:ind w:firstLine="484" w:firstLineChars="201"/>
        <w:rPr>
          <w:rFonts w:hAnsi="宋体" w:cs="Times New Roman"/>
          <w:b/>
          <w:bCs/>
        </w:rPr>
      </w:pPr>
      <w:r>
        <w:rPr>
          <w:rFonts w:hAnsi="宋体"/>
          <w:b/>
          <w:bCs/>
        </w:rPr>
        <w:t>3.</w:t>
      </w:r>
      <w:r>
        <w:rPr>
          <w:rFonts w:hint="eastAsia" w:hAnsi="宋体"/>
          <w:b/>
          <w:bCs/>
        </w:rPr>
        <w:t>磋商响应方通过“政采云”平台电子投标工具制作磋商响应文件，电子投标工具请供应商自行前往浙江省政府采购网下载并安装，（下载网址：</w:t>
      </w:r>
      <w:r>
        <w:fldChar w:fldCharType="begin"/>
      </w:r>
      <w:r>
        <w:instrText xml:space="preserve">HYPERLINK "http://www.zjzfcg.gov.cn/bidClientTemplate/2019-05-27/12946.html"</w:instrText>
      </w:r>
      <w:r>
        <w:fldChar w:fldCharType="separate"/>
      </w:r>
      <w:r>
        <w:rPr>
          <w:rFonts w:hAnsi="宋体"/>
          <w:b/>
          <w:bCs/>
        </w:rPr>
        <w:t>http://www.zjzfcg.gov.cn/bidClientTemplate/2019-05-27/12946.html</w:t>
      </w:r>
      <w:r>
        <w:fldChar w:fldCharType="end"/>
      </w:r>
      <w:r>
        <w:rPr>
          <w:rFonts w:hint="eastAsia" w:hAnsi="宋体"/>
          <w:b/>
          <w:bCs/>
        </w:rPr>
        <w:t>），电子投标具体流程详见本招标公告附件：“</w:t>
      </w:r>
      <w:r>
        <w:fldChar w:fldCharType="begin"/>
      </w:r>
      <w:r>
        <w:instrText xml:space="preserve">HYPERLINK "file:///C:\\Users\\Gao\\Documents\\WeChat%20Files\\hawer122\\FileStorage\\File\\2019-06\\电子化投标操作指南.pdf"</w:instrText>
      </w:r>
      <w:r>
        <w:fldChar w:fldCharType="separate"/>
      </w:r>
      <w:r>
        <w:rPr>
          <w:rFonts w:hint="eastAsia" w:hAnsi="宋体"/>
          <w:b/>
          <w:bCs/>
        </w:rPr>
        <w:t>政采云供应商项目采购</w:t>
      </w:r>
      <w:r>
        <w:rPr>
          <w:rFonts w:hAnsi="宋体"/>
          <w:b/>
          <w:bCs/>
        </w:rPr>
        <w:t>-</w:t>
      </w:r>
      <w:r>
        <w:rPr>
          <w:rFonts w:hint="eastAsia" w:hAnsi="宋体"/>
          <w:b/>
          <w:bCs/>
        </w:rPr>
        <w:t>电子招投标操作指南</w:t>
      </w:r>
      <w:r>
        <w:rPr>
          <w:rFonts w:hAnsi="宋体"/>
          <w:b/>
          <w:bCs/>
        </w:rPr>
        <w:t>.pdf</w:t>
      </w:r>
      <w:r>
        <w:fldChar w:fldCharType="end"/>
      </w:r>
      <w:r>
        <w:rPr>
          <w:rFonts w:hint="eastAsia" w:hAnsi="宋体"/>
          <w:b/>
          <w:bCs/>
        </w:rPr>
        <w:t>”。</w:t>
      </w:r>
    </w:p>
    <w:p>
      <w:pPr>
        <w:snapToGrid w:val="0"/>
        <w:spacing w:line="400" w:lineRule="atLeast"/>
        <w:ind w:firstLine="482" w:firstLineChars="200"/>
        <w:jc w:val="left"/>
        <w:rPr>
          <w:rFonts w:ascii="宋体" w:cs="Times New Roman"/>
          <w:sz w:val="24"/>
          <w:szCs w:val="24"/>
        </w:rPr>
      </w:pPr>
      <w:r>
        <w:rPr>
          <w:rFonts w:hint="eastAsia" w:ascii="宋体" w:hAnsi="宋体" w:cs="宋体"/>
          <w:b/>
          <w:bCs/>
          <w:sz w:val="24"/>
          <w:szCs w:val="24"/>
        </w:rPr>
        <w:t>八、磋商响应截止时间和地点</w:t>
      </w:r>
      <w:r>
        <w:rPr>
          <w:rFonts w:hint="eastAsia" w:ascii="宋体" w:hAnsi="宋体" w:cs="宋体"/>
          <w:sz w:val="24"/>
          <w:szCs w:val="24"/>
        </w:rPr>
        <w:t>：</w:t>
      </w:r>
    </w:p>
    <w:p>
      <w:pPr>
        <w:pStyle w:val="11"/>
        <w:adjustRightInd w:val="0"/>
        <w:snapToGrid w:val="0"/>
        <w:spacing w:before="120" w:after="120" w:line="400" w:lineRule="atLeast"/>
        <w:ind w:firstLine="484" w:firstLineChars="201"/>
        <w:rPr>
          <w:rFonts w:hAnsi="宋体" w:cs="Times New Roman"/>
          <w:b/>
          <w:bCs/>
        </w:rPr>
      </w:pPr>
      <w:r>
        <w:rPr>
          <w:rFonts w:hint="eastAsia" w:hAnsi="宋体"/>
          <w:b/>
          <w:bCs/>
        </w:rPr>
        <w:t>本项目于</w:t>
      </w:r>
      <w:r>
        <w:rPr>
          <w:rFonts w:hAnsi="宋体"/>
          <w:b/>
          <w:bCs/>
          <w:highlight w:val="none"/>
        </w:rPr>
        <w:t>2020</w:t>
      </w:r>
      <w:r>
        <w:rPr>
          <w:rFonts w:hint="eastAsia" w:hAnsi="宋体"/>
          <w:b/>
          <w:bCs/>
          <w:highlight w:val="none"/>
        </w:rPr>
        <w:t>年</w:t>
      </w:r>
      <w:r>
        <w:rPr>
          <w:rFonts w:hint="eastAsia" w:hAnsi="宋体"/>
          <w:b/>
          <w:bCs/>
          <w:highlight w:val="none"/>
          <w:lang w:val="en-US" w:eastAsia="zh-CN"/>
        </w:rPr>
        <w:t>11</w:t>
      </w:r>
      <w:r>
        <w:rPr>
          <w:rFonts w:hint="eastAsia" w:hAnsi="宋体"/>
          <w:b/>
          <w:bCs/>
          <w:highlight w:val="none"/>
        </w:rPr>
        <w:t>月</w:t>
      </w:r>
      <w:r>
        <w:rPr>
          <w:rFonts w:hint="eastAsia" w:hAnsi="宋体"/>
          <w:b/>
          <w:bCs/>
          <w:highlight w:val="none"/>
          <w:lang w:val="en-US" w:eastAsia="zh-CN"/>
        </w:rPr>
        <w:t>6</w:t>
      </w:r>
      <w:r>
        <w:rPr>
          <w:rFonts w:hint="eastAsia" w:hAnsi="宋体"/>
          <w:b/>
          <w:bCs/>
          <w:highlight w:val="none"/>
        </w:rPr>
        <w:t>日</w:t>
      </w:r>
      <w:r>
        <w:rPr>
          <w:rFonts w:hAnsi="宋体"/>
          <w:b/>
          <w:bCs/>
          <w:highlight w:val="none"/>
        </w:rPr>
        <w:t xml:space="preserve"> </w:t>
      </w:r>
      <w:r>
        <w:rPr>
          <w:rFonts w:hint="eastAsia" w:hAnsi="宋体"/>
          <w:b/>
          <w:bCs/>
          <w:highlight w:val="none"/>
        </w:rPr>
        <w:t>9</w:t>
      </w:r>
      <w:r>
        <w:rPr>
          <w:rFonts w:hAnsi="宋体"/>
          <w:b/>
          <w:bCs/>
          <w:highlight w:val="none"/>
        </w:rPr>
        <w:t>:00</w:t>
      </w:r>
      <w:r>
        <w:rPr>
          <w:rFonts w:hint="eastAsia" w:hAnsi="宋体"/>
          <w:b/>
          <w:bCs/>
          <w:highlight w:val="none"/>
        </w:rPr>
        <w:t>磋</w:t>
      </w:r>
      <w:r>
        <w:rPr>
          <w:rFonts w:hint="eastAsia" w:hAnsi="宋体"/>
          <w:b/>
          <w:bCs/>
        </w:rPr>
        <w:t>商响应截止。</w:t>
      </w:r>
    </w:p>
    <w:p>
      <w:pPr>
        <w:pStyle w:val="11"/>
        <w:adjustRightInd w:val="0"/>
        <w:snapToGrid w:val="0"/>
        <w:spacing w:before="120" w:after="120" w:line="400" w:lineRule="atLeast"/>
        <w:ind w:firstLine="482" w:firstLineChars="201"/>
        <w:rPr>
          <w:rFonts w:hAnsi="宋体" w:cs="Times New Roman"/>
        </w:rPr>
      </w:pPr>
      <w:r>
        <w:rPr>
          <w:rFonts w:hint="eastAsia" w:hAnsi="宋体"/>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响应截止时间后送达的投标、响应文件，将被政采云平台拒收。</w:t>
      </w:r>
    </w:p>
    <w:p>
      <w:pPr>
        <w:snapToGrid w:val="0"/>
        <w:spacing w:line="460" w:lineRule="atLeast"/>
        <w:ind w:firstLine="455" w:firstLineChars="189"/>
        <w:rPr>
          <w:rFonts w:ascii="宋体" w:cs="Times New Roman"/>
          <w:b/>
          <w:bCs/>
          <w:sz w:val="24"/>
          <w:szCs w:val="24"/>
        </w:rPr>
      </w:pPr>
      <w:r>
        <w:rPr>
          <w:rFonts w:hint="eastAsia" w:ascii="宋体" w:hAnsi="宋体" w:cs="宋体"/>
          <w:b/>
          <w:bCs/>
          <w:sz w:val="24"/>
          <w:szCs w:val="24"/>
        </w:rPr>
        <w:t>九、业务咨询：</w:t>
      </w:r>
    </w:p>
    <w:p>
      <w:pPr>
        <w:snapToGrid w:val="0"/>
        <w:spacing w:line="460" w:lineRule="atLeast"/>
        <w:ind w:firstLine="480" w:firstLineChars="200"/>
        <w:rPr>
          <w:rFonts w:hint="eastAsia" w:ascii="宋体" w:eastAsia="宋体" w:cs="Times New Roman"/>
          <w:sz w:val="24"/>
          <w:szCs w:val="24"/>
          <w:lang w:eastAsia="zh-CN"/>
        </w:rPr>
      </w:pPr>
      <w:r>
        <w:rPr>
          <w:rFonts w:hint="eastAsia" w:ascii="宋体" w:hAnsi="宋体" w:cs="宋体"/>
          <w:sz w:val="24"/>
          <w:szCs w:val="24"/>
        </w:rPr>
        <w:t>杭州市公共资源交易中心临安分中心</w:t>
      </w:r>
      <w:r>
        <w:rPr>
          <w:rFonts w:ascii="宋体" w:hAnsi="宋体" w:cs="宋体"/>
          <w:sz w:val="24"/>
          <w:szCs w:val="24"/>
        </w:rPr>
        <w:t xml:space="preserve">     </w:t>
      </w:r>
      <w:r>
        <w:rPr>
          <w:rFonts w:hint="eastAsia" w:ascii="宋体" w:hAnsi="宋体" w:cs="宋体"/>
          <w:sz w:val="24"/>
          <w:szCs w:val="24"/>
        </w:rPr>
        <w:t>操作执行岗联系人：</w:t>
      </w:r>
      <w:r>
        <w:rPr>
          <w:rFonts w:hint="eastAsia" w:ascii="宋体" w:hAnsi="宋体" w:cs="宋体"/>
          <w:sz w:val="24"/>
          <w:szCs w:val="24"/>
          <w:lang w:eastAsia="zh-CN"/>
        </w:rPr>
        <w:t>杨颖</w:t>
      </w:r>
    </w:p>
    <w:p>
      <w:pPr>
        <w:snapToGrid w:val="0"/>
        <w:spacing w:line="460" w:lineRule="atLeast"/>
        <w:ind w:firstLine="480" w:firstLineChars="200"/>
        <w:rPr>
          <w:rFonts w:hint="default" w:ascii="宋体" w:eastAsia="宋体" w:cs="Times New Roman"/>
          <w:sz w:val="24"/>
          <w:szCs w:val="24"/>
          <w:lang w:val="en-US" w:eastAsia="zh-CN"/>
        </w:rPr>
      </w:pPr>
      <w:r>
        <w:rPr>
          <w:rFonts w:hint="eastAsia" w:ascii="宋体" w:hAnsi="宋体" w:cs="宋体"/>
          <w:sz w:val="24"/>
          <w:szCs w:val="24"/>
        </w:rPr>
        <w:t>联系电话：</w:t>
      </w:r>
      <w:r>
        <w:rPr>
          <w:rFonts w:ascii="宋体" w:hAnsi="宋体" w:cs="宋体"/>
          <w:sz w:val="24"/>
          <w:szCs w:val="24"/>
        </w:rPr>
        <w:t xml:space="preserve">0571-23616011              </w:t>
      </w:r>
      <w:r>
        <w:rPr>
          <w:rFonts w:hint="eastAsia" w:ascii="宋体" w:hAnsi="宋体" w:cs="宋体"/>
          <w:sz w:val="24"/>
          <w:szCs w:val="24"/>
        </w:rPr>
        <w:t>传真：</w:t>
      </w:r>
      <w:r>
        <w:rPr>
          <w:rFonts w:ascii="宋体" w:hAnsi="宋体" w:cs="宋体"/>
          <w:sz w:val="24"/>
          <w:szCs w:val="24"/>
        </w:rPr>
        <w:t>0571-236160</w:t>
      </w:r>
      <w:r>
        <w:rPr>
          <w:rFonts w:hint="eastAsia" w:ascii="宋体" w:hAnsi="宋体" w:cs="宋体"/>
          <w:sz w:val="24"/>
          <w:szCs w:val="24"/>
          <w:lang w:val="en-US" w:eastAsia="zh-CN"/>
        </w:rPr>
        <w:t>16</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质疑答复联系人：</w:t>
      </w:r>
      <w:r>
        <w:rPr>
          <w:rFonts w:hint="eastAsia" w:ascii="宋体" w:hAnsi="宋体" w:cs="宋体"/>
          <w:sz w:val="24"/>
          <w:szCs w:val="24"/>
          <w:lang w:eastAsia="zh-CN"/>
        </w:rPr>
        <w:t>张晨</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0571-23616016 </w:t>
      </w:r>
    </w:p>
    <w:p>
      <w:pPr>
        <w:snapToGrid w:val="0"/>
        <w:spacing w:line="460" w:lineRule="atLeast"/>
        <w:ind w:firstLine="480" w:firstLineChars="200"/>
        <w:rPr>
          <w:rFonts w:ascii="宋体" w:cs="Times New Roman"/>
          <w:sz w:val="24"/>
          <w:szCs w:val="24"/>
        </w:rPr>
      </w:pPr>
      <w:r>
        <w:rPr>
          <w:rFonts w:hint="eastAsia" w:ascii="宋体" w:hAnsi="宋体" w:cs="宋体"/>
          <w:sz w:val="24"/>
          <w:szCs w:val="24"/>
        </w:rPr>
        <w:t xml:space="preserve">采购单位联系人：叶峻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联系电话：13868038791</w:t>
      </w:r>
    </w:p>
    <w:p>
      <w:pPr>
        <w:snapToGrid w:val="0"/>
        <w:spacing w:line="460" w:lineRule="atLeast"/>
        <w:jc w:val="right"/>
        <w:outlineLvl w:val="0"/>
        <w:rPr>
          <w:rFonts w:ascii="宋体" w:hAnsi="宋体" w:cs="宋体"/>
          <w:sz w:val="24"/>
          <w:szCs w:val="24"/>
        </w:rPr>
      </w:pPr>
      <w:r>
        <w:rPr>
          <w:rFonts w:ascii="宋体" w:hAnsi="宋体" w:cs="宋体"/>
          <w:sz w:val="24"/>
          <w:szCs w:val="24"/>
        </w:rPr>
        <w:t xml:space="preserve">                                </w:t>
      </w:r>
    </w:p>
    <w:p>
      <w:pPr>
        <w:snapToGrid w:val="0"/>
        <w:spacing w:line="460" w:lineRule="atLeast"/>
        <w:jc w:val="right"/>
        <w:outlineLvl w:val="0"/>
        <w:rPr>
          <w:rFonts w:ascii="宋体" w:hAnsi="宋体" w:cs="宋体"/>
          <w:sz w:val="24"/>
          <w:szCs w:val="24"/>
        </w:rPr>
      </w:pPr>
    </w:p>
    <w:p>
      <w:pPr>
        <w:snapToGrid w:val="0"/>
        <w:spacing w:line="460" w:lineRule="atLeast"/>
        <w:jc w:val="right"/>
        <w:outlineLvl w:val="0"/>
        <w:rPr>
          <w:rFonts w:ascii="宋体" w:cs="Times New Roman"/>
          <w:sz w:val="24"/>
          <w:szCs w:val="24"/>
        </w:rPr>
      </w:pPr>
      <w:r>
        <w:rPr>
          <w:rFonts w:hint="eastAsia" w:ascii="宋体" w:hAnsi="宋体" w:cs="宋体"/>
          <w:sz w:val="24"/>
          <w:szCs w:val="24"/>
        </w:rPr>
        <w:t>杭州市公共资源交易中心临安分中心</w:t>
      </w:r>
    </w:p>
    <w:p>
      <w:pPr>
        <w:snapToGrid w:val="0"/>
        <w:spacing w:line="460" w:lineRule="atLeast"/>
        <w:jc w:val="right"/>
        <w:outlineLvl w:val="0"/>
        <w:rPr>
          <w:rFonts w:hint="eastAsia" w:ascii="宋体" w:hAnsi="宋体" w:cs="宋体"/>
          <w:b/>
          <w:bCs/>
          <w:sz w:val="36"/>
          <w:szCs w:val="36"/>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2020</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w:t>
      </w:r>
    </w:p>
    <w:p>
      <w:pPr>
        <w:snapToGrid w:val="0"/>
        <w:spacing w:line="500" w:lineRule="exact"/>
        <w:jc w:val="center"/>
        <w:outlineLvl w:val="0"/>
        <w:rPr>
          <w:rFonts w:ascii="宋体" w:cs="Times New Roman"/>
          <w:b/>
          <w:bCs/>
          <w:sz w:val="36"/>
          <w:szCs w:val="36"/>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前附表</w:t>
      </w:r>
    </w:p>
    <w:tbl>
      <w:tblPr>
        <w:tblStyle w:val="19"/>
        <w:tblW w:w="910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hint="eastAsia" w:ascii="宋体" w:hAnsi="宋体" w:cs="宋体"/>
                <w:sz w:val="24"/>
                <w:szCs w:val="24"/>
              </w:rPr>
              <w:t>序号</w:t>
            </w:r>
          </w:p>
        </w:tc>
        <w:tc>
          <w:tcPr>
            <w:tcW w:w="8239" w:type="dxa"/>
            <w:tcBorders>
              <w:top w:val="single" w:color="auto" w:sz="4" w:space="0"/>
              <w:left w:val="single" w:color="auto" w:sz="4" w:space="0"/>
              <w:bottom w:val="single" w:color="auto" w:sz="4" w:space="0"/>
            </w:tcBorders>
            <w:vAlign w:val="center"/>
          </w:tcPr>
          <w:p>
            <w:pPr>
              <w:snapToGrid w:val="0"/>
              <w:spacing w:line="400" w:lineRule="exact"/>
              <w:ind w:firstLine="1680" w:firstLineChars="700"/>
              <w:rPr>
                <w:rFonts w:ascii="宋体" w:cs="Times New Roman"/>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r>
              <w:rPr>
                <w:rFonts w:ascii="宋体" w:hAnsi="宋体" w:cs="宋体"/>
                <w:sz w:val="24"/>
                <w:szCs w:val="24"/>
              </w:rPr>
              <w:t xml:space="preserve">    </w:t>
            </w:r>
            <w:r>
              <w:rPr>
                <w:rFonts w:hint="eastAsia" w:ascii="宋体" w:hAnsi="宋体" w:cs="宋体"/>
                <w:sz w:val="24"/>
                <w:szCs w:val="24"/>
              </w:rPr>
              <w:t>及</w:t>
            </w:r>
            <w:r>
              <w:rPr>
                <w:rFonts w:ascii="宋体" w:hAnsi="宋体" w:cs="宋体"/>
                <w:sz w:val="24"/>
                <w:szCs w:val="24"/>
              </w:rPr>
              <w:t xml:space="preserve">    </w:t>
            </w:r>
            <w:r>
              <w:rPr>
                <w:rFonts w:hint="eastAsia" w:ascii="宋体" w:hAnsi="宋体" w:cs="宋体"/>
                <w:sz w:val="24"/>
                <w:szCs w:val="24"/>
              </w:rPr>
              <w:t>要</w:t>
            </w:r>
            <w:r>
              <w:rPr>
                <w:rFonts w:ascii="宋体" w:hAnsi="宋体" w:cs="宋体"/>
                <w:sz w:val="24"/>
                <w:szCs w:val="24"/>
              </w:rPr>
              <w:t xml:space="preserve">    </w:t>
            </w:r>
            <w:r>
              <w:rPr>
                <w:rFonts w:hint="eastAsia" w:ascii="宋体" w:hAnsi="宋体" w:cs="宋体"/>
                <w:sz w:val="24"/>
                <w:szCs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w:t>
            </w:r>
          </w:p>
        </w:tc>
        <w:tc>
          <w:tcPr>
            <w:tcW w:w="8239" w:type="dxa"/>
            <w:tcBorders>
              <w:top w:val="single" w:color="auto" w:sz="4" w:space="0"/>
              <w:left w:val="single" w:color="auto" w:sz="4" w:space="0"/>
              <w:bottom w:val="single" w:color="auto" w:sz="4" w:space="0"/>
            </w:tcBorders>
            <w:vAlign w:val="center"/>
          </w:tcPr>
          <w:p>
            <w:pPr>
              <w:pStyle w:val="11"/>
              <w:spacing w:beforeLines="0" w:afterLines="0"/>
              <w:ind w:firstLine="4" w:firstLineChars="2"/>
              <w:jc w:val="left"/>
              <w:rPr>
                <w:rFonts w:hAnsi="宋体" w:cs="Times New Roman"/>
                <w:color w:val="FF0000"/>
              </w:rPr>
            </w:pPr>
            <w:r>
              <w:rPr>
                <w:rFonts w:hint="eastAsia" w:hAnsi="宋体"/>
              </w:rPr>
              <w:t>项目名称：</w:t>
            </w:r>
            <w:r>
              <w:rPr>
                <w:rFonts w:hint="eastAsia" w:ascii="宋体" w:cs="Times New Roman"/>
                <w:sz w:val="24"/>
                <w:szCs w:val="24"/>
                <w:lang w:val="en-US" w:eastAsia="zh-CN"/>
              </w:rPr>
              <w:t>中共杭州市临安区委办公室商用密码服务体系建设项目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2</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投标保证金应按《采购公告》</w:t>
            </w:r>
            <w:r>
              <w:rPr>
                <w:rFonts w:hint="eastAsia" w:ascii="宋体" w:hAnsi="宋体" w:cs="宋体"/>
                <w:sz w:val="24"/>
                <w:szCs w:val="24"/>
                <w:lang w:eastAsia="zh-CN"/>
              </w:rPr>
              <w:t>六</w:t>
            </w:r>
            <w:r>
              <w:rPr>
                <w:rFonts w:hint="eastAsia" w:ascii="宋体" w:hAnsi="宋体" w:cs="宋体"/>
                <w:sz w:val="24"/>
                <w:szCs w:val="24"/>
              </w:rPr>
              <w:t>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3</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rPr>
            </w:pPr>
            <w:r>
              <w:rPr>
                <w:rFonts w:hint="eastAsia" w:ascii="宋体" w:hAnsi="宋体" w:cs="宋体"/>
                <w:sz w:val="24"/>
                <w:szCs w:val="24"/>
              </w:rPr>
              <w:t>答疑与澄清：磋商响应供应商如认为磋商文件表述不清晰、存在歧视性或者其他违法内容的，应当以书面形式要求采购机构或采购人作出书面解释、澄清或者向采购机构提出书面质疑，逾期不再受理。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4</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highlight w:val="none"/>
              </w:rPr>
            </w:pPr>
            <w:r>
              <w:rPr>
                <w:rFonts w:hint="eastAsia" w:ascii="宋体" w:hAnsi="宋体" w:cs="宋体"/>
                <w:sz w:val="24"/>
                <w:szCs w:val="24"/>
                <w:highlight w:val="none"/>
              </w:rPr>
              <w:t>投标截止时间：</w:t>
            </w:r>
            <w:r>
              <w:rPr>
                <w:rFonts w:ascii="宋体" w:hAnsi="宋体" w:cs="宋体"/>
                <w:sz w:val="24"/>
                <w:szCs w:val="24"/>
                <w:highlight w:val="none"/>
              </w:rPr>
              <w:t>2020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rPr>
              <w:t>日9时</w:t>
            </w:r>
            <w:r>
              <w:rPr>
                <w:rFonts w:ascii="宋体" w:cs="宋体"/>
                <w:sz w:val="24"/>
                <w:szCs w:val="24"/>
                <w:highlight w:val="none"/>
              </w:rPr>
              <w:t>00</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5</w:t>
            </w:r>
          </w:p>
        </w:tc>
        <w:tc>
          <w:tcPr>
            <w:tcW w:w="8239" w:type="dxa"/>
            <w:tcBorders>
              <w:top w:val="single" w:color="auto" w:sz="4" w:space="0"/>
              <w:left w:val="single" w:color="auto" w:sz="4" w:space="0"/>
              <w:bottom w:val="single" w:color="auto" w:sz="4" w:space="0"/>
            </w:tcBorders>
            <w:vAlign w:val="center"/>
          </w:tcPr>
          <w:p>
            <w:pPr>
              <w:snapToGrid w:val="0"/>
              <w:spacing w:line="400" w:lineRule="exact"/>
              <w:rPr>
                <w:rFonts w:ascii="宋体" w:cs="Times New Roman"/>
                <w:sz w:val="24"/>
                <w:szCs w:val="24"/>
                <w:highlight w:val="none"/>
              </w:rPr>
            </w:pPr>
            <w:r>
              <w:rPr>
                <w:rFonts w:hint="eastAsia" w:ascii="宋体" w:hAnsi="宋体" w:cs="宋体"/>
                <w:sz w:val="24"/>
                <w:szCs w:val="24"/>
                <w:highlight w:val="none"/>
              </w:rPr>
              <w:t>开标时间、地点：</w:t>
            </w:r>
            <w:r>
              <w:rPr>
                <w:rFonts w:ascii="宋体" w:hAnsi="宋体" w:cs="宋体"/>
                <w:sz w:val="24"/>
                <w:szCs w:val="24"/>
                <w:highlight w:val="none"/>
              </w:rPr>
              <w:t>2020</w:t>
            </w:r>
            <w:r>
              <w:rPr>
                <w:rFonts w:hint="eastAsia" w:ascii="宋体" w:hAnsi="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6</w:t>
            </w:r>
            <w:r>
              <w:rPr>
                <w:rFonts w:hint="eastAsia" w:ascii="宋体" w:hAnsi="宋体" w:cs="宋体"/>
                <w:sz w:val="24"/>
                <w:szCs w:val="24"/>
                <w:highlight w:val="none"/>
              </w:rPr>
              <w:t>日9时</w:t>
            </w:r>
            <w:r>
              <w:rPr>
                <w:rFonts w:ascii="宋体" w:cs="宋体"/>
                <w:sz w:val="24"/>
                <w:szCs w:val="24"/>
                <w:highlight w:val="none"/>
              </w:rPr>
              <w:t>00</w:t>
            </w:r>
            <w:r>
              <w:rPr>
                <w:rFonts w:hint="eastAsia" w:ascii="宋体" w:hAnsi="宋体" w:cs="宋体"/>
                <w:sz w:val="24"/>
                <w:szCs w:val="24"/>
                <w:highlight w:val="none"/>
              </w:rPr>
              <w:t>分。本项目采用全流程电子化交易，无须参加现场开标</w:t>
            </w:r>
            <w:bookmarkStart w:id="8" w:name="_GoBack"/>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6</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本项目实行网上投标。目前政府采购全流程电子化交易，供应商应准备电子磋商响应文件，按政采云平台项目采购</w:t>
            </w:r>
            <w:r>
              <w:rPr>
                <w:rFonts w:ascii="宋体" w:cs="宋体"/>
                <w:b/>
                <w:bCs/>
                <w:sz w:val="24"/>
                <w:szCs w:val="24"/>
              </w:rPr>
              <w:t>-</w:t>
            </w:r>
            <w:r>
              <w:rPr>
                <w:rFonts w:hint="eastAsia" w:ascii="宋体" w:hAnsi="宋体" w:cs="宋体"/>
                <w:b/>
                <w:bCs/>
                <w:sz w:val="24"/>
                <w:szCs w:val="24"/>
              </w:rPr>
              <w:t>电子招投标操作指南及本招标文件要求递交。磋商响应文件均由资质文件、技术及商务文件、报价文件组成。磋商响应方务必按时自行解密，规定时间内解密失败者作无效响应处理。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7</w:t>
            </w:r>
          </w:p>
        </w:tc>
        <w:tc>
          <w:tcPr>
            <w:tcW w:w="8239" w:type="dxa"/>
            <w:tcBorders>
              <w:top w:val="single" w:color="auto" w:sz="4" w:space="0"/>
              <w:left w:val="single" w:color="auto" w:sz="4" w:space="0"/>
              <w:bottom w:val="single" w:color="auto" w:sz="4" w:space="0"/>
            </w:tcBorders>
            <w:vAlign w:val="center"/>
          </w:tcPr>
          <w:p>
            <w:pPr>
              <w:spacing w:line="360" w:lineRule="auto"/>
              <w:rPr>
                <w:rFonts w:ascii="宋体" w:cs="Times New Roman"/>
                <w:b/>
                <w:bCs/>
                <w:sz w:val="24"/>
                <w:szCs w:val="24"/>
              </w:rPr>
            </w:pPr>
            <w:r>
              <w:rPr>
                <w:rFonts w:hint="eastAsia" w:ascii="宋体" w:hAnsi="宋体" w:cs="宋体"/>
                <w:b/>
                <w:bCs/>
                <w:sz w:val="24"/>
                <w:szCs w:val="24"/>
              </w:rPr>
              <w:t>磋商响应文件的接受：磋商响应方应当在磋商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投标、响应截止时间后送达的磋商响应文件，将被政采云平台拒收。投标人还可以在投标截止时间前直接提交或者以邮政快递方式递交备份投标文件1份。备份投标文的制作、存储、密封详见招标文件第二章第二部分“投标文件的编制”第八点“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8</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评审结果公示：评审结束后两个工作日内，中标公示于</w:t>
            </w:r>
            <w:r>
              <w:rPr>
                <w:rFonts w:hint="eastAsia" w:ascii="宋体" w:hAnsi="宋体" w:cs="宋体"/>
                <w:sz w:val="24"/>
                <w:szCs w:val="24"/>
                <w:lang w:eastAsia="zh-CN"/>
              </w:rPr>
              <w:t>浙江政府采购网、杭州市公共资源交易网</w:t>
            </w:r>
            <w:r>
              <w:rPr>
                <w:rFonts w:hint="eastAsia" w:ascii="宋体" w:hAnsi="宋体" w:cs="宋体"/>
                <w:sz w:val="24"/>
                <w:szCs w:val="24"/>
              </w:rPr>
              <w:t>，公示无异议后发出中标通知书。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9</w:t>
            </w:r>
          </w:p>
        </w:tc>
        <w:tc>
          <w:tcPr>
            <w:tcW w:w="8239" w:type="dxa"/>
            <w:tcBorders>
              <w:top w:val="single" w:color="auto" w:sz="4" w:space="0"/>
              <w:left w:val="single" w:color="auto" w:sz="4" w:space="0"/>
              <w:bottom w:val="single" w:color="auto" w:sz="4" w:space="0"/>
            </w:tcBorders>
            <w:vAlign w:val="center"/>
          </w:tcPr>
          <w:p>
            <w:pPr>
              <w:autoSpaceDE w:val="0"/>
              <w:autoSpaceDN w:val="0"/>
              <w:snapToGrid w:val="0"/>
              <w:spacing w:line="400" w:lineRule="exact"/>
              <w:textAlignment w:val="bottom"/>
              <w:rPr>
                <w:rFonts w:ascii="宋体" w:cs="Times New Roman"/>
                <w:sz w:val="24"/>
                <w:szCs w:val="24"/>
              </w:rPr>
            </w:pPr>
            <w:r>
              <w:rPr>
                <w:rFonts w:hint="eastAsia" w:ascii="宋体" w:hAnsi="宋体" w:cs="宋体"/>
                <w:sz w:val="24"/>
                <w:szCs w:val="24"/>
              </w:rPr>
              <w:t>签订合同时间：中标通知书发出后</w:t>
            </w:r>
            <w:r>
              <w:rPr>
                <w:rFonts w:ascii="宋体" w:hAnsi="宋体" w:cs="宋体"/>
                <w:sz w:val="24"/>
                <w:szCs w:val="24"/>
              </w:rPr>
              <w:t>30</w:t>
            </w:r>
            <w:r>
              <w:rPr>
                <w:rFonts w:hint="eastAsia" w:ascii="宋体" w:hAnsi="宋体" w:cs="宋体"/>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10</w:t>
            </w:r>
          </w:p>
        </w:tc>
        <w:tc>
          <w:tcPr>
            <w:tcW w:w="8239" w:type="dxa"/>
            <w:tcBorders>
              <w:top w:val="single" w:color="auto" w:sz="4" w:space="0"/>
              <w:left w:val="single" w:color="auto" w:sz="4" w:space="0"/>
              <w:bottom w:val="single" w:color="auto" w:sz="4" w:space="0"/>
            </w:tcBorders>
            <w:vAlign w:val="center"/>
          </w:tcPr>
          <w:p>
            <w:pPr>
              <w:pStyle w:val="11"/>
              <w:adjustRightInd w:val="0"/>
              <w:snapToGrid w:val="0"/>
              <w:spacing w:beforeLines="0" w:afterLines="0"/>
              <w:rPr>
                <w:rFonts w:hAnsi="宋体" w:cs="Times New Roman"/>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11</w:t>
            </w:r>
          </w:p>
        </w:tc>
        <w:tc>
          <w:tcPr>
            <w:tcW w:w="8239" w:type="dxa"/>
            <w:tcBorders>
              <w:top w:val="single" w:color="auto" w:sz="4" w:space="0"/>
              <w:left w:val="single" w:color="auto" w:sz="4" w:space="0"/>
              <w:bottom w:val="single" w:color="auto" w:sz="4" w:space="0"/>
            </w:tcBorders>
            <w:vAlign w:val="center"/>
          </w:tcPr>
          <w:p>
            <w:pPr>
              <w:pStyle w:val="11"/>
              <w:adjustRightInd w:val="0"/>
              <w:spacing w:before="120" w:after="120"/>
              <w:rPr>
                <w:rFonts w:hAnsi="宋体" w:cs="Times New Roman"/>
              </w:rPr>
            </w:pPr>
            <w:r>
              <w:rPr>
                <w:rFonts w:hint="eastAsia" w:hAnsi="宋体"/>
              </w:rPr>
              <w:t>信用记录：根据财库</w:t>
            </w:r>
            <w:r>
              <w:rPr>
                <w:rFonts w:hAnsi="宋体"/>
              </w:rPr>
              <w:t>[2016]125</w:t>
            </w:r>
            <w:r>
              <w:rPr>
                <w:rFonts w:hint="eastAsia" w:hAnsi="宋体"/>
              </w:rPr>
              <w:t>号文件，通过“信用中国”网站（</w:t>
            </w:r>
            <w:r>
              <w:rPr>
                <w:rFonts w:hAnsi="宋体"/>
              </w:rPr>
              <w:t>www.creditchina.gov.cn</w:t>
            </w:r>
            <w:r>
              <w:rPr>
                <w:rFonts w:hint="eastAsia" w:hAnsi="宋体"/>
              </w:rPr>
              <w:t>）、中国政府采购网（</w:t>
            </w:r>
            <w:r>
              <w:rPr>
                <w:rFonts w:hAnsi="宋体"/>
              </w:rPr>
              <w:t>www.ccgp.gov.cn</w:t>
            </w:r>
            <w:r>
              <w:rPr>
                <w:rFonts w:hint="eastAsia" w:hAnsi="宋体"/>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12</w:t>
            </w:r>
          </w:p>
        </w:tc>
        <w:tc>
          <w:tcPr>
            <w:tcW w:w="8239" w:type="dxa"/>
            <w:tcBorders>
              <w:top w:val="single" w:color="auto" w:sz="4" w:space="0"/>
              <w:left w:val="single" w:color="auto" w:sz="4" w:space="0"/>
              <w:bottom w:val="single" w:color="auto" w:sz="4" w:space="0"/>
            </w:tcBorders>
            <w:vAlign w:val="center"/>
          </w:tcPr>
          <w:p>
            <w:pPr>
              <w:pStyle w:val="11"/>
              <w:adjustRightInd w:val="0"/>
              <w:spacing w:before="120" w:after="120"/>
              <w:rPr>
                <w:rFonts w:hAnsi="宋体" w:cs="Times New Roman"/>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1"/>
              <w:adjustRightInd w:val="0"/>
              <w:spacing w:before="120" w:after="120"/>
              <w:rPr>
                <w:rFonts w:hAnsi="宋体" w:cs="Times New Roman"/>
              </w:rPr>
            </w:pPr>
            <w:r>
              <w:rPr>
                <w:rFonts w:hint="eastAsia" w:hAnsi="宋体"/>
              </w:rPr>
              <w:t>招标需求中要求提供的产品属于节能清单中政府强制采购节能产品品目的，磋商响应方须提供该清单内产品，否则其投标将作为无效标处理。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13</w:t>
            </w:r>
          </w:p>
        </w:tc>
        <w:tc>
          <w:tcPr>
            <w:tcW w:w="8239" w:type="dxa"/>
            <w:tcBorders>
              <w:top w:val="single" w:color="auto" w:sz="4" w:space="0"/>
              <w:left w:val="single" w:color="auto" w:sz="4" w:space="0"/>
              <w:bottom w:val="single" w:color="auto" w:sz="4" w:space="0"/>
            </w:tcBorders>
            <w:vAlign w:val="center"/>
          </w:tcPr>
          <w:p>
            <w:pPr>
              <w:pStyle w:val="11"/>
              <w:adjustRightInd w:val="0"/>
              <w:spacing w:before="120" w:after="120" w:line="360" w:lineRule="exact"/>
              <w:rPr>
                <w:rFonts w:hAnsi="宋体" w:cs="Times New Roman"/>
              </w:rPr>
            </w:pPr>
            <w:r>
              <w:rPr>
                <w:rFonts w:hint="eastAsia" w:hAnsi="宋体"/>
              </w:rPr>
              <w:t>小微企业有关政策：</w:t>
            </w:r>
            <w:r>
              <w:rPr>
                <w:rFonts w:hAnsi="宋体"/>
              </w:rPr>
              <w:t>1</w:t>
            </w:r>
            <w:r>
              <w:rPr>
                <w:rFonts w:hint="eastAsia" w:hAnsi="宋体"/>
              </w:rPr>
              <w:t>、根据财库〔</w:t>
            </w:r>
            <w:r>
              <w:rPr>
                <w:rFonts w:hAnsi="宋体"/>
              </w:rPr>
              <w:t>2011</w:t>
            </w:r>
            <w:r>
              <w:rPr>
                <w:rFonts w:hint="eastAsia" w:hAnsi="宋体"/>
              </w:rPr>
              <w:t>〕</w:t>
            </w:r>
            <w:r>
              <w:rPr>
                <w:rFonts w:hAnsi="宋体"/>
              </w:rPr>
              <w:t>181</w:t>
            </w:r>
            <w:r>
              <w:rPr>
                <w:rFonts w:hint="eastAsia" w:hAnsi="宋体"/>
              </w:rPr>
              <w:t>号的相关规定，在评审时对小型和微型企业的投标报价给予</w:t>
            </w:r>
            <w:bookmarkStart w:id="0" w:name="小微企业价格扣除比例2"/>
            <w:r>
              <w:rPr>
                <w:rFonts w:hAnsi="宋体"/>
              </w:rPr>
              <w:t>6</w:t>
            </w:r>
            <w:bookmarkEnd w:id="0"/>
            <w:r>
              <w:rPr>
                <w:rFonts w:hAnsi="宋体"/>
              </w:rPr>
              <w:t>%</w:t>
            </w:r>
            <w:r>
              <w:rPr>
                <w:rFonts w:hint="eastAsia" w:hAnsi="宋体"/>
              </w:rPr>
              <w:t>的扣除，取扣除后的价格作为最终投标报价（此最终投标报价仅作为价格分计算）。属于小型和微型企业的，磋商响应文件中磋商响应方必须提供的《中小企业声明函》以及本单位、制造商（如有）“国家企业信用信息公示系统</w:t>
            </w:r>
            <w:r>
              <w:rPr>
                <w:rFonts w:hAnsi="宋体"/>
              </w:rPr>
              <w:t>——</w:t>
            </w:r>
            <w:r>
              <w:rPr>
                <w:rFonts w:hint="eastAsia" w:hAnsi="宋体"/>
              </w:rPr>
              <w:t>小微企业名录”页面查询结果（查询时间为投标前一周内，并加盖本单位公章），并在报价明细表中说明制造商情况。</w:t>
            </w:r>
          </w:p>
          <w:p>
            <w:pPr>
              <w:pStyle w:val="11"/>
              <w:adjustRightInd w:val="0"/>
              <w:spacing w:before="120" w:after="120" w:line="360" w:lineRule="exact"/>
              <w:rPr>
                <w:rFonts w:hAnsi="宋体" w:cs="Times New Roman"/>
              </w:rPr>
            </w:pPr>
            <w:r>
              <w:rPr>
                <w:rFonts w:hint="eastAsia" w:hAnsi="宋体"/>
              </w:rPr>
              <w:t>联合体投标时，联合体各方均为小型、微型企业的，联合体视同为小型、微型企业享受政策</w:t>
            </w:r>
            <w:r>
              <w:rPr>
                <w:rFonts w:hAnsi="宋体"/>
              </w:rPr>
              <w:t>;</w:t>
            </w:r>
            <w:r>
              <w:rPr>
                <w:rFonts w:hint="eastAsia" w:hAnsi="宋体"/>
              </w:rPr>
              <w:t>联合体其中一方为小型、微型企业的，联合协议中约定小型、微型企业的协议合同金额占到联合体协议合同总额</w:t>
            </w:r>
            <w:r>
              <w:rPr>
                <w:rFonts w:hAnsi="宋体"/>
              </w:rPr>
              <w:t>30%</w:t>
            </w:r>
            <w:r>
              <w:rPr>
                <w:rFonts w:hint="eastAsia" w:hAnsi="宋体"/>
              </w:rPr>
              <w:t>以上的，给予联合体</w:t>
            </w:r>
            <w:r>
              <w:rPr>
                <w:rFonts w:hAnsi="宋体"/>
              </w:rPr>
              <w:t xml:space="preserve">    (2-3%)</w:t>
            </w:r>
            <w:r>
              <w:rPr>
                <w:rFonts w:hint="eastAsia" w:hAnsi="宋体"/>
              </w:rPr>
              <w:t>的价格扣除，须同时提供联合体协议约定（包含小型、微型企业的协议合同份额）。</w:t>
            </w:r>
          </w:p>
          <w:p>
            <w:pPr>
              <w:pStyle w:val="11"/>
              <w:adjustRightInd w:val="0"/>
              <w:spacing w:before="120" w:after="120" w:line="360" w:lineRule="exact"/>
              <w:rPr>
                <w:rFonts w:hAnsi="宋体" w:cs="Times New Roman"/>
              </w:rPr>
            </w:pPr>
            <w:r>
              <w:rPr>
                <w:rFonts w:hAnsi="宋体"/>
              </w:rPr>
              <w:t>2</w:t>
            </w:r>
            <w:r>
              <w:rPr>
                <w:rFonts w:hint="eastAsia" w:hAnsi="宋体"/>
              </w:rPr>
              <w:t>、根据财库</w:t>
            </w:r>
            <w:r>
              <w:rPr>
                <w:rFonts w:hAnsi="宋体"/>
              </w:rPr>
              <w:t>[2017]141</w:t>
            </w:r>
            <w:r>
              <w:rPr>
                <w:rFonts w:hint="eastAsia" w:hAnsi="宋体"/>
              </w:rPr>
              <w:t>号的相关规定，在政府采购活动中，残疾人福利性单位视同小型、微型企业，享受评审中价格扣除政策。属于享受政府采购支持政策的残疾人福利性单位，应满足财库</w:t>
            </w:r>
            <w:r>
              <w:rPr>
                <w:rFonts w:hAnsi="宋体"/>
              </w:rPr>
              <w:t>[2017]141</w:t>
            </w:r>
            <w:r>
              <w:rPr>
                <w:rFonts w:hint="eastAsia" w:hAnsi="宋体"/>
              </w:rPr>
              <w:t>号文件第一条的规定，并在磋商响应文件中提供残疾人福利性单位声明函（见附件）。</w:t>
            </w:r>
          </w:p>
          <w:p>
            <w:pPr>
              <w:pStyle w:val="11"/>
              <w:adjustRightInd w:val="0"/>
              <w:spacing w:before="120" w:after="120" w:line="360" w:lineRule="exact"/>
              <w:rPr>
                <w:rFonts w:hAnsi="宋体" w:cs="Times New Roman"/>
              </w:rPr>
            </w:pPr>
            <w:r>
              <w:rPr>
                <w:rFonts w:hAnsi="宋体"/>
              </w:rPr>
              <w:t>3.</w:t>
            </w:r>
            <w:r>
              <w:rPr>
                <w:rFonts w:hint="eastAsia" w:hAnsi="宋体"/>
              </w:rPr>
              <w:t>根据财库</w:t>
            </w:r>
            <w:r>
              <w:rPr>
                <w:rFonts w:hAnsi="宋体"/>
              </w:rPr>
              <w:t>[2014]68</w:t>
            </w:r>
            <w:r>
              <w:rPr>
                <w:rFonts w:hint="eastAsia" w:hAnsi="宋体"/>
              </w:rPr>
              <w:t>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pStyle w:val="11"/>
              <w:adjustRightInd w:val="0"/>
              <w:spacing w:before="120" w:after="120" w:line="360" w:lineRule="exact"/>
              <w:rPr>
                <w:rFonts w:hAnsi="宋体" w:cs="Times New Roman"/>
              </w:rPr>
            </w:pPr>
            <w:r>
              <w:rPr>
                <w:rFonts w:hAnsi="宋体"/>
              </w:rPr>
              <w:t>(</w:t>
            </w:r>
            <w:r>
              <w:rPr>
                <w:rFonts w:hint="eastAsia" w:hAnsi="宋体"/>
              </w:rPr>
              <w:t>注：未提供以上材料的，均不给予价格扣除）。</w:t>
            </w:r>
          </w:p>
          <w:p>
            <w:pPr>
              <w:pStyle w:val="11"/>
              <w:adjustRightInd w:val="0"/>
              <w:spacing w:before="120" w:after="120" w:line="360" w:lineRule="exact"/>
              <w:rPr>
                <w:rFonts w:hAnsi="宋体" w:cs="Times New Roman"/>
                <w:b/>
                <w:bCs/>
              </w:rPr>
            </w:pPr>
            <w:r>
              <w:rPr>
                <w:rFonts w:hAnsi="宋体"/>
              </w:rPr>
              <w:t>4</w:t>
            </w:r>
            <w:r>
              <w:rPr>
                <w:rFonts w:hint="eastAsia" w:hAnsi="宋体"/>
              </w:rPr>
              <w:t>、凡已在浙江政府采购网网上注册入库，并取得临安区政府采购合同的中小企业供应商，均可申请政府采购信用融资</w:t>
            </w:r>
            <w:r>
              <w:rPr>
                <w:rFonts w:hint="eastAsia" w:hAnsi="宋体"/>
                <w:lang w:eastAsia="zh-CN"/>
              </w:rPr>
              <w:t>，</w:t>
            </w:r>
            <w:r>
              <w:rPr>
                <w:rFonts w:hint="eastAsia" w:hAnsi="宋体"/>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14</w:t>
            </w:r>
          </w:p>
        </w:tc>
        <w:tc>
          <w:tcPr>
            <w:tcW w:w="8239" w:type="dxa"/>
            <w:tcBorders>
              <w:top w:val="single" w:color="auto" w:sz="4" w:space="0"/>
              <w:left w:val="single" w:color="auto" w:sz="4" w:space="0"/>
              <w:bottom w:val="single" w:color="auto" w:sz="4" w:space="0"/>
            </w:tcBorders>
            <w:vAlign w:val="center"/>
          </w:tcPr>
          <w:p>
            <w:pPr>
              <w:pStyle w:val="11"/>
              <w:adjustRightInd w:val="0"/>
              <w:spacing w:before="120" w:after="120"/>
              <w:rPr>
                <w:rFonts w:hAnsi="宋体" w:cs="Times New Roman"/>
              </w:rPr>
            </w:pPr>
            <w:r>
              <w:rPr>
                <w:rFonts w:hint="eastAsia" w:hAnsi="宋体"/>
              </w:rPr>
              <w:t>磋商响应文件有效期：</w:t>
            </w:r>
            <w:r>
              <w:rPr>
                <w:rFonts w:hAnsi="宋体"/>
              </w:rPr>
              <w:t>90</w:t>
            </w:r>
            <w:r>
              <w:rPr>
                <w:rFonts w:hint="eastAsia"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cs="Times New Roman"/>
                <w:sz w:val="24"/>
                <w:szCs w:val="24"/>
              </w:rPr>
            </w:pPr>
            <w:r>
              <w:rPr>
                <w:rFonts w:ascii="宋体" w:hAnsi="宋体" w:cs="宋体"/>
                <w:sz w:val="24"/>
                <w:szCs w:val="24"/>
              </w:rPr>
              <w:t>15</w:t>
            </w:r>
          </w:p>
        </w:tc>
        <w:tc>
          <w:tcPr>
            <w:tcW w:w="8239" w:type="dxa"/>
            <w:tcBorders>
              <w:top w:val="single" w:color="auto" w:sz="4" w:space="0"/>
              <w:left w:val="single" w:color="auto" w:sz="4" w:space="0"/>
              <w:bottom w:val="single" w:color="auto" w:sz="4" w:space="0"/>
            </w:tcBorders>
            <w:vAlign w:val="center"/>
          </w:tcPr>
          <w:p>
            <w:pPr>
              <w:pStyle w:val="11"/>
              <w:adjustRightInd w:val="0"/>
              <w:spacing w:before="120" w:after="120"/>
              <w:rPr>
                <w:rFonts w:hAnsi="宋体" w:cs="Times New Roman"/>
              </w:rPr>
            </w:pPr>
            <w:r>
              <w:rPr>
                <w:rFonts w:hint="eastAsia" w:hAnsi="宋体"/>
              </w:rPr>
              <w:t>解释：本采购文件的解释权属于杭州市公共资源交易中心临安分中心。</w:t>
            </w:r>
          </w:p>
        </w:tc>
      </w:tr>
    </w:tbl>
    <w:p>
      <w:pPr>
        <w:snapToGrid w:val="0"/>
        <w:spacing w:line="360" w:lineRule="exact"/>
        <w:ind w:firstLine="482" w:firstLineChars="200"/>
        <w:outlineLvl w:val="1"/>
        <w:rPr>
          <w:rFonts w:ascii="宋体" w:cs="Times New Roman"/>
          <w:sz w:val="24"/>
          <w:szCs w:val="24"/>
        </w:rPr>
      </w:pPr>
      <w:r>
        <w:rPr>
          <w:rFonts w:hint="eastAsia" w:ascii="宋体" w:hAnsi="宋体" w:cs="宋体"/>
          <w:b/>
          <w:bCs/>
          <w:sz w:val="24"/>
          <w:szCs w:val="24"/>
        </w:rPr>
        <w:t>一、总</w:t>
      </w:r>
      <w:r>
        <w:rPr>
          <w:rFonts w:ascii="宋体" w:hAnsi="宋体" w:cs="宋体"/>
          <w:b/>
          <w:bCs/>
          <w:sz w:val="24"/>
          <w:szCs w:val="24"/>
        </w:rPr>
        <w:t xml:space="preserve">  </w:t>
      </w:r>
      <w:r>
        <w:rPr>
          <w:rFonts w:hint="eastAsia" w:ascii="宋体" w:hAnsi="宋体" w:cs="宋体"/>
          <w:b/>
          <w:bCs/>
          <w:sz w:val="24"/>
          <w:szCs w:val="24"/>
        </w:rPr>
        <w:t>则</w:t>
      </w:r>
    </w:p>
    <w:p>
      <w:pPr>
        <w:snapToGrid w:val="0"/>
        <w:spacing w:line="380" w:lineRule="exact"/>
        <w:ind w:firstLine="355" w:firstLineChars="148"/>
        <w:jc w:val="left"/>
        <w:outlineLvl w:val="2"/>
        <w:rPr>
          <w:rFonts w:ascii="宋体" w:cs="Times New Roman"/>
          <w:sz w:val="24"/>
          <w:szCs w:val="24"/>
        </w:rPr>
      </w:pPr>
      <w:r>
        <w:rPr>
          <w:rFonts w:hint="eastAsia" w:ascii="宋体" w:hAnsi="宋体" w:cs="宋体"/>
          <w:sz w:val="24"/>
          <w:szCs w:val="24"/>
        </w:rPr>
        <w:t>（一）适用范围</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ascii="宋体" w:cs="Times New Roman"/>
          <w:sz w:val="24"/>
          <w:szCs w:val="24"/>
        </w:rPr>
      </w:pPr>
      <w:r>
        <w:rPr>
          <w:rFonts w:hint="eastAsia" w:ascii="宋体" w:hAnsi="宋体" w:cs="宋体"/>
          <w:sz w:val="24"/>
          <w:szCs w:val="24"/>
        </w:rPr>
        <w:t>（二）定义</w:t>
      </w:r>
    </w:p>
    <w:p>
      <w:pPr>
        <w:snapToGrid w:val="0"/>
        <w:spacing w:line="3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“采购机构”系指组织本次采购的杭州市公共资源交易中心临安分中心。</w:t>
      </w:r>
    </w:p>
    <w:p>
      <w:pPr>
        <w:snapToGrid w:val="0"/>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“磋商响应方”系指向采购机构提交磋商文件的单位。</w:t>
      </w:r>
    </w:p>
    <w:p>
      <w:pPr>
        <w:snapToGrid w:val="0"/>
        <w:spacing w:line="38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、“采购人”</w:t>
      </w:r>
      <w:r>
        <w:rPr>
          <w:rFonts w:ascii="宋体" w:hAnsi="宋体" w:cs="宋体"/>
          <w:sz w:val="24"/>
          <w:szCs w:val="24"/>
        </w:rPr>
        <w:t xml:space="preserve"> </w:t>
      </w:r>
      <w:r>
        <w:rPr>
          <w:rFonts w:hint="eastAsia" w:ascii="宋体" w:hAnsi="宋体" w:cs="宋体"/>
          <w:sz w:val="24"/>
          <w:szCs w:val="24"/>
        </w:rPr>
        <w:t>系指委托采购机构采购本次项目的国家机关、事业单位和团体组织。</w:t>
      </w:r>
    </w:p>
    <w:p>
      <w:pPr>
        <w:snapToGrid w:val="0"/>
        <w:spacing w:line="38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“服务”系指采购文件规定供方须承担的安装、调试、技术协助、校准、培训、技术指导以及其他类似的义务。</w:t>
      </w:r>
    </w:p>
    <w:p>
      <w:pPr>
        <w:snapToGrid w:val="0"/>
        <w:spacing w:line="38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“项目”系指磋商响应方按采购文件规定向采购人提供的产品和服务。</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（三）磋商委托</w:t>
      </w:r>
    </w:p>
    <w:p>
      <w:pPr>
        <w:spacing w:line="380" w:lineRule="exact"/>
        <w:ind w:firstLine="480" w:firstLineChars="200"/>
        <w:rPr>
          <w:rFonts w:ascii="宋体" w:cs="Times New Roman"/>
          <w:sz w:val="24"/>
          <w:szCs w:val="24"/>
        </w:rPr>
      </w:pPr>
      <w:r>
        <w:rPr>
          <w:rFonts w:hint="eastAsia" w:ascii="宋体" w:hAnsi="宋体" w:cs="宋体"/>
          <w:sz w:val="24"/>
          <w:szCs w:val="24"/>
        </w:rPr>
        <w:t>授权委托人身份证明资料包括：有效身份证件原件；如委托的，还需提供有效的授权委托书</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注：磋商响应方代表为法定代表人的可不提供授权委托书。正本用原件，副本可用复印件并加盖公章，格式见第六部分）。</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（四）磋商费用</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不论采购结果如何，磋商响应方均应自行承担所有与磋商响应有关的全部费用（采购文件有其他规定的除外）。</w:t>
      </w:r>
    </w:p>
    <w:p>
      <w:pPr>
        <w:snapToGrid w:val="0"/>
        <w:spacing w:line="380" w:lineRule="exact"/>
        <w:ind w:firstLine="470" w:firstLineChars="196"/>
        <w:jc w:val="left"/>
        <w:outlineLvl w:val="2"/>
        <w:rPr>
          <w:rFonts w:ascii="宋体" w:cs="Times New Roman"/>
          <w:sz w:val="24"/>
          <w:szCs w:val="24"/>
        </w:rPr>
      </w:pPr>
      <w:r>
        <w:rPr>
          <w:rFonts w:hint="eastAsia" w:ascii="宋体" w:hAnsi="宋体" w:cs="宋体"/>
          <w:sz w:val="24"/>
          <w:szCs w:val="24"/>
        </w:rPr>
        <w:t>（五）特别说明：</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磋商响应方磋商所使用的资格、信誉、荣誉、业绩与企业认证必须为本法人所拥有。磋商响应方所使用的采购项目实施人员必须为本法人员工（或必须为本法人或控股公司正式员工）。</w:t>
      </w:r>
    </w:p>
    <w:p>
      <w:pPr>
        <w:snapToGrid w:val="0"/>
        <w:spacing w:line="380" w:lineRule="exact"/>
        <w:ind w:left="2" w:leftChars="1"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磋商响应方应仔细阅读采购文件的所有内容，按照采购文件的要求提交磋商文件，并对所提供的全部资料的真实性承担法律责任。</w:t>
      </w:r>
    </w:p>
    <w:p>
      <w:pPr>
        <w:snapToGrid w:val="0"/>
        <w:spacing w:line="380" w:lineRule="exact"/>
        <w:ind w:firstLine="470" w:firstLineChars="196"/>
        <w:outlineLvl w:val="2"/>
        <w:rPr>
          <w:rFonts w:ascii="宋体" w:cs="Times New Roman"/>
          <w:sz w:val="24"/>
          <w:szCs w:val="24"/>
        </w:rPr>
      </w:pPr>
      <w:r>
        <w:rPr>
          <w:rFonts w:hint="eastAsia" w:ascii="宋体" w:hAnsi="宋体" w:cs="宋体"/>
          <w:sz w:val="24"/>
          <w:szCs w:val="24"/>
        </w:rPr>
        <w:t>（六）质疑</w:t>
      </w:r>
    </w:p>
    <w:p>
      <w:pPr>
        <w:widowControl/>
        <w:spacing w:line="380" w:lineRule="exact"/>
        <w:ind w:firstLine="480" w:firstLineChars="200"/>
        <w:jc w:val="left"/>
        <w:rPr>
          <w:rFonts w:ascii="宋体" w:cs="Times New Roman"/>
          <w:sz w:val="24"/>
          <w:szCs w:val="24"/>
        </w:rPr>
      </w:pPr>
      <w:r>
        <w:rPr>
          <w:rFonts w:hint="eastAsia" w:ascii="宋体" w:hAnsi="宋体" w:cs="宋体"/>
          <w:sz w:val="24"/>
          <w:szCs w:val="24"/>
        </w:rPr>
        <w:t>质疑应当采用加盖磋商响应方公章的书面形式，质疑书应明确阐述采购过程或成交结果中使自己合法权益受到损害的实质性内容，提供相关事实、依据和证据及其来源或线索，便于有关单位调查、答复和处理，否则，采购机构将不予受理。</w:t>
      </w:r>
    </w:p>
    <w:p>
      <w:pPr>
        <w:tabs>
          <w:tab w:val="left" w:pos="720"/>
        </w:tabs>
        <w:snapToGrid w:val="0"/>
        <w:spacing w:line="380" w:lineRule="exact"/>
        <w:ind w:firstLine="470" w:firstLineChars="196"/>
        <w:jc w:val="left"/>
        <w:outlineLvl w:val="2"/>
        <w:rPr>
          <w:rFonts w:ascii="宋体" w:cs="Times New Roman"/>
          <w:kern w:val="0"/>
          <w:sz w:val="24"/>
          <w:szCs w:val="24"/>
        </w:rPr>
      </w:pPr>
      <w:r>
        <w:rPr>
          <w:rFonts w:hint="eastAsia" w:ascii="宋体" w:hAnsi="宋体" w:cs="宋体"/>
          <w:kern w:val="0"/>
          <w:sz w:val="24"/>
          <w:szCs w:val="24"/>
        </w:rPr>
        <w:t>（七）采购文件的澄清与修改</w:t>
      </w:r>
      <w:r>
        <w:rPr>
          <w:rFonts w:ascii="宋体" w:hAnsi="宋体" w:cs="宋体"/>
          <w:kern w:val="0"/>
          <w:sz w:val="24"/>
          <w:szCs w:val="24"/>
        </w:rPr>
        <w:t xml:space="preserve"> </w:t>
      </w:r>
    </w:p>
    <w:p>
      <w:pPr>
        <w:snapToGrid w:val="0"/>
        <w:spacing w:line="38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磋商响应方应认真阅读本采购文件，发现其中有误或有不合理要求的，磋商响应方应当以书面形式向杭州市公共资源交易中心临安分中心提出。交易中心将在规定的时间内，在财政部门指定的政府采购信息发布媒体上发布更正公告。</w:t>
      </w:r>
    </w:p>
    <w:p>
      <w:pPr>
        <w:snapToGrid w:val="0"/>
        <w:spacing w:line="3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采购文件澄清、答复、修改、补充的内容为采购文件的组成部分。当采购文件与采购文件的答复、澄清、修改、补充通知就同一内容的表述不一致时，以最后发出的书面文件为准。</w:t>
      </w:r>
    </w:p>
    <w:p>
      <w:pPr>
        <w:pStyle w:val="11"/>
        <w:snapToGrid w:val="0"/>
        <w:spacing w:beforeLines="0" w:afterLines="0" w:line="380" w:lineRule="exact"/>
        <w:ind w:firstLine="477" w:firstLineChars="198"/>
        <w:outlineLvl w:val="1"/>
        <w:rPr>
          <w:rFonts w:hAnsi="宋体" w:cs="Times New Roman"/>
          <w:b/>
          <w:bCs/>
        </w:rPr>
      </w:pPr>
      <w:r>
        <w:rPr>
          <w:rFonts w:hint="eastAsia" w:hAnsi="宋体"/>
          <w:b/>
          <w:bCs/>
        </w:rPr>
        <w:t>二、磋商响应文件的编制</w:t>
      </w:r>
    </w:p>
    <w:p>
      <w:pPr>
        <w:snapToGrid w:val="0"/>
        <w:spacing w:line="360" w:lineRule="auto"/>
        <w:ind w:firstLine="472" w:firstLineChars="196"/>
        <w:jc w:val="left"/>
        <w:rPr>
          <w:rFonts w:ascii="宋体" w:cs="Times New Roman"/>
          <w:b/>
          <w:bCs/>
          <w:sz w:val="24"/>
          <w:szCs w:val="24"/>
        </w:rPr>
      </w:pPr>
      <w:r>
        <w:rPr>
          <w:rFonts w:hint="eastAsia" w:ascii="宋体" w:hAnsi="宋体" w:cs="宋体"/>
          <w:b/>
          <w:bCs/>
          <w:sz w:val="24"/>
          <w:szCs w:val="24"/>
        </w:rPr>
        <w:t>（一）磋商响应文件的形式</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磋商响应文件分为电子磋商响应文件。电子磋商响应文件，按“政采云供应商项目采购</w:t>
      </w:r>
      <w:r>
        <w:rPr>
          <w:rFonts w:ascii="宋体" w:cs="宋体"/>
          <w:b/>
          <w:bCs/>
          <w:sz w:val="24"/>
          <w:szCs w:val="24"/>
        </w:rPr>
        <w:t>-</w:t>
      </w:r>
      <w:r>
        <w:rPr>
          <w:rFonts w:hint="eastAsia" w:ascii="宋体" w:hAnsi="宋体" w:cs="宋体"/>
          <w:b/>
          <w:bCs/>
          <w:sz w:val="24"/>
          <w:szCs w:val="24"/>
        </w:rPr>
        <w:t>电子招投标操作指南”及本招标文件要求制作、加密并递交。</w:t>
      </w:r>
    </w:p>
    <w:p>
      <w:pPr>
        <w:snapToGrid w:val="0"/>
        <w:spacing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（二）磋商响应文件的组成</w:t>
      </w:r>
    </w:p>
    <w:p>
      <w:pPr>
        <w:adjustRightInd w:val="0"/>
        <w:snapToGrid w:val="0"/>
        <w:spacing w:line="360" w:lineRule="auto"/>
        <w:ind w:firstLine="482" w:firstLineChars="200"/>
        <w:rPr>
          <w:rFonts w:ascii="宋体" w:cs="Times New Roman"/>
          <w:b/>
          <w:bCs/>
          <w:sz w:val="24"/>
          <w:szCs w:val="24"/>
        </w:rPr>
      </w:pPr>
      <w:r>
        <w:rPr>
          <w:rFonts w:hint="eastAsia" w:ascii="宋体" w:hAnsi="宋体" w:cs="宋体"/>
          <w:b/>
          <w:bCs/>
          <w:sz w:val="24"/>
          <w:szCs w:val="24"/>
        </w:rPr>
        <w:t>磋商响应文件组成均为资</w:t>
      </w:r>
      <w:r>
        <w:rPr>
          <w:rFonts w:hint="eastAsia" w:ascii="宋体" w:hAnsi="宋体" w:cs="宋体"/>
          <w:b/>
          <w:bCs/>
          <w:sz w:val="24"/>
          <w:szCs w:val="24"/>
          <w:lang w:eastAsia="zh-CN"/>
        </w:rPr>
        <w:t>格</w:t>
      </w:r>
      <w:r>
        <w:rPr>
          <w:rFonts w:hint="eastAsia" w:ascii="宋体" w:hAnsi="宋体" w:cs="宋体"/>
          <w:b/>
          <w:bCs/>
          <w:sz w:val="24"/>
          <w:szCs w:val="24"/>
        </w:rPr>
        <w:t>文件、技术及商务文件、投标报价文件三部份组成。其中电子磋商响应文件中所须加盖公章部分均采用</w:t>
      </w:r>
      <w:r>
        <w:rPr>
          <w:rFonts w:ascii="宋体" w:hAnsi="宋体" w:cs="宋体"/>
          <w:b/>
          <w:bCs/>
          <w:sz w:val="24"/>
          <w:szCs w:val="24"/>
        </w:rPr>
        <w:t>CA</w:t>
      </w:r>
      <w:r>
        <w:rPr>
          <w:rFonts w:hint="eastAsia" w:ascii="宋体" w:hAnsi="宋体" w:cs="宋体"/>
          <w:b/>
          <w:bCs/>
          <w:sz w:val="24"/>
          <w:szCs w:val="24"/>
        </w:rPr>
        <w:t>签章。</w:t>
      </w:r>
    </w:p>
    <w:p>
      <w:pPr>
        <w:snapToGrid w:val="0"/>
        <w:spacing w:line="360" w:lineRule="auto"/>
        <w:ind w:firstLine="482" w:firstLineChars="200"/>
        <w:jc w:val="left"/>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资</w:t>
      </w:r>
      <w:r>
        <w:rPr>
          <w:rFonts w:hint="eastAsia" w:ascii="宋体" w:hAnsi="宋体" w:cs="宋体"/>
          <w:b/>
          <w:bCs/>
          <w:sz w:val="24"/>
          <w:szCs w:val="24"/>
          <w:lang w:eastAsia="zh-CN"/>
        </w:rPr>
        <w:t>格</w:t>
      </w:r>
      <w:r>
        <w:rPr>
          <w:rFonts w:hint="eastAsia" w:ascii="宋体" w:hAnsi="宋体" w:cs="宋体"/>
          <w:b/>
          <w:bCs/>
          <w:sz w:val="24"/>
          <w:szCs w:val="24"/>
        </w:rPr>
        <w:t>文件（不含报价）：</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lang w:val="en-US" w:eastAsia="zh-CN"/>
        </w:rPr>
        <w:t>（7）2019年度资产负债表等财务报表资料文件 (或其它财务状况报告，新成立的公司，必须提供情况说明)；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）联合投标授权委托书（若需要）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）提供采购公告中符合磋商响应方特定条件要求的有效的其他资质复印件并加盖公司公章及需要说明的资料。</w:t>
      </w:r>
    </w:p>
    <w:p>
      <w:pPr>
        <w:spacing w:line="380" w:lineRule="exact"/>
        <w:ind w:firstLine="361" w:firstLineChars="150"/>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line="360" w:lineRule="auto"/>
        <w:ind w:firstLine="482" w:firstLineChars="200"/>
        <w:jc w:val="left"/>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技术及商务文件（不含报价）：</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60" w:lineRule="auto"/>
        <w:ind w:firstLine="480" w:firstLineChars="200"/>
        <w:jc w:val="left"/>
        <w:rPr>
          <w:rFonts w:ascii="宋体" w:cs="Times New Roman"/>
          <w:sz w:val="24"/>
          <w:szCs w:val="24"/>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snapToGrid w:val="0"/>
        <w:spacing w:line="380" w:lineRule="exact"/>
        <w:ind w:firstLine="472" w:firstLineChars="196"/>
        <w:jc w:val="left"/>
        <w:rPr>
          <w:rFonts w:ascii="宋体" w:cs="Times New Roman"/>
          <w:b/>
          <w:bCs/>
          <w:sz w:val="24"/>
          <w:szCs w:val="24"/>
        </w:rPr>
      </w:pPr>
      <w:r>
        <w:rPr>
          <w:rFonts w:hint="eastAsia" w:ascii="宋体" w:hAnsi="宋体" w:cs="宋体"/>
          <w:b/>
          <w:bCs/>
          <w:sz w:val="24"/>
          <w:szCs w:val="24"/>
        </w:rPr>
        <w:t>注：以上目录是编制技术响应内容的基本格式要求，供参考，磋商响应方可根据自身情况进一步补充、细化、优化。</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报价文件：</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）报价一览表</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）报价明细清单</w:t>
      </w:r>
    </w:p>
    <w:p>
      <w:pPr>
        <w:spacing w:line="380" w:lineRule="exact"/>
        <w:ind w:firstLine="480" w:firstLineChars="200"/>
        <w:rPr>
          <w:rFonts w:ascii="宋体" w:cs="Times New Roman"/>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）小微企业声明函及相关资料、残疾人福利性单位相关资料（如有）</w:t>
      </w:r>
    </w:p>
    <w:p>
      <w:pPr>
        <w:spacing w:line="38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）采购文件要求的或磋商响应方认为需要的其它资料</w:t>
      </w:r>
    </w:p>
    <w:p>
      <w:pPr>
        <w:tabs>
          <w:tab w:val="left" w:pos="360"/>
          <w:tab w:val="left" w:pos="540"/>
        </w:tabs>
        <w:spacing w:line="380" w:lineRule="exact"/>
        <w:ind w:right="15" w:rightChars="7"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资格后审等所需原件包括下列内容：（若有）</w:t>
      </w:r>
    </w:p>
    <w:p>
      <w:pPr>
        <w:tabs>
          <w:tab w:val="left" w:pos="360"/>
          <w:tab w:val="left" w:pos="540"/>
        </w:tabs>
        <w:spacing w:line="380" w:lineRule="exact"/>
        <w:ind w:right="15" w:rightChars="7" w:firstLine="720" w:firstLineChars="300"/>
        <w:rPr>
          <w:rFonts w:ascii="宋体" w:cs="Times New Roman"/>
          <w:sz w:val="24"/>
          <w:szCs w:val="24"/>
        </w:rPr>
      </w:pPr>
      <w:r>
        <w:rPr>
          <w:rFonts w:hint="eastAsia" w:ascii="宋体" w:hAnsi="宋体" w:cs="宋体"/>
          <w:sz w:val="24"/>
          <w:szCs w:val="24"/>
        </w:rPr>
        <w:t>采购文件要求提供原件的材料。</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为便于专家评审：</w:t>
      </w:r>
      <w:r>
        <w:rPr>
          <w:rFonts w:ascii="宋体" w:hAnsi="宋体" w:cs="宋体"/>
          <w:sz w:val="24"/>
          <w:szCs w:val="24"/>
        </w:rPr>
        <w:t>a</w:t>
      </w:r>
      <w:r>
        <w:rPr>
          <w:rFonts w:hint="eastAsia" w:ascii="宋体" w:hAnsi="宋体" w:cs="宋体"/>
          <w:sz w:val="24"/>
          <w:szCs w:val="24"/>
        </w:rPr>
        <w:t>、以上资格后审、资信评审而要求</w:t>
      </w:r>
      <w:r>
        <w:rPr>
          <w:rFonts w:hint="eastAsia" w:ascii="宋体" w:hAnsi="宋体" w:cs="宋体"/>
          <w:color w:val="000000"/>
          <w:sz w:val="24"/>
          <w:szCs w:val="24"/>
        </w:rPr>
        <w:t>磋商响应方</w:t>
      </w:r>
      <w:r>
        <w:rPr>
          <w:rFonts w:hint="eastAsia" w:ascii="宋体" w:hAnsi="宋体" w:cs="宋体"/>
          <w:sz w:val="24"/>
          <w:szCs w:val="24"/>
        </w:rPr>
        <w:t>提供企业资料原件的，</w:t>
      </w:r>
      <w:r>
        <w:rPr>
          <w:rFonts w:hint="eastAsia" w:ascii="宋体" w:hAnsi="宋体" w:cs="宋体"/>
          <w:color w:val="000000"/>
          <w:sz w:val="24"/>
          <w:szCs w:val="24"/>
        </w:rPr>
        <w:t>磋商响应方</w:t>
      </w:r>
      <w:r>
        <w:rPr>
          <w:rFonts w:hint="eastAsia" w:ascii="宋体" w:hAnsi="宋体" w:cs="宋体"/>
          <w:sz w:val="24"/>
          <w:szCs w:val="24"/>
        </w:rPr>
        <w:t>应另袋单独密封包装在一个袋内；</w:t>
      </w:r>
      <w:r>
        <w:rPr>
          <w:rFonts w:ascii="宋体" w:hAnsi="宋体" w:cs="宋体"/>
          <w:sz w:val="24"/>
          <w:szCs w:val="24"/>
        </w:rPr>
        <w:t>b</w:t>
      </w:r>
      <w:r>
        <w:rPr>
          <w:rFonts w:hint="eastAsia" w:ascii="宋体" w:hAnsi="宋体" w:cs="宋体"/>
          <w:sz w:val="24"/>
          <w:szCs w:val="24"/>
        </w:rPr>
        <w:t>、以上原件采购文件若要求提供复印件的仍需将复印件装订进</w:t>
      </w:r>
      <w:r>
        <w:rPr>
          <w:rFonts w:hint="eastAsia" w:ascii="宋体" w:hAnsi="宋体" w:cs="宋体"/>
          <w:color w:val="000000"/>
          <w:sz w:val="24"/>
          <w:szCs w:val="24"/>
        </w:rPr>
        <w:t>磋商</w:t>
      </w:r>
      <w:r>
        <w:rPr>
          <w:rFonts w:hint="eastAsia" w:ascii="宋体" w:hAnsi="宋体" w:cs="宋体"/>
          <w:sz w:val="24"/>
          <w:szCs w:val="24"/>
        </w:rPr>
        <w:t>文件。</w:t>
      </w:r>
    </w:p>
    <w:p>
      <w:pPr>
        <w:snapToGrid w:val="0"/>
        <w:spacing w:line="380" w:lineRule="exact"/>
        <w:ind w:firstLine="472" w:firstLineChars="196"/>
        <w:jc w:val="left"/>
        <w:outlineLvl w:val="2"/>
        <w:rPr>
          <w:rFonts w:ascii="宋体" w:cs="Times New Roman"/>
          <w:sz w:val="24"/>
          <w:szCs w:val="24"/>
        </w:rPr>
      </w:pPr>
      <w:r>
        <w:rPr>
          <w:rFonts w:hint="eastAsia" w:ascii="宋体" w:hAnsi="宋体" w:cs="宋体"/>
          <w:b/>
          <w:bCs/>
          <w:sz w:val="24"/>
          <w:szCs w:val="24"/>
        </w:rPr>
        <w:t>（</w:t>
      </w:r>
      <w:r>
        <w:rPr>
          <w:rFonts w:hint="eastAsia" w:ascii="宋体" w:hAnsi="宋体" w:cs="宋体"/>
          <w:b/>
          <w:bCs/>
          <w:sz w:val="24"/>
          <w:szCs w:val="24"/>
          <w:lang w:eastAsia="zh-CN"/>
        </w:rPr>
        <w:t>三</w:t>
      </w:r>
      <w:r>
        <w:rPr>
          <w:rFonts w:hint="eastAsia" w:ascii="宋体" w:hAnsi="宋体" w:cs="宋体"/>
          <w:b/>
          <w:bCs/>
          <w:sz w:val="24"/>
          <w:szCs w:val="24"/>
        </w:rPr>
        <w:t>）磋商响应文件的语言及计量</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磋商响应文件以及磋商响应方与采购机构就有关磋商事宜的所有来往函电，均应以中文汉语书写。除签名、盖章、专用名称等特殊情形外，以中文汉语以外的文字表述的磋商响应文件视同未提供。</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2" w:firstLineChars="196"/>
        <w:jc w:val="left"/>
        <w:outlineLvl w:val="2"/>
        <w:rPr>
          <w:rFonts w:ascii="宋体" w:cs="Times New Roman"/>
          <w:sz w:val="24"/>
          <w:szCs w:val="24"/>
        </w:rPr>
      </w:pPr>
      <w:r>
        <w:rPr>
          <w:rFonts w:hint="eastAsia" w:ascii="宋体" w:hAnsi="宋体" w:cs="宋体"/>
          <w:b/>
          <w:bCs/>
          <w:sz w:val="24"/>
          <w:szCs w:val="24"/>
        </w:rPr>
        <w:t>（</w:t>
      </w:r>
      <w:r>
        <w:rPr>
          <w:rFonts w:hint="eastAsia" w:ascii="宋体" w:hAnsi="宋体" w:cs="宋体"/>
          <w:b/>
          <w:bCs/>
          <w:sz w:val="24"/>
          <w:szCs w:val="24"/>
          <w:lang w:eastAsia="zh-CN"/>
        </w:rPr>
        <w:t>四</w:t>
      </w:r>
      <w:r>
        <w:rPr>
          <w:rFonts w:hint="eastAsia" w:ascii="宋体" w:hAnsi="宋体" w:cs="宋体"/>
          <w:b/>
          <w:bCs/>
          <w:sz w:val="24"/>
          <w:szCs w:val="24"/>
        </w:rPr>
        <w:t>）磋商响应报价</w:t>
      </w:r>
    </w:p>
    <w:p>
      <w:pPr>
        <w:tabs>
          <w:tab w:val="left" w:pos="525"/>
        </w:tabs>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磋商响应文件只允许有一个报价，报价应按采购文件中相关附表格式填报</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磋商响应报价是履行合同的最终价格，应包括货款、标准附件、备品备件、专用工具、包装、运输、装卸、保险、税金、货到就位以及安装、调试、培训、保修等一切税金和费用。</w:t>
      </w:r>
    </w:p>
    <w:p>
      <w:pPr>
        <w:snapToGrid w:val="0"/>
        <w:spacing w:line="380" w:lineRule="exact"/>
        <w:ind w:firstLine="472" w:firstLineChars="196"/>
        <w:jc w:val="left"/>
        <w:outlineLvl w:val="2"/>
        <w:rPr>
          <w:rFonts w:ascii="宋体" w:cs="Times New Roman"/>
          <w:b/>
          <w:bCs/>
          <w:sz w:val="24"/>
          <w:szCs w:val="24"/>
        </w:rPr>
      </w:pPr>
      <w:r>
        <w:rPr>
          <w:rFonts w:hint="eastAsia" w:ascii="宋体" w:hAnsi="宋体" w:cs="宋体"/>
          <w:b/>
          <w:bCs/>
          <w:sz w:val="24"/>
          <w:szCs w:val="24"/>
        </w:rPr>
        <w:t>（</w:t>
      </w:r>
      <w:r>
        <w:rPr>
          <w:rFonts w:hint="eastAsia" w:ascii="宋体" w:hAnsi="宋体" w:cs="宋体"/>
          <w:b/>
          <w:bCs/>
          <w:sz w:val="24"/>
          <w:szCs w:val="24"/>
          <w:lang w:eastAsia="zh-CN"/>
        </w:rPr>
        <w:t>五</w:t>
      </w:r>
      <w:r>
        <w:rPr>
          <w:rFonts w:hint="eastAsia" w:ascii="宋体" w:hAnsi="宋体" w:cs="宋体"/>
          <w:b/>
          <w:bCs/>
          <w:sz w:val="24"/>
          <w:szCs w:val="24"/>
        </w:rPr>
        <w:t>）磋商响应文件的有效期</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自磋商截止日起</w:t>
      </w:r>
      <w:r>
        <w:rPr>
          <w:rFonts w:ascii="宋体" w:hAnsi="宋体" w:cs="宋体"/>
          <w:kern w:val="0"/>
          <w:sz w:val="24"/>
          <w:szCs w:val="24"/>
        </w:rPr>
        <w:t>90</w:t>
      </w:r>
      <w:r>
        <w:rPr>
          <w:rFonts w:hint="eastAsia" w:ascii="宋体" w:hAnsi="宋体" w:cs="宋体"/>
          <w:kern w:val="0"/>
          <w:sz w:val="24"/>
          <w:szCs w:val="24"/>
        </w:rPr>
        <w:t>天内磋商响应文件应保持有效。有效期不足的磋商响应文件将被拒绝。</w:t>
      </w:r>
    </w:p>
    <w:p>
      <w:pPr>
        <w:tabs>
          <w:tab w:val="left" w:pos="720"/>
        </w:tabs>
        <w:snapToGrid w:val="0"/>
        <w:spacing w:line="380" w:lineRule="exact"/>
        <w:ind w:firstLine="480" w:firstLineChars="200"/>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成交供应商的磋商响应文件自磋商之日起至合同履行完毕止均应保持有效。</w:t>
      </w:r>
    </w:p>
    <w:p>
      <w:pPr>
        <w:snapToGrid w:val="0"/>
        <w:spacing w:line="380" w:lineRule="exact"/>
        <w:ind w:firstLine="472" w:firstLineChars="196"/>
        <w:jc w:val="left"/>
        <w:outlineLvl w:val="0"/>
        <w:rPr>
          <w:rFonts w:ascii="宋体" w:cs="Times New Roman"/>
          <w:b/>
          <w:bCs/>
          <w:sz w:val="24"/>
          <w:szCs w:val="24"/>
        </w:rPr>
      </w:pPr>
      <w:r>
        <w:rPr>
          <w:rFonts w:hint="eastAsia" w:ascii="宋体" w:hAnsi="宋体" w:cs="宋体"/>
          <w:b/>
          <w:bCs/>
          <w:sz w:val="24"/>
          <w:szCs w:val="24"/>
        </w:rPr>
        <w:t>（</w:t>
      </w:r>
      <w:r>
        <w:rPr>
          <w:rFonts w:hint="eastAsia" w:ascii="宋体" w:hAnsi="宋体" w:cs="宋体"/>
          <w:b/>
          <w:bCs/>
          <w:sz w:val="24"/>
          <w:szCs w:val="24"/>
          <w:lang w:eastAsia="zh-CN"/>
        </w:rPr>
        <w:t>六</w:t>
      </w:r>
      <w:r>
        <w:rPr>
          <w:rFonts w:hint="eastAsia" w:ascii="宋体" w:hAnsi="宋体" w:cs="宋体"/>
          <w:b/>
          <w:bCs/>
          <w:sz w:val="24"/>
          <w:szCs w:val="24"/>
        </w:rPr>
        <w:t>）磋商保证金（若有）</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磋商响应方须按规定提交磋商保证金。</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保证金形式：汇票、电汇、支票等非现金方式。</w:t>
      </w:r>
      <w:r>
        <w:rPr>
          <w:rFonts w:ascii="宋体" w:hAnsi="宋体" w:cs="宋体"/>
          <w:sz w:val="24"/>
          <w:szCs w:val="24"/>
        </w:rPr>
        <w:t xml:space="preserve"> </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保证金不计息。</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rPr>
        <w:t>保证金的交付时间以专户实际收到交纳资金为准。</w:t>
      </w:r>
    </w:p>
    <w:p>
      <w:pPr>
        <w:snapToGrid w:val="0"/>
        <w:spacing w:line="380" w:lineRule="exact"/>
        <w:ind w:firstLine="480" w:firstLineChars="200"/>
        <w:jc w:val="left"/>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磋商响应方在交纳磋商保证金时，需在进账凭证上注明用途和项目编号，以便查实核对。</w:t>
      </w:r>
    </w:p>
    <w:p>
      <w:pPr>
        <w:snapToGrid w:val="0"/>
        <w:spacing w:line="380" w:lineRule="exact"/>
        <w:ind w:firstLine="470" w:firstLineChars="196"/>
        <w:jc w:val="left"/>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磋商响应方有下列情形之一的，磋商保证金将不予退还：</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）磋商响应方在磋商截止时间后撤回磋商响应文件的</w:t>
      </w:r>
    </w:p>
    <w:p>
      <w:pPr>
        <w:snapToGrid w:val="0"/>
        <w:spacing w:line="380" w:lineRule="exact"/>
        <w:ind w:firstLine="470" w:firstLineChars="196"/>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）磋商响应方在磋商过程中弄虚作假，提供虚假材料的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）磋商响应方无故放弃或无正当理由不与采购人签订合同的</w:t>
      </w:r>
    </w:p>
    <w:p>
      <w:pPr>
        <w:snapToGrid w:val="0"/>
        <w:spacing w:line="3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）将成交项目转让给他人或者在磋商响应文件中未说明且未经采购单位同意，将成交项目分包给他人的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）未按规定提交履约保证金的</w:t>
      </w:r>
    </w:p>
    <w:p>
      <w:pPr>
        <w:snapToGrid w:val="0"/>
        <w:spacing w:line="380" w:lineRule="exact"/>
        <w:ind w:firstLine="475" w:firstLineChars="198"/>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）其他严重扰乱招磋商程序的</w:t>
      </w:r>
    </w:p>
    <w:p>
      <w:pPr>
        <w:snapToGrid w:val="0"/>
        <w:spacing w:line="380" w:lineRule="exact"/>
        <w:ind w:firstLine="475" w:firstLineChars="198"/>
        <w:rPr>
          <w:rFonts w:ascii="宋体" w:cs="Times New Roman"/>
          <w:sz w:val="24"/>
          <w:szCs w:val="24"/>
        </w:rPr>
      </w:pPr>
      <w:r>
        <w:rPr>
          <w:rFonts w:ascii="宋体" w:hAnsi="宋体" w:cs="宋体"/>
          <w:sz w:val="24"/>
          <w:szCs w:val="24"/>
        </w:rPr>
        <w:t>7.</w:t>
      </w:r>
      <w:r>
        <w:rPr>
          <w:rFonts w:hint="eastAsia" w:ascii="宋体" w:hAnsi="宋体" w:cs="宋体"/>
          <w:sz w:val="24"/>
          <w:szCs w:val="24"/>
        </w:rPr>
        <w:t>磋商保证金的退还：</w:t>
      </w:r>
      <w:r>
        <w:rPr>
          <w:rFonts w:hint="eastAsia" w:ascii="宋体" w:hAnsi="宋体" w:cs="宋体"/>
          <w:sz w:val="24"/>
          <w:szCs w:val="24"/>
          <w:lang w:val="zh-CN"/>
        </w:rPr>
        <w:t>未成交人</w:t>
      </w:r>
      <w:r>
        <w:rPr>
          <w:rFonts w:hint="eastAsia" w:ascii="宋体" w:hAnsi="宋体" w:cs="宋体"/>
          <w:sz w:val="24"/>
          <w:szCs w:val="24"/>
        </w:rPr>
        <w:t>磋商</w:t>
      </w:r>
      <w:r>
        <w:rPr>
          <w:rFonts w:hint="eastAsia" w:ascii="宋体" w:hAnsi="宋体" w:cs="宋体"/>
          <w:sz w:val="24"/>
          <w:szCs w:val="24"/>
          <w:lang w:val="zh-CN"/>
        </w:rPr>
        <w:t>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个工作日内退还。成交人的</w:t>
      </w:r>
      <w:r>
        <w:rPr>
          <w:rFonts w:hint="eastAsia" w:ascii="宋体" w:hAnsi="宋体" w:cs="宋体"/>
          <w:sz w:val="24"/>
          <w:szCs w:val="24"/>
        </w:rPr>
        <w:t>磋商</w:t>
      </w:r>
      <w:r>
        <w:rPr>
          <w:rFonts w:hint="eastAsia" w:ascii="宋体" w:hAnsi="宋体" w:cs="宋体"/>
          <w:sz w:val="24"/>
          <w:szCs w:val="24"/>
          <w:lang w:val="zh-CN"/>
        </w:rPr>
        <w:t>保证金在合同签订后</w:t>
      </w:r>
      <w:r>
        <w:rPr>
          <w:rFonts w:ascii="宋体" w:hAnsi="宋体" w:cs="宋体"/>
          <w:sz w:val="24"/>
          <w:szCs w:val="24"/>
          <w:lang w:val="zh-CN"/>
        </w:rPr>
        <w:t>5</w:t>
      </w:r>
      <w:r>
        <w:rPr>
          <w:rFonts w:hint="eastAsia" w:ascii="宋体" w:hAnsi="宋体" w:cs="宋体"/>
          <w:sz w:val="24"/>
          <w:szCs w:val="24"/>
          <w:lang w:val="zh-CN"/>
        </w:rPr>
        <w:t>个工作日内凭鉴证合同退还。</w:t>
      </w:r>
    </w:p>
    <w:p>
      <w:pPr>
        <w:spacing w:line="360" w:lineRule="auto"/>
        <w:ind w:firstLine="482" w:firstLineChars="200"/>
        <w:rPr>
          <w:rFonts w:hint="eastAsia" w:ascii="宋体" w:hAnsi="宋体" w:cs="宋体"/>
          <w:b/>
          <w:bCs/>
          <w:sz w:val="24"/>
          <w:szCs w:val="24"/>
        </w:rPr>
      </w:pPr>
      <w:bookmarkStart w:id="1" w:name="_Toc177870554"/>
      <w:r>
        <w:rPr>
          <w:rFonts w:hint="eastAsia" w:ascii="宋体" w:hAnsi="宋体" w:cs="宋体"/>
          <w:b/>
          <w:bCs/>
          <w:sz w:val="24"/>
          <w:szCs w:val="24"/>
        </w:rPr>
        <w:t>（</w:t>
      </w:r>
      <w:r>
        <w:rPr>
          <w:rFonts w:hint="eastAsia" w:ascii="宋体" w:hAnsi="宋体" w:cs="宋体"/>
          <w:b/>
          <w:bCs/>
          <w:sz w:val="24"/>
          <w:szCs w:val="24"/>
          <w:lang w:eastAsia="zh-CN"/>
        </w:rPr>
        <w:t>七</w:t>
      </w:r>
      <w:r>
        <w:rPr>
          <w:rFonts w:hint="eastAsia" w:ascii="宋体" w:hAnsi="宋体" w:cs="宋体"/>
          <w:b/>
          <w:bCs/>
          <w:sz w:val="24"/>
          <w:szCs w:val="24"/>
        </w:rPr>
        <w:t>）磋商响应文件的签署和份数</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磋商响应方应根据“政采云供应商项目采购</w:t>
      </w:r>
      <w:r>
        <w:rPr>
          <w:rFonts w:ascii="宋体" w:cs="宋体"/>
          <w:b/>
          <w:bCs/>
          <w:sz w:val="24"/>
          <w:szCs w:val="24"/>
        </w:rPr>
        <w:t>-</w:t>
      </w:r>
      <w:r>
        <w:rPr>
          <w:rFonts w:hint="eastAsia" w:ascii="宋体" w:hAnsi="宋体" w:cs="宋体"/>
          <w:b/>
          <w:bCs/>
          <w:sz w:val="24"/>
          <w:szCs w:val="24"/>
        </w:rPr>
        <w:t>电子招投标操作指南”及本磋商文件规定的格式和顺序编制电子磋商响应文件并进行关联定位。</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（八）备份投标文件</w:t>
      </w:r>
    </w:p>
    <w:p>
      <w:pPr>
        <w:spacing w:line="360" w:lineRule="auto"/>
        <w:ind w:firstLine="480" w:firstLineChars="200"/>
        <w:rPr>
          <w:rFonts w:hint="eastAsia" w:ascii="宋体" w:hAnsi="宋体" w:cs="宋体"/>
          <w:b/>
          <w:bCs/>
          <w:sz w:val="24"/>
          <w:szCs w:val="24"/>
        </w:rPr>
      </w:pPr>
      <w:r>
        <w:rPr>
          <w:rFonts w:hint="eastAsia" w:ascii="宋体" w:hAnsi="宋体" w:cs="宋体"/>
          <w:b w:val="0"/>
          <w:bCs w:val="0"/>
          <w:sz w:val="24"/>
          <w:szCs w:val="24"/>
        </w:rPr>
        <w:t>1投标人在电子交易平台传输递交投标文件后，还可以在投标截止时间前直接提交或者以邮政快递方式递交备份投标文件1份，</w:t>
      </w:r>
      <w:r>
        <w:rPr>
          <w:rFonts w:hint="eastAsia" w:ascii="宋体" w:hAnsi="宋体" w:cs="宋体"/>
          <w:b/>
          <w:bCs/>
          <w:sz w:val="24"/>
          <w:szCs w:val="24"/>
        </w:rPr>
        <w:t>但采购人、采购机构不强制或变相强制投标人提交备份投标文件。</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val="0"/>
          <w:bCs w:val="0"/>
          <w:sz w:val="24"/>
          <w:szCs w:val="24"/>
        </w:rPr>
        <w:t>备份投标文件须在“政采云投标客户端”制作生成，并储存在DVD光盘中。备份投标文件应当密封包装并在包装上加盖公章并注明投标项目名称，投标人名称</w:t>
      </w:r>
      <w:r>
        <w:rPr>
          <w:rFonts w:hint="eastAsia" w:ascii="宋体" w:hAnsi="宋体" w:cs="宋体"/>
          <w:b/>
          <w:bCs/>
          <w:sz w:val="24"/>
          <w:szCs w:val="24"/>
        </w:rPr>
        <w:t>▲不符合上述制作、存储、密封规定的备份投标文件将被视为无效或者被拒绝接收。</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3直接提交备份投标文件的，投标人应于投标截止时间前在招标公告中载明的开标地点将备份投标文件提交给采购机构，采购机构将拒绝接受逾期送达的备份投标文件。</w:t>
      </w:r>
    </w:p>
    <w:p>
      <w:pPr>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4以邮政快递方式递交备份投标文件的，投标人应先将备份投标文件按要求密封和标记，再进行邮政快递包装后邮寄。备份投标文件须在投标截止时间之前送达浙江省杭州市临安区锦北街道科技大道4398号B座4楼B448办公室；送达时间以签收人签收时间为准（签收人：杨颖， 联系电话：18768193991）。采购机构将拒绝接受逾期送达的备份投标文件。邮寄过程中，电子备份投标文件发生泄露、遗失、损坏或延期送达等情况的，由投标人自行负责。</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5投标人仅提交备份投标文件，没有在电子交易平台传输递交投标文件的，投标无效。</w:t>
      </w:r>
    </w:p>
    <w:p>
      <w:pPr>
        <w:snapToGrid w:val="0"/>
        <w:spacing w:line="380" w:lineRule="exact"/>
        <w:ind w:firstLine="457" w:firstLineChars="196"/>
        <w:jc w:val="left"/>
        <w:outlineLvl w:val="2"/>
        <w:rPr>
          <w:rFonts w:ascii="宋体" w:cs="Times New Roman"/>
          <w:b/>
          <w:bCs/>
          <w:snapToGrid w:val="0"/>
          <w:spacing w:val="-4"/>
          <w:sz w:val="24"/>
          <w:szCs w:val="24"/>
        </w:rPr>
      </w:pPr>
      <w:r>
        <w:rPr>
          <w:rFonts w:hint="eastAsia" w:ascii="宋体" w:hAnsi="宋体" w:cs="宋体"/>
          <w:b/>
          <w:bCs/>
          <w:spacing w:val="-4"/>
          <w:sz w:val="24"/>
          <w:szCs w:val="24"/>
        </w:rPr>
        <w:t>三、磋商会议</w:t>
      </w:r>
    </w:p>
    <w:bookmarkEnd w:id="1"/>
    <w:p>
      <w:pPr>
        <w:pStyle w:val="3"/>
        <w:spacing w:line="360" w:lineRule="auto"/>
        <w:jc w:val="left"/>
        <w:outlineLvl w:val="1"/>
        <w:rPr>
          <w:rFonts w:ascii="宋体" w:cs="Times New Roman"/>
          <w:b/>
          <w:bCs/>
          <w:sz w:val="24"/>
          <w:szCs w:val="24"/>
        </w:rPr>
      </w:pPr>
      <w:bookmarkStart w:id="2" w:name="_Toc107820051"/>
      <w:bookmarkStart w:id="3" w:name="_Toc170792772"/>
      <w:r>
        <w:rPr>
          <w:rFonts w:hint="eastAsia" w:ascii="宋体" w:hAnsi="宋体" w:cs="宋体"/>
          <w:b/>
          <w:bCs/>
          <w:sz w:val="24"/>
          <w:szCs w:val="24"/>
        </w:rPr>
        <w:t>（一）组织开标程序</w:t>
      </w:r>
    </w:p>
    <w:p>
      <w:pPr>
        <w:pStyle w:val="11"/>
        <w:spacing w:before="120" w:after="120" w:line="360" w:lineRule="auto"/>
        <w:ind w:firstLine="470" w:firstLineChars="196"/>
        <w:rPr>
          <w:rFonts w:hAnsi="宋体" w:cs="Times New Roman"/>
        </w:rPr>
      </w:pPr>
      <w:r>
        <w:rPr>
          <w:rFonts w:hint="eastAsia" w:hAnsi="宋体"/>
        </w:rPr>
        <w:t>招标方将按照磋商文件规定的时间、地点和程序组织开标，各磋商响应方授权代表及相关人员应参加开标会并接受核验、签到，无关人员不得进入开标现场。磋商响应方如不派授权代表参加开标会的，事后不得对采购相关人员、开标过程和开标结果提出异议。</w:t>
      </w:r>
    </w:p>
    <w:p>
      <w:pPr>
        <w:pStyle w:val="11"/>
        <w:spacing w:before="120" w:after="120" w:line="360" w:lineRule="auto"/>
        <w:ind w:firstLine="551"/>
        <w:rPr>
          <w:rFonts w:hAnsi="宋体" w:cs="Times New Roman"/>
        </w:rPr>
      </w:pPr>
      <w:r>
        <w:rPr>
          <w:rFonts w:hAnsi="宋体"/>
        </w:rPr>
        <w:t>1.</w:t>
      </w:r>
      <w:r>
        <w:rPr>
          <w:rFonts w:hint="eastAsia" w:hAnsi="宋体"/>
        </w:rPr>
        <w:t>开标会由招标方主持，主持人介绍开标现场的人员情况，宣读递交磋商响应文件的磋商响应方名单、开标纪律、应当回避的情形等注意事项，组织磋商响应方签署不存在影响公平竞争的《政府采购活动现场确认声明书》。</w:t>
      </w:r>
    </w:p>
    <w:p>
      <w:pPr>
        <w:pStyle w:val="11"/>
        <w:spacing w:before="120" w:after="120" w:line="360" w:lineRule="auto"/>
        <w:ind w:firstLine="420"/>
        <w:rPr>
          <w:rFonts w:hAnsi="宋体" w:cs="Times New Roman"/>
          <w:b/>
          <w:bCs/>
        </w:rPr>
      </w:pPr>
      <w:r>
        <w:rPr>
          <w:rFonts w:hAnsi="宋体"/>
          <w:b/>
          <w:bCs/>
        </w:rPr>
        <w:t>2.</w:t>
      </w:r>
      <w:r>
        <w:rPr>
          <w:rFonts w:hint="eastAsia" w:hAnsi="宋体"/>
          <w:b/>
          <w:bCs/>
        </w:rPr>
        <w:t>电子招投标开标及评审程序</w:t>
      </w:r>
    </w:p>
    <w:p>
      <w:pPr>
        <w:pStyle w:val="11"/>
        <w:snapToGrid w:val="0"/>
        <w:spacing w:before="120" w:after="120" w:line="360" w:lineRule="auto"/>
        <w:ind w:firstLine="472" w:firstLineChars="196"/>
        <w:rPr>
          <w:rFonts w:hAnsi="宋体" w:cs="Times New Roman"/>
          <w:b/>
          <w:bCs/>
        </w:rPr>
      </w:pPr>
      <w:r>
        <w:rPr>
          <w:rFonts w:hAnsi="宋体"/>
          <w:b/>
          <w:bCs/>
        </w:rPr>
        <w:t>2.1</w:t>
      </w:r>
      <w:r>
        <w:rPr>
          <w:rFonts w:hint="eastAsia" w:hAnsi="宋体"/>
          <w:b/>
          <w:bCs/>
        </w:rPr>
        <w:t>投标截止时间后，磋商响应方登录政采云平台，用“项目采购</w:t>
      </w:r>
      <w:r>
        <w:rPr>
          <w:rFonts w:hAnsi="宋体"/>
          <w:b/>
          <w:bCs/>
        </w:rPr>
        <w:t>-</w:t>
      </w:r>
      <w:r>
        <w:rPr>
          <w:rFonts w:hint="eastAsia" w:hAnsi="宋体"/>
          <w:b/>
          <w:bCs/>
        </w:rPr>
        <w:t>开标评标”功能对电子磋商响应文件进行在线解密。在线解密电子磋商响应文件时间为开标时间起半个小时内。</w:t>
      </w:r>
    </w:p>
    <w:p>
      <w:pPr>
        <w:pStyle w:val="11"/>
        <w:snapToGrid w:val="0"/>
        <w:spacing w:before="120" w:after="120" w:line="360" w:lineRule="auto"/>
        <w:ind w:firstLine="472" w:firstLineChars="196"/>
        <w:rPr>
          <w:rFonts w:hAnsi="宋体" w:cs="Times New Roman"/>
          <w:b/>
          <w:bCs/>
        </w:rPr>
      </w:pPr>
      <w:r>
        <w:rPr>
          <w:rFonts w:hAnsi="宋体"/>
          <w:b/>
          <w:bCs/>
        </w:rPr>
        <w:t>2.2.</w:t>
      </w:r>
      <w:r>
        <w:rPr>
          <w:rFonts w:hint="eastAsia" w:hAnsi="宋体"/>
          <w:b/>
          <w:bCs/>
        </w:rPr>
        <w:t>评标委员会对资格和商务技术响应文件进行评审；</w:t>
      </w:r>
    </w:p>
    <w:p>
      <w:pPr>
        <w:pStyle w:val="11"/>
        <w:snapToGrid w:val="0"/>
        <w:spacing w:before="120" w:after="120" w:line="360" w:lineRule="auto"/>
        <w:ind w:firstLine="472" w:firstLineChars="196"/>
        <w:rPr>
          <w:rFonts w:hAnsi="宋体" w:cs="Times New Roman"/>
          <w:b/>
          <w:bCs/>
        </w:rPr>
      </w:pPr>
      <w:r>
        <w:rPr>
          <w:rFonts w:hAnsi="宋体"/>
          <w:b/>
          <w:bCs/>
        </w:rPr>
        <w:t>2.3</w:t>
      </w:r>
      <w:r>
        <w:rPr>
          <w:rFonts w:hint="eastAsia" w:hAnsi="宋体"/>
          <w:b/>
          <w:bCs/>
        </w:rPr>
        <w:t>在系统上公开资格和商务技术评审结果；</w:t>
      </w:r>
    </w:p>
    <w:p>
      <w:pPr>
        <w:pStyle w:val="11"/>
        <w:snapToGrid w:val="0"/>
        <w:spacing w:before="120" w:after="120" w:line="360" w:lineRule="auto"/>
        <w:ind w:firstLine="472" w:firstLineChars="196"/>
        <w:rPr>
          <w:rFonts w:hAnsi="宋体" w:cs="Times New Roman"/>
          <w:b/>
          <w:bCs/>
        </w:rPr>
      </w:pPr>
      <w:r>
        <w:rPr>
          <w:rFonts w:hAnsi="宋体"/>
          <w:b/>
          <w:bCs/>
        </w:rPr>
        <w:t>2.4</w:t>
      </w:r>
      <w:r>
        <w:rPr>
          <w:rFonts w:hint="eastAsia" w:hAnsi="宋体"/>
          <w:b/>
          <w:bCs/>
        </w:rPr>
        <w:t>在系统上公开报价开标情况；</w:t>
      </w:r>
    </w:p>
    <w:p>
      <w:pPr>
        <w:pStyle w:val="11"/>
        <w:snapToGrid w:val="0"/>
        <w:spacing w:before="120" w:after="120" w:line="360" w:lineRule="auto"/>
        <w:ind w:firstLine="472" w:firstLineChars="196"/>
        <w:rPr>
          <w:rFonts w:hAnsi="宋体" w:cs="Times New Roman"/>
          <w:b/>
          <w:bCs/>
        </w:rPr>
      </w:pPr>
      <w:r>
        <w:rPr>
          <w:rFonts w:hAnsi="宋体"/>
          <w:b/>
          <w:bCs/>
        </w:rPr>
        <w:t>2.5</w:t>
      </w:r>
      <w:r>
        <w:rPr>
          <w:rFonts w:hint="eastAsia" w:hAnsi="宋体"/>
          <w:b/>
          <w:bCs/>
        </w:rPr>
        <w:t>评标委员会对报价情况进行评审；</w:t>
      </w:r>
    </w:p>
    <w:p>
      <w:pPr>
        <w:pStyle w:val="11"/>
        <w:snapToGrid w:val="0"/>
        <w:spacing w:before="120" w:after="120" w:line="360" w:lineRule="auto"/>
        <w:ind w:firstLine="472" w:firstLineChars="196"/>
        <w:rPr>
          <w:rFonts w:hAnsi="宋体" w:cs="Times New Roman"/>
          <w:b/>
          <w:bCs/>
        </w:rPr>
      </w:pPr>
      <w:r>
        <w:rPr>
          <w:rFonts w:hAnsi="宋体"/>
          <w:b/>
          <w:bCs/>
        </w:rPr>
        <w:t>2.6</w:t>
      </w:r>
      <w:r>
        <w:rPr>
          <w:rFonts w:hint="eastAsia" w:hAnsi="宋体"/>
          <w:b/>
          <w:bCs/>
        </w:rPr>
        <w:t>在系统上公布评审结果。</w:t>
      </w:r>
    </w:p>
    <w:p>
      <w:pPr>
        <w:pStyle w:val="11"/>
        <w:snapToGrid w:val="0"/>
        <w:spacing w:before="120" w:after="120" w:line="360" w:lineRule="auto"/>
        <w:ind w:firstLine="472" w:firstLineChars="196"/>
        <w:rPr>
          <w:rFonts w:hAnsi="宋体" w:cs="Times New Roman"/>
          <w:b/>
          <w:bCs/>
        </w:rPr>
      </w:pPr>
      <w:r>
        <w:rPr>
          <w:rFonts w:hint="eastAsia" w:hAnsi="宋体"/>
          <w:b/>
          <w:bCs/>
        </w:rPr>
        <w:t>特别说明：</w:t>
      </w:r>
      <w:r>
        <w:rPr>
          <w:rFonts w:hAnsi="宋体"/>
          <w:b/>
          <w:bCs/>
        </w:rPr>
        <w:t>1</w:t>
      </w:r>
      <w:r>
        <w:rPr>
          <w:rFonts w:hint="eastAsia" w:hAnsi="宋体"/>
          <w:b/>
          <w:bCs/>
        </w:rPr>
        <w:t>、政采云公司如对电子化开标及评审程序有调整的，按调整后的程序操作。</w:t>
      </w:r>
    </w:p>
    <w:p>
      <w:pPr>
        <w:pStyle w:val="11"/>
        <w:snapToGrid w:val="0"/>
        <w:spacing w:before="120" w:after="120" w:line="360" w:lineRule="auto"/>
        <w:ind w:firstLine="472" w:firstLineChars="196"/>
        <w:rPr>
          <w:rFonts w:ascii="仿宋" w:hAnsi="仿宋" w:eastAsia="仿宋" w:cs="Times New Roman"/>
          <w:b/>
          <w:bCs/>
          <w:sz w:val="28"/>
          <w:szCs w:val="28"/>
        </w:rPr>
      </w:pPr>
      <w:r>
        <w:rPr>
          <w:rFonts w:hAnsi="宋体"/>
          <w:b/>
          <w:bCs/>
        </w:rPr>
        <w:t>2</w:t>
      </w:r>
      <w:r>
        <w:rPr>
          <w:rFonts w:hint="eastAsia" w:hAnsi="宋体"/>
          <w:b/>
          <w:bCs/>
        </w:rPr>
        <w:t>、目前政府采购全流程电子化交易，磋商响应方须在规定时间内自行解密。</w:t>
      </w:r>
    </w:p>
    <w:p>
      <w:pPr>
        <w:spacing w:line="360" w:lineRule="auto"/>
        <w:ind w:firstLine="482" w:firstLineChars="200"/>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本项目原则上采用政采云电子招投标开标及评审程序，但有下情形之一的，按以下情况处理：</w:t>
      </w:r>
    </w:p>
    <w:p>
      <w:pPr>
        <w:pStyle w:val="11"/>
        <w:adjustRightInd w:val="0"/>
        <w:snapToGrid w:val="0"/>
        <w:spacing w:before="120" w:after="120" w:line="360" w:lineRule="auto"/>
        <w:ind w:firstLine="484" w:firstLineChars="201"/>
        <w:rPr>
          <w:rFonts w:hAnsi="宋体" w:cs="Times New Roman"/>
          <w:b/>
          <w:bCs/>
          <w:kern w:val="0"/>
        </w:rPr>
      </w:pPr>
      <w:r>
        <w:rPr>
          <w:rFonts w:hAnsi="宋体"/>
          <w:b/>
          <w:bCs/>
        </w:rPr>
        <w:t>3.1</w:t>
      </w:r>
      <w:r>
        <w:rPr>
          <w:rFonts w:hint="eastAsia" w:hAnsi="宋体"/>
          <w:b/>
          <w:bCs/>
        </w:rPr>
        <w:t>若个别磋商响应方在规定时间内无法解密或解密失败的作无效投标处理</w:t>
      </w:r>
      <w:r>
        <w:rPr>
          <w:rFonts w:hint="eastAsia" w:hAnsi="宋体"/>
          <w:b/>
          <w:bCs/>
          <w:kern w:val="0"/>
        </w:rPr>
        <w:t>。解密成功的磋商响应方不足三家的，本项目流标重新组织采购活动。</w:t>
      </w:r>
    </w:p>
    <w:p>
      <w:pPr>
        <w:pStyle w:val="11"/>
        <w:adjustRightInd w:val="0"/>
        <w:snapToGrid w:val="0"/>
        <w:spacing w:before="120" w:after="120" w:line="360" w:lineRule="auto"/>
        <w:ind w:firstLine="484" w:firstLineChars="201"/>
        <w:rPr>
          <w:rFonts w:hAnsi="宋体" w:cs="Times New Roman"/>
        </w:rPr>
      </w:pPr>
      <w:r>
        <w:rPr>
          <w:rFonts w:hAnsi="宋体"/>
          <w:b/>
          <w:bCs/>
          <w:kern w:val="0"/>
        </w:rPr>
        <w:t>3.2</w:t>
      </w:r>
      <w:r>
        <w:rPr>
          <w:rFonts w:hint="eastAsia" w:hAnsi="宋体"/>
          <w:b/>
          <w:bCs/>
          <w:kern w:val="0"/>
        </w:rPr>
        <w:t>若因政采云平台原因无法读取或电子开评标无法正常进行，交易中心将情况上报行业监管部门同意后，重新组织采购活动。</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（二）组织评标程序</w:t>
      </w:r>
    </w:p>
    <w:p>
      <w:pPr>
        <w:snapToGrid w:val="0"/>
        <w:spacing w:line="360" w:lineRule="auto"/>
        <w:ind w:firstLine="480" w:firstLineChars="200"/>
        <w:jc w:val="left"/>
        <w:outlineLvl w:val="0"/>
        <w:rPr>
          <w:rFonts w:ascii="宋体" w:cs="Times New Roman"/>
          <w:sz w:val="24"/>
          <w:szCs w:val="24"/>
        </w:rPr>
      </w:pPr>
      <w:r>
        <w:rPr>
          <w:rFonts w:hint="eastAsia" w:ascii="宋体" w:hAnsi="宋体" w:cs="宋体"/>
          <w:sz w:val="24"/>
          <w:szCs w:val="24"/>
        </w:rPr>
        <w:t>招标方将按照磋商文件规定的时间、地点和程序组织评标，各评审专家及相关人员应参加评审活动并接受核验、签到，无关人员不得进入评审现场。</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按规定统一收缴、保存评标现场相关人员通讯工具。</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介绍评审现场的人员情况，宣布评审工作纪律，告知评审人员应当回避情形；组织推选评标委员会组长。</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宣读提交磋商响应文件的供应商名单，组织评标委员会各位成员签订《政府采购评审人员廉洁自律承诺书》。</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采购人可以在评标前说明项目背景和采购需求，说明内容不得含有歧视性、倾向性意见，不得超出磋商文件所述范围。说明应当提交书面材料，并随采购文件一并存档。</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根据需要简要介绍磋商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磋商文件、磋商响应文件的问题进行必要的说明、解释或讨论。</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采购人代表或由采购人委托的评标委员会对磋商响应方资格文件进行审查并以开标当日为准对磋商响应方“信用中国”网站（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）信用记录情况进行核实，资格不符合的，应组织相关磋商响应方代表进行陈述、澄清或申辩。</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组长组织评审人员独立评审。评标委员会对拟认定为磋商响应文件无效，应组织相关磋商响应方代表进行陈述、澄清或申辩；招标方可协助评标委员会组长对打分结果进行校对、核对并汇总统计；对明显畸高、畸低的评分（其总评分偏离平均分</w:t>
      </w:r>
      <w:r>
        <w:rPr>
          <w:rFonts w:ascii="宋体" w:hAnsi="宋体" w:cs="宋体"/>
          <w:sz w:val="24"/>
          <w:szCs w:val="24"/>
        </w:rPr>
        <w:t>30%</w:t>
      </w:r>
      <w:r>
        <w:rPr>
          <w:rFonts w:hint="eastAsia" w:ascii="宋体" w:hAnsi="宋体" w:cs="宋体"/>
          <w:sz w:val="24"/>
          <w:szCs w:val="24"/>
        </w:rPr>
        <w:t>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做好评审现场相关记录，协助评标委员会组长做好评审报告起草、有关内容电脑文字录入等工作，并要求评标委员会各成员签字确认。</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9.</w:t>
      </w:r>
      <w:r>
        <w:rPr>
          <w:rFonts w:hint="eastAsia" w:ascii="宋体" w:hAnsi="宋体" w:cs="宋体"/>
          <w:sz w:val="24"/>
          <w:szCs w:val="24"/>
        </w:rPr>
        <w:t>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cs="Times New Roman"/>
          <w:b/>
          <w:bCs/>
          <w:sz w:val="24"/>
          <w:szCs w:val="24"/>
        </w:rPr>
      </w:pPr>
      <w:r>
        <w:rPr>
          <w:rFonts w:hint="eastAsia" w:ascii="宋体" w:hAnsi="宋体" w:cs="宋体"/>
          <w:b/>
          <w:bCs/>
          <w:sz w:val="24"/>
          <w:szCs w:val="24"/>
        </w:rPr>
        <w:t>（三）评审程序</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在评审专家中推选评标委员会组长。</w:t>
      </w:r>
    </w:p>
    <w:p>
      <w:pPr>
        <w:snapToGrid w:val="0"/>
        <w:spacing w:line="360" w:lineRule="auto"/>
        <w:ind w:firstLine="480" w:firstLineChars="200"/>
        <w:jc w:val="left"/>
        <w:outlineLvl w:val="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评标委员会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评审人员对各磋商响应方磋商响应文件的有效性、符合性、完整性和响应程度进行审查，确定是否对磋商文件作出实质性响应。</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4.</w:t>
      </w:r>
      <w:r>
        <w:rPr>
          <w:rFonts w:hint="eastAsia" w:ascii="宋体" w:hAnsi="宋体" w:cs="宋体"/>
          <w:sz w:val="24"/>
          <w:szCs w:val="24"/>
        </w:rPr>
        <w:t>评审人员按磋商文件规定的评审方法和评审标准，依法独立对磋商响应方磋商响应文件进行评估、比较，并给予评价或打分，不受任何单位和个人的干预。</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5.</w:t>
      </w:r>
      <w:r>
        <w:rPr>
          <w:rFonts w:hint="eastAsia" w:ascii="宋体" w:hAnsi="宋体" w:cs="宋体"/>
          <w:sz w:val="24"/>
          <w:szCs w:val="24"/>
        </w:rPr>
        <w:t>评审人员对各供应商磋商响应文件非实质性内容有疑议或异议，或者审查发现明显的文字或计算错误等，及时向评标委员会组长提出。经评标委员会商议认为需要供应商作出必要澄清或说明的，应通知该磋商响应方以书面形式作出澄清或说明。授权代表未到场或拒绝澄清说明或澄清说明的内容改变了磋商响应文件的实质性内容的，评标委员会有权对该磋商响应文件作出不利于磋商响应方的评判。书面通知及澄清说明文件应作为政府采购项目档案归档留存。</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6.</w:t>
      </w:r>
      <w:r>
        <w:rPr>
          <w:rFonts w:hint="eastAsia" w:ascii="宋体" w:hAnsi="宋体" w:cs="宋体"/>
          <w:sz w:val="24"/>
          <w:szCs w:val="24"/>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7.</w:t>
      </w:r>
      <w:r>
        <w:rPr>
          <w:rFonts w:hint="eastAsia" w:ascii="宋体" w:hAnsi="宋体" w:cs="宋体"/>
          <w:sz w:val="24"/>
          <w:szCs w:val="24"/>
        </w:rPr>
        <w:t>评标委员会根据评审汇总情况和磋商文件规定确定中标候选供应商排序名单。</w:t>
      </w:r>
      <w:r>
        <w:rPr>
          <w:rFonts w:ascii="宋体" w:hAnsi="宋体" w:cs="宋体"/>
          <w:sz w:val="24"/>
          <w:szCs w:val="24"/>
        </w:rPr>
        <w:t xml:space="preserve"> </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8.</w:t>
      </w:r>
      <w:r>
        <w:rPr>
          <w:rFonts w:hint="eastAsia" w:ascii="宋体" w:hAnsi="宋体" w:cs="宋体"/>
          <w:sz w:val="24"/>
          <w:szCs w:val="24"/>
        </w:rPr>
        <w:t>起草评审报告，所有评审人员须在评审报告上签字确认。</w:t>
      </w:r>
    </w:p>
    <w:p>
      <w:pPr>
        <w:snapToGrid w:val="0"/>
        <w:spacing w:line="360" w:lineRule="auto"/>
        <w:ind w:firstLine="318" w:firstLineChars="132"/>
        <w:outlineLvl w:val="0"/>
        <w:rPr>
          <w:rFonts w:ascii="宋体" w:cs="Times New Roman"/>
          <w:b/>
          <w:bCs/>
          <w:sz w:val="28"/>
          <w:szCs w:val="28"/>
        </w:rPr>
      </w:pPr>
      <w:r>
        <w:rPr>
          <w:rFonts w:hint="eastAsia" w:ascii="宋体" w:hAnsi="宋体" w:cs="宋体"/>
          <w:b/>
          <w:bCs/>
          <w:sz w:val="24"/>
          <w:szCs w:val="24"/>
        </w:rPr>
        <w:t>（四）</w:t>
      </w:r>
      <w:r>
        <w:rPr>
          <w:rFonts w:hint="eastAsia" w:ascii="宋体" w:hAnsi="宋体" w:cs="宋体"/>
          <w:b/>
          <w:bCs/>
          <w:sz w:val="28"/>
          <w:szCs w:val="28"/>
        </w:rPr>
        <w:t>评审原则</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1.</w:t>
      </w:r>
      <w:r>
        <w:rPr>
          <w:rFonts w:hint="eastAsia" w:ascii="宋体" w:hAnsi="宋体" w:cs="宋体"/>
          <w:sz w:val="24"/>
          <w:szCs w:val="24"/>
        </w:rPr>
        <w:t>评标委员会必须公平、公正、客观，不带任何倾向性和启发性；不得向外界透露任何与评标有关的内容；任何单位和个人不得干扰、影响评标的正常进行；评标委员会及有关工作人员不得私下与磋商响应方接触。</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2.</w:t>
      </w:r>
      <w:r>
        <w:rPr>
          <w:rFonts w:hint="eastAsia" w:ascii="宋体" w:hAnsi="宋体" w:cs="宋体"/>
          <w:sz w:val="24"/>
          <w:szCs w:val="24"/>
        </w:rPr>
        <w:t>评审专家因回避、临时缺席或健康原因等特殊情况不能继续参加评审工作的，应按规定更换评审专家</w:t>
      </w:r>
      <w:r>
        <w:rPr>
          <w:rFonts w:ascii="宋体" w:cs="宋体"/>
          <w:sz w:val="24"/>
          <w:szCs w:val="24"/>
        </w:rPr>
        <w:t>,</w:t>
      </w:r>
      <w:r>
        <w:rPr>
          <w:rFonts w:hint="eastAsia" w:ascii="宋体" w:hAnsi="宋体" w:cs="宋体"/>
          <w:sz w:val="24"/>
          <w:szCs w:val="24"/>
        </w:rPr>
        <w:t>被更换的评审人员之前所作出的评审意见不再予以采纳，由更换后的评审人员重新进行评审。无法及时更换专家的，要立即停止评审工作、封存评审资料，并告知磋商响应方择期重新评审的时间和地点。</w:t>
      </w:r>
    </w:p>
    <w:p>
      <w:pPr>
        <w:snapToGrid w:val="0"/>
        <w:spacing w:line="360" w:lineRule="auto"/>
        <w:ind w:firstLine="480" w:firstLineChars="200"/>
        <w:jc w:val="left"/>
        <w:outlineLvl w:val="0"/>
        <w:rPr>
          <w:rFonts w:ascii="宋体" w:cs="Times New Roman"/>
          <w:sz w:val="24"/>
          <w:szCs w:val="24"/>
        </w:rPr>
      </w:pPr>
      <w:r>
        <w:rPr>
          <w:rFonts w:ascii="宋体" w:hAnsi="宋体" w:cs="宋体"/>
          <w:sz w:val="24"/>
          <w:szCs w:val="24"/>
        </w:rPr>
        <w:t>3.</w:t>
      </w:r>
      <w:r>
        <w:rPr>
          <w:rFonts w:hint="eastAsia" w:ascii="宋体" w:hAnsi="宋体" w:cs="宋体"/>
          <w:sz w:val="24"/>
          <w:szCs w:val="24"/>
        </w:rPr>
        <w:t>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482" w:firstLineChars="200"/>
        <w:jc w:val="left"/>
        <w:outlineLvl w:val="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财政部令第</w:t>
      </w:r>
      <w:r>
        <w:rPr>
          <w:rFonts w:ascii="宋体" w:hAnsi="宋体" w:cs="宋体"/>
          <w:b/>
          <w:bCs/>
          <w:sz w:val="24"/>
          <w:szCs w:val="24"/>
        </w:rPr>
        <w:t>87</w:t>
      </w:r>
      <w:r>
        <w:rPr>
          <w:rFonts w:hint="eastAsia" w:ascii="宋体" w:hAnsi="宋体" w:cs="宋体"/>
          <w:b/>
          <w:bCs/>
          <w:sz w:val="24"/>
          <w:szCs w:val="24"/>
        </w:rPr>
        <w:t>号《政府采购货物和服务招标投标管理办法》第三十一条规定：使用综合评分法的采购项目，提供相同品牌产品且通过资格审查、符合性审查的不同磋商响应方参加同一合同项下投标的，按一家磋商响应方计算，评审后得分最高的同品牌磋商响应方获得成交供应商推荐资格；评审得分相同的，由采购人或者采购人委托评标委员会按照磋商文件规定的方式确定一个磋商响应方获得成交供应商推荐资格，磋商文件未规定的采取随机抽取方式确定，其他同品牌磋商响应方不作为中标候选人。</w:t>
      </w:r>
    </w:p>
    <w:p>
      <w:pPr>
        <w:snapToGrid w:val="0"/>
        <w:spacing w:line="360" w:lineRule="auto"/>
        <w:ind w:firstLine="482" w:firstLineChars="200"/>
        <w:jc w:val="left"/>
        <w:outlineLvl w:val="0"/>
        <w:rPr>
          <w:rFonts w:ascii="宋体" w:cs="Times New Roman"/>
          <w:b/>
          <w:bCs/>
          <w:sz w:val="24"/>
          <w:szCs w:val="24"/>
        </w:rPr>
      </w:pPr>
      <w:r>
        <w:rPr>
          <w:rFonts w:hint="eastAsia" w:ascii="宋体" w:hAnsi="宋体" w:cs="宋体"/>
          <w:b/>
          <w:bCs/>
          <w:sz w:val="24"/>
          <w:szCs w:val="24"/>
        </w:rPr>
        <w:t>非单一产品采购项目，采购人应当根据采购项目技术构成、产品价格比重等合理确定核心产品，并在磋商文件中载明。多家磋商响应方提供的核心产品品牌相同的，按前款规定处理。</w:t>
      </w:r>
    </w:p>
    <w:p>
      <w:pPr>
        <w:tabs>
          <w:tab w:val="center" w:pos="4153"/>
          <w:tab w:val="right" w:pos="8306"/>
        </w:tabs>
        <w:snapToGrid w:val="0"/>
        <w:spacing w:line="380" w:lineRule="exact"/>
        <w:ind w:left="724" w:leftChars="230" w:hanging="241" w:hangingChars="100"/>
        <w:jc w:val="left"/>
        <w:outlineLvl w:val="1"/>
        <w:rPr>
          <w:rFonts w:ascii="宋体" w:cs="Times New Roman"/>
          <w:b/>
          <w:bCs/>
          <w:sz w:val="24"/>
          <w:szCs w:val="24"/>
        </w:rPr>
      </w:pPr>
      <w:r>
        <w:rPr>
          <w:rFonts w:hint="eastAsia" w:ascii="宋体" w:hAnsi="宋体" w:cs="宋体"/>
          <w:b/>
          <w:bCs/>
          <w:sz w:val="24"/>
          <w:szCs w:val="24"/>
        </w:rPr>
        <w:t>四、评审</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详见第三章评审办法及评审标准</w:t>
      </w:r>
    </w:p>
    <w:p>
      <w:pPr>
        <w:tabs>
          <w:tab w:val="center" w:pos="4153"/>
          <w:tab w:val="right" w:pos="8306"/>
        </w:tabs>
        <w:snapToGrid w:val="0"/>
        <w:spacing w:line="380" w:lineRule="exact"/>
        <w:ind w:left="724" w:leftChars="230" w:hanging="241" w:hangingChars="100"/>
        <w:jc w:val="left"/>
        <w:rPr>
          <w:rFonts w:ascii="宋体" w:cs="Times New Roman"/>
          <w:b/>
          <w:bCs/>
          <w:sz w:val="24"/>
          <w:szCs w:val="24"/>
        </w:rPr>
      </w:pPr>
      <w:r>
        <w:rPr>
          <w:rFonts w:hint="eastAsia" w:ascii="宋体" w:hAnsi="宋体" w:cs="宋体"/>
          <w:b/>
          <w:bCs/>
          <w:sz w:val="24"/>
          <w:szCs w:val="24"/>
        </w:rPr>
        <w:t>五、定标</w:t>
      </w:r>
    </w:p>
    <w:p>
      <w:pPr>
        <w:snapToGrid w:val="0"/>
        <w:spacing w:line="380" w:lineRule="exact"/>
        <w:ind w:firstLine="480" w:firstLineChars="200"/>
        <w:rPr>
          <w:rFonts w:ascii="宋体" w:cs="Times New Roman"/>
          <w:sz w:val="24"/>
          <w:szCs w:val="24"/>
        </w:rPr>
      </w:pPr>
      <w:r>
        <w:rPr>
          <w:rFonts w:hint="eastAsia" w:ascii="宋体" w:hAnsi="宋体" w:cs="宋体"/>
          <w:sz w:val="24"/>
          <w:szCs w:val="24"/>
        </w:rPr>
        <w:t>（一）确定成交人。本项目由采购人确定成交人。</w:t>
      </w:r>
    </w:p>
    <w:p>
      <w:pPr>
        <w:snapToGrid w:val="0"/>
        <w:spacing w:line="3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评审结束，评审报告经采购人确认后，将采购结果发布采购公告的网站上，进行</w:t>
      </w:r>
      <w:r>
        <w:rPr>
          <w:rFonts w:ascii="宋体" w:hAnsi="宋体" w:cs="宋体"/>
          <w:sz w:val="24"/>
          <w:szCs w:val="24"/>
        </w:rPr>
        <w:t>7</w:t>
      </w:r>
      <w:r>
        <w:rPr>
          <w:rFonts w:hint="eastAsia" w:ascii="宋体" w:hAnsi="宋体" w:cs="宋体"/>
          <w:sz w:val="24"/>
          <w:szCs w:val="24"/>
        </w:rPr>
        <w:t>个工作日的预成交公示。</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采购人对评审结果无异议的，采购人应在收到评审报告后</w:t>
      </w:r>
      <w:r>
        <w:rPr>
          <w:rFonts w:ascii="宋体" w:hAnsi="宋体" w:cs="宋体"/>
          <w:sz w:val="24"/>
          <w:szCs w:val="24"/>
        </w:rPr>
        <w:t>5</w:t>
      </w:r>
      <w:r>
        <w:rPr>
          <w:rFonts w:hint="eastAsia" w:ascii="宋体" w:hAnsi="宋体" w:cs="宋体"/>
          <w:sz w:val="24"/>
          <w:szCs w:val="24"/>
        </w:rPr>
        <w:t>个工作日内对评审结果进行确认。如有磋商响应方对评审结果提出质疑的，采购人可在质疑处理完毕后确定成交人。</w:t>
      </w:r>
    </w:p>
    <w:p>
      <w:pPr>
        <w:snapToGrid w:val="0"/>
        <w:spacing w:line="380" w:lineRule="exact"/>
        <w:ind w:firstLine="480" w:firstLineChars="200"/>
        <w:outlineLvl w:val="1"/>
        <w:rPr>
          <w:rFonts w:hint="eastAsia" w:ascii="宋体" w:hAnsi="宋体" w:cs="宋体"/>
          <w:sz w:val="24"/>
          <w:szCs w:val="24"/>
        </w:rPr>
      </w:pPr>
      <w:r>
        <w:rPr>
          <w:rFonts w:hint="eastAsia" w:ascii="宋体" w:hAnsi="宋体" w:cs="宋体"/>
          <w:sz w:val="24"/>
          <w:szCs w:val="24"/>
        </w:rPr>
        <w:t>（二）采购人依法确定成交人后，采购机构以书面形式发出《成交通知书》。</w:t>
      </w:r>
    </w:p>
    <w:p>
      <w:pPr>
        <w:snapToGrid w:val="0"/>
        <w:spacing w:line="380" w:lineRule="exact"/>
        <w:ind w:firstLine="480" w:firstLineChars="200"/>
        <w:outlineLvl w:val="1"/>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36" w:firstLineChars="181"/>
        <w:outlineLvl w:val="1"/>
        <w:rPr>
          <w:rFonts w:ascii="宋体" w:cs="Times New Roman"/>
          <w:b/>
          <w:bCs/>
          <w:sz w:val="24"/>
          <w:szCs w:val="24"/>
        </w:rPr>
      </w:pPr>
      <w:r>
        <w:rPr>
          <w:rFonts w:hint="eastAsia" w:ascii="宋体" w:hAnsi="宋体" w:cs="宋体"/>
          <w:b/>
          <w:bCs/>
          <w:sz w:val="24"/>
          <w:szCs w:val="24"/>
        </w:rPr>
        <w:t>六、</w:t>
      </w:r>
      <w:bookmarkStart w:id="4" w:name="_Toc177870556"/>
      <w:r>
        <w:rPr>
          <w:rFonts w:hint="eastAsia" w:ascii="宋体" w:hAnsi="宋体" w:cs="宋体"/>
          <w:b/>
          <w:bCs/>
          <w:sz w:val="24"/>
          <w:szCs w:val="24"/>
        </w:rPr>
        <w:t>合同</w:t>
      </w:r>
      <w:bookmarkEnd w:id="2"/>
      <w:bookmarkEnd w:id="3"/>
      <w:r>
        <w:rPr>
          <w:rFonts w:hint="eastAsia" w:ascii="宋体" w:hAnsi="宋体" w:cs="宋体"/>
          <w:b/>
          <w:bCs/>
          <w:sz w:val="24"/>
          <w:szCs w:val="24"/>
        </w:rPr>
        <w:t>授予</w:t>
      </w:r>
      <w:bookmarkEnd w:id="4"/>
    </w:p>
    <w:p>
      <w:pPr>
        <w:snapToGrid w:val="0"/>
        <w:spacing w:line="380" w:lineRule="exact"/>
        <w:ind w:firstLine="436" w:firstLineChars="182"/>
        <w:rPr>
          <w:rFonts w:ascii="宋体" w:cs="Times New Roman"/>
          <w:sz w:val="24"/>
          <w:szCs w:val="24"/>
        </w:rPr>
      </w:pPr>
      <w:r>
        <w:rPr>
          <w:rFonts w:ascii="宋体" w:hAnsi="宋体" w:cs="宋体"/>
          <w:sz w:val="24"/>
          <w:szCs w:val="24"/>
        </w:rPr>
        <w:t>1.</w:t>
      </w:r>
      <w:r>
        <w:rPr>
          <w:rFonts w:hint="eastAsia" w:ascii="宋体" w:hAnsi="宋体" w:cs="宋体"/>
          <w:sz w:val="24"/>
          <w:szCs w:val="24"/>
        </w:rPr>
        <w:t>成交人应自成交通知书发出后</w:t>
      </w:r>
      <w:r>
        <w:rPr>
          <w:rFonts w:ascii="宋体" w:hAnsi="宋体" w:cs="宋体"/>
          <w:sz w:val="24"/>
          <w:szCs w:val="24"/>
          <w:u w:val="single"/>
        </w:rPr>
        <w:t>30</w:t>
      </w:r>
      <w:r>
        <w:rPr>
          <w:rFonts w:hint="eastAsia" w:ascii="宋体" w:hAnsi="宋体" w:cs="宋体"/>
          <w:sz w:val="24"/>
          <w:szCs w:val="24"/>
        </w:rPr>
        <w:t>日内与采购人签定合同。</w:t>
      </w:r>
    </w:p>
    <w:p>
      <w:pPr>
        <w:snapToGrid w:val="0"/>
        <w:spacing w:line="380" w:lineRule="exact"/>
        <w:ind w:firstLine="436" w:firstLineChars="182"/>
        <w:rPr>
          <w:rFonts w:ascii="宋体" w:cs="Times New Roman"/>
          <w:sz w:val="24"/>
          <w:szCs w:val="24"/>
        </w:rPr>
      </w:pPr>
      <w:r>
        <w:rPr>
          <w:rFonts w:ascii="宋体" w:hAnsi="宋体" w:cs="宋体"/>
          <w:sz w:val="24"/>
          <w:szCs w:val="24"/>
        </w:rPr>
        <w:t>2.</w:t>
      </w:r>
      <w:r>
        <w:rPr>
          <w:rFonts w:hint="eastAsia" w:ascii="宋体" w:hAnsi="宋体" w:cs="宋体"/>
          <w:sz w:val="24"/>
          <w:szCs w:val="24"/>
        </w:rPr>
        <w:t>成交人拖延、拒签合同的</w:t>
      </w:r>
      <w:r>
        <w:rPr>
          <w:rFonts w:ascii="宋体" w:cs="宋体"/>
          <w:sz w:val="24"/>
          <w:szCs w:val="24"/>
        </w:rPr>
        <w:t>,</w:t>
      </w:r>
      <w:r>
        <w:rPr>
          <w:rFonts w:hint="eastAsia" w:ascii="宋体" w:hAnsi="宋体" w:cs="宋体"/>
          <w:sz w:val="24"/>
          <w:szCs w:val="24"/>
        </w:rPr>
        <w:t>将被扣罚磋商保证金并取消成交资格。</w:t>
      </w:r>
    </w:p>
    <w:p>
      <w:pPr>
        <w:snapToGrid w:val="0"/>
        <w:spacing w:line="380" w:lineRule="exact"/>
        <w:ind w:firstLine="475" w:firstLineChars="197"/>
        <w:outlineLvl w:val="1"/>
        <w:rPr>
          <w:rFonts w:ascii="宋体" w:cs="Times New Roman"/>
          <w:b/>
          <w:bCs/>
          <w:sz w:val="24"/>
          <w:szCs w:val="24"/>
        </w:rPr>
      </w:pPr>
      <w:r>
        <w:rPr>
          <w:rFonts w:hint="eastAsia" w:ascii="宋体" w:hAnsi="宋体" w:cs="宋体"/>
          <w:b/>
          <w:bCs/>
          <w:sz w:val="24"/>
          <w:szCs w:val="24"/>
        </w:rPr>
        <w:t>七、货款的结算</w:t>
      </w:r>
    </w:p>
    <w:p>
      <w:pPr>
        <w:snapToGrid w:val="0"/>
        <w:spacing w:line="380" w:lineRule="exact"/>
        <w:ind w:firstLine="480" w:firstLineChars="200"/>
        <w:jc w:val="left"/>
        <w:rPr>
          <w:rFonts w:ascii="宋体" w:cs="Times New Roman"/>
          <w:sz w:val="24"/>
          <w:szCs w:val="24"/>
        </w:rPr>
      </w:pPr>
      <w:r>
        <w:rPr>
          <w:rFonts w:hint="eastAsia" w:ascii="宋体" w:hAnsi="宋体" w:cs="宋体"/>
          <w:sz w:val="24"/>
          <w:szCs w:val="24"/>
        </w:rPr>
        <w:t>详见第四章采购需求。</w:t>
      </w:r>
    </w:p>
    <w:p>
      <w:pPr>
        <w:snapToGrid w:val="0"/>
        <w:spacing w:line="380" w:lineRule="exact"/>
        <w:ind w:firstLine="482" w:firstLineChars="200"/>
        <w:jc w:val="left"/>
        <w:rPr>
          <w:rFonts w:ascii="宋体" w:cs="Times New Roman"/>
          <w:b/>
          <w:bCs/>
          <w:sz w:val="24"/>
          <w:szCs w:val="24"/>
        </w:rPr>
      </w:pPr>
      <w:r>
        <w:rPr>
          <w:rFonts w:hint="eastAsia" w:ascii="宋体" w:hAnsi="宋体" w:cs="宋体"/>
          <w:b/>
          <w:bCs/>
          <w:sz w:val="24"/>
          <w:szCs w:val="24"/>
        </w:rPr>
        <w:t>八、其它</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sz w:val="24"/>
          <w:szCs w:val="24"/>
        </w:rPr>
        <w:t>★《中华人民共和国政府采购法》</w:t>
      </w:r>
      <w:r>
        <w:rPr>
          <w:rFonts w:hint="eastAsia" w:ascii="宋体" w:hAnsi="宋体" w:cs="宋体"/>
          <w:kern w:val="0"/>
          <w:sz w:val="24"/>
          <w:szCs w:val="24"/>
        </w:rPr>
        <w:t>第七十七条</w:t>
      </w:r>
      <w:r>
        <w:rPr>
          <w:rFonts w:ascii="宋体" w:hAnsi="宋体" w:cs="宋体"/>
          <w:kern w:val="0"/>
          <w:sz w:val="24"/>
          <w:szCs w:val="24"/>
        </w:rPr>
        <w:t xml:space="preserve"> </w:t>
      </w:r>
      <w:r>
        <w:rPr>
          <w:rFonts w:hint="eastAsia" w:ascii="宋体" w:hAnsi="宋体" w:cs="宋体"/>
          <w:kern w:val="0"/>
          <w:sz w:val="24"/>
          <w:szCs w:val="24"/>
        </w:rPr>
        <w:t>供应商有下列情形之一的，处以采购金额千分之五以上千分之十以下的罚款，列入</w:t>
      </w:r>
      <w:r>
        <w:fldChar w:fldCharType="begin"/>
      </w:r>
      <w:r>
        <w:instrText xml:space="preserve">HYPERLINK "http://baike.baidu.com/view/2183629.htm" \t "_blank"</w:instrText>
      </w:r>
      <w:r>
        <w:fldChar w:fldCharType="separate"/>
      </w:r>
      <w:r>
        <w:rPr>
          <w:rFonts w:hint="eastAsia" w:ascii="宋体" w:hAnsi="宋体" w:cs="宋体"/>
          <w:kern w:val="0"/>
          <w:sz w:val="24"/>
          <w:szCs w:val="24"/>
        </w:rPr>
        <w:t>不良行为记录</w:t>
      </w:r>
      <w:r>
        <w:fldChar w:fldCharType="end"/>
      </w:r>
      <w:r>
        <w:rPr>
          <w:rFonts w:hint="eastAsia" w:ascii="宋体" w:hAnsi="宋体" w:cs="宋体"/>
          <w:kern w:val="0"/>
          <w:sz w:val="24"/>
          <w:szCs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宋体"/>
          <w:kern w:val="0"/>
          <w:sz w:val="24"/>
          <w:szCs w:val="24"/>
        </w:rPr>
        <w:t>工商行政管理机关</w:t>
      </w:r>
      <w:r>
        <w:rPr>
          <w:rFonts w:hint="eastAsia" w:ascii="宋体" w:hAnsi="宋体" w:cs="宋体"/>
          <w:kern w:val="0"/>
          <w:sz w:val="24"/>
          <w:szCs w:val="24"/>
        </w:rPr>
        <w:fldChar w:fldCharType="end"/>
      </w:r>
      <w:r>
        <w:rPr>
          <w:rFonts w:hint="eastAsia" w:ascii="宋体" w:hAnsi="宋体" w:cs="宋体"/>
          <w:kern w:val="0"/>
          <w:sz w:val="24"/>
          <w:szCs w:val="24"/>
        </w:rPr>
        <w:t>吊销营业执照；构成犯罪的，依法追究刑事责任：</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（一）提供虚假材料谋取成交、成交的；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（二）采取不正当手段诋毁、排挤其他供应商的；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（三）与采购人、其他供应商或者采购代理机构恶意串通的；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（四）向采购人、采购代理机构行贿或者提供其他不正当利益的；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（五）在招标采购过程中与采购人进行协商谈判的；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（六）拒绝有关部门监督检查或者提供虚假情况的。</w:t>
      </w:r>
    </w:p>
    <w:p>
      <w:pPr>
        <w:widowControl/>
        <w:shd w:val="clear" w:color="auto" w:fill="FFFFFF"/>
        <w:spacing w:line="380" w:lineRule="exact"/>
        <w:ind w:firstLine="480"/>
        <w:jc w:val="left"/>
        <w:rPr>
          <w:rFonts w:ascii="宋体" w:cs="Times New Roman"/>
          <w:kern w:val="0"/>
          <w:sz w:val="24"/>
          <w:szCs w:val="24"/>
        </w:rPr>
      </w:pPr>
      <w:r>
        <w:rPr>
          <w:rFonts w:hint="eastAsia" w:ascii="宋体" w:hAnsi="宋体" w:cs="宋体"/>
          <w:kern w:val="0"/>
          <w:sz w:val="24"/>
          <w:szCs w:val="24"/>
        </w:rPr>
        <w:t>供应商有前款第（一）至（五）项情形之一的，成交、成交无效。</w:t>
      </w:r>
    </w:p>
    <w:p>
      <w:pPr>
        <w:widowControl/>
        <w:spacing w:line="380" w:lineRule="exact"/>
        <w:ind w:firstLine="480" w:firstLineChars="200"/>
        <w:jc w:val="left"/>
        <w:rPr>
          <w:rFonts w:ascii="宋体" w:cs="Times New Roman"/>
          <w:kern w:val="0"/>
          <w:sz w:val="24"/>
          <w:szCs w:val="24"/>
        </w:rPr>
      </w:pPr>
      <w:r>
        <w:rPr>
          <w:rFonts w:hint="eastAsia" w:ascii="宋体" w:hAnsi="宋体" w:cs="宋体"/>
          <w:sz w:val="24"/>
          <w:szCs w:val="24"/>
        </w:rPr>
        <w:t>★《中华人民共和国政府采购法实施条例》</w:t>
      </w:r>
      <w:r>
        <w:rPr>
          <w:rFonts w:hint="eastAsia" w:ascii="宋体" w:hAnsi="宋体" w:cs="宋体"/>
          <w:kern w:val="0"/>
          <w:sz w:val="24"/>
          <w:szCs w:val="24"/>
        </w:rPr>
        <w:t>第七十二条　供应商有下列情形之一的，依照政府采购法第七十七条第一款的规定追究法律责任：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（一）向评审委员会、竞争性磋商小组或者询价小组成员行贿或者提供其他不正当利益；</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（二）成交或者成交后无正当理由拒不与采购人签订政府采购合同；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（三）未按照采购文件确定的事项签订政府采购合同；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（四）将政府采购合同转包；</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（五）提供假冒伪劣产品；</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（六）擅自变更、中止或者终止政府采购合同。</w:t>
      </w:r>
    </w:p>
    <w:p>
      <w:pPr>
        <w:widowControl/>
        <w:spacing w:line="380" w:lineRule="exact"/>
        <w:jc w:val="left"/>
        <w:rPr>
          <w:rFonts w:ascii="宋体" w:cs="Times New Roman"/>
          <w:kern w:val="0"/>
          <w:sz w:val="24"/>
          <w:szCs w:val="24"/>
        </w:rPr>
      </w:pPr>
      <w:r>
        <w:rPr>
          <w:rFonts w:hint="eastAsia" w:ascii="宋体" w:hAnsi="宋体" w:cs="宋体"/>
          <w:kern w:val="0"/>
          <w:sz w:val="24"/>
          <w:szCs w:val="24"/>
        </w:rPr>
        <w:t>　　供应商有前款第一项规定情形的，成交、成交无效。评审阶段资格发生变化，供应商未依照本条例第二十一条的规定通知采购人和采购代理机构的，处以采购金额</w:t>
      </w:r>
      <w:r>
        <w:rPr>
          <w:rFonts w:ascii="宋体" w:hAnsi="宋体" w:cs="宋体"/>
          <w:kern w:val="0"/>
          <w:sz w:val="24"/>
          <w:szCs w:val="24"/>
        </w:rPr>
        <w:t>5</w:t>
      </w:r>
      <w:r>
        <w:rPr>
          <w:rFonts w:hint="eastAsia" w:ascii="宋体" w:hAnsi="宋体" w:cs="宋体"/>
          <w:kern w:val="0"/>
          <w:sz w:val="24"/>
          <w:szCs w:val="24"/>
        </w:rPr>
        <w:t>‰的罚款，列入不良行为记录名单，成交、成交无效。</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第七十三条　供应商捏造事实、提供虚假材料或者以非法手段取得证明材料进行投诉的，由财政部门列入不良行为记录名单，禁止其</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3</w:t>
      </w:r>
      <w:r>
        <w:rPr>
          <w:rFonts w:hint="eastAsia" w:ascii="宋体" w:hAnsi="宋体" w:cs="宋体"/>
          <w:kern w:val="0"/>
          <w:sz w:val="24"/>
          <w:szCs w:val="24"/>
        </w:rPr>
        <w:t>年内参加政府采购活动。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w:t>
      </w:r>
      <w:r>
        <w:rPr>
          <w:rFonts w:hint="eastAsia" w:ascii="宋体" w:hAnsi="宋体" w:cs="宋体"/>
          <w:sz w:val="24"/>
          <w:szCs w:val="24"/>
        </w:rPr>
        <w:t>★《中华人民共和国政府采购法实施条例》</w:t>
      </w:r>
      <w:r>
        <w:rPr>
          <w:rFonts w:hint="eastAsia" w:ascii="宋体" w:hAnsi="宋体" w:cs="宋体"/>
          <w:kern w:val="0"/>
          <w:sz w:val="24"/>
          <w:szCs w:val="24"/>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（一）供应商直接或者间接从采购人或者采购代理机构处获得其他供应商的相关情况并修改其磋商文件或者响应文件；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（二）供应商按照采购人或者采购代理机构的授意撤换、修改磋商文件或者响应文件；</w:t>
      </w:r>
    </w:p>
    <w:p>
      <w:pPr>
        <w:widowControl/>
        <w:spacing w:line="380" w:lineRule="exact"/>
        <w:jc w:val="left"/>
        <w:rPr>
          <w:rFonts w:ascii="宋体" w:cs="Times New Roman"/>
          <w:kern w:val="0"/>
          <w:sz w:val="24"/>
          <w:szCs w:val="24"/>
        </w:rPr>
      </w:pPr>
      <w:r>
        <w:rPr>
          <w:rFonts w:hint="eastAsia" w:ascii="宋体" w:hAnsi="宋体" w:cs="宋体"/>
          <w:kern w:val="0"/>
          <w:sz w:val="24"/>
          <w:szCs w:val="24"/>
        </w:rPr>
        <w:t>　　（三）供应商之间协商报价、技术方案等磋商文件或者响应文件的实质性内容；</w:t>
      </w:r>
    </w:p>
    <w:p>
      <w:pPr>
        <w:widowControl/>
        <w:spacing w:line="380" w:lineRule="exact"/>
        <w:jc w:val="left"/>
        <w:rPr>
          <w:rFonts w:ascii="宋体" w:cs="Times New Roman"/>
          <w:kern w:val="0"/>
          <w:sz w:val="24"/>
          <w:szCs w:val="24"/>
        </w:rPr>
      </w:pPr>
      <w:r>
        <w:rPr>
          <w:rFonts w:hint="eastAsia" w:ascii="宋体" w:hAnsi="宋体" w:cs="宋体"/>
          <w:kern w:val="0"/>
          <w:sz w:val="24"/>
          <w:szCs w:val="24"/>
        </w:rPr>
        <w:t>　　（四）属于同一集团、协会、商会等组织成员的供应商按照该组织要求协同参加政府采购活动；</w:t>
      </w:r>
    </w:p>
    <w:p>
      <w:pPr>
        <w:widowControl/>
        <w:spacing w:line="380" w:lineRule="exact"/>
        <w:jc w:val="left"/>
        <w:rPr>
          <w:rFonts w:ascii="宋体" w:cs="Times New Roman"/>
          <w:kern w:val="0"/>
          <w:sz w:val="24"/>
          <w:szCs w:val="24"/>
        </w:rPr>
      </w:pPr>
      <w:r>
        <w:rPr>
          <w:rFonts w:hint="eastAsia" w:ascii="宋体" w:hAnsi="宋体" w:cs="宋体"/>
          <w:kern w:val="0"/>
          <w:sz w:val="24"/>
          <w:szCs w:val="24"/>
        </w:rPr>
        <w:t>　　（五）供应商之间事先约定由某一特定供应商成交、成交；</w:t>
      </w:r>
    </w:p>
    <w:p>
      <w:pPr>
        <w:widowControl/>
        <w:spacing w:line="380" w:lineRule="exact"/>
        <w:jc w:val="left"/>
        <w:rPr>
          <w:rFonts w:ascii="宋体" w:cs="Times New Roman"/>
          <w:kern w:val="0"/>
          <w:sz w:val="24"/>
          <w:szCs w:val="24"/>
        </w:rPr>
      </w:pPr>
      <w:r>
        <w:rPr>
          <w:rFonts w:hint="eastAsia" w:ascii="宋体" w:hAnsi="宋体" w:cs="宋体"/>
          <w:kern w:val="0"/>
          <w:sz w:val="24"/>
          <w:szCs w:val="24"/>
        </w:rPr>
        <w:t>　　（六）供应商之间商定部分供应商放弃参加政府采购活动或者放弃成交、成交；</w:t>
      </w:r>
    </w:p>
    <w:p>
      <w:pPr>
        <w:widowControl/>
        <w:ind w:firstLine="480" w:firstLineChars="200"/>
        <w:jc w:val="left"/>
        <w:rPr>
          <w:rFonts w:cs="Times New Roman"/>
          <w:b/>
          <w:bCs/>
          <w:sz w:val="32"/>
          <w:szCs w:val="32"/>
        </w:rPr>
      </w:pPr>
      <w:r>
        <w:rPr>
          <w:rFonts w:hint="eastAsia" w:ascii="宋体" w:hAnsi="宋体" w:cs="宋体"/>
          <w:kern w:val="0"/>
          <w:sz w:val="24"/>
          <w:szCs w:val="24"/>
        </w:rPr>
        <w:t>（七）供应商与采购人或者采购代理机构之间、供应商相互之间，为谋求特定供应商成交、成交或者排斥其他供应商的其他串通行为。</w:t>
      </w:r>
    </w:p>
    <w:p>
      <w:pPr>
        <w:widowControl/>
        <w:jc w:val="left"/>
        <w:rPr>
          <w:rFonts w:cs="Times New Roman"/>
          <w:b/>
          <w:bCs/>
          <w:sz w:val="32"/>
          <w:szCs w:val="32"/>
        </w:rPr>
      </w:pPr>
    </w:p>
    <w:p>
      <w:pPr>
        <w:spacing w:line="400" w:lineRule="exact"/>
        <w:jc w:val="center"/>
        <w:rPr>
          <w:rFonts w:ascii="宋体" w:cs="Times New Roman"/>
          <w:sz w:val="24"/>
          <w:szCs w:val="24"/>
        </w:rPr>
      </w:pPr>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评审办法及评审标准</w:t>
      </w:r>
    </w:p>
    <w:p>
      <w:pPr>
        <w:spacing w:line="400" w:lineRule="exact"/>
        <w:ind w:firstLine="482" w:firstLineChars="200"/>
        <w:rPr>
          <w:rFonts w:ascii="宋体" w:cs="Times New Roman"/>
          <w:sz w:val="24"/>
          <w:szCs w:val="24"/>
        </w:rPr>
      </w:pPr>
      <w:r>
        <w:rPr>
          <w:rFonts w:hint="eastAsia" w:ascii="宋体" w:hAnsi="宋体" w:cs="宋体"/>
          <w:b/>
          <w:bCs/>
          <w:sz w:val="24"/>
          <w:szCs w:val="24"/>
        </w:rPr>
        <w:t>第一条</w:t>
      </w:r>
      <w:r>
        <w:rPr>
          <w:rFonts w:ascii="宋体" w:hAnsi="宋体" w:cs="宋体"/>
          <w:b/>
          <w:bCs/>
          <w:sz w:val="24"/>
          <w:szCs w:val="24"/>
        </w:rPr>
        <w:t xml:space="preserve">  </w:t>
      </w:r>
      <w:r>
        <w:rPr>
          <w:rFonts w:hint="eastAsia" w:ascii="宋体" w:hAnsi="宋体" w:cs="宋体"/>
          <w:sz w:val="24"/>
          <w:szCs w:val="24"/>
        </w:rPr>
        <w:t>评审（磋商）按下列程序进行：</w:t>
      </w:r>
    </w:p>
    <w:p>
      <w:pPr>
        <w:spacing w:line="400" w:lineRule="exact"/>
        <w:ind w:firstLine="480" w:firstLineChars="200"/>
        <w:rPr>
          <w:rFonts w:ascii="宋体" w:cs="Times New Roman"/>
          <w:sz w:val="24"/>
          <w:szCs w:val="24"/>
        </w:rPr>
      </w:pPr>
      <w:r>
        <w:rPr>
          <w:rFonts w:hint="eastAsia" w:ascii="宋体" w:hAnsi="宋体" w:cs="宋体"/>
          <w:sz w:val="24"/>
          <w:szCs w:val="24"/>
        </w:rPr>
        <w:t>（一）依法组建评审（磋商）委员会；</w:t>
      </w:r>
    </w:p>
    <w:p>
      <w:pPr>
        <w:spacing w:line="400" w:lineRule="exact"/>
        <w:ind w:firstLine="480" w:firstLineChars="200"/>
        <w:rPr>
          <w:rFonts w:ascii="宋体" w:cs="Times New Roman"/>
          <w:sz w:val="24"/>
          <w:szCs w:val="24"/>
        </w:rPr>
      </w:pPr>
      <w:r>
        <w:rPr>
          <w:rFonts w:hint="eastAsia" w:ascii="宋体" w:hAnsi="宋体" w:cs="宋体"/>
          <w:sz w:val="24"/>
          <w:szCs w:val="24"/>
        </w:rPr>
        <w:t>（二）评审前准备；</w:t>
      </w:r>
    </w:p>
    <w:p>
      <w:pPr>
        <w:spacing w:line="400" w:lineRule="exact"/>
        <w:ind w:firstLine="480" w:firstLineChars="200"/>
        <w:rPr>
          <w:rFonts w:ascii="宋体" w:cs="Times New Roman"/>
          <w:sz w:val="24"/>
          <w:szCs w:val="24"/>
        </w:rPr>
      </w:pPr>
      <w:r>
        <w:rPr>
          <w:rFonts w:hint="eastAsia" w:ascii="宋体" w:hAnsi="宋体" w:cs="宋体"/>
          <w:sz w:val="24"/>
          <w:szCs w:val="24"/>
        </w:rPr>
        <w:t>（三）资格审查；</w:t>
      </w:r>
    </w:p>
    <w:p>
      <w:pPr>
        <w:spacing w:line="400" w:lineRule="exact"/>
        <w:ind w:firstLine="480" w:firstLineChars="200"/>
        <w:rPr>
          <w:rFonts w:ascii="宋体" w:cs="Times New Roman"/>
          <w:sz w:val="24"/>
          <w:szCs w:val="24"/>
        </w:rPr>
      </w:pPr>
      <w:r>
        <w:rPr>
          <w:rFonts w:hint="eastAsia" w:ascii="宋体" w:hAnsi="宋体" w:cs="宋体"/>
          <w:sz w:val="24"/>
          <w:szCs w:val="24"/>
        </w:rPr>
        <w:t>（四）技术标评审；</w:t>
      </w:r>
    </w:p>
    <w:p>
      <w:pPr>
        <w:spacing w:line="400" w:lineRule="exact"/>
        <w:ind w:firstLine="480" w:firstLineChars="200"/>
        <w:rPr>
          <w:rFonts w:ascii="宋体" w:cs="Times New Roman"/>
          <w:sz w:val="24"/>
          <w:szCs w:val="24"/>
        </w:rPr>
      </w:pPr>
      <w:r>
        <w:rPr>
          <w:rFonts w:hint="eastAsia" w:ascii="宋体" w:hAnsi="宋体" w:cs="宋体"/>
          <w:sz w:val="24"/>
          <w:szCs w:val="24"/>
        </w:rPr>
        <w:t>（五）报价评审</w:t>
      </w:r>
    </w:p>
    <w:p>
      <w:pPr>
        <w:spacing w:line="400" w:lineRule="exact"/>
        <w:ind w:firstLine="480" w:firstLineChars="200"/>
        <w:rPr>
          <w:rFonts w:ascii="宋体" w:cs="Times New Roman"/>
          <w:sz w:val="24"/>
          <w:szCs w:val="24"/>
        </w:rPr>
      </w:pPr>
      <w:r>
        <w:rPr>
          <w:rFonts w:hint="eastAsia" w:ascii="宋体" w:hAnsi="宋体" w:cs="宋体"/>
          <w:sz w:val="24"/>
          <w:szCs w:val="24"/>
        </w:rPr>
        <w:t>（六）完成评审报告。</w:t>
      </w:r>
    </w:p>
    <w:p>
      <w:pPr>
        <w:tabs>
          <w:tab w:val="center" w:pos="4153"/>
          <w:tab w:val="right" w:pos="8306"/>
        </w:tabs>
        <w:snapToGrid w:val="0"/>
        <w:spacing w:line="400" w:lineRule="exact"/>
        <w:ind w:firstLine="482" w:firstLineChars="200"/>
        <w:jc w:val="left"/>
        <w:rPr>
          <w:rFonts w:ascii="宋体" w:cs="Times New Roman"/>
          <w:sz w:val="24"/>
          <w:szCs w:val="24"/>
        </w:rPr>
      </w:pPr>
      <w:r>
        <w:rPr>
          <w:rFonts w:hint="eastAsia" w:ascii="宋体" w:hAnsi="宋体" w:cs="宋体"/>
          <w:b/>
          <w:bCs/>
          <w:sz w:val="24"/>
          <w:szCs w:val="24"/>
        </w:rPr>
        <w:t>第二条</w:t>
      </w:r>
      <w:r>
        <w:rPr>
          <w:rFonts w:ascii="宋体" w:hAnsi="宋体" w:cs="宋体"/>
          <w:sz w:val="24"/>
          <w:szCs w:val="24"/>
        </w:rPr>
        <w:t xml:space="preserve">  </w:t>
      </w:r>
      <w:r>
        <w:rPr>
          <w:rFonts w:hint="eastAsia" w:ascii="宋体" w:hAnsi="宋体" w:cs="宋体"/>
          <w:sz w:val="24"/>
          <w:szCs w:val="24"/>
        </w:rPr>
        <w:t>采购机构依法组建由</w:t>
      </w:r>
      <w:r>
        <w:rPr>
          <w:rFonts w:ascii="宋体" w:hAnsi="宋体" w:cs="宋体"/>
          <w:sz w:val="24"/>
          <w:szCs w:val="24"/>
        </w:rPr>
        <w:t>5</w:t>
      </w:r>
      <w:r>
        <w:rPr>
          <w:rFonts w:hint="eastAsia" w:ascii="宋体" w:hAnsi="宋体" w:cs="宋体"/>
          <w:sz w:val="24"/>
          <w:szCs w:val="24"/>
        </w:rPr>
        <w:t>人以上（含）奇数的人员组成的评审委员会（磋商小组），负责对</w:t>
      </w:r>
      <w:r>
        <w:rPr>
          <w:rFonts w:hint="eastAsia" w:ascii="Times New Roman" w:hAnsi="宋体" w:cs="宋体"/>
          <w:sz w:val="24"/>
          <w:szCs w:val="24"/>
        </w:rPr>
        <w:t>磋商响应</w:t>
      </w:r>
      <w:r>
        <w:rPr>
          <w:rFonts w:hint="eastAsia" w:ascii="宋体" w:hAnsi="宋体" w:cs="宋体"/>
          <w:sz w:val="24"/>
          <w:szCs w:val="24"/>
        </w:rPr>
        <w:t>文件进行审查、质询、评审和比较等。</w:t>
      </w:r>
      <w:r>
        <w:rPr>
          <w:rFonts w:hint="eastAsia" w:ascii="Times New Roman" w:hAnsi="宋体" w:cs="宋体"/>
          <w:sz w:val="24"/>
          <w:szCs w:val="24"/>
        </w:rPr>
        <w:t>磋商</w:t>
      </w:r>
      <w:r>
        <w:rPr>
          <w:rFonts w:hint="eastAsia" w:ascii="宋体" w:hAnsi="宋体" w:cs="宋体"/>
          <w:sz w:val="24"/>
          <w:szCs w:val="24"/>
        </w:rPr>
        <w:t>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cs="Times New Roman"/>
          <w:sz w:val="24"/>
          <w:szCs w:val="24"/>
        </w:rPr>
      </w:pPr>
      <w:r>
        <w:rPr>
          <w:rFonts w:hint="eastAsia" w:ascii="宋体" w:hAnsi="宋体" w:cs="宋体"/>
          <w:b/>
          <w:bCs/>
          <w:sz w:val="24"/>
          <w:szCs w:val="24"/>
        </w:rPr>
        <w:t>第三条</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评审委员会（磋商小组）必须公平、公正、客观，不带任何倾向性和启发性；不得向外界透露任何与评审有关的内容；任何单位和个人不得干扰、影响评审的正常进行；评审委员会（磋商小组）及有关工作人员不得私下与</w:t>
      </w:r>
      <w:r>
        <w:rPr>
          <w:rFonts w:hint="eastAsia" w:ascii="Times New Roman" w:hAnsi="宋体" w:cs="宋体"/>
          <w:sz w:val="24"/>
          <w:szCs w:val="24"/>
        </w:rPr>
        <w:t>磋商响应方</w:t>
      </w:r>
      <w:r>
        <w:rPr>
          <w:rFonts w:hint="eastAsia" w:ascii="宋体" w:hAnsi="宋体" w:cs="宋体"/>
          <w:sz w:val="24"/>
          <w:szCs w:val="24"/>
        </w:rPr>
        <w:t>接触。</w:t>
      </w:r>
    </w:p>
    <w:p>
      <w:pPr>
        <w:spacing w:line="400" w:lineRule="exact"/>
        <w:ind w:firstLine="482" w:firstLineChars="200"/>
        <w:rPr>
          <w:rFonts w:ascii="宋体" w:cs="Times New Roman"/>
          <w:b/>
          <w:bCs/>
          <w:sz w:val="24"/>
          <w:szCs w:val="24"/>
        </w:rPr>
      </w:pPr>
      <w:r>
        <w:rPr>
          <w:rFonts w:hint="eastAsia" w:ascii="宋体" w:hAnsi="宋体" w:cs="宋体"/>
          <w:b/>
          <w:bCs/>
          <w:sz w:val="24"/>
          <w:szCs w:val="24"/>
        </w:rPr>
        <w:t>第四条</w:t>
      </w:r>
      <w:r>
        <w:rPr>
          <w:rFonts w:ascii="宋体" w:hAnsi="宋体" w:cs="宋体"/>
          <w:sz w:val="24"/>
          <w:szCs w:val="24"/>
        </w:rPr>
        <w:t xml:space="preserve">  </w:t>
      </w:r>
      <w:r>
        <w:rPr>
          <w:rFonts w:hint="eastAsia" w:ascii="宋体" w:hAnsi="宋体" w:cs="宋体"/>
          <w:b/>
          <w:bCs/>
          <w:sz w:val="24"/>
          <w:szCs w:val="24"/>
        </w:rPr>
        <w:t>本项目先进行资格符合性审查，再进行技术、价格磋商。其中资信和技术分占</w:t>
      </w:r>
      <w:r>
        <w:rPr>
          <w:rFonts w:hint="eastAsia" w:ascii="宋体" w:hAnsi="宋体" w:cs="宋体"/>
          <w:b/>
          <w:bCs/>
          <w:sz w:val="24"/>
          <w:szCs w:val="24"/>
          <w:lang w:val="en-US" w:eastAsia="zh-CN"/>
        </w:rPr>
        <w:t>8</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，报价分占</w:t>
      </w:r>
      <w:r>
        <w:rPr>
          <w:rFonts w:hint="eastAsia" w:ascii="宋体" w:hAnsi="宋体" w:cs="宋体"/>
          <w:b/>
          <w:bCs/>
          <w:sz w:val="24"/>
          <w:szCs w:val="24"/>
          <w:lang w:val="en-US" w:eastAsia="zh-CN"/>
        </w:rPr>
        <w:t>2</w:t>
      </w:r>
      <w:r>
        <w:rPr>
          <w:rFonts w:ascii="宋体" w:cs="宋体"/>
          <w:b/>
          <w:bCs/>
          <w:sz w:val="24"/>
          <w:szCs w:val="24"/>
        </w:rPr>
        <w:t>0</w:t>
      </w:r>
      <w:r>
        <w:rPr>
          <w:rFonts w:ascii="宋体" w:hAnsi="宋体" w:cs="宋体"/>
          <w:b/>
          <w:bCs/>
          <w:sz w:val="24"/>
          <w:szCs w:val="24"/>
        </w:rPr>
        <w:t>%</w:t>
      </w:r>
      <w:r>
        <w:rPr>
          <w:rFonts w:hint="eastAsia" w:ascii="宋体" w:hAnsi="宋体" w:cs="宋体"/>
          <w:b/>
          <w:bCs/>
          <w:sz w:val="24"/>
          <w:szCs w:val="24"/>
        </w:rPr>
        <w:t>。</w:t>
      </w:r>
    </w:p>
    <w:p>
      <w:pPr>
        <w:spacing w:line="400" w:lineRule="exact"/>
        <w:ind w:firstLine="463" w:firstLineChars="192"/>
        <w:rPr>
          <w:rFonts w:ascii="宋体" w:hAnsi="宋体"/>
          <w:b/>
          <w:sz w:val="24"/>
        </w:rPr>
      </w:pPr>
      <w:r>
        <w:rPr>
          <w:rFonts w:hint="eastAsia" w:ascii="宋体" w:hAnsi="宋体" w:cs="宋体"/>
          <w:b/>
          <w:bCs/>
          <w:sz w:val="24"/>
          <w:szCs w:val="24"/>
        </w:rPr>
        <w:t>第五条</w:t>
      </w:r>
      <w:r>
        <w:rPr>
          <w:rFonts w:ascii="宋体" w:hAnsi="宋体" w:cs="宋体"/>
          <w:b/>
          <w:bCs/>
          <w:sz w:val="24"/>
          <w:szCs w:val="24"/>
        </w:rPr>
        <w:t xml:space="preserve">  </w:t>
      </w:r>
      <w:r>
        <w:rPr>
          <w:rFonts w:hint="eastAsia" w:ascii="宋体" w:hAnsi="宋体" w:cs="宋体"/>
          <w:b/>
          <w:bCs/>
          <w:sz w:val="24"/>
          <w:szCs w:val="24"/>
        </w:rPr>
        <w:t>本项目采用综合评分法。</w:t>
      </w:r>
      <w:r>
        <w:rPr>
          <w:rFonts w:hint="eastAsia" w:ascii="宋体" w:hAnsi="宋体"/>
          <w:b/>
          <w:sz w:val="24"/>
        </w:rPr>
        <w:t>评审委员会对通过评审的所有磋商响应方以总分由高到低推荐前两名为成交候选人，有效磋商响应方不足五家，推荐第一名为预成交供应商，有效磋商响应方大于5家（含），推荐前两名为预成交供应商，并进行采购结果公示。</w:t>
      </w:r>
    </w:p>
    <w:p>
      <w:pPr>
        <w:widowControl/>
        <w:numPr>
          <w:ilvl w:val="0"/>
          <w:numId w:val="1"/>
        </w:numPr>
        <w:spacing w:line="300" w:lineRule="exact"/>
        <w:jc w:val="left"/>
        <w:rPr>
          <w:rFonts w:cs="Times New Roman"/>
          <w:b/>
          <w:bCs/>
          <w:sz w:val="24"/>
          <w:szCs w:val="24"/>
        </w:rPr>
      </w:pPr>
      <w:r>
        <w:rPr>
          <w:rFonts w:hint="eastAsia" w:ascii="宋体" w:hAnsi="宋体" w:cs="宋体"/>
          <w:b/>
          <w:bCs/>
          <w:sz w:val="24"/>
          <w:szCs w:val="24"/>
        </w:rPr>
        <w:t>资信及商务、技术评分表</w:t>
      </w:r>
    </w:p>
    <w:tbl>
      <w:tblPr>
        <w:tblStyle w:val="19"/>
        <w:tblW w:w="90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7034"/>
        <w:gridCol w:w="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评分要点</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0" w:hRule="atLeast"/>
          <w:jc w:val="center"/>
        </w:trPr>
        <w:tc>
          <w:tcPr>
            <w:tcW w:w="1222"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ascii="仿宋" w:hAnsi="仿宋" w:eastAsia="仿宋"/>
                <w:spacing w:val="-6"/>
                <w:sz w:val="24"/>
                <w:szCs w:val="24"/>
                <w:highlight w:val="none"/>
              </w:rPr>
              <w:t>投标</w:t>
            </w:r>
            <w:r>
              <w:rPr>
                <w:rFonts w:hint="eastAsia" w:ascii="仿宋" w:hAnsi="仿宋" w:eastAsia="仿宋"/>
                <w:spacing w:val="-6"/>
                <w:sz w:val="24"/>
                <w:szCs w:val="24"/>
                <w:highlight w:val="none"/>
              </w:rPr>
              <w:t>方案</w:t>
            </w:r>
            <w:r>
              <w:rPr>
                <w:rFonts w:ascii="仿宋" w:hAnsi="仿宋" w:eastAsia="仿宋"/>
                <w:spacing w:val="-6"/>
                <w:sz w:val="24"/>
                <w:szCs w:val="24"/>
                <w:highlight w:val="none"/>
              </w:rPr>
              <w:t>响应程度</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pacing w:val="-6"/>
                <w:sz w:val="24"/>
                <w:szCs w:val="24"/>
                <w:highlight w:val="none"/>
              </w:rPr>
            </w:pPr>
            <w:r>
              <w:rPr>
                <w:rFonts w:hint="eastAsia" w:ascii="仿宋" w:hAnsi="仿宋" w:eastAsia="仿宋"/>
                <w:spacing w:val="-6"/>
                <w:sz w:val="24"/>
                <w:szCs w:val="24"/>
                <w:highlight w:val="none"/>
              </w:rPr>
              <w:t>方案（包括产品）的基本功能、技术指标与需求的吻合程度和偏差情况（包括所投标方案中使用产品的规格型号、详细配置、主要技术参数、随机软件、证明材料等），是否能够满足</w:t>
            </w:r>
            <w:r>
              <w:rPr>
                <w:rFonts w:hint="eastAsia" w:ascii="仿宋" w:hAnsi="仿宋" w:eastAsia="仿宋"/>
                <w:spacing w:val="-6"/>
                <w:sz w:val="24"/>
                <w:szCs w:val="24"/>
                <w:highlight w:val="none"/>
                <w:lang w:eastAsia="zh-CN"/>
              </w:rPr>
              <w:t>采购文件</w:t>
            </w:r>
            <w:r>
              <w:rPr>
                <w:rFonts w:hint="eastAsia" w:ascii="仿宋" w:hAnsi="仿宋" w:eastAsia="仿宋"/>
                <w:spacing w:val="-6"/>
                <w:sz w:val="24"/>
                <w:szCs w:val="24"/>
                <w:highlight w:val="none"/>
              </w:rPr>
              <w:t>要求</w:t>
            </w:r>
            <w:r>
              <w:rPr>
                <w:rFonts w:hint="eastAsia" w:ascii="仿宋" w:hAnsi="仿宋" w:eastAsia="仿宋"/>
                <w:spacing w:val="-6"/>
                <w:sz w:val="24"/>
                <w:szCs w:val="24"/>
                <w:highlight w:val="none"/>
                <w:lang w:eastAsia="zh-CN"/>
              </w:rPr>
              <w:t>，最高</w:t>
            </w:r>
            <w:r>
              <w:rPr>
                <w:rFonts w:hint="eastAsia" w:ascii="仿宋" w:hAnsi="仿宋" w:eastAsia="仿宋"/>
                <w:spacing w:val="-6"/>
                <w:sz w:val="24"/>
                <w:szCs w:val="24"/>
                <w:highlight w:val="none"/>
                <w:lang w:val="en-US" w:eastAsia="zh-CN"/>
              </w:rPr>
              <w:t>20分，</w:t>
            </w:r>
            <w:r>
              <w:rPr>
                <w:rFonts w:hint="eastAsia" w:ascii="仿宋" w:hAnsi="仿宋" w:eastAsia="仿宋"/>
                <w:spacing w:val="-6"/>
                <w:sz w:val="24"/>
                <w:szCs w:val="24"/>
                <w:highlight w:val="none"/>
              </w:rPr>
              <w:t>技术指标负偏离的每项扣</w:t>
            </w:r>
            <w:r>
              <w:rPr>
                <w:rFonts w:hint="eastAsia" w:ascii="仿宋" w:hAnsi="仿宋" w:eastAsia="仿宋"/>
                <w:spacing w:val="-6"/>
                <w:sz w:val="24"/>
                <w:szCs w:val="24"/>
                <w:highlight w:val="none"/>
                <w:lang w:val="en-US" w:eastAsia="zh-CN"/>
              </w:rPr>
              <w:t>1</w:t>
            </w:r>
            <w:r>
              <w:rPr>
                <w:rFonts w:hint="eastAsia" w:ascii="仿宋" w:hAnsi="仿宋" w:eastAsia="仿宋"/>
                <w:spacing w:val="-6"/>
                <w:sz w:val="24"/>
                <w:szCs w:val="24"/>
                <w:highlight w:val="none"/>
              </w:rPr>
              <w:t>分，扣完为止。</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0-</w:t>
            </w:r>
            <w:r>
              <w:rPr>
                <w:rFonts w:ascii="仿宋" w:hAnsi="仿宋" w:eastAsia="仿宋"/>
                <w:sz w:val="24"/>
                <w:szCs w:val="24"/>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0" w:hRule="atLeast"/>
          <w:jc w:val="center"/>
        </w:trPr>
        <w:tc>
          <w:tcPr>
            <w:tcW w:w="1222"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pacing w:val="-6"/>
                <w:sz w:val="24"/>
                <w:szCs w:val="24"/>
                <w:highlight w:val="none"/>
                <w:lang w:eastAsia="zh-CN"/>
              </w:rPr>
            </w:pPr>
            <w:r>
              <w:rPr>
                <w:rFonts w:hint="eastAsia" w:ascii="仿宋" w:hAnsi="仿宋" w:eastAsia="仿宋"/>
                <w:spacing w:val="-6"/>
                <w:sz w:val="24"/>
                <w:szCs w:val="24"/>
                <w:highlight w:val="none"/>
              </w:rPr>
              <w:t>针对临安区委办公室商用密码应用体系的顶层设计（</w:t>
            </w:r>
            <w:r>
              <w:rPr>
                <w:rFonts w:hint="eastAsia" w:ascii="仿宋" w:hAnsi="仿宋" w:eastAsia="仿宋"/>
                <w:spacing w:val="-6"/>
                <w:sz w:val="24"/>
                <w:szCs w:val="24"/>
                <w:highlight w:val="none"/>
                <w:lang w:eastAsia="zh-CN"/>
              </w:rPr>
              <w:t>包含</w:t>
            </w:r>
            <w:r>
              <w:rPr>
                <w:rFonts w:hint="eastAsia" w:ascii="仿宋" w:hAnsi="仿宋" w:eastAsia="仿宋"/>
                <w:spacing w:val="-6"/>
                <w:sz w:val="24"/>
                <w:szCs w:val="24"/>
                <w:highlight w:val="none"/>
              </w:rPr>
              <w:t>但不限于商用密码服务体系理论设计、建设思路设计、业务应用系统接入分析设计），是否符合实际应用需求，以及今后扩展的需要，是否具有独到的优势，根据响应方提供的设计方案综合打分。</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222"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p>
        </w:tc>
        <w:tc>
          <w:tcPr>
            <w:tcW w:w="7034" w:type="dxa"/>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rPr>
                <w:rFonts w:ascii="仿宋" w:hAnsi="仿宋" w:eastAsia="仿宋"/>
                <w:sz w:val="24"/>
                <w:szCs w:val="24"/>
                <w:highlight w:val="none"/>
              </w:rPr>
            </w:pPr>
            <w:r>
              <w:rPr>
                <w:rFonts w:hint="eastAsia" w:ascii="仿宋" w:hAnsi="仿宋" w:eastAsia="仿宋" w:cs="宋体"/>
                <w:color w:val="000000"/>
                <w:kern w:val="0"/>
                <w:sz w:val="24"/>
                <w:szCs w:val="24"/>
              </w:rPr>
              <w:t>针对本项目涉及的业务系统，进行密码需求分析，阐述商用密码体系在每个业务系统中实现的具体功能，是否独有独到之处，根据响应方提供的设计方案综合打分。</w:t>
            </w:r>
          </w:p>
        </w:tc>
        <w:tc>
          <w:tcPr>
            <w:tcW w:w="770" w:type="dxa"/>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1222"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pacing w:val="-6"/>
                <w:sz w:val="24"/>
                <w:szCs w:val="24"/>
                <w:highlight w:val="none"/>
              </w:rPr>
            </w:pPr>
            <w:r>
              <w:rPr>
                <w:rFonts w:hint="eastAsia" w:ascii="仿宋" w:hAnsi="仿宋" w:eastAsia="仿宋"/>
                <w:spacing w:val="-6"/>
                <w:sz w:val="24"/>
                <w:szCs w:val="24"/>
                <w:highlight w:val="none"/>
              </w:rPr>
              <w:t>项目</w:t>
            </w:r>
            <w:r>
              <w:rPr>
                <w:rFonts w:ascii="仿宋" w:hAnsi="仿宋" w:eastAsia="仿宋"/>
                <w:spacing w:val="-6"/>
                <w:sz w:val="24"/>
                <w:szCs w:val="24"/>
                <w:highlight w:val="none"/>
              </w:rPr>
              <w:t>实</w:t>
            </w:r>
          </w:p>
          <w:p>
            <w:pPr>
              <w:tabs>
                <w:tab w:val="center" w:pos="4153"/>
                <w:tab w:val="right" w:pos="8306"/>
              </w:tabs>
              <w:snapToGrid w:val="0"/>
              <w:spacing w:line="400" w:lineRule="exact"/>
              <w:jc w:val="center"/>
              <w:rPr>
                <w:rFonts w:ascii="仿宋" w:hAnsi="仿宋" w:eastAsia="仿宋"/>
                <w:sz w:val="24"/>
                <w:szCs w:val="24"/>
                <w:highlight w:val="none"/>
              </w:rPr>
            </w:pPr>
            <w:r>
              <w:rPr>
                <w:rFonts w:ascii="仿宋" w:hAnsi="仿宋" w:eastAsia="仿宋"/>
                <w:spacing w:val="-6"/>
                <w:sz w:val="24"/>
                <w:szCs w:val="24"/>
                <w:highlight w:val="none"/>
              </w:rPr>
              <w:t>施方案</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ascii="仿宋" w:hAnsi="仿宋" w:eastAsia="仿宋"/>
                <w:sz w:val="24"/>
                <w:szCs w:val="24"/>
                <w:highlight w:val="none"/>
              </w:rPr>
            </w:pPr>
            <w:r>
              <w:rPr>
                <w:rFonts w:hint="eastAsia" w:ascii="仿宋" w:hAnsi="仿宋" w:eastAsia="仿宋"/>
                <w:spacing w:val="-6"/>
                <w:sz w:val="24"/>
                <w:szCs w:val="24"/>
                <w:highlight w:val="none"/>
                <w:lang w:eastAsia="zh-CN"/>
              </w:rPr>
              <w:t>根据响应方</w:t>
            </w:r>
            <w:r>
              <w:rPr>
                <w:rFonts w:hint="eastAsia" w:ascii="仿宋" w:hAnsi="仿宋" w:eastAsia="仿宋"/>
                <w:spacing w:val="-6"/>
                <w:sz w:val="24"/>
                <w:szCs w:val="24"/>
                <w:highlight w:val="none"/>
              </w:rPr>
              <w:t>组织实施方案的科学性、合理性、规范性、安全性和可操作性，以及组织机构、工作时间进度表、工作程序和步骤、管理和协调方法、关键步骤的思路和要点等</w:t>
            </w:r>
            <w:r>
              <w:rPr>
                <w:rFonts w:hint="eastAsia" w:ascii="仿宋" w:hAnsi="仿宋" w:eastAsia="仿宋"/>
                <w:spacing w:val="-6"/>
                <w:sz w:val="24"/>
                <w:szCs w:val="24"/>
                <w:highlight w:val="none"/>
                <w:lang w:eastAsia="zh-CN"/>
              </w:rPr>
              <w:t>综合打分。</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jc w:val="center"/>
        </w:trPr>
        <w:tc>
          <w:tcPr>
            <w:tcW w:w="1222"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pacing w:val="-6"/>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ascii="仿宋" w:hAnsi="仿宋" w:eastAsia="仿宋"/>
                <w:spacing w:val="-6"/>
                <w:sz w:val="24"/>
                <w:szCs w:val="24"/>
                <w:highlight w:val="none"/>
              </w:rPr>
            </w:pPr>
            <w:r>
              <w:rPr>
                <w:rFonts w:hint="eastAsia" w:ascii="仿宋" w:hAnsi="仿宋" w:eastAsia="仿宋"/>
                <w:spacing w:val="-6"/>
                <w:sz w:val="24"/>
                <w:szCs w:val="24"/>
              </w:rPr>
              <w:t>项目组实施人员专业素质、技术能力、专业分布、经验等情况、是否具有类似项目建设经验、是否具有密码理论科研经验等由评标委员会酌情打分（提供项目组人员资质证书、工作履历、社保证明等相关资料）。</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1222"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cs="Calibri"/>
                <w:kern w:val="2"/>
                <w:sz w:val="24"/>
                <w:szCs w:val="24"/>
                <w:highlight w:val="none"/>
                <w:lang w:val="en-US" w:eastAsia="zh-CN" w:bidi="ar-SA"/>
              </w:rPr>
            </w:pPr>
            <w:r>
              <w:rPr>
                <w:rFonts w:hint="eastAsia" w:ascii="仿宋" w:hAnsi="仿宋" w:eastAsia="仿宋"/>
                <w:spacing w:val="-6"/>
                <w:sz w:val="24"/>
                <w:szCs w:val="24"/>
                <w:highlight w:val="none"/>
              </w:rPr>
              <w:t>售后服务保障能力</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pacing w:val="-6"/>
                <w:sz w:val="24"/>
                <w:szCs w:val="24"/>
                <w:highlight w:val="none"/>
                <w:lang w:eastAsia="zh-CN"/>
              </w:rPr>
            </w:pPr>
            <w:r>
              <w:rPr>
                <w:rFonts w:hint="eastAsia" w:ascii="仿宋" w:hAnsi="仿宋" w:eastAsia="仿宋"/>
                <w:spacing w:val="-6"/>
                <w:sz w:val="24"/>
                <w:szCs w:val="24"/>
                <w:highlight w:val="none"/>
              </w:rPr>
              <w:t>有详细售后服务方案，包括服务范围、响应时间、服务人员安排、一般问题解决措施、培训方案等，</w:t>
            </w:r>
            <w:r>
              <w:rPr>
                <w:rFonts w:hint="eastAsia" w:ascii="仿宋" w:hAnsi="仿宋" w:eastAsia="仿宋"/>
                <w:spacing w:val="-6"/>
                <w:sz w:val="24"/>
                <w:szCs w:val="24"/>
                <w:highlight w:val="none"/>
                <w:lang w:eastAsia="zh-CN"/>
              </w:rPr>
              <w:t>根据方案综合打分，</w:t>
            </w:r>
            <w:r>
              <w:rPr>
                <w:rFonts w:hint="eastAsia" w:ascii="仿宋" w:hAnsi="仿宋" w:eastAsia="仿宋"/>
                <w:spacing w:val="-6"/>
                <w:sz w:val="24"/>
                <w:szCs w:val="24"/>
                <w:highlight w:val="none"/>
              </w:rPr>
              <w:t>最高得5分</w:t>
            </w:r>
            <w:r>
              <w:rPr>
                <w:rFonts w:hint="eastAsia" w:ascii="仿宋" w:hAnsi="仿宋" w:eastAsia="仿宋"/>
                <w:spacing w:val="-6"/>
                <w:sz w:val="24"/>
                <w:szCs w:val="24"/>
                <w:highlight w:val="none"/>
                <w:lang w:eastAsia="zh-CN"/>
              </w:rPr>
              <w:t>。</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22"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pacing w:val="-6"/>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ascii="仿宋" w:hAnsi="仿宋" w:eastAsia="仿宋"/>
                <w:spacing w:val="-6"/>
                <w:sz w:val="24"/>
                <w:szCs w:val="24"/>
                <w:highlight w:val="none"/>
              </w:rPr>
            </w:pPr>
            <w:r>
              <w:rPr>
                <w:rFonts w:hint="eastAsia" w:ascii="仿宋" w:hAnsi="仿宋" w:eastAsia="仿宋"/>
                <w:spacing w:val="-6"/>
                <w:sz w:val="24"/>
                <w:szCs w:val="24"/>
                <w:highlight w:val="none"/>
              </w:rPr>
              <w:t>提供项目的维护周期以及维护服务内容，提供7*24小时售后服务承诺函的得</w:t>
            </w:r>
            <w:r>
              <w:rPr>
                <w:rFonts w:hint="eastAsia" w:ascii="仿宋" w:hAnsi="仿宋" w:eastAsia="仿宋"/>
                <w:spacing w:val="-6"/>
                <w:sz w:val="24"/>
                <w:szCs w:val="24"/>
                <w:highlight w:val="none"/>
                <w:lang w:val="en-US" w:eastAsia="zh-CN"/>
              </w:rPr>
              <w:t>2</w:t>
            </w:r>
            <w:r>
              <w:rPr>
                <w:rFonts w:hint="eastAsia" w:ascii="仿宋" w:hAnsi="仿宋" w:eastAsia="仿宋"/>
                <w:spacing w:val="-6"/>
                <w:sz w:val="24"/>
                <w:szCs w:val="24"/>
                <w:highlight w:val="none"/>
              </w:rPr>
              <w:t>分。</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222"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pacing w:val="-6"/>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pacing w:val="-6"/>
                <w:sz w:val="24"/>
                <w:szCs w:val="24"/>
                <w:highlight w:val="none"/>
                <w:lang w:eastAsia="zh-CN"/>
              </w:rPr>
            </w:pPr>
            <w:r>
              <w:rPr>
                <w:rFonts w:hint="eastAsia" w:ascii="仿宋" w:hAnsi="仿宋" w:eastAsia="仿宋"/>
                <w:spacing w:val="-6"/>
                <w:sz w:val="24"/>
                <w:szCs w:val="24"/>
                <w:highlight w:val="none"/>
              </w:rPr>
              <w:t>提供产品三年质保与</w:t>
            </w:r>
            <w:r>
              <w:rPr>
                <w:rFonts w:hint="eastAsia" w:ascii="仿宋" w:hAnsi="仿宋" w:eastAsia="仿宋"/>
                <w:spacing w:val="-6"/>
                <w:sz w:val="24"/>
                <w:szCs w:val="24"/>
                <w:highlight w:val="none"/>
                <w:lang w:eastAsia="zh-CN"/>
              </w:rPr>
              <w:t>免费</w:t>
            </w:r>
            <w:r>
              <w:rPr>
                <w:rFonts w:hint="eastAsia" w:ascii="仿宋" w:hAnsi="仿宋" w:eastAsia="仿宋"/>
                <w:spacing w:val="-6"/>
                <w:sz w:val="24"/>
                <w:szCs w:val="24"/>
                <w:highlight w:val="none"/>
              </w:rPr>
              <w:t>升级，超过</w:t>
            </w:r>
            <w:r>
              <w:rPr>
                <w:rFonts w:hint="eastAsia" w:ascii="仿宋" w:hAnsi="仿宋" w:eastAsia="仿宋"/>
                <w:spacing w:val="-6"/>
                <w:sz w:val="24"/>
                <w:szCs w:val="24"/>
                <w:highlight w:val="none"/>
                <w:lang w:val="en-US" w:eastAsia="zh-CN"/>
              </w:rPr>
              <w:t>3</w:t>
            </w:r>
            <w:r>
              <w:rPr>
                <w:rFonts w:hint="eastAsia" w:ascii="仿宋" w:hAnsi="仿宋" w:eastAsia="仿宋"/>
                <w:spacing w:val="-6"/>
                <w:sz w:val="24"/>
                <w:szCs w:val="24"/>
                <w:highlight w:val="none"/>
              </w:rPr>
              <w:t>年的每一年加1分，最高得2分</w:t>
            </w:r>
            <w:r>
              <w:rPr>
                <w:rFonts w:hint="eastAsia" w:ascii="仿宋" w:hAnsi="仿宋" w:eastAsia="仿宋"/>
                <w:spacing w:val="-6"/>
                <w:sz w:val="24"/>
                <w:szCs w:val="24"/>
                <w:highlight w:val="none"/>
                <w:lang w:eastAsia="zh-CN"/>
              </w:rPr>
              <w:t>。</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1222"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cs="Calibri"/>
                <w:kern w:val="2"/>
                <w:sz w:val="24"/>
                <w:szCs w:val="24"/>
                <w:highlight w:val="none"/>
                <w:lang w:val="en-US" w:eastAsia="zh-CN" w:bidi="ar-SA"/>
              </w:rPr>
            </w:pPr>
          </w:p>
        </w:tc>
        <w:tc>
          <w:tcPr>
            <w:tcW w:w="70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Calibri"/>
                <w:kern w:val="2"/>
                <w:sz w:val="24"/>
                <w:szCs w:val="24"/>
                <w:highlight w:val="none"/>
                <w:lang w:val="en-US" w:eastAsia="zh-CN" w:bidi="ar-SA"/>
              </w:rPr>
            </w:pPr>
            <w:r>
              <w:rPr>
                <w:rFonts w:hint="eastAsia" w:ascii="仿宋" w:hAnsi="仿宋" w:eastAsia="仿宋" w:cs="宋体"/>
                <w:color w:val="000000"/>
                <w:kern w:val="0"/>
                <w:sz w:val="24"/>
                <w:szCs w:val="24"/>
                <w:highlight w:val="none"/>
                <w:lang w:bidi="ar"/>
              </w:rPr>
              <w:t>根据</w:t>
            </w:r>
            <w:r>
              <w:rPr>
                <w:rFonts w:hint="eastAsia" w:ascii="仿宋" w:hAnsi="仿宋" w:eastAsia="仿宋" w:cs="宋体"/>
                <w:color w:val="000000"/>
                <w:kern w:val="0"/>
                <w:sz w:val="24"/>
                <w:szCs w:val="24"/>
                <w:highlight w:val="none"/>
                <w:lang w:eastAsia="zh-CN" w:bidi="ar"/>
              </w:rPr>
              <w:t>响应方</w:t>
            </w:r>
            <w:r>
              <w:rPr>
                <w:rFonts w:hint="eastAsia" w:ascii="仿宋" w:hAnsi="仿宋" w:eastAsia="仿宋" w:cs="宋体"/>
                <w:color w:val="000000"/>
                <w:kern w:val="0"/>
                <w:sz w:val="24"/>
                <w:szCs w:val="24"/>
                <w:highlight w:val="none"/>
                <w:lang w:bidi="ar"/>
              </w:rPr>
              <w:t>提供的优惠条件及特殊承诺进行</w:t>
            </w:r>
            <w:r>
              <w:rPr>
                <w:rFonts w:hint="eastAsia" w:ascii="仿宋" w:hAnsi="仿宋" w:eastAsia="仿宋"/>
                <w:sz w:val="24"/>
                <w:szCs w:val="24"/>
                <w:highlight w:val="none"/>
              </w:rPr>
              <w:t>综合比较打分</w:t>
            </w:r>
            <w:r>
              <w:rPr>
                <w:rFonts w:hint="eastAsia" w:ascii="仿宋" w:hAnsi="仿宋" w:eastAsia="仿宋"/>
                <w:sz w:val="24"/>
                <w:szCs w:val="24"/>
                <w:highlight w:val="none"/>
                <w:lang w:eastAsia="zh-CN"/>
              </w:rPr>
              <w:t>。</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cs="Calibri"/>
                <w:kern w:val="2"/>
                <w:sz w:val="24"/>
                <w:szCs w:val="24"/>
                <w:highlight w:val="none"/>
                <w:lang w:val="en-US" w:eastAsia="zh-CN" w:bidi="ar-SA"/>
              </w:rPr>
            </w:pPr>
            <w:r>
              <w:rPr>
                <w:rFonts w:hint="eastAsia" w:ascii="仿宋" w:hAnsi="仿宋" w:eastAsia="仿宋"/>
                <w:sz w:val="24"/>
                <w:szCs w:val="24"/>
                <w:highlight w:val="none"/>
              </w:rPr>
              <w:t>0-</w:t>
            </w:r>
            <w:r>
              <w:rPr>
                <w:rFonts w:ascii="仿宋" w:hAnsi="仿宋" w:eastAsia="仿宋"/>
                <w:sz w:val="24"/>
                <w:szCs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1222"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应急处</w:t>
            </w:r>
          </w:p>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置方案</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ascii="仿宋" w:hAnsi="仿宋" w:eastAsia="仿宋"/>
                <w:sz w:val="24"/>
                <w:szCs w:val="24"/>
                <w:highlight w:val="none"/>
              </w:rPr>
            </w:pPr>
            <w:r>
              <w:rPr>
                <w:rFonts w:hint="eastAsia" w:ascii="仿宋" w:hAnsi="仿宋" w:eastAsia="仿宋"/>
                <w:sz w:val="24"/>
                <w:szCs w:val="24"/>
                <w:highlight w:val="none"/>
                <w:lang w:eastAsia="zh-CN"/>
              </w:rPr>
              <w:t>根据响应方</w:t>
            </w:r>
            <w:r>
              <w:rPr>
                <w:rFonts w:hint="eastAsia" w:ascii="仿宋" w:hAnsi="仿宋" w:eastAsia="仿宋"/>
                <w:sz w:val="24"/>
                <w:szCs w:val="24"/>
                <w:highlight w:val="none"/>
              </w:rPr>
              <w:t xml:space="preserve">提出的应对紧急情况的处置方案的合理性、科学性综合比较打分。 </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222"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响应方提供的备品备件的充足与否以及维修备件的承诺程度。</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222"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lang w:eastAsia="zh-CN"/>
              </w:rPr>
              <w:t>响应方</w:t>
            </w:r>
            <w:r>
              <w:rPr>
                <w:rFonts w:hint="eastAsia" w:ascii="仿宋" w:hAnsi="仿宋" w:eastAsia="仿宋"/>
                <w:sz w:val="24"/>
                <w:szCs w:val="24"/>
                <w:highlight w:val="none"/>
              </w:rPr>
              <w:t>资</w:t>
            </w:r>
            <w:r>
              <w:rPr>
                <w:rFonts w:hint="eastAsia" w:ascii="仿宋" w:hAnsi="仿宋" w:eastAsia="仿宋"/>
                <w:sz w:val="24"/>
                <w:szCs w:val="24"/>
                <w:highlight w:val="none"/>
                <w:lang w:eastAsia="zh-CN"/>
              </w:rPr>
              <w:t>信</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响应方具有</w:t>
            </w:r>
            <w:r>
              <w:rPr>
                <w:rFonts w:hint="eastAsia" w:ascii="仿宋" w:hAnsi="仿宋" w:eastAsia="仿宋"/>
                <w:sz w:val="24"/>
                <w:szCs w:val="24"/>
                <w:highlight w:val="none"/>
              </w:rPr>
              <w:t>质量管理体系认证证书（ISO9001）</w:t>
            </w:r>
            <w:r>
              <w:rPr>
                <w:rFonts w:hint="eastAsia" w:ascii="仿宋" w:hAnsi="仿宋" w:eastAsia="仿宋"/>
                <w:sz w:val="24"/>
                <w:szCs w:val="24"/>
                <w:highlight w:val="none"/>
                <w:lang w:eastAsia="zh-CN"/>
              </w:rPr>
              <w:t>的得</w:t>
            </w:r>
            <w:r>
              <w:rPr>
                <w:rFonts w:hint="eastAsia" w:ascii="仿宋" w:hAnsi="仿宋" w:eastAsia="仿宋"/>
                <w:sz w:val="24"/>
                <w:szCs w:val="24"/>
                <w:highlight w:val="none"/>
              </w:rPr>
              <w:t>1分；为</w:t>
            </w:r>
            <w:r>
              <w:rPr>
                <w:rFonts w:hint="eastAsia" w:ascii="仿宋" w:hAnsi="仿宋" w:eastAsia="仿宋"/>
                <w:sz w:val="24"/>
                <w:szCs w:val="24"/>
                <w:highlight w:val="none"/>
                <w:lang w:eastAsia="zh-CN"/>
              </w:rPr>
              <w:t>高新</w:t>
            </w:r>
            <w:r>
              <w:rPr>
                <w:rFonts w:hint="eastAsia" w:ascii="仿宋" w:hAnsi="仿宋" w:eastAsia="仿宋"/>
                <w:sz w:val="24"/>
                <w:szCs w:val="24"/>
                <w:highlight w:val="none"/>
              </w:rPr>
              <w:t>技术企业</w:t>
            </w:r>
            <w:r>
              <w:rPr>
                <w:rFonts w:hint="eastAsia" w:ascii="仿宋" w:hAnsi="仿宋" w:eastAsia="仿宋"/>
                <w:sz w:val="24"/>
                <w:szCs w:val="24"/>
                <w:highlight w:val="none"/>
                <w:lang w:eastAsia="zh-CN"/>
              </w:rPr>
              <w:t>的得</w:t>
            </w:r>
            <w:r>
              <w:rPr>
                <w:rFonts w:ascii="仿宋" w:hAnsi="仿宋" w:eastAsia="仿宋"/>
                <w:sz w:val="24"/>
                <w:szCs w:val="24"/>
                <w:highlight w:val="none"/>
              </w:rPr>
              <w:t>1分</w:t>
            </w:r>
            <w:r>
              <w:rPr>
                <w:rFonts w:hint="eastAsia" w:ascii="仿宋" w:hAnsi="仿宋" w:eastAsia="仿宋"/>
                <w:b w:val="0"/>
                <w:bCs w:val="0"/>
                <w:sz w:val="24"/>
                <w:szCs w:val="24"/>
                <w:highlight w:val="none"/>
              </w:rPr>
              <w:t>（</w:t>
            </w:r>
            <w:r>
              <w:rPr>
                <w:rFonts w:hint="eastAsia" w:ascii="仿宋" w:hAnsi="仿宋" w:eastAsia="仿宋"/>
                <w:b w:val="0"/>
                <w:bCs w:val="0"/>
                <w:sz w:val="24"/>
                <w:szCs w:val="24"/>
                <w:highlight w:val="none"/>
                <w:lang w:eastAsia="zh-CN"/>
              </w:rPr>
              <w:t>需提供证明文件</w:t>
            </w:r>
            <w:r>
              <w:rPr>
                <w:rFonts w:hint="eastAsia" w:ascii="仿宋" w:hAnsi="仿宋" w:eastAsia="仿宋"/>
                <w:b w:val="0"/>
                <w:bCs w:val="0"/>
                <w:sz w:val="24"/>
                <w:szCs w:val="24"/>
                <w:highlight w:val="none"/>
              </w:rPr>
              <w:t>）</w:t>
            </w:r>
            <w:r>
              <w:rPr>
                <w:rFonts w:hint="eastAsia" w:ascii="仿宋" w:hAnsi="仿宋" w:eastAsia="仿宋"/>
                <w:b/>
                <w:bCs/>
                <w:sz w:val="24"/>
                <w:szCs w:val="24"/>
                <w:highlight w:val="none"/>
                <w:lang w:eastAsia="zh-CN"/>
              </w:rPr>
              <w:t>。</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1222"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z w:val="24"/>
                <w:szCs w:val="24"/>
                <w:highlight w:val="none"/>
                <w:lang w:eastAsia="zh-CN"/>
              </w:rPr>
            </w:pPr>
            <w:r>
              <w:rPr>
                <w:rFonts w:hint="eastAsia" w:ascii="仿宋" w:hAnsi="仿宋" w:eastAsia="仿宋"/>
                <w:spacing w:val="-6"/>
                <w:sz w:val="24"/>
                <w:szCs w:val="24"/>
                <w:highlight w:val="none"/>
                <w:lang w:eastAsia="zh-CN"/>
              </w:rPr>
              <w:t>响应</w:t>
            </w:r>
            <w:r>
              <w:rPr>
                <w:rFonts w:ascii="仿宋" w:hAnsi="仿宋" w:eastAsia="仿宋"/>
                <w:spacing w:val="-6"/>
                <w:sz w:val="24"/>
                <w:szCs w:val="24"/>
                <w:highlight w:val="none"/>
              </w:rPr>
              <w:t>方设有独立办事机构</w:t>
            </w:r>
            <w:r>
              <w:rPr>
                <w:rFonts w:hint="eastAsia" w:ascii="仿宋" w:hAnsi="仿宋" w:eastAsia="仿宋"/>
                <w:spacing w:val="-6"/>
                <w:sz w:val="24"/>
                <w:szCs w:val="24"/>
                <w:highlight w:val="none"/>
                <w:lang w:eastAsia="zh-CN"/>
              </w:rPr>
              <w:t>的得</w:t>
            </w:r>
            <w:r>
              <w:rPr>
                <w:rFonts w:hint="eastAsia" w:ascii="仿宋" w:hAnsi="仿宋" w:eastAsia="仿宋"/>
                <w:spacing w:val="-6"/>
                <w:sz w:val="24"/>
                <w:szCs w:val="24"/>
                <w:highlight w:val="none"/>
                <w:lang w:val="en-US" w:eastAsia="zh-CN"/>
              </w:rPr>
              <w:t>1分</w:t>
            </w:r>
            <w:r>
              <w:rPr>
                <w:rFonts w:ascii="仿宋" w:hAnsi="仿宋" w:eastAsia="仿宋"/>
                <w:spacing w:val="-6"/>
                <w:sz w:val="24"/>
                <w:szCs w:val="24"/>
                <w:highlight w:val="none"/>
              </w:rPr>
              <w:t>，与高校设有共建密码实验室</w:t>
            </w:r>
            <w:r>
              <w:rPr>
                <w:rFonts w:hint="eastAsia" w:ascii="仿宋" w:hAnsi="仿宋" w:eastAsia="仿宋"/>
                <w:spacing w:val="-6"/>
                <w:sz w:val="24"/>
                <w:szCs w:val="24"/>
                <w:highlight w:val="none"/>
                <w:lang w:eastAsia="zh-CN"/>
              </w:rPr>
              <w:t>的得</w:t>
            </w:r>
            <w:r>
              <w:rPr>
                <w:rFonts w:hint="eastAsia" w:ascii="仿宋" w:hAnsi="仿宋" w:eastAsia="仿宋"/>
                <w:spacing w:val="-6"/>
                <w:sz w:val="24"/>
                <w:szCs w:val="24"/>
                <w:highlight w:val="none"/>
                <w:lang w:val="en-US" w:eastAsia="zh-CN"/>
              </w:rPr>
              <w:t>2分（提供相关证明材料）</w:t>
            </w:r>
            <w:r>
              <w:rPr>
                <w:rFonts w:ascii="仿宋" w:hAnsi="仿宋" w:eastAsia="仿宋"/>
                <w:spacing w:val="-6"/>
                <w:sz w:val="24"/>
                <w:szCs w:val="24"/>
                <w:highlight w:val="none"/>
              </w:rPr>
              <w:t>。</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1222" w:type="dxa"/>
            <w:vMerge w:val="continue"/>
            <w:tcBorders>
              <w:left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响应方或响应方承担的项目获得过国家级表彰（奖项）的1个得3分，省（部）级表彰（奖项）的1个得2分，市级表彰（奖项）的1个得1分，该项目最高5分（提供相关证明材料）。</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222" w:type="dxa"/>
            <w:vMerge w:val="continue"/>
            <w:tcBorders>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hint="eastAsia" w:ascii="仿宋" w:hAnsi="仿宋" w:eastAsia="仿宋"/>
                <w:sz w:val="24"/>
                <w:szCs w:val="24"/>
                <w:highlight w:val="none"/>
                <w:lang w:val="en-US" w:eastAsia="zh-CN"/>
              </w:rPr>
            </w:pPr>
            <w:r>
              <w:rPr>
                <w:rFonts w:hint="eastAsia" w:ascii="仿宋" w:hAnsi="仿宋" w:eastAsia="仿宋"/>
                <w:sz w:val="24"/>
                <w:szCs w:val="24"/>
                <w:highlight w:val="none"/>
                <w:lang w:eastAsia="zh-CN"/>
              </w:rPr>
              <w:t>响应方</w:t>
            </w:r>
            <w:r>
              <w:rPr>
                <w:rFonts w:hint="eastAsia" w:ascii="仿宋" w:hAnsi="仿宋" w:eastAsia="仿宋"/>
                <w:sz w:val="24"/>
                <w:szCs w:val="24"/>
                <w:highlight w:val="none"/>
              </w:rPr>
              <w:t>具有近三年类似密码体系建设经验案例的每个得2分，最高</w:t>
            </w: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分</w:t>
            </w:r>
            <w:r>
              <w:rPr>
                <w:rFonts w:hint="eastAsia" w:ascii="仿宋" w:hAnsi="仿宋" w:eastAsia="仿宋"/>
                <w:b w:val="0"/>
                <w:bCs w:val="0"/>
                <w:sz w:val="24"/>
                <w:szCs w:val="24"/>
                <w:highlight w:val="none"/>
              </w:rPr>
              <w:t>（须提供合同及验收单复印件）</w:t>
            </w:r>
            <w:r>
              <w:rPr>
                <w:rFonts w:hint="eastAsia" w:ascii="仿宋" w:hAnsi="仿宋" w:eastAsia="仿宋"/>
                <w:b w:val="0"/>
                <w:bCs w:val="0"/>
                <w:sz w:val="24"/>
                <w:szCs w:val="24"/>
                <w:highlight w:val="none"/>
                <w:lang w:eastAsia="zh-CN"/>
              </w:rPr>
              <w:t>。</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eastAsia" w:ascii="仿宋" w:hAnsi="仿宋" w:eastAsia="仿宋"/>
                <w:sz w:val="24"/>
                <w:szCs w:val="24"/>
                <w:highlight w:val="none"/>
                <w:lang w:eastAsia="zh-CN"/>
              </w:rPr>
            </w:pPr>
            <w:r>
              <w:rPr>
                <w:rFonts w:hint="eastAsia" w:ascii="仿宋" w:hAnsi="仿宋" w:eastAsia="仿宋"/>
                <w:sz w:val="24"/>
                <w:szCs w:val="24"/>
                <w:highlight w:val="none"/>
              </w:rPr>
              <w:t>0-</w:t>
            </w:r>
            <w:r>
              <w:rPr>
                <w:rFonts w:hint="eastAsia" w:ascii="仿宋" w:hAnsi="仿宋" w:eastAsia="仿宋"/>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投标文件</w:t>
            </w:r>
          </w:p>
          <w:p>
            <w:pPr>
              <w:tabs>
                <w:tab w:val="center" w:pos="4153"/>
                <w:tab w:val="right" w:pos="8306"/>
              </w:tabs>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编制情况</w:t>
            </w:r>
          </w:p>
        </w:tc>
        <w:tc>
          <w:tcPr>
            <w:tcW w:w="70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相关资料的提供情况，是否真实、完整、清晰、有序、合理；</w:t>
            </w:r>
            <w:r>
              <w:rPr>
                <w:rFonts w:hint="eastAsia" w:ascii="仿宋" w:hAnsi="仿宋" w:eastAsia="仿宋"/>
                <w:sz w:val="24"/>
                <w:szCs w:val="24"/>
                <w:highlight w:val="none"/>
                <w:lang w:eastAsia="zh-CN"/>
              </w:rPr>
              <w:t>磋商响应</w:t>
            </w:r>
            <w:r>
              <w:rPr>
                <w:rFonts w:hint="eastAsia" w:ascii="仿宋" w:hAnsi="仿宋" w:eastAsia="仿宋"/>
                <w:sz w:val="24"/>
                <w:szCs w:val="24"/>
                <w:highlight w:val="none"/>
              </w:rPr>
              <w:t>文件是否编制完整、格式规范、内容齐全、表述准确、条理清晰，是否与</w:t>
            </w:r>
            <w:r>
              <w:rPr>
                <w:rFonts w:hint="eastAsia" w:ascii="仿宋" w:hAnsi="仿宋" w:eastAsia="仿宋"/>
                <w:sz w:val="24"/>
                <w:szCs w:val="24"/>
                <w:highlight w:val="none"/>
                <w:lang w:eastAsia="zh-CN"/>
              </w:rPr>
              <w:t>采购</w:t>
            </w:r>
            <w:r>
              <w:rPr>
                <w:rFonts w:hint="eastAsia" w:ascii="仿宋" w:hAnsi="仿宋" w:eastAsia="仿宋"/>
                <w:sz w:val="24"/>
                <w:szCs w:val="24"/>
                <w:highlight w:val="none"/>
              </w:rPr>
              <w:t>文件的评分要点准确设置关联点、文本图片清晰、内容无前后矛盾，符合</w:t>
            </w:r>
            <w:r>
              <w:rPr>
                <w:rFonts w:hint="eastAsia" w:ascii="仿宋" w:hAnsi="仿宋" w:eastAsia="仿宋"/>
                <w:sz w:val="24"/>
                <w:szCs w:val="24"/>
                <w:highlight w:val="none"/>
                <w:lang w:eastAsia="zh-CN"/>
              </w:rPr>
              <w:t>采购</w:t>
            </w:r>
            <w:r>
              <w:rPr>
                <w:rFonts w:hint="eastAsia" w:ascii="仿宋" w:hAnsi="仿宋" w:eastAsia="仿宋"/>
                <w:sz w:val="24"/>
                <w:szCs w:val="24"/>
                <w:highlight w:val="none"/>
              </w:rPr>
              <w:t>文件要求。</w:t>
            </w:r>
          </w:p>
        </w:tc>
        <w:tc>
          <w:tcPr>
            <w:tcW w:w="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0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0-2</w:t>
            </w:r>
          </w:p>
        </w:tc>
      </w:tr>
    </w:tbl>
    <w:p>
      <w:pPr>
        <w:widowControl/>
        <w:spacing w:line="360" w:lineRule="exact"/>
        <w:ind w:right="-514" w:rightChars="-245"/>
        <w:rPr>
          <w:rFonts w:ascii="宋体" w:cs="Times New Roman"/>
          <w:b/>
          <w:bCs/>
          <w:sz w:val="24"/>
          <w:szCs w:val="24"/>
        </w:rPr>
      </w:pPr>
      <w:bookmarkStart w:id="5" w:name="_Toc91899903"/>
      <w:r>
        <w:rPr>
          <w:rFonts w:hint="eastAsia" w:ascii="宋体" w:hAnsi="宋体" w:cs="宋体"/>
          <w:b/>
          <w:bCs/>
          <w:sz w:val="24"/>
          <w:szCs w:val="24"/>
        </w:rPr>
        <w:t>备注：</w:t>
      </w:r>
      <w:r>
        <w:rPr>
          <w:rFonts w:ascii="宋体" w:hAnsi="宋体" w:cs="宋体"/>
          <w:b/>
          <w:bCs/>
          <w:sz w:val="24"/>
          <w:szCs w:val="24"/>
        </w:rPr>
        <w:t>1</w:t>
      </w:r>
      <w:r>
        <w:rPr>
          <w:rFonts w:hint="eastAsia" w:ascii="宋体" w:hAnsi="宋体" w:cs="宋体"/>
          <w:b/>
          <w:bCs/>
          <w:sz w:val="24"/>
          <w:szCs w:val="24"/>
        </w:rPr>
        <w:t>、为方便专家评审，请各供应商将本表编入磋商响应文件，并置于磋商响应文件目录之前。</w:t>
      </w:r>
    </w:p>
    <w:p>
      <w:pPr>
        <w:widowControl/>
        <w:spacing w:line="360" w:lineRule="exact"/>
        <w:ind w:right="-514" w:rightChars="-245" w:firstLine="723" w:firstLineChars="3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、评分细则中要求提供的复印件均须编入电子磋商响应文件中，无须提供纸质材料，未按要求编入电子磋商响应文件中的该项评审不得分。</w:t>
      </w:r>
    </w:p>
    <w:p>
      <w:pPr>
        <w:adjustRightInd w:val="0"/>
        <w:snapToGrid w:val="0"/>
        <w:spacing w:line="400" w:lineRule="exact"/>
        <w:ind w:firstLine="472" w:firstLineChars="196"/>
        <w:rPr>
          <w:rFonts w:ascii="宋体" w:cs="Times New Roman"/>
          <w:b/>
          <w:bCs/>
          <w:sz w:val="24"/>
          <w:szCs w:val="24"/>
        </w:rPr>
      </w:pPr>
      <w:r>
        <w:rPr>
          <w:rFonts w:hint="eastAsia" w:ascii="宋体" w:hAnsi="宋体" w:cs="宋体"/>
          <w:b/>
          <w:bCs/>
          <w:sz w:val="24"/>
          <w:szCs w:val="24"/>
        </w:rPr>
        <w:t>第六条</w:t>
      </w:r>
      <w:r>
        <w:rPr>
          <w:rFonts w:ascii="宋体" w:hAnsi="宋体" w:cs="宋体"/>
          <w:b/>
          <w:bCs/>
          <w:sz w:val="24"/>
          <w:szCs w:val="24"/>
        </w:rPr>
        <w:t xml:space="preserve">  </w:t>
      </w:r>
      <w:r>
        <w:rPr>
          <w:rFonts w:hint="eastAsia" w:ascii="宋体" w:hAnsi="宋体" w:cs="宋体"/>
          <w:b/>
          <w:bCs/>
          <w:sz w:val="24"/>
          <w:szCs w:val="24"/>
        </w:rPr>
        <w:t>评审步骤</w:t>
      </w:r>
    </w:p>
    <w:p>
      <w:pPr>
        <w:snapToGrid w:val="0"/>
        <w:spacing w:line="420" w:lineRule="exact"/>
        <w:ind w:firstLine="482" w:firstLineChars="200"/>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rPr>
        <w:t>、在资格审查时，如发现下列情形之一的，磋商响应文件将被视为无效响应：</w:t>
      </w:r>
    </w:p>
    <w:p>
      <w:pPr>
        <w:snapToGrid w:val="0"/>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rPr>
        <w:t>磋商响应方因自身原因解密失败的</w:t>
      </w:r>
      <w:r>
        <w:rPr>
          <w:rFonts w:hint="eastAsia" w:ascii="宋体" w:hAnsi="宋体" w:cs="宋体"/>
          <w:b/>
          <w:bCs/>
          <w:sz w:val="24"/>
          <w:szCs w:val="24"/>
          <w:lang w:eastAsia="zh-CN"/>
        </w:rPr>
        <w:t>且未提供备份文件的</w:t>
      </w:r>
      <w:r>
        <w:rPr>
          <w:rFonts w:hint="eastAsia" w:ascii="宋体" w:hAnsi="宋体" w:cs="宋体"/>
          <w:b/>
          <w:bCs/>
          <w:sz w:val="24"/>
          <w:szCs w:val="24"/>
        </w:rPr>
        <w:t>；</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）磋商响应方未能提供合格的资格文件；</w:t>
      </w:r>
    </w:p>
    <w:p>
      <w:pPr>
        <w:snapToGrid w:val="0"/>
        <w:spacing w:line="420" w:lineRule="exact"/>
        <w:ind w:firstLine="480" w:firstLineChars="200"/>
        <w:rPr>
          <w:rFonts w:ascii="宋体" w:cs="Times New Roman"/>
          <w:sz w:val="24"/>
          <w:szCs w:val="24"/>
        </w:rPr>
      </w:pPr>
      <w:r>
        <w:rPr>
          <w:rFonts w:ascii="宋体" w:hAnsi="宋体" w:cs="宋体"/>
          <w:snapToGrid w:val="0"/>
          <w:sz w:val="24"/>
          <w:szCs w:val="24"/>
        </w:rPr>
        <w:t>3</w:t>
      </w:r>
      <w:r>
        <w:rPr>
          <w:rFonts w:hint="eastAsia" w:ascii="宋体" w:hAnsi="宋体" w:cs="宋体"/>
          <w:snapToGrid w:val="0"/>
          <w:sz w:val="24"/>
          <w:szCs w:val="24"/>
        </w:rPr>
        <w:t>）</w:t>
      </w:r>
      <w:r>
        <w:rPr>
          <w:rFonts w:hint="eastAsia" w:ascii="宋体" w:hAnsi="宋体" w:cs="宋体"/>
          <w:sz w:val="24"/>
          <w:szCs w:val="24"/>
        </w:rPr>
        <w:t>磋商响应方应盖公章而未盖公章、未装订或活页装订、正副本标书数量不足的、未有效授权、法定代表人授权书填写不完整或有涂改的；</w:t>
      </w:r>
    </w:p>
    <w:p>
      <w:pPr>
        <w:snapToGrid w:val="0"/>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）磋商响应文件内容虚假的；</w:t>
      </w:r>
    </w:p>
    <w:p>
      <w:pPr>
        <w:snapToGrid w:val="0"/>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）磋商响应文件的关键内容字迹模糊、无法辨认的</w:t>
      </w:r>
      <w:r>
        <w:rPr>
          <w:rFonts w:ascii="宋体" w:cs="宋体"/>
          <w:sz w:val="24"/>
          <w:szCs w:val="24"/>
        </w:rPr>
        <w:t>,</w:t>
      </w:r>
      <w:r>
        <w:rPr>
          <w:rFonts w:hint="eastAsia" w:ascii="宋体" w:hAnsi="宋体" w:cs="宋体"/>
          <w:sz w:val="24"/>
          <w:szCs w:val="24"/>
        </w:rPr>
        <w:t>或者磋商响应文件中经修正的内容字迹模糊难以辩认或者修改处未按规定签名盖章的；</w:t>
      </w:r>
    </w:p>
    <w:p>
      <w:pPr>
        <w:snapToGrid w:val="0"/>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）投标有效期、交货期、质保期等不能满足采购文件实质性要求的；</w:t>
      </w:r>
    </w:p>
    <w:p>
      <w:pPr>
        <w:snapToGrid w:val="0"/>
        <w:spacing w:line="42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）磋商响应方拒绝按采购文件修正原则对磋商响应文件进行修正的；</w:t>
      </w:r>
    </w:p>
    <w:p>
      <w:pPr>
        <w:snapToGrid w:val="0"/>
        <w:spacing w:line="420" w:lineRule="exact"/>
        <w:ind w:firstLine="480" w:firstLineChars="200"/>
        <w:rPr>
          <w:rFonts w:ascii="宋体" w:cs="Times New Roman"/>
          <w:sz w:val="24"/>
          <w:szCs w:val="24"/>
        </w:rPr>
      </w:pPr>
      <w:r>
        <w:rPr>
          <w:rFonts w:ascii="宋体" w:hAnsi="宋体" w:cs="宋体"/>
          <w:sz w:val="24"/>
          <w:szCs w:val="24"/>
        </w:rPr>
        <w:t>9</w:t>
      </w:r>
      <w:r>
        <w:rPr>
          <w:rFonts w:hint="eastAsia" w:ascii="宋体" w:hAnsi="宋体" w:cs="宋体"/>
          <w:sz w:val="24"/>
          <w:szCs w:val="24"/>
        </w:rPr>
        <w:t>）不符合法律、法规和本采购文件规定的其他实质性要求的。</w:t>
      </w:r>
    </w:p>
    <w:p>
      <w:pPr>
        <w:snapToGrid w:val="0"/>
        <w:spacing w:line="420" w:lineRule="exact"/>
        <w:ind w:left="720" w:leftChars="228" w:hanging="241" w:hangingChars="100"/>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rPr>
        <w:t>、在技术评议时，如发现下列情形之一的，磋商响应文件将被视为无效：</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）明显不符合采购文件中规定的采购需求的响应方案；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）与采购文件有重大偏离的磋商响应文件</w:t>
      </w:r>
    </w:p>
    <w:p>
      <w:pPr>
        <w:snapToGrid w:val="0"/>
        <w:spacing w:line="420" w:lineRule="exact"/>
        <w:ind w:firstLine="480" w:firstLineChars="2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）不响应或者擅自改变采购文件实质性要求或者磋商响应文件有采购人不能接受的附加条件的</w:t>
      </w:r>
    </w:p>
    <w:p>
      <w:pPr>
        <w:snapToGrid w:val="0"/>
        <w:spacing w:line="420" w:lineRule="exact"/>
        <w:ind w:left="719" w:leftChars="228" w:hanging="240" w:hangingChars="100"/>
        <w:rPr>
          <w:rFonts w:ascii="宋体" w:cs="Times New Roman"/>
          <w:sz w:val="24"/>
          <w:szCs w:val="24"/>
        </w:rPr>
      </w:pPr>
      <w:r>
        <w:rPr>
          <w:rFonts w:ascii="宋体" w:hAnsi="宋体" w:cs="宋体"/>
          <w:sz w:val="24"/>
          <w:szCs w:val="24"/>
        </w:rPr>
        <w:t>4</w:t>
      </w:r>
      <w:r>
        <w:rPr>
          <w:rFonts w:hint="eastAsia" w:ascii="宋体" w:hAnsi="宋体" w:cs="宋体"/>
          <w:sz w:val="24"/>
          <w:szCs w:val="24"/>
        </w:rPr>
        <w:t>）磋商响应方技术方案不明确，存在一个或一个以上备选（替代）方案的。</w:t>
      </w:r>
    </w:p>
    <w:p>
      <w:pPr>
        <w:adjustRightInd w:val="0"/>
        <w:snapToGrid w:val="0"/>
        <w:spacing w:line="400" w:lineRule="exact"/>
        <w:ind w:firstLine="508" w:firstLineChars="211"/>
        <w:rPr>
          <w:rFonts w:ascii="宋体" w:cs="Times New Roman"/>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、最终报价</w:t>
      </w:r>
    </w:p>
    <w:p>
      <w:pPr>
        <w:tabs>
          <w:tab w:val="center" w:pos="4153"/>
          <w:tab w:val="right" w:pos="8306"/>
        </w:tabs>
        <w:snapToGrid w:val="0"/>
        <w:spacing w:line="380" w:lineRule="exact"/>
        <w:ind w:firstLine="472" w:firstLineChars="196"/>
        <w:jc w:val="left"/>
        <w:outlineLvl w:val="1"/>
        <w:rPr>
          <w:rFonts w:ascii="Times New Roman" w:hAnsi="宋体" w:cs="Times New Roman"/>
          <w:b/>
          <w:bCs/>
          <w:kern w:val="0"/>
          <w:sz w:val="24"/>
          <w:szCs w:val="24"/>
        </w:rPr>
      </w:pPr>
      <w:r>
        <w:rPr>
          <w:rFonts w:hint="eastAsia" w:ascii="Times New Roman" w:hAnsi="宋体" w:cs="宋体"/>
          <w:b/>
          <w:bCs/>
          <w:kern w:val="0"/>
          <w:sz w:val="24"/>
          <w:szCs w:val="24"/>
        </w:rPr>
        <w:t>磋商小组根据采购文件规定的评分办法对各磋商供应商进行评分，并</w:t>
      </w:r>
      <w:r>
        <w:rPr>
          <w:rFonts w:hint="eastAsia" w:ascii="Times New Roman" w:hAnsi="宋体" w:cs="宋体"/>
          <w:b/>
          <w:bCs/>
          <w:sz w:val="24"/>
          <w:szCs w:val="24"/>
        </w:rPr>
        <w:t>根据磋商响应方的方案、企业综合能力、对项目的投入等方面进行磋商和综合评审，同时</w:t>
      </w:r>
      <w:r>
        <w:rPr>
          <w:rFonts w:hint="eastAsia" w:ascii="Times New Roman" w:hAnsi="宋体" w:cs="宋体"/>
          <w:b/>
          <w:bCs/>
          <w:kern w:val="0"/>
          <w:sz w:val="24"/>
          <w:szCs w:val="24"/>
        </w:rPr>
        <w:t>告知各磋商供应商在规定时间内填写最终报价。待所有供应商填写完毕最终报价并上交主持人后，主持人当众宣布各磋商供应商技术资信评审得分，然后宣读各磋商供应商最终报价。</w:t>
      </w:r>
    </w:p>
    <w:p>
      <w:pPr>
        <w:adjustRightInd w:val="0"/>
        <w:snapToGrid w:val="0"/>
        <w:spacing w:line="400" w:lineRule="exact"/>
        <w:ind w:firstLine="472" w:firstLineChars="196"/>
        <w:rPr>
          <w:rFonts w:ascii="宋体" w:cs="Times New Roman"/>
          <w:b/>
          <w:bCs/>
          <w:kern w:val="0"/>
          <w:sz w:val="24"/>
          <w:szCs w:val="24"/>
        </w:rPr>
      </w:pPr>
      <w:r>
        <w:rPr>
          <w:rFonts w:ascii="宋体" w:hAnsi="宋体" w:cs="宋体"/>
          <w:b/>
          <w:bCs/>
          <w:kern w:val="0"/>
          <w:sz w:val="24"/>
          <w:szCs w:val="24"/>
        </w:rPr>
        <w:t>4</w:t>
      </w:r>
      <w:r>
        <w:rPr>
          <w:rFonts w:hint="eastAsia" w:ascii="宋体" w:hAnsi="宋体" w:cs="宋体"/>
          <w:b/>
          <w:bCs/>
          <w:kern w:val="0"/>
          <w:sz w:val="24"/>
          <w:szCs w:val="24"/>
        </w:rPr>
        <w:t>、报价计算</w:t>
      </w:r>
    </w:p>
    <w:p>
      <w:pPr>
        <w:snapToGrid w:val="0"/>
        <w:spacing w:line="42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）全部报价中，超过项目上限价的报价无效。</w:t>
      </w:r>
    </w:p>
    <w:p>
      <w:pPr>
        <w:snapToGrid w:val="0"/>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）以全部有效报价的最低价作为评标基准价，其最低报价为满分；各磋商响应方的最终报价分统一按照</w:t>
      </w:r>
      <w:r>
        <w:rPr>
          <w:rFonts w:ascii="宋体" w:hAnsi="宋体" w:cs="宋体"/>
          <w:sz w:val="24"/>
          <w:szCs w:val="24"/>
        </w:rPr>
        <w:t>[</w:t>
      </w:r>
      <w:r>
        <w:rPr>
          <w:rFonts w:hint="eastAsia" w:ascii="宋体" w:hAnsi="宋体" w:cs="宋体"/>
          <w:sz w:val="24"/>
          <w:szCs w:val="24"/>
        </w:rPr>
        <w:t>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最终报价）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的计算公式计算。</w:t>
      </w:r>
    </w:p>
    <w:p>
      <w:pPr>
        <w:snapToGrid w:val="0"/>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）如得分相同，最终报价低者为中标供应商；如得分且最终报价相联同的，技术性能得分高者为成交供应商。</w:t>
      </w:r>
    </w:p>
    <w:p>
      <w:pPr>
        <w:snapToGrid w:val="0"/>
        <w:spacing w:line="400" w:lineRule="exact"/>
        <w:ind w:firstLine="480" w:firstLineChars="200"/>
        <w:rPr>
          <w:rFonts w:ascii="Times New Roman" w:hAnsi="宋体" w:cs="Times New Roman"/>
          <w:b/>
          <w:bCs/>
          <w:kern w:val="0"/>
          <w:sz w:val="24"/>
          <w:szCs w:val="24"/>
        </w:rPr>
      </w:pPr>
      <w:r>
        <w:rPr>
          <w:rFonts w:ascii="宋体" w:hAnsi="宋体" w:cs="宋体"/>
          <w:sz w:val="24"/>
          <w:szCs w:val="24"/>
        </w:rPr>
        <w:t>4</w:t>
      </w:r>
      <w:r>
        <w:rPr>
          <w:rFonts w:hint="eastAsia" w:ascii="宋体" w:hAnsi="宋体" w:cs="宋体"/>
          <w:sz w:val="24"/>
          <w:szCs w:val="24"/>
        </w:rPr>
        <w:t>）报价包括所选设备材料制造、运输、安装、土建、调试、税金及保修期间的维修等费用。</w:t>
      </w:r>
    </w:p>
    <w:p>
      <w:pPr>
        <w:snapToGrid w:val="0"/>
        <w:spacing w:line="400" w:lineRule="exact"/>
        <w:ind w:firstLine="482" w:firstLineChars="200"/>
        <w:rPr>
          <w:rFonts w:ascii="宋体" w:cs="Times New Roman"/>
          <w:b/>
          <w:bCs/>
          <w:sz w:val="24"/>
          <w:szCs w:val="24"/>
        </w:rPr>
      </w:pPr>
      <w:r>
        <w:rPr>
          <w:rFonts w:hint="eastAsia" w:ascii="Times New Roman" w:hAnsi="宋体" w:cs="宋体"/>
          <w:b/>
          <w:bCs/>
          <w:kern w:val="0"/>
          <w:sz w:val="24"/>
          <w:szCs w:val="24"/>
        </w:rPr>
        <w:t>重要提示：根据《政府采购货物和服务招标投标管理办法》第六十条“评标委员会认为磋商响应方的报价明显低于其他通过符合性审查磋商响应方的报价，有可能影响产品质量或者不能诚信履约的，应当要求其在评标现场合理的时间内提供书面说明，必要时提交相关证明材料；磋商响应方不能证明其报价合理性的，评标委员会应当将其作为无效投标处理。”</w:t>
      </w:r>
    </w:p>
    <w:p>
      <w:pPr>
        <w:snapToGrid w:val="0"/>
        <w:spacing w:line="400" w:lineRule="exact"/>
        <w:ind w:firstLine="482" w:firstLineChars="200"/>
        <w:outlineLvl w:val="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、错误修正</w:t>
      </w:r>
    </w:p>
    <w:p>
      <w:pPr>
        <w:snapToGrid w:val="0"/>
        <w:spacing w:line="400" w:lineRule="exact"/>
        <w:ind w:left="719" w:leftChars="228" w:hanging="240" w:hangingChars="100"/>
        <w:rPr>
          <w:rFonts w:ascii="宋体" w:cs="Times New Roman"/>
          <w:sz w:val="24"/>
          <w:szCs w:val="24"/>
        </w:rPr>
      </w:pPr>
      <w:r>
        <w:rPr>
          <w:rFonts w:hint="eastAsia" w:ascii="宋体" w:hAnsi="宋体" w:cs="宋体"/>
          <w:sz w:val="24"/>
          <w:szCs w:val="24"/>
        </w:rPr>
        <w:t>报价文件如果出现计算或表达上的错误，修正错误的原则如下：</w:t>
      </w:r>
    </w:p>
    <w:p>
      <w:pPr>
        <w:snapToGrid w:val="0"/>
        <w:spacing w:line="400" w:lineRule="exact"/>
        <w:ind w:firstLine="480" w:firstLineChars="200"/>
        <w:rPr>
          <w:rFonts w:ascii="宋体" w:cs="Times New Roman"/>
          <w:kern w:val="0"/>
          <w:sz w:val="24"/>
          <w:szCs w:val="24"/>
        </w:rPr>
      </w:pPr>
      <w:r>
        <w:rPr>
          <w:rFonts w:ascii="宋体" w:hAnsi="宋体" w:cs="宋体"/>
          <w:sz w:val="24"/>
          <w:szCs w:val="24"/>
        </w:rPr>
        <w:t>1.</w:t>
      </w:r>
      <w:r>
        <w:rPr>
          <w:rFonts w:hint="eastAsia" w:ascii="宋体" w:hAnsi="宋体" w:cs="宋体"/>
          <w:sz w:val="24"/>
          <w:szCs w:val="24"/>
        </w:rPr>
        <w:t>报价一览表总价与报价明细表汇总数不一致的，</w:t>
      </w:r>
      <w:r>
        <w:rPr>
          <w:rFonts w:hint="eastAsia" w:ascii="宋体" w:hAnsi="宋体" w:cs="宋体"/>
          <w:kern w:val="0"/>
          <w:sz w:val="24"/>
          <w:szCs w:val="24"/>
        </w:rPr>
        <w:t>以开标一览表为准；</w:t>
      </w:r>
    </w:p>
    <w:p>
      <w:pPr>
        <w:snapToGrid w:val="0"/>
        <w:spacing w:line="40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napToGrid w:val="0"/>
        <w:spacing w:line="40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总价金额与单价汇总金额不一致的，以单价金额计算结果为准；</w:t>
      </w:r>
    </w:p>
    <w:p>
      <w:pPr>
        <w:snapToGrid w:val="0"/>
        <w:spacing w:line="40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对不同文字文本磋商响应文件的解释发生异议的，以中文正本为准。</w:t>
      </w:r>
    </w:p>
    <w:p>
      <w:pPr>
        <w:snapToGrid w:val="0"/>
        <w:spacing w:line="400" w:lineRule="exact"/>
        <w:ind w:firstLine="480" w:firstLineChars="200"/>
        <w:rPr>
          <w:rFonts w:ascii="宋体" w:cs="Times New Roman"/>
          <w:sz w:val="24"/>
          <w:szCs w:val="24"/>
        </w:rPr>
      </w:pPr>
      <w:r>
        <w:rPr>
          <w:rFonts w:hint="eastAsia" w:ascii="宋体" w:hAnsi="宋体" w:cs="宋体"/>
          <w:sz w:val="24"/>
          <w:szCs w:val="24"/>
        </w:rPr>
        <w:t>按上述修正错误的原则及方法调整或修正磋商响应文件的报价，磋商响应方同意并签字确认后，调整后的报价对磋商响应方具有约束作用。如果磋商响应方不接受修正后的报价，则其磋商响应将作为无效处理。</w:t>
      </w:r>
    </w:p>
    <w:p>
      <w:pPr>
        <w:snapToGrid w:val="0"/>
        <w:spacing w:line="400" w:lineRule="exact"/>
        <w:ind w:left="720" w:leftChars="228" w:hanging="241" w:hangingChars="100"/>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rPr>
        <w:t>、在报价评议时，如发现下列情形之一的，磋商响应文件将被视为无效：</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1</w:t>
      </w:r>
      <w:r>
        <w:rPr>
          <w:rFonts w:hint="eastAsia" w:ascii="宋体" w:hAnsi="宋体" w:cs="宋体"/>
          <w:sz w:val="24"/>
          <w:szCs w:val="24"/>
        </w:rPr>
        <w:t>）以赠送方式的报价；</w:t>
      </w:r>
    </w:p>
    <w:p>
      <w:pPr>
        <w:snapToGrid w:val="0"/>
        <w:spacing w:line="400" w:lineRule="exact"/>
        <w:ind w:left="719" w:leftChars="228" w:hanging="240" w:hangingChars="100"/>
        <w:rPr>
          <w:rFonts w:ascii="宋体" w:cs="Times New Roman"/>
          <w:sz w:val="24"/>
          <w:szCs w:val="24"/>
        </w:rPr>
      </w:pPr>
      <w:r>
        <w:rPr>
          <w:rFonts w:ascii="宋体" w:hAnsi="宋体" w:cs="宋体"/>
          <w:sz w:val="24"/>
          <w:szCs w:val="24"/>
        </w:rPr>
        <w:t>2</w:t>
      </w:r>
      <w:r>
        <w:rPr>
          <w:rFonts w:hint="eastAsia" w:ascii="宋体" w:hAnsi="宋体" w:cs="宋体"/>
          <w:sz w:val="24"/>
          <w:szCs w:val="24"/>
        </w:rPr>
        <w:t>）最终报价超出上限价的；</w:t>
      </w:r>
    </w:p>
    <w:p>
      <w:pPr>
        <w:snapToGrid w:val="0"/>
        <w:spacing w:line="400" w:lineRule="exact"/>
        <w:ind w:firstLine="482" w:firstLineChars="200"/>
        <w:rPr>
          <w:rFonts w:ascii="宋体" w:cs="Times New Roman"/>
          <w:sz w:val="24"/>
          <w:szCs w:val="24"/>
        </w:rPr>
      </w:pPr>
      <w:r>
        <w:rPr>
          <w:rFonts w:ascii="宋体" w:hAnsi="宋体" w:cs="宋体"/>
          <w:b/>
          <w:bCs/>
          <w:sz w:val="24"/>
          <w:szCs w:val="24"/>
        </w:rPr>
        <w:t>6</w:t>
      </w:r>
      <w:r>
        <w:rPr>
          <w:rFonts w:hint="eastAsia" w:ascii="宋体" w:hAnsi="宋体" w:cs="宋体"/>
          <w:b/>
          <w:bCs/>
          <w:sz w:val="24"/>
          <w:szCs w:val="24"/>
        </w:rPr>
        <w:t>、不符合法律、法规和本采购文件规定的其他实质性要求的（</w:t>
      </w:r>
      <w:r>
        <w:rPr>
          <w:rFonts w:hint="eastAsia" w:ascii="宋体" w:hAnsi="宋体" w:cs="宋体"/>
          <w:sz w:val="24"/>
          <w:szCs w:val="24"/>
        </w:rPr>
        <w:t>实质上没有响应采购文件要求的磋商将被视为无效，但经磋商小组认定属于磋商响应方疏忽、笔误所造成的差错，应当允许其在磋商结束之前进行修改或者补正</w:t>
      </w:r>
      <w:r>
        <w:rPr>
          <w:rFonts w:hint="eastAsia" w:ascii="宋体" w:hAnsi="宋体" w:cs="宋体"/>
          <w:b/>
          <w:bCs/>
          <w:sz w:val="24"/>
          <w:szCs w:val="24"/>
        </w:rPr>
        <w:t>）</w:t>
      </w:r>
      <w:r>
        <w:rPr>
          <w:rFonts w:hint="eastAsia" w:ascii="宋体" w:hAnsi="宋体" w:cs="宋体"/>
          <w:sz w:val="24"/>
          <w:szCs w:val="24"/>
        </w:rPr>
        <w:t>。</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第七条</w:t>
      </w:r>
      <w:r>
        <w:rPr>
          <w:rFonts w:ascii="宋体" w:hAnsi="宋体" w:cs="宋体"/>
          <w:b/>
          <w:bCs/>
          <w:kern w:val="0"/>
          <w:sz w:val="24"/>
          <w:szCs w:val="24"/>
        </w:rPr>
        <w:t xml:space="preserve"> </w:t>
      </w:r>
      <w:r>
        <w:rPr>
          <w:rFonts w:hint="eastAsia" w:ascii="宋体" w:hAnsi="宋体" w:cs="宋体"/>
          <w:b/>
          <w:bCs/>
          <w:kern w:val="0"/>
          <w:sz w:val="24"/>
          <w:szCs w:val="24"/>
        </w:rPr>
        <w:t>磋商内容的保密</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）磋商开始后，直到宣布成交结果止，凡属于审查、澄清、评价和比较的所有资料，都不应向磋商响应方或与磋商无关的其他人泄露。</w:t>
      </w:r>
    </w:p>
    <w:p>
      <w:pPr>
        <w:adjustRightInd w:val="0"/>
        <w:snapToGrid w:val="0"/>
        <w:spacing w:line="40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）在磋商响应文件的审查、澄清、评价和比较以及确定成交供应商过程中，磋商响应方对采购机构和磋商小组施加影响的任何行为，都将导致取消资格。</w:t>
      </w:r>
    </w:p>
    <w:p>
      <w:pPr>
        <w:adjustRightInd w:val="0"/>
        <w:snapToGrid w:val="0"/>
        <w:spacing w:line="400" w:lineRule="exact"/>
        <w:ind w:firstLine="482" w:firstLineChars="200"/>
        <w:rPr>
          <w:rFonts w:ascii="宋体" w:cs="Times New Roman"/>
          <w:b/>
          <w:bCs/>
          <w:kern w:val="0"/>
          <w:sz w:val="24"/>
          <w:szCs w:val="24"/>
        </w:rPr>
      </w:pPr>
      <w:r>
        <w:rPr>
          <w:rFonts w:hint="eastAsia" w:ascii="宋体" w:hAnsi="宋体" w:cs="宋体"/>
          <w:b/>
          <w:bCs/>
          <w:kern w:val="0"/>
          <w:sz w:val="24"/>
          <w:szCs w:val="24"/>
        </w:rPr>
        <w:t>第八条</w:t>
      </w:r>
      <w:r>
        <w:rPr>
          <w:rFonts w:ascii="宋体" w:hAnsi="宋体" w:cs="宋体"/>
          <w:b/>
          <w:bCs/>
          <w:kern w:val="0"/>
          <w:sz w:val="24"/>
          <w:szCs w:val="24"/>
        </w:rPr>
        <w:t xml:space="preserve">  </w:t>
      </w:r>
      <w:r>
        <w:rPr>
          <w:rFonts w:hint="eastAsia" w:ascii="宋体" w:hAnsi="宋体" w:cs="宋体"/>
          <w:b/>
          <w:bCs/>
          <w:kern w:val="0"/>
          <w:sz w:val="24"/>
          <w:szCs w:val="24"/>
        </w:rPr>
        <w:t>磋商响应文件的澄清</w:t>
      </w:r>
    </w:p>
    <w:p>
      <w:pPr>
        <w:widowControl/>
        <w:spacing w:line="400" w:lineRule="exact"/>
        <w:jc w:val="left"/>
        <w:rPr>
          <w:rFonts w:ascii="宋体" w:cs="Times New Roman"/>
          <w:sz w:val="24"/>
          <w:szCs w:val="24"/>
        </w:rPr>
      </w:pPr>
      <w:r>
        <w:rPr>
          <w:rFonts w:hint="eastAsia" w:ascii="宋体" w:hAnsi="宋体" w:cs="宋体"/>
          <w:sz w:val="24"/>
          <w:szCs w:val="24"/>
        </w:rPr>
        <w:t>对磋商响应文件中含义不明、表述不一致或有明显计算错误等内容，磋商小组将对磋商响应方进行询标，并要求磋商响应方作书面澄清；磋商响应方的书面澄清，应由法定代表人或授权代表签字，作为磋商响应文件的补充部分。</w:t>
      </w:r>
      <w:bookmarkEnd w:id="5"/>
    </w:p>
    <w:p>
      <w:pPr>
        <w:snapToGrid w:val="0"/>
        <w:spacing w:beforeLines="50" w:afterLines="50"/>
        <w:jc w:val="center"/>
        <w:rPr>
          <w:rFonts w:ascii="Times New Roman" w:hAnsi="宋体" w:cs="Times New Roman"/>
          <w:b/>
          <w:bCs/>
          <w:sz w:val="36"/>
          <w:szCs w:val="36"/>
        </w:rPr>
      </w:pPr>
      <w:r>
        <w:rPr>
          <w:rFonts w:hint="eastAsia" w:ascii="宋体" w:hAnsi="宋体" w:cs="宋体"/>
          <w:b/>
          <w:bCs/>
          <w:sz w:val="36"/>
          <w:szCs w:val="36"/>
        </w:rPr>
        <w:t>第四章</w:t>
      </w:r>
      <w:r>
        <w:rPr>
          <w:rFonts w:ascii="宋体" w:hAnsi="宋体" w:cs="宋体"/>
          <w:b/>
          <w:bCs/>
          <w:sz w:val="36"/>
          <w:szCs w:val="36"/>
        </w:rPr>
        <w:t xml:space="preserve"> </w:t>
      </w:r>
      <w:r>
        <w:rPr>
          <w:rFonts w:ascii="宋体" w:hAnsi="宋体" w:cs="宋体"/>
          <w:b/>
          <w:bCs/>
          <w:spacing w:val="40"/>
          <w:kern w:val="0"/>
          <w:sz w:val="36"/>
          <w:szCs w:val="36"/>
        </w:rPr>
        <w:t xml:space="preserve"> </w:t>
      </w:r>
      <w:r>
        <w:rPr>
          <w:rFonts w:hint="eastAsia" w:ascii="宋体" w:hAnsi="宋体" w:cs="宋体"/>
          <w:b/>
          <w:bCs/>
          <w:spacing w:val="40"/>
          <w:kern w:val="0"/>
          <w:sz w:val="36"/>
          <w:szCs w:val="36"/>
        </w:rPr>
        <w:t>采购</w:t>
      </w:r>
      <w:r>
        <w:rPr>
          <w:rFonts w:hint="eastAsia" w:ascii="Times New Roman" w:hAnsi="宋体" w:cs="宋体"/>
          <w:b/>
          <w:bCs/>
          <w:sz w:val="36"/>
          <w:szCs w:val="36"/>
        </w:rPr>
        <w:t>需求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一、项目背景</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密码是网络安全的核心技术和基础支撑，是网络空间安全的DNA，运用国产密码算法、技术保障临安区委办公室的各业务信息系统安全将扮演着举足轻重的角色。依据《密码法》、《商用密码管理条例（修订草案征求意见稿）》、《金融和重要领域密码应用与创新发展工作规划(2018-2022年)》（厅字〔2018〕36号）、《浙江省密码应用与创新发展实施方案》（浙密组发〔2019〕1号）等相关法律、文件要求，政府投资的信息化建设所使用的密码技术、产品必须是符合国家要求的国密产品、技术的密码产品，而基于国密标准的密码服务体系建设是否科学严密直接决定了整个临安区党政网络安全和信息系统安全。</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二、项目建设目标</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通过对整个临安区党政务系统各类业务系统的前期调研，规划符合临安区委办和临安区卫计局业务系统应用需求的密码服务体系，完成密码应用的顶层设计。临安区密码体系建设采取“一次设计、多次实施”的方案。本次建设，初步满足使用国产密码技术保障临安区委办信息办公系统和临安区卫计局检验系统安全的要求，并为今后的密码应用预留了扩展条件。</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三、建设内容</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通过密码体系顶层的设计，搭建一套符合密码技术规范的密码服务体系，实现部分密码功能在业务系统中的应用，预留密码功能扩展及冗余扩展条件。</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（一）通过对临安区委办的密码应用需求调研、梳理，完成</w:t>
      </w:r>
      <w:r>
        <w:rPr>
          <w:rFonts w:hint="eastAsia" w:ascii="仿宋" w:hAnsi="仿宋" w:eastAsia="仿宋"/>
          <w:spacing w:val="-6"/>
          <w:sz w:val="24"/>
          <w:szCs w:val="24"/>
        </w:rPr>
        <w:t>密码应用体系的顶层设计（包括但不限于</w:t>
      </w:r>
      <w:r>
        <w:rPr>
          <w:rFonts w:hint="eastAsia" w:ascii="仿宋" w:hAnsi="仿宋" w:eastAsia="仿宋" w:cs="宋体"/>
          <w:color w:val="000000"/>
          <w:kern w:val="0"/>
          <w:sz w:val="24"/>
          <w:szCs w:val="24"/>
        </w:rPr>
        <w:t>商用密码服务体系理论设计、建设思路设计、业务应用系统接入及对接分析设计</w:t>
      </w:r>
      <w:r>
        <w:rPr>
          <w:rFonts w:hint="eastAsia" w:ascii="仿宋" w:hAnsi="仿宋" w:eastAsia="仿宋"/>
          <w:spacing w:val="-6"/>
          <w:sz w:val="24"/>
          <w:szCs w:val="24"/>
        </w:rPr>
        <w:t>），符合业务的实际应用需求；</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（二）依据顶层设计，搭建商用密码服务体系的基础架构，整合原临安区委办的密码应用，建设独立于业务系统的商用密码体系，为业务系统提供相应的商用密码基础服务功能；</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三）本次项目将商用密码服务体系与临安区委办批示督查系统、公文收发系统和临安区卫计局检验检疫系统对接，完成基础的密码服务功能在业务系统中的运用（详见技术要求），使用国产密码技术保障信息系统的安全；</w:t>
      </w:r>
    </w:p>
    <w:p>
      <w:pPr>
        <w:widowControl/>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（四）预留其他业务系统、密码应用、省市密码应用监督管理系统等对接接口，便于再建密码应用扩展。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本项目建设内容见下表：</w:t>
      </w:r>
    </w:p>
    <w:tbl>
      <w:tblPr>
        <w:tblStyle w:val="19"/>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0"/>
        <w:gridCol w:w="2948"/>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294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28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30" w:type="dxa"/>
            <w:vMerge w:val="restart"/>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商用密码</w:t>
            </w:r>
          </w:p>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服务体系</w:t>
            </w:r>
          </w:p>
        </w:tc>
        <w:tc>
          <w:tcPr>
            <w:tcW w:w="294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商用密码基础功能</w:t>
            </w:r>
          </w:p>
        </w:tc>
        <w:tc>
          <w:tcPr>
            <w:tcW w:w="2857" w:type="dxa"/>
            <w:vAlign w:val="center"/>
          </w:tcPr>
          <w:p>
            <w:pPr>
              <w:rPr>
                <w:rFonts w:hint="eastAsia" w:ascii="宋体" w:hAnsi="宋体" w:eastAsia="宋体" w:cs="宋体"/>
                <w:color w:val="000000"/>
                <w:kern w:val="0"/>
                <w:sz w:val="24"/>
                <w:szCs w:val="24"/>
              </w:rPr>
            </w:pPr>
            <w:r>
              <w:rPr>
                <w:rFonts w:hint="eastAsia" w:ascii="宋体" w:hAnsi="宋体" w:cs="宋体"/>
                <w:color w:val="000000"/>
                <w:kern w:val="0"/>
                <w:sz w:val="24"/>
                <w:szCs w:val="24"/>
              </w:rPr>
              <w:t>应当包括但不限于多维安全认证、证书互通、证书管理、密钥管理、数字签名、时间戳、电子签章、验签等基础密码功能，提供相应的接口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jc w:val="center"/>
              <w:rPr>
                <w:rFonts w:hint="eastAsia" w:ascii="宋体" w:hAnsi="宋体" w:eastAsia="宋体" w:cs="宋体"/>
                <w:color w:val="000000"/>
                <w:kern w:val="0"/>
                <w:sz w:val="24"/>
                <w:szCs w:val="24"/>
              </w:rPr>
            </w:pPr>
          </w:p>
        </w:tc>
        <w:tc>
          <w:tcPr>
            <w:tcW w:w="1730" w:type="dxa"/>
            <w:vMerge w:val="continue"/>
            <w:vAlign w:val="center"/>
          </w:tcPr>
          <w:p>
            <w:pPr>
              <w:jc w:val="center"/>
              <w:rPr>
                <w:rFonts w:hint="eastAsia" w:ascii="宋体" w:hAnsi="宋体" w:eastAsia="宋体" w:cs="宋体"/>
                <w:color w:val="000000"/>
                <w:kern w:val="0"/>
                <w:sz w:val="24"/>
                <w:szCs w:val="24"/>
              </w:rPr>
            </w:pPr>
          </w:p>
        </w:tc>
        <w:tc>
          <w:tcPr>
            <w:tcW w:w="294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国密网关</w:t>
            </w:r>
          </w:p>
        </w:tc>
        <w:tc>
          <w:tcPr>
            <w:tcW w:w="285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数字证书</w:t>
            </w:r>
          </w:p>
        </w:tc>
        <w:tc>
          <w:tcPr>
            <w:tcW w:w="2948"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包括网关证书、客户端证书、组织机构证书</w:t>
            </w:r>
          </w:p>
        </w:tc>
        <w:tc>
          <w:tcPr>
            <w:tcW w:w="285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符合国密要求的数字证书，包含3年使用费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业务系统接入及应用改造</w:t>
            </w:r>
          </w:p>
        </w:tc>
        <w:tc>
          <w:tcPr>
            <w:tcW w:w="2948" w:type="dxa"/>
            <w:vAlign w:val="center"/>
          </w:tcPr>
          <w:p>
            <w:pPr>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rPr>
              <w:t>临安区委办批示督查系统、公文收发系统；临安区卫计局检验检疫系统</w:t>
            </w:r>
          </w:p>
        </w:tc>
        <w:tc>
          <w:tcPr>
            <w:tcW w:w="285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业务系统对接、密码应用改造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30"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项目集成</w:t>
            </w:r>
          </w:p>
        </w:tc>
        <w:tc>
          <w:tcPr>
            <w:tcW w:w="294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857" w:type="dxa"/>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bl>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四、主要技术要求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（一）系统采用的密码算法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信息安全系统的安全性首先来自于其所选择的密码算法的安全性，密码算法的安全性是信息安全系统安全的基石，决定了该信息安全系统的安全强度。目前信息安全系统安全解决方案中常用的算法包括对称算法、非对称算法、杂凑算法等，采用何种密码算法对信息安全起着至关重要的作用。“商用密码服务平台”须按国家要求，采用国家密码管理局认可的SM2、SM3、SM4等标准算法，同时兼容RSA、ECC等国际主流算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（二）遵循标准及规范（不限于）</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GM/T 0002-2012《SM4分组密码算法》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GM/T 0003-2012《SM2椭圆曲线公钥密码算法》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GM/T 0004-2012《SM3密码杂凑算法》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GM/T 0005-2012《随机性检测规范》</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GM/T 0028-2014《密码模块安全技术要求》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GM/T 0054-2018《信息系统密码应用基本要求》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r>
        <w:rPr>
          <w:rFonts w:hint="eastAsia" w:ascii="宋体" w:hAnsi="宋体" w:cs="宋体"/>
          <w:bCs/>
          <w:color w:val="000000"/>
          <w:sz w:val="24"/>
          <w:szCs w:val="24"/>
        </w:rPr>
        <w:t>本期建设的“商用密码服务体系”应具备的功能</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针对本项目的需求情况，对</w:t>
      </w:r>
      <w:r>
        <w:rPr>
          <w:rFonts w:hint="eastAsia" w:cs="宋体" w:asciiTheme="minorEastAsia" w:hAnsiTheme="minorEastAsia" w:eastAsiaTheme="minorEastAsia"/>
          <w:bCs/>
          <w:color w:val="000000"/>
          <w:sz w:val="24"/>
          <w:szCs w:val="24"/>
        </w:rPr>
        <w:t>临安</w:t>
      </w:r>
      <w:r>
        <w:rPr>
          <w:rFonts w:hint="eastAsia" w:ascii="宋体" w:hAnsi="宋体" w:eastAsia="宋体" w:cs="宋体"/>
          <w:bCs/>
          <w:color w:val="000000"/>
          <w:sz w:val="24"/>
          <w:szCs w:val="24"/>
          <w:lang w:val="en-US" w:eastAsia="zh-CN"/>
        </w:rPr>
        <w:t>区委办公室商用密码应用体系进行完整的顶层设计，包括但不限于商用密码服务体系理论设计、建设思路设计、业务应用系统接入及对接分析设计。</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商用密码顶层设计中，还应当考虑本次项目建设应当具备的主要技术功能：</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1、整合原有资源，建立统一的身份认证管理平台，统一管理用户数字证书；</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2、使用国家密码管理局批准的国产密码算法，保证密码算法的强度和安全性；</w:t>
      </w:r>
    </w:p>
    <w:p>
      <w:pPr>
        <w:widowControl/>
        <w:snapToGrid w:val="0"/>
        <w:spacing w:line="360" w:lineRule="auto"/>
        <w:ind w:firstLine="480" w:firstLineChars="200"/>
        <w:rPr>
          <w:rFonts w:cs="宋体" w:asciiTheme="minorEastAsia" w:hAnsiTheme="minorEastAsia" w:eastAsiaTheme="minorEastAsia"/>
          <w:bCs/>
          <w:color w:val="000000"/>
          <w:sz w:val="24"/>
          <w:szCs w:val="24"/>
        </w:rPr>
      </w:pPr>
      <w:r>
        <w:rPr>
          <w:rFonts w:cs="宋体" w:asciiTheme="minorEastAsia" w:hAnsiTheme="minorEastAsia" w:eastAsiaTheme="minorEastAsia"/>
          <w:bCs/>
          <w:color w:val="000000"/>
          <w:sz w:val="24"/>
          <w:szCs w:val="24"/>
        </w:rPr>
        <w:t>3</w:t>
      </w:r>
      <w:r>
        <w:rPr>
          <w:rFonts w:hint="eastAsia" w:cs="宋体" w:asciiTheme="minorEastAsia" w:hAnsiTheme="minorEastAsia" w:eastAsiaTheme="minorEastAsia"/>
          <w:bCs/>
          <w:color w:val="000000"/>
          <w:sz w:val="24"/>
          <w:szCs w:val="24"/>
        </w:rPr>
        <w:t>、商用密码服务体系的建设应具备良好的扩展性和高可用性；</w:t>
      </w:r>
    </w:p>
    <w:p>
      <w:pPr>
        <w:widowControl/>
        <w:snapToGrid w:val="0"/>
        <w:spacing w:line="360" w:lineRule="auto"/>
        <w:ind w:firstLine="480" w:firstLineChars="200"/>
        <w:rPr>
          <w:rFonts w:cs="宋体" w:asciiTheme="minorEastAsia" w:hAnsiTheme="minorEastAsia" w:eastAsiaTheme="minorEastAsia"/>
          <w:bCs/>
          <w:color w:val="000000"/>
          <w:sz w:val="24"/>
          <w:szCs w:val="24"/>
        </w:rPr>
      </w:pPr>
      <w:r>
        <w:rPr>
          <w:rFonts w:cs="宋体" w:asciiTheme="minorEastAsia" w:hAnsiTheme="minorEastAsia" w:eastAsiaTheme="minorEastAsia"/>
          <w:bCs/>
          <w:color w:val="000000"/>
          <w:sz w:val="24"/>
          <w:szCs w:val="24"/>
        </w:rPr>
        <w:t>4</w:t>
      </w:r>
      <w:r>
        <w:rPr>
          <w:rFonts w:hint="eastAsia" w:cs="宋体" w:asciiTheme="minorEastAsia" w:hAnsiTheme="minorEastAsia" w:eastAsiaTheme="minorEastAsia"/>
          <w:bCs/>
          <w:color w:val="000000"/>
          <w:sz w:val="24"/>
          <w:szCs w:val="24"/>
        </w:rPr>
        <w:t>、商用密码服务体系集成符合国密密码管理局技术要求的密码技术功能（详见技术指标）；</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cs="宋体" w:asciiTheme="minorEastAsia" w:hAnsiTheme="minorEastAsia" w:eastAsiaTheme="minorEastAsia"/>
          <w:bCs/>
          <w:color w:val="000000"/>
          <w:sz w:val="24"/>
          <w:szCs w:val="24"/>
        </w:rPr>
        <w:t>5</w:t>
      </w:r>
      <w:r>
        <w:rPr>
          <w:rFonts w:hint="eastAsia" w:cs="宋体" w:asciiTheme="minorEastAsia" w:hAnsiTheme="minorEastAsia" w:eastAsiaTheme="minorEastAsia"/>
          <w:bCs/>
          <w:color w:val="000000"/>
          <w:sz w:val="24"/>
          <w:szCs w:val="24"/>
        </w:rPr>
        <w:t>、提供PDF版式文档的电子签名、签章、时间戳、密文存储功能，可支持OFD版式文档格式；在SSL</w:t>
      </w:r>
      <w:r>
        <w:rPr>
          <w:rFonts w:cs="宋体" w:asciiTheme="minorEastAsia" w:hAnsiTheme="minorEastAsia" w:eastAsiaTheme="minorEastAsia"/>
          <w:bCs/>
          <w:color w:val="000000"/>
          <w:sz w:val="24"/>
          <w:szCs w:val="24"/>
        </w:rPr>
        <w:t xml:space="preserve"> VPN</w:t>
      </w:r>
      <w:r>
        <w:rPr>
          <w:rFonts w:hint="eastAsia" w:cs="宋体" w:asciiTheme="minorEastAsia" w:hAnsiTheme="minorEastAsia" w:eastAsiaTheme="minorEastAsia"/>
          <w:bCs/>
          <w:color w:val="000000"/>
          <w:sz w:val="24"/>
          <w:szCs w:val="24"/>
        </w:rPr>
        <w:t>、I</w:t>
      </w:r>
      <w:r>
        <w:rPr>
          <w:rFonts w:cs="宋体" w:asciiTheme="minorEastAsia" w:hAnsiTheme="minorEastAsia" w:eastAsiaTheme="minorEastAsia"/>
          <w:bCs/>
          <w:color w:val="000000"/>
          <w:sz w:val="24"/>
          <w:szCs w:val="24"/>
        </w:rPr>
        <w:t>PSEC VPN</w:t>
      </w:r>
      <w:r>
        <w:rPr>
          <w:rFonts w:hint="eastAsia" w:cs="宋体" w:asciiTheme="minorEastAsia" w:hAnsiTheme="minorEastAsia" w:eastAsiaTheme="minorEastAsia"/>
          <w:bCs/>
          <w:color w:val="000000"/>
          <w:sz w:val="24"/>
          <w:szCs w:val="24"/>
        </w:rPr>
        <w:t>安全通信等支撑技术的基础上，“商用密码服务体系”为用户提供密码服务和管理两方面的功能和服务。</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1、商用密码服务方面的功能</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（1）多维认证方式：为接入系统提供SM2等算法数字证书的认证、短信验证码验证等多种验证方式。</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（2）数字证书的互联互通：提供不同证书登录一个系统及同一证书登录不同系统的认证服务。</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（3）数字签名：提供符合电子签名法、国家密码管理局相关密码技术要求的签名服务。支持抗量子攻击的数字签名技术，并基于该技术实现强安全性的身份认证机制。</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（4）电子签章：提供符合《电子签名法》要求的电子签章，保障签章的法律效力。</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（5）验签、样章：提供符合国密标准的验签功能，支持对接第三方验签平台。</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（6）数据加解密：可扩展数据加解密功能。通过SM4对称密码算法对业务系统敏感数据进行密码运算，保障业务系统数据安全存储，防止未经授权的非法操作获取业务系统的敏感数据。</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（7）其他密码功能接口：预留业务系统对接接口及密码应用接口，便于商用密码应用扩展。</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2、管理方面的功能包括：</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应用系统管理：对与平台对接的应用系统的管理；</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密钥管理：对用户、组织在数字签名、数据加解密中使用密钥（如签名公钥，密钥分量）的管理；</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用户管理：对平台用户的管理；</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日志管理：对系统运行过程中的行为日志进行记录和管理；提供统一的验签服务接口达到以下功能及技术要求：</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 验签接口符合GM/T 0018-2012密码设备应用接口规范中的接口规定，同时可支持没有预处理的签名消息（包含签名者ID和明文信息）验签；</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（2）算法：商用密码服务平台签名、验签，使用国产密码算法SM2。</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本项目对接的应用系统具体密码功能的运用：</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本项目选择批示督查系统、公文收发系统、检验检疫系统进行对接，实现部分密码功能。</w:t>
      </w:r>
    </w:p>
    <w:p>
      <w:pPr>
        <w:widowControl/>
        <w:snapToGrid w:val="0"/>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批示</w:t>
      </w:r>
      <w:r>
        <w:rPr>
          <w:rFonts w:hint="eastAsia" w:ascii="宋体" w:hAnsi="宋体" w:cs="宋体"/>
          <w:bCs/>
          <w:color w:val="000000"/>
          <w:sz w:val="24"/>
          <w:szCs w:val="24"/>
        </w:rPr>
        <w:t>督查</w:t>
      </w:r>
      <w:r>
        <w:rPr>
          <w:rFonts w:hint="eastAsia" w:ascii="宋体" w:hAnsi="宋体" w:eastAsia="宋体" w:cs="宋体"/>
          <w:bCs/>
          <w:color w:val="000000"/>
          <w:sz w:val="24"/>
          <w:szCs w:val="24"/>
          <w:lang w:val="en-US" w:eastAsia="zh-CN"/>
        </w:rPr>
        <w:t>系统、公文收发系统在登陆环节可根据业务系统需要，多种登录方式，以及多因子登录方式。政务服务网统一登录，业务系统根据权限自动登录，使用传统口令账号方式的，应当使用密码技术进行加固；在业务系统的操作行为中，加入行为签名；对处理结果的PDF、OFD等版式文件，加入电子签章。</w:t>
      </w:r>
    </w:p>
    <w:p>
      <w:pPr>
        <w:widowControl/>
        <w:snapToGrid w:val="0"/>
        <w:spacing w:line="360" w:lineRule="auto"/>
        <w:ind w:firstLine="480" w:firstLineChars="200"/>
        <w:rPr>
          <w:rFonts w:hint="eastAsia" w:ascii="宋体" w:hAnsi="宋体" w:cs="宋体"/>
          <w:bCs/>
          <w:color w:val="000000"/>
          <w:sz w:val="24"/>
          <w:szCs w:val="24"/>
        </w:rPr>
      </w:pPr>
      <w:r>
        <w:rPr>
          <w:rFonts w:hint="eastAsia" w:ascii="宋体" w:hAnsi="宋体" w:eastAsia="宋体" w:cs="宋体"/>
          <w:bCs/>
          <w:color w:val="000000"/>
          <w:sz w:val="24"/>
          <w:szCs w:val="24"/>
          <w:lang w:val="en-US" w:eastAsia="zh-CN"/>
        </w:rPr>
        <w:t>检验检疫系统在登陆环节可根据业务系统需要，选择多种登录方式，以及多因子登录方式，使用传统口令账号方式的，应当使用密码技术进行加固；在检验检疫报告环节，对处理结果的PDF、OFD等版式文件，加入电子签章，达到电子病历系统应用水平分级评价中5级标准的密码应用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五、主要功能技术指标</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（一）商用密码服务体系主要技术指标</w:t>
      </w:r>
    </w:p>
    <w:tbl>
      <w:tblPr>
        <w:tblStyle w:val="19"/>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7"/>
        <w:gridCol w:w="141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指标项</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总体要求</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商用密码服务体系为软硬件一体化设计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密码组件应具有商用密码产品认证证书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软件平台系统具有产品计算机软件著作权登记证书及</w:t>
            </w:r>
            <w:r>
              <w:rPr>
                <w:rFonts w:hint="eastAsia" w:asciiTheme="minorEastAsia" w:hAnsiTheme="minorEastAsia" w:eastAsiaTheme="minorEastAsia" w:cstheme="minorEastAsia"/>
                <w:sz w:val="24"/>
                <w:szCs w:val="24"/>
                <w:lang w:eastAsia="zh-CN"/>
              </w:rPr>
              <w:t>取得第三方检测机构出具的</w:t>
            </w:r>
            <w:r>
              <w:rPr>
                <w:rFonts w:hint="eastAsia" w:asciiTheme="minorEastAsia" w:hAnsiTheme="minorEastAsia" w:eastAsiaTheme="minorEastAsia" w:cstheme="minorEastAsia"/>
                <w:sz w:val="24"/>
                <w:szCs w:val="24"/>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r>
              <w:rPr>
                <w:rFonts w:hint="eastAsia" w:ascii="宋体" w:hAnsi="宋体" w:cs="宋体"/>
                <w:sz w:val="24"/>
                <w:szCs w:val="24"/>
              </w:rPr>
              <w:t>3年质保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商用密码服务体系主要功能（1套）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指标项</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55" w:type="dxa"/>
            <w:gridSpan w:val="2"/>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架构要求</w:t>
            </w:r>
          </w:p>
        </w:tc>
        <w:tc>
          <w:tcPr>
            <w:tcW w:w="1417"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总体架构</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系统模块化建设，采用微服务架构，可支持服务编排（容器）。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系统提供以组件化的微服务方式实现，每个微服务都为可独立替换和升级的单元，并采用轻量级的异步去中心化协议通信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系统内各服务可实现水平横向拓展，可以根据业务需求调整系统内的服务，以提供足够并发能力和高度的可用性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算法及遵循的标准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符合国家密码管理局规定的国产密码算法（SM2、SM3、SM4等），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符合国家密码管理局相关技术标准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兼容RSA、AES、ECC等国际通用算法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国产化</w:t>
            </w:r>
          </w:p>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兼容性</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实现在国产麒麟操作系统、达梦数据库中的应用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高可用</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任意1台物理节点的损坏不影响业务系统正常运行，不影响数据正常访问，确保业务连续性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接入规范</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验签接口符合GM/T 0018-2012密码设备应用接口规范中的接口规定，同时可支持没有预处理的签名消息（包含签名者ID和明文信息）验签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提供系统的跨语言以及接入能力，商用密码服务体系统一对外提供以HTTP协议为基础的RESTful风格API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接入者可以不限开发语言接入，以一致的接入方式使用提供的服务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5" w:type="dxa"/>
            <w:gridSpan w:val="2"/>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提供以适应不同开发环境和开发语言的兼容性接入和配套工具库，以便于平台的接入和相关功能的扩展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gridSpan w:val="2"/>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主要功能</w:t>
            </w:r>
          </w:p>
        </w:tc>
        <w:tc>
          <w:tcPr>
            <w:tcW w:w="1417"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多维安全</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认证</w:t>
            </w:r>
          </w:p>
        </w:tc>
        <w:tc>
          <w:tcPr>
            <w:tcW w:w="6645" w:type="dxa"/>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对原有口令登录认证方式进行密码技术加固，使用符合密码技术规范的加盐哈希（SM3算法）的方式进行安全加固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gridSpan w:val="2"/>
            <w:vMerge w:val="continue"/>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right w:val="single" w:color="auto" w:sz="4" w:space="0"/>
            </w:tcBorders>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rPr>
              <w:t>提供以不同安全需求等级的认证服务，如对于不同的系统角色提供不同因子以及其组合的认证方式。认证机制符合的要求应包括但不限于《GB/T 15843 信息技术 安全技术 实体鉴别》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数字签名</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提供符合《电子签名法》、《密码法》及国家密码管理局相关密码技术要求的数字签名服务；提供事件行为签名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支持抗量子攻击的数字签名技术，并基于该技术实现强安全性的身份认证机制。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电子签章</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提供符合国家密码管理局相关密码技术要求的电子签章功能，可实现PDF、OFD电子签章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提供电子印章集中管理功能，包括电子印章批量制作，详情查看等功（提供功能截图）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按照角色定位不可替代、角色能力清晰、角色分工明确的准则，提供系统管理员、印章管理员、初始化管理员、审计员等多种角色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系统管理员、印章管理员、审计员需要使用登录口令配合符合国密算法的智能密码钥匙双因子认证才能登录电子签章子系统，进入管理界面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验签、样章</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提供可视化验签功能界面，不超过2步操作即可获得签名文件验证结果、支持PDF、OFD验章功能（提供功能截图）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提供符合国家密码管理局相关密码技术要求的验签、验章功能，要求应包括但不限于《GM/T 0031-2014 安全电子签章密码技术规范》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随机数</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提供符合国家密码管理局相关密码技术要求的随机数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数据加解密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可扩展数据加解密功能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证书管理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实现不同CA、不同算法的数字证书登录一个业务系统及同一证书登录不同业务系统的认证服务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实现对各类CA数字证书的在线申请、冻结、解冻、延期、更新、注销等操作（提供功能截图）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运维管理功能</w:t>
            </w: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统一运维管理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通过统一的可视化界面实现平台的管理操作，包括业务系统管理、用户管理、组织管理、密钥管理、证书管理、电子印章管理等（提供功能截图）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highlight w:val="yellow"/>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提供健康检查、告警监控、报表分析等功能，可监控、报告及控制平台中业务系统、用户、组织、密钥、证书、电子印章等统计数据和使用情况（提供功能截图）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业务系统管理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对接入的业务系统进行实时管理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CRL配置管理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提供CRL的新建、编辑、删除、查看详情功能，支持在线模式下测试CRL连通性</w:t>
            </w:r>
            <w:r>
              <w:rPr>
                <w:rFonts w:hint="eastAsia" w:asciiTheme="minorEastAsia" w:hAnsiTheme="minorEastAsia" w:eastAsiaTheme="minorEastAsia" w:cstheme="minorEastAsia"/>
                <w:color w:val="000000" w:themeColor="text1"/>
                <w:sz w:val="24"/>
                <w:szCs w:val="24"/>
                <w:highlight w:val="none"/>
              </w:rPr>
              <w:t>功能，要求符合《GM/T 0029-2014签名验签服务器标准》（提供功能截图）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用户管理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对用户信息的集中管理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提供批量导入用户，批量分发证书等功能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提供针对用户的密码相关功能操作权限管控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日志管理</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提供记录平台中管理行为日志、外部接口调用日志和签名签章日志功能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提供查看签名签章日志、行为日志信息功能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17"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提供统一管理各微服务平台日志功能，观察各服务健康状态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密码技术指标参数（2套）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密码性能要求</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形态</w:t>
            </w: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SM1/SM6 </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加解密</w:t>
            </w:r>
            <w:r>
              <w:rPr>
                <w:rFonts w:hint="eastAsia" w:asciiTheme="minorEastAsia" w:hAnsiTheme="minorEastAsia" w:eastAsiaTheme="minorEastAsia" w:cstheme="minorEastAsia"/>
                <w:sz w:val="24"/>
                <w:szCs w:val="24"/>
              </w:rPr>
              <w:t>250Mbps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SM4 </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加解密</w:t>
            </w:r>
            <w:r>
              <w:rPr>
                <w:rFonts w:hint="eastAsia" w:asciiTheme="minorEastAsia" w:hAnsiTheme="minorEastAsia" w:eastAsiaTheme="minorEastAsia" w:cstheme="minorEastAsia"/>
                <w:sz w:val="24"/>
                <w:szCs w:val="24"/>
              </w:rPr>
              <w:t>160Mbps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AES</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加解密</w:t>
            </w:r>
            <w:r>
              <w:rPr>
                <w:rFonts w:hint="eastAsia" w:asciiTheme="minorEastAsia" w:hAnsiTheme="minorEastAsia" w:eastAsiaTheme="minorEastAsia" w:cstheme="minorEastAsia"/>
                <w:sz w:val="24"/>
                <w:szCs w:val="24"/>
              </w:rPr>
              <w:t>120Mbps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SM2</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生密钥350次/秒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签名700次/秒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验证180次/秒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加密140次/秒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解密220次/秒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SM3</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随机数生成</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随机源</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双随机源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对称密钥数目</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p>
        </w:tc>
        <w:tc>
          <w:tcPr>
            <w:tcW w:w="1984" w:type="dxa"/>
            <w:gridSpan w:val="2"/>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SM2密钥数目</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1024对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7"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国密网关（2台）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指标项</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rPr>
              <w:t>性能配置</w:t>
            </w:r>
          </w:p>
        </w:tc>
        <w:tc>
          <w:tcPr>
            <w:tcW w:w="664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规格：1U，内存大小：2G，硬盘容量：32 G SSD，电源：单电源，接口：6千兆电口。性能配置需满足：吞吐量≥900Mbps；并发会话数≥60W；SSLVPN最大加密流量≥240Mbps；IPSecVPN最大加密流量≥160Mbps；本次VPN设备需提供200个移动端SSL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基本特性</w:t>
            </w: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专业VPN设备，采用标准SSL、TLS 协议，同时支持IPSec VPN、SSLVPN两种VPN，非插卡或防火墙带VPN模块设备。同时支持软件化交付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设备支持多种终端系统，如windows10、mac OS X El Capitan、ios9.x等及以下版本，使用包括IE11及以下版本或其他IE内核的浏览器，以及非IE内核浏览器，如Firefox，Safari，Google Chrome，Opera登录SSLVPN系统，登录后可完整支持各种IP层以上的B/S和C/S应用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支持国产化终端使用，包括中标麒麟、银河麒麟、深度OS等操作系统来登录SSLVPN系统，并完整支持该操作系统下的各种IP层以上的B/S和C/S应用（提供截图证明，或至少2家国产系统厂商与VPN产品的兼容性认证报告）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产品应支持的密码算法包括：支持SM1,SM2-SM4加密算法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易用性</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终端安全</w:t>
            </w: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产品应提供环境检测、自动修复工具，支持对Windows的环境兼容性一键检测能力，以及对检测结果进行一键修复的能力，避免由于用户操作系统环境存在问题影响SSL VPN的使用，减轻运维工作。（提供产品证明截图）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产品必须支持防中间人攻击，产品可在用户登录SSLVPN时智能判断存在中间人攻击行为，断开被攻击的连接，并可提示异常现象。（提供截图证明）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提供HTTPS驱动病毒查杀工具，支持对Windows环境下的HTTPS拦截监听的驱动病毒进行扫描查杀，避免因为HTTPS驱动病毒导致无法正常接入和使用SSL VPN（提供产品证明截图）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支持HTP快速传输协议，大幅优化无线环境（CDMA、GPRS、WIFI、3G）、高丢包、高延等恶劣网络环境下传输速度及效率；支持根据网络境自动选择并切换至最优的传输协议（提供界面配置截图）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支持针对不同的web页面进行数据优化，支持动态压缩技术，基于数据流进行压缩，减少不必要的数据传输。（提供界面配置截图）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6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支持与阿里钉钉、企业微信APP等第三方OA认证对接，移动端通过OA访问企业自建H5应用时，会自动拉起VPN，实现其内置H5应用的安全接入（提供产品证明截图）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restart"/>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高管理要求</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稳定性、可扩展性</w:t>
            </w:r>
          </w:p>
        </w:tc>
        <w:tc>
          <w:tcPr>
            <w:tcW w:w="6645" w:type="dxa"/>
            <w:tcBorders>
              <w:top w:val="single" w:color="auto" w:sz="4" w:space="0"/>
              <w:left w:val="single" w:color="auto" w:sz="4" w:space="0"/>
              <w:bottom w:val="single" w:color="auto" w:sz="4" w:space="0"/>
              <w:right w:val="single" w:color="auto" w:sz="4" w:space="0"/>
            </w:tcBorders>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支持基于自组域简化部署VPN网络的方法，即当有多台设备处于VPN网络中时，通过连接任意节点的VPN设备，即相当于连入整个VPN网络；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p>
        </w:tc>
        <w:tc>
          <w:tcPr>
            <w:tcW w:w="6645"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在负载均衡集群部署模式下，支持授权漂移，即当集群中一台设备宕机，该宕机设备中的并发授权自动迁移到其他正常的设备中，而无需额外购买授权。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2" w:type="dxa"/>
            <w:gridSpan w:val="3"/>
            <w:vMerge w:val="continue"/>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rPr>
            </w:pPr>
          </w:p>
        </w:tc>
        <w:tc>
          <w:tcPr>
            <w:tcW w:w="6645" w:type="dxa"/>
            <w:tcBorders>
              <w:top w:val="single" w:color="auto" w:sz="4" w:space="0"/>
              <w:left w:val="single" w:color="auto" w:sz="4" w:space="0"/>
              <w:bottom w:val="single" w:color="auto" w:sz="4" w:space="0"/>
              <w:right w:val="single" w:color="auto" w:sz="4" w:space="0"/>
            </w:tcBorders>
          </w:tcPr>
          <w:p>
            <w:pPr>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支持设备自身的抗攻击防护，支持防Host头部攻击设置，用于防止Host头部攻击, 设备只允许通过符合设置规则的地址进行访问；支持防SWEET32攻击设置，用于防止SWEET32攻击。（提供产品证明截图）</w:t>
            </w:r>
          </w:p>
        </w:tc>
      </w:tr>
    </w:tbl>
    <w:p>
      <w:pPr>
        <w:spacing w:line="360" w:lineRule="auto"/>
        <w:rPr>
          <w:rFonts w:ascii="宋体" w:hAnsi="宋体" w:cs="宋体"/>
          <w:bCs/>
          <w:sz w:val="24"/>
          <w:szCs w:val="24"/>
        </w:rPr>
      </w:pPr>
      <w:r>
        <w:rPr>
          <w:rFonts w:hint="eastAsia" w:ascii="宋体" w:hAnsi="宋体" w:cs="宋体"/>
          <w:bCs/>
          <w:sz w:val="24"/>
          <w:szCs w:val="24"/>
        </w:rPr>
        <w:t>（二）数字证书主要技术指标</w:t>
      </w:r>
    </w:p>
    <w:tbl>
      <w:tblPr>
        <w:tblStyle w:val="19"/>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指标项</w:t>
            </w:r>
          </w:p>
        </w:tc>
        <w:tc>
          <w:tcPr>
            <w:tcW w:w="74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总体要求</w:t>
            </w:r>
          </w:p>
        </w:tc>
        <w:tc>
          <w:tcPr>
            <w:tcW w:w="74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浙江CA数字证书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算法</w:t>
            </w:r>
          </w:p>
        </w:tc>
        <w:tc>
          <w:tcPr>
            <w:tcW w:w="74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SM2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类型</w:t>
            </w:r>
          </w:p>
        </w:tc>
        <w:tc>
          <w:tcPr>
            <w:tcW w:w="74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网关证书（2张）、客户端证书（500张）、组织机构证书（10张）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服务</w:t>
            </w:r>
          </w:p>
        </w:tc>
        <w:tc>
          <w:tcPr>
            <w:tcW w:w="74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包含3年使用服务</w:t>
            </w:r>
          </w:p>
        </w:tc>
      </w:tr>
    </w:tbl>
    <w:p>
      <w:pPr>
        <w:rPr>
          <w:rFonts w:ascii="宋体" w:hAnsi="宋体" w:cs="宋体"/>
          <w:bCs/>
          <w:sz w:val="24"/>
          <w:szCs w:val="24"/>
        </w:rPr>
      </w:pPr>
      <w:r>
        <w:rPr>
          <w:rFonts w:hint="eastAsia" w:ascii="宋体" w:hAnsi="宋体" w:cs="宋体"/>
          <w:bCs/>
          <w:sz w:val="24"/>
          <w:szCs w:val="24"/>
        </w:rPr>
        <w:t>（三）业务系统接入、改造技术指标</w:t>
      </w:r>
    </w:p>
    <w:tbl>
      <w:tblPr>
        <w:tblStyle w:val="19"/>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701"/>
        <w:gridCol w:w="637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指标项</w:t>
            </w:r>
          </w:p>
        </w:tc>
        <w:tc>
          <w:tcPr>
            <w:tcW w:w="8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接口</w:t>
            </w:r>
          </w:p>
        </w:tc>
        <w:tc>
          <w:tcPr>
            <w:tcW w:w="8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完成与商用密码服务体系对接，通过轻量级的接口改造、对接，实现密码技术在业务信息系统中的应用。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3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对接系统</w:t>
            </w:r>
          </w:p>
        </w:tc>
        <w:tc>
          <w:tcPr>
            <w:tcW w:w="807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区委办批示督查系统、公文收发系统；区卫计局“检验检疫系统”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96"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实现功能</w:t>
            </w:r>
          </w:p>
        </w:tc>
        <w:tc>
          <w:tcPr>
            <w:tcW w:w="80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实现基于商用密码技术的SSL</w:t>
            </w:r>
            <w:r>
              <w:rPr>
                <w:rFonts w:ascii="宋体" w:hAnsi="宋体" w:cs="宋体"/>
                <w:sz w:val="24"/>
                <w:szCs w:val="24"/>
              </w:rPr>
              <w:t xml:space="preserve"> </w:t>
            </w:r>
            <w:r>
              <w:rPr>
                <w:rFonts w:hint="eastAsia" w:ascii="宋体" w:hAnsi="宋体" w:cs="宋体"/>
                <w:sz w:val="24"/>
                <w:szCs w:val="24"/>
              </w:rPr>
              <w:t>VPN、IPSec</w:t>
            </w:r>
            <w:r>
              <w:rPr>
                <w:rFonts w:ascii="宋体" w:hAnsi="宋体" w:cs="宋体"/>
                <w:sz w:val="24"/>
                <w:szCs w:val="24"/>
              </w:rPr>
              <w:t xml:space="preserve"> </w:t>
            </w:r>
            <w:r>
              <w:rPr>
                <w:rFonts w:hint="eastAsia" w:ascii="宋体" w:hAnsi="宋体" w:cs="宋体"/>
                <w:sz w:val="24"/>
                <w:szCs w:val="24"/>
              </w:rPr>
              <w:t xml:space="preserve">VPN通信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 w:hRule="atLeast"/>
          <w:jc w:val="center"/>
        </w:trPr>
        <w:tc>
          <w:tcPr>
            <w:tcW w:w="169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8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可从商用密码服务体系获取符合技术要求的随机数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69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1701" w:type="dxa"/>
            <w:vMerge w:val="restart"/>
            <w:tcBorders>
              <w:top w:val="single" w:color="auto" w:sz="4" w:space="0"/>
              <w:left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批示监督系统</w:t>
            </w:r>
          </w:p>
          <w:p>
            <w:pPr>
              <w:rPr>
                <w:rFonts w:ascii="宋体" w:hAnsi="宋体" w:cs="宋体"/>
                <w:sz w:val="24"/>
                <w:szCs w:val="24"/>
              </w:rPr>
            </w:pPr>
            <w:r>
              <w:rPr>
                <w:rFonts w:hint="eastAsia" w:ascii="宋体" w:hAnsi="宋体" w:cs="宋体"/>
                <w:sz w:val="24"/>
                <w:szCs w:val="24"/>
              </w:rPr>
              <w:t>公文收发系统</w:t>
            </w:r>
          </w:p>
        </w:tc>
        <w:tc>
          <w:tcPr>
            <w:tcW w:w="6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登陆：可根据业务系统需要，选择USB-KEY、短信验证码、密码技术安全加固后的口令、密码模块等多种登录方式，以及多因子登录方式。政务服务网统一登录，业务系统根据权限自动登录。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69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6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签名、签章：在业务系统的操作行为中，加入行为签名；对处理结果的PDF、OFD等版式文件，加入电子签章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1696" w:type="dxa"/>
            <w:vMerge w:val="continue"/>
            <w:tcBorders>
              <w:left w:val="single" w:color="auto" w:sz="4" w:space="0"/>
              <w:right w:val="single" w:color="auto" w:sz="4" w:space="0"/>
            </w:tcBorders>
            <w:vAlign w:val="center"/>
          </w:tcPr>
          <w:p>
            <w:pPr>
              <w:jc w:val="center"/>
              <w:rPr>
                <w:rFonts w:ascii="宋体" w:hAnsi="宋体" w:cs="宋体"/>
                <w:sz w:val="24"/>
                <w:szCs w:val="24"/>
              </w:rPr>
            </w:pPr>
          </w:p>
        </w:tc>
        <w:tc>
          <w:tcPr>
            <w:tcW w:w="1701" w:type="dxa"/>
            <w:vMerge w:val="restart"/>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检验检疫系统</w:t>
            </w:r>
          </w:p>
        </w:tc>
        <w:tc>
          <w:tcPr>
            <w:tcW w:w="6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登陆：可根据业务系统需要，选择USB-KEY、短信验证码、密码技术安全加固后的口令、密码模块等多种登录方式，以及多因子登录方式。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97" w:hRule="atLeast"/>
          <w:jc w:val="center"/>
        </w:trPr>
        <w:tc>
          <w:tcPr>
            <w:tcW w:w="1696"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6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签名、签章：根据业务需要，加入行为签名；对处理结果的PDF、OFD等版式文件，加入电子签章</w:t>
            </w:r>
          </w:p>
        </w:tc>
      </w:tr>
    </w:tbl>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六、建设相关要求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（一）集成对接要求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中标</w:t>
      </w:r>
      <w:r>
        <w:rPr>
          <w:rFonts w:hint="eastAsia" w:ascii="宋体" w:hAnsi="宋体" w:cs="宋体"/>
          <w:bCs/>
          <w:color w:val="000000"/>
          <w:sz w:val="24"/>
          <w:szCs w:val="24"/>
          <w:lang w:eastAsia="zh-CN"/>
        </w:rPr>
        <w:t>单位</w:t>
      </w:r>
      <w:r>
        <w:rPr>
          <w:rFonts w:hint="eastAsia" w:ascii="宋体" w:hAnsi="宋体" w:eastAsia="宋体" w:cs="宋体"/>
          <w:bCs/>
          <w:color w:val="000000"/>
          <w:sz w:val="24"/>
          <w:szCs w:val="24"/>
        </w:rPr>
        <w:t>负责完成本项目所涉及的软件硬件设备系统集成工作。要求勘察调研、部署实施、联调测试、试运行、验收等各个环节均需要中标</w:t>
      </w:r>
      <w:r>
        <w:rPr>
          <w:rFonts w:hint="eastAsia" w:ascii="宋体" w:hAnsi="宋体" w:cs="宋体"/>
          <w:bCs/>
          <w:color w:val="000000"/>
          <w:sz w:val="24"/>
          <w:szCs w:val="24"/>
          <w:lang w:eastAsia="zh-CN"/>
        </w:rPr>
        <w:t>单位</w:t>
      </w:r>
      <w:r>
        <w:rPr>
          <w:rFonts w:hint="eastAsia" w:ascii="宋体" w:hAnsi="宋体" w:eastAsia="宋体" w:cs="宋体"/>
          <w:bCs/>
          <w:color w:val="000000"/>
          <w:sz w:val="24"/>
          <w:szCs w:val="24"/>
        </w:rPr>
        <w:t>相应的实施人员现场服务。</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（二）实施质量要求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实施过程流程管控应符合ISO9001相关要求。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文档应符合国家及行业标准规范要求。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文档的提交应覆盖以下内容，电子文档是成果不可分割的部分。要求如下文档：</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●过程性文档</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●成果性文档</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●设备/软件随机资料</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●其他需要提交的材料。</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以上仅供参考，中标</w:t>
      </w:r>
      <w:r>
        <w:rPr>
          <w:rFonts w:hint="eastAsia" w:ascii="宋体" w:hAnsi="宋体" w:cs="宋体"/>
          <w:bCs/>
          <w:color w:val="000000"/>
          <w:sz w:val="24"/>
          <w:szCs w:val="24"/>
          <w:lang w:eastAsia="zh-CN"/>
        </w:rPr>
        <w:t>单位</w:t>
      </w:r>
      <w:r>
        <w:rPr>
          <w:rFonts w:hint="eastAsia" w:ascii="宋体" w:hAnsi="宋体" w:eastAsia="宋体" w:cs="宋体"/>
          <w:bCs/>
          <w:color w:val="000000"/>
          <w:sz w:val="24"/>
          <w:szCs w:val="24"/>
        </w:rPr>
        <w:t>在项目过程中应按照要求提供相应文档资料。</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（三）质保要求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设备与软件（含系统软件、各种补丁、特征库、规则库等）提供原厂三年质保与升级。</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（四）售后服务要求</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中标方提供验收后3年7×24小时的技术支持服务。（电话、邮件、传真、远程、现场）。</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质保期内中标方应确保设备的正常使用，在接到用户维修要求后应立即作出回应。若现场维护人员12小时内无法解决的，应在24小时内提供不低于故障设备档次及性能的备用设备或备件并负责安装调试。</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设备提供终身维修服务，质保期外当系统设备出现故障时，维修、更换故障设备按低于当时市场价格收取费用。</w:t>
      </w:r>
    </w:p>
    <w:p>
      <w:pPr>
        <w:widowControl/>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（五）其他要求</w:t>
      </w:r>
    </w:p>
    <w:p>
      <w:pPr>
        <w:widowControl/>
        <w:snapToGrid w:val="0"/>
        <w:spacing w:line="360" w:lineRule="auto"/>
        <w:ind w:firstLine="480" w:firstLineChars="200"/>
        <w:rPr>
          <w:rFonts w:hint="eastAsia" w:ascii="宋体" w:hAnsi="宋体"/>
          <w:b/>
          <w:sz w:val="36"/>
          <w:szCs w:val="36"/>
        </w:rPr>
      </w:pPr>
      <w:r>
        <w:rPr>
          <w:rFonts w:hint="eastAsia" w:ascii="宋体" w:hAnsi="宋体" w:eastAsia="宋体" w:cs="宋体"/>
          <w:bCs/>
          <w:color w:val="000000"/>
          <w:sz w:val="24"/>
          <w:szCs w:val="24"/>
        </w:rPr>
        <w:t>工期要求：签订合同后，</w:t>
      </w: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个月内</w:t>
      </w:r>
      <w:r>
        <w:rPr>
          <w:rFonts w:hint="eastAsia" w:ascii="宋体" w:hAnsi="宋体" w:cs="宋体"/>
          <w:bCs/>
          <w:color w:val="000000"/>
          <w:sz w:val="24"/>
          <w:szCs w:val="24"/>
          <w:lang w:eastAsia="zh-CN"/>
        </w:rPr>
        <w:t>基本</w:t>
      </w:r>
      <w:r>
        <w:rPr>
          <w:rFonts w:hint="eastAsia" w:ascii="宋体" w:hAnsi="宋体" w:eastAsia="宋体" w:cs="宋体"/>
          <w:bCs/>
          <w:color w:val="000000"/>
          <w:sz w:val="24"/>
          <w:szCs w:val="24"/>
        </w:rPr>
        <w:t>完成建设。</w:t>
      </w: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hint="eastAsia" w:ascii="宋体" w:hAnsi="宋体"/>
          <w:b/>
          <w:sz w:val="36"/>
          <w:szCs w:val="36"/>
        </w:rPr>
      </w:pPr>
    </w:p>
    <w:p>
      <w:pPr>
        <w:snapToGrid w:val="0"/>
        <w:spacing w:line="480" w:lineRule="exact"/>
        <w:ind w:firstLine="2338" w:firstLineChars="647"/>
        <w:rPr>
          <w:rFonts w:ascii="宋体" w:hAnsi="宋体"/>
          <w:b/>
          <w:sz w:val="36"/>
          <w:szCs w:val="36"/>
        </w:rPr>
      </w:pPr>
      <w:r>
        <w:rPr>
          <w:rFonts w:hint="eastAsia" w:ascii="宋体" w:hAnsi="宋体"/>
          <w:b/>
          <w:sz w:val="36"/>
          <w:szCs w:val="36"/>
        </w:rPr>
        <w:t>第五章</w:t>
      </w:r>
      <w:r>
        <w:rPr>
          <w:rFonts w:ascii="宋体" w:hAnsi="宋体"/>
          <w:b/>
          <w:sz w:val="36"/>
          <w:szCs w:val="36"/>
        </w:rPr>
        <w:t xml:space="preserve">  </w:t>
      </w:r>
      <w:r>
        <w:rPr>
          <w:rFonts w:hint="eastAsia" w:ascii="宋体" w:hAnsi="宋体"/>
          <w:b/>
          <w:sz w:val="36"/>
          <w:szCs w:val="36"/>
        </w:rPr>
        <w:t>合同主要条款指引</w:t>
      </w:r>
    </w:p>
    <w:p>
      <w:pPr>
        <w:pStyle w:val="10"/>
        <w:ind w:firstLine="240"/>
        <w:jc w:val="center"/>
        <w:rPr>
          <w:rFonts w:ascii="宋体" w:hAnsi="宋体"/>
          <w:sz w:val="24"/>
          <w:szCs w:val="24"/>
        </w:rPr>
      </w:pPr>
      <w:r>
        <w:rPr>
          <w:rFonts w:hint="eastAsia" w:ascii="宋体" w:hAnsi="宋体"/>
          <w:sz w:val="24"/>
          <w:szCs w:val="24"/>
        </w:rPr>
        <w:t>（</w:t>
      </w:r>
      <w:r>
        <w:rPr>
          <w:rFonts w:hint="eastAsia" w:ascii="宋体" w:hAnsi="宋体"/>
          <w:b/>
          <w:bCs/>
          <w:sz w:val="24"/>
          <w:szCs w:val="24"/>
        </w:rPr>
        <w:t>本合同作为示范文本，具体以委托方与受托方所签定正式合同为准，委托方保留在合同签订前修改合同条款的权利。</w:t>
      </w:r>
      <w:r>
        <w:rPr>
          <w:rFonts w:hint="eastAsia" w:ascii="宋体" w:hAnsi="宋体"/>
          <w:sz w:val="24"/>
          <w:szCs w:val="24"/>
        </w:rPr>
        <w:t>）</w:t>
      </w:r>
    </w:p>
    <w:p>
      <w:pPr>
        <w:rPr>
          <w:rFonts w:ascii="宋体" w:hAnsi="宋体"/>
          <w:sz w:val="24"/>
          <w:szCs w:val="24"/>
        </w:rPr>
      </w:pPr>
      <w:r>
        <w:rPr>
          <w:rFonts w:hint="eastAsia" w:ascii="宋体" w:hAnsi="宋体"/>
          <w:sz w:val="24"/>
          <w:szCs w:val="24"/>
        </w:rPr>
        <w:t>甲方(委托方)：__________________________</w:t>
      </w:r>
    </w:p>
    <w:p>
      <w:pPr>
        <w:rPr>
          <w:rFonts w:ascii="宋体" w:hAnsi="宋体"/>
          <w:sz w:val="24"/>
          <w:szCs w:val="24"/>
          <w:u w:val="single"/>
        </w:rPr>
      </w:pPr>
      <w:r>
        <w:rPr>
          <w:rFonts w:hint="eastAsia" w:ascii="宋体" w:hAnsi="宋体"/>
          <w:sz w:val="24"/>
          <w:szCs w:val="24"/>
        </w:rPr>
        <w:t>乙方(受托方)：</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　　根据《中华人民共和国合同法》及相关法规的规定，就甲方委托乙方</w:t>
      </w:r>
      <w:r>
        <w:rPr>
          <w:rFonts w:hint="eastAsia" w:ascii="宋体" w:hAnsi="宋体"/>
          <w:sz w:val="24"/>
          <w:szCs w:val="24"/>
          <w:u w:val="single"/>
        </w:rPr>
        <w:t xml:space="preserve">    </w:t>
      </w:r>
      <w:r>
        <w:rPr>
          <w:rFonts w:hint="eastAsia" w:ascii="宋体" w:hAnsi="宋体"/>
          <w:sz w:val="24"/>
          <w:szCs w:val="24"/>
        </w:rPr>
        <w:t>采购项目一事，经双方友好协商，达成一致意见，特签订本合同。</w:t>
      </w:r>
    </w:p>
    <w:p>
      <w:pPr>
        <w:spacing w:line="360" w:lineRule="auto"/>
        <w:ind w:firstLine="482" w:firstLineChars="200"/>
        <w:rPr>
          <w:rFonts w:ascii="宋体" w:hAnsi="宋体"/>
          <w:b/>
          <w:bCs/>
          <w:sz w:val="24"/>
          <w:szCs w:val="24"/>
        </w:rPr>
      </w:pPr>
      <w:r>
        <w:rPr>
          <w:rFonts w:hint="eastAsia" w:ascii="宋体" w:hAnsi="宋体"/>
          <w:b/>
          <w:bCs/>
          <w:sz w:val="24"/>
          <w:szCs w:val="24"/>
        </w:rPr>
        <w:t>一、委托内容</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1217"/>
        <w:gridCol w:w="1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序号</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采购内容</w:t>
            </w: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单价</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数量</w:t>
            </w: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6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大写</w:t>
            </w:r>
          </w:p>
        </w:tc>
        <w:tc>
          <w:tcPr>
            <w:tcW w:w="31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jc w:val="center"/>
              <w:rPr>
                <w:rFonts w:ascii="宋体" w:hAnsi="宋体"/>
                <w:sz w:val="24"/>
                <w:szCs w:val="24"/>
              </w:rPr>
            </w:pPr>
          </w:p>
        </w:tc>
      </w:tr>
    </w:tbl>
    <w:p>
      <w:pPr>
        <w:pStyle w:val="11"/>
        <w:snapToGrid w:val="0"/>
        <w:spacing w:beforeLines="0" w:afterLines="0" w:line="360" w:lineRule="auto"/>
        <w:ind w:firstLine="480" w:firstLineChars="200"/>
        <w:rPr>
          <w:rFonts w:hAnsi="宋体"/>
        </w:rPr>
      </w:pPr>
      <w:r>
        <w:rPr>
          <w:rFonts w:hint="eastAsia" w:hAnsi="宋体"/>
        </w:rPr>
        <w:t>注：1、以上表格可自行扩展；其他要求等也可附详细清单；</w:t>
      </w:r>
    </w:p>
    <w:p>
      <w:pPr>
        <w:spacing w:line="360" w:lineRule="auto"/>
        <w:ind w:firstLine="480" w:firstLineChars="200"/>
        <w:rPr>
          <w:rFonts w:ascii="宋体" w:hAnsi="宋体"/>
          <w:sz w:val="24"/>
          <w:szCs w:val="24"/>
        </w:rPr>
      </w:pPr>
      <w:r>
        <w:rPr>
          <w:rFonts w:hint="eastAsia" w:ascii="宋体" w:hAnsi="宋体"/>
          <w:sz w:val="24"/>
          <w:szCs w:val="24"/>
        </w:rPr>
        <w:t>　2、以上合同总价包含产品到达用户并能正常使用所需的一切费用。</w:t>
      </w:r>
    </w:p>
    <w:p>
      <w:pPr>
        <w:spacing w:line="360" w:lineRule="auto"/>
        <w:ind w:firstLine="482" w:firstLineChars="200"/>
        <w:rPr>
          <w:rFonts w:ascii="宋体" w:hAnsi="宋体"/>
          <w:b/>
          <w:bCs/>
          <w:sz w:val="24"/>
          <w:szCs w:val="24"/>
        </w:rPr>
      </w:pPr>
      <w:r>
        <w:rPr>
          <w:rFonts w:hint="eastAsia" w:ascii="宋体" w:hAnsi="宋体"/>
          <w:b/>
          <w:bCs/>
          <w:sz w:val="24"/>
          <w:szCs w:val="24"/>
        </w:rPr>
        <w:t>二、委托费用</w:t>
      </w:r>
    </w:p>
    <w:p>
      <w:pPr>
        <w:spacing w:line="360" w:lineRule="auto"/>
        <w:ind w:firstLine="480" w:firstLineChars="200"/>
        <w:rPr>
          <w:rFonts w:ascii="宋体" w:hAnsi="宋体"/>
          <w:sz w:val="24"/>
          <w:szCs w:val="24"/>
        </w:rPr>
      </w:pPr>
      <w:r>
        <w:rPr>
          <w:rFonts w:hint="eastAsia" w:ascii="宋体" w:hAnsi="宋体"/>
          <w:sz w:val="24"/>
          <w:szCs w:val="24"/>
        </w:rPr>
        <w:t>本合同委托费用共计人民币：￥______元</w:t>
      </w:r>
    </w:p>
    <w:p>
      <w:pPr>
        <w:spacing w:line="360" w:lineRule="auto"/>
        <w:ind w:firstLine="480" w:firstLineChars="200"/>
        <w:rPr>
          <w:rFonts w:ascii="宋体" w:hAnsi="宋体"/>
          <w:sz w:val="24"/>
          <w:szCs w:val="24"/>
        </w:rPr>
      </w:pPr>
      <w:r>
        <w:rPr>
          <w:rFonts w:hint="eastAsia" w:ascii="宋体" w:hAnsi="宋体"/>
          <w:sz w:val="24"/>
          <w:szCs w:val="24"/>
        </w:rPr>
        <w:t>(大写：人民币______拾______万______仟______佰______拾______元整)。</w:t>
      </w:r>
    </w:p>
    <w:p>
      <w:pPr>
        <w:spacing w:line="360" w:lineRule="auto"/>
        <w:ind w:firstLine="482" w:firstLineChars="200"/>
        <w:rPr>
          <w:rFonts w:ascii="宋体" w:hAnsi="宋体"/>
          <w:b/>
          <w:bCs/>
          <w:sz w:val="24"/>
          <w:szCs w:val="24"/>
        </w:rPr>
      </w:pPr>
      <w:r>
        <w:rPr>
          <w:rFonts w:hint="eastAsia" w:ascii="宋体" w:hAnsi="宋体"/>
          <w:b/>
          <w:bCs/>
          <w:sz w:val="24"/>
          <w:szCs w:val="24"/>
        </w:rPr>
        <w:t>三、质量要求</w:t>
      </w:r>
    </w:p>
    <w:p>
      <w:pPr>
        <w:spacing w:line="360" w:lineRule="auto"/>
        <w:ind w:firstLine="720" w:firstLineChars="300"/>
        <w:rPr>
          <w:rFonts w:ascii="宋体" w:hAnsi="宋体"/>
          <w:sz w:val="24"/>
          <w:szCs w:val="24"/>
        </w:rPr>
      </w:pPr>
      <w:r>
        <w:rPr>
          <w:rFonts w:hint="eastAsia" w:ascii="宋体" w:hAnsi="宋体"/>
          <w:sz w:val="24"/>
          <w:szCs w:val="24"/>
        </w:rP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四、付款方式</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2" w:firstLineChars="200"/>
        <w:rPr>
          <w:rFonts w:ascii="宋体" w:hAnsi="宋体"/>
          <w:b/>
          <w:bCs/>
          <w:sz w:val="24"/>
          <w:szCs w:val="24"/>
        </w:rPr>
      </w:pPr>
      <w:r>
        <w:rPr>
          <w:rFonts w:hint="eastAsia" w:ascii="宋体" w:hAnsi="宋体"/>
          <w:b/>
          <w:bCs/>
          <w:sz w:val="24"/>
          <w:szCs w:val="24"/>
        </w:rPr>
        <w:t>五、双方权利义务</w:t>
      </w:r>
    </w:p>
    <w:p>
      <w:pPr>
        <w:spacing w:line="360" w:lineRule="auto"/>
        <w:ind w:firstLine="480" w:firstLineChars="200"/>
        <w:rPr>
          <w:rFonts w:ascii="宋体" w:hAnsi="宋体"/>
          <w:sz w:val="24"/>
          <w:szCs w:val="24"/>
        </w:rPr>
      </w:pPr>
      <w:r>
        <w:rPr>
          <w:rFonts w:hint="eastAsia" w:ascii="宋体" w:hAnsi="宋体"/>
          <w:sz w:val="24"/>
          <w:szCs w:val="24"/>
        </w:rPr>
        <w:t>甲方权利义务：</w:t>
      </w:r>
    </w:p>
    <w:p>
      <w:pPr>
        <w:spacing w:line="360" w:lineRule="auto"/>
        <w:ind w:firstLine="480" w:firstLineChars="200"/>
        <w:rPr>
          <w:rFonts w:ascii="宋体" w:hAnsi="宋体"/>
          <w:sz w:val="24"/>
          <w:szCs w:val="24"/>
        </w:rPr>
      </w:pPr>
      <w:r>
        <w:rPr>
          <w:rFonts w:hint="eastAsia" w:ascii="宋体" w:hAnsi="宋体"/>
          <w:sz w:val="24"/>
          <w:szCs w:val="24"/>
        </w:rPr>
        <w:t xml:space="preserve">1、甲方提出项目建设任务和需求，负责项目的总体组织工作，并保留根据实际工作需求，提出对项目方案进行适当修改的权利。 </w:t>
      </w:r>
    </w:p>
    <w:p>
      <w:pPr>
        <w:spacing w:line="360" w:lineRule="auto"/>
        <w:ind w:firstLine="480" w:firstLineChars="200"/>
        <w:rPr>
          <w:rFonts w:ascii="宋体" w:hAnsi="宋体"/>
          <w:sz w:val="24"/>
          <w:szCs w:val="24"/>
        </w:rPr>
      </w:pPr>
      <w:r>
        <w:rPr>
          <w:rFonts w:hint="eastAsia" w:ascii="宋体" w:hAnsi="宋体"/>
          <w:sz w:val="24"/>
          <w:szCs w:val="24"/>
        </w:rPr>
        <w:t>2、甲方应为调研、安装、测试、调试等乙方工作提供相应协助。</w:t>
      </w:r>
    </w:p>
    <w:p>
      <w:pPr>
        <w:spacing w:line="360" w:lineRule="auto"/>
        <w:ind w:firstLine="480" w:firstLineChars="200"/>
        <w:rPr>
          <w:rFonts w:ascii="宋体" w:hAnsi="宋体"/>
          <w:sz w:val="24"/>
          <w:szCs w:val="24"/>
        </w:rPr>
      </w:pPr>
      <w:r>
        <w:rPr>
          <w:rFonts w:hint="eastAsia" w:ascii="宋体" w:hAnsi="宋体"/>
          <w:sz w:val="24"/>
          <w:szCs w:val="24"/>
        </w:rPr>
        <w:t>3、甲方负责组织由乙方提供的技术培训工作。</w:t>
      </w:r>
    </w:p>
    <w:p>
      <w:pPr>
        <w:spacing w:line="360" w:lineRule="auto"/>
        <w:ind w:firstLine="480" w:firstLineChars="200"/>
        <w:rPr>
          <w:rFonts w:ascii="宋体" w:hAnsi="宋体"/>
          <w:sz w:val="24"/>
          <w:szCs w:val="24"/>
        </w:rPr>
      </w:pPr>
      <w:r>
        <w:rPr>
          <w:rFonts w:hint="eastAsia" w:ascii="宋体" w:hAnsi="宋体"/>
          <w:sz w:val="24"/>
          <w:szCs w:val="24"/>
        </w:rPr>
        <w:t>5、甲方对乙方向甲方提供的内部资料予以保密，且不向任何第三方泄露乙方的商业机密和技术机密。</w:t>
      </w:r>
    </w:p>
    <w:p>
      <w:pPr>
        <w:spacing w:line="360" w:lineRule="auto"/>
        <w:ind w:firstLine="480" w:firstLineChars="200"/>
        <w:rPr>
          <w:rFonts w:ascii="宋体" w:hAnsi="宋体"/>
          <w:sz w:val="24"/>
          <w:szCs w:val="24"/>
        </w:rPr>
      </w:pPr>
      <w:r>
        <w:rPr>
          <w:rFonts w:hint="eastAsia" w:ascii="宋体" w:hAnsi="宋体"/>
          <w:sz w:val="24"/>
          <w:szCs w:val="24"/>
        </w:rPr>
        <w:t>乙方权利义务：</w:t>
      </w:r>
    </w:p>
    <w:p>
      <w:pPr>
        <w:spacing w:line="460" w:lineRule="exact"/>
        <w:ind w:firstLine="590" w:firstLineChars="245"/>
        <w:rPr>
          <w:rFonts w:ascii="宋体" w:hAnsi="宋体" w:cs="宋体"/>
          <w:kern w:val="0"/>
          <w:sz w:val="24"/>
          <w:szCs w:val="24"/>
        </w:rPr>
      </w:pPr>
      <w:r>
        <w:rPr>
          <w:rFonts w:hint="eastAsia" w:ascii="宋体" w:hAnsi="宋体"/>
          <w:b/>
          <w:sz w:val="24"/>
          <w:szCs w:val="24"/>
        </w:rPr>
        <w:t>1、乙方必须</w:t>
      </w:r>
      <w:r>
        <w:rPr>
          <w:rFonts w:ascii="宋体" w:hAnsi="宋体" w:cs="宋体"/>
          <w:kern w:val="0"/>
          <w:sz w:val="24"/>
          <w:szCs w:val="24"/>
        </w:rPr>
        <w:t>根据项目</w:t>
      </w:r>
      <w:r>
        <w:rPr>
          <w:rFonts w:hint="eastAsia" w:ascii="宋体" w:hAnsi="宋体" w:cs="宋体"/>
          <w:kern w:val="0"/>
          <w:sz w:val="24"/>
          <w:szCs w:val="24"/>
        </w:rPr>
        <w:t>采购文件</w:t>
      </w:r>
      <w:r>
        <w:rPr>
          <w:rFonts w:ascii="宋体" w:hAnsi="宋体" w:cs="宋体"/>
          <w:kern w:val="0"/>
          <w:sz w:val="24"/>
          <w:szCs w:val="24"/>
        </w:rPr>
        <w:t>中《</w:t>
      </w:r>
      <w:r>
        <w:rPr>
          <w:rFonts w:hint="eastAsia" w:ascii="宋体" w:hAnsi="宋体" w:cs="宋体"/>
          <w:kern w:val="0"/>
          <w:sz w:val="24"/>
          <w:szCs w:val="24"/>
        </w:rPr>
        <w:t>招标需求</w:t>
      </w:r>
      <w:r>
        <w:rPr>
          <w:rFonts w:ascii="宋体" w:hAnsi="宋体" w:cs="宋体"/>
          <w:kern w:val="0"/>
          <w:sz w:val="24"/>
          <w:szCs w:val="24"/>
        </w:rPr>
        <w:t>》细化项目建设需求，并</w:t>
      </w:r>
      <w:r>
        <w:rPr>
          <w:rFonts w:hint="eastAsia" w:ascii="宋体" w:hAnsi="宋体" w:cs="宋体"/>
          <w:kern w:val="0"/>
          <w:sz w:val="24"/>
          <w:szCs w:val="24"/>
        </w:rPr>
        <w:t>按照响应文件</w:t>
      </w:r>
      <w:r>
        <w:rPr>
          <w:rFonts w:ascii="宋体" w:hAnsi="宋体" w:cs="宋体"/>
          <w:kern w:val="0"/>
          <w:sz w:val="24"/>
          <w:szCs w:val="24"/>
        </w:rPr>
        <w:t>中的</w:t>
      </w:r>
      <w:r>
        <w:rPr>
          <w:rFonts w:hint="eastAsia" w:ascii="宋体" w:hAnsi="宋体" w:cs="宋体"/>
          <w:kern w:val="0"/>
          <w:sz w:val="24"/>
          <w:szCs w:val="24"/>
        </w:rPr>
        <w:t>规定进行项目</w:t>
      </w:r>
      <w:r>
        <w:rPr>
          <w:rFonts w:ascii="宋体" w:hAnsi="宋体" w:cs="宋体"/>
          <w:kern w:val="0"/>
          <w:sz w:val="24"/>
          <w:szCs w:val="24"/>
        </w:rPr>
        <w:t>建设</w:t>
      </w:r>
      <w:r>
        <w:rPr>
          <w:rFonts w:hint="eastAsia" w:ascii="宋体" w:hAnsi="宋体" w:cs="宋体"/>
          <w:kern w:val="0"/>
          <w:sz w:val="24"/>
          <w:szCs w:val="24"/>
        </w:rPr>
        <w:t>和</w:t>
      </w:r>
      <w:r>
        <w:rPr>
          <w:rFonts w:ascii="宋体" w:hAnsi="宋体" w:cs="宋体"/>
          <w:kern w:val="0"/>
          <w:sz w:val="24"/>
          <w:szCs w:val="24"/>
        </w:rPr>
        <w:t>具体实施工作。</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2、乙方</w:t>
      </w:r>
      <w:r>
        <w:rPr>
          <w:rFonts w:ascii="宋体" w:hAnsi="宋体" w:cs="宋体"/>
          <w:kern w:val="0"/>
          <w:sz w:val="24"/>
          <w:szCs w:val="24"/>
        </w:rPr>
        <w:t>保证按合同规定时间完工，并在工程结束时提交完整的相应技术文档及用户手册，并积极配合</w:t>
      </w:r>
      <w:r>
        <w:rPr>
          <w:rFonts w:hint="eastAsia" w:ascii="宋体" w:hAnsi="宋体" w:cs="宋体"/>
          <w:kern w:val="0"/>
          <w:sz w:val="24"/>
          <w:szCs w:val="24"/>
        </w:rPr>
        <w:t>甲方</w:t>
      </w:r>
      <w:r>
        <w:rPr>
          <w:rFonts w:ascii="宋体" w:hAnsi="宋体" w:cs="宋体"/>
          <w:kern w:val="0"/>
          <w:sz w:val="24"/>
          <w:szCs w:val="24"/>
        </w:rPr>
        <w:t>对项目进行验收。</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5、乙方</w:t>
      </w:r>
      <w:r>
        <w:rPr>
          <w:rFonts w:ascii="宋体" w:hAnsi="宋体" w:cs="宋体"/>
          <w:kern w:val="0"/>
          <w:sz w:val="24"/>
          <w:szCs w:val="24"/>
        </w:rPr>
        <w:t>为</w:t>
      </w:r>
      <w:r>
        <w:rPr>
          <w:rFonts w:hint="eastAsia" w:ascii="宋体" w:hAnsi="宋体" w:cs="宋体"/>
          <w:kern w:val="0"/>
          <w:sz w:val="24"/>
          <w:szCs w:val="24"/>
        </w:rPr>
        <w:t>甲方</w:t>
      </w:r>
      <w:r>
        <w:rPr>
          <w:rFonts w:ascii="宋体" w:hAnsi="宋体" w:cs="宋体"/>
          <w:kern w:val="0"/>
          <w:sz w:val="24"/>
          <w:szCs w:val="24"/>
        </w:rPr>
        <w:t>提供项目的</w:t>
      </w:r>
      <w:r>
        <w:rPr>
          <w:rFonts w:hint="eastAsia" w:ascii="宋体" w:hAnsi="宋体" w:cs="宋体"/>
          <w:kern w:val="0"/>
          <w:sz w:val="24"/>
          <w:szCs w:val="24"/>
        </w:rPr>
        <w:t>所有</w:t>
      </w:r>
      <w:r>
        <w:rPr>
          <w:rFonts w:ascii="宋体" w:hAnsi="宋体" w:cs="宋体"/>
          <w:kern w:val="0"/>
          <w:sz w:val="24"/>
          <w:szCs w:val="24"/>
        </w:rPr>
        <w:t>软、硬件</w:t>
      </w:r>
      <w:r>
        <w:rPr>
          <w:rFonts w:hint="eastAsia" w:ascii="宋体" w:hAnsi="宋体" w:cs="宋体"/>
          <w:kern w:val="0"/>
          <w:sz w:val="24"/>
          <w:szCs w:val="24"/>
        </w:rPr>
        <w:t>（如有）</w:t>
      </w:r>
      <w:r>
        <w:rPr>
          <w:rFonts w:ascii="宋体" w:hAnsi="宋体" w:cs="宋体"/>
          <w:kern w:val="0"/>
          <w:sz w:val="24"/>
          <w:szCs w:val="24"/>
        </w:rPr>
        <w:t>设备使用、管理及维护等方面的培训</w:t>
      </w:r>
      <w:r>
        <w:rPr>
          <w:rFonts w:hint="eastAsia" w:ascii="宋体" w:hAnsi="宋体" w:cs="宋体"/>
          <w:kern w:val="0"/>
          <w:sz w:val="24"/>
          <w:szCs w:val="24"/>
        </w:rPr>
        <w:t>。</w:t>
      </w:r>
    </w:p>
    <w:p>
      <w:pPr>
        <w:spacing w:line="460" w:lineRule="exact"/>
        <w:ind w:firstLine="588" w:firstLineChars="245"/>
        <w:rPr>
          <w:rFonts w:ascii="宋体" w:hAnsi="宋体" w:cs="宋体"/>
          <w:kern w:val="0"/>
          <w:sz w:val="24"/>
          <w:szCs w:val="24"/>
        </w:rPr>
      </w:pPr>
      <w:r>
        <w:rPr>
          <w:rFonts w:hint="eastAsia" w:ascii="宋体" w:hAnsi="宋体" w:cs="宋体"/>
          <w:kern w:val="0"/>
          <w:sz w:val="24"/>
          <w:szCs w:val="24"/>
        </w:rPr>
        <w:t>6、</w:t>
      </w:r>
      <w:r>
        <w:rPr>
          <w:rFonts w:ascii="宋体" w:hAnsi="宋体" w:cs="宋体"/>
          <w:kern w:val="0"/>
          <w:sz w:val="24"/>
          <w:szCs w:val="24"/>
        </w:rPr>
        <w:t>未经</w:t>
      </w:r>
      <w:r>
        <w:rPr>
          <w:rFonts w:hint="eastAsia" w:ascii="宋体" w:hAnsi="宋体" w:cs="宋体"/>
          <w:kern w:val="0"/>
          <w:sz w:val="24"/>
          <w:szCs w:val="24"/>
        </w:rPr>
        <w:t>甲方</w:t>
      </w:r>
      <w:r>
        <w:rPr>
          <w:rFonts w:ascii="宋体" w:hAnsi="宋体" w:cs="宋体"/>
          <w:kern w:val="0"/>
          <w:sz w:val="24"/>
          <w:szCs w:val="24"/>
        </w:rPr>
        <w:t>书面授权或同意，</w:t>
      </w:r>
      <w:r>
        <w:rPr>
          <w:rFonts w:hint="eastAsia" w:ascii="宋体" w:hAnsi="宋体" w:cs="宋体"/>
          <w:kern w:val="0"/>
          <w:sz w:val="24"/>
          <w:szCs w:val="24"/>
        </w:rPr>
        <w:t>乙方</w:t>
      </w:r>
      <w:r>
        <w:rPr>
          <w:rFonts w:ascii="宋体" w:hAnsi="宋体" w:cs="宋体"/>
          <w:kern w:val="0"/>
          <w:sz w:val="24"/>
          <w:szCs w:val="24"/>
        </w:rPr>
        <w:t>不得以任何方式将项目转交第三方或由第三方提供相关服务。</w:t>
      </w:r>
    </w:p>
    <w:p>
      <w:pPr>
        <w:spacing w:line="360" w:lineRule="auto"/>
        <w:ind w:firstLine="482" w:firstLineChars="200"/>
        <w:rPr>
          <w:rFonts w:ascii="宋体" w:hAnsi="宋体"/>
          <w:b/>
          <w:bCs/>
          <w:sz w:val="24"/>
          <w:szCs w:val="24"/>
        </w:rPr>
      </w:pPr>
      <w:r>
        <w:rPr>
          <w:rFonts w:hint="eastAsia" w:ascii="宋体" w:hAnsi="宋体"/>
          <w:b/>
          <w:bCs/>
          <w:sz w:val="24"/>
          <w:szCs w:val="24"/>
        </w:rPr>
        <w:t>六、验收标准和方式</w:t>
      </w:r>
    </w:p>
    <w:p>
      <w:pPr>
        <w:spacing w:line="360" w:lineRule="auto"/>
        <w:ind w:firstLine="480" w:firstLineChars="200"/>
        <w:rPr>
          <w:rFonts w:ascii="宋体" w:hAnsi="宋体"/>
          <w:sz w:val="24"/>
          <w:szCs w:val="24"/>
        </w:rPr>
      </w:pPr>
      <w:r>
        <w:rPr>
          <w:rFonts w:hint="eastAsia" w:ascii="宋体" w:hAnsi="宋体"/>
          <w:sz w:val="24"/>
          <w:szCs w:val="24"/>
        </w:rPr>
        <w:t>1. 甲方对乙方提交的产品依据投标文件上的技术规格要求和国家有关质量标准进行验收。货到后，甲方需在五个工作日内验收。</w:t>
      </w:r>
    </w:p>
    <w:p>
      <w:pPr>
        <w:spacing w:line="360" w:lineRule="auto"/>
        <w:ind w:firstLine="480" w:firstLineChars="200"/>
        <w:rPr>
          <w:rFonts w:ascii="宋体" w:hAnsi="宋体"/>
          <w:sz w:val="24"/>
          <w:szCs w:val="24"/>
        </w:rPr>
      </w:pPr>
      <w:r>
        <w:rPr>
          <w:rFonts w:hint="eastAsia" w:ascii="宋体" w:hAnsi="宋体"/>
          <w:sz w:val="24"/>
          <w:szCs w:val="24"/>
        </w:rPr>
        <w:t>2. 乙方交货前应对产品作出全面检查和对验收文件进行整理，并列出清单，作为甲方收货验收和使用的技术条件依据，检验的结果应随产品交甲方。</w:t>
      </w:r>
    </w:p>
    <w:p>
      <w:pPr>
        <w:spacing w:line="360" w:lineRule="auto"/>
        <w:ind w:firstLine="480" w:firstLineChars="200"/>
        <w:rPr>
          <w:rFonts w:ascii="宋体" w:hAnsi="宋体"/>
          <w:sz w:val="24"/>
          <w:szCs w:val="24"/>
        </w:rPr>
      </w:pPr>
      <w:r>
        <w:rPr>
          <w:rFonts w:hint="eastAsia" w:ascii="宋体" w:hAnsi="宋体"/>
          <w:sz w:val="24"/>
          <w:szCs w:val="24"/>
        </w:rPr>
        <w:t>3. 甲方对乙方提供的产品在使用前进行调试时，乙方需负责安装并培训甲方的使用操作人员，并协助甲方一起调试，直到符合技术要求，甲方才做最终验收。</w:t>
      </w:r>
    </w:p>
    <w:p>
      <w:pPr>
        <w:spacing w:line="360" w:lineRule="auto"/>
        <w:ind w:firstLine="480" w:firstLineChars="200"/>
        <w:rPr>
          <w:rFonts w:ascii="宋体" w:hAnsi="宋体"/>
          <w:sz w:val="24"/>
          <w:szCs w:val="24"/>
        </w:rPr>
      </w:pPr>
      <w:r>
        <w:rPr>
          <w:rFonts w:hint="eastAsia" w:ascii="宋体" w:hAnsi="宋体"/>
          <w:sz w:val="24"/>
          <w:szCs w:val="24"/>
        </w:rPr>
        <w:t>4. 对技术复杂的产品，甲方应请国家认可的专业检测机构参与验收，并由其出具质量检测报告。</w:t>
      </w:r>
    </w:p>
    <w:p>
      <w:pPr>
        <w:spacing w:line="360" w:lineRule="auto"/>
        <w:ind w:firstLine="480" w:firstLineChars="200"/>
        <w:rPr>
          <w:rFonts w:ascii="宋体" w:hAnsi="宋体"/>
          <w:sz w:val="24"/>
          <w:szCs w:val="24"/>
        </w:rPr>
      </w:pPr>
      <w:r>
        <w:rPr>
          <w:rFonts w:hint="eastAsia" w:ascii="宋体" w:hAnsi="宋体"/>
          <w:sz w:val="24"/>
          <w:szCs w:val="24"/>
        </w:rPr>
        <w:t>5. 验收时乙方必须在现场，验收完毕后作出验收结果报告；验收费用由乙方负责。</w:t>
      </w:r>
    </w:p>
    <w:p>
      <w:pPr>
        <w:spacing w:line="360" w:lineRule="auto"/>
        <w:ind w:firstLine="482" w:firstLineChars="200"/>
        <w:rPr>
          <w:rFonts w:ascii="宋体" w:hAnsi="宋体"/>
          <w:b/>
          <w:bCs/>
          <w:sz w:val="24"/>
          <w:szCs w:val="24"/>
        </w:rPr>
      </w:pPr>
      <w:r>
        <w:rPr>
          <w:rFonts w:hint="eastAsia" w:ascii="宋体" w:hAnsi="宋体"/>
          <w:b/>
          <w:bCs/>
          <w:sz w:val="24"/>
          <w:szCs w:val="24"/>
        </w:rPr>
        <w:t>七、违约责任</w:t>
      </w:r>
    </w:p>
    <w:p>
      <w:pPr>
        <w:spacing w:line="360" w:lineRule="auto"/>
        <w:ind w:firstLine="480" w:firstLineChars="200"/>
        <w:rPr>
          <w:rFonts w:ascii="宋体" w:hAnsi="宋体"/>
          <w:sz w:val="24"/>
          <w:szCs w:val="24"/>
        </w:rPr>
      </w:pPr>
      <w:r>
        <w:rPr>
          <w:rFonts w:hint="eastAsia" w:ascii="宋体" w:hAnsi="宋体"/>
          <w:sz w:val="24"/>
          <w:szCs w:val="24"/>
        </w:rPr>
        <w:t>1. 甲方无正当理由拒收产品的，甲方向乙方偿付拒收货款总值的百分之五违约金。</w:t>
      </w:r>
    </w:p>
    <w:p>
      <w:pPr>
        <w:spacing w:line="360" w:lineRule="auto"/>
        <w:ind w:firstLine="480" w:firstLineChars="200"/>
        <w:rPr>
          <w:rFonts w:ascii="宋体" w:hAnsi="宋体"/>
          <w:sz w:val="24"/>
          <w:szCs w:val="24"/>
        </w:rPr>
      </w:pPr>
      <w:r>
        <w:rPr>
          <w:rFonts w:hint="eastAsia" w:ascii="宋体" w:hAnsi="宋体"/>
          <w:sz w:val="24"/>
          <w:szCs w:val="24"/>
        </w:rPr>
        <w:t>2. 甲方无故逾期验收和办理货款支付手续的,甲方应按逾期付款总额每日万分之五向乙方支付违约金。</w:t>
      </w:r>
    </w:p>
    <w:p>
      <w:pPr>
        <w:spacing w:line="360" w:lineRule="auto"/>
        <w:ind w:firstLine="480" w:firstLineChars="200"/>
        <w:rPr>
          <w:rFonts w:ascii="宋体" w:hAnsi="宋体"/>
          <w:sz w:val="24"/>
          <w:szCs w:val="24"/>
        </w:rPr>
      </w:pPr>
      <w:r>
        <w:rPr>
          <w:rFonts w:hint="eastAsia" w:ascii="宋体"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ascii="宋体" w:hAnsi="宋体"/>
          <w:sz w:val="24"/>
          <w:szCs w:val="24"/>
        </w:rPr>
      </w:pPr>
      <w:r>
        <w:rPr>
          <w:rFonts w:hint="eastAsia" w:ascii="宋体" w:hAnsi="宋体"/>
          <w:sz w:val="24"/>
          <w:szCs w:val="24"/>
        </w:rPr>
        <w:t>4. 乙方所交的产品品种、型号、规格、技术参数、质量不符合合同规定及投标文件规定标准的，甲方有权拒收该产品，乙方愿意更换货物但逾期交货的，按乙方逾期交货处理。乙方拒绝更换产品的，甲方可单方面解除合同。</w:t>
      </w:r>
    </w:p>
    <w:p>
      <w:pPr>
        <w:spacing w:line="360" w:lineRule="auto"/>
        <w:ind w:firstLine="482" w:firstLineChars="200"/>
        <w:rPr>
          <w:rFonts w:ascii="宋体" w:hAnsi="宋体"/>
          <w:b/>
          <w:bCs/>
          <w:sz w:val="24"/>
          <w:szCs w:val="24"/>
        </w:rPr>
      </w:pPr>
      <w:r>
        <w:rPr>
          <w:rFonts w:hint="eastAsia" w:ascii="宋体" w:hAnsi="宋体"/>
          <w:b/>
          <w:bCs/>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凡在执行本合同过程中所发生的争议，均由双方协商解决。若协商解决不成的，任何一方可向乙方所在地的人民法院提起诉讼。</w:t>
      </w:r>
    </w:p>
    <w:p>
      <w:pPr>
        <w:spacing w:line="360" w:lineRule="auto"/>
        <w:ind w:firstLine="482" w:firstLineChars="200"/>
        <w:rPr>
          <w:rFonts w:ascii="宋体" w:hAnsi="宋体"/>
          <w:b/>
          <w:bCs/>
          <w:sz w:val="24"/>
          <w:szCs w:val="24"/>
        </w:rPr>
      </w:pPr>
      <w:r>
        <w:rPr>
          <w:rFonts w:hint="eastAsia" w:ascii="宋体" w:hAnsi="宋体"/>
          <w:b/>
          <w:bCs/>
          <w:sz w:val="24"/>
          <w:szCs w:val="24"/>
        </w:rPr>
        <w:t>九、其他</w:t>
      </w:r>
    </w:p>
    <w:p>
      <w:pPr>
        <w:spacing w:line="360" w:lineRule="auto"/>
        <w:ind w:firstLine="240" w:firstLineChars="100"/>
        <w:rPr>
          <w:rFonts w:ascii="宋体" w:hAnsi="宋体"/>
          <w:sz w:val="24"/>
          <w:szCs w:val="24"/>
        </w:rPr>
      </w:pPr>
      <w:r>
        <w:rPr>
          <w:rFonts w:hint="eastAsia" w:ascii="宋体" w:hAnsi="宋体"/>
          <w:sz w:val="24"/>
          <w:szCs w:val="24"/>
        </w:rPr>
        <w:t>1.本合同自双方盖章签之日起生效。本合同未尽事宜，须经双方共同协商做出补充规定作为本合同附件，补充规定与本合同具有同等法律效力。</w:t>
      </w:r>
    </w:p>
    <w:p>
      <w:pPr>
        <w:spacing w:line="360" w:lineRule="auto"/>
        <w:ind w:firstLine="240" w:firstLineChars="100"/>
        <w:rPr>
          <w:rFonts w:ascii="宋体" w:hAnsi="宋体"/>
          <w:sz w:val="24"/>
          <w:szCs w:val="24"/>
        </w:rPr>
      </w:pPr>
      <w:r>
        <w:rPr>
          <w:rFonts w:hint="eastAsia" w:ascii="宋体" w:hAnsi="宋体"/>
          <w:sz w:val="24"/>
          <w:szCs w:val="24"/>
        </w:rPr>
        <w:t>2.本合同一式三份，甲乙双方各执一份，鉴证方留存一份，具有同等法律效力。</w:t>
      </w:r>
    </w:p>
    <w:p>
      <w:pPr>
        <w:rPr>
          <w:rFonts w:ascii="宋体" w:hAnsi="宋体"/>
          <w:sz w:val="24"/>
          <w:szCs w:val="24"/>
        </w:rPr>
      </w:pPr>
      <w:r>
        <w:rPr>
          <w:rFonts w:hint="eastAsia" w:ascii="宋体" w:hAnsi="宋体"/>
          <w:sz w:val="24"/>
          <w:szCs w:val="24"/>
        </w:rPr>
        <w:t>　甲方(盖章)：__________________     乙方(盖章)：__________________</w:t>
      </w:r>
    </w:p>
    <w:p>
      <w:pPr>
        <w:rPr>
          <w:rFonts w:ascii="宋体" w:hAnsi="宋体"/>
          <w:sz w:val="24"/>
          <w:szCs w:val="24"/>
        </w:rPr>
      </w:pPr>
      <w:r>
        <w:rPr>
          <w:rFonts w:hint="eastAsia" w:ascii="宋体" w:hAnsi="宋体"/>
          <w:sz w:val="24"/>
          <w:szCs w:val="24"/>
        </w:rPr>
        <w:t>　地址：__________________________   地址：__________________________</w:t>
      </w:r>
    </w:p>
    <w:p>
      <w:pPr>
        <w:ind w:firstLine="240" w:firstLineChars="100"/>
        <w:rPr>
          <w:rFonts w:ascii="宋体" w:hAnsi="宋体"/>
          <w:sz w:val="24"/>
          <w:szCs w:val="24"/>
        </w:rPr>
      </w:pPr>
      <w:r>
        <w:rPr>
          <w:rFonts w:hint="eastAsia" w:ascii="宋体" w:hAnsi="宋体"/>
          <w:sz w:val="24"/>
          <w:szCs w:val="24"/>
        </w:rPr>
        <w:t>代表：__________________________     代表：__________________________</w:t>
      </w:r>
    </w:p>
    <w:p>
      <w:pPr>
        <w:ind w:firstLine="120" w:firstLineChars="50"/>
        <w:rPr>
          <w:rFonts w:ascii="宋体" w:hAnsi="宋体"/>
          <w:sz w:val="24"/>
          <w:szCs w:val="24"/>
        </w:rPr>
      </w:pPr>
      <w:r>
        <w:rPr>
          <w:rFonts w:hint="eastAsia" w:ascii="宋体" w:hAnsi="宋体"/>
          <w:sz w:val="24"/>
          <w:szCs w:val="24"/>
        </w:rPr>
        <w:t>开户银行：______________________      开户银行：______________________</w:t>
      </w:r>
    </w:p>
    <w:p>
      <w:pPr>
        <w:spacing w:line="360" w:lineRule="auto"/>
        <w:ind w:firstLine="360" w:firstLineChars="150"/>
        <w:jc w:val="left"/>
        <w:rPr>
          <w:rFonts w:ascii="宋体" w:hAnsi="宋体" w:cs="宋体"/>
          <w:b/>
          <w:bCs/>
          <w:sz w:val="24"/>
          <w:szCs w:val="24"/>
        </w:rPr>
      </w:pPr>
      <w:r>
        <w:rPr>
          <w:rFonts w:hint="eastAsia" w:ascii="宋体" w:hAnsi="宋体"/>
          <w:sz w:val="24"/>
          <w:szCs w:val="24"/>
        </w:rPr>
        <w:t>帐号：__________________________帐号：__________________________</w:t>
      </w:r>
      <w:r>
        <w:rPr>
          <w:rFonts w:hint="eastAsia" w:ascii="宋体" w:hAnsi="宋体" w:cs="宋体"/>
          <w:sz w:val="24"/>
          <w:szCs w:val="24"/>
        </w:rPr>
        <w:t xml:space="preserve">  </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鉴证方（盖章）：杭州市公共资源交易中心临安分中心</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1"/>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地址：临安区浙皖农贸城三楼</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1"/>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 xml:space="preserve">传真：0571-23616007                   </w:t>
      </w:r>
    </w:p>
    <w:p>
      <w:pPr>
        <w:pStyle w:val="11"/>
        <w:adjustRightInd w:val="0"/>
        <w:snapToGrid w:val="0"/>
        <w:spacing w:beforeLines="0" w:afterLines="0" w:line="460" w:lineRule="exact"/>
        <w:ind w:firstLine="4920" w:firstLineChars="2050"/>
        <w:rPr>
          <w:rFonts w:hAnsi="宋体"/>
          <w:snapToGrid w:val="0"/>
          <w:kern w:val="0"/>
        </w:rPr>
      </w:pPr>
      <w:r>
        <w:rPr>
          <w:rFonts w:hint="eastAsia" w:hAnsi="宋体"/>
          <w:snapToGrid w:val="0"/>
          <w:kern w:val="0"/>
        </w:rPr>
        <w:t xml:space="preserve">     签订时间：   年  月  日</w:t>
      </w: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int="eastAsia" w:hAnsi="宋体"/>
          <w:b/>
          <w:snapToGrid w:val="0"/>
          <w:kern w:val="0"/>
          <w:sz w:val="36"/>
          <w:szCs w:val="36"/>
        </w:rPr>
      </w:pPr>
    </w:p>
    <w:p>
      <w:pPr>
        <w:pStyle w:val="11"/>
        <w:adjustRightInd w:val="0"/>
        <w:snapToGrid w:val="0"/>
        <w:spacing w:before="120" w:after="120" w:line="460" w:lineRule="exact"/>
        <w:ind w:left="1" w:firstLine="770" w:firstLineChars="213"/>
        <w:jc w:val="center"/>
        <w:rPr>
          <w:rFonts w:hAnsi="宋体"/>
          <w:b/>
          <w:snapToGrid w:val="0"/>
          <w:kern w:val="0"/>
          <w:sz w:val="36"/>
          <w:szCs w:val="36"/>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int="eastAsia" w:hAnsi="宋体"/>
          <w:b/>
          <w:bCs/>
          <w:snapToGrid w:val="0"/>
          <w:kern w:val="0"/>
          <w:sz w:val="32"/>
          <w:szCs w:val="32"/>
        </w:rPr>
      </w:pPr>
    </w:p>
    <w:p>
      <w:pPr>
        <w:pStyle w:val="11"/>
        <w:adjustRightInd w:val="0"/>
        <w:snapToGrid w:val="0"/>
        <w:spacing w:before="120" w:after="120" w:line="460" w:lineRule="exact"/>
        <w:ind w:left="1" w:firstLine="2445" w:firstLineChars="761"/>
        <w:rPr>
          <w:rFonts w:hAnsi="宋体" w:cs="Times New Roman"/>
          <w:b/>
          <w:bCs/>
          <w:sz w:val="32"/>
          <w:szCs w:val="32"/>
        </w:rPr>
      </w:pPr>
      <w:r>
        <w:rPr>
          <w:rFonts w:hint="eastAsia" w:hAnsi="宋体"/>
          <w:b/>
          <w:bCs/>
          <w:snapToGrid w:val="0"/>
          <w:kern w:val="0"/>
          <w:sz w:val="32"/>
          <w:szCs w:val="32"/>
        </w:rPr>
        <w:t>第六章</w:t>
      </w:r>
      <w:r>
        <w:rPr>
          <w:rFonts w:hAnsi="宋体"/>
          <w:b/>
          <w:bCs/>
          <w:sz w:val="32"/>
          <w:szCs w:val="32"/>
        </w:rPr>
        <w:t xml:space="preserve"> </w:t>
      </w:r>
      <w:r>
        <w:rPr>
          <w:rFonts w:hint="eastAsia" w:hAnsi="宋体"/>
          <w:b/>
          <w:bCs/>
          <w:sz w:val="32"/>
          <w:szCs w:val="32"/>
        </w:rPr>
        <w:t>磋商响应文件格式</w:t>
      </w: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24"/>
          <w:szCs w:val="24"/>
        </w:rPr>
      </w:pPr>
      <w:r>
        <w:rPr>
          <w:rFonts w:ascii="宋体" w:hAnsi="宋体" w:cs="宋体"/>
          <w:spacing w:val="40"/>
          <w:sz w:val="24"/>
          <w:szCs w:val="24"/>
        </w:rPr>
        <w:t>***</w:t>
      </w:r>
      <w:r>
        <w:rPr>
          <w:rFonts w:hint="eastAsia" w:ascii="宋体" w:hAnsi="宋体" w:cs="宋体"/>
          <w:spacing w:val="40"/>
          <w:sz w:val="24"/>
          <w:szCs w:val="24"/>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资</w:t>
      </w:r>
    </w:p>
    <w:p>
      <w:pPr>
        <w:spacing w:after="100" w:afterAutospacing="1" w:line="800" w:lineRule="exact"/>
        <w:ind w:right="-108"/>
        <w:jc w:val="center"/>
        <w:rPr>
          <w:rFonts w:hint="eastAsia" w:ascii="宋体" w:hAnsi="宋体" w:cs="宋体"/>
          <w:b/>
          <w:bCs/>
          <w:spacing w:val="40"/>
          <w:sz w:val="32"/>
          <w:szCs w:val="32"/>
          <w:lang w:eastAsia="zh-CN"/>
        </w:rPr>
      </w:pPr>
      <w:r>
        <w:rPr>
          <w:rFonts w:hint="eastAsia" w:ascii="宋体" w:hAnsi="宋体" w:cs="宋体"/>
          <w:b/>
          <w:bCs/>
          <w:spacing w:val="40"/>
          <w:sz w:val="32"/>
          <w:szCs w:val="32"/>
          <w:lang w:eastAsia="zh-CN"/>
        </w:rPr>
        <w:t>格</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b/>
          <w:bCs/>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before="50" w:after="50"/>
        <w:rPr>
          <w:rFonts w:ascii="宋体" w:cs="Times New Roman"/>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ind w:firstLine="472" w:firstLineChars="196"/>
        <w:jc w:val="left"/>
        <w:rPr>
          <w:rFonts w:hint="eastAsia" w:ascii="宋体" w:hAnsi="宋体" w:cs="宋体"/>
          <w:b/>
          <w:bCs/>
          <w:sz w:val="24"/>
          <w:szCs w:val="24"/>
        </w:rPr>
      </w:pPr>
    </w:p>
    <w:p>
      <w:pPr>
        <w:snapToGrid w:val="0"/>
        <w:spacing w:line="420" w:lineRule="exact"/>
        <w:jc w:val="left"/>
        <w:rPr>
          <w:rFonts w:ascii="宋体" w:cs="Times New Roman"/>
          <w:b/>
          <w:bCs/>
          <w:sz w:val="24"/>
          <w:szCs w:val="24"/>
        </w:rPr>
      </w:pPr>
      <w:r>
        <w:rPr>
          <w:rFonts w:hint="eastAsia" w:ascii="宋体" w:hAnsi="宋体" w:cs="宋体"/>
          <w:b/>
          <w:bCs/>
          <w:sz w:val="24"/>
          <w:szCs w:val="24"/>
        </w:rPr>
        <w:t>★</w:t>
      </w:r>
      <w:r>
        <w:rPr>
          <w:rFonts w:hint="eastAsia" w:ascii="宋体" w:hAnsi="宋体" w:cs="宋体"/>
          <w:sz w:val="24"/>
          <w:szCs w:val="24"/>
        </w:rPr>
        <w:t>资</w:t>
      </w:r>
      <w:r>
        <w:rPr>
          <w:rFonts w:hint="eastAsia" w:ascii="宋体" w:hAnsi="宋体" w:cs="宋体"/>
          <w:sz w:val="24"/>
          <w:szCs w:val="24"/>
          <w:lang w:eastAsia="zh-CN"/>
        </w:rPr>
        <w:t>格</w:t>
      </w:r>
      <w:r>
        <w:rPr>
          <w:rFonts w:hint="eastAsia" w:ascii="宋体" w:hAnsi="宋体" w:cs="宋体"/>
          <w:sz w:val="24"/>
          <w:szCs w:val="24"/>
        </w:rPr>
        <w:t>部分内容</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）提供自招标公告发布之日起至投标截止日内任意时间的“信用中国”网站（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）磋商响应方信用查询网页截图。（以开标当日采购人或由采购人委托的评标委员会核实的查询结果为准）</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）法定代表人授权委托书</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）提供有效的依法缴纳税收证明（完税凭证或税务部门出具的证明）；</w:t>
      </w:r>
    </w:p>
    <w:p>
      <w:pPr>
        <w:snapToGrid w:val="0"/>
        <w:spacing w:line="360" w:lineRule="auto"/>
        <w:ind w:firstLine="360" w:firstLineChars="15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）提供有效的依法缴纳社会保障资金证明（缴纳凭证或人社部门出具的证明）；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lang w:val="en-US" w:eastAsia="zh-CN"/>
        </w:rPr>
        <w:t>（7）2019年度资产负债表等财务报表资料文件 (或其它财务状况报告，新成立的公司，必须提供情况说明)；</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）联合投标协议书（若需要）</w:t>
      </w:r>
      <w:r>
        <w:rPr>
          <w:rFonts w:ascii="宋体" w:hAnsi="宋体" w:cs="宋体"/>
          <w:sz w:val="24"/>
          <w:szCs w:val="24"/>
        </w:rPr>
        <w:t>;</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）联合投标授权委托书（若需要）</w:t>
      </w:r>
      <w:r>
        <w:rPr>
          <w:rFonts w:ascii="宋体" w:hAnsi="宋体" w:cs="宋体"/>
          <w:sz w:val="24"/>
          <w:szCs w:val="24"/>
        </w:rPr>
        <w:t>;</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）提供采购公告中符合磋商响应方特定条件要求的有效的其他资质复印件并加盖公司公章及需要说明的资料。</w:t>
      </w:r>
    </w:p>
    <w:p>
      <w:pPr>
        <w:spacing w:line="420" w:lineRule="exact"/>
        <w:ind w:firstLine="360" w:firstLineChars="150"/>
        <w:rPr>
          <w:rFonts w:ascii="宋体" w:cs="Times New Roman"/>
          <w:b/>
          <w:bCs/>
          <w:sz w:val="24"/>
          <w:szCs w:val="24"/>
        </w:rPr>
      </w:pPr>
      <w:r>
        <w:rPr>
          <w:rFonts w:ascii="宋体" w:hAnsi="宋体" w:cs="宋体"/>
          <w:kern w:val="0"/>
          <w:sz w:val="24"/>
          <w:szCs w:val="24"/>
          <w:lang w:val="zh-CN"/>
        </w:rPr>
        <w:t xml:space="preserve"> </w:t>
      </w:r>
    </w:p>
    <w:p>
      <w:pPr>
        <w:spacing w:line="420" w:lineRule="exact"/>
        <w:rPr>
          <w:rFonts w:ascii="宋体" w:cs="Times New Roman"/>
          <w:b/>
          <w:bCs/>
          <w:sz w:val="24"/>
          <w:szCs w:val="24"/>
        </w:rPr>
      </w:pPr>
      <w:r>
        <w:rPr>
          <w:rFonts w:hint="eastAsia" w:ascii="宋体" w:hAnsi="宋体" w:cs="宋体"/>
          <w:b/>
          <w:bCs/>
          <w:sz w:val="24"/>
          <w:szCs w:val="24"/>
        </w:rPr>
        <w:t>注：以上目录是编制资信及商务内容的基本格式要求，磋商响应方可根据自身情况进一步细化。</w:t>
      </w:r>
    </w:p>
    <w:p>
      <w:pPr>
        <w:snapToGrid w:val="0"/>
        <w:spacing w:before="50" w:afterLines="50" w:line="460" w:lineRule="exact"/>
        <w:jc w:val="left"/>
        <w:rPr>
          <w:rFonts w:ascii="宋体" w:cs="Times New Roman"/>
          <w:sz w:val="24"/>
          <w:szCs w:val="24"/>
        </w:rPr>
      </w:pPr>
    </w:p>
    <w:p>
      <w:pPr>
        <w:pStyle w:val="11"/>
        <w:snapToGrid w:val="0"/>
        <w:spacing w:before="120" w:after="120" w:line="240" w:lineRule="auto"/>
        <w:rPr>
          <w:rFonts w:hAnsi="宋体" w:cs="Times New Roman"/>
        </w:rPr>
      </w:pPr>
    </w:p>
    <w:p>
      <w:pPr>
        <w:snapToGrid w:val="0"/>
        <w:spacing w:before="50" w:after="50"/>
        <w:ind w:firstLine="2880" w:firstLineChars="1200"/>
        <w:rPr>
          <w:rFonts w:ascii="宋体" w:cs="Times New Roman"/>
          <w:b/>
          <w:bCs/>
          <w:sz w:val="36"/>
          <w:szCs w:val="36"/>
        </w:rPr>
      </w:pPr>
      <w:r>
        <w:rPr>
          <w:rFonts w:ascii="宋体" w:cs="Times New Roman"/>
          <w:sz w:val="24"/>
          <w:szCs w:val="24"/>
        </w:rPr>
        <w:br w:type="page"/>
      </w:r>
      <w:r>
        <w:rPr>
          <w:rFonts w:hint="eastAsia" w:ascii="宋体" w:hAnsi="宋体" w:cs="宋体"/>
          <w:b/>
          <w:bCs/>
          <w:sz w:val="36"/>
          <w:szCs w:val="36"/>
        </w:rPr>
        <w:t>声</w:t>
      </w:r>
      <w:r>
        <w:rPr>
          <w:rFonts w:ascii="宋体" w:hAnsi="宋体" w:cs="宋体"/>
          <w:b/>
          <w:bCs/>
          <w:sz w:val="36"/>
          <w:szCs w:val="36"/>
        </w:rPr>
        <w:t xml:space="preserve"> </w:t>
      </w:r>
      <w:r>
        <w:rPr>
          <w:rFonts w:hint="eastAsia" w:ascii="宋体" w:hAnsi="宋体" w:cs="宋体"/>
          <w:b/>
          <w:bCs/>
          <w:sz w:val="36"/>
          <w:szCs w:val="36"/>
        </w:rPr>
        <w:t>明</w:t>
      </w:r>
      <w:r>
        <w:rPr>
          <w:rFonts w:ascii="宋体" w:hAnsi="宋体" w:cs="宋体"/>
          <w:b/>
          <w:bCs/>
          <w:sz w:val="36"/>
          <w:szCs w:val="36"/>
        </w:rPr>
        <w:t xml:space="preserve"> </w:t>
      </w:r>
      <w:r>
        <w:rPr>
          <w:rFonts w:hint="eastAsia" w:ascii="宋体" w:hAnsi="宋体" w:cs="宋体"/>
          <w:b/>
          <w:bCs/>
          <w:sz w:val="36"/>
          <w:szCs w:val="36"/>
        </w:rPr>
        <w:t>书</w:t>
      </w:r>
    </w:p>
    <w:p>
      <w:pPr>
        <w:snapToGrid w:val="0"/>
        <w:spacing w:beforeLines="50" w:after="50" w:line="460" w:lineRule="exact"/>
        <w:rPr>
          <w:rFonts w:ascii="宋体" w:cs="Times New Roman"/>
          <w:sz w:val="24"/>
          <w:szCs w:val="24"/>
        </w:rPr>
      </w:pPr>
      <w:r>
        <w:rPr>
          <w:rFonts w:hint="eastAsia" w:ascii="宋体" w:hAnsi="宋体" w:cs="宋体"/>
          <w:sz w:val="24"/>
          <w:szCs w:val="24"/>
        </w:rPr>
        <w:t>致杭州市公共资源交易中心临安分中心：</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u w:val="single"/>
        </w:rPr>
        <w:t>（磋商响应方名称）</w:t>
      </w:r>
      <w:r>
        <w:rPr>
          <w:rFonts w:hint="eastAsia" w:ascii="宋体" w:hAnsi="宋体" w:cs="宋体"/>
          <w:sz w:val="24"/>
          <w:szCs w:val="24"/>
        </w:rPr>
        <w:t>系中华人民共和国合法企业，经营地址。</w:t>
      </w:r>
    </w:p>
    <w:p>
      <w:pPr>
        <w:snapToGrid w:val="0"/>
        <w:spacing w:beforeLines="50" w:after="50" w:line="460" w:lineRule="exact"/>
        <w:ind w:firstLine="480" w:firstLineChars="200"/>
        <w:rPr>
          <w:rFonts w:ascii="宋体" w:cs="Times New Roman"/>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（磋商响应方名称）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（招标项目名称）（编号为</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的投标，为此，我方就本次投标有关事项郑重声明如下：</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、我方已详细审查全部磋商文件，同意磋商文件的各项要求。</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、我方向贵方提交的所有磋商响应文件、资料都是准确的和真实的。</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、若中标，我方将按磋商文件规定履行合同责任和义务。</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、磋商响应文件自开标日起有效期为</w:t>
      </w:r>
      <w:r>
        <w:rPr>
          <w:rFonts w:ascii="宋体" w:hAnsi="宋体" w:cs="宋体"/>
          <w:sz w:val="24"/>
          <w:szCs w:val="24"/>
        </w:rPr>
        <w:t>90</w:t>
      </w:r>
      <w:r>
        <w:rPr>
          <w:rFonts w:hint="eastAsia" w:ascii="宋体" w:hAnsi="宋体" w:cs="宋体"/>
          <w:sz w:val="24"/>
          <w:szCs w:val="24"/>
        </w:rPr>
        <w:t>天。</w:t>
      </w:r>
    </w:p>
    <w:p>
      <w:pPr>
        <w:snapToGrid w:val="0"/>
        <w:spacing w:line="460" w:lineRule="exact"/>
        <w:ind w:firstLine="472" w:firstLineChars="196"/>
        <w:jc w:val="left"/>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rPr>
        <w:t>、我方参与本项目前</w:t>
      </w:r>
      <w:r>
        <w:rPr>
          <w:rFonts w:ascii="宋体" w:hAnsi="宋体" w:cs="宋体"/>
          <w:b/>
          <w:bCs/>
          <w:sz w:val="24"/>
          <w:szCs w:val="24"/>
        </w:rPr>
        <w:t>3</w:t>
      </w:r>
      <w:r>
        <w:rPr>
          <w:rFonts w:hint="eastAsia" w:ascii="宋体" w:hAnsi="宋体" w:cs="宋体"/>
          <w:b/>
          <w:bCs/>
          <w:sz w:val="24"/>
          <w:szCs w:val="24"/>
        </w:rPr>
        <w:t>年内的经营活动中没有重大违法记录；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、我方通过“信用中国”网站（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cs="Times New Roman"/>
          <w:sz w:val="24"/>
          <w:szCs w:val="24"/>
          <w:u w:val="single"/>
        </w:rPr>
      </w:pPr>
      <w:r>
        <w:rPr>
          <w:rFonts w:hint="eastAsia" w:ascii="宋体" w:hAnsi="宋体" w:cs="宋体"/>
          <w:sz w:val="24"/>
          <w:szCs w:val="24"/>
        </w:rPr>
        <w:t>法定代表人签名（或签名章）：</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napToGrid w:val="0"/>
        <w:spacing w:beforeLines="50" w:line="460" w:lineRule="exact"/>
        <w:ind w:firstLine="200"/>
        <w:rPr>
          <w:rFonts w:ascii="宋体" w:cs="Times New Roman"/>
          <w:sz w:val="24"/>
          <w:szCs w:val="24"/>
          <w:u w:val="single"/>
        </w:rPr>
      </w:pPr>
    </w:p>
    <w:p>
      <w:pPr>
        <w:snapToGrid w:val="0"/>
        <w:spacing w:beforeLines="50" w:after="50" w:line="460" w:lineRule="exact"/>
        <w:ind w:firstLine="120" w:firstLineChars="50"/>
        <w:rPr>
          <w:rFonts w:ascii="宋体" w:cs="Times New Roman"/>
          <w:sz w:val="24"/>
          <w:szCs w:val="24"/>
        </w:rPr>
      </w:pPr>
      <w:r>
        <w:rPr>
          <w:rFonts w:hint="eastAsia" w:ascii="宋体" w:hAnsi="宋体" w:cs="宋体"/>
          <w:sz w:val="24"/>
          <w:szCs w:val="24"/>
        </w:rPr>
        <w:t>磋商响应方全称（公章）：</w:t>
      </w:r>
    </w:p>
    <w:p>
      <w:pPr>
        <w:adjustRightInd w:val="0"/>
        <w:snapToGrid w:val="0"/>
        <w:spacing w:line="360" w:lineRule="auto"/>
        <w:ind w:right="480"/>
        <w:jc w:val="center"/>
        <w:rPr>
          <w:rFonts w:ascii="宋体" w:cs="Times New Roman"/>
          <w:b/>
          <w:bCs/>
          <w:kern w:val="0"/>
          <w:sz w:val="24"/>
          <w:szCs w:val="24"/>
          <w:lang w:val="zh-CN"/>
        </w:rPr>
      </w:pPr>
      <w:r>
        <w:rPr>
          <w:rFonts w:ascii="宋体" w:hAnsi="宋体" w:cs="宋体"/>
          <w:b/>
          <w:bCs/>
          <w:kern w:val="0"/>
          <w:sz w:val="24"/>
          <w:szCs w:val="24"/>
          <w:lang w:val="zh-CN"/>
        </w:rPr>
        <w:t xml:space="preserve"> </w:t>
      </w: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ind w:right="480"/>
        <w:jc w:val="center"/>
        <w:rPr>
          <w:rFonts w:ascii="宋体" w:cs="Times New Roman"/>
          <w:b/>
          <w:bCs/>
          <w:kern w:val="0"/>
          <w:sz w:val="24"/>
          <w:szCs w:val="24"/>
          <w:lang w:val="zh-CN"/>
        </w:rPr>
      </w:pPr>
    </w:p>
    <w:p>
      <w:pPr>
        <w:adjustRightInd w:val="0"/>
        <w:snapToGrid w:val="0"/>
        <w:spacing w:line="360" w:lineRule="auto"/>
        <w:jc w:val="center"/>
        <w:rPr>
          <w:rFonts w:ascii="宋体" w:cs="Times New Roman"/>
          <w:b/>
          <w:bCs/>
          <w:kern w:val="0"/>
          <w:sz w:val="24"/>
          <w:szCs w:val="24"/>
          <w:lang w:val="zh-CN"/>
        </w:rPr>
      </w:pPr>
      <w:r>
        <w:rPr>
          <w:rFonts w:ascii="宋体" w:hAnsi="宋体" w:cs="宋体"/>
          <w:b/>
          <w:bCs/>
          <w:kern w:val="0"/>
          <w:sz w:val="24"/>
          <w:szCs w:val="24"/>
          <w:lang w:val="zh-CN"/>
        </w:rPr>
        <w:t xml:space="preserve"> </w:t>
      </w:r>
      <w:r>
        <w:rPr>
          <w:rFonts w:hint="eastAsia" w:ascii="宋体" w:hAnsi="宋体" w:cs="宋体"/>
          <w:b/>
          <w:bCs/>
          <w:kern w:val="0"/>
          <w:sz w:val="24"/>
          <w:szCs w:val="24"/>
          <w:lang w:val="zh-CN"/>
        </w:rPr>
        <w:t>授权委托书</w:t>
      </w:r>
    </w:p>
    <w:p>
      <w:pPr>
        <w:adjustRightInd w:val="0"/>
        <w:snapToGrid w:val="0"/>
        <w:spacing w:line="360" w:lineRule="auto"/>
        <w:rPr>
          <w:rFonts w:ascii="宋体" w:cs="Times New Roman"/>
          <w:kern w:val="0"/>
          <w:sz w:val="24"/>
          <w:szCs w:val="24"/>
        </w:rPr>
      </w:pPr>
      <w:r>
        <w:rPr>
          <w:rFonts w:hint="eastAsia" w:ascii="宋体" w:hAnsi="宋体" w:cs="宋体"/>
          <w:sz w:val="24"/>
          <w:szCs w:val="24"/>
        </w:rPr>
        <w:t>（采购机构）</w:t>
      </w:r>
      <w:r>
        <w:rPr>
          <w:rFonts w:hint="eastAsia" w:ascii="宋体" w:hAnsi="宋体" w:cs="宋体"/>
          <w:kern w:val="0"/>
          <w:sz w:val="24"/>
          <w:szCs w:val="24"/>
          <w:lang w:val="zh-CN"/>
        </w:rPr>
        <w:t>：</w:t>
      </w:r>
    </w:p>
    <w:p>
      <w:pPr>
        <w:adjustRightInd w:val="0"/>
        <w:snapToGrid w:val="0"/>
        <w:spacing w:line="360" w:lineRule="auto"/>
        <w:ind w:firstLine="576"/>
        <w:rPr>
          <w:rFonts w:ascii="宋体" w:cs="Times New Roman"/>
          <w:kern w:val="0"/>
          <w:sz w:val="24"/>
          <w:szCs w:val="24"/>
        </w:rPr>
      </w:pPr>
      <w:r>
        <w:rPr>
          <w:rFonts w:hint="eastAsia" w:ascii="宋体" w:hAnsi="宋体" w:cs="宋体"/>
          <w:kern w:val="0"/>
          <w:sz w:val="24"/>
          <w:szCs w:val="24"/>
          <w:lang w:val="zh-CN"/>
        </w:rPr>
        <w:t>兹委派我公司</w:t>
      </w:r>
      <w:r>
        <w:rPr>
          <w:rFonts w:ascii="宋体" w:hAnsi="宋体" w:cs="宋体"/>
          <w:kern w:val="0"/>
          <w:sz w:val="24"/>
          <w:szCs w:val="24"/>
          <w:u w:val="single"/>
          <w:lang w:val="zh-CN"/>
        </w:rPr>
        <w:t xml:space="preserve">                </w:t>
      </w:r>
      <w:r>
        <w:rPr>
          <w:rFonts w:hint="eastAsia" w:ascii="宋体" w:hAnsi="宋体" w:cs="宋体"/>
          <w:kern w:val="0"/>
          <w:sz w:val="24"/>
          <w:szCs w:val="24"/>
          <w:lang w:val="zh-CN"/>
        </w:rPr>
        <w:t>先生</w:t>
      </w:r>
      <w:r>
        <w:rPr>
          <w:rFonts w:ascii="宋体" w:hAnsi="宋体" w:cs="宋体"/>
          <w:kern w:val="0"/>
          <w:sz w:val="24"/>
          <w:szCs w:val="24"/>
          <w:lang w:val="zh-CN"/>
        </w:rPr>
        <w:t>/</w:t>
      </w:r>
      <w:r>
        <w:rPr>
          <w:rFonts w:hint="eastAsia" w:ascii="宋体" w:hAnsi="宋体" w:cs="宋体"/>
          <w:kern w:val="0"/>
          <w:sz w:val="24"/>
          <w:szCs w:val="24"/>
          <w:lang w:val="zh-CN"/>
        </w:rPr>
        <w:t>女士</w:t>
      </w:r>
      <w:r>
        <w:rPr>
          <w:rFonts w:ascii="宋体" w:hAnsi="宋体" w:cs="宋体"/>
          <w:kern w:val="0"/>
          <w:sz w:val="24"/>
          <w:szCs w:val="24"/>
          <w:lang w:val="zh-CN"/>
        </w:rPr>
        <w:t>(</w:t>
      </w:r>
      <w:r>
        <w:rPr>
          <w:rFonts w:hint="eastAsia" w:ascii="宋体" w:hAnsi="宋体" w:cs="宋体"/>
          <w:kern w:val="0"/>
          <w:sz w:val="24"/>
          <w:szCs w:val="24"/>
          <w:lang w:val="zh-CN"/>
        </w:rPr>
        <w:t>其在本公司的职务是：</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，联系电话：</w:t>
      </w:r>
      <w:r>
        <w:rPr>
          <w:rFonts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ascii="宋体" w:hAnsi="宋体" w:cs="宋体"/>
          <w:kern w:val="0"/>
          <w:sz w:val="24"/>
          <w:szCs w:val="24"/>
          <w:u w:val="single"/>
          <w:lang w:val="zh-CN"/>
        </w:rPr>
        <w:t xml:space="preserve">        </w:t>
      </w:r>
      <w:r>
        <w:rPr>
          <w:rFonts w:hint="eastAsia" w:ascii="宋体" w:hAnsi="宋体" w:cs="宋体"/>
          <w:kern w:val="0"/>
          <w:sz w:val="24"/>
          <w:szCs w:val="24"/>
          <w:lang w:val="zh-CN"/>
        </w:rPr>
        <w:t>传真：</w:t>
      </w:r>
      <w:r>
        <w:rPr>
          <w:rFonts w:ascii="宋体" w:hAnsi="宋体" w:cs="宋体"/>
          <w:kern w:val="0"/>
          <w:sz w:val="24"/>
          <w:szCs w:val="24"/>
          <w:u w:val="single"/>
          <w:lang w:val="zh-CN"/>
        </w:rPr>
        <w:t xml:space="preserve">           </w:t>
      </w:r>
      <w:r>
        <w:rPr>
          <w:rFonts w:ascii="宋体" w:hAnsi="宋体" w:cs="宋体"/>
          <w:kern w:val="0"/>
          <w:sz w:val="24"/>
          <w:szCs w:val="24"/>
          <w:lang w:val="zh-CN"/>
        </w:rPr>
        <w:t>)</w:t>
      </w:r>
      <w:r>
        <w:rPr>
          <w:rFonts w:hint="eastAsia" w:ascii="宋体" w:hAnsi="宋体" w:cs="宋体"/>
          <w:kern w:val="0"/>
          <w:sz w:val="24"/>
          <w:szCs w:val="24"/>
          <w:lang w:val="zh-CN"/>
        </w:rPr>
        <w:t>，代表我公司全权处理</w:t>
      </w:r>
      <w:r>
        <w:rPr>
          <w:rFonts w:ascii="宋体" w:hAnsi="宋体" w:cs="宋体"/>
          <w:kern w:val="0"/>
          <w:sz w:val="24"/>
          <w:szCs w:val="24"/>
          <w:u w:val="single"/>
          <w:lang w:val="zh-CN"/>
        </w:rPr>
        <w:t xml:space="preserve">                    </w:t>
      </w:r>
      <w:r>
        <w:rPr>
          <w:rFonts w:hint="eastAsia" w:ascii="宋体" w:hAnsi="宋体" w:cs="宋体"/>
          <w:kern w:val="0"/>
          <w:sz w:val="24"/>
          <w:szCs w:val="24"/>
          <w:lang w:val="zh-CN"/>
        </w:rPr>
        <w:t>项目</w:t>
      </w:r>
      <w:r>
        <w:rPr>
          <w:rFonts w:ascii="宋体" w:hAnsi="宋体" w:cs="宋体"/>
          <w:kern w:val="0"/>
          <w:sz w:val="24"/>
          <w:szCs w:val="24"/>
          <w:lang w:val="zh-CN"/>
        </w:rPr>
        <w:t>(</w:t>
      </w:r>
      <w:r>
        <w:rPr>
          <w:rFonts w:hint="eastAsia" w:ascii="宋体" w:hAnsi="宋体" w:cs="宋体"/>
          <w:kern w:val="0"/>
          <w:sz w:val="24"/>
          <w:szCs w:val="24"/>
          <w:lang w:val="zh-CN"/>
        </w:rPr>
        <w:t>编号：</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政府采购</w:t>
      </w:r>
      <w:r>
        <w:rPr>
          <w:rFonts w:hint="eastAsia" w:ascii="宋体" w:hAnsi="宋体" w:cs="宋体"/>
          <w:kern w:val="0"/>
          <w:sz w:val="24"/>
          <w:szCs w:val="24"/>
        </w:rPr>
        <w:t>投标</w:t>
      </w:r>
      <w:r>
        <w:rPr>
          <w:rFonts w:hint="eastAsia" w:ascii="宋体" w:hAnsi="宋体" w:cs="宋体"/>
          <w:kern w:val="0"/>
          <w:sz w:val="24"/>
          <w:szCs w:val="24"/>
          <w:lang w:val="zh-CN"/>
        </w:rPr>
        <w:t>的一切事项，若中标则全权代表本公司签订相关合同，并负责处理合同履行等事宜。</w:t>
      </w:r>
    </w:p>
    <w:p>
      <w:pPr>
        <w:adjustRightInd w:val="0"/>
        <w:snapToGrid w:val="0"/>
        <w:spacing w:line="360" w:lineRule="auto"/>
        <w:rPr>
          <w:rFonts w:ascii="宋体" w:cs="Times New Roman"/>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本委托书有效期：自</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日起至</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日止。</w:t>
      </w:r>
    </w:p>
    <w:p>
      <w:pPr>
        <w:adjustRightInd w:val="0"/>
        <w:snapToGrid w:val="0"/>
        <w:spacing w:line="360" w:lineRule="auto"/>
        <w:ind w:firstLine="480"/>
        <w:rPr>
          <w:rFonts w:ascii="宋体" w:cs="Times New Roman"/>
          <w:kern w:val="0"/>
          <w:sz w:val="24"/>
          <w:szCs w:val="24"/>
          <w:lang w:val="zh-CN"/>
        </w:rPr>
      </w:pPr>
      <w:r>
        <w:rPr>
          <w:rFonts w:hint="eastAsia" w:ascii="宋体" w:hAnsi="宋体" w:cs="宋体"/>
          <w:kern w:val="0"/>
          <w:sz w:val="24"/>
          <w:szCs w:val="24"/>
          <w:lang w:val="zh-CN"/>
        </w:rPr>
        <w:t>特此告知。</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sz w:val="24"/>
          <w:szCs w:val="24"/>
        </w:rPr>
        <w:t>磋商响应方</w:t>
      </w:r>
      <w:r>
        <w:rPr>
          <w:rFonts w:hint="eastAsia" w:ascii="宋体" w:hAnsi="宋体" w:cs="宋体"/>
          <w:kern w:val="0"/>
          <w:sz w:val="24"/>
          <w:szCs w:val="24"/>
          <w:lang w:val="zh-CN"/>
        </w:rPr>
        <w:t>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360" w:lineRule="auto"/>
        <w:rPr>
          <w:rFonts w:ascii="宋体" w:cs="Times New Roman"/>
          <w:kern w:val="0"/>
          <w:sz w:val="24"/>
          <w:szCs w:val="24"/>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w:t>
      </w:r>
      <w:r>
        <w:rPr>
          <w:rFonts w:ascii="宋体" w:hAnsi="宋体" w:cs="宋体"/>
          <w:kern w:val="0"/>
          <w:sz w:val="24"/>
          <w:szCs w:val="24"/>
          <w:lang w:val="zh-CN"/>
        </w:rPr>
        <w:t>(</w:t>
      </w:r>
      <w:r>
        <w:rPr>
          <w:rFonts w:hint="eastAsia" w:ascii="宋体" w:hAnsi="宋体" w:cs="宋体"/>
          <w:kern w:val="0"/>
          <w:sz w:val="24"/>
          <w:szCs w:val="24"/>
          <w:lang w:val="zh-CN"/>
        </w:rPr>
        <w:t>签章</w:t>
      </w:r>
      <w:r>
        <w:rPr>
          <w:rFonts w:ascii="宋体" w:hAnsi="宋体" w:cs="宋体"/>
          <w:kern w:val="0"/>
          <w:sz w:val="24"/>
          <w:szCs w:val="24"/>
          <w:lang w:val="zh-CN"/>
        </w:rPr>
        <w:t>)</w:t>
      </w:r>
      <w:r>
        <w:rPr>
          <w:rFonts w:hint="eastAsia" w:ascii="宋体" w:hAnsi="宋体" w:cs="宋体"/>
          <w:kern w:val="0"/>
          <w:sz w:val="24"/>
          <w:szCs w:val="24"/>
          <w:lang w:val="zh-CN"/>
        </w:rPr>
        <w:t>：</w:t>
      </w:r>
    </w:p>
    <w:p>
      <w:pPr>
        <w:wordWrap w:val="0"/>
        <w:adjustRightInd w:val="0"/>
        <w:snapToGrid w:val="0"/>
        <w:spacing w:line="360" w:lineRule="auto"/>
        <w:jc w:val="right"/>
        <w:rPr>
          <w:rFonts w:ascii="宋体" w:cs="Times New Roman"/>
          <w:kern w:val="0"/>
          <w:sz w:val="24"/>
          <w:szCs w:val="24"/>
          <w:lang w:val="zh-CN"/>
        </w:rPr>
      </w:pPr>
      <w:r>
        <w:rPr>
          <w:rFonts w:hint="eastAsia" w:ascii="宋体" w:hAnsi="宋体" w:cs="宋体"/>
          <w:kern w:val="0"/>
          <w:sz w:val="24"/>
          <w:szCs w:val="24"/>
          <w:lang w:val="zh-CN"/>
        </w:rPr>
        <w:t>签发日期：</w:t>
      </w:r>
      <w:r>
        <w:rPr>
          <w:rFonts w:ascii="宋体" w:hAnsi="宋体" w:cs="宋体"/>
          <w:kern w:val="0"/>
          <w:sz w:val="24"/>
          <w:szCs w:val="24"/>
          <w:lang w:val="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jc w:val="right"/>
        <w:rPr>
          <w:rFonts w:ascii="宋体" w:cs="Times New Roman"/>
          <w:kern w:val="0"/>
          <w:sz w:val="24"/>
          <w:szCs w:val="24"/>
          <w:lang w:val="zh-CN"/>
        </w:rPr>
      </w:pPr>
    </w:p>
    <w:p>
      <w:pPr>
        <w:adjustRightInd w:val="0"/>
        <w:snapToGrid w:val="0"/>
        <w:spacing w:line="360" w:lineRule="auto"/>
        <w:ind w:right="480"/>
        <w:jc w:val="center"/>
        <w:rPr>
          <w:rFonts w:ascii="宋体" w:cs="Times New Roman"/>
          <w:kern w:val="0"/>
          <w:sz w:val="24"/>
          <w:szCs w:val="24"/>
          <w:lang w:val="zh-CN"/>
        </w:rPr>
      </w:pPr>
      <w:r>
        <w:rPr>
          <w:rFonts w:ascii="宋体" w:hAnsi="宋体" w:cs="宋体"/>
          <w:b/>
          <w:bCs/>
          <w:sz w:val="24"/>
          <w:szCs w:val="24"/>
        </w:rPr>
        <w:t xml:space="preserve">  </w:t>
      </w:r>
      <w:r>
        <w:rPr>
          <w:rFonts w:hint="eastAsia" w:ascii="宋体" w:hAnsi="宋体" w:cs="宋体"/>
          <w:b/>
          <w:bCs/>
          <w:sz w:val="24"/>
          <w:szCs w:val="24"/>
        </w:rPr>
        <w:t>法定代表人及授权委托人的身份证（复印件）</w:t>
      </w: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adjustRightInd w:val="0"/>
        <w:snapToGrid w:val="0"/>
        <w:spacing w:line="360" w:lineRule="auto"/>
        <w:ind w:right="480"/>
        <w:rPr>
          <w:rFonts w:ascii="宋体" w:cs="Times New Roman"/>
          <w:b/>
          <w:bCs/>
          <w:kern w:val="0"/>
          <w:sz w:val="24"/>
          <w:szCs w:val="24"/>
          <w:lang w:val="zh-CN"/>
        </w:rPr>
      </w:pPr>
    </w:p>
    <w:p>
      <w:pPr>
        <w:spacing w:line="480" w:lineRule="exact"/>
        <w:jc w:val="center"/>
        <w:rPr>
          <w:rFonts w:ascii="宋体" w:cs="Times New Roman"/>
          <w:b/>
          <w:bCs/>
          <w:sz w:val="24"/>
          <w:szCs w:val="24"/>
        </w:rPr>
      </w:pPr>
    </w:p>
    <w:p>
      <w:pPr>
        <w:spacing w:line="480" w:lineRule="exact"/>
        <w:jc w:val="center"/>
        <w:rPr>
          <w:rFonts w:ascii="宋体" w:cs="Times New Roman"/>
          <w:b/>
          <w:bCs/>
          <w:color w:val="000000"/>
          <w:sz w:val="24"/>
          <w:szCs w:val="24"/>
        </w:rPr>
      </w:pPr>
      <w:r>
        <w:rPr>
          <w:rFonts w:ascii="宋体" w:hAnsi="宋体" w:cs="宋体"/>
          <w:b/>
          <w:bCs/>
          <w:sz w:val="24"/>
          <w:szCs w:val="24"/>
        </w:rPr>
        <w:t xml:space="preserve"> </w:t>
      </w:r>
      <w:r>
        <w:rPr>
          <w:rFonts w:ascii="宋体" w:hAnsi="宋体" w:cs="宋体"/>
          <w:b/>
          <w:bCs/>
          <w:color w:val="000000"/>
          <w:sz w:val="24"/>
          <w:szCs w:val="24"/>
        </w:rPr>
        <w:t xml:space="preserve"> </w:t>
      </w:r>
      <w:r>
        <w:rPr>
          <w:rFonts w:hint="eastAsia" w:ascii="宋体" w:hAnsi="宋体" w:cs="宋体"/>
          <w:b/>
          <w:bCs/>
          <w:color w:val="000000"/>
          <w:sz w:val="24"/>
          <w:szCs w:val="24"/>
        </w:rPr>
        <w:t>有效的企业法人营业执照（复印件）</w:t>
      </w: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rPr>
          <w:rFonts w:ascii="宋体" w:cs="Times New Roman"/>
          <w:b/>
          <w:bCs/>
          <w:color w:val="000000"/>
          <w:sz w:val="24"/>
          <w:szCs w:val="24"/>
        </w:rPr>
      </w:pPr>
    </w:p>
    <w:p>
      <w:pPr>
        <w:spacing w:line="480" w:lineRule="exact"/>
        <w:jc w:val="center"/>
        <w:rPr>
          <w:rFonts w:ascii="宋体" w:cs="Times New Roman"/>
          <w:b/>
          <w:bCs/>
          <w:color w:val="000000"/>
          <w:sz w:val="24"/>
          <w:szCs w:val="24"/>
        </w:rPr>
      </w:pPr>
      <w:r>
        <w:rPr>
          <w:rFonts w:ascii="宋体" w:hAnsi="宋体" w:cs="宋体"/>
          <w:b/>
          <w:bCs/>
          <w:color w:val="000000"/>
          <w:sz w:val="24"/>
          <w:szCs w:val="24"/>
        </w:rPr>
        <w:t xml:space="preserve"> </w:t>
      </w:r>
      <w:r>
        <w:rPr>
          <w:rFonts w:hint="eastAsia" w:ascii="宋体" w:hAnsi="宋体" w:cs="宋体"/>
          <w:b/>
          <w:bCs/>
          <w:sz w:val="24"/>
          <w:szCs w:val="24"/>
        </w:rPr>
        <w:t>所有资质文件</w:t>
      </w:r>
      <w:r>
        <w:rPr>
          <w:rFonts w:hint="eastAsia" w:ascii="宋体" w:hAnsi="宋体" w:cs="宋体"/>
          <w:b/>
          <w:bCs/>
          <w:color w:val="000000"/>
          <w:sz w:val="24"/>
          <w:szCs w:val="24"/>
        </w:rPr>
        <w:t>（复印件）</w:t>
      </w:r>
    </w:p>
    <w:p>
      <w:pPr>
        <w:spacing w:line="480" w:lineRule="exact"/>
        <w:jc w:val="center"/>
        <w:rPr>
          <w:rFonts w:ascii="宋体" w:cs="Times New Roman"/>
          <w:sz w:val="24"/>
          <w:szCs w:val="24"/>
        </w:rPr>
      </w:pPr>
      <w:r>
        <w:rPr>
          <w:rFonts w:hint="eastAsia" w:ascii="宋体" w:hAnsi="宋体" w:cs="宋体"/>
          <w:sz w:val="24"/>
          <w:szCs w:val="24"/>
        </w:rPr>
        <w:t>（由磋商响应方根据采购需求及采购文件自行编制）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资质要求</w:t>
            </w:r>
          </w:p>
        </w:tc>
        <w:tc>
          <w:tcPr>
            <w:tcW w:w="6118" w:type="dxa"/>
            <w:gridSpan w:val="6"/>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spacing w:line="480" w:lineRule="exact"/>
              <w:ind w:firstLine="482"/>
              <w:jc w:val="center"/>
              <w:rPr>
                <w:rFonts w:ascii="宋体" w:cs="Times New Roman"/>
                <w:b/>
                <w:bCs/>
                <w:sz w:val="24"/>
                <w:szCs w:val="24"/>
              </w:rPr>
            </w:pPr>
            <w:r>
              <w:rPr>
                <w:rFonts w:hint="eastAsia" w:ascii="宋体" w:hAnsi="宋体" w:cs="宋体"/>
                <w:b/>
                <w:bCs/>
                <w:sz w:val="24"/>
                <w:szCs w:val="24"/>
              </w:rPr>
              <w:t>必备资质</w:t>
            </w:r>
          </w:p>
        </w:tc>
        <w:tc>
          <w:tcPr>
            <w:tcW w:w="1620" w:type="dxa"/>
            <w:vAlign w:val="center"/>
          </w:tcPr>
          <w:p>
            <w:pPr>
              <w:spacing w:line="480" w:lineRule="exact"/>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jc w:val="cente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jc w:val="center"/>
              <w:rPr>
                <w:rFonts w:ascii="宋体" w:cs="Times New Roman"/>
                <w:sz w:val="24"/>
                <w:szCs w:val="24"/>
              </w:rPr>
            </w:pPr>
            <w:r>
              <w:rPr>
                <w:rFonts w:ascii="宋体" w:hAnsi="宋体" w:cs="宋体"/>
                <w:color w:val="000000"/>
                <w:sz w:val="24"/>
                <w:szCs w:val="24"/>
              </w:rPr>
              <w:t xml:space="preserve"> </w:t>
            </w:r>
          </w:p>
        </w:tc>
        <w:tc>
          <w:tcPr>
            <w:tcW w:w="1620" w:type="dxa"/>
            <w:vAlign w:val="center"/>
          </w:tcPr>
          <w:p>
            <w:pPr>
              <w:jc w:val="center"/>
              <w:rPr>
                <w:rFonts w:ascii="宋体" w:cs="Times New Roman"/>
                <w:sz w:val="24"/>
                <w:szCs w:val="24"/>
              </w:rPr>
            </w:pPr>
            <w:r>
              <w:rPr>
                <w:rFonts w:ascii="宋体" w:hAnsi="宋体" w:cs="宋体"/>
                <w:sz w:val="24"/>
                <w:szCs w:val="24"/>
              </w:rPr>
              <w:t xml:space="preserve"> </w:t>
            </w:r>
          </w:p>
        </w:tc>
        <w:tc>
          <w:tcPr>
            <w:tcW w:w="1200"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004" w:type="dxa"/>
            <w:vAlign w:val="center"/>
          </w:tcPr>
          <w:p>
            <w:pPr>
              <w:spacing w:line="480" w:lineRule="exact"/>
              <w:ind w:firstLine="480"/>
              <w:jc w:val="center"/>
              <w:rPr>
                <w:rFonts w:ascii="宋体" w:cs="Times New Roman"/>
                <w:sz w:val="24"/>
                <w:szCs w:val="24"/>
              </w:rPr>
            </w:pPr>
          </w:p>
        </w:tc>
        <w:tc>
          <w:tcPr>
            <w:tcW w:w="1414" w:type="dxa"/>
            <w:vAlign w:val="center"/>
          </w:tcPr>
          <w:p>
            <w:pPr>
              <w:spacing w:line="480" w:lineRule="exact"/>
              <w:ind w:firstLine="480"/>
              <w:jc w:val="center"/>
              <w:rPr>
                <w:rFonts w:ascii="宋体" w:cs="Times New Roman"/>
                <w:sz w:val="24"/>
                <w:szCs w:val="24"/>
              </w:rPr>
            </w:pPr>
          </w:p>
        </w:tc>
        <w:tc>
          <w:tcPr>
            <w:tcW w:w="980" w:type="dxa"/>
            <w:vAlign w:val="center"/>
          </w:tcPr>
          <w:p>
            <w:pPr>
              <w:spacing w:line="480" w:lineRule="exact"/>
              <w:ind w:firstLine="480"/>
              <w:jc w:val="cente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ind w:firstLine="482"/>
              <w:jc w:val="center"/>
              <w:rPr>
                <w:rFonts w:ascii="宋体" w:cs="Times New Roman"/>
                <w:b/>
                <w:bCs/>
                <w:sz w:val="24"/>
                <w:szCs w:val="24"/>
              </w:rPr>
            </w:pPr>
            <w:r>
              <w:rPr>
                <w:rFonts w:hint="eastAsia" w:ascii="宋体" w:hAnsi="宋体" w:cs="宋体"/>
                <w:b/>
                <w:bCs/>
                <w:sz w:val="24"/>
                <w:szCs w:val="24"/>
              </w:rPr>
              <w:t>其他资质</w:t>
            </w:r>
          </w:p>
        </w:tc>
        <w:tc>
          <w:tcPr>
            <w:tcW w:w="1620" w:type="dxa"/>
            <w:vAlign w:val="center"/>
          </w:tcPr>
          <w:p>
            <w:pPr>
              <w:jc w:val="center"/>
              <w:rPr>
                <w:rFonts w:ascii="宋体" w:cs="Times New Roman"/>
                <w:b/>
                <w:bCs/>
                <w:sz w:val="24"/>
                <w:szCs w:val="24"/>
              </w:rPr>
            </w:pPr>
            <w:r>
              <w:rPr>
                <w:rFonts w:hint="eastAsia" w:ascii="宋体" w:hAnsi="宋体" w:cs="宋体"/>
                <w:b/>
                <w:bCs/>
                <w:sz w:val="24"/>
                <w:szCs w:val="24"/>
              </w:rPr>
              <w:t>资质级别</w:t>
            </w:r>
          </w:p>
        </w:tc>
        <w:tc>
          <w:tcPr>
            <w:tcW w:w="1200"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名称</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资质</w:t>
            </w:r>
          </w:p>
          <w:p>
            <w:pPr>
              <w:jc w:val="center"/>
              <w:rPr>
                <w:rFonts w:ascii="宋体" w:cs="Times New Roman"/>
                <w:b/>
                <w:bCs/>
                <w:sz w:val="24"/>
                <w:szCs w:val="24"/>
              </w:rPr>
            </w:pPr>
            <w:r>
              <w:rPr>
                <w:rFonts w:hint="eastAsia" w:ascii="宋体" w:hAnsi="宋体" w:cs="宋体"/>
                <w:b/>
                <w:bCs/>
                <w:sz w:val="24"/>
                <w:szCs w:val="24"/>
              </w:rPr>
              <w:t>级别</w:t>
            </w:r>
          </w:p>
        </w:tc>
        <w:tc>
          <w:tcPr>
            <w:tcW w:w="1004" w:type="dxa"/>
            <w:vAlign w:val="center"/>
          </w:tcPr>
          <w:p>
            <w:pPr>
              <w:jc w:val="center"/>
              <w:rPr>
                <w:rFonts w:ascii="宋体" w:cs="Times New Roman"/>
                <w:b/>
                <w:bCs/>
                <w:sz w:val="24"/>
                <w:szCs w:val="24"/>
              </w:rPr>
            </w:pPr>
            <w:r>
              <w:rPr>
                <w:rFonts w:hint="eastAsia" w:ascii="宋体" w:hAnsi="宋体" w:cs="宋体"/>
                <w:b/>
                <w:bCs/>
                <w:sz w:val="24"/>
                <w:szCs w:val="24"/>
              </w:rPr>
              <w:t>颁证</w:t>
            </w:r>
          </w:p>
          <w:p>
            <w:pPr>
              <w:jc w:val="center"/>
              <w:rPr>
                <w:rFonts w:ascii="宋体" w:cs="Times New Roman"/>
                <w:b/>
                <w:bCs/>
                <w:sz w:val="24"/>
                <w:szCs w:val="24"/>
              </w:rPr>
            </w:pPr>
            <w:r>
              <w:rPr>
                <w:rFonts w:hint="eastAsia" w:ascii="宋体" w:hAnsi="宋体" w:cs="宋体"/>
                <w:b/>
                <w:bCs/>
                <w:sz w:val="24"/>
                <w:szCs w:val="24"/>
              </w:rPr>
              <w:t>机构</w:t>
            </w:r>
          </w:p>
        </w:tc>
        <w:tc>
          <w:tcPr>
            <w:tcW w:w="1414" w:type="dxa"/>
            <w:vAlign w:val="center"/>
          </w:tcPr>
          <w:p>
            <w:pPr>
              <w:jc w:val="center"/>
              <w:rPr>
                <w:rFonts w:ascii="宋体" w:cs="Times New Roman"/>
                <w:b/>
                <w:bCs/>
                <w:sz w:val="24"/>
                <w:szCs w:val="24"/>
              </w:rPr>
            </w:pPr>
            <w:r>
              <w:rPr>
                <w:rFonts w:hint="eastAsia" w:ascii="宋体" w:hAnsi="宋体" w:cs="宋体"/>
                <w:b/>
                <w:bCs/>
                <w:sz w:val="24"/>
                <w:szCs w:val="24"/>
              </w:rPr>
              <w:t>证书有效期（起止年月）</w:t>
            </w:r>
          </w:p>
        </w:tc>
        <w:tc>
          <w:tcPr>
            <w:tcW w:w="980" w:type="dxa"/>
            <w:vAlign w:val="center"/>
          </w:tcPr>
          <w:p>
            <w:pPr>
              <w:jc w:val="center"/>
              <w:rPr>
                <w:rFonts w:ascii="宋体" w:cs="Times New Roman"/>
                <w:b/>
                <w:bCs/>
                <w:sz w:val="24"/>
                <w:szCs w:val="24"/>
              </w:rPr>
            </w:pPr>
            <w:r>
              <w:rPr>
                <w:rFonts w:hint="eastAsia" w:ascii="宋体" w:hAnsi="宋体" w:cs="宋体"/>
                <w:b/>
                <w:bCs/>
                <w:sz w:val="24"/>
                <w:szCs w:val="24"/>
              </w:rPr>
              <w:t>证书复印件所在页码</w:t>
            </w:r>
          </w:p>
        </w:tc>
        <w:tc>
          <w:tcPr>
            <w:tcW w:w="516" w:type="dxa"/>
            <w:vAlign w:val="center"/>
          </w:tcPr>
          <w:p>
            <w:pPr>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r>
              <w:rPr>
                <w:rFonts w:ascii="宋体" w:hAnsi="宋体" w:cs="宋体"/>
                <w:sz w:val="24"/>
                <w:szCs w:val="24"/>
              </w:rPr>
              <w:t xml:space="preserve"> </w:t>
            </w:r>
          </w:p>
        </w:tc>
        <w:tc>
          <w:tcPr>
            <w:tcW w:w="1620" w:type="dxa"/>
            <w:vAlign w:val="center"/>
          </w:tcPr>
          <w:p>
            <w:pPr>
              <w:rPr>
                <w:rFonts w:ascii="宋体" w:cs="Times New Roman"/>
                <w:sz w:val="24"/>
                <w:szCs w:val="24"/>
              </w:rPr>
            </w:pPr>
            <w:r>
              <w:rPr>
                <w:rFonts w:ascii="宋体" w:hAnsi="宋体" w:cs="宋体"/>
                <w:sz w:val="24"/>
                <w:szCs w:val="24"/>
              </w:rPr>
              <w:t xml:space="preserve"> </w:t>
            </w: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vAlign w:val="center"/>
          </w:tcPr>
          <w:p>
            <w:pPr>
              <w:rPr>
                <w:rFonts w:ascii="宋体" w:cs="Times New Roman"/>
                <w:sz w:val="24"/>
                <w:szCs w:val="24"/>
              </w:rPr>
            </w:pPr>
          </w:p>
        </w:tc>
        <w:tc>
          <w:tcPr>
            <w:tcW w:w="1620" w:type="dxa"/>
            <w:vAlign w:val="center"/>
          </w:tcPr>
          <w:p>
            <w:pPr>
              <w:rPr>
                <w:rFonts w:ascii="宋体" w:cs="Times New Roman"/>
                <w:sz w:val="24"/>
                <w:szCs w:val="24"/>
              </w:rPr>
            </w:pPr>
          </w:p>
        </w:tc>
        <w:tc>
          <w:tcPr>
            <w:tcW w:w="1200"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004" w:type="dxa"/>
            <w:vAlign w:val="center"/>
          </w:tcPr>
          <w:p>
            <w:pPr>
              <w:rPr>
                <w:rFonts w:ascii="宋体" w:cs="Times New Roman"/>
                <w:sz w:val="24"/>
                <w:szCs w:val="24"/>
              </w:rPr>
            </w:pPr>
          </w:p>
        </w:tc>
        <w:tc>
          <w:tcPr>
            <w:tcW w:w="1414" w:type="dxa"/>
            <w:vAlign w:val="center"/>
          </w:tcPr>
          <w:p>
            <w:pPr>
              <w:rPr>
                <w:rFonts w:ascii="宋体" w:cs="Times New Roman"/>
                <w:sz w:val="24"/>
                <w:szCs w:val="24"/>
              </w:rPr>
            </w:pPr>
          </w:p>
        </w:tc>
        <w:tc>
          <w:tcPr>
            <w:tcW w:w="980" w:type="dxa"/>
            <w:vAlign w:val="center"/>
          </w:tcPr>
          <w:p>
            <w:pPr>
              <w:rPr>
                <w:rFonts w:ascii="宋体" w:cs="Times New Roman"/>
                <w:sz w:val="24"/>
                <w:szCs w:val="24"/>
              </w:rPr>
            </w:pPr>
          </w:p>
        </w:tc>
        <w:tc>
          <w:tcPr>
            <w:tcW w:w="516" w:type="dxa"/>
            <w:vAlign w:val="center"/>
          </w:tcPr>
          <w:p>
            <w:pPr>
              <w:rPr>
                <w:rFonts w:ascii="宋体" w:cs="Times New Roman"/>
                <w:sz w:val="24"/>
                <w:szCs w:val="24"/>
              </w:rPr>
            </w:pPr>
          </w:p>
        </w:tc>
      </w:tr>
    </w:tbl>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autoSpaceDE w:val="0"/>
        <w:autoSpaceDN w:val="0"/>
        <w:adjustRightInd w:val="0"/>
        <w:rPr>
          <w:rFonts w:ascii="宋体" w:cs="Times New Roman"/>
          <w:b/>
          <w:bCs/>
          <w:sz w:val="24"/>
          <w:szCs w:val="24"/>
        </w:rPr>
      </w:pPr>
    </w:p>
    <w:p>
      <w:pPr>
        <w:rPr>
          <w:rFonts w:ascii="宋体" w:cs="Times New Roman"/>
          <w:kern w:val="0"/>
          <w:sz w:val="24"/>
          <w:szCs w:val="24"/>
          <w:lang w:val="zh-CN"/>
        </w:rPr>
        <w:sectPr>
          <w:headerReference r:id="rId3" w:type="default"/>
          <w:footerReference r:id="rId4" w:type="default"/>
          <w:pgSz w:w="11906" w:h="16838"/>
          <w:pgMar w:top="1440" w:right="1797" w:bottom="1440" w:left="1797" w:header="851" w:footer="992" w:gutter="0"/>
          <w:cols w:space="720" w:num="1"/>
          <w:docGrid w:linePitch="312" w:charSpace="0"/>
        </w:sect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800" w:lineRule="exact"/>
        <w:ind w:right="-108"/>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技</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术</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及</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商</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务</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snapToGrid w:val="0"/>
        <w:spacing w:before="50" w:after="50"/>
        <w:rPr>
          <w:rFonts w:ascii="宋体" w:cs="Times New Roman"/>
          <w:sz w:val="24"/>
          <w:szCs w:val="24"/>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highlight w:val="yellow"/>
        </w:rPr>
      </w:pPr>
    </w:p>
    <w:p>
      <w:pPr>
        <w:snapToGrid w:val="0"/>
        <w:spacing w:line="420" w:lineRule="exact"/>
        <w:ind w:firstLine="470" w:firstLineChars="196"/>
        <w:jc w:val="left"/>
        <w:rPr>
          <w:rFonts w:ascii="宋体" w:cs="Times New Roman"/>
          <w:sz w:val="24"/>
          <w:szCs w:val="24"/>
        </w:rPr>
      </w:pPr>
      <w:r>
        <w:rPr>
          <w:rFonts w:hint="eastAsia" w:ascii="宋体" w:hAnsi="宋体" w:cs="宋体"/>
          <w:sz w:val="24"/>
          <w:szCs w:val="24"/>
        </w:rPr>
        <w:t>★技术及商务文件响应部分内容</w:t>
      </w:r>
    </w:p>
    <w:p>
      <w:pPr>
        <w:snapToGrid w:val="0"/>
        <w:spacing w:line="360" w:lineRule="auto"/>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）评分对应表（格式见附件，主要用于评委对应评分内容）</w:t>
      </w:r>
    </w:p>
    <w:p>
      <w:pPr>
        <w:spacing w:line="360" w:lineRule="auto"/>
        <w:ind w:firstLine="480" w:firstLineChars="200"/>
        <w:rPr>
          <w:rFonts w:ascii="宋体" w:hAnsi="宋体"/>
          <w:sz w:val="24"/>
        </w:rPr>
      </w:pPr>
      <w:r>
        <w:rPr>
          <w:rFonts w:hint="eastAsia" w:ascii="宋体" w:hAnsi="宋体"/>
          <w:sz w:val="24"/>
        </w:rPr>
        <w:t>（2）技术响应表（格式见附件）。</w:t>
      </w:r>
    </w:p>
    <w:p>
      <w:pPr>
        <w:spacing w:line="360" w:lineRule="auto"/>
        <w:ind w:firstLine="480" w:firstLineChars="200"/>
        <w:rPr>
          <w:rFonts w:ascii="宋体" w:hAnsi="宋体"/>
          <w:sz w:val="24"/>
        </w:rPr>
      </w:pPr>
      <w:r>
        <w:rPr>
          <w:rFonts w:hint="eastAsia" w:ascii="宋体" w:hAnsi="宋体"/>
          <w:sz w:val="24"/>
        </w:rPr>
        <w:t>（3）磋商响应方</w:t>
      </w:r>
      <w:r>
        <w:rPr>
          <w:rFonts w:hint="eastAsia" w:hAnsi="宋体"/>
          <w:sz w:val="24"/>
        </w:rPr>
        <w:t>（以合同签订时间为准）相关成功案例和业绩证明（项目实施情况一览表、完整的合同复印件）</w:t>
      </w:r>
    </w:p>
    <w:p>
      <w:pPr>
        <w:spacing w:line="360" w:lineRule="auto"/>
        <w:ind w:firstLine="480" w:firstLineChars="200"/>
        <w:rPr>
          <w:rFonts w:ascii="宋体" w:hAnsi="宋体"/>
          <w:sz w:val="24"/>
        </w:rPr>
      </w:pPr>
      <w:r>
        <w:rPr>
          <w:rFonts w:hint="eastAsia" w:ascii="宋体" w:hAnsi="宋体"/>
          <w:sz w:val="24"/>
        </w:rPr>
        <w:t>（4）针对本项目实施的具体项目实施计划（包括</w:t>
      </w:r>
      <w:r>
        <w:rPr>
          <w:rFonts w:hint="eastAsia" w:ascii="宋体" w:hAnsi="宋体" w:cs="宋体"/>
          <w:sz w:val="24"/>
        </w:rPr>
        <w:t>项目组人员情况、进度管理、过程管理、文档管理及项目经理、专业技术人员明确等内容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（5）详细阐述项目实施方案（包括实施方案、沟通反馈机制、相关培训方案等相关内容）。</w:t>
      </w:r>
    </w:p>
    <w:p>
      <w:pPr>
        <w:spacing w:line="360" w:lineRule="auto"/>
        <w:ind w:firstLine="480" w:firstLineChars="200"/>
        <w:rPr>
          <w:rFonts w:ascii="宋体" w:hAnsi="宋体"/>
          <w:sz w:val="24"/>
        </w:rPr>
      </w:pPr>
      <w:r>
        <w:rPr>
          <w:rFonts w:hint="eastAsia" w:ascii="宋体" w:hAnsi="宋体"/>
          <w:sz w:val="24"/>
        </w:rPr>
        <w:t>（6）培训能力、服务机制以及服务保障</w:t>
      </w:r>
    </w:p>
    <w:p>
      <w:pPr>
        <w:spacing w:line="360" w:lineRule="auto"/>
        <w:ind w:firstLine="480" w:firstLineChars="200"/>
        <w:rPr>
          <w:rFonts w:ascii="宋体" w:hAnsi="宋体"/>
          <w:sz w:val="24"/>
        </w:rPr>
      </w:pPr>
      <w:r>
        <w:rPr>
          <w:rFonts w:hint="eastAsia" w:ascii="宋体" w:hAnsi="宋体"/>
          <w:sz w:val="24"/>
        </w:rPr>
        <w:t>（7）具有本地化服务能力。</w:t>
      </w:r>
    </w:p>
    <w:p>
      <w:pPr>
        <w:spacing w:line="360" w:lineRule="auto"/>
        <w:ind w:firstLine="480" w:firstLineChars="200"/>
        <w:rPr>
          <w:rFonts w:ascii="宋体" w:hAnsi="宋体"/>
          <w:sz w:val="24"/>
        </w:rPr>
      </w:pPr>
      <w:r>
        <w:rPr>
          <w:rFonts w:hint="eastAsia" w:ascii="宋体" w:hAnsi="宋体"/>
          <w:sz w:val="24"/>
        </w:rPr>
        <w:t>（8）项目实施过程中的安全、保密保障措施以及质量控制管理制度。</w:t>
      </w:r>
    </w:p>
    <w:p>
      <w:pPr>
        <w:spacing w:line="360" w:lineRule="auto"/>
        <w:ind w:firstLine="480" w:firstLineChars="200"/>
      </w:pPr>
      <w:r>
        <w:rPr>
          <w:rFonts w:hint="eastAsia" w:ascii="宋体" w:hAnsi="宋体"/>
          <w:sz w:val="24"/>
        </w:rPr>
        <w:t>（9）突发事件应急措施、其它活动配合措施。</w:t>
      </w:r>
    </w:p>
    <w:p>
      <w:pPr>
        <w:spacing w:line="360" w:lineRule="auto"/>
        <w:ind w:firstLine="480" w:firstLineChars="200"/>
        <w:rPr>
          <w:rFonts w:ascii="宋体" w:hAnsi="宋体"/>
          <w:kern w:val="0"/>
          <w:sz w:val="24"/>
        </w:rPr>
      </w:pPr>
      <w:r>
        <w:rPr>
          <w:rFonts w:hint="eastAsia" w:ascii="宋体" w:hAnsi="宋体"/>
          <w:kern w:val="0"/>
          <w:sz w:val="24"/>
        </w:rPr>
        <w:t>（10）</w:t>
      </w:r>
      <w:r>
        <w:rPr>
          <w:rFonts w:hint="eastAsia" w:ascii="宋体" w:hAnsi="宋体"/>
          <w:sz w:val="24"/>
        </w:rPr>
        <w:t>磋商响应方对本项目的合理化建议和改进措施</w:t>
      </w:r>
    </w:p>
    <w:p>
      <w:pPr>
        <w:snapToGrid w:val="0"/>
        <w:spacing w:line="380" w:lineRule="exact"/>
        <w:ind w:firstLine="470" w:firstLineChars="196"/>
        <w:jc w:val="left"/>
        <w:rPr>
          <w:rFonts w:ascii="宋体" w:cs="Times New Roman"/>
          <w:kern w:val="0"/>
          <w:sz w:val="24"/>
          <w:szCs w:val="24"/>
          <w:lang w:val="zh-CN"/>
        </w:rPr>
      </w:pPr>
      <w:r>
        <w:rPr>
          <w:rFonts w:hint="eastAsia" w:ascii="宋体" w:hAnsi="宋体"/>
          <w:kern w:val="0"/>
          <w:sz w:val="24"/>
        </w:rPr>
        <w:t>（11）磋商响应方认为需要的其他技术文件或说明，如认证服务资质等。</w:t>
      </w:r>
      <w:r>
        <w:rPr>
          <w:rFonts w:ascii="宋体" w:hAnsi="宋体" w:cs="宋体"/>
          <w:kern w:val="0"/>
          <w:sz w:val="24"/>
          <w:szCs w:val="24"/>
          <w:lang w:val="zh-CN"/>
        </w:rPr>
        <w:t xml:space="preserve"> </w:t>
      </w:r>
    </w:p>
    <w:p>
      <w:pPr>
        <w:adjustRightInd w:val="0"/>
        <w:snapToGrid w:val="0"/>
        <w:spacing w:line="360" w:lineRule="auto"/>
        <w:rPr>
          <w:rFonts w:ascii="宋体" w:cs="Times New Roman"/>
          <w:b/>
          <w:bCs/>
          <w:sz w:val="24"/>
          <w:szCs w:val="24"/>
        </w:rPr>
      </w:pPr>
      <w:r>
        <w:rPr>
          <w:rFonts w:hint="eastAsia" w:ascii="宋体" w:hAnsi="宋体" w:cs="宋体"/>
          <w:b/>
          <w:bCs/>
          <w:sz w:val="24"/>
          <w:szCs w:val="24"/>
        </w:rPr>
        <w:t>注：以上目录是编制投标技术文件的基本格式要求，各磋商响应方可根据自身情况进一步细化。</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4"/>
          <w:szCs w:val="24"/>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50" w:after="50"/>
        <w:jc w:val="center"/>
        <w:rPr>
          <w:rFonts w:ascii="宋体" w:cs="Times New Roman"/>
          <w:b/>
          <w:bCs/>
          <w:sz w:val="28"/>
          <w:szCs w:val="28"/>
        </w:rPr>
      </w:pPr>
      <w:r>
        <w:rPr>
          <w:rFonts w:hint="eastAsia" w:ascii="宋体" w:hAnsi="宋体" w:cs="宋体"/>
          <w:b/>
          <w:bCs/>
          <w:sz w:val="28"/>
          <w:szCs w:val="28"/>
        </w:rPr>
        <w:t>评分对应表</w:t>
      </w:r>
    </w:p>
    <w:p>
      <w:pPr>
        <w:snapToGrid w:val="0"/>
        <w:spacing w:before="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磋商响应文件对应资料</w:t>
            </w:r>
          </w:p>
        </w:tc>
        <w:tc>
          <w:tcPr>
            <w:tcW w:w="144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bottom w:val="single" w:color="auto" w:sz="4" w:space="0"/>
              <w:right w:val="single" w:color="auto" w:sz="4" w:space="0"/>
            </w:tcBorders>
          </w:tcPr>
          <w:p>
            <w:pPr>
              <w:snapToGrid w:val="0"/>
              <w:rPr>
                <w:rFonts w:ascii="宋体" w:cs="Times New Roman"/>
                <w:sz w:val="24"/>
                <w:szCs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44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r>
        <w:rPr>
          <w:rFonts w:ascii="宋体" w:cs="Times New Roman"/>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投标项目明细清单</w:t>
      </w:r>
    </w:p>
    <w:p>
      <w:pPr>
        <w:snapToGrid w:val="0"/>
        <w:spacing w:before="50" w:afterLines="50"/>
        <w:jc w:val="center"/>
        <w:rPr>
          <w:rFonts w:ascii="宋体" w:cs="Times New Roman"/>
          <w:b/>
          <w:bCs/>
          <w:spacing w:val="40"/>
          <w:kern w:val="0"/>
          <w:sz w:val="28"/>
          <w:szCs w:val="28"/>
        </w:rPr>
      </w:pPr>
    </w:p>
    <w:p>
      <w:pPr>
        <w:pStyle w:val="7"/>
        <w:snapToGrid w:val="0"/>
        <w:rPr>
          <w:rFonts w:ascii="宋体" w:hAnsi="宋体" w:eastAsia="宋体" w:cs="Times New Roman"/>
          <w:kern w:val="0"/>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p>
      <w:pPr>
        <w:pStyle w:val="7"/>
        <w:snapToGrid w:val="0"/>
        <w:rPr>
          <w:rFonts w:ascii="宋体" w:hAnsi="宋体" w:eastAsia="宋体" w:cs="Times New Roman"/>
          <w:sz w:val="24"/>
          <w:szCs w:val="24"/>
        </w:rPr>
      </w:pPr>
      <w:r>
        <w:rPr>
          <w:rFonts w:hint="eastAsia" w:ascii="宋体" w:hAnsi="宋体" w:eastAsia="宋体" w:cs="宋体"/>
          <w:sz w:val="24"/>
          <w:szCs w:val="24"/>
        </w:rPr>
        <w:t>货物类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规格</w:t>
            </w:r>
          </w:p>
          <w:p>
            <w:pPr>
              <w:snapToGrid w:val="0"/>
              <w:spacing w:before="50" w:after="50"/>
              <w:jc w:val="center"/>
              <w:rPr>
                <w:rFonts w:ascii="宋体" w:cs="Times New Roman"/>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单位及</w:t>
            </w:r>
          </w:p>
          <w:p>
            <w:pPr>
              <w:snapToGrid w:val="0"/>
              <w:spacing w:before="50" w:after="50"/>
              <w:jc w:val="center"/>
              <w:rPr>
                <w:rFonts w:ascii="宋体" w:cs="Times New Roman"/>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108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服务类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r>
              <w:rPr>
                <w:rFonts w:hint="eastAsia" w:ascii="宋体" w:hAnsi="宋体" w:cs="宋体"/>
                <w:sz w:val="24"/>
                <w:szCs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cs="Times New Roman"/>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cs="Times New Roman"/>
                <w:sz w:val="24"/>
                <w:szCs w:val="24"/>
              </w:rPr>
            </w:pPr>
          </w:p>
        </w:tc>
        <w:tc>
          <w:tcPr>
            <w:tcW w:w="2830" w:type="dxa"/>
            <w:tcBorders>
              <w:top w:val="single" w:color="auto" w:sz="4" w:space="0"/>
              <w:left w:val="single" w:color="auto" w:sz="4" w:space="0"/>
              <w:bottom w:val="single" w:color="auto" w:sz="4" w:space="0"/>
            </w:tcBorders>
            <w:vAlign w:val="center"/>
          </w:tcPr>
          <w:p>
            <w:pPr>
              <w:snapToGrid w:val="0"/>
              <w:spacing w:before="50" w:after="50"/>
              <w:jc w:val="center"/>
              <w:rPr>
                <w:rFonts w:ascii="宋体" w:cs="Times New Roman"/>
                <w:sz w:val="24"/>
                <w:szCs w:val="24"/>
              </w:rPr>
            </w:pPr>
          </w:p>
        </w:tc>
      </w:tr>
    </w:tbl>
    <w:p>
      <w:pPr>
        <w:snapToGrid w:val="0"/>
        <w:spacing w:beforeLines="50"/>
        <w:rPr>
          <w:rFonts w:ascii="宋体" w:cs="Times New Roman"/>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pPr>
        <w:snapToGrid w:val="0"/>
        <w:spacing w:beforeLines="50"/>
        <w:rPr>
          <w:rFonts w:ascii="宋体" w:cs="Times New Roman"/>
          <w:sz w:val="24"/>
          <w:szCs w:val="24"/>
        </w:rPr>
      </w:pPr>
    </w:p>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50"/>
        <w:rPr>
          <w:rFonts w:ascii="宋体" w:cs="Times New Roman"/>
          <w:spacing w:val="20"/>
          <w:sz w:val="24"/>
          <w:szCs w:val="24"/>
        </w:rPr>
      </w:pPr>
    </w:p>
    <w:p>
      <w:pPr>
        <w:snapToGrid w:val="0"/>
        <w:spacing w:before="50" w:after="50"/>
        <w:rPr>
          <w:rFonts w:ascii="宋体" w:cs="Times New Roman"/>
          <w:spacing w:val="20"/>
          <w:sz w:val="28"/>
          <w:szCs w:val="28"/>
        </w:rPr>
      </w:pPr>
    </w:p>
    <w:p>
      <w:pPr>
        <w:snapToGrid w:val="0"/>
        <w:spacing w:before="50" w:after="50"/>
        <w:rPr>
          <w:rFonts w:ascii="宋体" w:cs="Times New Roman"/>
          <w:sz w:val="28"/>
          <w:szCs w:val="28"/>
        </w:rPr>
      </w:pPr>
      <w:r>
        <w:rPr>
          <w:rFonts w:ascii="宋体" w:cs="Times New Roman"/>
          <w:spacing w:val="20"/>
          <w:sz w:val="28"/>
          <w:szCs w:val="28"/>
        </w:rPr>
        <w:br w:type="page"/>
      </w:r>
    </w:p>
    <w:p>
      <w:pPr>
        <w:snapToGrid w:val="0"/>
        <w:spacing w:before="50" w:afterLines="50"/>
        <w:jc w:val="center"/>
        <w:rPr>
          <w:rFonts w:ascii="宋体" w:cs="Times New Roman"/>
          <w:b/>
          <w:bCs/>
          <w:spacing w:val="40"/>
          <w:kern w:val="0"/>
          <w:sz w:val="28"/>
          <w:szCs w:val="28"/>
        </w:rPr>
      </w:pPr>
      <w:r>
        <w:rPr>
          <w:rFonts w:hint="eastAsia" w:ascii="宋体" w:hAnsi="宋体" w:cs="宋体"/>
          <w:b/>
          <w:bCs/>
          <w:spacing w:val="40"/>
          <w:kern w:val="0"/>
          <w:sz w:val="28"/>
          <w:szCs w:val="28"/>
        </w:rPr>
        <w:t>技</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术</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响</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应</w:t>
      </w:r>
      <w:r>
        <w:rPr>
          <w:rFonts w:ascii="宋体" w:hAnsi="宋体" w:cs="宋体"/>
          <w:b/>
          <w:bCs/>
          <w:spacing w:val="40"/>
          <w:kern w:val="0"/>
          <w:sz w:val="28"/>
          <w:szCs w:val="28"/>
        </w:rPr>
        <w:t xml:space="preserve"> </w:t>
      </w:r>
      <w:r>
        <w:rPr>
          <w:rFonts w:hint="eastAsia" w:ascii="宋体" w:hAnsi="宋体" w:cs="宋体"/>
          <w:b/>
          <w:bCs/>
          <w:spacing w:val="40"/>
          <w:kern w:val="0"/>
          <w:sz w:val="28"/>
          <w:szCs w:val="28"/>
        </w:rPr>
        <w:t>表</w:t>
      </w:r>
    </w:p>
    <w:p>
      <w:pPr>
        <w:snapToGrid w:val="0"/>
        <w:spacing w:before="50" w:afterLines="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磋商响应文件响应</w:t>
            </w:r>
          </w:p>
        </w:tc>
        <w:tc>
          <w:tcPr>
            <w:tcW w:w="2423" w:type="dxa"/>
            <w:tcBorders>
              <w:top w:val="single" w:color="auto" w:sz="4" w:space="0"/>
              <w:left w:val="single" w:color="auto" w:sz="4" w:space="0"/>
              <w:bottom w:val="single" w:color="auto" w:sz="4" w:space="0"/>
            </w:tcBorders>
          </w:tcPr>
          <w:p>
            <w:pPr>
              <w:snapToGrid w:val="0"/>
              <w:spacing w:before="50" w:afterLines="50"/>
              <w:jc w:val="center"/>
              <w:rPr>
                <w:rFonts w:ascii="宋体" w:cs="Times New Roman"/>
                <w:sz w:val="24"/>
                <w:szCs w:val="24"/>
              </w:rPr>
            </w:pPr>
            <w:r>
              <w:rPr>
                <w:rFonts w:hint="eastAsia" w:ascii="宋体" w:hAnsi="宋体" w:cs="宋体"/>
                <w:sz w:val="24"/>
                <w:szCs w:val="24"/>
              </w:rPr>
              <w:t>偏离情况</w:t>
            </w:r>
            <w:r>
              <w:rPr>
                <w:rFonts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1"/>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1"/>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1"/>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rPr>
                <w:rFonts w:hAnsi="宋体" w:cs="Times New Roman"/>
              </w:rPr>
            </w:pPr>
          </w:p>
        </w:tc>
        <w:tc>
          <w:tcPr>
            <w:tcW w:w="2423" w:type="dxa"/>
            <w:tcBorders>
              <w:top w:val="single" w:color="auto" w:sz="4" w:space="0"/>
              <w:left w:val="single" w:color="auto" w:sz="4" w:space="0"/>
              <w:bottom w:val="single" w:color="auto" w:sz="4" w:space="0"/>
            </w:tcBorders>
          </w:tcPr>
          <w:p>
            <w:pPr>
              <w:pStyle w:val="11"/>
              <w:snapToGrid w:val="0"/>
              <w:spacing w:before="120" w:after="12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1"/>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1"/>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bottom w:val="single" w:color="auto" w:sz="4" w:space="0"/>
              <w:right w:val="single" w:color="auto" w:sz="4" w:space="0"/>
            </w:tcBorders>
            <w:vAlign w:val="center"/>
          </w:tcPr>
          <w:p>
            <w:pPr>
              <w:pStyle w:val="11"/>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cs="Times New Roman"/>
              </w:rPr>
            </w:pPr>
          </w:p>
        </w:tc>
        <w:tc>
          <w:tcPr>
            <w:tcW w:w="2423" w:type="dxa"/>
            <w:tcBorders>
              <w:top w:val="single" w:color="auto" w:sz="4" w:space="0"/>
              <w:left w:val="single" w:color="auto" w:sz="4" w:space="0"/>
              <w:bottom w:val="nil"/>
            </w:tcBorders>
          </w:tcPr>
          <w:p>
            <w:pPr>
              <w:pStyle w:val="11"/>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11"/>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1"/>
              <w:snapToGrid w:val="0"/>
              <w:spacing w:before="120" w:after="120"/>
              <w:outlineLvl w:val="0"/>
              <w:rPr>
                <w:rFonts w:hAnsi="宋体"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bottom w:val="single" w:color="auto" w:sz="4" w:space="0"/>
              <w:right w:val="single" w:color="auto" w:sz="4" w:space="0"/>
            </w:tcBorders>
            <w:vAlign w:val="center"/>
          </w:tcPr>
          <w:p>
            <w:pPr>
              <w:pStyle w:val="11"/>
              <w:snapToGrid w:val="0"/>
              <w:spacing w:before="120" w:after="120"/>
              <w:outlineLvl w:val="0"/>
              <w:rPr>
                <w:rFonts w:hAnsi="宋体" w:cs="Times New Roman"/>
              </w:rPr>
            </w:pPr>
          </w:p>
        </w:tc>
        <w:tc>
          <w:tcPr>
            <w:tcW w:w="2196" w:type="dxa"/>
            <w:tcBorders>
              <w:top w:val="single" w:color="auto" w:sz="4" w:space="0"/>
              <w:left w:val="single" w:color="auto" w:sz="4" w:space="0"/>
              <w:bottom w:val="single" w:color="auto" w:sz="4" w:space="0"/>
              <w:right w:val="single" w:color="auto" w:sz="4" w:space="0"/>
            </w:tcBorders>
          </w:tcPr>
          <w:p>
            <w:pPr>
              <w:pStyle w:val="11"/>
              <w:snapToGrid w:val="0"/>
              <w:spacing w:before="120" w:after="120"/>
              <w:outlineLvl w:val="0"/>
              <w:rPr>
                <w:rFonts w:hAnsi="宋体" w:cs="Times New Roman"/>
              </w:rPr>
            </w:pPr>
          </w:p>
        </w:tc>
        <w:tc>
          <w:tcPr>
            <w:tcW w:w="2423" w:type="dxa"/>
            <w:tcBorders>
              <w:top w:val="single" w:color="auto" w:sz="4" w:space="0"/>
              <w:left w:val="single" w:color="auto" w:sz="4" w:space="0"/>
              <w:bottom w:val="single" w:color="auto" w:sz="4" w:space="0"/>
            </w:tcBorders>
          </w:tcPr>
          <w:p>
            <w:pPr>
              <w:pStyle w:val="11"/>
              <w:snapToGrid w:val="0"/>
              <w:spacing w:before="120" w:after="120"/>
              <w:outlineLvl w:val="0"/>
              <w:rPr>
                <w:rFonts w:hAnsi="宋体" w:cs="Times New Roman"/>
              </w:rPr>
            </w:pPr>
          </w:p>
        </w:tc>
      </w:tr>
    </w:tbl>
    <w:p>
      <w:pPr>
        <w:pStyle w:val="8"/>
        <w:rPr>
          <w:rFonts w:ascii="宋体" w:cs="Times New Roman"/>
          <w:sz w:val="24"/>
          <w:szCs w:val="24"/>
        </w:rPr>
      </w:pPr>
    </w:p>
    <w:p>
      <w:pPr>
        <w:pStyle w:val="8"/>
        <w:rPr>
          <w:rFonts w:ascii="宋体" w:cs="Times New Roman"/>
          <w:spacing w:val="20"/>
          <w:kern w:val="0"/>
          <w:sz w:val="24"/>
          <w:szCs w:val="24"/>
        </w:rPr>
      </w:pPr>
      <w:r>
        <w:rPr>
          <w:rFonts w:hint="eastAsia" w:ascii="宋体" w:hAnsi="宋体" w:cs="宋体"/>
          <w:sz w:val="24"/>
          <w:szCs w:val="24"/>
        </w:rPr>
        <w:t>注：磋商响应方应根据投标设备的性能指标、对照磋商文件要求在“偏离情况”栏注明“正偏离”、“负偏离”或“无偏离”。</w:t>
      </w:r>
    </w:p>
    <w:p>
      <w:pPr>
        <w:snapToGrid w:val="0"/>
        <w:spacing w:before="50" w:after="50"/>
        <w:rPr>
          <w:rFonts w:ascii="宋体" w:cs="Times New Roman"/>
          <w:spacing w:val="20"/>
          <w:sz w:val="24"/>
          <w:szCs w:val="24"/>
        </w:rPr>
      </w:pPr>
    </w:p>
    <w:p>
      <w:pPr>
        <w:snapToGrid w:val="0"/>
        <w:spacing w:before="50" w:after="50"/>
        <w:rPr>
          <w:rFonts w:ascii="宋体" w:cs="Times New Roman"/>
          <w:sz w:val="24"/>
          <w:szCs w:val="24"/>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jc w:val="left"/>
        <w:rPr>
          <w:rFonts w:ascii="宋体" w:cs="Times New Roman"/>
          <w:sz w:val="24"/>
          <w:szCs w:val="24"/>
        </w:rPr>
      </w:pPr>
    </w:p>
    <w:p>
      <w:pPr>
        <w:snapToGrid w:val="0"/>
        <w:spacing w:before="50" w:after="50"/>
        <w:rPr>
          <w:rFonts w:ascii="宋体" w:cs="Times New Roman"/>
          <w:sz w:val="24"/>
          <w:szCs w:val="24"/>
        </w:rPr>
      </w:pPr>
      <w:r>
        <w:rPr>
          <w:rFonts w:ascii="宋体" w:cs="Times New Roman"/>
          <w:sz w:val="24"/>
          <w:szCs w:val="24"/>
        </w:rPr>
        <w:br w:type="page"/>
      </w:r>
    </w:p>
    <w:p>
      <w:pPr>
        <w:snapToGrid w:val="0"/>
        <w:spacing w:before="50" w:afterLines="50"/>
        <w:jc w:val="center"/>
        <w:rPr>
          <w:rFonts w:ascii="宋体" w:cs="Times New Roman"/>
          <w:b/>
          <w:bCs/>
          <w:kern w:val="0"/>
          <w:sz w:val="28"/>
          <w:szCs w:val="28"/>
        </w:rPr>
      </w:pPr>
      <w:r>
        <w:rPr>
          <w:rFonts w:hint="eastAsia" w:ascii="宋体" w:hAnsi="宋体" w:cs="宋体"/>
          <w:b/>
          <w:bCs/>
          <w:kern w:val="0"/>
          <w:sz w:val="28"/>
          <w:szCs w:val="28"/>
        </w:rPr>
        <w:t>项目组人员清单</w:t>
      </w:r>
    </w:p>
    <w:p>
      <w:pPr>
        <w:snapToGrid w:val="0"/>
        <w:spacing w:beforeLines="50" w:after="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专业技</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证书</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Lines="50" w:after="50" w:line="460" w:lineRule="exact"/>
              <w:jc w:val="center"/>
              <w:rPr>
                <w:rFonts w:ascii="宋体" w:cs="Times New Roman"/>
                <w:sz w:val="24"/>
                <w:szCs w:val="24"/>
              </w:rPr>
            </w:pPr>
            <w:r>
              <w:rPr>
                <w:rFonts w:hint="eastAsia" w:ascii="宋体" w:hAnsi="宋体" w:cs="宋体"/>
                <w:sz w:val="24"/>
                <w:szCs w:val="24"/>
              </w:rPr>
              <w:t>劳动合</w:t>
            </w:r>
          </w:p>
          <w:p>
            <w:pPr>
              <w:snapToGrid w:val="0"/>
              <w:spacing w:beforeLines="50" w:after="50" w:line="460" w:lineRule="exact"/>
              <w:jc w:val="center"/>
              <w:rPr>
                <w:rFonts w:ascii="宋体" w:cs="Times New Roman"/>
                <w:sz w:val="24"/>
                <w:szCs w:val="24"/>
              </w:rPr>
            </w:pPr>
            <w:r>
              <w:rPr>
                <w:rFonts w:hint="eastAsia" w:ascii="宋体" w:hAnsi="宋体" w:cs="宋体"/>
                <w:sz w:val="24"/>
                <w:szCs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460" w:lineRule="exact"/>
              <w:ind w:left="5250"/>
              <w:rPr>
                <w:rFonts w:ascii="宋体" w:hAnsi="宋体" w:eastAsia="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cs="Times New Roman"/>
                <w:sz w:val="24"/>
                <w:szCs w:val="24"/>
              </w:rPr>
            </w:pPr>
          </w:p>
        </w:tc>
        <w:tc>
          <w:tcPr>
            <w:tcW w:w="1800" w:type="dxa"/>
            <w:tcBorders>
              <w:top w:val="single" w:color="auto" w:sz="4" w:space="0"/>
              <w:left w:val="single" w:color="auto" w:sz="4" w:space="0"/>
              <w:bottom w:val="single" w:color="auto" w:sz="4" w:space="0"/>
            </w:tcBorders>
          </w:tcPr>
          <w:p>
            <w:pPr>
              <w:snapToGrid w:val="0"/>
              <w:spacing w:beforeLines="50" w:after="50" w:line="460" w:lineRule="exact"/>
              <w:rPr>
                <w:rFonts w:ascii="宋体" w:cs="Times New Roman"/>
                <w:sz w:val="24"/>
                <w:szCs w:val="24"/>
              </w:rPr>
            </w:pPr>
          </w:p>
        </w:tc>
      </w:tr>
    </w:tbl>
    <w:p>
      <w:pPr>
        <w:snapToGrid w:val="0"/>
        <w:spacing w:before="50" w:afterLines="50" w:line="460" w:lineRule="exact"/>
        <w:jc w:val="left"/>
        <w:rPr>
          <w:rFonts w:ascii="宋体" w:cs="Times New Roman"/>
          <w:sz w:val="24"/>
          <w:szCs w:val="24"/>
        </w:rPr>
      </w:pPr>
      <w:r>
        <w:rPr>
          <w:rFonts w:hint="eastAsia" w:ascii="宋体" w:hAnsi="宋体" w:cs="宋体"/>
          <w:sz w:val="24"/>
          <w:szCs w:val="24"/>
        </w:rPr>
        <w:t>注：在填写时，如本表格不适合磋商响应方的实际情况，可根据本表格式自行划表填写。</w:t>
      </w:r>
      <w:r>
        <w:rPr>
          <w:rFonts w:ascii="宋体" w:hAnsi="宋体" w:cs="宋体"/>
          <w:sz w:val="24"/>
          <w:szCs w:val="24"/>
        </w:rPr>
        <w:t xml:space="preserve"> </w:t>
      </w:r>
    </w:p>
    <w:p>
      <w:pPr>
        <w:snapToGrid w:val="0"/>
        <w:spacing w:before="50" w:afterLines="50" w:line="460" w:lineRule="exact"/>
        <w:jc w:val="left"/>
        <w:rPr>
          <w:rFonts w:ascii="宋体" w:cs="Times New Roman"/>
          <w:sz w:val="24"/>
          <w:szCs w:val="24"/>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授权代表签名：</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p>
    <w:p>
      <w:pPr>
        <w:snapToGrid w:val="0"/>
        <w:spacing w:before="50" w:afterLines="50" w:line="460" w:lineRule="exact"/>
        <w:jc w:val="left"/>
        <w:rPr>
          <w:rFonts w:ascii="宋体" w:cs="Times New Roman"/>
          <w:sz w:val="24"/>
          <w:szCs w:val="24"/>
        </w:rPr>
      </w:pPr>
    </w:p>
    <w:p>
      <w:pPr>
        <w:pStyle w:val="11"/>
        <w:snapToGrid w:val="0"/>
        <w:spacing w:before="120" w:after="120" w:line="460" w:lineRule="exact"/>
        <w:rPr>
          <w:rFonts w:hAnsi="宋体" w:cs="Times New Roman"/>
          <w:sz w:val="28"/>
          <w:szCs w:val="28"/>
        </w:rPr>
      </w:pPr>
    </w:p>
    <w:p>
      <w:pPr>
        <w:snapToGrid w:val="0"/>
        <w:spacing w:before="50"/>
        <w:jc w:val="left"/>
        <w:rPr>
          <w:rFonts w:ascii="宋体" w:cs="Times New Roman"/>
          <w:sz w:val="28"/>
          <w:szCs w:val="28"/>
        </w:rPr>
      </w:pPr>
      <w:r>
        <w:rPr>
          <w:rFonts w:ascii="宋体" w:cs="Times New Roman"/>
          <w:sz w:val="28"/>
          <w:szCs w:val="28"/>
        </w:rPr>
        <w:br w:type="page"/>
      </w:r>
    </w:p>
    <w:p>
      <w:pPr>
        <w:snapToGrid w:val="0"/>
        <w:spacing w:before="50" w:after="50"/>
        <w:jc w:val="center"/>
        <w:rPr>
          <w:rFonts w:ascii="宋体" w:cs="Times New Roman"/>
          <w:b/>
          <w:bCs/>
          <w:sz w:val="28"/>
          <w:szCs w:val="28"/>
        </w:rPr>
      </w:pPr>
      <w:r>
        <w:rPr>
          <w:rFonts w:hint="eastAsia" w:ascii="宋体" w:hAnsi="宋体" w:cs="宋体"/>
          <w:b/>
          <w:bCs/>
          <w:sz w:val="28"/>
          <w:szCs w:val="28"/>
        </w:rPr>
        <w:t>商务响应表</w:t>
      </w:r>
    </w:p>
    <w:p>
      <w:pPr>
        <w:snapToGrid w:val="0"/>
        <w:spacing w:before="50"/>
        <w:jc w:val="center"/>
        <w:rPr>
          <w:rFonts w:ascii="宋体" w:cs="Times New Roman"/>
          <w:b/>
          <w:bCs/>
          <w:sz w:val="28"/>
          <w:szCs w:val="28"/>
        </w:rPr>
      </w:pP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r>
        <w:rPr>
          <w:rFonts w:ascii="宋体" w:hAnsi="宋体" w:eastAsia="宋体" w:cs="宋体"/>
          <w:sz w:val="24"/>
          <w:szCs w:val="24"/>
        </w:rPr>
        <w:t xml:space="preserve">              </w:t>
      </w:r>
      <w:r>
        <w:rPr>
          <w:rFonts w:hint="eastAsia" w:ascii="宋体" w:hAnsi="宋体" w:eastAsia="宋体" w:cs="宋体"/>
          <w:sz w:val="24"/>
          <w:szCs w:val="24"/>
        </w:rPr>
        <w:t>标项：</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是否</w:t>
            </w:r>
          </w:p>
          <w:p>
            <w:pPr>
              <w:snapToGrid w:val="0"/>
              <w:spacing w:beforeLines="50"/>
              <w:jc w:val="center"/>
              <w:rPr>
                <w:rFonts w:ascii="宋体" w:cs="Times New Roman"/>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pPr>
              <w:snapToGrid w:val="0"/>
              <w:spacing w:beforeLines="50"/>
              <w:jc w:val="center"/>
              <w:rPr>
                <w:rFonts w:ascii="宋体" w:cs="Times New Roman"/>
                <w:sz w:val="24"/>
                <w:szCs w:val="24"/>
              </w:rPr>
            </w:pPr>
            <w:r>
              <w:rPr>
                <w:rFonts w:hint="eastAsia" w:ascii="宋体" w:hAnsi="宋体" w:cs="宋体"/>
                <w:sz w:val="24"/>
                <w:szCs w:val="24"/>
              </w:rPr>
              <w:t>磋商响应方的承诺或说明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ind w:left="43"/>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vAlign w:val="center"/>
          </w:tcPr>
          <w:p>
            <w:pPr>
              <w:snapToGrid w:val="0"/>
              <w:jc w:val="left"/>
              <w:rPr>
                <w:rFonts w:ascii="宋体" w:cs="Times New Roman"/>
                <w:color w:val="000000"/>
                <w:sz w:val="24"/>
                <w:szCs w:val="24"/>
              </w:rPr>
            </w:pPr>
            <w:r>
              <w:rPr>
                <w:rFonts w:hint="eastAsia" w:ascii="宋体" w:hAnsi="宋体" w:cs="宋体"/>
                <w:color w:val="000000"/>
                <w:sz w:val="24"/>
                <w:szCs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cs="Times New Roman"/>
                <w:sz w:val="24"/>
                <w:szCs w:val="24"/>
              </w:rPr>
            </w:pPr>
          </w:p>
        </w:tc>
        <w:tc>
          <w:tcPr>
            <w:tcW w:w="3020" w:type="dxa"/>
            <w:tcBorders>
              <w:top w:val="single" w:color="auto" w:sz="4" w:space="0"/>
              <w:left w:val="single" w:color="auto" w:sz="4" w:space="0"/>
              <w:bottom w:val="single" w:color="auto" w:sz="4" w:space="0"/>
            </w:tcBorders>
          </w:tcPr>
          <w:p>
            <w:pPr>
              <w:snapToGrid w:val="0"/>
              <w:spacing w:beforeLines="50"/>
              <w:rPr>
                <w:rFonts w:ascii="宋体" w:cs="Times New Roman"/>
                <w:sz w:val="24"/>
                <w:szCs w:val="24"/>
              </w:rPr>
            </w:pPr>
          </w:p>
        </w:tc>
      </w:tr>
    </w:tbl>
    <w:p>
      <w:pPr>
        <w:snapToGrid w:val="0"/>
        <w:spacing w:beforeLines="50"/>
        <w:rPr>
          <w:rFonts w:ascii="宋体" w:cs="Times New Roman"/>
          <w:sz w:val="24"/>
          <w:szCs w:val="24"/>
          <w:u w:val="single"/>
        </w:rPr>
      </w:pPr>
      <w:r>
        <w:rPr>
          <w:rFonts w:hint="eastAsia" w:ascii="宋体" w:hAnsi="宋体" w:cs="宋体"/>
          <w:sz w:val="24"/>
          <w:szCs w:val="24"/>
        </w:rPr>
        <w:t>授权代表签名：</w:t>
      </w:r>
      <w:r>
        <w:rPr>
          <w:rFonts w:ascii="宋体" w:hAnsi="宋体" w:cs="宋体"/>
          <w:sz w:val="24"/>
          <w:szCs w:val="24"/>
        </w:rPr>
        <w:t xml:space="preserve">               </w:t>
      </w:r>
      <w:r>
        <w:rPr>
          <w:rFonts w:hint="eastAsia" w:ascii="宋体" w:hAnsi="宋体" w:cs="宋体"/>
          <w:sz w:val="24"/>
          <w:szCs w:val="24"/>
        </w:rPr>
        <w:t>日期：</w:t>
      </w: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4"/>
          <w:szCs w:val="24"/>
        </w:rPr>
      </w:pPr>
    </w:p>
    <w:p>
      <w:pPr>
        <w:snapToGrid w:val="0"/>
        <w:spacing w:before="50" w:afterLines="50"/>
        <w:jc w:val="left"/>
        <w:rPr>
          <w:rFonts w:ascii="宋体" w:cs="Times New Roman"/>
          <w:sz w:val="28"/>
          <w:szCs w:val="28"/>
        </w:rPr>
      </w:pPr>
    </w:p>
    <w:p>
      <w:pPr>
        <w:snapToGrid w:val="0"/>
        <w:spacing w:before="50" w:afterLines="50"/>
        <w:jc w:val="left"/>
        <w:rPr>
          <w:rFonts w:ascii="宋体" w:cs="Times New Roman"/>
          <w:sz w:val="28"/>
          <w:szCs w:val="28"/>
        </w:rPr>
      </w:pPr>
    </w:p>
    <w:p>
      <w:pPr>
        <w:widowControl/>
        <w:jc w:val="left"/>
        <w:rPr>
          <w:rFonts w:ascii="宋体" w:cs="Times New Roman"/>
          <w:sz w:val="28"/>
          <w:szCs w:val="28"/>
        </w:rPr>
        <w:sectPr>
          <w:pgSz w:w="11906" w:h="16838"/>
          <w:pgMar w:top="1440" w:right="1797" w:bottom="1440" w:left="1797" w:header="851" w:footer="851" w:gutter="0"/>
          <w:cols w:space="720" w:num="1"/>
        </w:sectPr>
      </w:pPr>
    </w:p>
    <w:p>
      <w:pPr>
        <w:snapToGrid w:val="0"/>
        <w:spacing w:before="50" w:after="50"/>
        <w:jc w:val="center"/>
        <w:rPr>
          <w:rFonts w:ascii="宋体" w:cs="Times New Roman"/>
          <w:b/>
          <w:bCs/>
          <w:sz w:val="28"/>
          <w:szCs w:val="28"/>
        </w:rPr>
      </w:pPr>
      <w:r>
        <w:rPr>
          <w:rFonts w:hint="eastAsia" w:ascii="宋体" w:hAnsi="宋体" w:cs="宋体"/>
          <w:b/>
          <w:bCs/>
          <w:sz w:val="28"/>
          <w:szCs w:val="28"/>
        </w:rPr>
        <w:t>磋商响应方业绩情况一览表</w:t>
      </w: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磋商响应方全称（公章）：</w:t>
      </w:r>
    </w:p>
    <w:tbl>
      <w:tblPr>
        <w:tblStyle w:val="19"/>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w:t>
            </w:r>
          </w:p>
          <w:p>
            <w:pPr>
              <w:snapToGrid w:val="0"/>
              <w:jc w:val="center"/>
              <w:rPr>
                <w:rFonts w:ascii="宋体" w:cs="Times New Roman"/>
                <w:sz w:val="24"/>
                <w:szCs w:val="24"/>
              </w:rPr>
            </w:pPr>
            <w:r>
              <w:rPr>
                <w:rFonts w:hint="eastAsia" w:ascii="宋体" w:hAnsi="宋体" w:cs="宋体"/>
                <w:sz w:val="24"/>
                <w:szCs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合同</w:t>
            </w:r>
          </w:p>
          <w:p>
            <w:pPr>
              <w:snapToGrid w:val="0"/>
              <w:jc w:val="center"/>
              <w:rPr>
                <w:rFonts w:ascii="宋体" w:cs="Times New Roman"/>
                <w:sz w:val="24"/>
                <w:szCs w:val="24"/>
              </w:rPr>
            </w:pPr>
            <w:r>
              <w:rPr>
                <w:rFonts w:hint="eastAsia" w:ascii="宋体" w:hAnsi="宋体" w:cs="宋体"/>
                <w:sz w:val="24"/>
                <w:szCs w:val="24"/>
              </w:rPr>
              <w:t>金额</w:t>
            </w:r>
          </w:p>
          <w:p>
            <w:pPr>
              <w:snapToGrid w:val="0"/>
              <w:jc w:val="center"/>
              <w:rPr>
                <w:rFonts w:ascii="宋体" w:cs="Times New Roman"/>
                <w:sz w:val="24"/>
                <w:szCs w:val="24"/>
              </w:rPr>
            </w:pPr>
            <w:r>
              <w:rPr>
                <w:rFonts w:hint="eastAsia" w:ascii="宋体" w:hAnsi="宋体" w:cs="宋体"/>
                <w:sz w:val="24"/>
                <w:szCs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附件页码</w:t>
            </w:r>
          </w:p>
        </w:tc>
        <w:tc>
          <w:tcPr>
            <w:tcW w:w="1559" w:type="dxa"/>
            <w:vMerge w:val="restart"/>
            <w:tcBorders>
              <w:top w:val="single" w:color="auto" w:sz="4" w:space="0"/>
              <w:left w:val="single" w:color="auto" w:sz="4" w:space="0"/>
              <w:bottom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采购单位联系人及</w:t>
            </w:r>
          </w:p>
          <w:p>
            <w:pPr>
              <w:snapToGrid w:val="0"/>
              <w:jc w:val="center"/>
              <w:rPr>
                <w:rFonts w:ascii="宋体" w:cs="Times New Roman"/>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合</w:t>
            </w:r>
          </w:p>
          <w:p>
            <w:pPr>
              <w:snapToGrid w:val="0"/>
              <w:jc w:val="center"/>
              <w:rPr>
                <w:rFonts w:ascii="宋体" w:cs="Times New Roman"/>
                <w:sz w:val="24"/>
                <w:szCs w:val="24"/>
              </w:rPr>
            </w:pPr>
            <w:r>
              <w:rPr>
                <w:rFonts w:hint="eastAsia" w:ascii="宋体" w:hAnsi="宋体" w:cs="宋体"/>
                <w:sz w:val="24"/>
                <w:szCs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验收</w:t>
            </w:r>
          </w:p>
          <w:p>
            <w:pPr>
              <w:snapToGrid w:val="0"/>
              <w:jc w:val="center"/>
              <w:rPr>
                <w:rFonts w:ascii="宋体" w:cs="Times New Roman"/>
                <w:sz w:val="24"/>
                <w:szCs w:val="24"/>
              </w:rPr>
            </w:pPr>
            <w:r>
              <w:rPr>
                <w:rFonts w:hint="eastAsia" w:ascii="宋体" w:hAnsi="宋体" w:cs="宋体"/>
                <w:sz w:val="24"/>
                <w:szCs w:val="24"/>
              </w:rPr>
              <w:t>报告</w:t>
            </w:r>
          </w:p>
        </w:tc>
        <w:tc>
          <w:tcPr>
            <w:tcW w:w="1559" w:type="dxa"/>
            <w:vMerge w:val="continue"/>
            <w:tcBorders>
              <w:top w:val="single" w:color="auto" w:sz="4" w:space="0"/>
              <w:left w:val="single" w:color="auto" w:sz="4" w:space="0"/>
              <w:bottom w:val="single" w:color="auto" w:sz="4" w:space="0"/>
            </w:tcBorders>
            <w:vAlign w:val="center"/>
          </w:tcPr>
          <w:p>
            <w:pPr>
              <w:widowControl/>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4"/>
                <w:szCs w:val="24"/>
              </w:rPr>
            </w:pPr>
          </w:p>
        </w:tc>
        <w:tc>
          <w:tcPr>
            <w:tcW w:w="1559"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bottom w:val="single" w:color="auto" w:sz="4" w:space="0"/>
              <w:right w:val="single" w:color="auto" w:sz="4" w:space="0"/>
            </w:tcBorders>
          </w:tcPr>
          <w:p>
            <w:pPr>
              <w:snapToGrid w:val="0"/>
              <w:spacing w:before="50" w:afterLines="50" w:line="400" w:lineRule="exact"/>
              <w:jc w:val="center"/>
              <w:rPr>
                <w:rFonts w:ascii="宋体" w:cs="Times New Roman"/>
                <w:sz w:val="24"/>
                <w:szCs w:val="24"/>
              </w:rPr>
            </w:pPr>
            <w:r>
              <w:rPr>
                <w:rFonts w:hint="eastAsia" w:ascii="宋体" w:hAnsi="宋体" w:cs="宋体"/>
                <w:sz w:val="24"/>
                <w:szCs w:val="24"/>
              </w:rPr>
              <w:t>备注</w:t>
            </w:r>
          </w:p>
        </w:tc>
        <w:tc>
          <w:tcPr>
            <w:tcW w:w="8363" w:type="dxa"/>
            <w:gridSpan w:val="7"/>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4"/>
                <w:szCs w:val="24"/>
              </w:rPr>
            </w:pPr>
            <w:r>
              <w:rPr>
                <w:rFonts w:hint="eastAsia" w:ascii="宋体" w:hAnsi="宋体" w:cs="宋体"/>
                <w:sz w:val="24"/>
                <w:szCs w:val="24"/>
              </w:rPr>
              <w:t>提供磋商响应方同类项目合同复印件、用户验收报告（如有）。</w:t>
            </w:r>
          </w:p>
        </w:tc>
      </w:tr>
    </w:tbl>
    <w:p>
      <w:pPr>
        <w:spacing w:line="360" w:lineRule="auto"/>
        <w:rPr>
          <w:rFonts w:ascii="宋体" w:cs="Times New Roman"/>
          <w:sz w:val="24"/>
          <w:szCs w:val="24"/>
        </w:rPr>
      </w:pPr>
    </w:p>
    <w:p>
      <w:pPr>
        <w:spacing w:line="360" w:lineRule="auto"/>
        <w:rPr>
          <w:rFonts w:ascii="宋体" w:cs="Times New Roman"/>
          <w:spacing w:val="20"/>
          <w:sz w:val="24"/>
          <w:szCs w:val="24"/>
        </w:rPr>
      </w:pPr>
      <w:r>
        <w:rPr>
          <w:rFonts w:hint="eastAsia" w:ascii="宋体" w:hAnsi="宋体" w:cs="宋体"/>
          <w:sz w:val="24"/>
          <w:szCs w:val="24"/>
        </w:rPr>
        <w:t>授权代表签名：</w:t>
      </w:r>
      <w:r>
        <w:rPr>
          <w:rFonts w:hint="eastAsia" w:ascii="宋体" w:hAnsi="宋体" w:cs="宋体"/>
          <w:sz w:val="24"/>
          <w:szCs w:val="24"/>
          <w:u w:val="single"/>
        </w:rPr>
        <w:t>　　　　　</w:t>
      </w:r>
      <w:r>
        <w:rPr>
          <w:rFonts w:ascii="宋体" w:hAnsi="宋体" w:cs="宋体"/>
          <w:sz w:val="24"/>
          <w:szCs w:val="24"/>
        </w:rPr>
        <w:t xml:space="preserve">                              </w:t>
      </w:r>
    </w:p>
    <w:p>
      <w:pPr>
        <w:spacing w:line="360" w:lineRule="auto"/>
        <w:rPr>
          <w:rFonts w:ascii="宋体" w:cs="Times New Roman"/>
          <w:spacing w:val="20"/>
          <w:sz w:val="24"/>
          <w:szCs w:val="24"/>
        </w:rPr>
      </w:pPr>
    </w:p>
    <w:p>
      <w:pPr>
        <w:spacing w:line="360" w:lineRule="auto"/>
        <w:rPr>
          <w:rFonts w:ascii="宋体" w:cs="Times New Roman"/>
          <w:spacing w:val="20"/>
          <w:sz w:val="28"/>
          <w:szCs w:val="28"/>
        </w:rPr>
      </w:pPr>
    </w:p>
    <w:p>
      <w:pPr>
        <w:spacing w:line="360" w:lineRule="auto"/>
        <w:rPr>
          <w:rFonts w:ascii="宋体" w:cs="Times New Roman"/>
          <w:spacing w:val="20"/>
          <w:sz w:val="28"/>
          <w:szCs w:val="28"/>
        </w:rPr>
      </w:pPr>
    </w:p>
    <w:p>
      <w:pPr>
        <w:pStyle w:val="12"/>
        <w:snapToGrid w:val="0"/>
        <w:spacing w:line="360" w:lineRule="auto"/>
        <w:ind w:left="5250"/>
        <w:rPr>
          <w:rFonts w:ascii="宋体" w:hAnsi="宋体" w:eastAsia="宋体" w:cs="Times New Roman"/>
          <w:sz w:val="28"/>
          <w:szCs w:val="28"/>
        </w:rPr>
      </w:pPr>
    </w:p>
    <w:p>
      <w:pPr>
        <w:pStyle w:val="12"/>
        <w:snapToGrid w:val="0"/>
        <w:spacing w:line="360" w:lineRule="auto"/>
        <w:ind w:left="5250"/>
        <w:rPr>
          <w:rFonts w:ascii="宋体" w:hAnsi="宋体" w:eastAsia="宋体" w:cs="Times New Roman"/>
          <w:sz w:val="28"/>
          <w:szCs w:val="28"/>
        </w:rPr>
      </w:pPr>
    </w:p>
    <w:p/>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tabs>
          <w:tab w:val="left" w:pos="1418"/>
        </w:tabs>
        <w:snapToGrid w:val="0"/>
        <w:spacing w:before="50" w:after="50"/>
        <w:ind w:left="1418" w:hanging="567"/>
        <w:jc w:val="center"/>
        <w:rPr>
          <w:rFonts w:ascii="宋体" w:cs="Times New Roman"/>
          <w:spacing w:val="20"/>
          <w:sz w:val="24"/>
          <w:szCs w:val="24"/>
          <w:u w:val="single"/>
        </w:rPr>
      </w:pPr>
    </w:p>
    <w:p>
      <w:pPr>
        <w:tabs>
          <w:tab w:val="left" w:pos="1418"/>
        </w:tabs>
        <w:snapToGrid w:val="0"/>
        <w:spacing w:before="50" w:after="50"/>
        <w:ind w:left="1418" w:hanging="567"/>
        <w:jc w:val="center"/>
        <w:rPr>
          <w:rFonts w:ascii="宋体" w:cs="Times New Roman"/>
          <w:spacing w:val="20"/>
          <w:sz w:val="24"/>
          <w:szCs w:val="24"/>
          <w:u w:val="single"/>
        </w:rPr>
      </w:pPr>
    </w:p>
    <w:p>
      <w:pPr>
        <w:snapToGrid w:val="0"/>
        <w:spacing w:beforeLines="50" w:after="50"/>
        <w:rPr>
          <w:rFonts w:ascii="宋体" w:cs="Times New Roman"/>
          <w:b/>
          <w:bCs/>
          <w:sz w:val="24"/>
          <w:szCs w:val="24"/>
        </w:rPr>
      </w:pPr>
      <w:r>
        <w:rPr>
          <w:rFonts w:hint="eastAsia" w:ascii="宋体" w:hAnsi="宋体" w:cs="宋体"/>
          <w:sz w:val="24"/>
          <w:szCs w:val="24"/>
        </w:rPr>
        <w:t>封面格式</w:t>
      </w:r>
      <w:r>
        <w:rPr>
          <w:rFonts w:ascii="宋体" w:hAnsi="宋体" w:cs="宋体"/>
          <w:b/>
          <w:bCs/>
          <w:sz w:val="24"/>
          <w:szCs w:val="24"/>
        </w:rPr>
        <w:t xml:space="preserve">                                     </w:t>
      </w:r>
      <w:r>
        <w:rPr>
          <w:rFonts w:hint="eastAsia" w:ascii="宋体" w:hAnsi="宋体" w:cs="宋体"/>
          <w:sz w:val="24"/>
          <w:szCs w:val="24"/>
        </w:rPr>
        <w:t>正本或副本</w:t>
      </w:r>
    </w:p>
    <w:p>
      <w:pPr>
        <w:snapToGrid w:val="0"/>
        <w:spacing w:beforeLines="50" w:after="50"/>
        <w:jc w:val="right"/>
        <w:rPr>
          <w:rFonts w:ascii="宋体" w:cs="Times New Roman"/>
          <w:sz w:val="24"/>
          <w:szCs w:val="24"/>
        </w:rPr>
      </w:pPr>
      <w:r>
        <w:rPr>
          <w:rFonts w:ascii="宋体" w:hAnsi="宋体" w:cs="宋体"/>
          <w:sz w:val="24"/>
          <w:szCs w:val="24"/>
        </w:rPr>
        <w:t xml:space="preserve">                                            </w:t>
      </w:r>
    </w:p>
    <w:p>
      <w:pPr>
        <w:ind w:right="-110"/>
        <w:jc w:val="center"/>
        <w:rPr>
          <w:rFonts w:ascii="宋体" w:cs="Times New Roman"/>
          <w:spacing w:val="40"/>
          <w:sz w:val="32"/>
          <w:szCs w:val="32"/>
        </w:rPr>
      </w:pPr>
      <w:r>
        <w:rPr>
          <w:rFonts w:ascii="宋体" w:hAnsi="宋体" w:cs="宋体"/>
          <w:spacing w:val="40"/>
          <w:sz w:val="32"/>
          <w:szCs w:val="32"/>
        </w:rPr>
        <w:t>***</w:t>
      </w:r>
      <w:r>
        <w:rPr>
          <w:rFonts w:hint="eastAsia" w:ascii="宋体" w:hAnsi="宋体" w:cs="宋体"/>
          <w:spacing w:val="40"/>
          <w:sz w:val="32"/>
          <w:szCs w:val="32"/>
        </w:rPr>
        <w:t>项目名称</w:t>
      </w:r>
    </w:p>
    <w:p>
      <w:pPr>
        <w:spacing w:beforeLines="100" w:line="240" w:lineRule="atLeast"/>
        <w:ind w:right="-108"/>
        <w:jc w:val="center"/>
        <w:rPr>
          <w:rFonts w:ascii="宋体" w:cs="Times New Roman"/>
          <w:sz w:val="24"/>
          <w:szCs w:val="24"/>
        </w:rPr>
      </w:pPr>
    </w:p>
    <w:p>
      <w:pPr>
        <w:spacing w:beforeLines="100" w:line="240" w:lineRule="atLeast"/>
        <w:ind w:right="-108"/>
        <w:jc w:val="center"/>
        <w:rPr>
          <w:rFonts w:ascii="宋体" w:cs="Times New Roman"/>
          <w:sz w:val="24"/>
          <w:szCs w:val="24"/>
        </w:rPr>
      </w:pPr>
      <w:r>
        <w:rPr>
          <w:rFonts w:hint="eastAsia" w:ascii="宋体" w:hAnsi="宋体" w:cs="宋体"/>
          <w:sz w:val="24"/>
          <w:szCs w:val="24"/>
        </w:rPr>
        <w:t>项目编号：</w:t>
      </w:r>
      <w:r>
        <w:rPr>
          <w:rFonts w:ascii="宋体" w:hAnsi="宋体" w:cs="宋体"/>
          <w:sz w:val="24"/>
          <w:szCs w:val="24"/>
        </w:rPr>
        <w:t xml:space="preserve">************** </w:t>
      </w:r>
      <w:r>
        <w:rPr>
          <w:rFonts w:hint="eastAsia" w:ascii="宋体" w:hAnsi="宋体" w:cs="宋体"/>
          <w:sz w:val="24"/>
          <w:szCs w:val="24"/>
        </w:rPr>
        <w:t>（标项</w:t>
      </w:r>
      <w:r>
        <w:rPr>
          <w:rFonts w:ascii="宋体" w:hAnsi="宋体" w:cs="宋体"/>
          <w:sz w:val="24"/>
          <w:szCs w:val="24"/>
        </w:rPr>
        <w:t>*</w:t>
      </w:r>
      <w:r>
        <w:rPr>
          <w:rFonts w:hint="eastAsia" w:ascii="宋体" w:hAnsi="宋体" w:cs="宋体"/>
          <w:sz w:val="24"/>
          <w:szCs w:val="24"/>
        </w:rPr>
        <w:t>）</w:t>
      </w:r>
    </w:p>
    <w:p>
      <w:pPr>
        <w:spacing w:after="100" w:afterAutospacing="1" w:line="4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24"/>
          <w:szCs w:val="24"/>
        </w:rPr>
      </w:pP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报</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价</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文</w:t>
      </w:r>
    </w:p>
    <w:p>
      <w:pPr>
        <w:spacing w:after="100" w:afterAutospacing="1" w:line="800" w:lineRule="exact"/>
        <w:ind w:right="-108"/>
        <w:jc w:val="center"/>
        <w:rPr>
          <w:rFonts w:ascii="宋体" w:cs="Times New Roman"/>
          <w:b/>
          <w:bCs/>
          <w:spacing w:val="40"/>
          <w:sz w:val="32"/>
          <w:szCs w:val="32"/>
        </w:rPr>
      </w:pPr>
      <w:r>
        <w:rPr>
          <w:rFonts w:hint="eastAsia" w:ascii="宋体" w:hAnsi="宋体" w:cs="宋体"/>
          <w:b/>
          <w:bCs/>
          <w:spacing w:val="40"/>
          <w:sz w:val="32"/>
          <w:szCs w:val="32"/>
        </w:rPr>
        <w:t>件</w:t>
      </w: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500" w:lineRule="exact"/>
        <w:ind w:right="532"/>
        <w:rPr>
          <w:rFonts w:ascii="宋体" w:cs="Times New Roman"/>
          <w:sz w:val="24"/>
          <w:szCs w:val="24"/>
        </w:rPr>
      </w:pPr>
    </w:p>
    <w:p>
      <w:pPr>
        <w:spacing w:line="600" w:lineRule="exact"/>
        <w:ind w:right="532" w:firstLine="480" w:firstLineChars="200"/>
        <w:rPr>
          <w:rFonts w:ascii="宋体" w:cs="Times New Roman"/>
          <w:sz w:val="24"/>
          <w:szCs w:val="24"/>
        </w:rPr>
      </w:pPr>
      <w:r>
        <w:rPr>
          <w:rFonts w:hint="eastAsia" w:ascii="宋体" w:hAnsi="宋体" w:cs="宋体"/>
          <w:sz w:val="24"/>
          <w:szCs w:val="24"/>
        </w:rPr>
        <w:t>单位全称（公章）：</w:t>
      </w:r>
    </w:p>
    <w:p>
      <w:pPr>
        <w:spacing w:line="600" w:lineRule="exact"/>
        <w:ind w:right="532" w:firstLine="480" w:firstLineChars="2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600" w:lineRule="exact"/>
        <w:ind w:right="532" w:firstLine="480" w:firstLineChars="200"/>
        <w:rPr>
          <w:rFonts w:ascii="宋体" w:cs="Times New Roman"/>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p>
      <w:pPr>
        <w:pStyle w:val="12"/>
        <w:snapToGrid w:val="0"/>
        <w:ind w:leftChars="0"/>
        <w:rPr>
          <w:rFonts w:ascii="宋体" w:hAnsi="宋体" w:eastAsia="宋体" w:cs="Times New Roman"/>
          <w:sz w:val="24"/>
          <w:szCs w:val="24"/>
        </w:rPr>
      </w:pPr>
    </w:p>
    <w:p>
      <w:pPr>
        <w:snapToGrid w:val="0"/>
        <w:spacing w:line="420" w:lineRule="exact"/>
        <w:jc w:val="left"/>
        <w:rPr>
          <w:rFonts w:ascii="宋体" w:cs="Times New Roman"/>
          <w:sz w:val="24"/>
          <w:szCs w:val="24"/>
        </w:rPr>
      </w:pPr>
      <w:r>
        <w:rPr>
          <w:rFonts w:ascii="宋体" w:cs="Times New Roman"/>
          <w:sz w:val="24"/>
          <w:szCs w:val="24"/>
        </w:rPr>
        <w:br w:type="page"/>
      </w:r>
      <w:r>
        <w:rPr>
          <w:rFonts w:ascii="宋体" w:hAnsi="宋体" w:cs="宋体"/>
          <w:sz w:val="24"/>
          <w:szCs w:val="24"/>
        </w:rPr>
        <w:t xml:space="preserve">             </w:t>
      </w:r>
    </w:p>
    <w:p>
      <w:pPr>
        <w:snapToGrid w:val="0"/>
        <w:spacing w:line="420" w:lineRule="exact"/>
        <w:ind w:firstLine="420" w:firstLineChars="150"/>
        <w:jc w:val="left"/>
        <w:rPr>
          <w:rFonts w:ascii="宋体" w:cs="Times New Roman"/>
          <w:sz w:val="28"/>
          <w:szCs w:val="28"/>
        </w:rPr>
      </w:pPr>
      <w:r>
        <w:rPr>
          <w:rFonts w:hint="eastAsia" w:ascii="宋体" w:hAnsi="宋体" w:cs="宋体"/>
          <w:sz w:val="28"/>
          <w:szCs w:val="28"/>
        </w:rPr>
        <w:t>报价文件</w:t>
      </w:r>
    </w:p>
    <w:p>
      <w:pPr>
        <w:spacing w:line="420" w:lineRule="exact"/>
        <w:ind w:firstLine="280" w:firstLineChars="100"/>
        <w:rPr>
          <w:rFonts w:ascii="宋体" w:cs="Times New Roman"/>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）投标报价一览表</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）投标报价明细表（见附件）；</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）小微企业声明函（见附件）；</w:t>
      </w:r>
      <w:r>
        <w:rPr>
          <w:rFonts w:ascii="宋体" w:hAnsi="宋体" w:cs="宋体"/>
          <w:sz w:val="28"/>
          <w:szCs w:val="28"/>
        </w:rPr>
        <w:t xml:space="preserve"> </w:t>
      </w:r>
    </w:p>
    <w:p>
      <w:pPr>
        <w:spacing w:line="420" w:lineRule="exact"/>
        <w:ind w:firstLine="280" w:firstLineChars="10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）残疾人福利企业声明函（见附件）；</w:t>
      </w:r>
    </w:p>
    <w:p>
      <w:pPr>
        <w:spacing w:line="420" w:lineRule="exact"/>
        <w:ind w:firstLine="280" w:firstLineChars="100"/>
        <w:rPr>
          <w:rFonts w:ascii="宋体" w:cs="Times New Roman"/>
          <w:kern w:val="0"/>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）小微企业名录查询记录</w:t>
      </w:r>
    </w:p>
    <w:p>
      <w:pPr>
        <w:pStyle w:val="17"/>
        <w:spacing w:line="460" w:lineRule="exact"/>
        <w:ind w:firstLine="280" w:firstLineChars="100"/>
        <w:rPr>
          <w:rFonts w:ascii="宋体" w:cs="Times New Roman"/>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）磋商响应方针对报价需要说明的其他文件和说明（格式自拟）。</w:t>
      </w:r>
    </w:p>
    <w:p>
      <w:pPr>
        <w:rPr>
          <w:rFonts w:ascii="宋体" w:cs="Times New Roman"/>
          <w:sz w:val="24"/>
          <w:szCs w:val="24"/>
        </w:rPr>
      </w:pPr>
    </w:p>
    <w:p>
      <w:pPr>
        <w:rPr>
          <w:rFonts w:ascii="宋体" w:cs="Times New Roman"/>
          <w:sz w:val="24"/>
          <w:szCs w:val="24"/>
        </w:rPr>
        <w:sectPr>
          <w:pgSz w:w="11906" w:h="16838"/>
          <w:pgMar w:top="1440" w:right="1797" w:bottom="1440" w:left="1797" w:header="851" w:footer="992" w:gutter="0"/>
          <w:cols w:space="720" w:num="1"/>
          <w:docGrid w:linePitch="312" w:charSpace="0"/>
        </w:sectPr>
      </w:pPr>
    </w:p>
    <w:p>
      <w:pPr>
        <w:snapToGrid w:val="0"/>
        <w:spacing w:before="50" w:after="240"/>
        <w:jc w:val="center"/>
        <w:rPr>
          <w:rFonts w:ascii="宋体" w:cs="Times New Roman"/>
          <w:b/>
          <w:bCs/>
          <w:color w:val="000000"/>
          <w:sz w:val="24"/>
          <w:szCs w:val="24"/>
        </w:rPr>
      </w:pPr>
      <w:r>
        <w:rPr>
          <w:rFonts w:hint="eastAsia" w:ascii="宋体" w:hAnsi="宋体" w:cs="宋体"/>
          <w:b/>
          <w:bCs/>
          <w:color w:val="000000"/>
          <w:sz w:val="24"/>
          <w:szCs w:val="24"/>
        </w:rPr>
        <w:t>报</w:t>
      </w:r>
      <w:r>
        <w:rPr>
          <w:rFonts w:ascii="宋体" w:hAnsi="宋体" w:cs="宋体"/>
          <w:b/>
          <w:bCs/>
          <w:color w:val="000000"/>
          <w:sz w:val="24"/>
          <w:szCs w:val="24"/>
        </w:rPr>
        <w:t xml:space="preserve"> </w:t>
      </w:r>
      <w:r>
        <w:rPr>
          <w:rFonts w:hint="eastAsia" w:ascii="宋体" w:hAnsi="宋体" w:cs="宋体"/>
          <w:b/>
          <w:bCs/>
          <w:color w:val="000000"/>
          <w:sz w:val="24"/>
          <w:szCs w:val="24"/>
        </w:rPr>
        <w:t>价</w:t>
      </w:r>
      <w:r>
        <w:rPr>
          <w:rFonts w:ascii="宋体" w:hAnsi="宋体" w:cs="宋体"/>
          <w:b/>
          <w:bCs/>
          <w:color w:val="000000"/>
          <w:sz w:val="24"/>
          <w:szCs w:val="24"/>
        </w:rPr>
        <w:t xml:space="preserve"> </w:t>
      </w:r>
      <w:r>
        <w:rPr>
          <w:rFonts w:hint="eastAsia" w:ascii="宋体" w:hAnsi="宋体" w:cs="宋体"/>
          <w:b/>
          <w:bCs/>
          <w:color w:val="000000"/>
          <w:sz w:val="24"/>
          <w:szCs w:val="24"/>
        </w:rPr>
        <w:t>一</w:t>
      </w:r>
      <w:r>
        <w:rPr>
          <w:rFonts w:ascii="宋体" w:hAnsi="宋体" w:cs="宋体"/>
          <w:b/>
          <w:bCs/>
          <w:color w:val="000000"/>
          <w:sz w:val="24"/>
          <w:szCs w:val="24"/>
        </w:rPr>
        <w:t xml:space="preserve"> </w:t>
      </w:r>
      <w:r>
        <w:rPr>
          <w:rFonts w:hint="eastAsia" w:ascii="宋体" w:hAnsi="宋体" w:cs="宋体"/>
          <w:b/>
          <w:bCs/>
          <w:color w:val="000000"/>
          <w:sz w:val="24"/>
          <w:szCs w:val="24"/>
        </w:rPr>
        <w:t>览</w:t>
      </w:r>
      <w:r>
        <w:rPr>
          <w:rFonts w:ascii="宋体" w:hAnsi="宋体" w:cs="宋体"/>
          <w:b/>
          <w:bCs/>
          <w:color w:val="000000"/>
          <w:sz w:val="24"/>
          <w:szCs w:val="24"/>
        </w:rPr>
        <w:t xml:space="preserve"> </w:t>
      </w:r>
      <w:r>
        <w:rPr>
          <w:rFonts w:hint="eastAsia" w:ascii="宋体" w:hAnsi="宋体" w:cs="宋体"/>
          <w:b/>
          <w:bCs/>
          <w:color w:val="000000"/>
          <w:sz w:val="24"/>
          <w:szCs w:val="24"/>
        </w:rPr>
        <w:t>表</w:t>
      </w:r>
    </w:p>
    <w:p>
      <w:pPr>
        <w:snapToGrid w:val="0"/>
        <w:spacing w:before="50" w:after="50" w:line="400" w:lineRule="exact"/>
        <w:ind w:firstLine="720" w:firstLineChars="300"/>
        <w:rPr>
          <w:rFonts w:ascii="宋体" w:cs="Times New Roman"/>
          <w:sz w:val="24"/>
          <w:szCs w:val="24"/>
          <w:u w:val="single"/>
        </w:rPr>
      </w:pPr>
      <w:r>
        <w:rPr>
          <w:rFonts w:hint="eastAsia" w:ascii="宋体" w:hAnsi="宋体" w:cs="宋体"/>
          <w:sz w:val="24"/>
          <w:szCs w:val="24"/>
        </w:rPr>
        <w:t>单位全称（公章）：</w:t>
      </w:r>
      <w:r>
        <w:rPr>
          <w:rFonts w:ascii="宋体" w:hAnsi="宋体" w:cs="宋体"/>
          <w:sz w:val="24"/>
          <w:szCs w:val="24"/>
          <w:u w:val="single"/>
        </w:rPr>
        <w:t xml:space="preserve">                  </w:t>
      </w:r>
      <w:r>
        <w:rPr>
          <w:rFonts w:hint="eastAsia" w:ascii="宋体" w:hAnsi="宋体" w:cs="宋体"/>
          <w:sz w:val="24"/>
          <w:szCs w:val="24"/>
        </w:rPr>
        <w:t>项目编号：</w:t>
      </w:r>
      <w:r>
        <w:rPr>
          <w:rFonts w:ascii="宋体" w:hAnsi="宋体" w:cs="宋体"/>
          <w:sz w:val="24"/>
          <w:szCs w:val="24"/>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报价内容</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投标报价</w:t>
            </w: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cs="Times New Roman"/>
                <w:sz w:val="24"/>
                <w:szCs w:val="24"/>
              </w:rPr>
            </w:pPr>
          </w:p>
        </w:tc>
        <w:tc>
          <w:tcPr>
            <w:tcW w:w="1442" w:type="dxa"/>
            <w:tcBorders>
              <w:top w:val="single" w:color="auto" w:sz="4" w:space="0"/>
              <w:left w:val="single" w:color="auto" w:sz="4" w:space="0"/>
              <w:bottom w:val="single" w:color="auto" w:sz="4" w:space="0"/>
            </w:tcBorders>
            <w:vAlign w:val="center"/>
          </w:tcPr>
          <w:p>
            <w:pPr>
              <w:snapToGrid w:val="0"/>
              <w:spacing w:line="500" w:lineRule="exact"/>
              <w:jc w:val="center"/>
              <w:rPr>
                <w:rFonts w:ascii="宋体" w:cs="Times New Roman"/>
                <w:sz w:val="24"/>
                <w:szCs w:val="24"/>
              </w:rPr>
            </w:pPr>
          </w:p>
        </w:tc>
      </w:tr>
    </w:tbl>
    <w:p>
      <w:pPr>
        <w:snapToGrid w:val="0"/>
        <w:spacing w:before="50" w:after="50" w:line="400" w:lineRule="exact"/>
        <w:ind w:firstLine="720" w:firstLineChars="300"/>
        <w:rPr>
          <w:rFonts w:ascii="宋体" w:cs="Times New Roman"/>
          <w:sz w:val="24"/>
          <w:szCs w:val="24"/>
          <w:u w:val="single"/>
        </w:rPr>
      </w:pPr>
    </w:p>
    <w:p>
      <w:pPr>
        <w:snapToGrid w:val="0"/>
        <w:spacing w:before="50" w:after="50" w:line="400" w:lineRule="exact"/>
        <w:ind w:firstLine="720" w:firstLineChars="300"/>
        <w:rPr>
          <w:rFonts w:ascii="宋体" w:cs="Times New Roman"/>
          <w:color w:val="000000"/>
          <w:sz w:val="24"/>
          <w:szCs w:val="24"/>
        </w:rPr>
      </w:pPr>
    </w:p>
    <w:p>
      <w:pPr>
        <w:snapToGrid w:val="0"/>
        <w:spacing w:before="50" w:after="50" w:line="400" w:lineRule="exact"/>
        <w:ind w:firstLine="600" w:firstLineChars="250"/>
        <w:jc w:val="left"/>
        <w:rPr>
          <w:rFonts w:ascii="宋体" w:cs="Times New Roman"/>
          <w:color w:val="000000"/>
          <w:sz w:val="24"/>
          <w:szCs w:val="24"/>
        </w:rPr>
      </w:pPr>
      <w:r>
        <w:rPr>
          <w:rFonts w:hint="eastAsia" w:ascii="宋体" w:hAnsi="宋体" w:cs="宋体"/>
          <w:color w:val="000000"/>
          <w:sz w:val="24"/>
          <w:szCs w:val="24"/>
        </w:rPr>
        <w:t>注</w:t>
      </w:r>
      <w:r>
        <w:rPr>
          <w:rFonts w:ascii="宋体" w:hAnsi="宋体" w:cs="宋体"/>
          <w:color w:val="000000"/>
          <w:sz w:val="24"/>
          <w:szCs w:val="24"/>
        </w:rPr>
        <w:t>: 1</w:t>
      </w:r>
      <w:r>
        <w:rPr>
          <w:rFonts w:hint="eastAsia" w:ascii="宋体" w:hAnsi="宋体" w:cs="宋体"/>
          <w:color w:val="000000"/>
          <w:sz w:val="24"/>
          <w:szCs w:val="24"/>
        </w:rPr>
        <w:t>、此表报价单不得涂改，请按规定要求填报。</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、以上报价应与“报价明细表”中的“合计”数相一致。</w:t>
      </w:r>
    </w:p>
    <w:p>
      <w:pPr>
        <w:snapToGrid w:val="0"/>
        <w:spacing w:before="50" w:after="50" w:line="400" w:lineRule="exact"/>
        <w:ind w:firstLine="1080" w:firstLineChars="450"/>
        <w:jc w:val="left"/>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cs="Times New Roman"/>
          <w:color w:val="000000"/>
          <w:sz w:val="24"/>
          <w:szCs w:val="24"/>
        </w:rPr>
      </w:pPr>
      <w:r>
        <w:rPr>
          <w:rFonts w:hint="eastAsia" w:ascii="宋体" w:hAnsi="宋体" w:cs="宋体"/>
          <w:color w:val="000000"/>
          <w:sz w:val="24"/>
          <w:szCs w:val="24"/>
        </w:rPr>
        <w:t>全权代表（签字）：</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240" w:after="50" w:line="400" w:lineRule="exact"/>
        <w:ind w:firstLine="1080" w:firstLineChars="450"/>
        <w:jc w:val="left"/>
        <w:rPr>
          <w:rFonts w:ascii="宋体" w:cs="Times New Roman"/>
          <w:color w:val="000000"/>
          <w:sz w:val="24"/>
          <w:szCs w:val="24"/>
        </w:rPr>
      </w:pPr>
    </w:p>
    <w:p>
      <w:pPr>
        <w:snapToGrid w:val="0"/>
        <w:spacing w:before="50" w:after="50" w:line="400" w:lineRule="exact"/>
        <w:ind w:left="-3" w:leftChars="-72" w:right="-817" w:rightChars="-389" w:hanging="148" w:hangingChars="62"/>
        <w:rPr>
          <w:rFonts w:ascii="宋体" w:cs="Times New Roman"/>
          <w:sz w:val="24"/>
          <w:szCs w:val="24"/>
        </w:rPr>
        <w:sectPr>
          <w:pgSz w:w="11906" w:h="16838"/>
          <w:pgMar w:top="1440" w:right="1797" w:bottom="1440" w:left="1797" w:header="851" w:footer="851" w:gutter="0"/>
          <w:cols w:space="720" w:num="1"/>
          <w:titlePg/>
          <w:docGrid w:linePitch="312" w:charSpace="0"/>
        </w:sectPr>
      </w:pPr>
    </w:p>
    <w:p>
      <w:pPr>
        <w:pStyle w:val="11"/>
        <w:snapToGrid w:val="0"/>
        <w:spacing w:beforeLines="0" w:afterLines="0" w:line="240" w:lineRule="auto"/>
        <w:jc w:val="center"/>
        <w:rPr>
          <w:rFonts w:hAnsi="宋体" w:cs="Times New Roman"/>
          <w:b/>
          <w:bCs/>
        </w:rPr>
      </w:pPr>
      <w:r>
        <w:rPr>
          <w:rFonts w:hint="eastAsia" w:hAnsi="宋体"/>
          <w:b/>
          <w:bCs/>
        </w:rPr>
        <w:t>报</w:t>
      </w:r>
      <w:r>
        <w:rPr>
          <w:rFonts w:hAnsi="宋体"/>
          <w:b/>
          <w:bCs/>
        </w:rPr>
        <w:t xml:space="preserve"> </w:t>
      </w:r>
      <w:r>
        <w:rPr>
          <w:rFonts w:hint="eastAsia" w:hAnsi="宋体"/>
          <w:b/>
          <w:bCs/>
        </w:rPr>
        <w:t>价</w:t>
      </w:r>
      <w:r>
        <w:rPr>
          <w:rFonts w:hAnsi="宋体"/>
          <w:b/>
          <w:bCs/>
        </w:rPr>
        <w:t xml:space="preserve"> </w:t>
      </w:r>
      <w:r>
        <w:rPr>
          <w:rFonts w:hint="eastAsia" w:hAnsi="宋体"/>
          <w:b/>
          <w:bCs/>
        </w:rPr>
        <w:t>明</w:t>
      </w:r>
      <w:r>
        <w:rPr>
          <w:rFonts w:hAnsi="宋体"/>
          <w:b/>
          <w:bCs/>
        </w:rPr>
        <w:t xml:space="preserve"> </w:t>
      </w:r>
      <w:r>
        <w:rPr>
          <w:rFonts w:hint="eastAsia" w:hAnsi="宋体"/>
          <w:b/>
          <w:bCs/>
        </w:rPr>
        <w:t>细</w:t>
      </w:r>
      <w:r>
        <w:rPr>
          <w:rFonts w:hAnsi="宋体"/>
          <w:b/>
          <w:bCs/>
        </w:rPr>
        <w:t xml:space="preserve"> </w:t>
      </w:r>
      <w:r>
        <w:rPr>
          <w:rFonts w:hint="eastAsia" w:hAnsi="宋体"/>
          <w:b/>
          <w:bCs/>
        </w:rPr>
        <w:t>表</w:t>
      </w:r>
    </w:p>
    <w:p>
      <w:pPr>
        <w:pStyle w:val="7"/>
        <w:snapToGrid w:val="0"/>
        <w:rPr>
          <w:rFonts w:ascii="宋体" w:hAnsi="宋体" w:eastAsia="宋体" w:cs="Times New Roman"/>
          <w:sz w:val="24"/>
          <w:szCs w:val="24"/>
          <w:u w:val="single"/>
        </w:rPr>
      </w:pPr>
      <w:r>
        <w:rPr>
          <w:rFonts w:hint="eastAsia" w:ascii="宋体" w:hAnsi="宋体" w:eastAsia="宋体" w:cs="宋体"/>
          <w:sz w:val="24"/>
          <w:szCs w:val="24"/>
        </w:rPr>
        <w:t>单位全称（公章）：</w:t>
      </w:r>
      <w:r>
        <w:rPr>
          <w:rFonts w:ascii="宋体" w:hAnsi="宋体" w:eastAsia="宋体" w:cs="宋体"/>
          <w:sz w:val="24"/>
          <w:szCs w:val="24"/>
          <w:u w:val="single"/>
        </w:rPr>
        <w:t xml:space="preserve">                </w:t>
      </w:r>
      <w:r>
        <w:rPr>
          <w:rFonts w:ascii="宋体" w:hAnsi="宋体" w:eastAsia="宋体" w:cs="宋体"/>
          <w:sz w:val="24"/>
          <w:szCs w:val="24"/>
        </w:rPr>
        <w:t xml:space="preserve">          </w:t>
      </w: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tabs>
          <w:tab w:val="left" w:pos="1418"/>
        </w:tabs>
        <w:snapToGrid w:val="0"/>
        <w:spacing w:before="50" w:after="50" w:line="460" w:lineRule="exact"/>
        <w:ind w:left="1418" w:hanging="567"/>
        <w:jc w:val="center"/>
        <w:rPr>
          <w:rFonts w:ascii="宋体" w:cs="Times New Roman"/>
          <w:spacing w:val="20"/>
          <w:sz w:val="24"/>
          <w:szCs w:val="24"/>
          <w:u w:val="single"/>
        </w:rPr>
      </w:pPr>
    </w:p>
    <w:p>
      <w:pPr>
        <w:snapToGrid w:val="0"/>
        <w:spacing w:before="50" w:after="50" w:line="460" w:lineRule="exact"/>
        <w:rPr>
          <w:rFonts w:ascii="宋体" w:cs="Times New Roman"/>
          <w:spacing w:val="20"/>
          <w:sz w:val="24"/>
          <w:szCs w:val="24"/>
          <w:u w:val="single"/>
        </w:rPr>
      </w:pPr>
      <w:r>
        <w:rPr>
          <w:rFonts w:hint="eastAsia" w:ascii="宋体" w:hAnsi="宋体" w:cs="宋体"/>
          <w:spacing w:val="20"/>
          <w:sz w:val="24"/>
          <w:szCs w:val="24"/>
        </w:rPr>
        <w:t>全权代表签名：</w:t>
      </w:r>
      <w:r>
        <w:rPr>
          <w:rFonts w:ascii="宋体" w:hAnsi="宋体" w:cs="宋体"/>
          <w:spacing w:val="20"/>
          <w:sz w:val="24"/>
          <w:szCs w:val="24"/>
          <w:u w:val="single"/>
        </w:rPr>
        <w:t xml:space="preserve">          </w:t>
      </w:r>
      <w:r>
        <w:rPr>
          <w:rFonts w:ascii="宋体" w:hAnsi="宋体" w:cs="宋体"/>
          <w:spacing w:val="20"/>
          <w:sz w:val="24"/>
          <w:szCs w:val="24"/>
        </w:rPr>
        <w:t xml:space="preserve">     </w:t>
      </w:r>
      <w:r>
        <w:rPr>
          <w:rFonts w:hint="eastAsia" w:ascii="宋体" w:hAnsi="宋体" w:cs="宋体"/>
          <w:spacing w:val="20"/>
          <w:sz w:val="24"/>
          <w:szCs w:val="24"/>
        </w:rPr>
        <w:t>日</w:t>
      </w:r>
      <w:r>
        <w:rPr>
          <w:rFonts w:ascii="宋体" w:hAnsi="宋体" w:cs="宋体"/>
          <w:spacing w:val="20"/>
          <w:sz w:val="24"/>
          <w:szCs w:val="24"/>
        </w:rPr>
        <w:t xml:space="preserve">  </w:t>
      </w:r>
      <w:r>
        <w:rPr>
          <w:rFonts w:hint="eastAsia" w:ascii="宋体" w:hAnsi="宋体" w:cs="宋体"/>
          <w:spacing w:val="20"/>
          <w:sz w:val="24"/>
          <w:szCs w:val="24"/>
        </w:rPr>
        <w:t>期：</w:t>
      </w:r>
      <w:r>
        <w:rPr>
          <w:rFonts w:ascii="宋体" w:hAnsi="宋体" w:cs="宋体"/>
          <w:spacing w:val="20"/>
          <w:sz w:val="24"/>
          <w:szCs w:val="24"/>
          <w:u w:val="single"/>
        </w:rPr>
        <w:t xml:space="preserve">         </w:t>
      </w:r>
    </w:p>
    <w:p>
      <w:pPr>
        <w:pStyle w:val="18"/>
        <w:spacing w:before="0" w:beforeAutospacing="0" w:after="0" w:afterAutospacing="0" w:line="560" w:lineRule="exact"/>
        <w:ind w:right="685"/>
        <w:rPr>
          <w:rFonts w:cs="Times New Roman"/>
        </w:rPr>
      </w:pPr>
    </w:p>
    <w:p>
      <w:pPr>
        <w:pStyle w:val="18"/>
        <w:spacing w:before="0" w:beforeAutospacing="0" w:after="0" w:afterAutospacing="0" w:line="560" w:lineRule="exact"/>
        <w:ind w:right="685"/>
        <w:rPr>
          <w:rFonts w:cs="Times New Roman"/>
        </w:rPr>
      </w:pPr>
    </w:p>
    <w:p>
      <w:pPr>
        <w:pStyle w:val="18"/>
        <w:spacing w:before="0" w:beforeAutospacing="0" w:after="0" w:afterAutospacing="0" w:line="560" w:lineRule="exact"/>
        <w:ind w:right="685"/>
        <w:rPr>
          <w:rFonts w:cs="Times New Roman"/>
        </w:rPr>
      </w:pPr>
    </w:p>
    <w:p>
      <w:pPr>
        <w:pStyle w:val="18"/>
        <w:spacing w:before="0" w:beforeAutospacing="0" w:after="0" w:afterAutospacing="0" w:line="560" w:lineRule="exact"/>
        <w:ind w:right="685"/>
        <w:rPr>
          <w:rFonts w:cs="Times New Roman"/>
        </w:rPr>
      </w:pPr>
    </w:p>
    <w:p>
      <w:pPr>
        <w:pStyle w:val="18"/>
        <w:spacing w:before="0" w:beforeAutospacing="0" w:after="0" w:afterAutospacing="0" w:line="560" w:lineRule="exact"/>
        <w:ind w:right="685"/>
        <w:rPr>
          <w:rFonts w:cs="Times New Roman"/>
        </w:rPr>
      </w:pPr>
    </w:p>
    <w:p>
      <w:pPr>
        <w:pStyle w:val="11"/>
        <w:adjustRightInd w:val="0"/>
        <w:snapToGrid w:val="0"/>
        <w:spacing w:before="120" w:after="120" w:line="460" w:lineRule="exact"/>
        <w:rPr>
          <w:rFonts w:hAnsi="宋体" w:cs="Times New Roman"/>
        </w:rPr>
      </w:pPr>
    </w:p>
    <w:p>
      <w:pPr>
        <w:snapToGrid w:val="0"/>
        <w:spacing w:before="50" w:after="50"/>
        <w:jc w:val="center"/>
        <w:rPr>
          <w:rFonts w:ascii="宋体" w:cs="Times New Roman"/>
          <w:b/>
          <w:bCs/>
          <w:color w:val="000000"/>
          <w:sz w:val="36"/>
          <w:szCs w:val="36"/>
        </w:rPr>
      </w:pPr>
      <w:r>
        <w:rPr>
          <w:rFonts w:hint="eastAsia" w:ascii="宋体" w:hAnsi="宋体" w:cs="宋体"/>
          <w:b/>
          <w:bCs/>
          <w:color w:val="000000"/>
          <w:sz w:val="36"/>
          <w:szCs w:val="36"/>
        </w:rPr>
        <w:t>小微企业声明函</w:t>
      </w:r>
    </w:p>
    <w:p>
      <w:pPr>
        <w:snapToGrid w:val="0"/>
        <w:spacing w:line="360" w:lineRule="auto"/>
        <w:rPr>
          <w:rFonts w:ascii="宋体" w:cs="Times New Roman"/>
          <w:sz w:val="28"/>
          <w:szCs w:val="28"/>
        </w:rPr>
      </w:pP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本公司郑重声明，根据《政府采购促进中小企业发展暂行办法》（财库〔</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181</w:t>
      </w:r>
      <w:r>
        <w:rPr>
          <w:rFonts w:hint="eastAsia" w:ascii="宋体" w:hAnsi="宋体" w:cs="宋体"/>
          <w:sz w:val="28"/>
          <w:szCs w:val="28"/>
        </w:rPr>
        <w:t>号）的规定，本公司为（请填写：小型、微型）企业。即，本公司同时满足以下条件：</w:t>
      </w:r>
    </w:p>
    <w:p>
      <w:pPr>
        <w:snapToGrid w:val="0"/>
        <w:spacing w:line="360" w:lineRule="auto"/>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根据《工业和信息化部、国家统计局、国家发展和改革委员会、财政部关于印发中小企业划型标准规定的通知》（工信部联企业〔</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号）规定的划分标准，本公司为（请填写：小型、微型）企业。</w:t>
      </w:r>
    </w:p>
    <w:p>
      <w:pPr>
        <w:snapToGrid w:val="0"/>
        <w:spacing w:line="360" w:lineRule="auto"/>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cs="Times New Roman"/>
          <w:sz w:val="28"/>
          <w:szCs w:val="28"/>
        </w:rPr>
      </w:pPr>
      <w:r>
        <w:rPr>
          <w:rFonts w:hint="eastAsia" w:ascii="宋体" w:hAnsi="宋体" w:cs="宋体"/>
          <w:sz w:val="28"/>
          <w:szCs w:val="28"/>
        </w:rPr>
        <w:t>本公司对上述声明的真实性负责。如有虚假，将依法承担相应责任。</w:t>
      </w:r>
    </w:p>
    <w:p>
      <w:pPr>
        <w:snapToGrid w:val="0"/>
        <w:spacing w:line="360" w:lineRule="auto"/>
        <w:jc w:val="center"/>
        <w:rPr>
          <w:rFonts w:ascii="宋体" w:cs="Times New Roman"/>
          <w:sz w:val="28"/>
          <w:szCs w:val="28"/>
        </w:rPr>
      </w:pPr>
      <w:r>
        <w:rPr>
          <w:rFonts w:ascii="宋体" w:hAnsi="宋体" w:cs="宋体"/>
          <w:sz w:val="28"/>
          <w:szCs w:val="28"/>
        </w:rPr>
        <w:t xml:space="preserve">       </w:t>
      </w:r>
    </w:p>
    <w:p>
      <w:pPr>
        <w:snapToGrid w:val="0"/>
        <w:spacing w:line="360" w:lineRule="auto"/>
        <w:jc w:val="center"/>
        <w:rPr>
          <w:rFonts w:ascii="宋体" w:cs="Times New Roman"/>
          <w:sz w:val="28"/>
          <w:szCs w:val="28"/>
        </w:rPr>
      </w:pPr>
      <w:r>
        <w:rPr>
          <w:rFonts w:hint="eastAsia" w:ascii="宋体" w:hAnsi="宋体" w:cs="宋体"/>
          <w:sz w:val="28"/>
          <w:szCs w:val="28"/>
        </w:rPr>
        <w:t xml:space="preserve">         企业名称（盖章）：</w:t>
      </w:r>
    </w:p>
    <w:p>
      <w:pPr>
        <w:snapToGrid w:val="0"/>
        <w:spacing w:line="360" w:lineRule="auto"/>
        <w:jc w:val="center"/>
        <w:rPr>
          <w:rFonts w:ascii="宋体" w:cs="Times New Roman"/>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rPr>
          <w:rFonts w:hAnsi="宋体" w:cs="Times New Roman"/>
        </w:rPr>
      </w:pPr>
    </w:p>
    <w:p>
      <w:pPr>
        <w:spacing w:line="360" w:lineRule="auto"/>
        <w:jc w:val="center"/>
        <w:rPr>
          <w:rFonts w:ascii="宋体" w:cs="Times New Roman"/>
          <w:b/>
          <w:bCs/>
          <w:spacing w:val="6"/>
          <w:sz w:val="28"/>
          <w:szCs w:val="28"/>
        </w:rPr>
      </w:pPr>
      <w:bookmarkStart w:id="6" w:name="OLE_LINK14"/>
      <w:bookmarkStart w:id="7" w:name="OLE_LINK13"/>
      <w:r>
        <w:rPr>
          <w:rFonts w:hint="eastAsia" w:ascii="宋体" w:hAnsi="宋体" w:cs="宋体"/>
          <w:b/>
          <w:bCs/>
          <w:spacing w:val="6"/>
          <w:sz w:val="28"/>
          <w:szCs w:val="28"/>
        </w:rPr>
        <w:t>残疾人福利性单位声明函</w:t>
      </w:r>
    </w:p>
    <w:bookmarkEnd w:id="6"/>
    <w:bookmarkEnd w:id="7"/>
    <w:p>
      <w:pPr>
        <w:spacing w:line="360" w:lineRule="auto"/>
        <w:rPr>
          <w:rFonts w:ascii="宋体" w:cs="Times New Roman"/>
          <w:b/>
          <w:bCs/>
          <w:spacing w:val="6"/>
          <w:sz w:val="28"/>
          <w:szCs w:val="28"/>
        </w:rPr>
      </w:pP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本单位郑重声明，根据《财政部</w:t>
      </w:r>
      <w:r>
        <w:rPr>
          <w:rFonts w:ascii="宋体" w:hAnsi="宋体" w:cs="宋体"/>
          <w:spacing w:val="6"/>
          <w:sz w:val="28"/>
          <w:szCs w:val="28"/>
        </w:rPr>
        <w:t xml:space="preserve"> </w:t>
      </w:r>
      <w:r>
        <w:rPr>
          <w:rFonts w:hint="eastAsia" w:ascii="宋体" w:hAnsi="宋体" w:cs="宋体"/>
          <w:spacing w:val="6"/>
          <w:sz w:val="28"/>
          <w:szCs w:val="28"/>
        </w:rPr>
        <w:t>民政部</w:t>
      </w:r>
      <w:r>
        <w:rPr>
          <w:rFonts w:ascii="宋体" w:hAnsi="宋体" w:cs="宋体"/>
          <w:spacing w:val="6"/>
          <w:sz w:val="28"/>
          <w:szCs w:val="28"/>
        </w:rPr>
        <w:t xml:space="preserve"> </w:t>
      </w:r>
      <w:r>
        <w:rPr>
          <w:rFonts w:hint="eastAsia" w:ascii="宋体" w:hAnsi="宋体" w:cs="宋体"/>
          <w:spacing w:val="6"/>
          <w:sz w:val="28"/>
          <w:szCs w:val="28"/>
        </w:rPr>
        <w:t>中国残疾人联合会关于促进残疾人就业政府采购政策的通知》（财库</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w:t>
      </w:r>
      <w:r>
        <w:rPr>
          <w:rFonts w:ascii="宋体" w:hAnsi="宋体" w:cs="宋体"/>
          <w:sz w:val="28"/>
          <w:szCs w:val="28"/>
        </w:rPr>
        <w:t xml:space="preserve"> 141</w:t>
      </w:r>
      <w:r>
        <w:rPr>
          <w:rFonts w:hint="eastAsia" w:ascii="宋体" w:hAnsi="宋体" w:cs="宋体"/>
          <w:spacing w:val="6"/>
          <w:sz w:val="28"/>
          <w:szCs w:val="28"/>
        </w:rPr>
        <w:t>号）的规定，本单位为符合条件的残疾人福利性单位，且本单位参加</w:t>
      </w:r>
      <w:r>
        <w:rPr>
          <w:rFonts w:ascii="宋体" w:hAnsi="宋体" w:cs="宋体"/>
          <w:spacing w:val="6"/>
          <w:sz w:val="28"/>
          <w:szCs w:val="28"/>
        </w:rPr>
        <w:t>______</w:t>
      </w:r>
      <w:r>
        <w:rPr>
          <w:rFonts w:hint="eastAsia" w:ascii="宋体" w:hAnsi="宋体" w:cs="宋体"/>
          <w:spacing w:val="6"/>
          <w:sz w:val="28"/>
          <w:szCs w:val="28"/>
        </w:rPr>
        <w:t>单位的</w:t>
      </w:r>
      <w:r>
        <w:rPr>
          <w:rFonts w:ascii="宋体" w:hAnsi="宋体" w:cs="宋体"/>
          <w:spacing w:val="6"/>
          <w:sz w:val="28"/>
          <w:szCs w:val="28"/>
        </w:rPr>
        <w:t>______</w:t>
      </w:r>
      <w:r>
        <w:rPr>
          <w:rFonts w:hint="eastAsia" w:ascii="宋体" w:hAnsi="宋体" w:cs="宋体"/>
          <w:spacing w:val="6"/>
          <w:sz w:val="28"/>
          <w:szCs w:val="28"/>
        </w:rPr>
        <w:t>项目采购活动提供本单位制造的货物（由本单位承担工程</w:t>
      </w:r>
      <w:r>
        <w:rPr>
          <w:rFonts w:ascii="宋体" w:hAnsi="宋体" w:cs="宋体"/>
          <w:spacing w:val="6"/>
          <w:sz w:val="28"/>
          <w:szCs w:val="28"/>
        </w:rPr>
        <w:t>/</w:t>
      </w:r>
      <w:r>
        <w:rPr>
          <w:rFonts w:hint="eastAsia" w:ascii="宋体" w:hAnsi="宋体" w:cs="宋体"/>
          <w:spacing w:val="6"/>
          <w:sz w:val="28"/>
          <w:szCs w:val="28"/>
        </w:rPr>
        <w:t>提供服务），或者提供其他残疾人福利性单位制造的货物（不包括使用非残疾人福利性单位注册商标的货物）。</w:t>
      </w:r>
    </w:p>
    <w:p>
      <w:pPr>
        <w:spacing w:line="360" w:lineRule="auto"/>
        <w:ind w:firstLine="584" w:firstLineChars="200"/>
        <w:rPr>
          <w:rFonts w:ascii="宋体" w:cs="Times New Roman"/>
          <w:spacing w:val="6"/>
          <w:sz w:val="28"/>
          <w:szCs w:val="28"/>
        </w:rPr>
      </w:pPr>
      <w:r>
        <w:rPr>
          <w:rFonts w:hint="eastAsia" w:ascii="宋体" w:hAnsi="宋体" w:cs="宋体"/>
          <w:spacing w:val="6"/>
          <w:sz w:val="28"/>
          <w:szCs w:val="28"/>
        </w:rPr>
        <w:t>本单位对上述声明的真实性负责。如有虚假，将依法承担相应责任。</w:t>
      </w:r>
    </w:p>
    <w:p>
      <w:pPr>
        <w:spacing w:line="360" w:lineRule="auto"/>
        <w:ind w:firstLine="584" w:firstLineChars="200"/>
        <w:rPr>
          <w:rFonts w:ascii="宋体" w:cs="Times New Roman"/>
          <w:spacing w:val="6"/>
          <w:sz w:val="28"/>
          <w:szCs w:val="28"/>
        </w:rPr>
      </w:pPr>
    </w:p>
    <w:p>
      <w:pPr>
        <w:spacing w:line="360" w:lineRule="auto"/>
        <w:ind w:firstLine="584" w:firstLineChars="200"/>
        <w:rPr>
          <w:rFonts w:ascii="宋体" w:cs="Times New Roman"/>
          <w:spacing w:val="6"/>
          <w:sz w:val="28"/>
          <w:szCs w:val="28"/>
        </w:rPr>
      </w:pP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单位名称（盖章）：</w:t>
      </w:r>
    </w:p>
    <w:p>
      <w:pPr>
        <w:tabs>
          <w:tab w:val="left" w:pos="4860"/>
        </w:tabs>
        <w:spacing w:line="360" w:lineRule="auto"/>
        <w:ind w:right="1560" w:firstLine="584" w:firstLineChars="200"/>
        <w:jc w:val="center"/>
        <w:rPr>
          <w:rFonts w:ascii="宋体" w:cs="Times New Roman"/>
          <w:spacing w:val="6"/>
          <w:sz w:val="28"/>
          <w:szCs w:val="28"/>
        </w:rPr>
      </w:pPr>
      <w:r>
        <w:rPr>
          <w:rFonts w:ascii="宋体" w:hAnsi="宋体" w:cs="宋体"/>
          <w:spacing w:val="6"/>
          <w:sz w:val="28"/>
          <w:szCs w:val="28"/>
        </w:rPr>
        <w:t xml:space="preserve">       </w:t>
      </w:r>
      <w:r>
        <w:rPr>
          <w:rFonts w:hint="eastAsia" w:ascii="宋体" w:hAnsi="宋体" w:cs="宋体"/>
          <w:spacing w:val="6"/>
          <w:sz w:val="28"/>
          <w:szCs w:val="28"/>
        </w:rPr>
        <w:t>日</w:t>
      </w:r>
      <w:r>
        <w:rPr>
          <w:rFonts w:ascii="宋体" w:hAnsi="宋体" w:cs="宋体"/>
          <w:spacing w:val="6"/>
          <w:sz w:val="28"/>
          <w:szCs w:val="28"/>
        </w:rPr>
        <w:t xml:space="preserve">  </w:t>
      </w:r>
      <w:r>
        <w:rPr>
          <w:rFonts w:hint="eastAsia" w:ascii="宋体" w:hAnsi="宋体" w:cs="宋体"/>
          <w:spacing w:val="6"/>
          <w:sz w:val="28"/>
          <w:szCs w:val="28"/>
        </w:rPr>
        <w:t>期：</w:t>
      </w:r>
    </w:p>
    <w:p>
      <w:pPr>
        <w:spacing w:after="120" w:line="360" w:lineRule="auto"/>
        <w:ind w:firstLine="6160" w:firstLineChars="2200"/>
        <w:rPr>
          <w:rFonts w:ascii="宋体" w:cs="Times New Roman"/>
          <w:sz w:val="28"/>
          <w:szCs w:val="28"/>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ind w:left="1" w:firstLine="511" w:firstLineChars="213"/>
        <w:jc w:val="center"/>
        <w:rPr>
          <w:rFonts w:hAnsi="宋体" w:cs="Times New Roman"/>
        </w:rPr>
      </w:pPr>
    </w:p>
    <w:p>
      <w:pPr>
        <w:pStyle w:val="11"/>
        <w:adjustRightInd w:val="0"/>
        <w:snapToGrid w:val="0"/>
        <w:spacing w:before="120" w:after="120" w:line="460" w:lineRule="exact"/>
        <w:rPr>
          <w:rFonts w:hAnsi="宋体" w:cs="Times New Roman"/>
        </w:rPr>
      </w:pPr>
    </w:p>
    <w:p>
      <w:pPr>
        <w:pStyle w:val="11"/>
        <w:adjustRightInd w:val="0"/>
        <w:snapToGrid w:val="0"/>
        <w:spacing w:before="120" w:after="120" w:line="460" w:lineRule="exact"/>
        <w:ind w:left="1" w:firstLine="639" w:firstLineChars="213"/>
        <w:jc w:val="center"/>
        <w:rPr>
          <w:rFonts w:hAnsi="宋体" w:cs="Times New Roman"/>
        </w:rPr>
      </w:pPr>
      <w:r>
        <w:rPr>
          <w:rFonts w:hint="eastAsia" w:hAnsi="宋体"/>
          <w:sz w:val="30"/>
          <w:szCs w:val="30"/>
        </w:rPr>
        <w:t>“国家企业信用信息公示系统</w:t>
      </w:r>
      <w:r>
        <w:rPr>
          <w:rFonts w:hAnsi="宋体"/>
          <w:sz w:val="30"/>
          <w:szCs w:val="30"/>
        </w:rPr>
        <w:t>——</w:t>
      </w:r>
      <w:r>
        <w:rPr>
          <w:rFonts w:hint="eastAsia" w:hAnsi="宋体"/>
          <w:sz w:val="30"/>
          <w:szCs w:val="30"/>
        </w:rPr>
        <w:t>小微企业名录”页面查询结果</w:t>
      </w:r>
    </w:p>
    <w:p>
      <w:pPr>
        <w:adjustRightInd w:val="0"/>
        <w:snapToGrid w:val="0"/>
        <w:spacing w:beforeLines="50" w:afterLines="50" w:line="460" w:lineRule="exact"/>
        <w:rPr>
          <w:rFonts w:ascii="宋体" w:cs="Times New Roman"/>
          <w:b/>
          <w:bCs/>
          <w:snapToGrid w:val="0"/>
          <w:kern w:val="0"/>
          <w:sz w:val="36"/>
          <w:szCs w:val="36"/>
        </w:rPr>
      </w:pPr>
    </w:p>
    <w:p>
      <w:pPr>
        <w:adjustRightInd w:val="0"/>
        <w:snapToGrid w:val="0"/>
        <w:spacing w:beforeLines="50" w:afterLines="50" w:line="460" w:lineRule="exact"/>
        <w:rPr>
          <w:rFonts w:ascii="宋体" w:cs="Times New Roman"/>
          <w:b/>
          <w:bCs/>
          <w:snapToGrid w:val="0"/>
          <w:kern w:val="0"/>
          <w:sz w:val="36"/>
          <w:szCs w:val="36"/>
        </w:rPr>
      </w:pPr>
    </w:p>
    <w:p>
      <w:pPr>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jc w:val="left"/>
        <w:rPr>
          <w:rFonts w:hint="eastAsia" w:ascii="方正小标宋简体" w:hAnsi="宋体" w:eastAsia="方正小标宋简体"/>
          <w:sz w:val="28"/>
          <w:szCs w:val="28"/>
          <w:lang w:eastAsia="zh-CN"/>
        </w:rPr>
      </w:pPr>
      <w:r>
        <w:rPr>
          <w:rFonts w:hint="eastAsia" w:ascii="方正小标宋简体" w:hAnsi="宋体" w:eastAsia="方正小标宋简体"/>
          <w:sz w:val="28"/>
          <w:szCs w:val="28"/>
          <w:lang w:eastAsia="zh-CN"/>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9"/>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8"/>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2"/>
      </w:pPr>
    </w:p>
    <w:p>
      <w:pPr>
        <w:pStyle w:val="2"/>
        <w:rPr>
          <w:rFonts w:cs="Times New Roma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363"/>
        <w:tab w:val="left" w:pos="6725"/>
      </w:tabs>
      <w:ind w:firstLine="420"/>
      <w:rPr>
        <w:rFonts w:cs="Times New Roman"/>
        <w:sz w:val="21"/>
        <w:szCs w:val="21"/>
      </w:rPr>
    </w:pPr>
    <w:r>
      <w:rPr>
        <w:rFonts w:cs="Times New Roman"/>
        <w:sz w:val="21"/>
        <w:szCs w:val="21"/>
      </w:rPr>
      <w:tab/>
    </w:r>
    <w:r>
      <w:rPr>
        <w:rFonts w:cs="Times New Roman"/>
        <w:sz w:val="21"/>
        <w:szCs w:val="21"/>
      </w:rPr>
      <w:tab/>
    </w: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5"/>
                  <w:jc w:val="center"/>
                  <w:rPr>
                    <w:rFonts w:cs="Times New Roman"/>
                    <w:sz w:val="21"/>
                    <w:szCs w:val="21"/>
                    <w:lang w:val="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rPr>
                  <w:fldChar w:fldCharType="end"/>
                </w:r>
              </w:p>
            </w:txbxContent>
          </v:textbox>
        </v:shape>
      </w:pict>
    </w:r>
    <w:r>
      <w:rPr>
        <w:rFonts w:cs="Times New Roman"/>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87C79"/>
    <w:multiLevelType w:val="multilevel"/>
    <w:tmpl w:val="7A487C79"/>
    <w:lvl w:ilvl="0" w:tentative="0">
      <w:start w:val="4"/>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DD4107"/>
    <w:rsid w:val="00024CD3"/>
    <w:rsid w:val="00073390"/>
    <w:rsid w:val="00074531"/>
    <w:rsid w:val="000875A2"/>
    <w:rsid w:val="00101F6A"/>
    <w:rsid w:val="001504D0"/>
    <w:rsid w:val="00150B9D"/>
    <w:rsid w:val="001574F3"/>
    <w:rsid w:val="0018241C"/>
    <w:rsid w:val="00191EE8"/>
    <w:rsid w:val="001A1956"/>
    <w:rsid w:val="001A21A7"/>
    <w:rsid w:val="002310A3"/>
    <w:rsid w:val="00290CDD"/>
    <w:rsid w:val="002C5626"/>
    <w:rsid w:val="002C568C"/>
    <w:rsid w:val="002D055A"/>
    <w:rsid w:val="002E09E9"/>
    <w:rsid w:val="00301B41"/>
    <w:rsid w:val="00312534"/>
    <w:rsid w:val="00342126"/>
    <w:rsid w:val="003440FB"/>
    <w:rsid w:val="00353FF7"/>
    <w:rsid w:val="0035727F"/>
    <w:rsid w:val="0038781E"/>
    <w:rsid w:val="003A3641"/>
    <w:rsid w:val="003E7B50"/>
    <w:rsid w:val="004514C5"/>
    <w:rsid w:val="004516BC"/>
    <w:rsid w:val="0046418F"/>
    <w:rsid w:val="004902C5"/>
    <w:rsid w:val="00497073"/>
    <w:rsid w:val="004A434A"/>
    <w:rsid w:val="004B534F"/>
    <w:rsid w:val="004B538F"/>
    <w:rsid w:val="004B6DB3"/>
    <w:rsid w:val="004D05CF"/>
    <w:rsid w:val="004D5864"/>
    <w:rsid w:val="004E3AF9"/>
    <w:rsid w:val="005233CD"/>
    <w:rsid w:val="00527F0E"/>
    <w:rsid w:val="00527F41"/>
    <w:rsid w:val="005303C3"/>
    <w:rsid w:val="00570A50"/>
    <w:rsid w:val="005856E5"/>
    <w:rsid w:val="005924D3"/>
    <w:rsid w:val="00595654"/>
    <w:rsid w:val="005C2D0F"/>
    <w:rsid w:val="005E4238"/>
    <w:rsid w:val="005F287E"/>
    <w:rsid w:val="00606D90"/>
    <w:rsid w:val="00607184"/>
    <w:rsid w:val="0062630B"/>
    <w:rsid w:val="00637E52"/>
    <w:rsid w:val="00640159"/>
    <w:rsid w:val="00651858"/>
    <w:rsid w:val="00684CBC"/>
    <w:rsid w:val="00691C76"/>
    <w:rsid w:val="006C2456"/>
    <w:rsid w:val="006F2923"/>
    <w:rsid w:val="006F6972"/>
    <w:rsid w:val="00714CE1"/>
    <w:rsid w:val="00715B6B"/>
    <w:rsid w:val="00730A26"/>
    <w:rsid w:val="007328EE"/>
    <w:rsid w:val="00751851"/>
    <w:rsid w:val="00751AC5"/>
    <w:rsid w:val="00756663"/>
    <w:rsid w:val="00784EEA"/>
    <w:rsid w:val="00792B5F"/>
    <w:rsid w:val="007A13B1"/>
    <w:rsid w:val="007A4290"/>
    <w:rsid w:val="007D0B20"/>
    <w:rsid w:val="007D11E6"/>
    <w:rsid w:val="007F2463"/>
    <w:rsid w:val="0083602D"/>
    <w:rsid w:val="0087392F"/>
    <w:rsid w:val="00875B10"/>
    <w:rsid w:val="008847AB"/>
    <w:rsid w:val="008A70D0"/>
    <w:rsid w:val="00935E75"/>
    <w:rsid w:val="0094248D"/>
    <w:rsid w:val="00942F1E"/>
    <w:rsid w:val="00951667"/>
    <w:rsid w:val="00994E9C"/>
    <w:rsid w:val="009A022B"/>
    <w:rsid w:val="009A3032"/>
    <w:rsid w:val="009A487F"/>
    <w:rsid w:val="009C3116"/>
    <w:rsid w:val="009C7C72"/>
    <w:rsid w:val="009E4077"/>
    <w:rsid w:val="009E57EA"/>
    <w:rsid w:val="009F0F59"/>
    <w:rsid w:val="00A13AAE"/>
    <w:rsid w:val="00A17E65"/>
    <w:rsid w:val="00A22365"/>
    <w:rsid w:val="00A404C0"/>
    <w:rsid w:val="00A449D6"/>
    <w:rsid w:val="00A45907"/>
    <w:rsid w:val="00A60D27"/>
    <w:rsid w:val="00A75AD0"/>
    <w:rsid w:val="00A93657"/>
    <w:rsid w:val="00AA4834"/>
    <w:rsid w:val="00AA7642"/>
    <w:rsid w:val="00AD58CE"/>
    <w:rsid w:val="00AD684F"/>
    <w:rsid w:val="00B04D18"/>
    <w:rsid w:val="00B07A0E"/>
    <w:rsid w:val="00B07E4B"/>
    <w:rsid w:val="00B44CCD"/>
    <w:rsid w:val="00B55FC9"/>
    <w:rsid w:val="00B8368C"/>
    <w:rsid w:val="00BB604B"/>
    <w:rsid w:val="00BC5AD2"/>
    <w:rsid w:val="00C65BB9"/>
    <w:rsid w:val="00C87DF4"/>
    <w:rsid w:val="00C9525E"/>
    <w:rsid w:val="00C95B5B"/>
    <w:rsid w:val="00CB26BC"/>
    <w:rsid w:val="00CB64FF"/>
    <w:rsid w:val="00CC11E1"/>
    <w:rsid w:val="00CC70EC"/>
    <w:rsid w:val="00CD2113"/>
    <w:rsid w:val="00CD56F3"/>
    <w:rsid w:val="00CF1E6B"/>
    <w:rsid w:val="00D1392C"/>
    <w:rsid w:val="00D20A62"/>
    <w:rsid w:val="00D67127"/>
    <w:rsid w:val="00D94F01"/>
    <w:rsid w:val="00E00978"/>
    <w:rsid w:val="00E00F20"/>
    <w:rsid w:val="00E13C4A"/>
    <w:rsid w:val="00E2386B"/>
    <w:rsid w:val="00E53C94"/>
    <w:rsid w:val="00E60A87"/>
    <w:rsid w:val="00EA063C"/>
    <w:rsid w:val="00ED746D"/>
    <w:rsid w:val="00EE5073"/>
    <w:rsid w:val="00F21015"/>
    <w:rsid w:val="00F67111"/>
    <w:rsid w:val="00FB091E"/>
    <w:rsid w:val="00FE1288"/>
    <w:rsid w:val="00FE5975"/>
    <w:rsid w:val="00FF29F8"/>
    <w:rsid w:val="057B2BFE"/>
    <w:rsid w:val="0A1C22EC"/>
    <w:rsid w:val="0A935591"/>
    <w:rsid w:val="0D793C0B"/>
    <w:rsid w:val="102A0B15"/>
    <w:rsid w:val="1A3B0031"/>
    <w:rsid w:val="1FCD6ABC"/>
    <w:rsid w:val="20EB582E"/>
    <w:rsid w:val="24574004"/>
    <w:rsid w:val="25B55505"/>
    <w:rsid w:val="2C011261"/>
    <w:rsid w:val="2DD837F2"/>
    <w:rsid w:val="32445ED3"/>
    <w:rsid w:val="33C90C78"/>
    <w:rsid w:val="388D625E"/>
    <w:rsid w:val="38CC171C"/>
    <w:rsid w:val="398E2F44"/>
    <w:rsid w:val="3A6160EE"/>
    <w:rsid w:val="3F437824"/>
    <w:rsid w:val="409127FF"/>
    <w:rsid w:val="41305D23"/>
    <w:rsid w:val="41E32AB0"/>
    <w:rsid w:val="420B7A5B"/>
    <w:rsid w:val="42B922E8"/>
    <w:rsid w:val="45B71AD6"/>
    <w:rsid w:val="46AA01B3"/>
    <w:rsid w:val="4B571BEE"/>
    <w:rsid w:val="4C464B19"/>
    <w:rsid w:val="4C7839FB"/>
    <w:rsid w:val="4E1064C2"/>
    <w:rsid w:val="4F3D4258"/>
    <w:rsid w:val="51E27A56"/>
    <w:rsid w:val="5232047D"/>
    <w:rsid w:val="55B70867"/>
    <w:rsid w:val="57BF484A"/>
    <w:rsid w:val="5AD7796F"/>
    <w:rsid w:val="5EB23AA2"/>
    <w:rsid w:val="60410478"/>
    <w:rsid w:val="64351D3B"/>
    <w:rsid w:val="66860517"/>
    <w:rsid w:val="6779289D"/>
    <w:rsid w:val="67AD34FF"/>
    <w:rsid w:val="685213FA"/>
    <w:rsid w:val="688D314C"/>
    <w:rsid w:val="69D11980"/>
    <w:rsid w:val="6C57452A"/>
    <w:rsid w:val="6C8B4A6E"/>
    <w:rsid w:val="6D4A1F37"/>
    <w:rsid w:val="6EF715A7"/>
    <w:rsid w:val="6F383B05"/>
    <w:rsid w:val="6FC616ED"/>
    <w:rsid w:val="6FCC3C0D"/>
    <w:rsid w:val="716842C7"/>
    <w:rsid w:val="73F26725"/>
    <w:rsid w:val="74132D0C"/>
    <w:rsid w:val="744A5BB8"/>
    <w:rsid w:val="75FC7667"/>
    <w:rsid w:val="761E170C"/>
    <w:rsid w:val="76DD4107"/>
    <w:rsid w:val="79136549"/>
    <w:rsid w:val="7B650B77"/>
    <w:rsid w:val="7BA30A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4"/>
    <w:qFormat/>
    <w:uiPriority w:val="99"/>
    <w:pPr>
      <w:spacing w:beforeAutospacing="1" w:afterAutospacing="1"/>
      <w:ind w:left="544" w:leftChars="100" w:right="-567" w:hanging="444" w:hangingChars="444"/>
      <w:jc w:val="left"/>
      <w:outlineLvl w:val="0"/>
    </w:pPr>
    <w:rPr>
      <w:rFonts w:ascii="宋体" w:hAnsi="宋体" w:cs="宋体"/>
      <w:b/>
      <w:bCs/>
      <w:kern w:val="44"/>
      <w:sz w:val="48"/>
      <w:szCs w:val="48"/>
    </w:rPr>
  </w:style>
  <w:style w:type="paragraph" w:styleId="5">
    <w:name w:val="heading 2"/>
    <w:basedOn w:val="1"/>
    <w:next w:val="1"/>
    <w:link w:val="25"/>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locked/>
    <w:uiPriority w:val="99"/>
    <w:pPr>
      <w:ind w:firstLine="420" w:firstLineChars="200"/>
    </w:pPr>
  </w:style>
  <w:style w:type="paragraph" w:styleId="3">
    <w:name w:val="Body Text Indent"/>
    <w:basedOn w:val="1"/>
    <w:link w:val="27"/>
    <w:qFormat/>
    <w:uiPriority w:val="99"/>
    <w:pPr>
      <w:spacing w:after="120"/>
      <w:ind w:left="420" w:leftChars="200"/>
    </w:pPr>
  </w:style>
  <w:style w:type="paragraph" w:styleId="6">
    <w:name w:val="Normal Indent"/>
    <w:basedOn w:val="1"/>
    <w:qFormat/>
    <w:uiPriority w:val="99"/>
    <w:pPr>
      <w:ind w:firstLine="42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3"/>
    <w:basedOn w:val="1"/>
    <w:link w:val="26"/>
    <w:qFormat/>
    <w:uiPriority w:val="99"/>
    <w:pPr>
      <w:spacing w:after="120"/>
    </w:pPr>
    <w:rPr>
      <w:sz w:val="16"/>
      <w:szCs w:val="16"/>
    </w:rPr>
  </w:style>
  <w:style w:type="paragraph" w:styleId="9">
    <w:name w:val="Body Text"/>
    <w:basedOn w:val="1"/>
    <w:next w:val="10"/>
    <w:link w:val="45"/>
    <w:qFormat/>
    <w:uiPriority w:val="99"/>
    <w:pPr>
      <w:spacing w:after="120"/>
    </w:pPr>
    <w:rPr>
      <w:rFonts w:ascii="Times New Roman" w:hAnsi="Times New Roman" w:cs="Times New Roman"/>
    </w:rPr>
  </w:style>
  <w:style w:type="paragraph" w:styleId="10">
    <w:name w:val="Body Text First Indent"/>
    <w:basedOn w:val="9"/>
    <w:link w:val="46"/>
    <w:qFormat/>
    <w:uiPriority w:val="99"/>
    <w:pPr>
      <w:ind w:firstLine="420" w:firstLineChars="100"/>
    </w:pPr>
  </w:style>
  <w:style w:type="paragraph" w:styleId="11">
    <w:name w:val="Plain Text"/>
    <w:basedOn w:val="1"/>
    <w:link w:val="28"/>
    <w:qFormat/>
    <w:uiPriority w:val="99"/>
    <w:pPr>
      <w:spacing w:beforeLines="50" w:afterLines="50" w:line="400" w:lineRule="exact"/>
    </w:pPr>
    <w:rPr>
      <w:rFonts w:ascii="宋体" w:hAnsi="Courier New" w:cs="宋体"/>
      <w:sz w:val="24"/>
      <w:szCs w:val="24"/>
    </w:rPr>
  </w:style>
  <w:style w:type="paragraph" w:styleId="12">
    <w:name w:val="Date"/>
    <w:basedOn w:val="1"/>
    <w:next w:val="1"/>
    <w:link w:val="29"/>
    <w:qFormat/>
    <w:uiPriority w:val="99"/>
    <w:pPr>
      <w:ind w:left="2500" w:leftChars="2500"/>
    </w:pPr>
    <w:rPr>
      <w:rFonts w:eastAsia="楷体_GB2312"/>
      <w:sz w:val="32"/>
      <w:szCs w:val="32"/>
    </w:rPr>
  </w:style>
  <w:style w:type="paragraph" w:styleId="13">
    <w:name w:val="Body Text Indent 2"/>
    <w:basedOn w:val="1"/>
    <w:link w:val="30"/>
    <w:qFormat/>
    <w:uiPriority w:val="99"/>
    <w:pPr>
      <w:adjustRightInd w:val="0"/>
      <w:snapToGrid w:val="0"/>
      <w:spacing w:after="120" w:line="480" w:lineRule="auto"/>
      <w:ind w:left="420" w:leftChars="200" w:right="240" w:firstLine="480" w:firstLineChars="200"/>
      <w:jc w:val="left"/>
    </w:pPr>
    <w:rPr>
      <w:rFonts w:ascii="Times New Roman" w:hAnsi="Times New Roman" w:cs="Times New Roman"/>
      <w:sz w:val="24"/>
      <w:szCs w:val="24"/>
    </w:rPr>
  </w:style>
  <w:style w:type="paragraph" w:styleId="14">
    <w:name w:val="Balloon Text"/>
    <w:basedOn w:val="1"/>
    <w:link w:val="37"/>
    <w:semiHidden/>
    <w:qFormat/>
    <w:uiPriority w:val="99"/>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33"/>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style>
  <w:style w:type="character" w:styleId="23">
    <w:name w:val="Hyperlink"/>
    <w:qFormat/>
    <w:uiPriority w:val="99"/>
    <w:rPr>
      <w:color w:val="0000FF"/>
      <w:u w:val="single"/>
    </w:rPr>
  </w:style>
  <w:style w:type="character" w:customStyle="1" w:styleId="24">
    <w:name w:val="标题 1 Char"/>
    <w:link w:val="4"/>
    <w:qFormat/>
    <w:locked/>
    <w:uiPriority w:val="99"/>
    <w:rPr>
      <w:b/>
      <w:bCs/>
      <w:kern w:val="44"/>
      <w:sz w:val="44"/>
      <w:szCs w:val="44"/>
    </w:rPr>
  </w:style>
  <w:style w:type="character" w:customStyle="1" w:styleId="25">
    <w:name w:val="标题 2 Char"/>
    <w:link w:val="5"/>
    <w:semiHidden/>
    <w:qFormat/>
    <w:locked/>
    <w:uiPriority w:val="99"/>
    <w:rPr>
      <w:rFonts w:ascii="Cambria" w:hAnsi="Cambria" w:eastAsia="宋体" w:cs="Cambria"/>
      <w:b/>
      <w:bCs/>
      <w:sz w:val="32"/>
      <w:szCs w:val="32"/>
    </w:rPr>
  </w:style>
  <w:style w:type="character" w:customStyle="1" w:styleId="26">
    <w:name w:val="正文文本 3 Char"/>
    <w:link w:val="8"/>
    <w:semiHidden/>
    <w:qFormat/>
    <w:locked/>
    <w:uiPriority w:val="99"/>
    <w:rPr>
      <w:sz w:val="16"/>
      <w:szCs w:val="16"/>
    </w:rPr>
  </w:style>
  <w:style w:type="character" w:customStyle="1" w:styleId="27">
    <w:name w:val="正文文本缩进 Char"/>
    <w:link w:val="3"/>
    <w:semiHidden/>
    <w:qFormat/>
    <w:locked/>
    <w:uiPriority w:val="99"/>
    <w:rPr>
      <w:sz w:val="21"/>
      <w:szCs w:val="21"/>
    </w:rPr>
  </w:style>
  <w:style w:type="character" w:customStyle="1" w:styleId="28">
    <w:name w:val="纯文本 Char"/>
    <w:link w:val="11"/>
    <w:qFormat/>
    <w:locked/>
    <w:uiPriority w:val="99"/>
    <w:rPr>
      <w:rFonts w:ascii="宋体" w:hAnsi="Courier New" w:cs="宋体"/>
      <w:sz w:val="21"/>
      <w:szCs w:val="21"/>
    </w:rPr>
  </w:style>
  <w:style w:type="character" w:customStyle="1" w:styleId="29">
    <w:name w:val="日期 Char"/>
    <w:link w:val="12"/>
    <w:semiHidden/>
    <w:qFormat/>
    <w:locked/>
    <w:uiPriority w:val="99"/>
    <w:rPr>
      <w:sz w:val="21"/>
      <w:szCs w:val="21"/>
    </w:rPr>
  </w:style>
  <w:style w:type="character" w:customStyle="1" w:styleId="30">
    <w:name w:val="正文文本缩进 2 Char"/>
    <w:link w:val="13"/>
    <w:semiHidden/>
    <w:qFormat/>
    <w:locked/>
    <w:uiPriority w:val="99"/>
    <w:rPr>
      <w:sz w:val="21"/>
      <w:szCs w:val="21"/>
    </w:rPr>
  </w:style>
  <w:style w:type="character" w:customStyle="1" w:styleId="31">
    <w:name w:val="页脚 Char"/>
    <w:link w:val="15"/>
    <w:semiHidden/>
    <w:qFormat/>
    <w:locked/>
    <w:uiPriority w:val="99"/>
    <w:rPr>
      <w:sz w:val="18"/>
      <w:szCs w:val="18"/>
    </w:rPr>
  </w:style>
  <w:style w:type="character" w:customStyle="1" w:styleId="32">
    <w:name w:val="页眉 Char"/>
    <w:link w:val="16"/>
    <w:semiHidden/>
    <w:qFormat/>
    <w:locked/>
    <w:uiPriority w:val="99"/>
    <w:rPr>
      <w:sz w:val="18"/>
      <w:szCs w:val="18"/>
    </w:rPr>
  </w:style>
  <w:style w:type="character" w:customStyle="1" w:styleId="33">
    <w:name w:val="正文文本 2 Char"/>
    <w:link w:val="17"/>
    <w:semiHidden/>
    <w:qFormat/>
    <w:locked/>
    <w:uiPriority w:val="99"/>
    <w:rPr>
      <w:sz w:val="21"/>
      <w:szCs w:val="21"/>
    </w:rPr>
  </w:style>
  <w:style w:type="paragraph" w:customStyle="1" w:styleId="34">
    <w:name w:val="方案正文"/>
    <w:qFormat/>
    <w:uiPriority w:val="99"/>
    <w:pPr>
      <w:tabs>
        <w:tab w:val="left" w:pos="420"/>
      </w:tabs>
      <w:adjustRightInd w:val="0"/>
      <w:snapToGrid w:val="0"/>
      <w:spacing w:beforeLines="150" w:afterLines="50" w:line="300" w:lineRule="auto"/>
      <w:ind w:firstLine="480" w:firstLineChars="200"/>
    </w:pPr>
    <w:rPr>
      <w:rFonts w:ascii="宋体" w:hAnsi="宋体" w:eastAsia="宋体" w:cs="宋体"/>
      <w:sz w:val="24"/>
      <w:szCs w:val="24"/>
      <w:lang w:val="en-US" w:eastAsia="zh-CN" w:bidi="ar-SA"/>
    </w:rPr>
  </w:style>
  <w:style w:type="paragraph" w:customStyle="1" w:styleId="35">
    <w:name w:val="惺惺惜惺惺"/>
    <w:basedOn w:val="1"/>
    <w:qFormat/>
    <w:uiPriority w:val="99"/>
    <w:pPr>
      <w:spacing w:beforeLines="50" w:line="400" w:lineRule="atLeast"/>
      <w:ind w:firstLine="480" w:firstLineChars="200"/>
    </w:pPr>
    <w:rPr>
      <w:rFonts w:ascii="Arial" w:hAnsi="宋体" w:cs="Arial"/>
      <w:sz w:val="24"/>
      <w:szCs w:val="24"/>
    </w:rPr>
  </w:style>
  <w:style w:type="paragraph" w:customStyle="1" w:styleId="36">
    <w:name w:val="List Paragraph2"/>
    <w:basedOn w:val="1"/>
    <w:qFormat/>
    <w:uiPriority w:val="99"/>
    <w:pPr>
      <w:ind w:firstLine="420" w:firstLineChars="200"/>
    </w:pPr>
  </w:style>
  <w:style w:type="character" w:customStyle="1" w:styleId="37">
    <w:name w:val="批注框文本 Char"/>
    <w:link w:val="14"/>
    <w:qFormat/>
    <w:locked/>
    <w:uiPriority w:val="99"/>
    <w:rPr>
      <w:rFonts w:ascii="Calibri" w:hAnsi="Calibri" w:eastAsia="宋体" w:cs="Calibri"/>
      <w:kern w:val="2"/>
      <w:sz w:val="18"/>
      <w:szCs w:val="18"/>
    </w:rPr>
  </w:style>
  <w:style w:type="character" w:customStyle="1" w:styleId="38">
    <w:name w:val="列出段落 Char"/>
    <w:link w:val="39"/>
    <w:qFormat/>
    <w:locked/>
    <w:uiPriority w:val="99"/>
    <w:rPr>
      <w:rFonts w:ascii="Calibri" w:hAnsi="Calibri" w:cs="Calibri"/>
      <w:sz w:val="22"/>
      <w:szCs w:val="22"/>
      <w:lang w:eastAsia="en-US"/>
    </w:rPr>
  </w:style>
  <w:style w:type="paragraph" w:styleId="39">
    <w:name w:val="List Paragraph"/>
    <w:basedOn w:val="1"/>
    <w:link w:val="38"/>
    <w:qFormat/>
    <w:uiPriority w:val="99"/>
    <w:pPr>
      <w:ind w:firstLine="420" w:firstLineChars="200"/>
    </w:pPr>
    <w:rPr>
      <w:kern w:val="0"/>
      <w:sz w:val="22"/>
      <w:szCs w:val="22"/>
      <w:lang w:eastAsia="en-US"/>
    </w:rPr>
  </w:style>
  <w:style w:type="character" w:customStyle="1" w:styleId="40">
    <w:name w:val="*正文 Char"/>
    <w:link w:val="41"/>
    <w:qFormat/>
    <w:locked/>
    <w:uiPriority w:val="99"/>
    <w:rPr>
      <w:rFonts w:ascii="宋体" w:eastAsia="宋体" w:cs="宋体"/>
      <w:sz w:val="24"/>
      <w:szCs w:val="24"/>
    </w:rPr>
  </w:style>
  <w:style w:type="paragraph" w:customStyle="1" w:styleId="41">
    <w:name w:val="*正文"/>
    <w:basedOn w:val="1"/>
    <w:link w:val="40"/>
    <w:qFormat/>
    <w:uiPriority w:val="99"/>
    <w:pPr>
      <w:spacing w:line="360" w:lineRule="auto"/>
      <w:ind w:firstLine="482"/>
    </w:pPr>
    <w:rPr>
      <w:rFonts w:ascii="宋体" w:cs="宋体"/>
      <w:kern w:val="0"/>
      <w:sz w:val="24"/>
      <w:szCs w:val="24"/>
    </w:rPr>
  </w:style>
  <w:style w:type="paragraph" w:customStyle="1" w:styleId="42">
    <w:name w:val="文字"/>
    <w:basedOn w:val="1"/>
    <w:qFormat/>
    <w:uiPriority w:val="99"/>
    <w:pPr>
      <w:tabs>
        <w:tab w:val="left" w:pos="8520"/>
      </w:tabs>
      <w:spacing w:line="312" w:lineRule="auto"/>
      <w:ind w:right="-210" w:firstLine="556"/>
    </w:pPr>
    <w:rPr>
      <w:rFonts w:ascii="楷体_GB2312" w:hAnsi="Times New Roman" w:eastAsia="楷体_GB2312" w:cs="楷体_GB2312"/>
      <w:sz w:val="28"/>
      <w:szCs w:val="28"/>
    </w:rPr>
  </w:style>
  <w:style w:type="paragraph" w:customStyle="1" w:styleId="43">
    <w:name w:val="列出段落2"/>
    <w:basedOn w:val="1"/>
    <w:qFormat/>
    <w:uiPriority w:val="99"/>
    <w:pPr>
      <w:ind w:firstLine="420" w:firstLineChars="200"/>
    </w:pPr>
    <w:rPr>
      <w:rFonts w:ascii="Times New Roman" w:hAnsi="Times New Roman" w:cs="Times New Roman"/>
    </w:rPr>
  </w:style>
  <w:style w:type="paragraph" w:customStyle="1" w:styleId="44">
    <w:name w:val="样式"/>
    <w:basedOn w:val="1"/>
    <w:next w:val="39"/>
    <w:qFormat/>
    <w:uiPriority w:val="99"/>
    <w:pPr>
      <w:widowControl/>
      <w:spacing w:after="200" w:line="276" w:lineRule="auto"/>
      <w:ind w:firstLine="420" w:firstLineChars="200"/>
      <w:jc w:val="left"/>
    </w:pPr>
    <w:rPr>
      <w:kern w:val="0"/>
      <w:sz w:val="22"/>
      <w:szCs w:val="22"/>
      <w:lang w:eastAsia="en-US"/>
    </w:rPr>
  </w:style>
  <w:style w:type="character" w:customStyle="1" w:styleId="45">
    <w:name w:val="正文文本 Char"/>
    <w:link w:val="9"/>
    <w:qFormat/>
    <w:locked/>
    <w:uiPriority w:val="99"/>
    <w:rPr>
      <w:rFonts w:ascii="Times New Roman" w:hAnsi="Times New Roman" w:cs="Times New Roman"/>
      <w:kern w:val="2"/>
      <w:sz w:val="24"/>
      <w:szCs w:val="24"/>
    </w:rPr>
  </w:style>
  <w:style w:type="character" w:customStyle="1" w:styleId="46">
    <w:name w:val="正文首行缩进 Char"/>
    <w:link w:val="10"/>
    <w:qFormat/>
    <w:locked/>
    <w:uiPriority w:val="99"/>
    <w:rPr>
      <w:rFonts w:ascii="Times New Roman" w:hAnsi="Times New Roman" w:cs="Times New Roman"/>
      <w:kern w:val="2"/>
      <w:sz w:val="24"/>
      <w:szCs w:val="24"/>
    </w:rPr>
  </w:style>
  <w:style w:type="paragraph" w:customStyle="1" w:styleId="47">
    <w:name w:val="p1"/>
    <w:basedOn w:val="1"/>
    <w:qFormat/>
    <w:uiPriority w:val="0"/>
    <w:pPr>
      <w:widowControl/>
    </w:pPr>
    <w:rPr>
      <w:rFonts w:ascii="仿宋" w:hAnsi="仿宋" w:eastAsia="仿宋" w:cs="Times New Roman"/>
      <w:color w:val="000000"/>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47</Pages>
  <Words>3835</Words>
  <Characters>21863</Characters>
  <Lines>182</Lines>
  <Paragraphs>51</Paragraphs>
  <TotalTime>16</TotalTime>
  <ScaleCrop>false</ScaleCrop>
  <LinksUpToDate>false</LinksUpToDate>
  <CharactersWithSpaces>25647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2020-07-08T03:24:00Z</dcterms:created>
  <dc:creator>CHENJUN</dc:creator>
  <cp:lastModifiedBy>admin</cp:lastModifiedBy>
  <cp:lastPrinted>2020-10-26T00:59:00Z</cp:lastPrinted>
  <dcterms:modified xsi:type="dcterms:W3CDTF">2020-10-27T00:36:26Z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