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hint="eastAsia" w:ascii="仿宋_GB2312" w:hAnsi="仿宋" w:eastAsia="仿宋_GB2312" w:cs="仿宋_GB2312"/>
          <w:b/>
          <w:color w:val="auto"/>
          <w:sz w:val="48"/>
          <w:szCs w:val="48"/>
          <w:highlight w:val="none"/>
          <w:lang w:eastAsia="zh-CN"/>
        </w:rPr>
      </w:pPr>
      <w:r>
        <w:rPr>
          <w:rFonts w:hint="eastAsia" w:ascii="仿宋" w:hAnsi="仿宋" w:eastAsia="仿宋" w:cs="仿宋_GB2312"/>
          <w:b/>
          <w:bCs/>
          <w:color w:val="auto"/>
          <w:sz w:val="48"/>
          <w:szCs w:val="48"/>
          <w:highlight w:val="none"/>
          <w:lang w:eastAsia="zh-CN"/>
        </w:rPr>
        <w:t>杭州市临安区校园“安澜”工程</w:t>
      </w:r>
    </w:p>
    <w:p>
      <w:pPr>
        <w:adjustRightInd/>
        <w:spacing w:line="360" w:lineRule="auto"/>
        <w:jc w:val="center"/>
        <w:rPr>
          <w:rFonts w:ascii="仿宋" w:hAnsi="仿宋" w:eastAsia="仿宋" w:cs="仿宋_GB2312"/>
          <w:color w:val="auto"/>
          <w:sz w:val="48"/>
          <w:szCs w:val="48"/>
          <w:highlight w:val="none"/>
        </w:rPr>
      </w:pPr>
    </w:p>
    <w:p>
      <w:pPr>
        <w:pStyle w:val="42"/>
        <w:rPr>
          <w:color w:val="auto"/>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（临[2022]33号）</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rPr>
          <w:rFonts w:ascii="仿宋" w:hAnsi="仿宋" w:eastAsia="仿宋" w:cs="仿宋_GB2312"/>
          <w:color w:val="auto"/>
          <w:sz w:val="32"/>
          <w:szCs w:val="32"/>
          <w:highlight w:val="none"/>
        </w:rPr>
      </w:pPr>
    </w:p>
    <w:p>
      <w:pPr>
        <w:pStyle w:val="42"/>
        <w:rPr>
          <w:rFonts w:ascii="仿宋" w:hAnsi="仿宋" w:eastAsia="仿宋" w:cs="仿宋_GB2312"/>
          <w:color w:val="auto"/>
          <w:sz w:val="32"/>
          <w:szCs w:val="32"/>
          <w:highlight w:val="none"/>
        </w:rPr>
      </w:pPr>
    </w:p>
    <w:p>
      <w:pPr>
        <w:rPr>
          <w:color w:val="auto"/>
          <w:highlight w:val="none"/>
        </w:rPr>
      </w:pPr>
    </w:p>
    <w:p>
      <w:pPr>
        <w:rPr>
          <w:color w:val="auto"/>
          <w:highlight w:val="none"/>
        </w:rPr>
      </w:pPr>
    </w:p>
    <w:p>
      <w:pPr>
        <w:snapToGrid w:val="0"/>
        <w:spacing w:line="360" w:lineRule="auto"/>
        <w:ind w:left="0" w:leftChars="0" w:firstLine="1878" w:firstLineChars="587"/>
        <w:jc w:val="both"/>
        <w:rPr>
          <w:rFonts w:ascii="仿宋" w:hAnsi="仿宋" w:eastAsia="仿宋" w:cs="仿宋_GB2312"/>
          <w:color w:val="auto"/>
          <w:sz w:val="32"/>
          <w:szCs w:val="32"/>
          <w:highlight w:val="none"/>
        </w:rPr>
      </w:pPr>
      <w:r>
        <w:rPr>
          <w:rFonts w:hint="eastAsia" w:ascii="宋体" w:hAnsi="宋体" w:cs="宋体"/>
          <w:color w:val="auto"/>
          <w:sz w:val="32"/>
          <w:szCs w:val="32"/>
          <w:highlight w:val="none"/>
        </w:rPr>
        <w:t>采购单位：</w:t>
      </w:r>
      <w:r>
        <w:rPr>
          <w:rFonts w:hint="eastAsia" w:ascii="仿宋" w:hAnsi="仿宋" w:eastAsia="仿宋" w:cs="仿宋_GB2312"/>
          <w:color w:val="auto"/>
          <w:sz w:val="32"/>
          <w:szCs w:val="32"/>
          <w:highlight w:val="none"/>
        </w:rPr>
        <w:t>杭州市临安区教育保障中心</w:t>
      </w:r>
    </w:p>
    <w:p>
      <w:pPr>
        <w:spacing w:line="360" w:lineRule="auto"/>
        <w:ind w:left="0" w:leftChars="0" w:firstLine="1878" w:firstLineChars="587"/>
        <w:jc w:val="both"/>
        <w:rPr>
          <w:rFonts w:ascii="仿宋" w:hAnsi="仿宋" w:eastAsia="仿宋" w:cs="仿宋_GB2312"/>
          <w:bCs/>
          <w:color w:val="auto"/>
          <w:sz w:val="32"/>
          <w:szCs w:val="32"/>
          <w:highlight w:val="none"/>
        </w:rPr>
      </w:pPr>
      <w:r>
        <w:rPr>
          <w:rFonts w:hint="eastAsia" w:ascii="宋体" w:hAnsi="宋体" w:cs="宋体"/>
          <w:color w:val="auto"/>
          <w:sz w:val="32"/>
          <w:szCs w:val="32"/>
          <w:highlight w:val="none"/>
        </w:rPr>
        <w:t>代理机构：</w:t>
      </w:r>
      <w:r>
        <w:rPr>
          <w:rFonts w:hint="eastAsia" w:ascii="仿宋" w:hAnsi="仿宋" w:eastAsia="仿宋" w:cs="仿宋_GB2312"/>
          <w:bCs/>
          <w:color w:val="auto"/>
          <w:sz w:val="32"/>
          <w:szCs w:val="32"/>
          <w:highlight w:val="none"/>
        </w:rPr>
        <w:t>杭州西成建设管理有限公司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878" w:firstLineChars="587"/>
        <w:jc w:val="left"/>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备案单位：</w:t>
      </w:r>
      <w:r>
        <w:rPr>
          <w:rFonts w:hint="eastAsia" w:ascii="仿宋_GB2312" w:hAnsi="仿宋_GB2312" w:eastAsia="仿宋_GB2312" w:cs="仿宋_GB2312"/>
          <w:bCs/>
          <w:sz w:val="32"/>
          <w:szCs w:val="32"/>
          <w:lang w:eastAsia="zh-CN"/>
        </w:rPr>
        <w:t>杭州市临安区政府采购办公室</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eastAsia="zh-CN"/>
        </w:rPr>
        <w:t>三</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eastAsia="zh-CN"/>
        </w:rPr>
        <w:t>十五</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杭州市临安区校园“安澜”工程</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"https://www.zcygov.cn/）获取（下载）招标文件，并于2021年"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color w:val="auto"/>
          <w:sz w:val="24"/>
          <w:szCs w:val="24"/>
          <w:highlight w:val="none"/>
        </w:rPr>
        <w:t>（临[2022]33号）</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color w:val="auto"/>
          <w:sz w:val="24"/>
          <w:szCs w:val="24"/>
          <w:highlight w:val="none"/>
          <w:lang w:eastAsia="zh-CN"/>
        </w:rPr>
        <w:t>杭州市临安区校园“安澜”工程</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8641833</w:t>
      </w:r>
    </w:p>
    <w:p>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8123323</w:t>
      </w:r>
    </w:p>
    <w:p>
      <w:pPr>
        <w:pStyle w:val="18"/>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eastAsia="zh-CN"/>
        </w:rPr>
        <w:t>杭州市临安区校园“安澜”工程</w:t>
      </w:r>
      <w:r>
        <w:rPr>
          <w:rFonts w:hint="eastAsia" w:ascii="宋体" w:hAnsi="宋体" w:eastAsia="宋体" w:cs="宋体"/>
          <w:bCs/>
          <w:snapToGrid/>
          <w:color w:val="auto"/>
          <w:kern w:val="2"/>
          <w:sz w:val="24"/>
          <w:szCs w:val="24"/>
          <w:highlight w:val="none"/>
        </w:rPr>
        <w:t>。详见</w:t>
      </w:r>
      <w:r>
        <w:rPr>
          <w:rFonts w:hint="eastAsia" w:hAnsi="宋体" w:cs="宋体"/>
          <w:bCs/>
          <w:snapToGrid/>
          <w:color w:val="auto"/>
          <w:kern w:val="2"/>
          <w:sz w:val="24"/>
          <w:szCs w:val="24"/>
          <w:highlight w:val="none"/>
          <w:lang w:eastAsia="zh-CN"/>
        </w:rPr>
        <w:t>采购</w:t>
      </w:r>
      <w:r>
        <w:rPr>
          <w:rFonts w:hint="eastAsia" w:ascii="宋体" w:hAnsi="宋体" w:eastAsia="宋体" w:cs="宋体"/>
          <w:bCs/>
          <w:snapToGrid/>
          <w:color w:val="auto"/>
          <w:kern w:val="2"/>
          <w:sz w:val="24"/>
          <w:szCs w:val="24"/>
          <w:highlight w:val="none"/>
        </w:rPr>
        <w:t>文件第三部分采购需求。</w:t>
      </w:r>
    </w:p>
    <w:p>
      <w:pPr>
        <w:pStyle w:val="128"/>
        <w:ind w:firstLine="482"/>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本项目工期为合同签订之日起至202</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31</w:t>
      </w:r>
      <w:r>
        <w:rPr>
          <w:rFonts w:hint="eastAsia" w:ascii="宋体" w:hAnsi="宋体" w:eastAsia="宋体" w:cs="宋体"/>
          <w:b w:val="0"/>
          <w:bCs/>
          <w:color w:val="auto"/>
          <w:sz w:val="24"/>
          <w:szCs w:val="24"/>
          <w:highlight w:val="none"/>
        </w:rPr>
        <w:t xml:space="preserve">日前竣工并移交整个工程 </w:t>
      </w:r>
      <w:r>
        <w:rPr>
          <w:rFonts w:hint="eastAsia" w:ascii="宋体" w:hAnsi="宋体" w:cs="宋体"/>
          <w:b w:val="0"/>
          <w:bCs/>
          <w:color w:val="auto"/>
          <w:sz w:val="24"/>
          <w:szCs w:val="24"/>
          <w:highlight w:val="none"/>
          <w:lang w:eastAsia="zh-CN"/>
        </w:rPr>
        <w:t>。</w:t>
      </w:r>
    </w:p>
    <w:p>
      <w:pPr>
        <w:pStyle w:val="18"/>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本项目接受联合体投标：否</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pPr>
        <w:spacing w:line="360" w:lineRule="auto"/>
        <w:ind w:firstLine="48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 xml:space="preserve">    2.落实政府采购政策需满足的资格要求：</w:t>
      </w:r>
      <w:r>
        <w:rPr>
          <w:rFonts w:hint="eastAsia" w:ascii="宋体" w:hAnsi="宋体" w:eastAsia="宋体" w:cs="宋体"/>
          <w:color w:val="auto"/>
          <w:sz w:val="24"/>
          <w:szCs w:val="24"/>
          <w:highlight w:val="none"/>
        </w:rPr>
        <w:t>无；</w:t>
      </w:r>
    </w:p>
    <w:p>
      <w:pPr>
        <w:numPr>
          <w:ilvl w:val="0"/>
          <w:numId w:val="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本项目的特定资格要求：</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、具有独立法人资格；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、供应商具有有效期内的</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工程施工总承包三级及以上资质的企业，并在人员、设备、资金等方面具有相应的施工能力，且具有有效的《安全生产许可证》；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、拟派项目负责人具有注册在供应商且在有效期内的</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工程专业贰级及以上注册建造师执业资格，且具有有效的三类人员B类证书；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日9点00分</w:t>
      </w:r>
      <w:r>
        <w:rPr>
          <w:rFonts w:hint="eastAsia" w:ascii="宋体" w:hAnsi="宋体" w:eastAsia="宋体" w:cs="宋体"/>
          <w:bCs/>
          <w:color w:val="auto"/>
          <w:sz w:val="24"/>
          <w:szCs w:val="24"/>
          <w:highlight w:val="none"/>
          <w:u w:val="single"/>
        </w:rPr>
        <w:t xml:space="preserve">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
          <w:color w:val="auto"/>
          <w:sz w:val="24"/>
          <w:szCs w:val="24"/>
          <w:highlight w:val="none"/>
          <w:lang w:eastAsia="zh-CN"/>
        </w:rPr>
        <w:t>杭州西成建设管理有限公司开标室（杭州市临安区锦北街道科技大道云安小镇</w:t>
      </w:r>
      <w:r>
        <w:rPr>
          <w:rFonts w:hint="eastAsia" w:ascii="宋体" w:hAnsi="宋体" w:eastAsia="宋体" w:cs="宋体"/>
          <w:b/>
          <w:color w:val="auto"/>
          <w:sz w:val="24"/>
          <w:szCs w:val="24"/>
          <w:highlight w:val="none"/>
          <w:lang w:val="en-US" w:eastAsia="zh-CN"/>
        </w:rPr>
        <w:t>9B幢一楼</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政采云平台（https://www.zcygov.cn/）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称：杭州市临安区教育保障中心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址：杭州市临安区</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highlight w:val="none"/>
        </w:rPr>
        <w:t>汪老师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w:t>
      </w:r>
      <w:r>
        <w:rPr>
          <w:rFonts w:hint="eastAsia" w:ascii="宋体" w:hAnsi="宋体" w:cs="宋体"/>
          <w:color w:val="auto"/>
          <w:sz w:val="24"/>
          <w:highlight w:val="none"/>
        </w:rPr>
        <w:t>0571-61062103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质疑联系人：王正华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质疑联系方式：0571-63723694</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称：杭州西成建设管理有限公司</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址：杭州市临安区锦北街道科技大道云安小镇9B幢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eastAsia="zh-CN"/>
        </w:rPr>
        <w:t>郑必成</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0571-61112061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质疑联系人：梅露红</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0571-61112053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称：杭州市临安区财政局政府采购监督管理科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址：浙江省杭州市临安区锦北街道科技大道4398号4号楼11楼</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真：0571-63722886</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：喻伟建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监督投诉电话：0571-61073953</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9436" w:type="dxa"/>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763"/>
        <w:gridCol w:w="1773"/>
        <w:gridCol w:w="6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90"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4424"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开标一览表（报价表）是报价的唯一载体</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0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00" w:lineRule="exact"/>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05"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461" w:hRule="atLeast"/>
          <w:tblHeader/>
        </w:trPr>
        <w:tc>
          <w:tcPr>
            <w:tcW w:w="763" w:type="dxa"/>
            <w:vMerge w:val="restart"/>
            <w:tcBorders>
              <w:top w:val="single" w:color="auto" w:sz="4" w:space="0"/>
              <w:left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p>
          <w:p>
            <w:pPr>
              <w:snapToGrid w:val="0"/>
              <w:spacing w:line="240" w:lineRule="auto"/>
              <w:jc w:val="center"/>
              <w:rPr>
                <w:rFonts w:hint="eastAsia" w:ascii="宋体" w:hAnsi="宋体" w:eastAsia="宋体" w:cs="宋体"/>
                <w:color w:val="auto"/>
                <w:sz w:val="24"/>
                <w:szCs w:val="24"/>
                <w:highlight w:val="none"/>
              </w:rPr>
            </w:pPr>
          </w:p>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3" w:type="dxa"/>
            <w:vMerge w:val="restart"/>
            <w:tcBorders>
              <w:top w:val="single" w:color="000000" w:sz="8" w:space="0"/>
              <w:left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900" w:type="dxa"/>
            <w:tcBorders>
              <w:top w:val="single" w:color="000000" w:sz="8" w:space="0"/>
              <w:left w:val="single" w:color="000000" w:sz="2"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704" w:hRule="atLeast"/>
          <w:tblHeader/>
        </w:trPr>
        <w:tc>
          <w:tcPr>
            <w:tcW w:w="763" w:type="dxa"/>
            <w:vMerge w:val="continue"/>
            <w:tcBorders>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p>
        </w:tc>
        <w:tc>
          <w:tcPr>
            <w:tcW w:w="1773" w:type="dxa"/>
            <w:vMerge w:val="continue"/>
            <w:tcBorders>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p>
        </w:tc>
        <w:tc>
          <w:tcPr>
            <w:tcW w:w="6900" w:type="dxa"/>
            <w:tcBorders>
              <w:top w:val="single" w:color="auto" w:sz="4"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797"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p>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97"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90"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pStyle w:val="7"/>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杭州市临安区校园“安澜”工程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1144" w:hRule="atLeast"/>
          <w:tblHeader/>
        </w:trPr>
        <w:tc>
          <w:tcPr>
            <w:tcW w:w="763" w:type="dxa"/>
            <w:vMerge w:val="restart"/>
            <w:tcBorders>
              <w:top w:val="single" w:color="auto" w:sz="4" w:space="0"/>
              <w:left w:val="single" w:color="000000" w:sz="8"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3" w:type="dxa"/>
            <w:vMerge w:val="restart"/>
            <w:tcBorders>
              <w:top w:val="single" w:color="000000" w:sz="8" w:space="0"/>
              <w:left w:val="single" w:color="000000" w:sz="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napToGrid w:val="0"/>
                <w:color w:val="auto"/>
                <w:kern w:val="2"/>
                <w:sz w:val="24"/>
                <w:szCs w:val="24"/>
                <w:highlight w:val="none"/>
                <w:lang w:val="en-US" w:eastAsia="zh-CN" w:bidi="ar-SA"/>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1144" w:hRule="atLeast"/>
          <w:tblHeader/>
        </w:trPr>
        <w:tc>
          <w:tcPr>
            <w:tcW w:w="763" w:type="dxa"/>
            <w:vMerge w:val="continue"/>
            <w:tcBorders>
              <w:left w:val="single" w:color="000000" w:sz="8" w:space="0"/>
              <w:right w:val="single" w:color="000000" w:sz="2" w:space="0"/>
            </w:tcBorders>
            <w:shd w:val="clear" w:color="auto" w:fill="auto"/>
          </w:tcPr>
          <w:p>
            <w:pPr>
              <w:spacing w:line="240" w:lineRule="auto"/>
              <w:ind w:firstLine="480" w:firstLineChars="200"/>
              <w:rPr>
                <w:rFonts w:hint="eastAsia" w:ascii="宋体" w:hAnsi="宋体" w:eastAsia="宋体" w:cs="宋体"/>
                <w:color w:val="auto"/>
                <w:sz w:val="24"/>
                <w:szCs w:val="24"/>
                <w:highlight w:val="none"/>
              </w:rPr>
            </w:pPr>
          </w:p>
        </w:tc>
        <w:tc>
          <w:tcPr>
            <w:tcW w:w="1773" w:type="dxa"/>
            <w:vMerge w:val="continue"/>
            <w:tcBorders>
              <w:left w:val="single" w:color="000000" w:sz="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1734"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pStyle w:val="34"/>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 xml:space="preserve"> 杭州市临安区锦北街道科技大道云安小镇9B幢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val="en-US" w:eastAsia="zh-CN"/>
              </w:rPr>
              <w:t>0571-61112061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1284"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采购代理服务费</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pacing w:val="0"/>
                <w:w w:val="100"/>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采购代理服务费由成交人支付，按照发改价格〔2011〕534号文件规定收费标准的80%收取（最低4000元，不含评审专家费），评审专家费另行支付。费用在发出成交通知书前付清。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为保证项目质量，防止投标人恶意低价竞争行为损害项目建设，本项目对报价过低的供应商将提高履约保证金，即投标人的投标报价如低于投标最高限价的80%（</w:t>
            </w:r>
            <w:r>
              <w:rPr>
                <w:rFonts w:hint="eastAsia" w:ascii="宋体" w:hAnsi="宋体" w:cs="宋体"/>
                <w:snapToGrid w:val="0"/>
                <w:color w:val="auto"/>
                <w:kern w:val="28"/>
                <w:sz w:val="24"/>
                <w:szCs w:val="24"/>
                <w:highlight w:val="none"/>
                <w:lang w:val="en-US" w:eastAsia="zh-CN"/>
              </w:rPr>
              <w:t>649.8658</w:t>
            </w:r>
            <w:r>
              <w:rPr>
                <w:rFonts w:hint="eastAsia" w:ascii="宋体" w:hAnsi="宋体" w:eastAsia="宋体" w:cs="宋体"/>
                <w:snapToGrid w:val="0"/>
                <w:color w:val="auto"/>
                <w:kern w:val="28"/>
                <w:sz w:val="24"/>
                <w:szCs w:val="24"/>
                <w:highlight w:val="none"/>
              </w:rPr>
              <w:t>万元）并成为第一中标候选人的，投标人须在原有2%履约保证金的基础上追加保证金，金额为投标最高限价的80%与中标价之间的差额，所追加缴纳的保证金于项目</w:t>
            </w:r>
            <w:r>
              <w:rPr>
                <w:rFonts w:hint="eastAsia" w:ascii="宋体" w:hAnsi="宋体" w:cs="宋体"/>
                <w:snapToGrid w:val="0"/>
                <w:color w:val="auto"/>
                <w:kern w:val="28"/>
                <w:sz w:val="24"/>
                <w:szCs w:val="24"/>
                <w:highlight w:val="none"/>
                <w:lang w:val="en-US" w:eastAsia="zh-CN"/>
              </w:rPr>
              <w:t>竣工验收完成</w:t>
            </w:r>
            <w:r>
              <w:rPr>
                <w:rFonts w:hint="eastAsia" w:ascii="宋体" w:hAnsi="宋体" w:eastAsia="宋体" w:cs="宋体"/>
                <w:snapToGrid w:val="0"/>
                <w:color w:val="auto"/>
                <w:kern w:val="28"/>
                <w:sz w:val="24"/>
                <w:szCs w:val="24"/>
                <w:highlight w:val="none"/>
              </w:rPr>
              <w:t>后无息返还。</w:t>
            </w:r>
          </w:p>
        </w:tc>
      </w:tr>
    </w:tbl>
    <w:p>
      <w:pPr>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系指实质性要求条款，“★”系产品采购项目中单一产品或核心产品，“</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eastAsia="宋体" w:cs="宋体"/>
          <w:b/>
          <w:bCs/>
          <w:color w:val="auto"/>
          <w:sz w:val="24"/>
          <w:szCs w:val="24"/>
          <w:highlight w:val="none"/>
        </w:rPr>
        <w:t>对于未预留份额专门面向中小企业的政府采购</w:t>
      </w:r>
      <w:r>
        <w:rPr>
          <w:rFonts w:hint="eastAsia" w:ascii="宋体" w:hAnsi="宋体" w:eastAsia="宋体" w:cs="宋体"/>
          <w:b/>
          <w:bCs/>
          <w:color w:val="auto"/>
          <w:sz w:val="24"/>
          <w:szCs w:val="24"/>
          <w:highlight w:val="none"/>
          <w:lang w:eastAsia="zh-CN"/>
        </w:rPr>
        <w:t>工程</w:t>
      </w:r>
      <w:r>
        <w:rPr>
          <w:rFonts w:hint="eastAsia" w:ascii="宋体" w:hAnsi="宋体" w:eastAsia="宋体" w:cs="宋体"/>
          <w:b/>
          <w:bCs/>
          <w:color w:val="auto"/>
          <w:sz w:val="24"/>
          <w:szCs w:val="24"/>
          <w:highlight w:val="none"/>
        </w:rPr>
        <w:t>项目，以及预留份额政府采购</w:t>
      </w:r>
      <w:r>
        <w:rPr>
          <w:rFonts w:hint="eastAsia" w:ascii="宋体" w:hAnsi="宋体" w:eastAsia="宋体" w:cs="宋体"/>
          <w:b/>
          <w:bCs/>
          <w:color w:val="auto"/>
          <w:sz w:val="24"/>
          <w:szCs w:val="24"/>
          <w:highlight w:val="none"/>
          <w:lang w:eastAsia="zh-CN"/>
        </w:rPr>
        <w:t>工程</w:t>
      </w:r>
      <w:r>
        <w:rPr>
          <w:rFonts w:hint="eastAsia" w:ascii="宋体" w:hAnsi="宋体" w:eastAsia="宋体" w:cs="宋体"/>
          <w:b/>
          <w:bCs/>
          <w:color w:val="auto"/>
          <w:sz w:val="24"/>
          <w:szCs w:val="24"/>
          <w:highlight w:val="none"/>
        </w:rPr>
        <w:t>项目中的非预留部分标项，对小型和微型企业的投标报价给予</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的扣除，用扣除后的价格参与评审。</w:t>
      </w:r>
      <w:r>
        <w:rPr>
          <w:rFonts w:hint="eastAsia" w:ascii="宋体" w:hAnsi="宋体" w:eastAsia="宋体" w:cs="宋体"/>
          <w:color w:val="auto"/>
          <w:sz w:val="24"/>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4.2.3.2质疑项目的名称、编号；</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4.2.3.5必要的法律依据；</w:t>
      </w:r>
    </w:p>
    <w:p>
      <w:pPr>
        <w:pStyle w:val="34"/>
        <w:spacing w:line="360" w:lineRule="auto"/>
        <w:ind w:firstLine="960" w:firstLineChars="4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4.2</w:t>
      </w:r>
      <w:r>
        <w:rPr>
          <w:rFonts w:hint="eastAsia" w:ascii="宋体" w:hAnsi="宋体" w:eastAsia="宋体" w:cs="宋体"/>
          <w:color w:val="auto"/>
          <w:sz w:val="24"/>
          <w:szCs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4.2</w:t>
      </w:r>
      <w:r>
        <w:rPr>
          <w:rFonts w:hint="eastAsia" w:ascii="宋体" w:hAnsi="宋体" w:eastAsia="宋体" w:cs="宋体"/>
          <w:color w:val="auto"/>
          <w:sz w:val="24"/>
          <w:szCs w:val="24"/>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18"/>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11.2.3联合协议；</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11.2.4分包意向协议；</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11.2.5符合性审查资料；</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pPr>
        <w:snapToGrid w:val="0"/>
        <w:spacing w:line="360" w:lineRule="auto"/>
        <w:ind w:firstLine="960" w:firstLineChars="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11.3.2报价明细表（工程量清单编制严格按《杭州市建设工程工程量清单计价实施细则（2018年修订）》实施，具体清单报价表详见格式部分。）</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11.3.3</w:t>
      </w:r>
      <w:r>
        <w:rPr>
          <w:rFonts w:hint="eastAsia" w:ascii="宋体" w:hAnsi="宋体" w:eastAsia="宋体" w:cs="宋体"/>
          <w:color w:val="auto"/>
          <w:sz w:val="24"/>
          <w:szCs w:val="24"/>
          <w:highlight w:val="none"/>
        </w:rPr>
        <w:t>中小企业声明函。</w:t>
      </w:r>
    </w:p>
    <w:p>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pPr>
        <w:pStyle w:val="128"/>
        <w:snapToGrid w:val="0"/>
        <w:spacing w:before="0"/>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pPr>
        <w:pStyle w:val="1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128"/>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pPr>
        <w:pStyle w:val="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有招标文件第四部分第13项规定的情形之一的，投标无效：</w:t>
      </w:r>
    </w:p>
    <w:p>
      <w:pPr>
        <w:pStyle w:val="128"/>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hint="eastAsia" w:ascii="仿宋_GB2312" w:hAnsi="仿宋" w:eastAsia="仿宋_GB2312" w:cs="仿宋_GB2312"/>
          <w:b/>
          <w:color w:val="auto"/>
          <w:sz w:val="36"/>
          <w:szCs w:val="36"/>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pStyle w:val="26"/>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pPr>
        <w:pStyle w:val="2"/>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pPr>
        <w:tabs>
          <w:tab w:val="left" w:pos="0"/>
        </w:tabs>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5%。鼓励和支持供应商以银行、保险公司出具的保函形式提供履约保证金。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5%。</w:t>
      </w:r>
    </w:p>
    <w:p>
      <w:pPr>
        <w:pStyle w:val="7"/>
        <w:ind w:left="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rPr>
          <w:rFonts w:ascii="仿宋_GB2312" w:hAnsi="仿宋" w:eastAsia="仿宋_GB2312"/>
          <w:color w:val="auto"/>
          <w:sz w:val="24"/>
          <w:highlight w:val="none"/>
        </w:rPr>
      </w:pPr>
    </w:p>
    <w:p>
      <w:pPr>
        <w:pStyle w:val="7"/>
        <w:rPr>
          <w:color w:val="auto"/>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850" w:left="1418" w:header="340" w:footer="567" w:gutter="0"/>
          <w:cols w:space="720" w:num="1"/>
          <w:titlePg/>
          <w:docGrid w:linePitch="312" w:charSpace="0"/>
        </w:sectPr>
      </w:pPr>
      <w:bookmarkStart w:id="14" w:name="_Hlt68072998"/>
      <w:bookmarkEnd w:id="14"/>
      <w:bookmarkStart w:id="15" w:name="_Hlt68073093"/>
      <w:bookmarkEnd w:id="15"/>
      <w:bookmarkStart w:id="16" w:name="_Hlt74729768"/>
      <w:bookmarkEnd w:id="16"/>
      <w:bookmarkStart w:id="17" w:name="_Hlt74730295"/>
      <w:bookmarkEnd w:id="17"/>
      <w:bookmarkStart w:id="18" w:name="_Hlt75236101"/>
      <w:bookmarkEnd w:id="18"/>
      <w:bookmarkStart w:id="19" w:name="_Hlt75236290"/>
      <w:bookmarkEnd w:id="19"/>
      <w:bookmarkStart w:id="20" w:name="_Hlt68403820"/>
      <w:bookmarkEnd w:id="20"/>
      <w:bookmarkStart w:id="21" w:name="_Hlt74707468"/>
      <w:bookmarkEnd w:id="21"/>
      <w:bookmarkStart w:id="22" w:name="_Hlt68057669"/>
      <w:bookmarkEnd w:id="22"/>
      <w:bookmarkStart w:id="23" w:name="_Hlt75236011"/>
      <w:bookmarkEnd w:id="23"/>
      <w:bookmarkStart w:id="24" w:name="_Hlt74714665"/>
      <w:bookmarkEnd w:id="24"/>
      <w:bookmarkStart w:id="25" w:name="_Hlt68072990"/>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pacing w:line="500" w:lineRule="exact"/>
        <w:ind w:firstLine="482" w:firstLineChars="200"/>
        <w:rPr>
          <w:rFonts w:hint="eastAsia" w:ascii="宋体" w:hAnsi="宋体" w:eastAsia="宋体" w:cs="宋体"/>
          <w:b/>
          <w:bCs/>
          <w:color w:val="auto"/>
          <w:sz w:val="24"/>
          <w:highlight w:val="none"/>
        </w:rPr>
      </w:pPr>
      <w:bookmarkStart w:id="27" w:name="_Toc241467002"/>
      <w:bookmarkStart w:id="28" w:name="_Toc259303048"/>
      <w:bookmarkStart w:id="29" w:name="_Toc482776958"/>
      <w:bookmarkStart w:id="30" w:name="_Toc239860045"/>
      <w:bookmarkStart w:id="31" w:name="_Toc512429169"/>
      <w:bookmarkStart w:id="32" w:name="_Toc512417679"/>
      <w:bookmarkStart w:id="33" w:name="_Toc302983087"/>
      <w:bookmarkStart w:id="34" w:name="_Toc477336991"/>
      <w:bookmarkStart w:id="35" w:name="_Toc301444198"/>
      <w:bookmarkStart w:id="36" w:name="_Toc512496353"/>
      <w:bookmarkStart w:id="37" w:name="_Toc241466926"/>
      <w:bookmarkStart w:id="38" w:name="_Toc512603982"/>
      <w:bookmarkStart w:id="39" w:name="_Toc512600501"/>
      <w:r>
        <w:rPr>
          <w:rFonts w:hint="eastAsia" w:ascii="宋体" w:hAnsi="宋体" w:eastAsia="宋体" w:cs="宋体"/>
          <w:b/>
          <w:bCs/>
          <w:color w:val="auto"/>
          <w:sz w:val="24"/>
          <w:highlight w:val="none"/>
        </w:rPr>
        <w:t>1、项目概述</w:t>
      </w:r>
    </w:p>
    <w:p>
      <w:pPr>
        <w:spacing w:line="500" w:lineRule="exact"/>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bCs/>
          <w:color w:val="auto"/>
          <w:sz w:val="24"/>
          <w:highlight w:val="none"/>
        </w:rPr>
        <w:t>（1）项目名称：</w:t>
      </w:r>
      <w:r>
        <w:rPr>
          <w:rFonts w:hint="eastAsia" w:ascii="宋体" w:hAnsi="宋体" w:eastAsia="宋体" w:cs="宋体"/>
          <w:bCs/>
          <w:color w:val="auto"/>
          <w:sz w:val="24"/>
          <w:highlight w:val="none"/>
          <w:lang w:eastAsia="zh-CN"/>
        </w:rPr>
        <w:t>杭州市杭州市临安区校园“安澜”工程</w:t>
      </w:r>
    </w:p>
    <w:p>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（2）项目概况：</w:t>
      </w:r>
    </w:p>
    <w:p>
      <w:pPr>
        <w:spacing w:line="50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杭州市临安区校园“安澜”工程，本工程主要包括临安中学、锦城一中、锦城二中、锦城三中、天目初中、青山初中、青云初中、衣锦小学等53座学校的绿化拓宽、新增铝合金窗户及节点铺装等。本次招标范围包括图纸设计范围内的市政工程、绿化工程等；项目地理位置、建设条件、施工环境条件等情况详见工程量清单及图纸，并自行踏勘现场。</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2、招标范围</w:t>
      </w:r>
    </w:p>
    <w:p>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本次招标范围包括图纸设计范围内的</w:t>
      </w:r>
      <w:r>
        <w:rPr>
          <w:rFonts w:hint="eastAsia" w:ascii="宋体" w:hAnsi="宋体" w:eastAsia="宋体" w:cs="宋体"/>
          <w:b w:val="0"/>
          <w:bCs/>
          <w:color w:val="auto"/>
          <w:sz w:val="24"/>
          <w:highlight w:val="none"/>
          <w:lang w:eastAsia="zh-CN"/>
        </w:rPr>
        <w:t>绿化工程</w:t>
      </w:r>
      <w:r>
        <w:rPr>
          <w:rFonts w:hint="eastAsia" w:ascii="宋体" w:hAnsi="宋体" w:eastAsia="宋体" w:cs="宋体"/>
          <w:b w:val="0"/>
          <w:bCs/>
          <w:color w:val="auto"/>
          <w:sz w:val="24"/>
          <w:highlight w:val="none"/>
        </w:rPr>
        <w:t>、市政工程</w:t>
      </w:r>
      <w:r>
        <w:rPr>
          <w:rFonts w:hint="eastAsia" w:ascii="宋体" w:hAnsi="宋体" w:eastAsia="宋体" w:cs="宋体"/>
          <w:b w:val="0"/>
          <w:bCs/>
          <w:color w:val="auto"/>
          <w:sz w:val="24"/>
          <w:highlight w:val="none"/>
          <w:lang w:eastAsia="zh-CN"/>
        </w:rPr>
        <w:t>等</w:t>
      </w:r>
      <w:r>
        <w:rPr>
          <w:rFonts w:hint="eastAsia" w:ascii="宋体" w:hAnsi="宋体" w:eastAsia="宋体" w:cs="宋体"/>
          <w:b w:val="0"/>
          <w:bCs/>
          <w:color w:val="auto"/>
          <w:sz w:val="24"/>
          <w:highlight w:val="none"/>
        </w:rPr>
        <w:t>。</w:t>
      </w:r>
    </w:p>
    <w:p>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3、报价要求</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3.1 </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应按</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文件规定的报价清单文件要求填写相应表格。每一项目只允许有一个报价，任何有选择的报价将不予接受，</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未填单价或合价的工程项目，在实施后，采购人将不予以支付，并视作该项费用已包括在其它有价款的单价或合价内。</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3.2 </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在</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截止时间前修改投标函中的投标报价总额，应同时修改“已标价工程量清单”中的相应报价，</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报价总额为各分项金额之和。此修改须符合</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文件关于修改的有关要求。除非合同中另有规定，</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在总价中的价格均包括完成该工程项目的直接费、间接费、利润、税金、风险费、公共费用、管理部门各项规费、勘察现场费用、计划生育、卫生防疫及与周边单位和人员协调、五大主材检测费用（钢筋、水泥、砖、混凝土、砂浆）等所有费用。</w:t>
      </w:r>
    </w:p>
    <w:p>
      <w:pPr>
        <w:spacing w:line="50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关于工程实施及验收的检测试验费用如：验收所需的环境检测等检测，检测费费用由投标人承担费用并考虑在投标报价中。投标人应负责完工后的室内环境检测、消防检测等，检测单位需获得发包人、监理人的认可。检测费用自行考虑列入措施项目清单及计价表中，汇入投标报价。</w:t>
      </w:r>
    </w:p>
    <w:p>
      <w:pPr>
        <w:spacing w:line="50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公共费用(如交通设施、环卫、消防、市容、环保、噪音、治安保卫等费用)由</w:t>
      </w:r>
      <w:r>
        <w:rPr>
          <w:rFonts w:hint="eastAsia" w:ascii="宋体" w:hAnsi="宋体" w:cs="宋体"/>
          <w:bCs/>
          <w:color w:val="auto"/>
          <w:sz w:val="24"/>
          <w:highlight w:val="none"/>
          <w:lang w:val="en-US" w:eastAsia="zh-CN"/>
        </w:rPr>
        <w:t>投标</w:t>
      </w:r>
      <w:r>
        <w:rPr>
          <w:rFonts w:hint="eastAsia" w:ascii="宋体" w:hAnsi="宋体" w:eastAsia="宋体" w:cs="宋体"/>
          <w:bCs/>
          <w:color w:val="auto"/>
          <w:sz w:val="24"/>
          <w:highlight w:val="none"/>
          <w:lang w:val="en-US" w:eastAsia="zh-CN"/>
        </w:rPr>
        <w:t>人自行调研，作为单项费用计入措施项目费中，否则视作优惠。</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3.3 </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设有</w:t>
      </w:r>
      <w:r>
        <w:rPr>
          <w:rFonts w:hint="eastAsia" w:ascii="宋体" w:hAnsi="宋体" w:eastAsia="宋体" w:cs="宋体"/>
          <w:bCs/>
          <w:color w:val="auto"/>
          <w:sz w:val="24"/>
          <w:highlight w:val="none"/>
          <w:lang w:val="en-US" w:eastAsia="zh-CN"/>
        </w:rPr>
        <w:t>上</w:t>
      </w:r>
      <w:r>
        <w:rPr>
          <w:rFonts w:hint="eastAsia" w:ascii="宋体" w:hAnsi="宋体" w:eastAsia="宋体" w:cs="宋体"/>
          <w:bCs/>
          <w:color w:val="auto"/>
          <w:sz w:val="24"/>
          <w:highlight w:val="none"/>
        </w:rPr>
        <w:t>限价的，</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报价不得超过</w:t>
      </w:r>
      <w:r>
        <w:rPr>
          <w:rFonts w:hint="eastAsia" w:ascii="宋体" w:hAnsi="宋体" w:eastAsia="宋体" w:cs="宋体"/>
          <w:bCs/>
          <w:color w:val="auto"/>
          <w:sz w:val="24"/>
          <w:highlight w:val="none"/>
          <w:lang w:val="en-US" w:eastAsia="zh-CN"/>
        </w:rPr>
        <w:t>上</w:t>
      </w:r>
      <w:r>
        <w:rPr>
          <w:rFonts w:hint="eastAsia" w:ascii="宋体" w:hAnsi="宋体" w:eastAsia="宋体" w:cs="宋体"/>
          <w:bCs/>
          <w:color w:val="auto"/>
          <w:sz w:val="24"/>
          <w:highlight w:val="none"/>
        </w:rPr>
        <w:t>限价，</w:t>
      </w:r>
      <w:r>
        <w:rPr>
          <w:rFonts w:hint="eastAsia" w:ascii="宋体" w:hAnsi="宋体" w:eastAsia="宋体" w:cs="宋体"/>
          <w:bCs/>
          <w:color w:val="auto"/>
          <w:sz w:val="24"/>
          <w:highlight w:val="none"/>
          <w:lang w:val="en-US" w:eastAsia="zh-CN"/>
        </w:rPr>
        <w:t>上</w:t>
      </w:r>
      <w:r>
        <w:rPr>
          <w:rFonts w:hint="eastAsia" w:ascii="宋体" w:hAnsi="宋体" w:eastAsia="宋体" w:cs="宋体"/>
          <w:bCs/>
          <w:color w:val="auto"/>
          <w:sz w:val="24"/>
          <w:highlight w:val="none"/>
        </w:rPr>
        <w:t>限价在</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须知前附表中载明。</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3.4除非本</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文件对工程量清单编制和报价另有说明的，否则，</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应按工程量清单中的项目和数量进行报价。</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应根据清单特征描述和施工图进行报价，如果出现清单特征描述和施工图不一致时，</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应在招标质疑截止时间前提出。</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对</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文件中的数量表述或语句表述，觉得有歧义或多种不同理解的，</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应在质疑截止时间前提出。以上情况</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未在质疑截止时间前提出的，以采购人的解释为准，由此造成废标或其他情况，由</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自行负责承担。</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报价，应是完成本须知和合同条款上所列采购工程范围及工期的全部，不得以任何理由予以重复，作为</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计算单价或总价的依据。</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3.6</w:t>
      </w:r>
      <w:r>
        <w:rPr>
          <w:rFonts w:hint="eastAsia" w:ascii="宋体" w:hAnsi="宋体" w:cs="宋体"/>
          <w:bCs/>
          <w:color w:val="auto"/>
          <w:sz w:val="24"/>
          <w:highlight w:val="none"/>
          <w:lang w:val="en-US" w:eastAsia="zh-CN"/>
        </w:rPr>
        <w:t>投标</w:t>
      </w:r>
      <w:r>
        <w:rPr>
          <w:rFonts w:hint="eastAsia" w:ascii="宋体" w:hAnsi="宋体" w:eastAsia="宋体" w:cs="宋体"/>
          <w:color w:val="auto"/>
          <w:sz w:val="24"/>
          <w:highlight w:val="none"/>
          <w:lang w:eastAsia="zh-CN"/>
        </w:rPr>
        <w:t>人</w:t>
      </w:r>
      <w:r>
        <w:rPr>
          <w:rFonts w:hint="eastAsia" w:ascii="宋体" w:hAnsi="宋体" w:eastAsia="宋体" w:cs="宋体"/>
          <w:bCs/>
          <w:color w:val="auto"/>
          <w:sz w:val="24"/>
          <w:highlight w:val="none"/>
        </w:rPr>
        <w:t>应先到施工现场踏勘以充分了解工地位置、情况、道路、储存空间、装卸限制、临时施工用水接口、用电接驳点位置及任何其它足以影响承包价的情况，任何因忽视或误解施工现场情况而导致的索赔或工期延长申请将不获批准。</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应充分考虑停电、停水、二次搬运、施工场地不足、施工机械（大型、特大型机械）多次进出场和安拆费、雨季施工、成品保护等情况可能引起的费用增加和工期延误。增加的费用在投标时自行考虑，施工期间此类影响，均不作任何调整。</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3.7本工程报价编制依据：施工图纸、</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文件、补充纪要等技术资料。</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3.7.1参照定额：《建设工程工程量清单计价规范》（GB50500-2013）、《杭州市建设工程工程量清单计价实施细则》（2018年修订）《浙江省建设工程计价规则》（2018版）、《浙江省房屋建筑与装饰工程预算定额》（2018版）、《浙江省市政工程预算定额》（2018版）、《浙江省通用安装工程预算定额》（2018版）、《浙江省园林绿化及仿古建筑工程预算定额》（2018版）、《浙江省建设工程施工机械台班费用定额》（2018版）、《浙江省建设安装材料基期价格》（2018版）及补充内容和文件。</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3.7.2材料市场价格</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①可参照《杭州造价信息》临安区或杭州（20</w:t>
      </w:r>
      <w:r>
        <w:rPr>
          <w:rFonts w:hint="eastAsia" w:ascii="宋体" w:hAnsi="宋体" w:eastAsia="宋体" w:cs="宋体"/>
          <w:bCs/>
          <w:color w:val="auto"/>
          <w:sz w:val="24"/>
          <w:highlight w:val="none"/>
          <w:lang w:val="en-US" w:eastAsia="zh-CN"/>
        </w:rPr>
        <w:t>22</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月）、《浙江造价信息》（20</w:t>
      </w:r>
      <w:r>
        <w:rPr>
          <w:rFonts w:hint="eastAsia" w:ascii="宋体" w:hAnsi="宋体" w:eastAsia="宋体" w:cs="宋体"/>
          <w:bCs/>
          <w:color w:val="auto"/>
          <w:sz w:val="24"/>
          <w:highlight w:val="none"/>
          <w:lang w:val="en-US" w:eastAsia="zh-CN"/>
        </w:rPr>
        <w:t>22</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月）及市场调查价。</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②人工费编制可参照杭建造价投资办相关文件要求执行；</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③其它有关规定。</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3.7.3</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应参照各类市场要素价格信息并根据自身企业的成本控制水平进行自主报价，但不得低于成本报价。</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3.8临时用地、临时设施搭建等由</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自行解决，相应费用列入</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总报价，结算时不再增加此类费用。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还应充分考虑施工过程中可能会发生临时安全消防、临时设施租用（临时设施场地的借用）、借用村道、临时交通便道、建筑垃圾堆放清运、夜间赶工、赶工措施及单项工程修改造成的小范围窝工、地方关系协调等因素，所需费用单列，汇入措施及其他费用表中，计入</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报价，结算时不再增加此类费用。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3.9所有组织措施项目费和以“项”为计量单位的技术措施费于投标时考虑，一旦中标，结算时不再增加此类费用。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3.10</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的技术标中或</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文件、技术规范要求和设计施工图中所列的施工技术要求所产生的费用均应包括在</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报价中，还应包括</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认为完成该工程所需交纳的地方或行业的其他费用。不可抗力因素以外情况产生的费用也应包含在措施费内。一旦中标，结算时不再增加此类费用。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成交人为便于施工而更改技术方案所增加的工程费用一律不予调整，属施工技术方案失误造成的费用及延误工期均由成交人承担。对施工技术方案的内容未在</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报价中体现的均视同优惠。</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3.11工程施工过程中及工程竣工完成后，成交人应负责场地清理工作，包括施工垃圾、生活垃圾、其它零星垃圾、临时设施的拆除以及施工机械外运等工作，外运运输距离和垃圾弃置场地（必须符合政府规定）以及运输过程中发生的环保费、城市卫生费等开支均应包括在</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报价中，不另行支付。若成交人未在采购人规定时间内清除各种垃圾，采购人有权组织清理，费用在工程款中扣除。</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3.12施工过程中如需要与其他部门或相关单位协调与配合由成交人负责，所产生的费用计入清单报价中，由成交人承担，结算时不再增加该笔费用。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人不文明施工引起的诸如交通、治安、环保等罚款及其它有关费用均由成交人自行承担，招标人概不负责。必须严格遵守安全施工的操作规程，完善安全施工措施，如发现安全事故，由施工单位承担一切责任。</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3.13成交人在施工时应做好与周边相关道路以及周边居民出行的交通组织、文明安全、交通设施等围护工作（包括设置临时交通标志、标牌、标线等），满足交警等相关部门的管理要求。必须做到道路安全畅通，做好安全施工的宣传工作，确保工程顺利进行。</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根据采购人对围护方案的要求并踏勘现场后，充分考虑可能发生或增加的费用，于措施项目中考虑，计入总价，由</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自行承担，结算时不再增加该笔费用。若今后实际施工中施工围护工作未按采购人要求进行施工围护的，采购人有权按实际发生额从总价中扣除。</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3.14本工程施工中多余垃圾、废弃料等若需外运的，运距、填埋场地及弃置费用由</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自行考虑，涉及费用考虑在</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总价内，结算时不再增加此项费用。因垃圾外运等造成环境卫生等的影响，由成交人承担。</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3.15采购人提供施工用水水源、电源接入点，水电管线接驳费用由成交人承担，水电费用采用装表计量，施工过程中发生的水电费由成交人自行支付。成交人须负责做好相关维护和管理工作，所需费用在措施费及其他费用报价表中考虑，未考虑视作优惠。成交人必须对施工场地周边设施妥善保护，如出现损坏由承包负责赔偿及处理。一旦中标，结算时不再增加此类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供电的时间根据当地供电部门要求进行统筹安排。电讯线路由成交人自行解决并承担费用。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3.16本工程施工时，成交人对周边建筑物、道路、树木、构筑物，电力设施、地下管线及各类成品等自行采取保护措施，并做好安全围护措施；由此所发生的一切费用均应计入相关项目的单价和总价中，中标后不再增加该笔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3.17本工程施工中若需使用大型、特大型机械的，大型、特大型机械的进出场费用由</w:t>
      </w:r>
      <w:r>
        <w:rPr>
          <w:rFonts w:hint="eastAsia" w:ascii="宋体" w:hAnsi="宋体" w:cs="宋体"/>
          <w:bCs/>
          <w:color w:val="auto"/>
          <w:sz w:val="24"/>
          <w:highlight w:val="none"/>
          <w:lang w:val="en-US"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自行考虑，结算时不再增加此类费用。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3.18绿化工程的相关要求：</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a.所有苗木进场必须经招标人和监理人现场认定质量符合要求后方可种植。</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b.胸径小于清单项目特征描述规定尺寸的，招标人不接收。</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c.根据《浙江省园林绿化工程施工质量验收规范》（DB33/1068-2010）要求验收。（胸径按离地1.2米高处的树干直径验收；地径按离地0.3米高处的树干直径验收）。</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D.</w:t>
      </w:r>
      <w:r>
        <w:rPr>
          <w:rFonts w:hint="eastAsia" w:ascii="宋体" w:hAnsi="宋体" w:eastAsia="宋体" w:cs="宋体"/>
          <w:bCs/>
          <w:color w:val="auto"/>
          <w:sz w:val="24"/>
          <w:highlight w:val="none"/>
        </w:rPr>
        <w:t>主要材料及苗木、设施设备等进场前必须经招标人、监理人、现场管理人员验收合格后方可进场施工（种植）、安装。未经确认而擅自进场的材料（苗木、设施设备）若达不到招标单位要求的，中标单位须无条件更换，由此造成的一切损失和责任由中标单位承担。无论发包人和发包人委托的监理单位是否发现和制止，由于质量达不到招标人要求所引起的一切责任由承包人自负。投标人须于报价时充分考虑上述因素产生一切相关费用。</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e.</w:t>
      </w:r>
      <w:r>
        <w:rPr>
          <w:rFonts w:hint="eastAsia" w:ascii="宋体" w:hAnsi="宋体" w:eastAsia="宋体" w:cs="宋体"/>
          <w:bCs/>
          <w:color w:val="auto"/>
          <w:sz w:val="24"/>
          <w:highlight w:val="none"/>
        </w:rPr>
        <w:t>绿化养护期为三年（自本绿化工程竣工验收合格之日日开始），要求成活率在100%以上，其中严重脱皮、大量虫蛀、半死亡现象视为死亡。绿化养护期间发生苗木等死亡的（树木主干一叉及以上死亡的），要求整株无条件更换。三年苗木养护费用须充分考虑在综合单价内，如未填报视为优惠，中标后综合单价不调。</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3.19</w:t>
      </w:r>
      <w:r>
        <w:rPr>
          <w:rFonts w:hint="eastAsia" w:ascii="宋体" w:hAnsi="宋体" w:cs="宋体"/>
          <w:bCs/>
          <w:color w:val="auto"/>
          <w:sz w:val="24"/>
          <w:highlight w:val="none"/>
          <w:lang w:val="en-US" w:eastAsia="zh-CN"/>
        </w:rPr>
        <w:t>投标</w:t>
      </w:r>
      <w:r>
        <w:rPr>
          <w:rFonts w:hint="eastAsia" w:ascii="宋体" w:hAnsi="宋体" w:eastAsia="宋体" w:cs="宋体"/>
          <w:bCs/>
          <w:color w:val="auto"/>
          <w:sz w:val="24"/>
          <w:highlight w:val="none"/>
        </w:rPr>
        <w:t>人应根据有关要求加强安全防护、文明施工工作。安全文明施工措施基本费用报价不得低于相应基准费率的90%，否则，由</w:t>
      </w:r>
      <w:r>
        <w:rPr>
          <w:rFonts w:hint="eastAsia" w:ascii="宋体" w:hAnsi="宋体" w:eastAsia="宋体" w:cs="宋体"/>
          <w:bCs/>
          <w:color w:val="auto"/>
          <w:sz w:val="24"/>
          <w:highlight w:val="none"/>
          <w:lang w:val="en-US" w:eastAsia="zh-CN"/>
        </w:rPr>
        <w:t>评标</w:t>
      </w:r>
      <w:r>
        <w:rPr>
          <w:rFonts w:hint="eastAsia" w:ascii="宋体" w:hAnsi="宋体" w:eastAsia="宋体" w:cs="宋体"/>
          <w:bCs/>
          <w:color w:val="auto"/>
          <w:sz w:val="24"/>
          <w:highlight w:val="none"/>
        </w:rPr>
        <w:t>小组认定其低于成本价竞标,作为无效标处理，以上费用组成必须明确项目数量和单价，计入相应措施项目清单报及计价表中，成交人在施工过程中按实际发生量进行结算。</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企业管理费、利润的费用计算由</w:t>
      </w:r>
      <w:r>
        <w:rPr>
          <w:rFonts w:hint="eastAsia" w:ascii="宋体" w:hAnsi="宋体" w:cs="宋体"/>
          <w:bCs/>
          <w:color w:val="auto"/>
          <w:sz w:val="24"/>
          <w:highlight w:val="none"/>
          <w:lang w:eastAsia="zh-CN"/>
        </w:rPr>
        <w:t>投标</w:t>
      </w:r>
      <w:r>
        <w:rPr>
          <w:rFonts w:hint="eastAsia" w:ascii="宋体" w:hAnsi="宋体" w:eastAsia="宋体" w:cs="宋体"/>
          <w:bCs/>
          <w:color w:val="auto"/>
          <w:sz w:val="24"/>
          <w:highlight w:val="none"/>
          <w:lang w:eastAsia="zh-CN"/>
        </w:rPr>
        <w:t>人</w:t>
      </w:r>
      <w:r>
        <w:rPr>
          <w:rFonts w:hint="eastAsia" w:ascii="宋体" w:hAnsi="宋体" w:eastAsia="宋体" w:cs="宋体"/>
          <w:bCs/>
          <w:color w:val="auto"/>
          <w:sz w:val="24"/>
          <w:highlight w:val="none"/>
        </w:rPr>
        <w:t>自主确定或参照省建设行政主管部门颁发的施工费用定额和计算方法计算。</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否则，由</w:t>
      </w:r>
      <w:r>
        <w:rPr>
          <w:rFonts w:hint="eastAsia" w:ascii="宋体" w:hAnsi="宋体" w:eastAsia="宋体" w:cs="宋体"/>
          <w:bCs/>
          <w:color w:val="auto"/>
          <w:sz w:val="24"/>
          <w:highlight w:val="none"/>
          <w:lang w:val="en-US" w:eastAsia="zh-CN"/>
        </w:rPr>
        <w:t>评标</w:t>
      </w:r>
      <w:r>
        <w:rPr>
          <w:rFonts w:hint="eastAsia" w:ascii="宋体" w:hAnsi="宋体" w:eastAsia="宋体" w:cs="宋体"/>
          <w:bCs/>
          <w:color w:val="auto"/>
          <w:sz w:val="24"/>
          <w:highlight w:val="none"/>
        </w:rPr>
        <w:t>小组认定其低于成本价竞标,作为无效标处理。</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3.22</w:t>
      </w:r>
      <w:r>
        <w:rPr>
          <w:rFonts w:hint="eastAsia" w:ascii="宋体" w:hAnsi="宋体" w:cs="宋体"/>
          <w:bCs/>
          <w:color w:val="auto"/>
          <w:sz w:val="24"/>
          <w:highlight w:val="none"/>
          <w:lang w:val="en-US" w:eastAsia="zh-CN"/>
        </w:rPr>
        <w:t>投标</w:t>
      </w:r>
      <w:r>
        <w:rPr>
          <w:rFonts w:hint="eastAsia" w:ascii="宋体" w:hAnsi="宋体" w:eastAsia="宋体" w:cs="宋体"/>
          <w:bCs/>
          <w:color w:val="auto"/>
          <w:sz w:val="24"/>
          <w:highlight w:val="none"/>
        </w:rPr>
        <w:t>人技术投标文件中所列的施工组织、技术措施，其费用均应包含在</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报价中。</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3.23规费、税金按建设行政主管部门颁发的取费定额的内容和标准及相关文件计算报价(危险作业意外伤害保险费和其他费用另计)。</w:t>
      </w:r>
    </w:p>
    <w:p>
      <w:pPr>
        <w:spacing w:line="50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bCs w:val="0"/>
          <w:color w:val="auto"/>
          <w:sz w:val="24"/>
          <w:highlight w:val="none"/>
        </w:rPr>
        <w:t>3.24</w:t>
      </w:r>
      <w:r>
        <w:rPr>
          <w:rFonts w:hint="eastAsia" w:ascii="宋体" w:hAnsi="宋体" w:eastAsia="宋体" w:cs="宋体"/>
          <w:bCs/>
          <w:color w:val="auto"/>
          <w:sz w:val="24"/>
          <w:highlight w:val="none"/>
        </w:rPr>
        <w:t>其它说明详见工程量清单编制说明。</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4、其它要求</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4.1有关施工规范</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成交人应有各级质量检验人员对施工中每道工序按规范有关要求进行自检，符合要求后，填写工程检验报告单，向</w:t>
      </w:r>
      <w:r>
        <w:rPr>
          <w:rFonts w:hint="eastAsia" w:ascii="宋体" w:hAnsi="宋体" w:eastAsia="宋体" w:cs="宋体"/>
          <w:b/>
          <w:color w:val="auto"/>
          <w:sz w:val="24"/>
          <w:highlight w:val="none"/>
          <w:lang w:val="en-US" w:eastAsia="zh-CN"/>
        </w:rPr>
        <w:t>采购人（或监理工程师）</w:t>
      </w:r>
      <w:r>
        <w:rPr>
          <w:rFonts w:hint="eastAsia" w:ascii="宋体" w:hAnsi="宋体" w:eastAsia="宋体" w:cs="宋体"/>
          <w:b/>
          <w:color w:val="auto"/>
          <w:sz w:val="24"/>
          <w:highlight w:val="none"/>
        </w:rPr>
        <w:t>申请检验。经</w:t>
      </w:r>
      <w:r>
        <w:rPr>
          <w:rFonts w:hint="eastAsia" w:ascii="宋体" w:hAnsi="宋体" w:eastAsia="宋体" w:cs="宋体"/>
          <w:b/>
          <w:color w:val="auto"/>
          <w:sz w:val="24"/>
          <w:highlight w:val="none"/>
          <w:lang w:val="en-US" w:eastAsia="zh-CN"/>
        </w:rPr>
        <w:t>采购人（或监理工程师）</w:t>
      </w:r>
      <w:r>
        <w:rPr>
          <w:rFonts w:hint="eastAsia" w:ascii="宋体" w:hAnsi="宋体" w:eastAsia="宋体" w:cs="宋体"/>
          <w:b/>
          <w:color w:val="auto"/>
          <w:sz w:val="24"/>
          <w:highlight w:val="none"/>
        </w:rPr>
        <w:t>签认后，才能进行下道工序的作业。</w:t>
      </w:r>
      <w:r>
        <w:rPr>
          <w:rFonts w:hint="eastAsia" w:ascii="宋体" w:hAnsi="宋体" w:eastAsia="宋体" w:cs="宋体"/>
          <w:b/>
          <w:color w:val="auto"/>
          <w:sz w:val="24"/>
          <w:highlight w:val="none"/>
          <w:lang w:val="en-US" w:eastAsia="zh-CN"/>
        </w:rPr>
        <w:t>采购人（或监理工程师）</w:t>
      </w:r>
      <w:r>
        <w:rPr>
          <w:rFonts w:hint="eastAsia" w:ascii="宋体" w:hAnsi="宋体" w:eastAsia="宋体" w:cs="宋体"/>
          <w:b/>
          <w:color w:val="auto"/>
          <w:sz w:val="24"/>
          <w:highlight w:val="none"/>
        </w:rPr>
        <w:t>的检验主要采取旁站监督，必要时也可自行检验或自行测量。</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成交人应保存有关工程进度、质量自检、隐蔽工程、试验报告、障碍物拆除以及所有影响工程的原始记录，包括材料、设备的来源等，以备采购人评定工程进度和工程质量时查阅。原始记录、各类技术资料、竣工资料，经有关各方签认后作为档案资料及时整理存档。</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成交人应根据采购人</w:t>
      </w:r>
      <w:r>
        <w:rPr>
          <w:rFonts w:hint="eastAsia" w:ascii="宋体" w:hAnsi="宋体" w:eastAsia="宋体" w:cs="宋体"/>
          <w:b/>
          <w:color w:val="auto"/>
          <w:sz w:val="24"/>
          <w:highlight w:val="none"/>
          <w:lang w:val="en-US" w:eastAsia="zh-CN"/>
        </w:rPr>
        <w:t>及监理工程师</w:t>
      </w:r>
      <w:r>
        <w:rPr>
          <w:rFonts w:hint="eastAsia" w:ascii="宋体" w:hAnsi="宋体" w:eastAsia="宋体" w:cs="宋体"/>
          <w:b/>
          <w:color w:val="auto"/>
          <w:sz w:val="24"/>
          <w:highlight w:val="none"/>
        </w:rPr>
        <w:t>的要求，按规定编制工程各组成部分的工程竣工文件（包括施工原始记录等资料）。经</w:t>
      </w:r>
      <w:r>
        <w:rPr>
          <w:rFonts w:hint="eastAsia" w:ascii="宋体" w:hAnsi="宋体" w:eastAsia="宋体" w:cs="宋体"/>
          <w:b/>
          <w:color w:val="auto"/>
          <w:sz w:val="24"/>
          <w:highlight w:val="none"/>
          <w:lang w:val="en-US" w:eastAsia="zh-CN"/>
        </w:rPr>
        <w:t>采购人（或监理工程师）</w:t>
      </w:r>
      <w:r>
        <w:rPr>
          <w:rFonts w:hint="eastAsia" w:ascii="宋体" w:hAnsi="宋体" w:eastAsia="宋体" w:cs="宋体"/>
          <w:b/>
          <w:color w:val="auto"/>
          <w:sz w:val="24"/>
          <w:highlight w:val="none"/>
        </w:rPr>
        <w:t>审查同意并复制若干份后，方能进行交工验收和竣工决算。</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4.2工程质量</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4.2.1</w:t>
      </w:r>
      <w:r>
        <w:rPr>
          <w:rFonts w:hint="eastAsia" w:ascii="宋体" w:hAnsi="宋体" w:eastAsia="宋体" w:cs="宋体"/>
          <w:b/>
          <w:color w:val="auto"/>
          <w:sz w:val="24"/>
          <w:highlight w:val="none"/>
        </w:rPr>
        <w:t>成交人必须严格按施工图纸、有关设计说明和双方确认的施工组织设计及国家现行施工验收规范、国家有关工程质量检验评定统一标准等有关规定，精心组织施工、记录和检验，通过健全质量保证体系和质量检查制度，严格把好每道工序的质量关，确保工程质量达到验收标准。</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4.2.2成交人必须严格把好各道施工工序的质量关，杜绝工程质量安全事故，自觉遵守施工现场的各项规章制度。监理工程师有权对现场施工质量进行复检，发现不符合技术、质量要求的，有权通知成交人进行整改，甚至返工，成交人必须接受，由此发生的损失由成交人负责，并不得因此延误工期。</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4.2.3采购人委托</w:t>
      </w:r>
      <w:r>
        <w:rPr>
          <w:rFonts w:hint="eastAsia" w:ascii="宋体" w:hAnsi="宋体" w:eastAsia="宋体" w:cs="宋体"/>
          <w:b/>
          <w:color w:val="auto"/>
          <w:sz w:val="24"/>
          <w:highlight w:val="none"/>
          <w:lang w:val="en-US" w:eastAsia="zh-CN"/>
        </w:rPr>
        <w:t>的</w:t>
      </w:r>
      <w:r>
        <w:rPr>
          <w:rFonts w:hint="eastAsia" w:ascii="宋体" w:hAnsi="宋体" w:eastAsia="宋体" w:cs="宋体"/>
          <w:b/>
          <w:color w:val="auto"/>
          <w:sz w:val="24"/>
          <w:highlight w:val="none"/>
        </w:rPr>
        <w:t>现场监理工程师</w:t>
      </w:r>
      <w:r>
        <w:rPr>
          <w:rFonts w:hint="eastAsia" w:ascii="宋体" w:hAnsi="宋体" w:eastAsia="宋体" w:cs="宋体"/>
          <w:b/>
          <w:color w:val="auto"/>
          <w:sz w:val="24"/>
          <w:highlight w:val="none"/>
          <w:lang w:val="en-US" w:eastAsia="zh-CN"/>
        </w:rPr>
        <w:t>将代表采购人</w:t>
      </w:r>
      <w:r>
        <w:rPr>
          <w:rFonts w:hint="eastAsia" w:ascii="宋体" w:hAnsi="宋体" w:eastAsia="宋体" w:cs="宋体"/>
          <w:b/>
          <w:color w:val="auto"/>
          <w:sz w:val="24"/>
          <w:highlight w:val="none"/>
        </w:rPr>
        <w:t>监督</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人在施工质量、进度、安全生产和文明施工、现场协调等方面的管理，成交人应服从其管理。施工中如发现设计、质量、材料等问题，应及时通知现场</w:t>
      </w:r>
      <w:r>
        <w:rPr>
          <w:rFonts w:hint="eastAsia" w:ascii="宋体" w:hAnsi="宋体" w:eastAsia="宋体" w:cs="宋体"/>
          <w:b/>
          <w:color w:val="auto"/>
          <w:sz w:val="24"/>
          <w:highlight w:val="none"/>
          <w:lang w:val="en-US" w:eastAsia="zh-CN"/>
        </w:rPr>
        <w:t>采购人代表（或</w:t>
      </w:r>
      <w:r>
        <w:rPr>
          <w:rFonts w:hint="eastAsia" w:ascii="宋体" w:hAnsi="宋体" w:eastAsia="宋体" w:cs="宋体"/>
          <w:b/>
          <w:color w:val="auto"/>
          <w:sz w:val="24"/>
          <w:highlight w:val="none"/>
        </w:rPr>
        <w:t>现场监理工程师</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，其处理办法必须经</w:t>
      </w:r>
      <w:r>
        <w:rPr>
          <w:rFonts w:hint="eastAsia" w:ascii="宋体" w:hAnsi="宋体" w:eastAsia="宋体" w:cs="宋体"/>
          <w:b/>
          <w:color w:val="auto"/>
          <w:sz w:val="24"/>
          <w:highlight w:val="none"/>
          <w:lang w:val="en-US" w:eastAsia="zh-CN"/>
        </w:rPr>
        <w:t>采购人代表（或</w:t>
      </w:r>
      <w:r>
        <w:rPr>
          <w:rFonts w:hint="eastAsia" w:ascii="宋体" w:hAnsi="宋体" w:eastAsia="宋体" w:cs="宋体"/>
          <w:b/>
          <w:color w:val="auto"/>
          <w:sz w:val="24"/>
          <w:highlight w:val="none"/>
        </w:rPr>
        <w:t>现场监理工程师</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签字同意后方能实施。</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4.3材料质量供应、验收和保修</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4.3.1所有进场材料均应有合格证，须</w:t>
      </w:r>
      <w:r>
        <w:rPr>
          <w:rFonts w:hint="eastAsia" w:ascii="宋体" w:hAnsi="宋体" w:eastAsia="宋体" w:cs="宋体"/>
          <w:b/>
          <w:bCs/>
          <w:color w:val="auto"/>
          <w:sz w:val="24"/>
          <w:highlight w:val="none"/>
        </w:rPr>
        <w:t>符合国家规定的相应技术标准</w:t>
      </w:r>
      <w:r>
        <w:rPr>
          <w:rFonts w:hint="eastAsia" w:ascii="宋体" w:hAnsi="宋体" w:eastAsia="宋体" w:cs="宋体"/>
          <w:b/>
          <w:color w:val="auto"/>
          <w:sz w:val="24"/>
          <w:highlight w:val="none"/>
        </w:rPr>
        <w:t>，以及消防、环保、节能等要求，并须经现场</w:t>
      </w:r>
      <w:r>
        <w:rPr>
          <w:rFonts w:hint="eastAsia" w:ascii="宋体" w:hAnsi="宋体" w:eastAsia="宋体" w:cs="宋体"/>
          <w:b/>
          <w:color w:val="auto"/>
          <w:sz w:val="24"/>
          <w:highlight w:val="none"/>
          <w:lang w:val="en-US" w:eastAsia="zh-CN"/>
        </w:rPr>
        <w:t>采购人代表（或</w:t>
      </w:r>
      <w:r>
        <w:rPr>
          <w:rFonts w:hint="eastAsia" w:ascii="宋体" w:hAnsi="宋体" w:eastAsia="宋体" w:cs="宋体"/>
          <w:b/>
          <w:color w:val="auto"/>
          <w:sz w:val="24"/>
          <w:highlight w:val="none"/>
        </w:rPr>
        <w:t>现场监理工程师</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认定。当成交人选择的材料质量、性能等不能满足设计图纸要求，达不到预期质量目标时，采购人保留更换的权利，采购人有权制止使用、责令停工、返工，且不予调整合同价格。若使用劣质材料施工，一经发现，采购人或监理方有权制止使用，甚至停工、返工或中止合同。如发现成交人二次使用劣质建材，采购人有权责令其退场并向市有关部门反映。无论采购人及监理方是否发现和制止，由于使用劣质建材施工所引起的一切责任由成交人方自负。</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w:t>
      </w:r>
      <w:r>
        <w:rPr>
          <w:rFonts w:hint="eastAsia" w:ascii="宋体" w:hAnsi="宋体" w:eastAsia="宋体" w:cs="宋体"/>
          <w:b/>
          <w:color w:val="auto"/>
          <w:sz w:val="24"/>
          <w:highlight w:val="none"/>
          <w:lang w:val="en-US" w:eastAsia="zh-CN"/>
        </w:rPr>
        <w:t>2</w:t>
      </w:r>
      <w:r>
        <w:rPr>
          <w:rFonts w:hint="eastAsia" w:ascii="宋体" w:hAnsi="宋体" w:cs="宋体"/>
          <w:b/>
          <w:color w:val="auto"/>
          <w:sz w:val="24"/>
          <w:highlight w:val="none"/>
          <w:lang w:val="en-US" w:eastAsia="zh-CN"/>
        </w:rPr>
        <w:t>投标</w:t>
      </w:r>
      <w:r>
        <w:rPr>
          <w:rFonts w:hint="eastAsia" w:ascii="宋体" w:hAnsi="宋体" w:eastAsia="宋体" w:cs="宋体"/>
          <w:b/>
          <w:color w:val="auto"/>
          <w:sz w:val="24"/>
          <w:highlight w:val="none"/>
          <w:lang w:eastAsia="zh-CN"/>
        </w:rPr>
        <w:t>人</w:t>
      </w:r>
      <w:r>
        <w:rPr>
          <w:rFonts w:hint="eastAsia" w:ascii="宋体" w:hAnsi="宋体" w:eastAsia="宋体" w:cs="宋体"/>
          <w:b/>
          <w:bCs/>
          <w:color w:val="auto"/>
          <w:sz w:val="24"/>
          <w:highlight w:val="none"/>
          <w:u w:val="none"/>
        </w:rPr>
        <w:t>在</w:t>
      </w:r>
      <w:r>
        <w:rPr>
          <w:rFonts w:hint="eastAsia" w:ascii="宋体" w:hAnsi="宋体" w:eastAsia="宋体" w:cs="宋体"/>
          <w:b/>
          <w:bCs/>
          <w:color w:val="auto"/>
          <w:sz w:val="24"/>
          <w:highlight w:val="none"/>
          <w:u w:val="none"/>
          <w:lang w:val="en-US" w:eastAsia="zh-CN"/>
        </w:rPr>
        <w:t>编制磋商</w:t>
      </w:r>
      <w:r>
        <w:rPr>
          <w:rFonts w:hint="eastAsia" w:ascii="宋体" w:hAnsi="宋体" w:cs="宋体"/>
          <w:b/>
          <w:bCs/>
          <w:color w:val="auto"/>
          <w:sz w:val="24"/>
          <w:highlight w:val="none"/>
          <w:u w:val="none"/>
          <w:lang w:val="en-US" w:eastAsia="zh-CN"/>
        </w:rPr>
        <w:t>投标</w:t>
      </w:r>
      <w:r>
        <w:rPr>
          <w:rFonts w:hint="eastAsia" w:ascii="宋体" w:hAnsi="宋体" w:eastAsia="宋体" w:cs="宋体"/>
          <w:b/>
          <w:color w:val="auto"/>
          <w:sz w:val="24"/>
          <w:highlight w:val="none"/>
        </w:rPr>
        <w:t>文件</w:t>
      </w:r>
      <w:r>
        <w:rPr>
          <w:rFonts w:hint="eastAsia" w:ascii="宋体" w:hAnsi="宋体" w:eastAsia="宋体" w:cs="宋体"/>
          <w:b/>
          <w:color w:val="auto"/>
          <w:sz w:val="24"/>
          <w:highlight w:val="none"/>
          <w:lang w:val="en-US" w:eastAsia="zh-CN"/>
        </w:rPr>
        <w:t>时</w:t>
      </w:r>
      <w:r>
        <w:rPr>
          <w:rFonts w:hint="eastAsia" w:ascii="宋体" w:hAnsi="宋体" w:eastAsia="宋体" w:cs="宋体"/>
          <w:b/>
          <w:color w:val="auto"/>
          <w:sz w:val="24"/>
          <w:highlight w:val="none"/>
        </w:rPr>
        <w:t>，应明确注明投标报价所选择主要材料的品牌、规格和性能指标，并根据工期进度计划要求，编制材料进场计划。</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4.4工程验收与保修</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成交人须按照施工验收规范的要求，及时做好有关的工程施工记录，并在现场</w:t>
      </w:r>
      <w:r>
        <w:rPr>
          <w:rFonts w:hint="eastAsia" w:ascii="宋体" w:hAnsi="宋体" w:eastAsia="宋体" w:cs="宋体"/>
          <w:b/>
          <w:color w:val="auto"/>
          <w:sz w:val="24"/>
          <w:highlight w:val="none"/>
          <w:lang w:val="en-US" w:eastAsia="zh-CN"/>
        </w:rPr>
        <w:t>采购人</w:t>
      </w:r>
      <w:r>
        <w:rPr>
          <w:rFonts w:hint="eastAsia" w:ascii="宋体" w:hAnsi="宋体" w:eastAsia="宋体" w:cs="宋体"/>
          <w:b/>
          <w:color w:val="auto"/>
          <w:sz w:val="24"/>
          <w:highlight w:val="none"/>
          <w:lang w:eastAsia="zh-CN"/>
        </w:rPr>
        <w:t>代表</w:t>
      </w:r>
      <w:r>
        <w:rPr>
          <w:rFonts w:hint="eastAsia" w:ascii="宋体" w:hAnsi="宋体" w:eastAsia="宋体" w:cs="宋体"/>
          <w:b/>
          <w:color w:val="auto"/>
          <w:sz w:val="24"/>
          <w:highlight w:val="none"/>
        </w:rPr>
        <w:t>的参与下，做好工程技术资料的整理。</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所有隐蔽工程完工后，应由成交人填写隐蔽工程验收单，提前24小时通知现场采购人代表进行验收，办好验收签证后方可进行下道工序施工。</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经验收，如有不合格工程，成交人应无条件返工整改，直至验收合格。由此追加的费用和延误的工期由成交人负责。</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在保修期内成交人对有缺陷的部分必须无偿地给予修理和调整，并承担维修费用。</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4.5安全的管理</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（1）为了确定双方的责任关系，明确成交人的安全职责，施工前成交人必须为每位进行作业的施工人员办理人身意外伤害保险。</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为确保本工程安全文明施工，实现安全生产和文明施工目标，成交人必须成立安全文明施工管理小组，把创建文明安全工地纳入管理轨道。安全文明施工管理小组按照“安全第一、预防为主”的方针，负责对现场施工人员进行安全教育，制订现场安全，文明施工制度和具体措施，定期检查各项制度和措施的执行情况，纠正和制止违章违纪行为，对有关责任人员进行批评教育和处罚。</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（3）安全施工管理目标为：须确保</w:t>
      </w:r>
      <w:r>
        <w:rPr>
          <w:rFonts w:hint="eastAsia" w:ascii="宋体" w:hAnsi="宋体" w:eastAsia="宋体" w:cs="宋体"/>
          <w:b/>
          <w:bCs/>
          <w:color w:val="auto"/>
          <w:sz w:val="24"/>
          <w:highlight w:val="none"/>
        </w:rPr>
        <w:t>无重大伤亡事故，对事故隐患坚决予以杜绝</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承包人施工前应</w:t>
      </w:r>
      <w:r>
        <w:rPr>
          <w:rFonts w:hint="eastAsia" w:ascii="宋体" w:hAnsi="宋体" w:eastAsia="宋体" w:cs="宋体"/>
          <w:b/>
          <w:color w:val="auto"/>
          <w:sz w:val="24"/>
          <w:highlight w:val="none"/>
        </w:rPr>
        <w:t>进行安全生产技术交底，开展经常性的安全检查，不违章指挥，督促工人遵章守纪，及时制止作业人员违章作业，及时消除事故隐患。在施工期间须负责做到已完工工程安全管理。</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（4）制定现场文明施工管理措施，如：《建筑垃圾管理制度》，施工建筑垃圾必须用蛇皮袋袋装，并且及时搬运，搬运过程中要做到随手将落到地上的灰尘、零星垃圾及时清理，无法再用的垃圾及时运出工地。</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成交人应精心组织施工，做到文明施工，文明管理，保持现场清洁，强化安全意识，抓好安全生产和杜绝一切事故的发生，严格按施工规范安全作业，施工中发生安全及人身事故责任均由成交人负责处理，并由成交人承担全部经济和法律责任。</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成交人在施工期间，必须配备专职用电管理人员，全面负责施工用电管理，并配备专职安全员，确保安全生产。</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参加本工程施工的人员必须具有相应专业工种的上岗证。</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4.6</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文件须明确各专业施工时项目班子成员的到位情况，能保证按项目进度及建设方要求的时间进场，并保证班子成员长驻施工现场。</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4.7成交人</w:t>
      </w:r>
      <w:r>
        <w:rPr>
          <w:rFonts w:hint="eastAsia" w:ascii="宋体" w:hAnsi="宋体" w:eastAsia="宋体" w:cs="宋体"/>
          <w:b/>
          <w:color w:val="auto"/>
          <w:sz w:val="24"/>
          <w:highlight w:val="none"/>
        </w:rPr>
        <w:t>在施工过程中，要认真做好已完工程的保护，以保证已完工程不受损害和污染，整体项目竣工验收交付使用之前均由成交人负责保护，在此期间无论何种原因造成的破坏损失，均由成交人负责维护，若造成其它相关损失的均由成交人承担。</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4.9</w:t>
      </w:r>
      <w:r>
        <w:rPr>
          <w:rFonts w:hint="eastAsia" w:ascii="宋体" w:hAnsi="宋体" w:eastAsia="宋体" w:cs="宋体"/>
          <w:b/>
          <w:color w:val="auto"/>
          <w:sz w:val="24"/>
          <w:highlight w:val="none"/>
        </w:rPr>
        <w:t>在工程施工过程中，成交人必须无条件服从采购单位和监理单位的管理，任何因成交人不服从管理而产生的纠纷和后果由成交人承担。</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4.10采购人对成交人违反合同规定或</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文件及询标纪要（若有）中承诺的情况，及时指出后成交人仍不改正的，采购人（或被授权人）有权向成交人计取违约金。</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4.11在工程实施中，如成交人的施工队伍素质、力量、机械配备不符合</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文件的承诺，造成现场管理混乱，工程质量和进度明显达不到预定计划时，采购人有权要求其在规定时间内整改并充实施工力量，</w:t>
      </w:r>
      <w:r>
        <w:rPr>
          <w:rFonts w:hint="eastAsia" w:ascii="宋体" w:hAnsi="宋体" w:eastAsia="宋体" w:cs="宋体"/>
          <w:b/>
          <w:color w:val="auto"/>
          <w:sz w:val="24"/>
          <w:highlight w:val="none"/>
          <w:lang w:val="en-US" w:eastAsia="zh-CN"/>
        </w:rPr>
        <w:t>成交人</w:t>
      </w:r>
      <w:r>
        <w:rPr>
          <w:rFonts w:hint="eastAsia" w:ascii="宋体" w:hAnsi="宋体" w:eastAsia="宋体" w:cs="宋体"/>
          <w:b/>
          <w:color w:val="auto"/>
          <w:sz w:val="24"/>
          <w:highlight w:val="none"/>
        </w:rPr>
        <w:t>必须接受否则作违约处理，直至中止合同，并应赔偿对采购人造成的全部经济损失。</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4.12成交人若另违约，采购人有权向成交人计取违约金。</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4.13</w:t>
      </w:r>
      <w:r>
        <w:rPr>
          <w:rFonts w:hint="eastAsia" w:ascii="宋体" w:hAnsi="宋体" w:eastAsia="宋体" w:cs="宋体"/>
          <w:b/>
          <w:color w:val="auto"/>
          <w:sz w:val="24"/>
          <w:highlight w:val="none"/>
        </w:rPr>
        <w:t>为保障项目顺利实施，确保工程质量，</w:t>
      </w:r>
      <w:r>
        <w:rPr>
          <w:rFonts w:hint="eastAsia" w:ascii="宋体" w:hAnsi="宋体" w:cs="宋体"/>
          <w:b/>
          <w:color w:val="auto"/>
          <w:sz w:val="24"/>
          <w:highlight w:val="none"/>
          <w:lang w:eastAsia="zh-CN"/>
        </w:rPr>
        <w:t>投标</w:t>
      </w:r>
      <w:r>
        <w:rPr>
          <w:rFonts w:hint="eastAsia" w:ascii="宋体" w:hAnsi="宋体" w:eastAsia="宋体" w:cs="宋体"/>
          <w:b/>
          <w:color w:val="auto"/>
          <w:sz w:val="24"/>
          <w:highlight w:val="none"/>
          <w:lang w:eastAsia="zh-CN"/>
        </w:rPr>
        <w:t>人</w:t>
      </w:r>
      <w:r>
        <w:rPr>
          <w:rFonts w:hint="eastAsia" w:ascii="宋体" w:hAnsi="宋体" w:eastAsia="宋体" w:cs="宋体"/>
          <w:b/>
          <w:bCs/>
          <w:color w:val="auto"/>
          <w:sz w:val="24"/>
          <w:highlight w:val="none"/>
        </w:rPr>
        <w:t>的</w:t>
      </w:r>
      <w:r>
        <w:rPr>
          <w:rFonts w:hint="eastAsia" w:ascii="宋体" w:hAnsi="宋体" w:eastAsia="宋体" w:cs="宋体"/>
          <w:bCs/>
          <w:color w:val="auto"/>
          <w:sz w:val="24"/>
          <w:highlight w:val="none"/>
          <w:lang w:val="en-US" w:eastAsia="zh-CN"/>
        </w:rPr>
        <w:t>投标</w:t>
      </w:r>
      <w:r>
        <w:rPr>
          <w:rFonts w:hint="eastAsia" w:ascii="宋体" w:hAnsi="宋体" w:eastAsia="宋体" w:cs="宋体"/>
          <w:b/>
          <w:bCs/>
          <w:color w:val="auto"/>
          <w:sz w:val="24"/>
          <w:highlight w:val="none"/>
        </w:rPr>
        <w:t>报价不得出现不平衡报价。若评标时发现某子目或某类子目的单价与预算单价相比过高或过低的，按无效标处理。</w:t>
      </w:r>
      <w:r>
        <w:rPr>
          <w:rFonts w:hint="eastAsia" w:ascii="宋体" w:hAnsi="宋体" w:eastAsia="宋体" w:cs="宋体"/>
          <w:b/>
          <w:color w:val="auto"/>
          <w:sz w:val="24"/>
          <w:highlight w:val="none"/>
        </w:rPr>
        <w:t>若在评标时未予发现，而在中标后发现的，在总价不变的前提下，采购人有权要求成交人进行调整，并按有利于采购人利益原则处理。</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4.14</w:t>
      </w:r>
      <w:r>
        <w:rPr>
          <w:rFonts w:hint="eastAsia" w:ascii="宋体" w:hAnsi="宋体" w:cs="宋体"/>
          <w:b/>
          <w:color w:val="auto"/>
          <w:sz w:val="24"/>
          <w:highlight w:val="none"/>
          <w:lang w:val="en-US" w:eastAsia="zh-CN"/>
        </w:rPr>
        <w:t>投标</w:t>
      </w:r>
      <w:r>
        <w:rPr>
          <w:rFonts w:hint="eastAsia" w:ascii="宋体" w:hAnsi="宋体" w:eastAsia="宋体" w:cs="宋体"/>
          <w:b/>
          <w:color w:val="auto"/>
          <w:sz w:val="24"/>
          <w:highlight w:val="none"/>
          <w:lang w:eastAsia="zh-CN"/>
        </w:rPr>
        <w:t>人</w:t>
      </w:r>
      <w:r>
        <w:rPr>
          <w:rFonts w:hint="eastAsia" w:ascii="宋体" w:hAnsi="宋体" w:eastAsia="宋体" w:cs="宋体"/>
          <w:b/>
          <w:color w:val="auto"/>
          <w:sz w:val="24"/>
          <w:highlight w:val="none"/>
        </w:rPr>
        <w:t>中标后于实际施工中不得以任何理由（如工期延误等非承包人原因）向采购</w:t>
      </w:r>
      <w:r>
        <w:rPr>
          <w:rFonts w:hint="eastAsia" w:ascii="宋体" w:hAnsi="宋体" w:eastAsia="宋体" w:cs="宋体"/>
          <w:b/>
          <w:color w:val="auto"/>
          <w:sz w:val="24"/>
          <w:highlight w:val="none"/>
          <w:lang w:val="en-US" w:eastAsia="zh-CN"/>
        </w:rPr>
        <w:t>人</w:t>
      </w:r>
      <w:r>
        <w:rPr>
          <w:rFonts w:hint="eastAsia" w:ascii="宋体" w:hAnsi="宋体" w:eastAsia="宋体" w:cs="宋体"/>
          <w:b/>
          <w:color w:val="auto"/>
          <w:sz w:val="24"/>
          <w:highlight w:val="none"/>
        </w:rPr>
        <w:t>提出任何索赔。</w:t>
      </w:r>
    </w:p>
    <w:p>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5、其他</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5.1、成交人需根据采购人、相关部门的评审意见修改、补充和完善方案，确保本项目方案通过相关审查。</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w:t>
      </w:r>
      <w:r>
        <w:rPr>
          <w:rFonts w:hint="eastAsia" w:ascii="宋体" w:hAnsi="宋体" w:eastAsia="宋体" w:cs="宋体"/>
          <w:color w:val="auto"/>
          <w:sz w:val="24"/>
          <w:highlight w:val="none"/>
        </w:rPr>
        <w:t>未经采购人同意，成交人不得私自将本项目转</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分包</w:t>
      </w:r>
      <w:r>
        <w:rPr>
          <w:rFonts w:hint="eastAsia" w:ascii="宋体" w:hAnsi="宋体" w:eastAsia="宋体" w:cs="宋体"/>
          <w:color w:val="auto"/>
          <w:sz w:val="24"/>
          <w:highlight w:val="none"/>
        </w:rPr>
        <w:t>给第三方，否则将作违约处理，采购人有权撤销合同</w:t>
      </w:r>
      <w:r>
        <w:rPr>
          <w:rFonts w:hint="eastAsia" w:ascii="宋体" w:hAnsi="宋体" w:eastAsia="宋体" w:cs="宋体"/>
          <w:bCs/>
          <w:color w:val="auto"/>
          <w:sz w:val="24"/>
          <w:highlight w:val="none"/>
        </w:rPr>
        <w:t>拒付货款，且成交人还要承担给采购人造成的损失。</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.3、违反报价规定及在评审过程中违法违纪或以任何形式采取不正当竞争手段的一经查实，取消本次报价资格，已经成交的终止委托合同，一切后果由责任者自负。</w:t>
      </w:r>
    </w:p>
    <w:p>
      <w:pPr>
        <w:widowControl/>
        <w:spacing w:line="46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5</w:t>
      </w:r>
      <w:r>
        <w:rPr>
          <w:rFonts w:hint="eastAsia" w:ascii="宋体" w:hAnsi="宋体" w:eastAsia="宋体" w:cs="宋体"/>
          <w:b/>
          <w:color w:val="auto"/>
          <w:kern w:val="0"/>
          <w:sz w:val="24"/>
          <w:highlight w:val="none"/>
        </w:rPr>
        <w:t>.4本项目拟派项目负责人须具有</w:t>
      </w:r>
      <w:r>
        <w:rPr>
          <w:rFonts w:hint="eastAsia" w:ascii="宋体" w:hAnsi="宋体" w:cs="宋体"/>
          <w:b/>
          <w:color w:val="auto"/>
          <w:kern w:val="0"/>
          <w:sz w:val="24"/>
          <w:highlight w:val="none"/>
          <w:lang w:eastAsia="zh-CN"/>
        </w:rPr>
        <w:t>建筑</w:t>
      </w:r>
      <w:r>
        <w:rPr>
          <w:rFonts w:hint="eastAsia" w:ascii="宋体" w:hAnsi="宋体" w:eastAsia="宋体" w:cs="宋体"/>
          <w:b/>
          <w:color w:val="auto"/>
          <w:kern w:val="0"/>
          <w:sz w:val="24"/>
          <w:highlight w:val="none"/>
        </w:rPr>
        <w:t>工程二级及</w:t>
      </w:r>
      <w:r>
        <w:rPr>
          <w:rFonts w:hint="eastAsia" w:ascii="宋体" w:hAnsi="宋体" w:cs="宋体"/>
          <w:b/>
          <w:color w:val="auto"/>
          <w:kern w:val="0"/>
          <w:sz w:val="24"/>
          <w:highlight w:val="none"/>
          <w:lang w:eastAsia="zh-CN"/>
        </w:rPr>
        <w:t>以上</w:t>
      </w:r>
      <w:r>
        <w:rPr>
          <w:rFonts w:hint="eastAsia" w:ascii="宋体" w:hAnsi="宋体" w:eastAsia="宋体" w:cs="宋体"/>
          <w:b/>
          <w:color w:val="auto"/>
          <w:kern w:val="0"/>
          <w:sz w:val="24"/>
          <w:highlight w:val="none"/>
        </w:rPr>
        <w:t>注册建造师资格，同时取得项目负责人安全生产考核合格证书（B类证书），并承诺在建设行业（代建、监理、设计、咨询等单位）其他工程中不担任项目负责人，否则一经查实，取消其中标资格。</w:t>
      </w:r>
    </w:p>
    <w:p>
      <w:pPr>
        <w:widowControl/>
        <w:spacing w:line="46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highlight w:val="none"/>
        </w:rPr>
        <w:t>本项目</w:t>
      </w:r>
      <w:r>
        <w:rPr>
          <w:rFonts w:hint="eastAsia" w:ascii="宋体" w:hAnsi="宋体" w:cs="宋体"/>
          <w:b/>
          <w:color w:val="auto"/>
          <w:kern w:val="0"/>
          <w:sz w:val="24"/>
          <w:highlight w:val="none"/>
          <w:lang w:eastAsia="zh-CN"/>
        </w:rPr>
        <w:t>投标</w:t>
      </w:r>
      <w:r>
        <w:rPr>
          <w:rFonts w:hint="eastAsia" w:ascii="宋体" w:hAnsi="宋体" w:eastAsia="宋体" w:cs="宋体"/>
          <w:b/>
          <w:color w:val="auto"/>
          <w:kern w:val="0"/>
          <w:sz w:val="24"/>
          <w:highlight w:val="none"/>
          <w:lang w:val="en-US" w:eastAsia="zh-CN"/>
        </w:rPr>
        <w:t>人</w:t>
      </w:r>
      <w:r>
        <w:rPr>
          <w:rFonts w:hint="eastAsia" w:ascii="宋体" w:hAnsi="宋体" w:eastAsia="宋体" w:cs="宋体"/>
          <w:b/>
          <w:color w:val="auto"/>
          <w:kern w:val="0"/>
          <w:sz w:val="24"/>
          <w:highlight w:val="none"/>
        </w:rPr>
        <w:t>具备的专业技术人员至少需：</w:t>
      </w:r>
      <w:r>
        <w:rPr>
          <w:rFonts w:hint="eastAsia" w:ascii="宋体" w:hAnsi="宋体" w:eastAsia="宋体" w:cs="宋体"/>
          <w:b/>
          <w:color w:val="auto"/>
          <w:kern w:val="0"/>
          <w:sz w:val="24"/>
          <w:highlight w:val="none"/>
          <w:lang w:val="en-US" w:eastAsia="zh-CN"/>
        </w:rPr>
        <w:t>项目负责人1人，</w:t>
      </w:r>
      <w:r>
        <w:rPr>
          <w:rFonts w:hint="eastAsia" w:ascii="宋体" w:hAnsi="宋体" w:eastAsia="宋体" w:cs="宋体"/>
          <w:b/>
          <w:color w:val="auto"/>
          <w:kern w:val="0"/>
          <w:sz w:val="24"/>
          <w:highlight w:val="none"/>
        </w:rPr>
        <w:t>技术负责人1人，安全员不少于1人，施工员不少于</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人，质量员不少于</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人、材料员不少于1人、资料员不少于1人。</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5.5投标报价的编制必须遵守以下规定：</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根据住房和城乡建设部、省建设主管部门对造价从业人员执业管理的相关法律法规规定以及《建设工程工程量清单计价规范》（GB50500-2013）的规定，投标报价的编制必须遵守以下规定：</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1）投标报价应由投标人或受其委托具有相应能力的工程造价咨询人编制。</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2）投标文件的编制人不得接受同一工程招标人委托编制招标文件（含招标控制价)，并不得接受其他投标人委托编制投标文件。</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本工程最低质保期遵照保修书约定。</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1）、工程量清单编制说明</w:t>
      </w:r>
    </w:p>
    <w:p>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pPr>
        <w:rPr>
          <w:rFonts w:hint="eastAsia"/>
          <w:color w:val="auto"/>
          <w:highlight w:val="none"/>
        </w:rPr>
      </w:pPr>
    </w:p>
    <w:bookmarkEnd w:id="27"/>
    <w:bookmarkEnd w:id="28"/>
    <w:bookmarkEnd w:id="29"/>
    <w:bookmarkEnd w:id="30"/>
    <w:bookmarkEnd w:id="31"/>
    <w:bookmarkEnd w:id="32"/>
    <w:bookmarkEnd w:id="33"/>
    <w:bookmarkEnd w:id="34"/>
    <w:bookmarkEnd w:id="35"/>
    <w:bookmarkEnd w:id="36"/>
    <w:bookmarkEnd w:id="37"/>
    <w:bookmarkEnd w:id="38"/>
    <w:bookmarkEnd w:id="39"/>
    <w:p>
      <w:pPr>
        <w:keepNext w:val="0"/>
        <w:keepLines w:val="0"/>
        <w:pageBreakBefore w:val="0"/>
        <w:kinsoku/>
        <w:wordWrap/>
        <w:overflowPunct/>
        <w:topLinePunct w:val="0"/>
        <w:bidi w:val="0"/>
        <w:adjustRightInd w:val="0"/>
        <w:snapToGrid w:val="0"/>
        <w:spacing w:line="400" w:lineRule="exact"/>
        <w:ind w:firstLine="489" w:firstLineChars="203"/>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一、工程概况：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杭州市临安区校园“安澜”工程</w:t>
      </w:r>
      <w:r>
        <w:rPr>
          <w:rFonts w:hint="eastAsia" w:ascii="宋体" w:hAnsi="宋体" w:eastAsia="宋体" w:cs="宋体"/>
          <w:bCs/>
          <w:color w:val="auto"/>
          <w:sz w:val="24"/>
          <w:szCs w:val="24"/>
          <w:highlight w:val="none"/>
        </w:rPr>
        <w:t>，本工程主要包括临安中学、锦城一中、锦城二中、锦城三中、天目初中、青山初中、青云初中、衣锦小学等53座学校的绿化拓宽、新增铝合金窗户及节点铺装等</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二、编制范围：</w:t>
      </w:r>
      <w:r>
        <w:rPr>
          <w:rFonts w:hint="eastAsia" w:ascii="宋体" w:hAnsi="宋体" w:eastAsia="宋体" w:cs="宋体"/>
          <w:color w:val="auto"/>
          <w:sz w:val="24"/>
          <w:szCs w:val="24"/>
          <w:highlight w:val="none"/>
        </w:rPr>
        <w:t>图纸范围内及业主指定范围内工程。</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三、编制依据：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《建设工程工程量清单计价规范》（GB50500-2013）、《杭州市建设工程工程量清单计价实施细则》（2018年修订）《浙江省建设工程计价规则》（2018版）、《浙江省</w:t>
      </w:r>
      <w:r>
        <w:rPr>
          <w:rFonts w:hint="eastAsia" w:ascii="宋体" w:hAnsi="宋体" w:eastAsia="宋体" w:cs="宋体"/>
          <w:color w:val="auto"/>
          <w:sz w:val="24"/>
          <w:szCs w:val="24"/>
          <w:highlight w:val="none"/>
          <w:lang w:val="en-US" w:eastAsia="zh-CN"/>
        </w:rPr>
        <w:t>房屋建筑与装饰工程</w:t>
      </w:r>
      <w:r>
        <w:rPr>
          <w:rFonts w:hint="eastAsia" w:ascii="宋体" w:hAnsi="宋体" w:eastAsia="宋体" w:cs="宋体"/>
          <w:color w:val="auto"/>
          <w:sz w:val="24"/>
          <w:szCs w:val="24"/>
          <w:highlight w:val="none"/>
        </w:rPr>
        <w:t>预算定额》（2018版）、《浙江省市政工程预算定额》（2018版）、《浙江省</w:t>
      </w:r>
      <w:r>
        <w:rPr>
          <w:rFonts w:hint="eastAsia" w:ascii="宋体" w:hAnsi="宋体" w:eastAsia="宋体" w:cs="宋体"/>
          <w:color w:val="auto"/>
          <w:sz w:val="24"/>
          <w:szCs w:val="24"/>
          <w:highlight w:val="none"/>
          <w:lang w:val="en-US" w:eastAsia="zh-CN"/>
        </w:rPr>
        <w:t>通用</w:t>
      </w:r>
      <w:r>
        <w:rPr>
          <w:rFonts w:hint="eastAsia" w:ascii="宋体" w:hAnsi="宋体" w:eastAsia="宋体" w:cs="宋体"/>
          <w:color w:val="auto"/>
          <w:sz w:val="24"/>
          <w:szCs w:val="24"/>
          <w:highlight w:val="none"/>
        </w:rPr>
        <w:t>安装工程预算定额》（2018版）、《浙江省</w:t>
      </w:r>
      <w:r>
        <w:rPr>
          <w:rFonts w:hint="eastAsia" w:ascii="宋体" w:hAnsi="宋体" w:eastAsia="宋体" w:cs="宋体"/>
          <w:color w:val="auto"/>
          <w:sz w:val="24"/>
          <w:szCs w:val="24"/>
          <w:highlight w:val="none"/>
          <w:lang w:val="en-US" w:eastAsia="zh-CN"/>
        </w:rPr>
        <w:t>园林绿化及仿古建筑工程</w:t>
      </w:r>
      <w:r>
        <w:rPr>
          <w:rFonts w:hint="eastAsia" w:ascii="宋体" w:hAnsi="宋体" w:eastAsia="宋体" w:cs="宋体"/>
          <w:color w:val="auto"/>
          <w:sz w:val="24"/>
          <w:szCs w:val="24"/>
          <w:highlight w:val="none"/>
        </w:rPr>
        <w:t>预算定额》（2018版）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《浙江省建设工程施工机械台班费用定额》（</w:t>
      </w:r>
      <w:r>
        <w:rPr>
          <w:rFonts w:hint="eastAsia" w:ascii="宋体" w:hAnsi="宋体" w:eastAsia="宋体" w:cs="宋体"/>
          <w:color w:val="auto"/>
          <w:sz w:val="24"/>
          <w:szCs w:val="24"/>
          <w:highlight w:val="none"/>
        </w:rPr>
        <w:t>2018版</w:t>
      </w:r>
      <w:r>
        <w:rPr>
          <w:rFonts w:hint="eastAsia" w:ascii="宋体" w:hAnsi="宋体" w:eastAsia="宋体" w:cs="宋体"/>
          <w:color w:val="auto"/>
          <w:sz w:val="24"/>
          <w:szCs w:val="24"/>
          <w:highlight w:val="none"/>
          <w:lang w:val="zh-CN"/>
        </w:rPr>
        <w:t>）、《浙江省建设安装材料基期价格》（</w:t>
      </w:r>
      <w:r>
        <w:rPr>
          <w:rFonts w:hint="eastAsia" w:ascii="宋体" w:hAnsi="宋体" w:eastAsia="宋体" w:cs="宋体"/>
          <w:color w:val="auto"/>
          <w:sz w:val="24"/>
          <w:szCs w:val="24"/>
          <w:highlight w:val="none"/>
        </w:rPr>
        <w:t>2018版</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及补充内容和文件。</w:t>
      </w:r>
    </w:p>
    <w:p>
      <w:pPr>
        <w:pStyle w:val="57"/>
        <w:keepNext w:val="0"/>
        <w:keepLines w:val="0"/>
        <w:pageBreakBefore w:val="0"/>
        <w:widowControl/>
        <w:kinsoku/>
        <w:wordWrap/>
        <w:overflowPunct/>
        <w:topLinePunct w:val="0"/>
        <w:bidi w:val="0"/>
        <w:adjustRightInd w:val="0"/>
        <w:spacing w:before="0" w:beforeAutospacing="0" w:after="0" w:afterAutospacing="0" w:line="4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zh-CN"/>
        </w:rPr>
        <w:t>业主提供的由</w:t>
      </w:r>
      <w:r>
        <w:rPr>
          <w:rFonts w:hint="eastAsia" w:ascii="宋体" w:hAnsi="宋体" w:eastAsia="宋体" w:cs="宋体"/>
          <w:color w:val="auto"/>
          <w:kern w:val="2"/>
          <w:sz w:val="24"/>
          <w:szCs w:val="24"/>
          <w:highlight w:val="none"/>
          <w:lang w:val="en-US" w:eastAsia="zh-CN"/>
        </w:rPr>
        <w:t>杭州弘哲建筑规划设计有限公司</w:t>
      </w:r>
      <w:r>
        <w:rPr>
          <w:rFonts w:hint="eastAsia" w:ascii="宋体" w:hAnsi="宋体" w:eastAsia="宋体" w:cs="宋体"/>
          <w:color w:val="auto"/>
          <w:kern w:val="2"/>
          <w:sz w:val="24"/>
          <w:szCs w:val="24"/>
          <w:highlight w:val="none"/>
          <w:lang w:val="zh-CN"/>
        </w:rPr>
        <w:t>设计的《</w:t>
      </w:r>
      <w:r>
        <w:rPr>
          <w:rFonts w:hint="eastAsia" w:ascii="宋体" w:hAnsi="宋体" w:eastAsia="宋体" w:cs="宋体"/>
          <w:color w:val="auto"/>
          <w:kern w:val="2"/>
          <w:sz w:val="24"/>
          <w:szCs w:val="24"/>
          <w:highlight w:val="none"/>
          <w:lang w:val="en-US" w:eastAsia="zh-CN"/>
        </w:rPr>
        <w:t>杭州市临安区校园“安澜”工程</w:t>
      </w:r>
      <w:r>
        <w:rPr>
          <w:rFonts w:hint="eastAsia" w:ascii="宋体" w:hAnsi="宋体" w:eastAsia="宋体" w:cs="宋体"/>
          <w:color w:val="auto"/>
          <w:kern w:val="2"/>
          <w:sz w:val="24"/>
          <w:szCs w:val="24"/>
          <w:highlight w:val="none"/>
          <w:lang w:val="zh-CN"/>
        </w:rPr>
        <w:t>》施工图。</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现场施工条件。</w:t>
      </w:r>
    </w:p>
    <w:p>
      <w:pPr>
        <w:keepNext w:val="0"/>
        <w:keepLines w:val="0"/>
        <w:pageBreakBefore w:val="0"/>
        <w:kinsoku/>
        <w:wordWrap/>
        <w:overflowPunct/>
        <w:topLinePunct w:val="0"/>
        <w:bidi w:val="0"/>
        <w:adjustRightInd w:val="0"/>
        <w:spacing w:line="4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四、工程质量、工期、材料、施工等要求详见招标文件。 </w:t>
      </w:r>
    </w:p>
    <w:p>
      <w:pPr>
        <w:keepNext w:val="0"/>
        <w:keepLines w:val="0"/>
        <w:pageBreakBefore w:val="0"/>
        <w:kinsoku/>
        <w:wordWrap/>
        <w:overflowPunct/>
        <w:topLinePunct w:val="0"/>
        <w:bidi w:val="0"/>
        <w:adjustRightInd w:val="0"/>
        <w:spacing w:line="4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根据《杭州市建设工程工程量清单计价实施细则》（2018年修订），投标报价企业管理费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市政工程费率下限为12.78%</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绿化工程费率下限</w:t>
      </w:r>
      <w:r>
        <w:rPr>
          <w:rFonts w:hint="eastAsia" w:ascii="宋体" w:hAnsi="宋体" w:eastAsia="宋体" w:cs="宋体"/>
          <w:b/>
          <w:color w:val="auto"/>
          <w:sz w:val="24"/>
          <w:szCs w:val="24"/>
          <w:highlight w:val="none"/>
          <w:lang w:eastAsia="zh-CN"/>
        </w:rPr>
        <w:t>为</w:t>
      </w:r>
      <w:r>
        <w:rPr>
          <w:rFonts w:hint="eastAsia" w:ascii="宋体" w:hAnsi="宋体" w:eastAsia="宋体" w:cs="宋体"/>
          <w:b/>
          <w:color w:val="auto"/>
          <w:sz w:val="24"/>
          <w:szCs w:val="24"/>
          <w:highlight w:val="none"/>
        </w:rPr>
        <w:t>13.42%（市政工程12.78%*20%=2.556%，绿化工程13.42%*20%=2.684%），同时，投标人必须对企业管理费中所包含的施工企业的现场监控、现场临时宿舍取暖降温费用，在相应的清单明细表中进行单独费用报价分析。</w:t>
      </w:r>
    </w:p>
    <w:p>
      <w:pPr>
        <w:keepNext w:val="0"/>
        <w:keepLines w:val="0"/>
        <w:pageBreakBefore w:val="0"/>
        <w:kinsoku/>
        <w:wordWrap/>
        <w:overflowPunct/>
        <w:topLinePunct w:val="0"/>
        <w:bidi w:val="0"/>
        <w:adjustRightInd w:val="0"/>
        <w:spacing w:line="4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六、安全施工文明基本费具体要求详见招标文件，取费基数为“人工费+机械费”，本工程为</w:t>
      </w:r>
    </w:p>
    <w:p>
      <w:pPr>
        <w:keepNext w:val="0"/>
        <w:keepLines w:val="0"/>
        <w:pageBreakBefore w:val="0"/>
        <w:kinsoku/>
        <w:wordWrap/>
        <w:overflowPunct/>
        <w:topLinePunct w:val="0"/>
        <w:bidi w:val="0"/>
        <w:adjustRightIn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市区工程，安全文明施工费下限：市政工程费率为8.51%（投标最低费率7.66%），绿化工程费率为4.49%（投标最低费率4.04%）。</w:t>
      </w:r>
    </w:p>
    <w:p>
      <w:pPr>
        <w:keepNext w:val="0"/>
        <w:keepLines w:val="0"/>
        <w:pageBreakBefore w:val="0"/>
        <w:kinsoku/>
        <w:wordWrap/>
        <w:overflowPunct/>
        <w:topLinePunct w:val="0"/>
        <w:bidi w:val="0"/>
        <w:adjustRightInd w:val="0"/>
        <w:spacing w:line="4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七、规费费率为市政工程18.75%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绿化工程30.61%，投标不得低于标准费率的30%（市政工程为5.625%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绿</w:t>
      </w:r>
      <w:r>
        <w:rPr>
          <w:rFonts w:hint="eastAsia" w:ascii="宋体" w:hAnsi="宋体" w:eastAsia="宋体" w:cs="宋体"/>
          <w:b/>
          <w:color w:val="auto"/>
          <w:sz w:val="24"/>
          <w:szCs w:val="24"/>
          <w:highlight w:val="none"/>
        </w:rPr>
        <w:t>化工程</w:t>
      </w:r>
      <w:r>
        <w:rPr>
          <w:rFonts w:hint="eastAsia" w:ascii="宋体" w:hAnsi="宋体" w:eastAsia="宋体" w:cs="宋体"/>
          <w:b/>
          <w:color w:val="auto"/>
          <w:sz w:val="24"/>
          <w:szCs w:val="24"/>
          <w:highlight w:val="none"/>
          <w:lang w:val="en-US" w:eastAsia="zh-CN"/>
        </w:rPr>
        <w:t>为</w:t>
      </w:r>
      <w:r>
        <w:rPr>
          <w:rFonts w:hint="eastAsia" w:ascii="宋体" w:hAnsi="宋体" w:eastAsia="宋体" w:cs="宋体"/>
          <w:b/>
          <w:color w:val="auto"/>
          <w:sz w:val="24"/>
          <w:szCs w:val="24"/>
          <w:highlight w:val="none"/>
        </w:rPr>
        <w:t>9.183%），税金费率按9%计取。</w:t>
      </w:r>
    </w:p>
    <w:p>
      <w:pPr>
        <w:keepNext w:val="0"/>
        <w:keepLines w:val="0"/>
        <w:pageBreakBefore w:val="0"/>
        <w:kinsoku/>
        <w:wordWrap/>
        <w:overflowPunct/>
        <w:topLinePunct w:val="0"/>
        <w:bidi w:val="0"/>
        <w:adjustRightInd w:val="0"/>
        <w:spacing w:line="4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八、招标人自行采购材料的名称、规格型号、数量，要求总承包人提供的服务内容详见招标文件。</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九、暂列金</w:t>
      </w:r>
      <w:r>
        <w:rPr>
          <w:rFonts w:hint="eastAsia" w:ascii="宋体" w:hAnsi="宋体" w:eastAsia="宋体" w:cs="宋体"/>
          <w:b/>
          <w:color w:val="auto"/>
          <w:sz w:val="24"/>
          <w:szCs w:val="24"/>
          <w:highlight w:val="none"/>
          <w:lang w:eastAsia="zh-CN"/>
        </w:rPr>
        <w:t>额</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无。</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十、暂定价：本工程中部分价格按暂定价（除税价）计入，投标时不得变动，具体如下：</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工程排换气设施按暂定价600元/套，共计86套，共计51600元；</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混凝土（沥青）路面、坡道等破损修复暂定</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0000元/项</w:t>
      </w:r>
      <w:r>
        <w:rPr>
          <w:rFonts w:hint="eastAsia" w:ascii="宋体" w:hAnsi="宋体" w:eastAsia="宋体" w:cs="宋体"/>
          <w:b/>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3、排污管道破损修复</w:t>
      </w:r>
      <w:r>
        <w:rPr>
          <w:rFonts w:hint="eastAsia" w:ascii="宋体" w:hAnsi="宋体" w:eastAsia="宋体" w:cs="宋体"/>
          <w:b/>
          <w:color w:val="auto"/>
          <w:sz w:val="24"/>
          <w:szCs w:val="24"/>
          <w:highlight w:val="none"/>
        </w:rPr>
        <w:t>暂定</w:t>
      </w: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0000元/项</w:t>
      </w:r>
      <w:r>
        <w:rPr>
          <w:rFonts w:hint="eastAsia" w:ascii="宋体" w:hAnsi="宋体" w:eastAsia="宋体" w:cs="宋体"/>
          <w:b/>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4、墙面、水沟及其它构筑物破损修复</w:t>
      </w:r>
      <w:r>
        <w:rPr>
          <w:rFonts w:hint="eastAsia" w:ascii="宋体" w:hAnsi="宋体" w:eastAsia="宋体" w:cs="宋体"/>
          <w:b/>
          <w:color w:val="auto"/>
          <w:sz w:val="24"/>
          <w:szCs w:val="24"/>
          <w:highlight w:val="none"/>
        </w:rPr>
        <w:t>修复暂定</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0000元/项</w:t>
      </w:r>
      <w:r>
        <w:rPr>
          <w:rFonts w:hint="eastAsia" w:ascii="宋体" w:hAnsi="宋体" w:eastAsia="宋体" w:cs="宋体"/>
          <w:b/>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暂定价共计471600元，</w:t>
      </w:r>
      <w:r>
        <w:rPr>
          <w:rFonts w:hint="eastAsia" w:ascii="宋体" w:hAnsi="宋体" w:eastAsia="宋体" w:cs="宋体"/>
          <w:b/>
          <w:color w:val="auto"/>
          <w:sz w:val="24"/>
          <w:szCs w:val="24"/>
          <w:highlight w:val="none"/>
        </w:rPr>
        <w:t>投标时暂定价不得变动，否则</w:t>
      </w:r>
      <w:r>
        <w:rPr>
          <w:rFonts w:hint="eastAsia" w:ascii="宋体" w:hAnsi="宋体" w:eastAsia="宋体" w:cs="宋体"/>
          <w:b/>
          <w:color w:val="auto"/>
          <w:sz w:val="24"/>
          <w:szCs w:val="24"/>
          <w:highlight w:val="none"/>
          <w:lang w:eastAsia="zh-CN"/>
        </w:rPr>
        <w:t>作</w:t>
      </w:r>
      <w:r>
        <w:rPr>
          <w:rFonts w:hint="eastAsia" w:ascii="宋体" w:hAnsi="宋体" w:eastAsia="宋体" w:cs="宋体"/>
          <w:b/>
          <w:color w:val="auto"/>
          <w:sz w:val="24"/>
          <w:szCs w:val="24"/>
          <w:highlight w:val="none"/>
        </w:rPr>
        <w:t>废标处理</w:t>
      </w:r>
      <w:r>
        <w:rPr>
          <w:rFonts w:hint="eastAsia" w:ascii="宋体" w:hAnsi="宋体" w:eastAsia="宋体" w:cs="宋体"/>
          <w:b/>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left="-71" w:leftChars="-34" w:firstLine="590" w:firstLineChars="24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十一、其他需要说明的问题：</w:t>
      </w:r>
    </w:p>
    <w:p>
      <w:pPr>
        <w:keepNext w:val="0"/>
        <w:keepLines w:val="0"/>
        <w:pageBreakBefore w:val="0"/>
        <w:kinsoku/>
        <w:wordWrap/>
        <w:overflowPunct/>
        <w:topLinePunct w:val="0"/>
        <w:bidi w:val="0"/>
        <w:adjustRightInd w:val="0"/>
        <w:spacing w:line="400" w:lineRule="exact"/>
        <w:ind w:firstLine="600" w:firstLineChars="24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市政工程：</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项目特征未注明的单位均为mm（毫米）；</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技术措施项目清单中未单列模板项目清单的，模板费用均包含在分部分项工程量清单中；本工程混凝土构件的模板工程量均按模板接触面积计算；</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因施工图不详或有多种图示、说明的投标报价以工程量清单特征描述为准；</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各材料的环保、防火等要求见图纸说明；</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招标控制价已将石材面防护处理费用(以防止发生氧化而变色、防水、仿腐、防碱化等处理）综合考虑在材料价格内，投标单位需结合实际情况自行考虑报价，结算时不增加相关费用；</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根据文件规定本工程预算编制中砂浆对应参《浙江省建筑工程节能预算定额》（2008）中的《预拌砂浆与传统砂浆分类对应参考表》按干混砂浆计入；</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工程混凝土按商品混凝土计入；</w:t>
      </w:r>
    </w:p>
    <w:p>
      <w:pPr>
        <w:keepNext w:val="0"/>
        <w:keepLines w:val="0"/>
        <w:pageBreakBefore w:val="0"/>
        <w:numPr>
          <w:ilvl w:val="0"/>
          <w:numId w:val="2"/>
        </w:numPr>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余土、</w:t>
      </w:r>
      <w:r>
        <w:rPr>
          <w:rFonts w:hint="eastAsia" w:ascii="宋体" w:hAnsi="宋体" w:eastAsia="宋体" w:cs="宋体"/>
          <w:color w:val="auto"/>
          <w:sz w:val="24"/>
          <w:szCs w:val="24"/>
          <w:highlight w:val="none"/>
        </w:rPr>
        <w:t>工程弃料外运运距及弃置费用投标报价时自行考虑在内；</w:t>
      </w:r>
    </w:p>
    <w:p>
      <w:pPr>
        <w:keepNext w:val="0"/>
        <w:keepLines w:val="0"/>
        <w:pageBreakBefore w:val="0"/>
        <w:numPr>
          <w:ilvl w:val="0"/>
          <w:numId w:val="2"/>
        </w:numPr>
        <w:tabs>
          <w:tab w:val="left" w:pos="312"/>
        </w:tabs>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除图纸特别说明外，工程铺装拆除均按3cm花砖或4cm石材+3cm水泥砂浆+15cm混凝土+20cm水泥稳定砂砾层+5cm碎石垫层；混凝土路面拆除均按15cm混凝土+20cm水泥稳定砂砾层+5cm碎石垫层计入。</w:t>
      </w:r>
    </w:p>
    <w:p>
      <w:pPr>
        <w:keepNext w:val="0"/>
        <w:keepLines w:val="0"/>
        <w:pageBreakBefore w:val="0"/>
        <w:numPr>
          <w:ilvl w:val="0"/>
          <w:numId w:val="2"/>
        </w:numPr>
        <w:tabs>
          <w:tab w:val="left" w:pos="312"/>
        </w:tabs>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经设计确认，铺装路面拆除均考虑损耗，铺装损耗工程量按铺装拆除长度外扩10cm考虑，损耗部分的拆除及铺装均按3cm花砖或4cm石材+3cm水泥砂浆计入，该部分发生时按实际工程量结算。</w:t>
      </w:r>
    </w:p>
    <w:p>
      <w:pPr>
        <w:keepNext w:val="0"/>
        <w:keepLines w:val="0"/>
        <w:pageBreakBefore w:val="0"/>
        <w:numPr>
          <w:ilvl w:val="0"/>
          <w:numId w:val="2"/>
        </w:numPr>
        <w:tabs>
          <w:tab w:val="left" w:pos="312"/>
        </w:tabs>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经设计确认，昌化中学增加增压泵移位5m。</w:t>
      </w:r>
    </w:p>
    <w:p>
      <w:pPr>
        <w:keepNext w:val="0"/>
        <w:keepLines w:val="0"/>
        <w:pageBreakBefore w:val="0"/>
        <w:numPr>
          <w:ilvl w:val="0"/>
          <w:numId w:val="2"/>
        </w:numPr>
        <w:tabs>
          <w:tab w:val="left" w:pos="312"/>
        </w:tabs>
        <w:kinsoku/>
        <w:wordWrap/>
        <w:overflowPunct/>
        <w:topLinePunct w:val="0"/>
        <w:bidi w:val="0"/>
        <w:adjustRightInd w:val="0"/>
        <w:spacing w:line="400" w:lineRule="exact"/>
        <w:ind w:left="10" w:leftChars="5" w:firstLine="624" w:firstLineChars="2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经设计确认，临安中学无铝方通装饰格栅。</w:t>
      </w:r>
    </w:p>
    <w:p>
      <w:pPr>
        <w:keepNext w:val="0"/>
        <w:keepLines w:val="0"/>
        <w:pageBreakBefore w:val="0"/>
        <w:tabs>
          <w:tab w:val="left" w:pos="312"/>
        </w:tabs>
        <w:kinsoku/>
        <w:wordWrap/>
        <w:overflowPunct/>
        <w:topLinePunct w:val="0"/>
        <w:bidi w:val="0"/>
        <w:adjustRightInd w:val="0"/>
        <w:spacing w:line="400" w:lineRule="exact"/>
        <w:ind w:left="54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绿化工程：</w:t>
      </w:r>
    </w:p>
    <w:p>
      <w:pPr>
        <w:keepNext w:val="0"/>
        <w:keepLines w:val="0"/>
        <w:pageBreakBefore w:val="0"/>
        <w:numPr>
          <w:ilvl w:val="0"/>
          <w:numId w:val="0"/>
        </w:numPr>
        <w:kinsoku/>
        <w:wordWrap/>
        <w:overflowPunct/>
        <w:topLinePunct w:val="0"/>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苗木养护按三年计入。</w:t>
      </w:r>
    </w:p>
    <w:p>
      <w:pPr>
        <w:keepNext w:val="0"/>
        <w:keepLines w:val="0"/>
        <w:pageBreakBefore w:val="0"/>
        <w:numPr>
          <w:ilvl w:val="0"/>
          <w:numId w:val="0"/>
        </w:numPr>
        <w:kinsoku/>
        <w:wordWrap/>
        <w:overflowPunct/>
        <w:topLinePunct w:val="0"/>
        <w:bidi w:val="0"/>
        <w:adjustRightIn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经设计确认，工程种植土厚度按50cm考虑。</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十二、注意事项</w:t>
      </w:r>
    </w:p>
    <w:p>
      <w:pPr>
        <w:keepNext w:val="0"/>
        <w:keepLines w:val="0"/>
        <w:pageBreakBefore w:val="0"/>
        <w:kinsoku/>
        <w:wordWrap/>
        <w:overflowPunct/>
        <w:topLinePunct w:val="0"/>
        <w:bidi w:val="0"/>
        <w:adjustRightInd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各投标单位在进行综合单价报价时必须结合施工图、招标文件中的相关条款、清单描述并勘踏现场，结合主体情况进行报价，清单子目中未能对各节点详图进行完全性描述的必须结合施工图详细节点进行报价，否则视为已计入相应项目综合单价中，中标后将不调整综合单价；若招标文件中的相关条款与清单描述有冲突，投标单位在答疑时提出疑问，未提出的以招标人解释为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项目以“项”为计量单位的措施费用一次性包干，投标人可根据本工程实际情况及自身施工组织设计自行补项并充分考虑本工程变更等风险报价，费用计入总价，结算时不作调整。不发生的措施项目金额以“0”计价。</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3、分部分项工程量清单中的工程量是按实物净量计算的，一切损耗均应在投标报价内。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4、投标人的投标文件中必须提供主要材料表中所列材料单价，如投标人需增补其余材料可在相应表中进行补充。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5、国标清单中已明确的工作内容，清单不再一一罗列，投标人应结合国标清单规定的工作内容进行报价。</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6、根据《关于杭州市建设工程施工现场安装在线监测系统的通知》（杭建工[2009]312号、杭财基[2009]833号、杭城法[2009]99号）相关规定，安装在线监测系统。施工单位应根据施工组织，按照招标文件要求进行报价。</w:t>
      </w:r>
    </w:p>
    <w:p>
      <w:pPr>
        <w:pStyle w:val="45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7、公共费用（如交通、市容、环保、噪音、排污、治安等费用）由投标人自行调研作为单项费用计入措施项目费中，否则视作优惠。 </w:t>
      </w:r>
    </w:p>
    <w:p>
      <w:pPr>
        <w:pStyle w:val="45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8、凡招标文件中要求进入报价的费用若在投标单位投标文件中不体现均视同优惠或已进投标总价。</w:t>
      </w:r>
    </w:p>
    <w:p>
      <w:pPr>
        <w:keepNext w:val="0"/>
        <w:keepLines w:val="0"/>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9、本工程必须使用预拌砂浆，投标人应将使用预拌砂浆的费用列入投标报价范围，中标后严格按照相关技术规程使用预拌砂浆，按规定做好预拌砂浆的进场复验和试块检验工作并报甲方和监理留档。</w:t>
      </w:r>
    </w:p>
    <w:p>
      <w:pPr>
        <w:rPr>
          <w:rFonts w:ascii="仿宋" w:hAnsi="仿宋" w:eastAsia="仿宋" w:cs="Arial"/>
          <w:snapToGrid w:val="0"/>
          <w:color w:val="auto"/>
          <w:kern w:val="0"/>
          <w:sz w:val="24"/>
          <w:highlight w:val="none"/>
        </w:rPr>
      </w:pPr>
      <w:r>
        <w:rPr>
          <w:rFonts w:hint="eastAsia" w:ascii="宋体" w:hAnsi="宋体" w:cs="宋体"/>
          <w:b/>
          <w:bCs/>
          <w:color w:val="auto"/>
          <w:sz w:val="32"/>
          <w:szCs w:val="32"/>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40" w:name="_Toc184312092"/>
      <w:bookmarkEnd w:id="40"/>
      <w:bookmarkStart w:id="41" w:name="_Toc184308075"/>
      <w:bookmarkEnd w:id="41"/>
      <w:bookmarkStart w:id="42" w:name="_Toc184312082"/>
      <w:bookmarkEnd w:id="42"/>
      <w:bookmarkStart w:id="43" w:name="_Toc184308042"/>
      <w:bookmarkEnd w:id="43"/>
      <w:bookmarkStart w:id="44" w:name="_Toc184308059"/>
      <w:bookmarkEnd w:id="44"/>
      <w:bookmarkStart w:id="45" w:name="_Toc184314425"/>
      <w:bookmarkEnd w:id="45"/>
      <w:bookmarkStart w:id="46" w:name="_Toc184313261"/>
      <w:bookmarkEnd w:id="46"/>
      <w:bookmarkStart w:id="47" w:name="_Toc184308106"/>
      <w:bookmarkEnd w:id="47"/>
      <w:bookmarkStart w:id="48" w:name="_Toc184310277"/>
      <w:bookmarkEnd w:id="48"/>
      <w:bookmarkStart w:id="49" w:name="_Toc184308060"/>
      <w:bookmarkEnd w:id="49"/>
      <w:bookmarkStart w:id="50" w:name="_Toc184308062"/>
      <w:bookmarkEnd w:id="50"/>
      <w:bookmarkStart w:id="51" w:name="_Toc184313276"/>
      <w:bookmarkEnd w:id="51"/>
      <w:bookmarkStart w:id="52" w:name="_Toc184314477"/>
      <w:bookmarkEnd w:id="52"/>
      <w:bookmarkStart w:id="53" w:name="_Toc184310332"/>
      <w:bookmarkEnd w:id="53"/>
      <w:bookmarkStart w:id="54" w:name="_Toc184310287"/>
      <w:bookmarkEnd w:id="54"/>
      <w:bookmarkStart w:id="55" w:name="_Toc184310295"/>
      <w:bookmarkEnd w:id="55"/>
      <w:bookmarkStart w:id="56" w:name="_Toc184314471"/>
      <w:bookmarkEnd w:id="56"/>
      <w:bookmarkStart w:id="57" w:name="_Toc184308080"/>
      <w:bookmarkEnd w:id="57"/>
      <w:bookmarkStart w:id="58" w:name="_Toc184308096"/>
      <w:bookmarkEnd w:id="58"/>
      <w:bookmarkStart w:id="59" w:name="_Toc184308050"/>
      <w:bookmarkEnd w:id="59"/>
      <w:bookmarkStart w:id="60" w:name="_Toc184313309"/>
      <w:bookmarkEnd w:id="60"/>
      <w:bookmarkStart w:id="61" w:name="_Toc184308045"/>
      <w:bookmarkEnd w:id="61"/>
      <w:bookmarkStart w:id="62" w:name="_Toc184313284"/>
      <w:bookmarkEnd w:id="62"/>
      <w:bookmarkStart w:id="63" w:name="_Toc184312110"/>
      <w:bookmarkEnd w:id="63"/>
      <w:bookmarkStart w:id="64" w:name="_Toc184312089"/>
      <w:bookmarkEnd w:id="64"/>
      <w:bookmarkStart w:id="65" w:name="_Toc184313265"/>
      <w:bookmarkEnd w:id="65"/>
      <w:bookmarkStart w:id="66" w:name="_Toc184312125"/>
      <w:bookmarkEnd w:id="66"/>
      <w:bookmarkStart w:id="67" w:name="_Toc184310320"/>
      <w:bookmarkEnd w:id="67"/>
      <w:bookmarkStart w:id="68" w:name="_Toc184313243"/>
      <w:bookmarkEnd w:id="68"/>
      <w:bookmarkStart w:id="69" w:name="_Toc184313278"/>
      <w:bookmarkEnd w:id="69"/>
      <w:bookmarkStart w:id="70" w:name="_Toc184314435"/>
      <w:bookmarkEnd w:id="70"/>
      <w:bookmarkStart w:id="71" w:name="_Toc184310294"/>
      <w:bookmarkEnd w:id="71"/>
      <w:bookmarkStart w:id="72" w:name="_Toc184314437"/>
      <w:bookmarkEnd w:id="72"/>
      <w:bookmarkStart w:id="73" w:name="_Toc184308073"/>
      <w:bookmarkEnd w:id="73"/>
      <w:bookmarkStart w:id="74" w:name="_Toc184314424"/>
      <w:bookmarkEnd w:id="74"/>
      <w:bookmarkStart w:id="75" w:name="_Toc184310304"/>
      <w:bookmarkEnd w:id="75"/>
      <w:bookmarkStart w:id="76" w:name="_Toc184310321"/>
      <w:bookmarkEnd w:id="76"/>
      <w:bookmarkStart w:id="77" w:name="_Toc184314427"/>
      <w:bookmarkEnd w:id="77"/>
      <w:bookmarkStart w:id="78" w:name="_Toc184313290"/>
      <w:bookmarkEnd w:id="78"/>
      <w:bookmarkStart w:id="79" w:name="_Toc184312090"/>
      <w:bookmarkEnd w:id="79"/>
      <w:bookmarkStart w:id="80" w:name="_Toc184313296"/>
      <w:bookmarkEnd w:id="80"/>
      <w:bookmarkStart w:id="81" w:name="_Toc184313300"/>
      <w:bookmarkEnd w:id="81"/>
      <w:bookmarkStart w:id="82" w:name="_Toc184308036"/>
      <w:bookmarkEnd w:id="82"/>
      <w:bookmarkStart w:id="83" w:name="_Toc184314412"/>
      <w:bookmarkEnd w:id="83"/>
      <w:bookmarkStart w:id="84" w:name="_Toc184308098"/>
      <w:bookmarkEnd w:id="84"/>
      <w:bookmarkStart w:id="85" w:name="_Toc184313305"/>
      <w:bookmarkEnd w:id="85"/>
      <w:bookmarkStart w:id="86" w:name="_Toc184312129"/>
      <w:bookmarkEnd w:id="86"/>
      <w:bookmarkStart w:id="87" w:name="_Toc184308097"/>
      <w:bookmarkEnd w:id="87"/>
      <w:bookmarkStart w:id="88" w:name="_Toc184312134"/>
      <w:bookmarkEnd w:id="88"/>
      <w:bookmarkStart w:id="89" w:name="_Toc184308103"/>
      <w:bookmarkEnd w:id="89"/>
      <w:bookmarkStart w:id="90" w:name="_Toc184313304"/>
      <w:bookmarkEnd w:id="90"/>
      <w:bookmarkStart w:id="91" w:name="_Toc184314468"/>
      <w:bookmarkEnd w:id="91"/>
      <w:bookmarkStart w:id="92" w:name="_Toc184314469"/>
      <w:bookmarkEnd w:id="92"/>
      <w:bookmarkStart w:id="93" w:name="_Toc184308068"/>
      <w:bookmarkEnd w:id="93"/>
      <w:bookmarkStart w:id="94" w:name="_Toc184312091"/>
      <w:bookmarkEnd w:id="94"/>
      <w:bookmarkStart w:id="95" w:name="_Toc184308046"/>
      <w:bookmarkEnd w:id="95"/>
      <w:bookmarkStart w:id="96" w:name="_Toc184312130"/>
      <w:bookmarkEnd w:id="96"/>
      <w:bookmarkStart w:id="97" w:name="_Toc184312132"/>
      <w:bookmarkEnd w:id="97"/>
      <w:bookmarkStart w:id="98" w:name="_Toc184313299"/>
      <w:bookmarkEnd w:id="98"/>
      <w:bookmarkStart w:id="99" w:name="_Toc184314470"/>
      <w:bookmarkEnd w:id="99"/>
      <w:bookmarkStart w:id="100" w:name="_Toc184313285"/>
      <w:bookmarkEnd w:id="100"/>
      <w:bookmarkStart w:id="101" w:name="_Toc184310340"/>
      <w:bookmarkEnd w:id="101"/>
      <w:bookmarkStart w:id="102" w:name="_Toc184308076"/>
      <w:bookmarkEnd w:id="102"/>
      <w:bookmarkStart w:id="103" w:name="_Toc184312109"/>
      <w:bookmarkEnd w:id="103"/>
      <w:bookmarkStart w:id="104" w:name="_Toc184310330"/>
      <w:bookmarkEnd w:id="104"/>
      <w:bookmarkStart w:id="105" w:name="_Toc184314481"/>
      <w:bookmarkEnd w:id="105"/>
      <w:bookmarkStart w:id="106" w:name="_Toc184312128"/>
      <w:bookmarkEnd w:id="106"/>
      <w:bookmarkStart w:id="107" w:name="_Toc184312122"/>
      <w:bookmarkEnd w:id="107"/>
      <w:bookmarkStart w:id="108" w:name="_Toc184310329"/>
      <w:bookmarkEnd w:id="108"/>
      <w:bookmarkStart w:id="109" w:name="_Toc184308037"/>
      <w:bookmarkEnd w:id="109"/>
      <w:bookmarkStart w:id="110" w:name="_Toc184310334"/>
      <w:bookmarkEnd w:id="110"/>
      <w:bookmarkStart w:id="111" w:name="_Toc184314452"/>
      <w:bookmarkEnd w:id="111"/>
      <w:bookmarkStart w:id="112" w:name="_Toc184308092"/>
      <w:bookmarkEnd w:id="112"/>
      <w:bookmarkStart w:id="113" w:name="_Toc184308099"/>
      <w:bookmarkEnd w:id="113"/>
      <w:bookmarkStart w:id="114" w:name="_Toc184313297"/>
      <w:bookmarkEnd w:id="114"/>
      <w:bookmarkStart w:id="115" w:name="_Toc184313286"/>
      <w:bookmarkEnd w:id="115"/>
      <w:bookmarkStart w:id="116" w:name="_Toc184310338"/>
      <w:bookmarkEnd w:id="116"/>
      <w:bookmarkStart w:id="117" w:name="_Toc184312133"/>
      <w:bookmarkEnd w:id="117"/>
      <w:bookmarkStart w:id="118" w:name="_Toc184308095"/>
      <w:bookmarkEnd w:id="118"/>
      <w:bookmarkStart w:id="119" w:name="_Toc184308089"/>
      <w:bookmarkEnd w:id="119"/>
      <w:bookmarkStart w:id="120" w:name="_Toc184313288"/>
      <w:bookmarkEnd w:id="120"/>
      <w:bookmarkStart w:id="121" w:name="_Toc184308090"/>
      <w:bookmarkEnd w:id="121"/>
      <w:bookmarkStart w:id="122" w:name="_Toc184312120"/>
      <w:bookmarkEnd w:id="122"/>
      <w:bookmarkStart w:id="123" w:name="_Toc184310326"/>
      <w:bookmarkEnd w:id="123"/>
      <w:bookmarkStart w:id="124" w:name="_Toc184313294"/>
      <w:bookmarkEnd w:id="124"/>
      <w:bookmarkStart w:id="125" w:name="_Toc184314457"/>
      <w:bookmarkEnd w:id="125"/>
      <w:bookmarkStart w:id="126" w:name="_Toc184310331"/>
      <w:bookmarkEnd w:id="126"/>
      <w:bookmarkStart w:id="127" w:name="_Toc184308091"/>
      <w:bookmarkEnd w:id="127"/>
      <w:bookmarkStart w:id="128" w:name="_Toc184314463"/>
      <w:bookmarkEnd w:id="128"/>
      <w:bookmarkStart w:id="129" w:name="_Toc184308094"/>
      <w:bookmarkEnd w:id="129"/>
      <w:bookmarkStart w:id="130" w:name="_Toc184312127"/>
      <w:bookmarkEnd w:id="130"/>
      <w:bookmarkStart w:id="131" w:name="_Toc184310333"/>
      <w:bookmarkEnd w:id="131"/>
      <w:bookmarkStart w:id="132" w:name="_Toc184314467"/>
      <w:bookmarkEnd w:id="132"/>
      <w:bookmarkStart w:id="133" w:name="_Toc184312121"/>
      <w:bookmarkEnd w:id="133"/>
      <w:bookmarkStart w:id="134" w:name="_Toc184312107"/>
      <w:bookmarkEnd w:id="134"/>
      <w:bookmarkStart w:id="135" w:name="_Toc184312123"/>
      <w:bookmarkEnd w:id="135"/>
      <w:bookmarkStart w:id="136" w:name="_Toc184314466"/>
      <w:bookmarkEnd w:id="136"/>
      <w:bookmarkStart w:id="137" w:name="_Toc184314476"/>
      <w:bookmarkEnd w:id="137"/>
      <w:bookmarkStart w:id="138" w:name="_Toc184313298"/>
      <w:bookmarkEnd w:id="138"/>
      <w:bookmarkStart w:id="139" w:name="_Toc184308088"/>
      <w:bookmarkEnd w:id="139"/>
      <w:bookmarkStart w:id="140" w:name="_Toc184310325"/>
      <w:bookmarkEnd w:id="140"/>
      <w:bookmarkStart w:id="141" w:name="_Toc184312114"/>
      <w:bookmarkEnd w:id="141"/>
      <w:bookmarkStart w:id="142" w:name="_Toc184313248"/>
      <w:bookmarkEnd w:id="142"/>
      <w:bookmarkStart w:id="143" w:name="_Toc184312137"/>
      <w:bookmarkEnd w:id="143"/>
      <w:bookmarkStart w:id="144" w:name="_Toc184313241"/>
      <w:bookmarkEnd w:id="144"/>
      <w:bookmarkStart w:id="145" w:name="_Toc184308085"/>
      <w:bookmarkEnd w:id="145"/>
      <w:bookmarkStart w:id="146" w:name="_Toc184308093"/>
      <w:bookmarkEnd w:id="146"/>
      <w:bookmarkStart w:id="147" w:name="_Toc184308087"/>
      <w:bookmarkEnd w:id="147"/>
      <w:bookmarkStart w:id="148" w:name="_Toc184313250"/>
      <w:bookmarkEnd w:id="148"/>
      <w:bookmarkStart w:id="149" w:name="_Toc184308077"/>
      <w:bookmarkEnd w:id="149"/>
      <w:bookmarkStart w:id="150" w:name="_Toc184312105"/>
      <w:bookmarkEnd w:id="150"/>
      <w:bookmarkStart w:id="151" w:name="_Toc184314422"/>
      <w:bookmarkEnd w:id="151"/>
      <w:bookmarkStart w:id="152" w:name="_Toc184310313"/>
      <w:bookmarkEnd w:id="152"/>
      <w:bookmarkStart w:id="153" w:name="_Toc184314464"/>
      <w:bookmarkEnd w:id="153"/>
      <w:bookmarkStart w:id="154" w:name="_Toc184310327"/>
      <w:bookmarkEnd w:id="154"/>
      <w:bookmarkStart w:id="155" w:name="_Toc184314423"/>
      <w:bookmarkEnd w:id="155"/>
      <w:bookmarkStart w:id="156" w:name="_Toc184314480"/>
      <w:bookmarkEnd w:id="156"/>
      <w:bookmarkStart w:id="157" w:name="_Toc184314461"/>
      <w:bookmarkEnd w:id="157"/>
      <w:bookmarkStart w:id="158" w:name="_Toc184314479"/>
      <w:bookmarkEnd w:id="158"/>
      <w:bookmarkStart w:id="159" w:name="_Toc184313301"/>
      <w:bookmarkEnd w:id="159"/>
      <w:bookmarkStart w:id="160" w:name="_Toc184312093"/>
      <w:bookmarkEnd w:id="160"/>
      <w:bookmarkStart w:id="161" w:name="_Toc184314462"/>
      <w:bookmarkEnd w:id="161"/>
      <w:bookmarkStart w:id="162" w:name="_Toc184308063"/>
      <w:bookmarkEnd w:id="162"/>
      <w:bookmarkStart w:id="163" w:name="_Toc184312071"/>
      <w:bookmarkEnd w:id="163"/>
      <w:bookmarkStart w:id="164" w:name="_Toc184314451"/>
      <w:bookmarkEnd w:id="164"/>
      <w:bookmarkStart w:id="165" w:name="_Toc184310286"/>
      <w:bookmarkEnd w:id="165"/>
      <w:bookmarkStart w:id="166" w:name="_Toc184313252"/>
      <w:bookmarkEnd w:id="166"/>
      <w:bookmarkStart w:id="167" w:name="_Toc184310324"/>
      <w:bookmarkEnd w:id="167"/>
      <w:bookmarkStart w:id="168" w:name="_Toc184312080"/>
      <w:bookmarkEnd w:id="168"/>
      <w:bookmarkStart w:id="169" w:name="_Toc184314465"/>
      <w:bookmarkEnd w:id="169"/>
      <w:bookmarkStart w:id="170" w:name="_Toc184313242"/>
      <w:bookmarkEnd w:id="170"/>
      <w:bookmarkStart w:id="171" w:name="_Toc184312108"/>
      <w:bookmarkEnd w:id="171"/>
      <w:bookmarkStart w:id="172" w:name="_Toc184312119"/>
      <w:bookmarkEnd w:id="172"/>
      <w:bookmarkStart w:id="173" w:name="_Toc184313302"/>
      <w:bookmarkEnd w:id="173"/>
      <w:bookmarkStart w:id="174" w:name="_Toc184308102"/>
      <w:bookmarkEnd w:id="174"/>
      <w:bookmarkStart w:id="175" w:name="_Toc184313289"/>
      <w:bookmarkEnd w:id="175"/>
      <w:bookmarkStart w:id="176" w:name="_Toc184312124"/>
      <w:bookmarkEnd w:id="176"/>
      <w:bookmarkStart w:id="177" w:name="_Toc184312118"/>
      <w:bookmarkEnd w:id="177"/>
      <w:bookmarkStart w:id="178" w:name="_Toc184312113"/>
      <w:bookmarkEnd w:id="178"/>
      <w:bookmarkStart w:id="179" w:name="_Toc184314456"/>
      <w:bookmarkEnd w:id="179"/>
      <w:bookmarkStart w:id="180" w:name="_Toc184314419"/>
      <w:bookmarkEnd w:id="180"/>
      <w:bookmarkStart w:id="181" w:name="_Toc184312136"/>
      <w:bookmarkEnd w:id="181"/>
      <w:bookmarkStart w:id="182" w:name="_Toc184314436"/>
      <w:bookmarkEnd w:id="182"/>
      <w:bookmarkStart w:id="183" w:name="_Toc184308072"/>
      <w:bookmarkEnd w:id="183"/>
      <w:bookmarkStart w:id="184" w:name="_Toc184310309"/>
      <w:bookmarkEnd w:id="184"/>
      <w:bookmarkStart w:id="185" w:name="_Toc184312126"/>
      <w:bookmarkEnd w:id="185"/>
      <w:bookmarkStart w:id="186" w:name="_Toc184313293"/>
      <w:bookmarkEnd w:id="186"/>
      <w:bookmarkStart w:id="187" w:name="_Toc184308051"/>
      <w:bookmarkEnd w:id="187"/>
      <w:bookmarkStart w:id="188" w:name="_Toc184308107"/>
      <w:bookmarkEnd w:id="188"/>
      <w:bookmarkStart w:id="189" w:name="_Toc184310307"/>
      <w:bookmarkEnd w:id="189"/>
      <w:bookmarkStart w:id="190" w:name="_Toc184313310"/>
      <w:bookmarkEnd w:id="190"/>
      <w:bookmarkStart w:id="191" w:name="_Toc184314421"/>
      <w:bookmarkEnd w:id="191"/>
      <w:bookmarkStart w:id="192" w:name="_Toc184312138"/>
      <w:bookmarkEnd w:id="192"/>
      <w:bookmarkStart w:id="193" w:name="_Toc184314460"/>
      <w:bookmarkEnd w:id="193"/>
      <w:bookmarkStart w:id="194" w:name="_Toc184310319"/>
      <w:bookmarkEnd w:id="194"/>
      <w:bookmarkStart w:id="195" w:name="_Toc184313274"/>
      <w:bookmarkEnd w:id="195"/>
      <w:bookmarkStart w:id="196" w:name="_Toc184310328"/>
      <w:bookmarkEnd w:id="196"/>
      <w:bookmarkStart w:id="197" w:name="_Toc184310323"/>
      <w:bookmarkEnd w:id="197"/>
      <w:bookmarkStart w:id="198" w:name="_Toc184312104"/>
      <w:bookmarkEnd w:id="198"/>
      <w:bookmarkStart w:id="199" w:name="_Toc184308086"/>
      <w:bookmarkEnd w:id="199"/>
      <w:bookmarkStart w:id="200" w:name="_Toc184313295"/>
      <w:bookmarkEnd w:id="200"/>
      <w:bookmarkStart w:id="201" w:name="_Toc184312099"/>
      <w:bookmarkEnd w:id="201"/>
      <w:bookmarkStart w:id="202" w:name="_Toc184314444"/>
      <w:bookmarkEnd w:id="202"/>
      <w:bookmarkStart w:id="203" w:name="_Toc184314482"/>
      <w:bookmarkEnd w:id="203"/>
      <w:bookmarkStart w:id="204" w:name="_Toc184310284"/>
      <w:bookmarkEnd w:id="204"/>
      <w:bookmarkStart w:id="205" w:name="_Toc184308079"/>
      <w:bookmarkEnd w:id="205"/>
      <w:bookmarkStart w:id="206" w:name="_Toc184312079"/>
      <w:bookmarkEnd w:id="206"/>
      <w:bookmarkStart w:id="207" w:name="_Toc184312139"/>
      <w:bookmarkEnd w:id="207"/>
      <w:bookmarkStart w:id="208" w:name="_Toc184308108"/>
      <w:bookmarkEnd w:id="208"/>
      <w:bookmarkStart w:id="209" w:name="_Toc184312096"/>
      <w:bookmarkEnd w:id="209"/>
      <w:bookmarkStart w:id="210" w:name="_Toc184314420"/>
      <w:bookmarkEnd w:id="210"/>
      <w:bookmarkStart w:id="211" w:name="_Toc184308100"/>
      <w:bookmarkEnd w:id="211"/>
      <w:bookmarkStart w:id="212" w:name="_Toc184312102"/>
      <w:bookmarkEnd w:id="212"/>
      <w:bookmarkStart w:id="213" w:name="_Toc184310283"/>
      <w:bookmarkEnd w:id="213"/>
      <w:bookmarkStart w:id="214" w:name="_Toc184313238"/>
      <w:bookmarkEnd w:id="214"/>
      <w:bookmarkStart w:id="215" w:name="_Toc184314445"/>
      <w:bookmarkEnd w:id="215"/>
      <w:bookmarkStart w:id="216" w:name="_Toc184313308"/>
      <w:bookmarkEnd w:id="216"/>
      <w:bookmarkStart w:id="217" w:name="_Toc184310306"/>
      <w:bookmarkEnd w:id="217"/>
      <w:bookmarkStart w:id="218" w:name="_Toc184310337"/>
      <w:bookmarkEnd w:id="218"/>
      <w:bookmarkStart w:id="219" w:name="_Toc184308084"/>
      <w:bookmarkEnd w:id="219"/>
      <w:bookmarkStart w:id="220" w:name="_Toc184313249"/>
      <w:bookmarkEnd w:id="220"/>
      <w:bookmarkStart w:id="221" w:name="_Toc184314442"/>
      <w:bookmarkEnd w:id="221"/>
      <w:bookmarkStart w:id="222" w:name="_Toc184313239"/>
      <w:bookmarkEnd w:id="222"/>
      <w:bookmarkStart w:id="223" w:name="_Toc184313247"/>
      <w:bookmarkEnd w:id="223"/>
      <w:bookmarkStart w:id="224" w:name="_Toc184314441"/>
      <w:bookmarkEnd w:id="224"/>
      <w:bookmarkStart w:id="225" w:name="_Toc184314410"/>
      <w:bookmarkEnd w:id="225"/>
      <w:bookmarkStart w:id="226" w:name="_Toc184313279"/>
      <w:bookmarkEnd w:id="226"/>
      <w:bookmarkStart w:id="227" w:name="_Toc184312131"/>
      <w:bookmarkEnd w:id="227"/>
      <w:bookmarkStart w:id="228" w:name="_Toc184310285"/>
      <w:bookmarkEnd w:id="228"/>
      <w:bookmarkStart w:id="229" w:name="_Toc184314453"/>
      <w:bookmarkEnd w:id="229"/>
      <w:bookmarkStart w:id="230" w:name="_Toc184314440"/>
      <w:bookmarkEnd w:id="230"/>
      <w:bookmarkStart w:id="231" w:name="_Toc184313272"/>
      <w:bookmarkEnd w:id="231"/>
      <w:bookmarkStart w:id="232" w:name="_Toc184310303"/>
      <w:bookmarkEnd w:id="232"/>
      <w:bookmarkStart w:id="233" w:name="_Toc184308048"/>
      <w:bookmarkEnd w:id="233"/>
      <w:bookmarkStart w:id="234" w:name="_Toc184313291"/>
      <w:bookmarkEnd w:id="234"/>
      <w:bookmarkStart w:id="235" w:name="_Toc184308071"/>
      <w:bookmarkEnd w:id="235"/>
      <w:bookmarkStart w:id="236" w:name="_Toc184308070"/>
      <w:bookmarkEnd w:id="236"/>
      <w:bookmarkStart w:id="237" w:name="_Toc184310343"/>
      <w:bookmarkEnd w:id="237"/>
      <w:bookmarkStart w:id="238" w:name="_Toc184310311"/>
      <w:bookmarkEnd w:id="238"/>
      <w:bookmarkStart w:id="239" w:name="_Toc184313264"/>
      <w:bookmarkEnd w:id="239"/>
      <w:bookmarkStart w:id="240" w:name="_Toc184312078"/>
      <w:bookmarkEnd w:id="240"/>
      <w:bookmarkStart w:id="241" w:name="_Toc184308083"/>
      <w:bookmarkEnd w:id="241"/>
      <w:bookmarkStart w:id="242" w:name="_Toc184312081"/>
      <w:bookmarkEnd w:id="242"/>
      <w:bookmarkStart w:id="243" w:name="_Toc184313270"/>
      <w:bookmarkEnd w:id="243"/>
      <w:bookmarkStart w:id="244" w:name="_Toc184312101"/>
      <w:bookmarkEnd w:id="244"/>
      <w:bookmarkStart w:id="245" w:name="_Toc184313258"/>
      <w:bookmarkEnd w:id="245"/>
      <w:bookmarkStart w:id="246" w:name="_Toc184313255"/>
      <w:bookmarkEnd w:id="246"/>
      <w:bookmarkStart w:id="247" w:name="_Toc184313240"/>
      <w:bookmarkEnd w:id="247"/>
      <w:bookmarkStart w:id="248" w:name="_Toc184314439"/>
      <w:bookmarkEnd w:id="248"/>
      <w:bookmarkStart w:id="249" w:name="_Toc184313268"/>
      <w:bookmarkEnd w:id="249"/>
      <w:bookmarkStart w:id="250" w:name="_Toc184310305"/>
      <w:bookmarkEnd w:id="250"/>
      <w:bookmarkStart w:id="251" w:name="_Toc184313283"/>
      <w:bookmarkEnd w:id="251"/>
      <w:bookmarkStart w:id="252" w:name="_Toc184308069"/>
      <w:bookmarkEnd w:id="252"/>
      <w:bookmarkStart w:id="253" w:name="_Toc184310300"/>
      <w:bookmarkEnd w:id="253"/>
      <w:bookmarkStart w:id="254" w:name="_Toc184308082"/>
      <w:bookmarkEnd w:id="254"/>
      <w:bookmarkStart w:id="255" w:name="_Toc184308078"/>
      <w:bookmarkEnd w:id="255"/>
      <w:bookmarkStart w:id="256" w:name="_Toc184313281"/>
      <w:bookmarkEnd w:id="256"/>
      <w:bookmarkStart w:id="257" w:name="_Toc184310308"/>
      <w:bookmarkEnd w:id="257"/>
      <w:bookmarkStart w:id="258" w:name="_Toc184313269"/>
      <w:bookmarkEnd w:id="258"/>
      <w:bookmarkStart w:id="259" w:name="_Toc184313271"/>
      <w:bookmarkEnd w:id="259"/>
      <w:bookmarkStart w:id="260" w:name="_Toc184310310"/>
      <w:bookmarkEnd w:id="260"/>
      <w:bookmarkStart w:id="261" w:name="_Toc184310293"/>
      <w:bookmarkEnd w:id="261"/>
      <w:bookmarkStart w:id="262" w:name="_Toc184314426"/>
      <w:bookmarkEnd w:id="262"/>
      <w:bookmarkStart w:id="263" w:name="_Toc184313257"/>
      <w:bookmarkEnd w:id="263"/>
      <w:bookmarkStart w:id="264" w:name="_Toc184313267"/>
      <w:bookmarkEnd w:id="264"/>
      <w:bookmarkStart w:id="265" w:name="_Toc184308047"/>
      <w:bookmarkEnd w:id="265"/>
      <w:bookmarkStart w:id="266" w:name="_Toc184310302"/>
      <w:bookmarkEnd w:id="266"/>
      <w:bookmarkStart w:id="267" w:name="_Toc184312100"/>
      <w:bookmarkEnd w:id="267"/>
      <w:bookmarkStart w:id="268" w:name="_Toc184308052"/>
      <w:bookmarkEnd w:id="268"/>
      <w:bookmarkStart w:id="269" w:name="_Toc184312103"/>
      <w:bookmarkEnd w:id="269"/>
      <w:bookmarkStart w:id="270" w:name="_Toc184310282"/>
      <w:bookmarkEnd w:id="270"/>
      <w:bookmarkStart w:id="271" w:name="_Toc184310301"/>
      <w:bookmarkEnd w:id="271"/>
      <w:bookmarkStart w:id="272" w:name="_Toc184314443"/>
      <w:bookmarkEnd w:id="272"/>
      <w:bookmarkStart w:id="273" w:name="_Toc184313273"/>
      <w:bookmarkEnd w:id="273"/>
      <w:bookmarkStart w:id="274" w:name="_Toc184314446"/>
      <w:bookmarkEnd w:id="274"/>
      <w:bookmarkStart w:id="275" w:name="_Toc184314475"/>
      <w:bookmarkEnd w:id="275"/>
      <w:bookmarkStart w:id="276" w:name="_Toc184312083"/>
      <w:bookmarkEnd w:id="276"/>
      <w:bookmarkStart w:id="277" w:name="_Toc184308065"/>
      <w:bookmarkEnd w:id="277"/>
      <w:bookmarkStart w:id="278" w:name="_Toc184312088"/>
      <w:bookmarkEnd w:id="278"/>
      <w:bookmarkStart w:id="279" w:name="_Toc184310291"/>
      <w:bookmarkEnd w:id="279"/>
      <w:bookmarkStart w:id="280" w:name="_Toc184314473"/>
      <w:bookmarkEnd w:id="280"/>
      <w:bookmarkStart w:id="281" w:name="_Toc184310341"/>
      <w:bookmarkEnd w:id="281"/>
      <w:bookmarkStart w:id="282" w:name="_Toc184308057"/>
      <w:bookmarkEnd w:id="282"/>
      <w:bookmarkStart w:id="283" w:name="_Toc184312095"/>
      <w:bookmarkEnd w:id="283"/>
      <w:bookmarkStart w:id="284" w:name="_Toc184313259"/>
      <w:bookmarkEnd w:id="284"/>
      <w:bookmarkStart w:id="285" w:name="_Toc184310315"/>
      <w:bookmarkEnd w:id="285"/>
      <w:bookmarkStart w:id="286" w:name="_Toc184308039"/>
      <w:bookmarkEnd w:id="286"/>
      <w:bookmarkStart w:id="287" w:name="_Toc184310299"/>
      <w:bookmarkEnd w:id="287"/>
      <w:bookmarkStart w:id="288" w:name="_Toc184314450"/>
      <w:bookmarkEnd w:id="288"/>
      <w:bookmarkStart w:id="289" w:name="_Toc184314449"/>
      <w:bookmarkEnd w:id="289"/>
      <w:bookmarkStart w:id="290" w:name="_Toc184312067"/>
      <w:bookmarkEnd w:id="290"/>
      <w:bookmarkStart w:id="291" w:name="_Toc184312085"/>
      <w:bookmarkEnd w:id="291"/>
      <w:bookmarkStart w:id="292" w:name="_Toc184314428"/>
      <w:bookmarkEnd w:id="292"/>
      <w:bookmarkStart w:id="293" w:name="_Toc184313262"/>
      <w:bookmarkEnd w:id="293"/>
      <w:bookmarkStart w:id="294" w:name="_Toc184310289"/>
      <w:bookmarkEnd w:id="294"/>
      <w:bookmarkStart w:id="295" w:name="_Toc184313277"/>
      <w:bookmarkEnd w:id="295"/>
      <w:bookmarkStart w:id="296" w:name="_Toc184310297"/>
      <w:bookmarkEnd w:id="296"/>
      <w:bookmarkStart w:id="297" w:name="_Toc184314478"/>
      <w:bookmarkEnd w:id="297"/>
      <w:bookmarkStart w:id="298" w:name="_Toc184313256"/>
      <w:bookmarkEnd w:id="298"/>
      <w:bookmarkStart w:id="299" w:name="_Toc184308055"/>
      <w:bookmarkEnd w:id="299"/>
      <w:bookmarkStart w:id="300" w:name="_Toc184313307"/>
      <w:bookmarkEnd w:id="300"/>
      <w:bookmarkStart w:id="301" w:name="_Toc184310298"/>
      <w:bookmarkEnd w:id="301"/>
      <w:bookmarkStart w:id="302" w:name="_Toc184313303"/>
      <w:bookmarkEnd w:id="302"/>
      <w:bookmarkStart w:id="303" w:name="_Toc184312097"/>
      <w:bookmarkEnd w:id="303"/>
      <w:bookmarkStart w:id="304" w:name="_Toc184314447"/>
      <w:bookmarkEnd w:id="304"/>
      <w:bookmarkStart w:id="305" w:name="_Toc184308081"/>
      <w:bookmarkEnd w:id="305"/>
      <w:bookmarkStart w:id="306" w:name="_Toc184313266"/>
      <w:bookmarkEnd w:id="306"/>
      <w:bookmarkStart w:id="307" w:name="_Toc184310292"/>
      <w:bookmarkEnd w:id="307"/>
      <w:bookmarkStart w:id="308" w:name="_Toc184312094"/>
      <w:bookmarkEnd w:id="308"/>
      <w:bookmarkStart w:id="309" w:name="_Toc184310322"/>
      <w:bookmarkEnd w:id="309"/>
      <w:bookmarkStart w:id="310" w:name="_Toc184312115"/>
      <w:bookmarkEnd w:id="310"/>
      <w:bookmarkStart w:id="311" w:name="_Toc184314454"/>
      <w:bookmarkEnd w:id="311"/>
      <w:bookmarkStart w:id="312" w:name="_Toc184308058"/>
      <w:bookmarkEnd w:id="312"/>
      <w:bookmarkStart w:id="313" w:name="_Toc184308066"/>
      <w:bookmarkEnd w:id="313"/>
      <w:bookmarkStart w:id="314" w:name="_Toc184313254"/>
      <w:bookmarkEnd w:id="314"/>
      <w:bookmarkStart w:id="315" w:name="_Toc184310314"/>
      <w:bookmarkEnd w:id="315"/>
      <w:bookmarkStart w:id="316" w:name="_Toc184312135"/>
      <w:bookmarkEnd w:id="316"/>
      <w:bookmarkStart w:id="317" w:name="_Toc184312117"/>
      <w:bookmarkEnd w:id="317"/>
      <w:bookmarkStart w:id="318" w:name="_Toc184312106"/>
      <w:bookmarkEnd w:id="318"/>
      <w:bookmarkStart w:id="319" w:name="_Toc184308061"/>
      <w:bookmarkEnd w:id="319"/>
      <w:bookmarkStart w:id="320" w:name="_Toc184310273"/>
      <w:bookmarkEnd w:id="320"/>
      <w:bookmarkStart w:id="321" w:name="_Toc184314434"/>
      <w:bookmarkEnd w:id="321"/>
      <w:bookmarkStart w:id="322" w:name="_Toc184314431"/>
      <w:bookmarkEnd w:id="322"/>
      <w:bookmarkStart w:id="323" w:name="_Toc184314455"/>
      <w:bookmarkEnd w:id="323"/>
      <w:bookmarkStart w:id="324" w:name="_Toc184312087"/>
      <w:bookmarkEnd w:id="324"/>
      <w:bookmarkStart w:id="325" w:name="_Toc184312070"/>
      <w:bookmarkEnd w:id="325"/>
      <w:bookmarkStart w:id="326" w:name="_Toc184310281"/>
      <w:bookmarkEnd w:id="326"/>
      <w:bookmarkStart w:id="327" w:name="_Toc184312084"/>
      <w:bookmarkEnd w:id="327"/>
      <w:bookmarkStart w:id="328" w:name="_Toc184314430"/>
      <w:bookmarkEnd w:id="328"/>
      <w:bookmarkStart w:id="329" w:name="_Toc184308064"/>
      <w:bookmarkEnd w:id="329"/>
      <w:bookmarkStart w:id="330" w:name="_Toc184308074"/>
      <w:bookmarkEnd w:id="330"/>
      <w:bookmarkStart w:id="331" w:name="_Toc184308067"/>
      <w:bookmarkEnd w:id="331"/>
      <w:bookmarkStart w:id="332" w:name="_Toc184314438"/>
      <w:bookmarkEnd w:id="332"/>
      <w:bookmarkStart w:id="333" w:name="_Toc184308053"/>
      <w:bookmarkEnd w:id="333"/>
      <w:bookmarkStart w:id="334" w:name="_Toc184308101"/>
      <w:bookmarkEnd w:id="334"/>
      <w:bookmarkStart w:id="335" w:name="_Toc184313251"/>
      <w:bookmarkEnd w:id="335"/>
      <w:bookmarkStart w:id="336" w:name="_Toc184312098"/>
      <w:bookmarkEnd w:id="336"/>
      <w:bookmarkStart w:id="337" w:name="_Toc184312068"/>
      <w:bookmarkEnd w:id="337"/>
      <w:bookmarkStart w:id="338" w:name="_Toc184314432"/>
      <w:bookmarkEnd w:id="338"/>
      <w:bookmarkStart w:id="339" w:name="_Toc184313263"/>
      <w:bookmarkEnd w:id="339"/>
      <w:bookmarkStart w:id="340" w:name="_Toc184314413"/>
      <w:bookmarkEnd w:id="340"/>
      <w:bookmarkStart w:id="341" w:name="_Toc184312069"/>
      <w:bookmarkEnd w:id="341"/>
      <w:bookmarkStart w:id="342" w:name="_Toc184308049"/>
      <w:bookmarkEnd w:id="342"/>
      <w:bookmarkStart w:id="343" w:name="_Toc184313287"/>
      <w:bookmarkEnd w:id="343"/>
      <w:bookmarkStart w:id="344" w:name="_Toc184312116"/>
      <w:bookmarkEnd w:id="344"/>
      <w:bookmarkStart w:id="345" w:name="_Toc184310288"/>
      <w:bookmarkEnd w:id="345"/>
      <w:bookmarkStart w:id="346" w:name="_Toc184308054"/>
      <w:bookmarkEnd w:id="346"/>
      <w:bookmarkStart w:id="347" w:name="_Toc184310317"/>
      <w:bookmarkEnd w:id="347"/>
      <w:bookmarkStart w:id="348" w:name="_Toc184308056"/>
      <w:bookmarkEnd w:id="348"/>
      <w:bookmarkStart w:id="349" w:name="_Toc184314458"/>
      <w:bookmarkEnd w:id="349"/>
      <w:bookmarkStart w:id="350" w:name="_Toc184308040"/>
      <w:bookmarkEnd w:id="350"/>
      <w:bookmarkStart w:id="351" w:name="_Toc184314429"/>
      <w:bookmarkEnd w:id="351"/>
      <w:bookmarkStart w:id="352" w:name="_Toc184312112"/>
      <w:bookmarkEnd w:id="352"/>
      <w:bookmarkStart w:id="353" w:name="_Toc184310275"/>
      <w:bookmarkEnd w:id="353"/>
      <w:bookmarkStart w:id="354" w:name="_Toc184313292"/>
      <w:bookmarkEnd w:id="354"/>
      <w:bookmarkStart w:id="355" w:name="_Toc184313275"/>
      <w:bookmarkEnd w:id="355"/>
      <w:bookmarkStart w:id="356" w:name="_Toc184310336"/>
      <w:bookmarkEnd w:id="356"/>
      <w:bookmarkStart w:id="357" w:name="_Toc184314459"/>
      <w:bookmarkEnd w:id="357"/>
      <w:bookmarkStart w:id="358" w:name="_Toc184312086"/>
      <w:bookmarkEnd w:id="358"/>
      <w:bookmarkStart w:id="359" w:name="_Toc184310296"/>
      <w:bookmarkEnd w:id="359"/>
      <w:bookmarkStart w:id="360" w:name="_Toc184313253"/>
      <w:bookmarkEnd w:id="360"/>
      <w:bookmarkStart w:id="361" w:name="_Toc184313306"/>
      <w:bookmarkEnd w:id="361"/>
      <w:bookmarkStart w:id="362" w:name="_Toc184313280"/>
      <w:bookmarkEnd w:id="362"/>
      <w:bookmarkStart w:id="363" w:name="_Toc184312072"/>
      <w:bookmarkEnd w:id="363"/>
      <w:bookmarkStart w:id="364" w:name="_Toc184310339"/>
      <w:bookmarkEnd w:id="364"/>
      <w:bookmarkStart w:id="365" w:name="_Toc184314411"/>
      <w:bookmarkEnd w:id="365"/>
      <w:bookmarkStart w:id="366" w:name="_Toc184312073"/>
      <w:bookmarkEnd w:id="366"/>
      <w:bookmarkStart w:id="367" w:name="_Toc184313246"/>
      <w:bookmarkEnd w:id="367"/>
      <w:bookmarkStart w:id="368" w:name="_Toc184314418"/>
      <w:bookmarkEnd w:id="368"/>
      <w:bookmarkStart w:id="369" w:name="_Toc184310290"/>
      <w:bookmarkEnd w:id="369"/>
      <w:bookmarkStart w:id="370" w:name="_Toc184314474"/>
      <w:bookmarkEnd w:id="370"/>
      <w:bookmarkStart w:id="371" w:name="_Toc184308038"/>
      <w:bookmarkEnd w:id="371"/>
      <w:bookmarkStart w:id="372" w:name="_Toc184313260"/>
      <w:bookmarkEnd w:id="372"/>
      <w:bookmarkStart w:id="373" w:name="_Toc184308105"/>
      <w:bookmarkEnd w:id="373"/>
      <w:bookmarkStart w:id="374" w:name="_Toc184308043"/>
      <w:bookmarkEnd w:id="374"/>
      <w:bookmarkStart w:id="375" w:name="_Toc184308104"/>
      <w:bookmarkEnd w:id="375"/>
      <w:bookmarkStart w:id="376" w:name="_Toc184310274"/>
      <w:bookmarkEnd w:id="376"/>
      <w:bookmarkStart w:id="377" w:name="_Toc184310335"/>
      <w:bookmarkEnd w:id="377"/>
      <w:bookmarkStart w:id="378" w:name="_Toc184314417"/>
      <w:bookmarkEnd w:id="378"/>
      <w:bookmarkStart w:id="379" w:name="_Toc184310342"/>
      <w:bookmarkEnd w:id="379"/>
      <w:bookmarkStart w:id="380" w:name="_Toc184310279"/>
      <w:bookmarkEnd w:id="380"/>
      <w:bookmarkStart w:id="381" w:name="_Toc184313244"/>
      <w:bookmarkEnd w:id="381"/>
      <w:bookmarkStart w:id="382" w:name="_Toc184314416"/>
      <w:bookmarkEnd w:id="382"/>
      <w:bookmarkStart w:id="383" w:name="_Toc184310312"/>
      <w:bookmarkEnd w:id="383"/>
      <w:bookmarkStart w:id="384" w:name="_Toc184310316"/>
      <w:bookmarkEnd w:id="384"/>
      <w:bookmarkStart w:id="385" w:name="_Toc184308044"/>
      <w:bookmarkEnd w:id="385"/>
      <w:bookmarkStart w:id="386" w:name="_Toc184312076"/>
      <w:bookmarkEnd w:id="386"/>
      <w:bookmarkStart w:id="387" w:name="_Toc184310272"/>
      <w:bookmarkEnd w:id="387"/>
      <w:bookmarkStart w:id="388" w:name="_Toc184314415"/>
      <w:bookmarkEnd w:id="388"/>
      <w:bookmarkStart w:id="389" w:name="_Toc184308041"/>
      <w:bookmarkEnd w:id="389"/>
      <w:bookmarkStart w:id="390" w:name="_Toc184312111"/>
      <w:bookmarkEnd w:id="390"/>
      <w:bookmarkStart w:id="391" w:name="_Toc184314414"/>
      <w:bookmarkEnd w:id="391"/>
      <w:bookmarkStart w:id="392" w:name="_Toc184310280"/>
      <w:bookmarkEnd w:id="392"/>
      <w:bookmarkStart w:id="393" w:name="_Toc184314472"/>
      <w:bookmarkEnd w:id="393"/>
      <w:bookmarkStart w:id="394" w:name="_Toc184312077"/>
      <w:bookmarkEnd w:id="394"/>
      <w:bookmarkStart w:id="395" w:name="_Toc184310318"/>
      <w:bookmarkEnd w:id="395"/>
      <w:bookmarkStart w:id="396" w:name="_Toc184312074"/>
      <w:bookmarkEnd w:id="396"/>
      <w:bookmarkStart w:id="397" w:name="_Toc184312075"/>
      <w:bookmarkEnd w:id="397"/>
      <w:bookmarkStart w:id="398" w:name="_Toc184313245"/>
      <w:bookmarkEnd w:id="398"/>
      <w:bookmarkStart w:id="399" w:name="_Toc184313282"/>
      <w:bookmarkEnd w:id="399"/>
      <w:bookmarkStart w:id="400" w:name="_Toc184310276"/>
      <w:bookmarkEnd w:id="400"/>
      <w:bookmarkStart w:id="401" w:name="_Toc184314448"/>
      <w:bookmarkEnd w:id="401"/>
      <w:bookmarkStart w:id="402" w:name="_Toc184310278"/>
      <w:bookmarkEnd w:id="402"/>
      <w:bookmarkStart w:id="403" w:name="_Toc184310344"/>
      <w:bookmarkEnd w:id="403"/>
      <w:bookmarkStart w:id="404" w:name="_Toc184314433"/>
      <w:bookmarkEnd w:id="404"/>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933" w:tblpY="126"/>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134"/>
        <w:gridCol w:w="89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43" w:type="pct"/>
            <w:vAlign w:val="center"/>
          </w:tcPr>
          <w:p>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64" w:type="pct"/>
            <w:vAlign w:val="center"/>
          </w:tcPr>
          <w:p>
            <w:pPr>
              <w:spacing w:line="360" w:lineRule="auto"/>
              <w:ind w:firstLine="1560" w:firstLineChars="65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432" w:type="pct"/>
            <w:vAlign w:val="center"/>
          </w:tcPr>
          <w:p>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859" w:type="pct"/>
          </w:tcPr>
          <w:p>
            <w:pPr>
              <w:spacing w:line="24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3" w:type="pct"/>
            <w:vMerge w:val="restart"/>
            <w:vAlign w:val="center"/>
          </w:tcPr>
          <w:p>
            <w:pPr>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64" w:type="pct"/>
            <w:vAlign w:val="center"/>
          </w:tcPr>
          <w:p>
            <w:pPr>
              <w:spacing w:line="240" w:lineRule="auto"/>
              <w:jc w:val="left"/>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拟派人员班子中（技术负责人除外）具有中级及以上职称的一个得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分。须提供本单位近3个月社保证明、职称证书扫描件（或复印件）并加盖公章，未提供不得分。</w:t>
            </w:r>
          </w:p>
        </w:tc>
        <w:tc>
          <w:tcPr>
            <w:tcW w:w="432" w:type="pct"/>
            <w:vAlign w:val="center"/>
          </w:tcPr>
          <w:p>
            <w:pPr>
              <w:spacing w:line="240" w:lineRule="auto"/>
              <w:jc w:val="center"/>
              <w:outlineLvl w:val="0"/>
              <w:rPr>
                <w:rFonts w:hint="default" w:ascii="宋体" w:hAnsi="宋体" w:eastAsia="宋体" w:cs="宋体"/>
                <w:color w:val="auto"/>
                <w:spacing w:val="-11"/>
                <w:kern w:val="2"/>
                <w:sz w:val="24"/>
                <w:szCs w:val="24"/>
                <w:highlight w:val="none"/>
                <w:lang w:val="en-US" w:eastAsia="en-US" w:bidi="ar-SA"/>
              </w:rPr>
            </w:pPr>
            <w:r>
              <w:rPr>
                <w:rFonts w:hint="eastAsia" w:ascii="宋体" w:hAnsi="宋体" w:eastAsia="宋体" w:cs="宋体"/>
                <w:color w:val="auto"/>
                <w:spacing w:val="-11"/>
                <w:sz w:val="24"/>
                <w:szCs w:val="24"/>
                <w:highlight w:val="none"/>
              </w:rPr>
              <w:t>0-</w:t>
            </w:r>
            <w:r>
              <w:rPr>
                <w:rFonts w:hint="eastAsia" w:ascii="宋体" w:hAnsi="宋体" w:cs="宋体"/>
                <w:color w:val="auto"/>
                <w:spacing w:val="-11"/>
                <w:sz w:val="24"/>
                <w:szCs w:val="24"/>
                <w:highlight w:val="none"/>
                <w:lang w:val="en-US" w:eastAsia="zh-CN"/>
              </w:rPr>
              <w:t>3.0</w:t>
            </w:r>
          </w:p>
        </w:tc>
        <w:tc>
          <w:tcPr>
            <w:tcW w:w="859" w:type="pct"/>
            <w:vMerge w:val="restart"/>
            <w:vAlign w:val="center"/>
          </w:tcPr>
          <w:p>
            <w:pPr>
              <w:spacing w:line="240" w:lineRule="auto"/>
              <w:jc w:val="center"/>
              <w:outlineLvl w:val="0"/>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eastAsia="zh-CN"/>
              </w:rPr>
              <w:t>拟派人员配备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3" w:type="pct"/>
            <w:vMerge w:val="continue"/>
            <w:vAlign w:val="center"/>
          </w:tcPr>
          <w:p>
            <w:pPr>
              <w:spacing w:line="360" w:lineRule="auto"/>
              <w:jc w:val="both"/>
              <w:outlineLvl w:val="0"/>
              <w:rPr>
                <w:rFonts w:hint="eastAsia" w:ascii="宋体" w:hAnsi="宋体" w:eastAsia="宋体" w:cs="宋体"/>
                <w:color w:val="auto"/>
                <w:sz w:val="24"/>
                <w:szCs w:val="24"/>
                <w:highlight w:val="none"/>
                <w:lang w:val="en-US" w:eastAsia="zh-CN"/>
              </w:rPr>
            </w:pPr>
          </w:p>
        </w:tc>
        <w:tc>
          <w:tcPr>
            <w:tcW w:w="3464" w:type="pct"/>
            <w:vAlign w:val="center"/>
          </w:tcPr>
          <w:p>
            <w:pPr>
              <w:spacing w:line="240" w:lineRule="auto"/>
              <w:jc w:val="left"/>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拟派</w:t>
            </w:r>
            <w:r>
              <w:rPr>
                <w:rFonts w:hint="eastAsia" w:ascii="宋体" w:hAnsi="宋体" w:eastAsia="宋体" w:cs="宋体"/>
                <w:color w:val="auto"/>
                <w:sz w:val="24"/>
                <w:szCs w:val="24"/>
                <w:highlight w:val="none"/>
                <w:lang w:eastAsia="zh-CN"/>
              </w:rPr>
              <w:t>技术负责人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高级</w:t>
            </w:r>
            <w:r>
              <w:rPr>
                <w:rFonts w:hint="eastAsia" w:ascii="宋体" w:hAnsi="宋体" w:eastAsia="宋体" w:cs="宋体"/>
                <w:color w:val="auto"/>
                <w:sz w:val="24"/>
                <w:szCs w:val="24"/>
                <w:highlight w:val="none"/>
              </w:rPr>
              <w:t>工程师职称的得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中级职称的得</w:t>
            </w:r>
            <w:r>
              <w:rPr>
                <w:rFonts w:hint="eastAsia" w:ascii="宋体" w:hAnsi="宋体" w:cs="宋体"/>
                <w:color w:val="auto"/>
                <w:sz w:val="24"/>
                <w:szCs w:val="24"/>
                <w:highlight w:val="none"/>
                <w:lang w:val="en-US" w:eastAsia="zh-CN"/>
              </w:rPr>
              <w:t>1分，</w:t>
            </w:r>
            <w:r>
              <w:rPr>
                <w:rFonts w:hint="eastAsia" w:ascii="宋体" w:hAnsi="宋体" w:eastAsia="宋体" w:cs="宋体"/>
                <w:color w:val="auto"/>
                <w:sz w:val="24"/>
                <w:szCs w:val="24"/>
                <w:highlight w:val="none"/>
                <w:lang w:val="en-US" w:eastAsia="zh-CN"/>
              </w:rPr>
              <w:t>无不得分</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本单位近3个月社保证明、</w:t>
            </w:r>
            <w:r>
              <w:rPr>
                <w:rFonts w:hint="eastAsia" w:ascii="宋体" w:hAnsi="宋体" w:eastAsia="宋体" w:cs="宋体"/>
                <w:color w:val="auto"/>
                <w:sz w:val="24"/>
                <w:szCs w:val="24"/>
                <w:highlight w:val="none"/>
              </w:rPr>
              <w:t>职称证书</w:t>
            </w:r>
            <w:r>
              <w:rPr>
                <w:rFonts w:hint="eastAsia" w:ascii="宋体" w:hAnsi="宋体" w:eastAsia="宋体" w:cs="宋体"/>
                <w:color w:val="auto"/>
                <w:sz w:val="24"/>
                <w:szCs w:val="24"/>
                <w:highlight w:val="none"/>
                <w:lang w:val="en-US" w:eastAsia="zh-CN"/>
              </w:rPr>
              <w:t>扫描件（或复印件）并加盖公章，未提供不得分</w:t>
            </w:r>
            <w:r>
              <w:rPr>
                <w:rFonts w:hint="eastAsia" w:ascii="宋体" w:hAnsi="宋体" w:eastAsia="宋体" w:cs="宋体"/>
                <w:color w:val="auto"/>
                <w:sz w:val="24"/>
                <w:szCs w:val="24"/>
                <w:highlight w:val="none"/>
              </w:rPr>
              <w:t>。</w:t>
            </w:r>
          </w:p>
        </w:tc>
        <w:tc>
          <w:tcPr>
            <w:tcW w:w="432" w:type="pct"/>
            <w:vAlign w:val="center"/>
          </w:tcPr>
          <w:p>
            <w:pPr>
              <w:spacing w:line="240" w:lineRule="auto"/>
              <w:jc w:val="center"/>
              <w:outlineLvl w:val="0"/>
              <w:rPr>
                <w:rFonts w:hint="default" w:ascii="宋体" w:hAnsi="宋体" w:eastAsia="宋体" w:cs="宋体"/>
                <w:color w:val="auto"/>
                <w:spacing w:val="-11"/>
                <w:kern w:val="2"/>
                <w:sz w:val="24"/>
                <w:szCs w:val="24"/>
                <w:highlight w:val="none"/>
                <w:lang w:val="en-US" w:eastAsia="en-US" w:bidi="ar-SA"/>
              </w:rPr>
            </w:pPr>
            <w:r>
              <w:rPr>
                <w:rFonts w:hint="eastAsia" w:ascii="宋体" w:hAnsi="宋体" w:eastAsia="宋体" w:cs="宋体"/>
                <w:color w:val="auto"/>
                <w:spacing w:val="-11"/>
                <w:sz w:val="24"/>
                <w:szCs w:val="24"/>
                <w:highlight w:val="none"/>
              </w:rPr>
              <w:t>0-</w:t>
            </w:r>
            <w:r>
              <w:rPr>
                <w:rFonts w:hint="eastAsia" w:ascii="宋体" w:hAnsi="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.0</w:t>
            </w:r>
          </w:p>
        </w:tc>
        <w:tc>
          <w:tcPr>
            <w:tcW w:w="859" w:type="pct"/>
            <w:vMerge w:val="continue"/>
            <w:vAlign w:val="center"/>
          </w:tcPr>
          <w:p>
            <w:pPr>
              <w:spacing w:line="240" w:lineRule="auto"/>
              <w:jc w:val="center"/>
              <w:outlineLvl w:val="0"/>
              <w:rPr>
                <w:rFonts w:hint="eastAsia" w:ascii="宋体" w:hAnsi="宋体" w:eastAsia="宋体" w:cs="宋体"/>
                <w:color w:val="auto"/>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3" w:type="pct"/>
            <w:vMerge w:val="continue"/>
            <w:vAlign w:val="center"/>
          </w:tcPr>
          <w:p>
            <w:pPr>
              <w:spacing w:line="360" w:lineRule="auto"/>
              <w:jc w:val="both"/>
              <w:outlineLvl w:val="0"/>
              <w:rPr>
                <w:rFonts w:hint="eastAsia" w:ascii="宋体" w:hAnsi="宋体" w:eastAsia="宋体" w:cs="宋体"/>
                <w:color w:val="auto"/>
                <w:sz w:val="24"/>
                <w:szCs w:val="24"/>
                <w:highlight w:val="none"/>
                <w:lang w:val="en-US" w:eastAsia="zh-CN"/>
              </w:rPr>
            </w:pPr>
          </w:p>
        </w:tc>
        <w:tc>
          <w:tcPr>
            <w:tcW w:w="3464" w:type="pct"/>
            <w:vAlign w:val="center"/>
          </w:tcPr>
          <w:p>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拟派项目负责人</w:t>
            </w:r>
            <w:r>
              <w:rPr>
                <w:rFonts w:hint="eastAsia" w:ascii="宋体" w:hAnsi="宋体" w:eastAsia="宋体" w:cs="宋体"/>
                <w:color w:val="auto"/>
                <w:kern w:val="0"/>
                <w:sz w:val="24"/>
                <w:szCs w:val="24"/>
                <w:highlight w:val="none"/>
                <w:lang w:val="en-US" w:eastAsia="zh-CN" w:bidi="ar"/>
              </w:rPr>
              <w:t>取得注册建造师的注册年限满5年（含）以上的得2分，3年（含）-5年（不含）得1分，其余不得分。截止投标截止时间止。提供</w:t>
            </w:r>
            <w:r>
              <w:rPr>
                <w:rFonts w:hint="eastAsia" w:ascii="宋体" w:hAnsi="宋体" w:eastAsia="宋体" w:cs="宋体"/>
                <w:color w:val="auto"/>
                <w:sz w:val="24"/>
                <w:szCs w:val="24"/>
                <w:highlight w:val="none"/>
              </w:rPr>
              <w:t>注册执业证书时间为准，如有延续或者变更注册，以老注册证书扫描件时间为准</w:t>
            </w:r>
            <w:r>
              <w:rPr>
                <w:rFonts w:hint="eastAsia" w:ascii="宋体" w:hAnsi="宋体" w:eastAsia="宋体" w:cs="宋体"/>
                <w:color w:val="auto"/>
                <w:sz w:val="24"/>
                <w:szCs w:val="24"/>
                <w:highlight w:val="none"/>
                <w:lang w:eastAsia="zh-CN"/>
              </w:rPr>
              <w:t>。</w:t>
            </w:r>
          </w:p>
        </w:tc>
        <w:tc>
          <w:tcPr>
            <w:tcW w:w="432" w:type="pct"/>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0-2.0</w:t>
            </w:r>
          </w:p>
        </w:tc>
        <w:tc>
          <w:tcPr>
            <w:tcW w:w="859" w:type="pct"/>
            <w:vMerge w:val="continue"/>
            <w:vAlign w:val="center"/>
          </w:tcPr>
          <w:p>
            <w:pPr>
              <w:spacing w:line="240" w:lineRule="auto"/>
              <w:jc w:val="center"/>
              <w:outlineLvl w:val="0"/>
              <w:rPr>
                <w:rFonts w:hint="eastAsia" w:ascii="宋体" w:hAnsi="宋体" w:eastAsia="宋体" w:cs="宋体"/>
                <w:color w:val="auto"/>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43" w:type="pct"/>
            <w:vAlign w:val="center"/>
          </w:tcPr>
          <w:p>
            <w:pPr>
              <w:spacing w:line="360" w:lineRule="auto"/>
              <w:jc w:val="both"/>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3464" w:type="pct"/>
            <w:vAlign w:val="center"/>
          </w:tcPr>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投标人获得的AAA级“守合同重信用”或“重合同守信用”企业的得2分；AA级的得1分；其余不得分。</w:t>
            </w:r>
            <w:r>
              <w:rPr>
                <w:rFonts w:hint="eastAsia" w:ascii="宋体" w:hAnsi="宋体" w:cs="宋体"/>
                <w:color w:val="auto"/>
                <w:kern w:val="0"/>
                <w:sz w:val="24"/>
                <w:szCs w:val="24"/>
                <w:highlight w:val="none"/>
                <w:lang w:val="en-US" w:eastAsia="zh-CN" w:bidi="ar"/>
              </w:rPr>
              <w:t>提供有效期内的证书扫描件并加盖公章，未提供不得分。</w:t>
            </w:r>
          </w:p>
        </w:tc>
        <w:tc>
          <w:tcPr>
            <w:tcW w:w="432" w:type="pct"/>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c>
          <w:tcPr>
            <w:tcW w:w="859" w:type="pct"/>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43" w:type="pct"/>
            <w:vAlign w:val="center"/>
          </w:tcPr>
          <w:p>
            <w:pPr>
              <w:spacing w:line="360" w:lineRule="auto"/>
              <w:jc w:val="both"/>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3464" w:type="pct"/>
            <w:vAlign w:val="center"/>
          </w:tcPr>
          <w:p>
            <w:pPr>
              <w:spacing w:line="240" w:lineRule="auto"/>
              <w:jc w:val="left"/>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为确保服务及时性，投标人在采购单位20公里及以内设立服务网点并有常人驻守的得2分，20公里（不含）-30公里（含）的得1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分，30（不含）-</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0公里（含）公里</w:t>
            </w:r>
            <w:r>
              <w:rPr>
                <w:rFonts w:hint="eastAsia" w:ascii="宋体" w:hAnsi="宋体" w:cs="宋体"/>
                <w:color w:val="auto"/>
                <w:sz w:val="24"/>
                <w:szCs w:val="24"/>
                <w:highlight w:val="none"/>
                <w:lang w:val="en-US" w:eastAsia="zh-CN"/>
              </w:rPr>
              <w:t>的得1分，40公里</w:t>
            </w:r>
            <w:r>
              <w:rPr>
                <w:rFonts w:hint="eastAsia" w:ascii="宋体" w:hAnsi="宋体" w:eastAsia="宋体" w:cs="宋体"/>
                <w:color w:val="auto"/>
                <w:sz w:val="24"/>
                <w:szCs w:val="24"/>
                <w:highlight w:val="none"/>
                <w:lang w:val="en-US" w:eastAsia="zh-CN"/>
              </w:rPr>
              <w:t>以外得0.5分。提供服务网点营业执照副本、服务网点为投标人售后的证明、百度地图驾车距离最短公里数截图。</w:t>
            </w:r>
          </w:p>
        </w:tc>
        <w:tc>
          <w:tcPr>
            <w:tcW w:w="432" w:type="pct"/>
            <w:vAlign w:val="center"/>
          </w:tcPr>
          <w:p>
            <w:pPr>
              <w:spacing w:line="240" w:lineRule="auto"/>
              <w:jc w:val="center"/>
              <w:outlineLvl w:val="0"/>
              <w:rPr>
                <w:rFonts w:hint="eastAsia" w:ascii="宋体" w:hAnsi="宋体" w:eastAsia="宋体" w:cs="宋体"/>
                <w:color w:val="auto"/>
                <w:spacing w:val="-11"/>
                <w:kern w:val="2"/>
                <w:sz w:val="24"/>
                <w:szCs w:val="24"/>
                <w:highlight w:val="none"/>
                <w:lang w:val="en-US" w:eastAsia="en-US" w:bidi="ar-SA"/>
              </w:rPr>
            </w:pPr>
            <w:r>
              <w:rPr>
                <w:rFonts w:hint="eastAsia" w:ascii="宋体" w:hAnsi="宋体" w:eastAsia="宋体" w:cs="宋体"/>
                <w:color w:val="auto"/>
                <w:spacing w:val="-11"/>
                <w:sz w:val="24"/>
                <w:szCs w:val="24"/>
                <w:highlight w:val="none"/>
              </w:rPr>
              <w:t>0-</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.0</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人</w:t>
            </w:r>
          </w:p>
          <w:p>
            <w:pPr>
              <w:spacing w:line="240" w:lineRule="auto"/>
              <w:jc w:val="center"/>
              <w:outlineLvl w:val="0"/>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eastAsia="zh-CN"/>
              </w:rPr>
              <w:t>便利性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3" w:type="pct"/>
            <w:vAlign w:val="center"/>
          </w:tcPr>
          <w:p>
            <w:pPr>
              <w:spacing w:line="360"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464" w:type="pct"/>
            <w:vAlign w:val="center"/>
          </w:tcPr>
          <w:p>
            <w:pPr>
              <w:spacing w:line="240" w:lineRule="auto"/>
              <w:jc w:val="left"/>
              <w:outlineLvl w:val="0"/>
              <w:rPr>
                <w:rFonts w:hint="eastAsia" w:ascii="宋体" w:hAnsi="宋体" w:eastAsia="宋体" w:cs="宋体"/>
                <w:color w:val="auto"/>
                <w:kern w:val="2"/>
                <w:sz w:val="24"/>
                <w:szCs w:val="24"/>
                <w:highlight w:val="none"/>
                <w:lang w:val="en-US" w:eastAsia="en-US" w:bidi="ar-SA"/>
              </w:rPr>
            </w:pPr>
            <w:r>
              <w:rPr>
                <w:rFonts w:hint="eastAsia" w:ascii="宋体" w:hAnsi="宋体" w:cs="宋体"/>
                <w:color w:val="auto"/>
                <w:sz w:val="24"/>
                <w:szCs w:val="24"/>
                <w:highlight w:val="none"/>
                <w:lang w:val="en-US" w:eastAsia="zh-CN"/>
              </w:rPr>
              <w:t>投标人承诺质保期内接到维修通知</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小时内</w:t>
            </w:r>
            <w:r>
              <w:rPr>
                <w:rFonts w:hint="eastAsia" w:ascii="宋体" w:hAnsi="宋体" w:eastAsia="宋体" w:cs="宋体"/>
                <w:b/>
                <w:color w:val="auto"/>
                <w:sz w:val="24"/>
                <w:szCs w:val="24"/>
                <w:highlight w:val="none"/>
                <w:lang w:eastAsia="zh-CN"/>
              </w:rPr>
              <w:t>到达现场</w:t>
            </w:r>
            <w:r>
              <w:rPr>
                <w:rFonts w:hint="eastAsia" w:ascii="宋体" w:hAnsi="宋体" w:eastAsia="宋体" w:cs="宋体"/>
                <w:b/>
                <w:color w:val="auto"/>
                <w:sz w:val="24"/>
                <w:szCs w:val="24"/>
                <w:highlight w:val="none"/>
              </w:rPr>
              <w:t>解决</w:t>
            </w:r>
            <w:r>
              <w:rPr>
                <w:rFonts w:hint="eastAsia" w:ascii="宋体" w:hAnsi="宋体" w:eastAsia="宋体" w:cs="宋体"/>
                <w:b/>
                <w:color w:val="auto"/>
                <w:sz w:val="24"/>
                <w:szCs w:val="24"/>
                <w:highlight w:val="none"/>
                <w:lang w:eastAsia="zh-CN"/>
              </w:rPr>
              <w:t>问题的得</w:t>
            </w:r>
            <w:r>
              <w:rPr>
                <w:rFonts w:hint="eastAsia" w:ascii="宋体" w:hAnsi="宋体" w:eastAsia="宋体" w:cs="宋体"/>
                <w:b/>
                <w:color w:val="auto"/>
                <w:sz w:val="24"/>
                <w:szCs w:val="24"/>
                <w:highlight w:val="none"/>
                <w:lang w:val="en-US" w:eastAsia="zh-CN"/>
              </w:rPr>
              <w:t>4分，每延迟一个小时扣1分，扣完为止</w:t>
            </w:r>
            <w:r>
              <w:rPr>
                <w:rFonts w:hint="eastAsia" w:ascii="宋体" w:hAnsi="宋体" w:eastAsia="宋体" w:cs="宋体"/>
                <w:b/>
                <w:color w:val="auto"/>
                <w:sz w:val="24"/>
                <w:szCs w:val="24"/>
                <w:highlight w:val="none"/>
              </w:rPr>
              <w:t>。</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tc>
        <w:tc>
          <w:tcPr>
            <w:tcW w:w="859" w:type="pct"/>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售后</w:t>
            </w:r>
            <w:r>
              <w:rPr>
                <w:rFonts w:hint="eastAsia" w:ascii="宋体" w:hAnsi="宋体" w:eastAsia="宋体" w:cs="宋体"/>
                <w:color w:val="auto"/>
                <w:sz w:val="24"/>
                <w:szCs w:val="24"/>
                <w:highlight w:val="none"/>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3" w:type="pct"/>
            <w:vMerge w:val="restart"/>
            <w:vAlign w:val="center"/>
          </w:tcPr>
          <w:p>
            <w:pPr>
              <w:spacing w:line="360" w:lineRule="auto"/>
              <w:jc w:val="both"/>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3464" w:type="pct"/>
            <w:vAlign w:val="center"/>
          </w:tcPr>
          <w:p>
            <w:pPr>
              <w:spacing w:line="240" w:lineRule="auto"/>
              <w:jc w:val="left"/>
              <w:outlineLvl w:val="0"/>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工程交付使用后</w:t>
            </w:r>
            <w:r>
              <w:rPr>
                <w:rFonts w:hint="eastAsia" w:ascii="宋体" w:hAnsi="宋体" w:cs="宋体"/>
                <w:color w:val="auto"/>
                <w:sz w:val="24"/>
                <w:szCs w:val="24"/>
                <w:highlight w:val="none"/>
                <w:lang w:val="en-US" w:eastAsia="zh-CN"/>
              </w:rPr>
              <w:t>承诺苗木养护期为3年的得0.5分，每延长一年得1分，最高得2.5分。</w:t>
            </w:r>
          </w:p>
        </w:tc>
        <w:tc>
          <w:tcPr>
            <w:tcW w:w="432" w:type="pct"/>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2.5</w:t>
            </w:r>
          </w:p>
        </w:tc>
        <w:tc>
          <w:tcPr>
            <w:tcW w:w="859" w:type="pct"/>
            <w:vMerge w:val="restart"/>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质保</w:t>
            </w:r>
            <w:r>
              <w:rPr>
                <w:rFonts w:hint="eastAsia" w:ascii="宋体" w:hAnsi="宋体" w:eastAsia="宋体" w:cs="宋体"/>
                <w:color w:val="auto"/>
                <w:sz w:val="24"/>
                <w:szCs w:val="24"/>
                <w:highlight w:val="none"/>
                <w:lang w:val="en-US" w:eastAsia="zh-CN"/>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3" w:type="pct"/>
            <w:vMerge w:val="continue"/>
            <w:vAlign w:val="center"/>
          </w:tcPr>
          <w:p>
            <w:pPr>
              <w:spacing w:line="360" w:lineRule="auto"/>
              <w:jc w:val="both"/>
              <w:outlineLvl w:val="0"/>
              <w:rPr>
                <w:rFonts w:hint="eastAsia" w:ascii="宋体" w:hAnsi="宋体" w:cs="宋体"/>
                <w:color w:val="auto"/>
                <w:sz w:val="24"/>
                <w:szCs w:val="24"/>
                <w:highlight w:val="none"/>
                <w:lang w:val="en-US" w:eastAsia="zh-CN"/>
              </w:rPr>
            </w:pPr>
          </w:p>
        </w:tc>
        <w:tc>
          <w:tcPr>
            <w:tcW w:w="3464" w:type="pct"/>
            <w:vAlign w:val="center"/>
          </w:tcPr>
          <w:p>
            <w:pPr>
              <w:spacing w:line="240" w:lineRule="auto"/>
              <w:jc w:val="left"/>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工程交付使用后承诺门窗工程质保期为5年的得0.5分，每延长一年得1分，最高得2.5分。</w:t>
            </w:r>
          </w:p>
        </w:tc>
        <w:tc>
          <w:tcPr>
            <w:tcW w:w="432" w:type="pct"/>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0-2.5</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3" w:type="pct"/>
            <w:vMerge w:val="restart"/>
            <w:vAlign w:val="center"/>
          </w:tcPr>
          <w:p>
            <w:pPr>
              <w:spacing w:line="360"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施工进度计划</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安排完善、可行性强的得5分，计划较完善、可行性较强的得3分，进度安排一般的得1分，无计划或计划不合理的不得分。</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859" w:type="pct"/>
            <w:vMerge w:val="restar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施工进度及劳动力安排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43" w:type="pct"/>
            <w:vMerge w:val="continue"/>
            <w:vAlign w:val="center"/>
          </w:tcPr>
          <w:p>
            <w:pPr>
              <w:jc w:val="both"/>
              <w:rPr>
                <w:rFonts w:hint="eastAsia" w:ascii="宋体" w:hAnsi="宋体" w:eastAsia="宋体" w:cs="宋体"/>
                <w:color w:val="auto"/>
                <w:kern w:val="2"/>
                <w:sz w:val="24"/>
                <w:szCs w:val="24"/>
                <w:highlight w:val="none"/>
                <w:lang w:val="en-US" w:eastAsia="zh-CN" w:bidi="ar-SA"/>
              </w:rPr>
            </w:pP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劳动力安排</w:t>
            </w:r>
            <w:r>
              <w:rPr>
                <w:rFonts w:hint="eastAsia" w:ascii="宋体" w:hAnsi="宋体" w:cs="宋体"/>
                <w:color w:val="auto"/>
                <w:sz w:val="24"/>
                <w:szCs w:val="24"/>
                <w:highlight w:val="none"/>
                <w:lang w:val="en-US" w:eastAsia="zh-CN"/>
              </w:rPr>
              <w:t>满足本项目要求，且针对性强的得5分；仅基本满足本项目基本需求的得3分；与本项目实际要求不符的不得分</w:t>
            </w:r>
            <w:r>
              <w:rPr>
                <w:rFonts w:hint="eastAsia" w:ascii="宋体" w:hAnsi="宋体" w:eastAsia="宋体" w:cs="宋体"/>
                <w:color w:val="auto"/>
                <w:sz w:val="24"/>
                <w:szCs w:val="24"/>
                <w:highlight w:val="none"/>
                <w:lang w:val="en-US" w:eastAsia="zh-CN"/>
              </w:rPr>
              <w:t>。</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Align w:val="center"/>
          </w:tcPr>
          <w:p>
            <w:pPr>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3464" w:type="pct"/>
            <w:vAlign w:val="center"/>
          </w:tcPr>
          <w:p>
            <w:pPr>
              <w:spacing w:line="240" w:lineRule="auto"/>
              <w:jc w:val="left"/>
              <w:outlineLvl w:val="0"/>
              <w:rPr>
                <w:rFonts w:hint="default"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工程质量目标及保证措施：根据质量目标、质量控制方案及检验措施是否明确及科学性和保证质量的措施、材料质量保证等进行评分。</w:t>
            </w:r>
            <w:r>
              <w:rPr>
                <w:rFonts w:hint="eastAsia" w:ascii="宋体" w:hAnsi="宋体" w:cs="宋体"/>
                <w:color w:val="auto"/>
                <w:sz w:val="24"/>
                <w:szCs w:val="24"/>
                <w:highlight w:val="none"/>
                <w:lang w:val="en-US" w:eastAsia="zh-CN"/>
              </w:rPr>
              <w:t>目标方案明确，针对性强的得5分；方案基本满足要求，无针对性方案的得3分；方案不合理，不满足要求的不得分。</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工程质量目标及保证措施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43" w:type="pct"/>
            <w:vMerge w:val="restart"/>
            <w:vAlign w:val="center"/>
          </w:tcPr>
          <w:p>
            <w:pPr>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3464" w:type="pct"/>
            <w:vAlign w:val="center"/>
          </w:tcPr>
          <w:p>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人针对本项目提出的施工方案</w:t>
            </w:r>
            <w:r>
              <w:rPr>
                <w:rFonts w:hint="eastAsia" w:ascii="宋体" w:hAnsi="宋体" w:cs="宋体"/>
                <w:color w:val="auto"/>
                <w:sz w:val="24"/>
                <w:szCs w:val="24"/>
                <w:highlight w:val="none"/>
                <w:lang w:val="en-US" w:eastAsia="zh-CN"/>
              </w:rPr>
              <w:t>科学合理，针对校园环境施工特点鲜明的得5分；方案仅满足基本施工需求，无针对的得3分；方案不合理，不贴合实际的不得分。</w:t>
            </w:r>
          </w:p>
        </w:tc>
        <w:tc>
          <w:tcPr>
            <w:tcW w:w="432" w:type="pct"/>
            <w:vAlign w:val="center"/>
          </w:tcPr>
          <w:p>
            <w:pPr>
              <w:spacing w:line="240" w:lineRule="auto"/>
              <w:jc w:val="center"/>
              <w:outlineLvl w:val="0"/>
              <w:rPr>
                <w:rFonts w:hint="eastAsia" w:ascii="宋体" w:hAnsi="宋体" w:eastAsia="宋体" w:cs="宋体"/>
                <w:color w:val="auto"/>
                <w:spacing w:val="-11"/>
                <w:kern w:val="2"/>
                <w:sz w:val="24"/>
                <w:szCs w:val="24"/>
                <w:highlight w:val="none"/>
                <w:lang w:val="en-US" w:eastAsia="zh-CN" w:bidi="ar-SA"/>
              </w:rPr>
            </w:pPr>
            <w:r>
              <w:rPr>
                <w:rFonts w:hint="eastAsia" w:ascii="宋体" w:hAnsi="宋体" w:eastAsia="宋体" w:cs="宋体"/>
                <w:color w:val="auto"/>
                <w:spacing w:val="-11"/>
                <w:sz w:val="24"/>
                <w:szCs w:val="24"/>
                <w:highlight w:val="none"/>
                <w:lang w:val="en-US" w:eastAsia="zh-CN"/>
              </w:rPr>
              <w:t>0-</w:t>
            </w:r>
            <w:r>
              <w:rPr>
                <w:rFonts w:hint="eastAsia" w:ascii="宋体" w:hAnsi="宋体" w:cs="宋体"/>
                <w:color w:val="auto"/>
                <w:spacing w:val="-11"/>
                <w:sz w:val="24"/>
                <w:szCs w:val="24"/>
                <w:highlight w:val="none"/>
                <w:lang w:val="en-US" w:eastAsia="zh-CN"/>
              </w:rPr>
              <w:t>5</w:t>
            </w:r>
            <w:r>
              <w:rPr>
                <w:rFonts w:hint="eastAsia" w:ascii="宋体" w:hAnsi="宋体" w:eastAsia="宋体" w:cs="宋体"/>
                <w:color w:val="auto"/>
                <w:spacing w:val="-11"/>
                <w:sz w:val="24"/>
                <w:szCs w:val="24"/>
                <w:highlight w:val="none"/>
                <w:lang w:val="en-US" w:eastAsia="zh-CN"/>
              </w:rPr>
              <w:t>.0</w:t>
            </w:r>
          </w:p>
        </w:tc>
        <w:tc>
          <w:tcPr>
            <w:tcW w:w="859" w:type="pct"/>
            <w:vMerge w:val="restar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3" w:type="pct"/>
            <w:vMerge w:val="continue"/>
            <w:vAlign w:val="center"/>
          </w:tcPr>
          <w:p>
            <w:pPr>
              <w:jc w:val="both"/>
              <w:rPr>
                <w:rFonts w:hint="default" w:ascii="宋体" w:hAnsi="宋体" w:eastAsia="宋体" w:cs="宋体"/>
                <w:color w:val="auto"/>
                <w:kern w:val="2"/>
                <w:sz w:val="24"/>
                <w:szCs w:val="24"/>
                <w:highlight w:val="none"/>
                <w:lang w:val="en-US" w:eastAsia="zh-CN" w:bidi="ar-SA"/>
              </w:rPr>
            </w:pPr>
          </w:p>
        </w:tc>
        <w:tc>
          <w:tcPr>
            <w:tcW w:w="3464" w:type="pct"/>
            <w:vAlign w:val="center"/>
          </w:tcPr>
          <w:p>
            <w:pPr>
              <w:spacing w:line="24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人针对本项目</w:t>
            </w:r>
            <w:r>
              <w:rPr>
                <w:rFonts w:hint="eastAsia" w:ascii="宋体" w:hAnsi="宋体" w:cs="宋体"/>
                <w:color w:val="auto"/>
                <w:sz w:val="24"/>
                <w:szCs w:val="24"/>
                <w:highlight w:val="none"/>
                <w:lang w:val="en-US" w:eastAsia="zh-CN"/>
              </w:rPr>
              <w:t>的施工，施工工艺合理，可操作性高的得5分；仅满足施工需求的得3分；工艺不合理，不切合实际的不得分。</w:t>
            </w:r>
          </w:p>
        </w:tc>
        <w:tc>
          <w:tcPr>
            <w:tcW w:w="432" w:type="pct"/>
            <w:vAlign w:val="center"/>
          </w:tcPr>
          <w:p>
            <w:pPr>
              <w:spacing w:line="240" w:lineRule="auto"/>
              <w:jc w:val="center"/>
              <w:outlineLvl w:val="0"/>
              <w:rPr>
                <w:rFonts w:hint="eastAsia" w:ascii="宋体" w:hAnsi="宋体" w:eastAsia="宋体" w:cs="宋体"/>
                <w:color w:val="auto"/>
                <w:spacing w:val="-11"/>
                <w:kern w:val="2"/>
                <w:sz w:val="24"/>
                <w:szCs w:val="24"/>
                <w:highlight w:val="none"/>
                <w:lang w:val="en-US" w:eastAsia="zh-CN" w:bidi="ar-SA"/>
              </w:rPr>
            </w:pPr>
            <w:r>
              <w:rPr>
                <w:rFonts w:hint="eastAsia" w:ascii="宋体" w:hAnsi="宋体" w:eastAsia="宋体" w:cs="宋体"/>
                <w:color w:val="auto"/>
                <w:spacing w:val="-11"/>
                <w:sz w:val="24"/>
                <w:szCs w:val="24"/>
                <w:highlight w:val="none"/>
                <w:lang w:val="en-US" w:eastAsia="zh-CN"/>
              </w:rPr>
              <w:t>0-</w:t>
            </w:r>
            <w:r>
              <w:rPr>
                <w:rFonts w:hint="eastAsia" w:ascii="宋体" w:hAnsi="宋体" w:cs="宋体"/>
                <w:color w:val="auto"/>
                <w:spacing w:val="-11"/>
                <w:sz w:val="24"/>
                <w:szCs w:val="24"/>
                <w:highlight w:val="none"/>
                <w:lang w:val="en-US" w:eastAsia="zh-CN"/>
              </w:rPr>
              <w:t>5</w:t>
            </w:r>
            <w:r>
              <w:rPr>
                <w:rFonts w:hint="eastAsia" w:ascii="宋体" w:hAnsi="宋体" w:eastAsia="宋体" w:cs="宋体"/>
                <w:color w:val="auto"/>
                <w:spacing w:val="-11"/>
                <w:sz w:val="24"/>
                <w:szCs w:val="24"/>
                <w:highlight w:val="none"/>
                <w:lang w:val="en-US" w:eastAsia="zh-CN"/>
              </w:rPr>
              <w:t>.0</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 w:type="pct"/>
            <w:vAlign w:val="center"/>
          </w:tcPr>
          <w:p>
            <w:pPr>
              <w:spacing w:line="360" w:lineRule="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安全文明施工及保证措施科学、合理、到位</w:t>
            </w:r>
            <w:r>
              <w:rPr>
                <w:rFonts w:hint="eastAsia" w:ascii="宋体" w:hAnsi="宋体" w:cs="宋体"/>
                <w:color w:val="auto"/>
                <w:sz w:val="24"/>
                <w:szCs w:val="24"/>
                <w:highlight w:val="none"/>
                <w:lang w:val="en-US" w:eastAsia="zh-CN"/>
              </w:rPr>
              <w:t>的得5分；措施一般，可行性一般的得3分；措施安排不合理，不满足项目要求的不得分</w:t>
            </w:r>
            <w:r>
              <w:rPr>
                <w:rFonts w:hint="eastAsia" w:ascii="宋体" w:hAnsi="宋体" w:eastAsia="宋体" w:cs="宋体"/>
                <w:color w:val="auto"/>
                <w:sz w:val="24"/>
                <w:szCs w:val="24"/>
                <w:highlight w:val="none"/>
                <w:lang w:val="en-US" w:eastAsia="zh-CN"/>
              </w:rPr>
              <w:t>。</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安全文明施工及保证措施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43" w:type="pct"/>
            <w:vAlign w:val="center"/>
          </w:tcPr>
          <w:p>
            <w:pPr>
              <w:spacing w:line="360" w:lineRule="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施工机械设备选用和质量：主要设备选用、施工现场布置情况以及主要施工机械进场计划等安排完善、可行性强的得5分，计划较完善、可行性较强的得3分，进度安排一般的得1分，无计划或计划不合理的不得分。</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施工机械设备选用和质量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43" w:type="pct"/>
            <w:vAlign w:val="center"/>
          </w:tcPr>
          <w:p>
            <w:pPr>
              <w:spacing w:line="360" w:lineRule="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3464" w:type="pct"/>
            <w:vAlign w:val="center"/>
          </w:tcPr>
          <w:p>
            <w:pPr>
              <w:spacing w:line="240" w:lineRule="auto"/>
              <w:jc w:val="left"/>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由评标委员会根据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人针对本项目的特点和难点分析、有效建议和措施进行评分。</w:t>
            </w:r>
            <w:r>
              <w:rPr>
                <w:rFonts w:hint="eastAsia" w:ascii="宋体" w:hAnsi="宋体" w:cs="宋体"/>
                <w:color w:val="auto"/>
                <w:sz w:val="24"/>
                <w:szCs w:val="24"/>
                <w:highlight w:val="none"/>
                <w:lang w:val="en-US" w:eastAsia="zh-CN"/>
              </w:rPr>
              <w:t>分析明确透彻，提出的建议合理可行的得5分；仅分析或仅提出合理建议的得3分；无特点难点分析及合理建议的不得分。</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重点难点分析及建议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243" w:type="pct"/>
            <w:vAlign w:val="center"/>
          </w:tcPr>
          <w:p>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464" w:type="pct"/>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432" w:type="pct"/>
            <w:vAlign w:val="center"/>
          </w:tcPr>
          <w:p>
            <w:pPr>
              <w:spacing w:line="360" w:lineRule="auto"/>
              <w:ind w:firstLine="120" w:firstLineChars="50"/>
              <w:jc w:val="center"/>
              <w:outlineLvl w:val="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40</w:t>
            </w:r>
          </w:p>
        </w:tc>
        <w:tc>
          <w:tcPr>
            <w:tcW w:w="859"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pPr>
        <w:pStyle w:val="128"/>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3.4.4</w:t>
      </w:r>
      <w:r>
        <w:rPr>
          <w:rFonts w:hint="eastAsia" w:ascii="宋体" w:hAnsi="宋体" w:eastAsia="宋体" w:cs="宋体"/>
          <w:color w:val="auto"/>
          <w:kern w:val="0"/>
          <w:sz w:val="24"/>
          <w:szCs w:val="24"/>
          <w:highlight w:val="none"/>
        </w:rPr>
        <w:t>关于税费、清单的详细评审</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报价评审是对投标文件中工程量清单的范围、数量、报价进行全面审核和对比分析。投标报价中有以下情形之一的，评审不予通过，否决其投标：</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安全文明施工费用报价低于建设行政主管部门颁发的取费计价文件规定的弹性费率下限计算值的；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规费、税金报价不符合现行规定的；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企业管理费报价低于建设行政主管部门规定的对应专业工程企业管理费弹性费率下限20%的；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现场监控、现场临时宿舍取暖降温费用未依据市政府、市建设行政主管部门有关规定报价的；（现场临时宿舍取暖降温费用，施工周期在6-9月的施工项目，必须进行报价，施工周期跨越其他月份的施工项目，由</w:t>
      </w:r>
      <w:r>
        <w:rPr>
          <w:rFonts w:hint="eastAsia" w:ascii="宋体" w:hAnsi="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人根据我市施工现场标准化管理的要求自主报价）</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改变招标文件提供的工程量清单（含分部分项工程及措施项目、其他项目清单项目的编码、项目名称、计量单位、工程数量、项目特征描述）的；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改变招标文件明确的暂定不竞价内容的；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经评标委员会认定的投标报价低于成本价的；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人拒绝按评标委员会要求提供报价分析说明和证明材料的；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工程量清单报价与工、料、机报价及对应的报价分析不相符的，或与拟建工程的施工方案明显不匹配的；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投标报价错误累计达到或超过原总报价（招标控制价≦5000万元的按0.5%，招标控制价＞5000万元的按0.1%）的；</w:t>
      </w:r>
    </w:p>
    <w:p>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法律、法规、规章及规范性文件规定其他应否决投标的情形。</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sz w:val="24"/>
          <w:szCs w:val="24"/>
          <w:highlight w:val="none"/>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eastAsia="宋体" w:cs="宋体"/>
          <w:b/>
          <w:bCs/>
          <w:color w:val="auto"/>
          <w:sz w:val="24"/>
          <w:szCs w:val="24"/>
          <w:highlight w:val="none"/>
        </w:rPr>
        <w:t>对于未预留份额专门面向中小企业的政府采购</w:t>
      </w:r>
      <w:r>
        <w:rPr>
          <w:rFonts w:hint="eastAsia" w:ascii="宋体" w:hAnsi="宋体" w:eastAsia="宋体" w:cs="宋体"/>
          <w:b/>
          <w:bCs/>
          <w:color w:val="auto"/>
          <w:sz w:val="24"/>
          <w:szCs w:val="24"/>
          <w:highlight w:val="none"/>
          <w:lang w:eastAsia="zh-CN"/>
        </w:rPr>
        <w:t>工程</w:t>
      </w:r>
      <w:r>
        <w:rPr>
          <w:rFonts w:hint="eastAsia" w:ascii="宋体" w:hAnsi="宋体" w:eastAsia="宋体" w:cs="宋体"/>
          <w:b/>
          <w:bCs/>
          <w:color w:val="auto"/>
          <w:sz w:val="24"/>
          <w:szCs w:val="24"/>
          <w:highlight w:val="none"/>
        </w:rPr>
        <w:t>项目，以及预留份额政府采购</w:t>
      </w:r>
      <w:r>
        <w:rPr>
          <w:rFonts w:hint="eastAsia" w:ascii="宋体" w:hAnsi="宋体" w:eastAsia="宋体" w:cs="宋体"/>
          <w:b/>
          <w:bCs/>
          <w:color w:val="auto"/>
          <w:sz w:val="24"/>
          <w:szCs w:val="24"/>
          <w:highlight w:val="none"/>
          <w:lang w:eastAsia="zh-CN"/>
        </w:rPr>
        <w:t>工程</w:t>
      </w:r>
      <w:r>
        <w:rPr>
          <w:rFonts w:hint="eastAsia" w:ascii="宋体" w:hAnsi="宋体" w:eastAsia="宋体" w:cs="宋体"/>
          <w:b/>
          <w:bCs/>
          <w:color w:val="auto"/>
          <w:sz w:val="24"/>
          <w:szCs w:val="24"/>
          <w:highlight w:val="none"/>
        </w:rPr>
        <w:t>项目中的非预留部分标项，对小型和微型企业的投标报价给予</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的扣除，用扣除后的价格参与评审。</w:t>
      </w:r>
      <w:r>
        <w:rPr>
          <w:rFonts w:hint="eastAsia" w:ascii="宋体" w:hAnsi="宋体" w:eastAsia="宋体" w:cs="宋体"/>
          <w:color w:val="auto"/>
          <w:sz w:val="24"/>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pPr>
        <w:pStyle w:val="128"/>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4.2.12投标人仅提交备份投标文件，没有在电子交易平台传输递交投标文件的，投标无效；</w:t>
      </w:r>
    </w:p>
    <w:p>
      <w:pPr>
        <w:pStyle w:val="7"/>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废标后，采购机构应当将废标理由通知所有投标人。</w:t>
      </w:r>
    </w:p>
    <w:p>
      <w:pPr>
        <w:pStyle w:val="2"/>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7.1未确定中标或者中标人的，终止本次政府采购活动，重新开展政府采购活动。</w:t>
      </w:r>
    </w:p>
    <w:p>
      <w:pPr>
        <w:pStyle w:val="2"/>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pPr>
        <w:pStyle w:val="2"/>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w:t>
      </w:r>
      <w:bookmarkStart w:id="942" w:name="_GoBack"/>
      <w:bookmarkEnd w:id="942"/>
      <w:r>
        <w:rPr>
          <w:rFonts w:hint="eastAsia" w:ascii="宋体" w:hAnsi="宋体" w:eastAsia="宋体" w:cs="宋体"/>
          <w:color w:val="auto"/>
          <w:sz w:val="24"/>
          <w:szCs w:val="24"/>
          <w:highlight w:val="none"/>
        </w:rPr>
        <w:t>影响中标、成交结果或者依法被认定为中标、成交无效的，依照7.1-7.4规定处理。</w:t>
      </w:r>
      <w:bookmarkEnd w:id="26"/>
      <w:bookmarkStart w:id="405" w:name="第五部分"/>
      <w:bookmarkStart w:id="406" w:name="_Toc86217003"/>
    </w:p>
    <w:p>
      <w:pPr>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8"/>
          <w:szCs w:val="48"/>
          <w:highlight w:val="none"/>
        </w:rPr>
        <w:t>建设工程施工合同示范文本</w:t>
      </w:r>
    </w:p>
    <w:p>
      <w:pPr>
        <w:jc w:val="center"/>
        <w:rPr>
          <w:rFonts w:hint="eastAsia" w:ascii="宋体" w:hAnsi="宋体" w:eastAsia="宋体" w:cs="宋体"/>
          <w:b/>
          <w:bCs/>
          <w:color w:val="auto"/>
          <w:sz w:val="48"/>
          <w:szCs w:val="48"/>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bCs/>
          <w:color w:val="auto"/>
          <w:highlight w:val="none"/>
        </w:rPr>
      </w:pPr>
    </w:p>
    <w:p>
      <w:pPr>
        <w:jc w:val="center"/>
        <w:rPr>
          <w:rFonts w:hint="eastAsia" w:ascii="宋体" w:hAnsi="宋体" w:eastAsia="宋体" w:cs="宋体"/>
          <w:color w:val="auto"/>
          <w:szCs w:val="28"/>
          <w:highlight w:val="none"/>
        </w:rPr>
      </w:pPr>
    </w:p>
    <w:p>
      <w:pPr>
        <w:jc w:val="center"/>
        <w:rPr>
          <w:rFonts w:hint="eastAsia" w:ascii="宋体" w:hAnsi="宋体" w:eastAsia="宋体" w:cs="宋体"/>
          <w:color w:val="auto"/>
          <w:szCs w:val="28"/>
          <w:highlight w:val="none"/>
        </w:rPr>
      </w:pPr>
    </w:p>
    <w:p>
      <w:pPr>
        <w:jc w:val="center"/>
        <w:rPr>
          <w:rFonts w:hint="eastAsia" w:ascii="宋体" w:hAnsi="宋体" w:eastAsia="宋体" w:cs="宋体"/>
          <w:color w:val="auto"/>
          <w:szCs w:val="28"/>
          <w:highlight w:val="none"/>
        </w:rPr>
      </w:pPr>
    </w:p>
    <w:p>
      <w:pPr>
        <w:jc w:val="center"/>
        <w:rPr>
          <w:rFonts w:hint="eastAsia" w:ascii="宋体" w:hAnsi="宋体" w:eastAsia="宋体" w:cs="宋体"/>
          <w:color w:val="auto"/>
          <w:sz w:val="24"/>
          <w:szCs w:val="24"/>
          <w:highlight w:val="none"/>
        </w:rPr>
      </w:pPr>
    </w:p>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住房和城乡建设部</w:t>
      </w:r>
    </w:p>
    <w:p>
      <w:pPr>
        <w:spacing w:line="320" w:lineRule="exact"/>
        <w:ind w:left="420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w:t>
      </w:r>
    </w:p>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国家工商行政管理总局</w:t>
      </w:r>
    </w:p>
    <w:p>
      <w:pPr>
        <w:widowControl/>
        <w:jc w:val="left"/>
        <w:rPr>
          <w:rFonts w:ascii="仿宋" w:hAnsi="仿宋" w:eastAsia="仿宋"/>
          <w:color w:val="auto"/>
          <w:kern w:val="0"/>
          <w:sz w:val="24"/>
          <w:highlight w:val="none"/>
        </w:rPr>
        <w:sectPr>
          <w:pgSz w:w="11907" w:h="16840"/>
          <w:pgMar w:top="1134" w:right="1134" w:bottom="1134" w:left="1134" w:header="851" w:footer="851" w:gutter="0"/>
          <w:cols w:space="720" w:num="1"/>
        </w:sectPr>
      </w:pPr>
    </w:p>
    <w:p>
      <w:pPr>
        <w:pStyle w:val="797"/>
        <w:rPr>
          <w:rFonts w:ascii="宋体" w:hAnsi="宋体"/>
          <w:b w:val="0"/>
          <w:color w:val="auto"/>
          <w:sz w:val="36"/>
          <w:szCs w:val="36"/>
          <w:highlight w:val="none"/>
        </w:rPr>
      </w:pPr>
    </w:p>
    <w:p>
      <w:pPr>
        <w:pStyle w:val="8"/>
        <w:spacing w:line="440" w:lineRule="exact"/>
        <w:jc w:val="center"/>
        <w:rPr>
          <w:rFonts w:hint="eastAsia" w:ascii="宋体" w:hAnsi="宋体"/>
          <w:b w:val="0"/>
          <w:color w:val="auto"/>
          <w:sz w:val="36"/>
          <w:szCs w:val="36"/>
          <w:highlight w:val="none"/>
        </w:rPr>
      </w:pPr>
      <w:r>
        <w:rPr>
          <w:rFonts w:ascii="宋体" w:hAnsi="宋体"/>
          <w:b w:val="0"/>
          <w:color w:val="auto"/>
          <w:sz w:val="36"/>
          <w:szCs w:val="36"/>
          <w:highlight w:val="none"/>
        </w:rPr>
        <w:t>第一部分 合同协议书</w:t>
      </w:r>
    </w:p>
    <w:p>
      <w:pPr>
        <w:spacing w:line="440" w:lineRule="exact"/>
        <w:jc w:val="center"/>
        <w:rPr>
          <w:rFonts w:hint="eastAsia" w:hAnsi="宋体"/>
          <w:b/>
          <w:color w:val="auto"/>
          <w:sz w:val="36"/>
          <w:szCs w:val="36"/>
          <w:highlight w:val="none"/>
        </w:rPr>
      </w:pPr>
    </w:p>
    <w:p>
      <w:pPr>
        <w:spacing w:line="400" w:lineRule="exact"/>
        <w:rPr>
          <w:rFonts w:hint="eastAsia" w:hAnsi="宋体"/>
          <w:b/>
          <w:color w:val="auto"/>
          <w:sz w:val="24"/>
          <w:highlight w:val="none"/>
          <w:u w:val="single"/>
        </w:rPr>
      </w:pPr>
      <w:r>
        <w:rPr>
          <w:rFonts w:hAnsi="宋体"/>
          <w:b/>
          <w:color w:val="auto"/>
          <w:sz w:val="24"/>
          <w:highlight w:val="none"/>
        </w:rPr>
        <w:t>发包人（</w:t>
      </w:r>
      <w:r>
        <w:rPr>
          <w:rFonts w:hint="eastAsia" w:hAnsi="宋体"/>
          <w:b/>
          <w:color w:val="auto"/>
          <w:sz w:val="24"/>
          <w:highlight w:val="none"/>
          <w:lang w:val="en-US" w:eastAsia="zh-CN"/>
        </w:rPr>
        <w:t>采购人</w:t>
      </w:r>
      <w:r>
        <w:rPr>
          <w:rFonts w:hAnsi="宋体"/>
          <w:b/>
          <w:color w:val="auto"/>
          <w:sz w:val="24"/>
          <w:highlight w:val="none"/>
        </w:rPr>
        <w:t>）：</w:t>
      </w:r>
      <w:r>
        <w:rPr>
          <w:rFonts w:hint="eastAsia" w:hAnsi="宋体"/>
          <w:color w:val="auto"/>
          <w:sz w:val="24"/>
          <w:highlight w:val="none"/>
          <w:u w:val="single"/>
          <w:lang w:eastAsia="zh-CN"/>
        </w:rPr>
        <w:t>杭州市临安区教育保障中心</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int="eastAsia" w:hAnsi="宋体"/>
          <w:color w:val="auto"/>
          <w:sz w:val="24"/>
          <w:highlight w:val="none"/>
        </w:rPr>
        <w:t xml:space="preserve">    </w:t>
      </w:r>
    </w:p>
    <w:p>
      <w:pPr>
        <w:spacing w:line="400" w:lineRule="exact"/>
        <w:rPr>
          <w:rFonts w:hAnsi="宋体"/>
          <w:color w:val="auto"/>
          <w:sz w:val="24"/>
          <w:highlight w:val="none"/>
          <w:u w:val="single"/>
        </w:rPr>
      </w:pPr>
      <w:r>
        <w:rPr>
          <w:rFonts w:hAnsi="宋体"/>
          <w:b/>
          <w:color w:val="auto"/>
          <w:sz w:val="24"/>
          <w:highlight w:val="none"/>
        </w:rPr>
        <w:t>承包人（</w:t>
      </w:r>
      <w:r>
        <w:rPr>
          <w:rFonts w:hint="eastAsia" w:hAnsi="宋体"/>
          <w:b/>
          <w:color w:val="auto"/>
          <w:sz w:val="24"/>
          <w:highlight w:val="none"/>
          <w:lang w:val="en-US" w:eastAsia="zh-CN"/>
        </w:rPr>
        <w:t>投标人</w:t>
      </w:r>
      <w:r>
        <w:rPr>
          <w:rFonts w:hAnsi="宋体"/>
          <w:b/>
          <w:color w:val="auto"/>
          <w:sz w:val="24"/>
          <w:highlight w:val="none"/>
        </w:rPr>
        <w:t>）：</w:t>
      </w:r>
      <w:r>
        <w:rPr>
          <w:rFonts w:hint="eastAsia" w:hAnsi="宋体" w:cs="宋体"/>
          <w:color w:val="auto"/>
          <w:sz w:val="24"/>
          <w:highlight w:val="none"/>
          <w:u w:val="single"/>
        </w:rPr>
        <w:t xml:space="preserve">             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根据《中华人民共和国</w:t>
      </w:r>
      <w:r>
        <w:rPr>
          <w:rFonts w:hint="eastAsia" w:hAnsi="宋体"/>
          <w:color w:val="auto"/>
          <w:sz w:val="24"/>
          <w:highlight w:val="none"/>
          <w:lang w:eastAsia="zh-CN"/>
        </w:rPr>
        <w:t>民法典</w:t>
      </w:r>
      <w:r>
        <w:rPr>
          <w:rFonts w:hAnsi="宋体"/>
          <w:color w:val="auto"/>
          <w:sz w:val="24"/>
          <w:highlight w:val="none"/>
        </w:rPr>
        <w:t>》、《中华人民共和国建筑法》及有关法律规定，遵循平等、自愿、公平和诚实信用的原则，双方就</w:t>
      </w:r>
      <w:r>
        <w:rPr>
          <w:rFonts w:hint="eastAsia" w:hAnsi="宋体"/>
          <w:color w:val="auto"/>
          <w:sz w:val="24"/>
          <w:highlight w:val="none"/>
          <w:u w:val="single"/>
          <w:lang w:eastAsia="zh-CN"/>
        </w:rPr>
        <w:t>杭州市临安区校园“安澜”工程</w:t>
      </w:r>
      <w:r>
        <w:rPr>
          <w:rFonts w:hint="eastAsia" w:hAnsi="宋体" w:cs="宋体"/>
          <w:color w:val="auto"/>
          <w:sz w:val="24"/>
          <w:highlight w:val="none"/>
          <w:u w:val="single"/>
          <w:lang w:eastAsia="zh-CN"/>
        </w:rPr>
        <w:t>（</w:t>
      </w:r>
      <w:r>
        <w:rPr>
          <w:rFonts w:hint="eastAsia" w:hAnsi="宋体" w:cs="宋体"/>
          <w:color w:val="auto"/>
          <w:sz w:val="24"/>
          <w:highlight w:val="none"/>
          <w:u w:val="single"/>
          <w:lang w:val="en-US" w:eastAsia="zh-CN"/>
        </w:rPr>
        <w:t xml:space="preserve">项目编号：             </w:t>
      </w:r>
      <w:r>
        <w:rPr>
          <w:rFonts w:hint="eastAsia" w:hAnsi="宋体" w:cs="宋体"/>
          <w:color w:val="auto"/>
          <w:sz w:val="24"/>
          <w:highlight w:val="none"/>
          <w:u w:val="single"/>
          <w:lang w:eastAsia="zh-CN"/>
        </w:rPr>
        <w:t>）</w:t>
      </w:r>
      <w:r>
        <w:rPr>
          <w:rFonts w:hAnsi="宋体"/>
          <w:color w:val="auto"/>
          <w:sz w:val="24"/>
          <w:highlight w:val="none"/>
        </w:rPr>
        <w:t>施工及有关事项协商一致</w:t>
      </w:r>
      <w:r>
        <w:rPr>
          <w:rFonts w:hint="eastAsia" w:hAnsi="宋体"/>
          <w:color w:val="auto"/>
          <w:sz w:val="24"/>
          <w:highlight w:val="none"/>
        </w:rPr>
        <w:t>，</w:t>
      </w:r>
      <w:r>
        <w:rPr>
          <w:rFonts w:hAnsi="宋体"/>
          <w:color w:val="auto"/>
          <w:sz w:val="24"/>
          <w:highlight w:val="none"/>
        </w:rPr>
        <w:t>共同达成如下协议：</w:t>
      </w:r>
    </w:p>
    <w:p>
      <w:pPr>
        <w:spacing w:line="400" w:lineRule="exact"/>
        <w:ind w:firstLine="482" w:firstLineChars="200"/>
        <w:rPr>
          <w:rFonts w:hAnsi="宋体"/>
          <w:b/>
          <w:bCs/>
          <w:color w:val="auto"/>
          <w:sz w:val="24"/>
          <w:highlight w:val="none"/>
        </w:rPr>
      </w:pPr>
      <w:bookmarkStart w:id="407" w:name="_Toc351203481"/>
      <w:r>
        <w:rPr>
          <w:rFonts w:hAnsi="宋体"/>
          <w:b/>
          <w:color w:val="auto"/>
          <w:sz w:val="24"/>
          <w:highlight w:val="none"/>
        </w:rPr>
        <w:t>一、工程概况</w:t>
      </w:r>
      <w:bookmarkEnd w:id="407"/>
    </w:p>
    <w:p>
      <w:pPr>
        <w:spacing w:line="400" w:lineRule="exact"/>
        <w:ind w:firstLine="480" w:firstLineChars="200"/>
        <w:rPr>
          <w:rFonts w:hAnsi="宋体"/>
          <w:color w:val="auto"/>
          <w:sz w:val="24"/>
          <w:highlight w:val="none"/>
          <w:u w:val="single"/>
        </w:rPr>
      </w:pPr>
      <w:r>
        <w:rPr>
          <w:rFonts w:hAnsi="宋体"/>
          <w:bCs/>
          <w:color w:val="auto"/>
          <w:sz w:val="24"/>
          <w:highlight w:val="none"/>
        </w:rPr>
        <w:t>1.工程名称</w:t>
      </w:r>
      <w:r>
        <w:rPr>
          <w:rFonts w:hAnsi="宋体"/>
          <w:color w:val="auto"/>
          <w:sz w:val="24"/>
          <w:highlight w:val="none"/>
        </w:rPr>
        <w:t>：</w:t>
      </w:r>
      <w:r>
        <w:rPr>
          <w:rFonts w:hint="eastAsia" w:hAnsi="宋体"/>
          <w:color w:val="auto"/>
          <w:sz w:val="24"/>
          <w:highlight w:val="none"/>
          <w:u w:val="single"/>
          <w:lang w:eastAsia="zh-CN"/>
        </w:rPr>
        <w:t>杭州市临安区校园“安澜”工程</w:t>
      </w:r>
      <w:r>
        <w:rPr>
          <w:rFonts w:hAnsi="宋体"/>
          <w:color w:val="auto"/>
          <w:sz w:val="24"/>
          <w:highlight w:val="none"/>
          <w:u w:val="single"/>
        </w:rPr>
        <w:t>。</w:t>
      </w:r>
    </w:p>
    <w:p>
      <w:pPr>
        <w:spacing w:line="400" w:lineRule="exact"/>
        <w:ind w:firstLine="480" w:firstLineChars="200"/>
        <w:rPr>
          <w:rFonts w:hint="eastAsia" w:hAnsi="宋体" w:cs="宋体"/>
          <w:color w:val="auto"/>
          <w:sz w:val="24"/>
          <w:highlight w:val="none"/>
          <w:u w:val="single"/>
        </w:rPr>
      </w:pPr>
      <w:r>
        <w:rPr>
          <w:rFonts w:hAnsi="宋体"/>
          <w:bCs/>
          <w:color w:val="auto"/>
          <w:sz w:val="24"/>
          <w:highlight w:val="none"/>
        </w:rPr>
        <w:t>2.工程地点：</w:t>
      </w:r>
      <w:r>
        <w:rPr>
          <w:rFonts w:hint="eastAsia"/>
          <w:b w:val="0"/>
          <w:bCs/>
          <w:color w:val="auto"/>
          <w:sz w:val="24"/>
          <w:highlight w:val="none"/>
          <w:u w:val="single"/>
          <w:lang w:eastAsia="zh-CN"/>
        </w:rPr>
        <w:t>临安区</w:t>
      </w:r>
      <w:r>
        <w:rPr>
          <w:rFonts w:hint="eastAsia" w:hAnsi="宋体"/>
          <w:bCs/>
          <w:color w:val="auto"/>
          <w:sz w:val="24"/>
          <w:highlight w:val="none"/>
          <w:u w:val="single"/>
          <w:lang w:val="en-US" w:eastAsia="zh-CN"/>
        </w:rPr>
        <w:t xml:space="preserve"> </w:t>
      </w:r>
      <w:r>
        <w:rPr>
          <w:rFonts w:hint="eastAsia" w:hAnsi="宋体" w:cs="宋体"/>
          <w:color w:val="auto"/>
          <w:sz w:val="24"/>
          <w:highlight w:val="none"/>
          <w:u w:val="single"/>
        </w:rPr>
        <w:t>。</w:t>
      </w:r>
    </w:p>
    <w:p>
      <w:pPr>
        <w:spacing w:line="400" w:lineRule="exact"/>
        <w:ind w:firstLine="480" w:firstLineChars="200"/>
        <w:rPr>
          <w:rFonts w:hAnsi="宋体"/>
          <w:bCs/>
          <w:color w:val="auto"/>
          <w:sz w:val="24"/>
          <w:highlight w:val="none"/>
        </w:rPr>
      </w:pPr>
      <w:r>
        <w:rPr>
          <w:rFonts w:hAnsi="宋体"/>
          <w:bCs/>
          <w:color w:val="auto"/>
          <w:sz w:val="24"/>
          <w:highlight w:val="none"/>
        </w:rPr>
        <w:t>3.工程立项批准文号：</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w:t>
      </w:r>
      <w:r>
        <w:rPr>
          <w:rFonts w:hint="eastAsia" w:hAnsi="宋体"/>
          <w:color w:val="auto"/>
          <w:sz w:val="24"/>
          <w:highlight w:val="none"/>
          <w:u w:val="single"/>
        </w:rPr>
        <w:t xml:space="preserve">   </w:t>
      </w:r>
      <w:r>
        <w:rPr>
          <w:rFonts w:hAnsi="宋体"/>
          <w:bCs/>
          <w:color w:val="auto"/>
          <w:sz w:val="24"/>
          <w:highlight w:val="none"/>
        </w:rPr>
        <w:t>。</w:t>
      </w:r>
    </w:p>
    <w:p>
      <w:pPr>
        <w:spacing w:line="400" w:lineRule="exact"/>
        <w:ind w:firstLine="480" w:firstLineChars="200"/>
        <w:rPr>
          <w:rFonts w:hint="eastAsia" w:hAnsi="宋体"/>
          <w:bCs/>
          <w:color w:val="auto"/>
          <w:sz w:val="24"/>
          <w:highlight w:val="none"/>
        </w:rPr>
      </w:pPr>
      <w:r>
        <w:rPr>
          <w:rFonts w:hAnsi="宋体"/>
          <w:bCs/>
          <w:color w:val="auto"/>
          <w:sz w:val="24"/>
          <w:highlight w:val="none"/>
        </w:rPr>
        <w:t>4.资金来源：</w:t>
      </w:r>
      <w:r>
        <w:rPr>
          <w:rFonts w:hint="eastAsia" w:hAnsi="宋体"/>
          <w:color w:val="auto"/>
          <w:sz w:val="24"/>
          <w:highlight w:val="none"/>
          <w:u w:val="single"/>
          <w:lang w:val="en-US" w:eastAsia="zh-CN"/>
        </w:rPr>
        <w:t>财政拨款</w:t>
      </w:r>
      <w:r>
        <w:rPr>
          <w:rFonts w:hint="eastAsia" w:hAnsi="宋体"/>
          <w:color w:val="auto"/>
          <w:sz w:val="24"/>
          <w:highlight w:val="none"/>
          <w:u w:val="single"/>
        </w:rPr>
        <w:t>解决</w:t>
      </w:r>
      <w:r>
        <w:rPr>
          <w:rFonts w:hAnsi="宋体"/>
          <w:bCs/>
          <w:color w:val="auto"/>
          <w:sz w:val="24"/>
          <w:highlight w:val="none"/>
        </w:rPr>
        <w:t>。</w:t>
      </w:r>
    </w:p>
    <w:p>
      <w:pPr>
        <w:spacing w:line="400" w:lineRule="exact"/>
        <w:ind w:firstLine="480" w:firstLineChars="200"/>
        <w:jc w:val="left"/>
        <w:rPr>
          <w:rFonts w:hint="eastAsia" w:eastAsia="宋体"/>
          <w:b w:val="0"/>
          <w:bCs/>
          <w:color w:val="auto"/>
          <w:sz w:val="24"/>
          <w:highlight w:val="none"/>
          <w:u w:val="single"/>
          <w:lang w:eastAsia="zh-CN"/>
        </w:rPr>
      </w:pPr>
      <w:r>
        <w:rPr>
          <w:rFonts w:hint="eastAsia"/>
          <w:bCs/>
          <w:color w:val="auto"/>
          <w:sz w:val="24"/>
          <w:highlight w:val="none"/>
        </w:rPr>
        <w:t>5.工程内容：</w:t>
      </w:r>
      <w:r>
        <w:rPr>
          <w:rFonts w:hint="eastAsia"/>
          <w:b w:val="0"/>
          <w:bCs/>
          <w:color w:val="auto"/>
          <w:sz w:val="24"/>
          <w:highlight w:val="none"/>
          <w:u w:val="single"/>
          <w:lang w:eastAsia="zh-CN"/>
        </w:rPr>
        <w:t>杭州市临安区校园“安澜”工程，本工程主要包括临安中学、锦城一中、锦城二中、锦城三中、天目初中、青山初中、青云初中、衣锦小学等53座学校的绿化拓宽、新增铝合金窗户及节点铺装等</w:t>
      </w:r>
      <w:r>
        <w:rPr>
          <w:rFonts w:hint="eastAsia" w:hAnsi="宋体"/>
          <w:b w:val="0"/>
          <w:bCs/>
          <w:color w:val="auto"/>
          <w:sz w:val="24"/>
          <w:highlight w:val="none"/>
          <w:u w:val="single"/>
          <w:lang w:val="en-US" w:eastAsia="zh-CN"/>
        </w:rPr>
        <w:t>。</w:t>
      </w:r>
    </w:p>
    <w:p>
      <w:pPr>
        <w:spacing w:line="400" w:lineRule="exact"/>
        <w:ind w:firstLine="480" w:firstLineChars="200"/>
        <w:jc w:val="left"/>
        <w:rPr>
          <w:rFonts w:hint="eastAsia" w:hAnsi="宋体"/>
          <w:color w:val="auto"/>
          <w:sz w:val="24"/>
          <w:highlight w:val="none"/>
        </w:rPr>
      </w:pPr>
      <w:r>
        <w:rPr>
          <w:rFonts w:hint="eastAsia" w:hAnsi="宋体"/>
          <w:color w:val="auto"/>
          <w:sz w:val="24"/>
          <w:highlight w:val="none"/>
        </w:rPr>
        <w:t>群体工程应附《承包人承揽工程项目一览表》（附件1）。</w:t>
      </w:r>
    </w:p>
    <w:p>
      <w:pPr>
        <w:spacing w:line="400" w:lineRule="exact"/>
        <w:ind w:firstLine="480" w:firstLineChars="200"/>
        <w:rPr>
          <w:rFonts w:hint="eastAsia" w:hAnsi="宋体"/>
          <w:color w:val="auto"/>
          <w:sz w:val="24"/>
          <w:highlight w:val="none"/>
          <w:u w:val="single"/>
        </w:rPr>
      </w:pPr>
      <w:r>
        <w:rPr>
          <w:rFonts w:hint="eastAsia" w:hAnsi="宋体"/>
          <w:bCs/>
          <w:color w:val="auto"/>
          <w:sz w:val="24"/>
          <w:highlight w:val="none"/>
        </w:rPr>
        <w:t>6</w:t>
      </w:r>
      <w:r>
        <w:rPr>
          <w:rFonts w:hAnsi="宋体"/>
          <w:bCs/>
          <w:color w:val="auto"/>
          <w:sz w:val="24"/>
          <w:highlight w:val="none"/>
        </w:rPr>
        <w:t>.工程承包范围：</w:t>
      </w:r>
      <w:r>
        <w:rPr>
          <w:rFonts w:hint="eastAsia" w:hAnsi="宋体"/>
          <w:color w:val="auto"/>
          <w:sz w:val="24"/>
          <w:highlight w:val="none"/>
          <w:u w:val="single"/>
        </w:rPr>
        <w:t xml:space="preserve">招标文件、工程施工图中所包括的一切内容，工程量清单等已明确的工程内容，和本工程可能出现的因施工图修改引起的工程量增减以及招标人明确指令增加减少的工程量的施工。                                    </w:t>
      </w:r>
    </w:p>
    <w:p>
      <w:pPr>
        <w:spacing w:line="400" w:lineRule="exact"/>
        <w:ind w:firstLine="482" w:firstLineChars="200"/>
        <w:rPr>
          <w:rFonts w:hAnsi="宋体"/>
          <w:b/>
          <w:color w:val="auto"/>
          <w:sz w:val="24"/>
          <w:highlight w:val="none"/>
        </w:rPr>
      </w:pPr>
      <w:bookmarkStart w:id="408" w:name="_Toc351203482"/>
      <w:r>
        <w:rPr>
          <w:rFonts w:hAnsi="宋体"/>
          <w:b/>
          <w:color w:val="auto"/>
          <w:sz w:val="24"/>
          <w:highlight w:val="none"/>
        </w:rPr>
        <w:t>二、合同工期</w:t>
      </w:r>
      <w:bookmarkEnd w:id="408"/>
    </w:p>
    <w:p>
      <w:pPr>
        <w:spacing w:line="400" w:lineRule="exact"/>
        <w:ind w:firstLine="480" w:firstLineChars="200"/>
        <w:rPr>
          <w:rFonts w:hAnsi="宋体"/>
          <w:color w:val="auto"/>
          <w:sz w:val="24"/>
          <w:highlight w:val="none"/>
        </w:rPr>
      </w:pPr>
      <w:r>
        <w:rPr>
          <w:rFonts w:hAnsi="宋体"/>
          <w:color w:val="auto"/>
          <w:sz w:val="24"/>
          <w:highlight w:val="none"/>
        </w:rPr>
        <w:t>计划开工日期：</w:t>
      </w:r>
      <w:r>
        <w:rPr>
          <w:rFonts w:hint="eastAsia" w:hAnsi="宋体" w:cs="宋体"/>
          <w:color w:val="auto"/>
          <w:sz w:val="24"/>
          <w:highlight w:val="none"/>
          <w:u w:val="single"/>
        </w:rPr>
        <w:t></w:t>
      </w:r>
      <w:r>
        <w:rPr>
          <w:rFonts w:hAnsi="宋体"/>
          <w:color w:val="auto"/>
          <w:sz w:val="24"/>
          <w:highlight w:val="none"/>
        </w:rPr>
        <w:t>年</w:t>
      </w:r>
      <w:r>
        <w:rPr>
          <w:rFonts w:hint="eastAsia" w:hAnsi="宋体" w:cs="宋体"/>
          <w:color w:val="auto"/>
          <w:sz w:val="24"/>
          <w:highlight w:val="none"/>
          <w:u w:val="single"/>
        </w:rPr>
        <w:t></w:t>
      </w:r>
      <w:r>
        <w:rPr>
          <w:rFonts w:hAnsi="宋体"/>
          <w:color w:val="auto"/>
          <w:sz w:val="24"/>
          <w:highlight w:val="none"/>
        </w:rPr>
        <w:t>月</w:t>
      </w:r>
      <w:r>
        <w:rPr>
          <w:rFonts w:hint="eastAsia" w:hAnsi="宋体" w:cs="宋体"/>
          <w:color w:val="auto"/>
          <w:sz w:val="24"/>
          <w:highlight w:val="none"/>
          <w:u w:val="single"/>
        </w:rPr>
        <w:t></w:t>
      </w:r>
      <w:r>
        <w:rPr>
          <w:rFonts w:hAnsi="宋体"/>
          <w:color w:val="auto"/>
          <w:sz w:val="24"/>
          <w:highlight w:val="none"/>
        </w:rPr>
        <w:t>日。</w:t>
      </w:r>
    </w:p>
    <w:p>
      <w:pPr>
        <w:spacing w:line="400" w:lineRule="exact"/>
        <w:ind w:firstLine="480" w:firstLineChars="200"/>
        <w:rPr>
          <w:rFonts w:hAnsi="宋体"/>
          <w:color w:val="auto"/>
          <w:sz w:val="24"/>
          <w:highlight w:val="none"/>
        </w:rPr>
      </w:pPr>
      <w:r>
        <w:rPr>
          <w:rFonts w:hAnsi="宋体"/>
          <w:color w:val="auto"/>
          <w:sz w:val="24"/>
          <w:highlight w:val="none"/>
        </w:rPr>
        <w:t>计划竣工日期：</w:t>
      </w:r>
      <w:r>
        <w:rPr>
          <w:rFonts w:hint="eastAsia" w:hAnsi="宋体" w:cs="宋体"/>
          <w:color w:val="auto"/>
          <w:sz w:val="24"/>
          <w:highlight w:val="none"/>
          <w:u w:val="single"/>
        </w:rPr>
        <w:t></w:t>
      </w:r>
      <w:r>
        <w:rPr>
          <w:rFonts w:hAnsi="宋体"/>
          <w:color w:val="auto"/>
          <w:sz w:val="24"/>
          <w:highlight w:val="none"/>
        </w:rPr>
        <w:t>年</w:t>
      </w:r>
      <w:r>
        <w:rPr>
          <w:rFonts w:hint="eastAsia" w:hAnsi="宋体" w:cs="宋体"/>
          <w:color w:val="auto"/>
          <w:sz w:val="24"/>
          <w:highlight w:val="none"/>
          <w:u w:val="single"/>
        </w:rPr>
        <w:t></w:t>
      </w:r>
      <w:r>
        <w:rPr>
          <w:rFonts w:hAnsi="宋体"/>
          <w:color w:val="auto"/>
          <w:sz w:val="24"/>
          <w:highlight w:val="none"/>
        </w:rPr>
        <w:t>月</w:t>
      </w:r>
      <w:r>
        <w:rPr>
          <w:rFonts w:hint="eastAsia" w:hAnsi="宋体" w:cs="宋体"/>
          <w:color w:val="auto"/>
          <w:sz w:val="24"/>
          <w:highlight w:val="none"/>
          <w:u w:val="single"/>
        </w:rPr>
        <w:t></w:t>
      </w:r>
      <w:r>
        <w:rPr>
          <w:rFonts w:hAnsi="宋体"/>
          <w:color w:val="auto"/>
          <w:sz w:val="24"/>
          <w:highlight w:val="none"/>
        </w:rPr>
        <w:t>日。</w:t>
      </w:r>
    </w:p>
    <w:p>
      <w:pPr>
        <w:widowControl/>
        <w:spacing w:line="400" w:lineRule="exact"/>
        <w:ind w:firstLine="480" w:firstLineChars="200"/>
        <w:rPr>
          <w:rFonts w:hint="eastAsia" w:hAnsi="宋体"/>
          <w:color w:val="auto"/>
          <w:sz w:val="24"/>
          <w:highlight w:val="none"/>
        </w:rPr>
      </w:pPr>
      <w:r>
        <w:rPr>
          <w:rFonts w:hAnsi="宋体"/>
          <w:color w:val="auto"/>
          <w:sz w:val="24"/>
          <w:highlight w:val="none"/>
        </w:rPr>
        <w:t>工期总日历天数：</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hAnsi="宋体"/>
          <w:color w:val="auto"/>
          <w:sz w:val="24"/>
          <w:highlight w:val="none"/>
        </w:rPr>
        <w:t>日历天；</w:t>
      </w:r>
      <w:r>
        <w:rPr>
          <w:rFonts w:hint="eastAsia" w:ascii="宋体" w:hAnsi="宋体" w:cs="宋体"/>
          <w:color w:val="auto"/>
          <w:sz w:val="24"/>
          <w:highlight w:val="none"/>
          <w:lang w:val="en-US" w:eastAsia="zh-CN"/>
        </w:rPr>
        <w:t>必须在合同签订之日起至2022年7月31日前竣工并移交整个工程；</w:t>
      </w:r>
      <w:r>
        <w:rPr>
          <w:rFonts w:hint="eastAsia" w:hAnsi="宋体"/>
          <w:color w:val="auto"/>
          <w:sz w:val="24"/>
          <w:highlight w:val="none"/>
        </w:rPr>
        <w:t>缺陷责任期24个月，</w:t>
      </w:r>
      <w:r>
        <w:rPr>
          <w:rFonts w:hint="eastAsia" w:ascii="宋体" w:hAnsi="宋体" w:cs="宋体"/>
          <w:bCs/>
          <w:color w:val="auto"/>
          <w:sz w:val="24"/>
          <w:highlight w:val="none"/>
        </w:rPr>
        <w:t>质量保修期</w:t>
      </w:r>
      <w:r>
        <w:rPr>
          <w:rFonts w:hint="eastAsia" w:hAnsi="宋体"/>
          <w:color w:val="auto"/>
          <w:sz w:val="24"/>
          <w:highlight w:val="none"/>
        </w:rPr>
        <w:t>遵照质量保修书约定</w:t>
      </w:r>
      <w:r>
        <w:rPr>
          <w:rFonts w:hAnsi="宋体"/>
          <w:color w:val="auto"/>
          <w:sz w:val="24"/>
          <w:highlight w:val="none"/>
        </w:rPr>
        <w:t>。</w:t>
      </w:r>
      <w:r>
        <w:rPr>
          <w:rFonts w:hint="eastAsia" w:hAnsi="宋体"/>
          <w:color w:val="auto"/>
          <w:sz w:val="24"/>
          <w:highlight w:val="none"/>
        </w:rPr>
        <w:t>工期总日历天数与根据前述计划开竣工日期计</w:t>
      </w:r>
      <w:r>
        <w:rPr>
          <w:rFonts w:hAnsi="宋体"/>
          <w:color w:val="auto"/>
          <w:sz w:val="24"/>
          <w:highlight w:val="none"/>
        </w:rPr>
        <w:t>算的工期天数不一致的，以工期总日历天数为准。</w:t>
      </w:r>
    </w:p>
    <w:p>
      <w:pPr>
        <w:spacing w:line="400" w:lineRule="exact"/>
        <w:ind w:firstLine="482" w:firstLineChars="200"/>
        <w:rPr>
          <w:rFonts w:hint="eastAsia" w:hAnsi="宋体"/>
          <w:b/>
          <w:bCs/>
          <w:color w:val="auto"/>
          <w:sz w:val="24"/>
          <w:highlight w:val="none"/>
        </w:rPr>
      </w:pPr>
      <w:bookmarkStart w:id="409" w:name="_Toc351203483"/>
      <w:r>
        <w:rPr>
          <w:rFonts w:hAnsi="宋体"/>
          <w:b/>
          <w:color w:val="auto"/>
          <w:sz w:val="24"/>
          <w:highlight w:val="none"/>
        </w:rPr>
        <w:t>三、质量标准</w:t>
      </w:r>
      <w:bookmarkEnd w:id="409"/>
    </w:p>
    <w:p>
      <w:pPr>
        <w:spacing w:line="400" w:lineRule="exact"/>
        <w:ind w:firstLine="480" w:firstLineChars="200"/>
        <w:rPr>
          <w:rFonts w:hint="eastAsia" w:hAnsi="宋体"/>
          <w:b/>
          <w:bCs/>
          <w:color w:val="auto"/>
          <w:sz w:val="24"/>
          <w:highlight w:val="none"/>
        </w:rPr>
      </w:pPr>
      <w:r>
        <w:rPr>
          <w:rFonts w:hAnsi="宋体"/>
          <w:color w:val="auto"/>
          <w:sz w:val="24"/>
          <w:highlight w:val="none"/>
        </w:rPr>
        <w:t>工程质量符合</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国家工程质量验收的</w:t>
      </w:r>
      <w:r>
        <w:rPr>
          <w:rFonts w:hAnsi="宋体"/>
          <w:color w:val="auto"/>
          <w:sz w:val="24"/>
          <w:highlight w:val="none"/>
          <w:u w:val="single"/>
        </w:rPr>
        <w:t>合格</w:t>
      </w:r>
      <w:r>
        <w:rPr>
          <w:rFonts w:hint="eastAsia" w:hAnsi="宋体"/>
          <w:color w:val="auto"/>
          <w:sz w:val="24"/>
          <w:highlight w:val="none"/>
          <w:u w:val="single"/>
        </w:rPr>
        <w:t xml:space="preserve">  </w:t>
      </w:r>
      <w:r>
        <w:rPr>
          <w:rFonts w:hAnsi="宋体"/>
          <w:color w:val="auto"/>
          <w:sz w:val="24"/>
          <w:highlight w:val="none"/>
          <w:u w:val="single"/>
        </w:rPr>
        <w:t>标</w:t>
      </w:r>
      <w:r>
        <w:rPr>
          <w:rFonts w:hAnsi="宋体"/>
          <w:color w:val="auto"/>
          <w:sz w:val="24"/>
          <w:highlight w:val="none"/>
        </w:rPr>
        <w:t>准</w:t>
      </w:r>
      <w:r>
        <w:rPr>
          <w:rFonts w:hint="eastAsia" w:hAnsi="宋体"/>
          <w:color w:val="auto"/>
          <w:sz w:val="24"/>
          <w:highlight w:val="none"/>
        </w:rPr>
        <w:t>。</w:t>
      </w:r>
    </w:p>
    <w:p>
      <w:pPr>
        <w:widowControl/>
        <w:spacing w:line="400" w:lineRule="exact"/>
        <w:ind w:firstLine="480" w:firstLineChars="200"/>
        <w:outlineLvl w:val="3"/>
        <w:rPr>
          <w:rFonts w:hint="eastAsia" w:hAnsi="宋体"/>
          <w:bCs/>
          <w:color w:val="auto"/>
          <w:kern w:val="0"/>
          <w:sz w:val="24"/>
          <w:highlight w:val="none"/>
        </w:rPr>
      </w:pPr>
      <w:bookmarkStart w:id="410" w:name="_Toc351203484"/>
      <w:r>
        <w:rPr>
          <w:rFonts w:hint="eastAsia" w:hAnsi="宋体"/>
          <w:color w:val="auto"/>
          <w:kern w:val="0"/>
          <w:sz w:val="24"/>
          <w:highlight w:val="none"/>
        </w:rPr>
        <w:t>四、签约合同价与合同价格形式</w:t>
      </w:r>
      <w:bookmarkEnd w:id="410"/>
    </w:p>
    <w:p>
      <w:pPr>
        <w:widowControl/>
        <w:spacing w:line="400" w:lineRule="exact"/>
        <w:ind w:firstLine="464" w:firstLineChars="200"/>
        <w:rPr>
          <w:rFonts w:hint="eastAsia" w:hAnsi="宋体"/>
          <w:color w:val="auto"/>
          <w:spacing w:val="-4"/>
          <w:kern w:val="0"/>
          <w:sz w:val="24"/>
          <w:highlight w:val="none"/>
        </w:rPr>
      </w:pPr>
      <w:r>
        <w:rPr>
          <w:rFonts w:hint="eastAsia" w:hAnsi="宋体"/>
          <w:color w:val="auto"/>
          <w:spacing w:val="-4"/>
          <w:kern w:val="0"/>
          <w:sz w:val="24"/>
          <w:highlight w:val="none"/>
        </w:rPr>
        <w:t>1.签约合同价为：</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rPr>
        <w:t>人民币（大写）</w:t>
      </w:r>
      <w:r>
        <w:rPr>
          <w:rFonts w:hint="eastAsia" w:hAnsi="宋体"/>
          <w:color w:val="auto"/>
          <w:kern w:val="0"/>
          <w:sz w:val="24"/>
          <w:highlight w:val="none"/>
          <w:u w:val="single"/>
        </w:rPr>
        <w:t xml:space="preserve">    </w:t>
      </w:r>
      <w:r>
        <w:rPr>
          <w:rFonts w:hint="eastAsia" w:hAnsi="宋体" w:cs="宋体"/>
          <w:color w:val="auto"/>
          <w:kern w:val="0"/>
          <w:sz w:val="24"/>
          <w:highlight w:val="none"/>
          <w:u w:val="single"/>
        </w:rPr>
        <w:t xml:space="preserve">           </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int="eastAsia" w:hAnsi="宋体"/>
          <w:color w:val="auto"/>
          <w:kern w:val="0"/>
          <w:sz w:val="24"/>
          <w:highlight w:val="none"/>
          <w:u w:val="single"/>
        </w:rPr>
        <w:t xml:space="preserve">    </w:t>
      </w:r>
      <w:r>
        <w:rPr>
          <w:rFonts w:hint="eastAsia" w:hAnsi="宋体" w:cs="宋体"/>
          <w:color w:val="auto"/>
          <w:kern w:val="0"/>
          <w:sz w:val="24"/>
          <w:highlight w:val="none"/>
          <w:u w:val="single"/>
        </w:rPr>
        <w:t xml:space="preserve">      </w:t>
      </w:r>
      <w:r>
        <w:rPr>
          <w:rFonts w:hint="eastAsia" w:hAnsi="宋体"/>
          <w:color w:val="auto"/>
          <w:kern w:val="0"/>
          <w:sz w:val="24"/>
          <w:highlight w:val="none"/>
          <w:u w:val="single"/>
        </w:rPr>
        <w:t xml:space="preserve">  </w:t>
      </w:r>
      <w:r>
        <w:rPr>
          <w:rFonts w:hint="eastAsia" w:hAnsi="宋体"/>
          <w:color w:val="auto"/>
          <w:kern w:val="0"/>
          <w:sz w:val="24"/>
          <w:highlight w:val="none"/>
        </w:rPr>
        <w:t>元)；</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rPr>
        <w:t>其中：</w:t>
      </w:r>
    </w:p>
    <w:p>
      <w:pPr>
        <w:widowControl/>
        <w:spacing w:line="440" w:lineRule="exact"/>
        <w:ind w:firstLine="480" w:firstLineChars="200"/>
        <w:rPr>
          <w:rFonts w:hint="eastAsia" w:hAnsi="宋体"/>
          <w:color w:val="auto"/>
          <w:kern w:val="0"/>
          <w:sz w:val="24"/>
          <w:szCs w:val="24"/>
          <w:highlight w:val="none"/>
        </w:rPr>
      </w:pPr>
      <w:r>
        <w:rPr>
          <w:rFonts w:hint="eastAsia" w:hAnsi="宋体"/>
          <w:color w:val="auto"/>
          <w:kern w:val="0"/>
          <w:sz w:val="24"/>
          <w:szCs w:val="24"/>
          <w:highlight w:val="none"/>
        </w:rPr>
        <w:t>（1）安全文明施工费：</w:t>
      </w:r>
    </w:p>
    <w:p>
      <w:pPr>
        <w:widowControl/>
        <w:spacing w:line="420" w:lineRule="exact"/>
        <w:ind w:firstLine="720" w:firstLineChars="300"/>
        <w:rPr>
          <w:rFonts w:hint="eastAsia"/>
          <w:color w:val="auto"/>
          <w:sz w:val="24"/>
          <w:highlight w:val="none"/>
        </w:rPr>
      </w:pPr>
      <w:r>
        <w:rPr>
          <w:rFonts w:hint="eastAsia"/>
          <w:color w:val="auto"/>
          <w:sz w:val="24"/>
          <w:highlight w:val="none"/>
        </w:rPr>
        <w:t>人民币（大写）</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元)；</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（2）材料和工程设备暂估价金额：</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人民币（大写）</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元)；</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（3）专业工程暂估价金额：</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人民币（大写）</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元)；</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（4）暂列金额：</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人民币（大写）</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元)。</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rPr>
        <w:t>2.计税法（采用以下   条）</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lang w:eastAsia="zh-CN"/>
        </w:rPr>
        <w:t>☑</w:t>
      </w:r>
      <w:r>
        <w:rPr>
          <w:rFonts w:hint="eastAsia" w:hAnsi="宋体"/>
          <w:color w:val="auto"/>
          <w:kern w:val="0"/>
          <w:sz w:val="24"/>
          <w:highlight w:val="none"/>
        </w:rPr>
        <w:t>2.1本项目采用一般计税法。</w:t>
      </w:r>
    </w:p>
    <w:p>
      <w:pPr>
        <w:spacing w:line="400" w:lineRule="exact"/>
        <w:ind w:firstLine="480" w:firstLineChars="200"/>
        <w:rPr>
          <w:rFonts w:hAnsi="宋体"/>
          <w:color w:val="auto"/>
          <w:sz w:val="24"/>
          <w:highlight w:val="none"/>
        </w:rPr>
      </w:pPr>
      <w:r>
        <w:rPr>
          <w:rFonts w:hint="eastAsia" w:hAnsi="宋体"/>
          <w:color w:val="auto"/>
          <w:kern w:val="0"/>
          <w:sz w:val="24"/>
          <w:highlight w:val="none"/>
        </w:rPr>
        <w:t>3.合同价格形式：</w:t>
      </w:r>
      <w:r>
        <w:rPr>
          <w:rFonts w:hint="eastAsia" w:hAnsi="宋体" w:cs="宋体"/>
          <w:color w:val="auto"/>
          <w:sz w:val="24"/>
          <w:highlight w:val="none"/>
          <w:u w:val="single"/>
        </w:rPr>
        <w:t xml:space="preserve">    单价合同</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s="宋体"/>
          <w:color w:val="auto"/>
          <w:sz w:val="24"/>
          <w:highlight w:val="none"/>
          <w:u w:val="single"/>
        </w:rPr>
        <w:t></w:t>
      </w:r>
      <w:r>
        <w:rPr>
          <w:rFonts w:hAnsi="宋体"/>
          <w:color w:val="auto"/>
          <w:sz w:val="24"/>
          <w:highlight w:val="none"/>
        </w:rPr>
        <w:t>。</w:t>
      </w:r>
    </w:p>
    <w:p>
      <w:pPr>
        <w:spacing w:line="400" w:lineRule="exact"/>
        <w:ind w:firstLine="482" w:firstLineChars="200"/>
        <w:rPr>
          <w:rFonts w:hAnsi="宋体"/>
          <w:b/>
          <w:color w:val="auto"/>
          <w:sz w:val="24"/>
          <w:highlight w:val="none"/>
        </w:rPr>
      </w:pPr>
      <w:bookmarkStart w:id="411" w:name="_Toc351203485"/>
      <w:r>
        <w:rPr>
          <w:rFonts w:hAnsi="宋体"/>
          <w:b/>
          <w:color w:val="auto"/>
          <w:sz w:val="24"/>
          <w:highlight w:val="none"/>
        </w:rPr>
        <w:t>五、</w:t>
      </w:r>
      <w:bookmarkEnd w:id="411"/>
      <w:r>
        <w:rPr>
          <w:rFonts w:hAnsi="宋体"/>
          <w:b/>
          <w:color w:val="auto"/>
          <w:sz w:val="24"/>
          <w:highlight w:val="none"/>
        </w:rPr>
        <w:t>项目经理</w:t>
      </w:r>
    </w:p>
    <w:p>
      <w:pPr>
        <w:widowControl/>
        <w:spacing w:line="400" w:lineRule="exact"/>
        <w:ind w:firstLine="480" w:firstLineChars="200"/>
        <w:rPr>
          <w:rFonts w:hint="eastAsia" w:hAnsi="宋体"/>
          <w:color w:val="auto"/>
          <w:kern w:val="0"/>
          <w:sz w:val="24"/>
          <w:highlight w:val="none"/>
          <w:u w:val="single"/>
        </w:rPr>
      </w:pPr>
      <w:bookmarkStart w:id="412" w:name="_Toc351203486"/>
      <w:r>
        <w:rPr>
          <w:rFonts w:hint="eastAsia" w:hAnsi="宋体"/>
          <w:color w:val="auto"/>
          <w:kern w:val="0"/>
          <w:sz w:val="24"/>
          <w:highlight w:val="none"/>
        </w:rPr>
        <w:t>姓名</w:t>
      </w:r>
      <w:r>
        <w:rPr>
          <w:rFonts w:hAnsi="宋体"/>
          <w:color w:val="auto"/>
          <w:kern w:val="0"/>
          <w:sz w:val="24"/>
          <w:highlight w:val="none"/>
        </w:rPr>
        <w:t>______________</w:t>
      </w:r>
      <w:r>
        <w:rPr>
          <w:rFonts w:hint="eastAsia" w:hAnsi="宋体"/>
          <w:color w:val="auto"/>
          <w:kern w:val="0"/>
          <w:sz w:val="24"/>
          <w:highlight w:val="none"/>
        </w:rPr>
        <w:t>身份证号</w:t>
      </w:r>
      <w:r>
        <w:rPr>
          <w:rFonts w:hAnsi="宋体"/>
          <w:color w:val="auto"/>
          <w:kern w:val="0"/>
          <w:sz w:val="24"/>
          <w:highlight w:val="none"/>
        </w:rPr>
        <w:t>___________________</w:t>
      </w:r>
      <w:r>
        <w:rPr>
          <w:rFonts w:hint="eastAsia" w:hAnsi="宋体"/>
          <w:color w:val="auto"/>
          <w:kern w:val="0"/>
          <w:sz w:val="24"/>
          <w:highlight w:val="none"/>
        </w:rPr>
        <w:t>电话</w:t>
      </w:r>
      <w:r>
        <w:rPr>
          <w:rFonts w:hAnsi="宋体"/>
          <w:color w:val="auto"/>
          <w:kern w:val="0"/>
          <w:sz w:val="24"/>
          <w:highlight w:val="none"/>
        </w:rPr>
        <w:t>___________________</w:t>
      </w:r>
    </w:p>
    <w:p>
      <w:pPr>
        <w:widowControl/>
        <w:spacing w:line="400" w:lineRule="exact"/>
        <w:ind w:firstLine="480" w:firstLineChars="200"/>
        <w:rPr>
          <w:rFonts w:hAnsi="宋体"/>
          <w:color w:val="auto"/>
          <w:kern w:val="0"/>
          <w:sz w:val="24"/>
          <w:highlight w:val="none"/>
        </w:rPr>
      </w:pPr>
      <w:r>
        <w:rPr>
          <w:rFonts w:hint="eastAsia" w:hAnsi="宋体"/>
          <w:color w:val="auto"/>
          <w:kern w:val="0"/>
          <w:sz w:val="24"/>
          <w:highlight w:val="none"/>
        </w:rPr>
        <w:t>注册执业资格</w:t>
      </w:r>
      <w:r>
        <w:rPr>
          <w:rFonts w:hAnsi="宋体"/>
          <w:color w:val="auto"/>
          <w:kern w:val="0"/>
          <w:sz w:val="24"/>
          <w:highlight w:val="none"/>
        </w:rPr>
        <w:t>______________________</w:t>
      </w:r>
    </w:p>
    <w:p>
      <w:pPr>
        <w:widowControl/>
        <w:spacing w:line="400" w:lineRule="exact"/>
        <w:ind w:firstLine="480" w:firstLineChars="200"/>
        <w:rPr>
          <w:rFonts w:hAnsi="宋体"/>
          <w:color w:val="auto"/>
          <w:kern w:val="0"/>
          <w:sz w:val="24"/>
          <w:highlight w:val="none"/>
        </w:rPr>
      </w:pPr>
      <w:r>
        <w:rPr>
          <w:rFonts w:hint="eastAsia" w:hAnsi="宋体"/>
          <w:color w:val="auto"/>
          <w:kern w:val="0"/>
          <w:sz w:val="24"/>
          <w:highlight w:val="none"/>
        </w:rPr>
        <w:t>注册执业证号</w:t>
      </w:r>
      <w:r>
        <w:rPr>
          <w:rFonts w:hAnsi="宋体"/>
          <w:color w:val="auto"/>
          <w:kern w:val="0"/>
          <w:sz w:val="24"/>
          <w:highlight w:val="none"/>
        </w:rPr>
        <w:t>_______________________</w:t>
      </w:r>
    </w:p>
    <w:p>
      <w:pPr>
        <w:widowControl/>
        <w:spacing w:line="400" w:lineRule="exact"/>
        <w:ind w:firstLine="480" w:firstLineChars="200"/>
        <w:rPr>
          <w:rFonts w:hAnsi="宋体"/>
          <w:color w:val="auto"/>
          <w:kern w:val="0"/>
          <w:sz w:val="24"/>
          <w:highlight w:val="none"/>
        </w:rPr>
      </w:pPr>
      <w:r>
        <w:rPr>
          <w:rFonts w:hAnsi="宋体"/>
          <w:color w:val="auto"/>
          <w:kern w:val="0"/>
          <w:sz w:val="24"/>
          <w:highlight w:val="none"/>
        </w:rPr>
        <w:t>B</w:t>
      </w:r>
      <w:r>
        <w:rPr>
          <w:rFonts w:hint="eastAsia" w:hAnsi="宋体"/>
          <w:color w:val="auto"/>
          <w:kern w:val="0"/>
          <w:sz w:val="24"/>
          <w:highlight w:val="none"/>
        </w:rPr>
        <w:t>证执业证号</w:t>
      </w:r>
      <w:r>
        <w:rPr>
          <w:rFonts w:hAnsi="宋体"/>
          <w:color w:val="auto"/>
          <w:kern w:val="0"/>
          <w:sz w:val="24"/>
          <w:highlight w:val="none"/>
        </w:rPr>
        <w:t>_______________________</w:t>
      </w:r>
    </w:p>
    <w:p>
      <w:pPr>
        <w:spacing w:line="400" w:lineRule="exact"/>
        <w:ind w:firstLine="482" w:firstLineChars="200"/>
        <w:rPr>
          <w:rFonts w:hAnsi="宋体"/>
          <w:b/>
          <w:bCs/>
          <w:color w:val="auto"/>
          <w:sz w:val="24"/>
          <w:highlight w:val="none"/>
        </w:rPr>
      </w:pPr>
      <w:r>
        <w:rPr>
          <w:rFonts w:hAnsi="宋体"/>
          <w:b/>
          <w:color w:val="auto"/>
          <w:sz w:val="24"/>
          <w:highlight w:val="none"/>
        </w:rPr>
        <w:t>六、合同文件构成</w:t>
      </w:r>
      <w:bookmarkEnd w:id="412"/>
    </w:p>
    <w:p>
      <w:pPr>
        <w:spacing w:line="400" w:lineRule="exact"/>
        <w:ind w:firstLine="480" w:firstLineChars="200"/>
        <w:rPr>
          <w:rFonts w:hAnsi="宋体"/>
          <w:bCs/>
          <w:color w:val="auto"/>
          <w:sz w:val="24"/>
          <w:highlight w:val="none"/>
        </w:rPr>
      </w:pPr>
      <w:r>
        <w:rPr>
          <w:rFonts w:hAnsi="宋体"/>
          <w:bCs/>
          <w:color w:val="auto"/>
          <w:sz w:val="24"/>
          <w:highlight w:val="none"/>
        </w:rPr>
        <w:t>本协议书与下列文件一起构成合同文件：</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（1）中标通知书（如果有）；</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 xml:space="preserve">（2）投标函及其附录（如果有）； </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（3）专用合同条款及其附件；</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（4）通用合同条款；</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（5）技术标准和要求；</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（6）图纸；</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（7）已标价工程量清单或预算书；</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（8）其他合同文件。</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在合同订立及履行过程中形成的与合同有关的文件均构成合同文件组成部分。</w:t>
      </w:r>
    </w:p>
    <w:p>
      <w:pPr>
        <w:autoSpaceDE w:val="0"/>
        <w:autoSpaceDN w:val="0"/>
        <w:adjustRightInd w:val="0"/>
        <w:spacing w:line="400" w:lineRule="exact"/>
        <w:ind w:firstLine="464" w:firstLineChars="200"/>
        <w:rPr>
          <w:rFonts w:hint="eastAsia" w:hAnsi="宋体"/>
          <w:color w:val="auto"/>
          <w:spacing w:val="-4"/>
          <w:sz w:val="24"/>
          <w:highlight w:val="none"/>
        </w:rPr>
      </w:pPr>
      <w:r>
        <w:rPr>
          <w:rFonts w:hAnsi="宋体"/>
          <w:color w:val="auto"/>
          <w:spacing w:val="-4"/>
          <w:sz w:val="24"/>
          <w:highlight w:val="none"/>
        </w:rPr>
        <w:t>上述各项合同文件包括合同当事人就该项合同文件所作出的补充和修改，属于同一类内容的文件，应以最新签署的为准。</w:t>
      </w:r>
      <w:r>
        <w:rPr>
          <w:rFonts w:hint="eastAsia" w:hAnsi="宋体"/>
          <w:color w:val="auto"/>
          <w:spacing w:val="-4"/>
          <w:sz w:val="24"/>
          <w:highlight w:val="none"/>
        </w:rPr>
        <w:t>专用合同条款及其附件须经合同当事人签字或盖章。</w:t>
      </w:r>
    </w:p>
    <w:p>
      <w:pPr>
        <w:spacing w:line="400" w:lineRule="exact"/>
        <w:ind w:firstLine="482" w:firstLineChars="200"/>
        <w:rPr>
          <w:rFonts w:hAnsi="宋体"/>
          <w:b/>
          <w:bCs/>
          <w:color w:val="auto"/>
          <w:sz w:val="24"/>
          <w:highlight w:val="none"/>
        </w:rPr>
      </w:pPr>
      <w:bookmarkStart w:id="413" w:name="_Toc351203487"/>
      <w:r>
        <w:rPr>
          <w:rFonts w:hAnsi="宋体"/>
          <w:b/>
          <w:color w:val="auto"/>
          <w:sz w:val="24"/>
          <w:highlight w:val="none"/>
        </w:rPr>
        <w:t>七、承诺</w:t>
      </w:r>
      <w:bookmarkEnd w:id="413"/>
    </w:p>
    <w:p>
      <w:pPr>
        <w:spacing w:line="400" w:lineRule="exact"/>
        <w:ind w:firstLine="480" w:firstLineChars="200"/>
        <w:rPr>
          <w:rFonts w:hAnsi="宋体"/>
          <w:bCs/>
          <w:color w:val="auto"/>
          <w:sz w:val="24"/>
          <w:highlight w:val="none"/>
        </w:rPr>
      </w:pPr>
      <w:r>
        <w:rPr>
          <w:rFonts w:hAnsi="宋体"/>
          <w:bCs/>
          <w:color w:val="auto"/>
          <w:sz w:val="24"/>
          <w:highlight w:val="none"/>
        </w:rPr>
        <w:t>1.发包人承诺按照法律规定履行项目审批手续、筹集工程建设资金并按照合同约定的期限和方式支付合同价款。</w:t>
      </w:r>
    </w:p>
    <w:p>
      <w:pPr>
        <w:spacing w:line="400" w:lineRule="exact"/>
        <w:ind w:firstLine="480" w:firstLineChars="200"/>
        <w:rPr>
          <w:rFonts w:hAnsi="宋体"/>
          <w:bCs/>
          <w:color w:val="auto"/>
          <w:sz w:val="24"/>
          <w:highlight w:val="none"/>
        </w:rPr>
      </w:pPr>
      <w:r>
        <w:rPr>
          <w:rFonts w:hAnsi="宋体"/>
          <w:bCs/>
          <w:color w:val="auto"/>
          <w:sz w:val="24"/>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hAnsi="宋体"/>
          <w:bCs/>
          <w:color w:val="auto"/>
          <w:sz w:val="24"/>
          <w:highlight w:val="none"/>
        </w:rPr>
      </w:pPr>
      <w:r>
        <w:rPr>
          <w:rFonts w:hAnsi="宋体"/>
          <w:bCs/>
          <w:color w:val="auto"/>
          <w:sz w:val="24"/>
          <w:highlight w:val="none"/>
        </w:rPr>
        <w:t>3.发包人和承包人通过招投标形式签订合同的，双方理解并</w:t>
      </w:r>
      <w:r>
        <w:rPr>
          <w:rFonts w:hint="eastAsia" w:hAnsi="宋体"/>
          <w:bCs/>
          <w:color w:val="auto"/>
          <w:sz w:val="24"/>
          <w:highlight w:val="none"/>
        </w:rPr>
        <w:t>承诺</w:t>
      </w:r>
      <w:r>
        <w:rPr>
          <w:rFonts w:hAnsi="宋体"/>
          <w:bCs/>
          <w:color w:val="auto"/>
          <w:sz w:val="24"/>
          <w:highlight w:val="none"/>
        </w:rPr>
        <w:t>不再就同一工程另行签订与合同实质性内容相背离的协议。</w:t>
      </w:r>
    </w:p>
    <w:p>
      <w:pPr>
        <w:spacing w:line="400" w:lineRule="exact"/>
        <w:ind w:firstLine="482" w:firstLineChars="200"/>
        <w:rPr>
          <w:rFonts w:hAnsi="宋体"/>
          <w:bCs/>
          <w:color w:val="auto"/>
          <w:sz w:val="24"/>
          <w:highlight w:val="none"/>
        </w:rPr>
      </w:pPr>
      <w:bookmarkStart w:id="414" w:name="_Toc351203488"/>
      <w:r>
        <w:rPr>
          <w:rFonts w:hAnsi="宋体"/>
          <w:b/>
          <w:color w:val="auto"/>
          <w:sz w:val="24"/>
          <w:highlight w:val="none"/>
        </w:rPr>
        <w:t>八、词语含义</w:t>
      </w:r>
      <w:bookmarkEnd w:id="414"/>
    </w:p>
    <w:p>
      <w:pPr>
        <w:spacing w:line="400" w:lineRule="exact"/>
        <w:ind w:firstLine="480" w:firstLineChars="200"/>
        <w:rPr>
          <w:rFonts w:hAnsi="宋体"/>
          <w:bCs/>
          <w:color w:val="auto"/>
          <w:sz w:val="24"/>
          <w:highlight w:val="none"/>
        </w:rPr>
      </w:pPr>
      <w:r>
        <w:rPr>
          <w:rFonts w:hAnsi="宋体"/>
          <w:bCs/>
          <w:color w:val="auto"/>
          <w:sz w:val="24"/>
          <w:highlight w:val="none"/>
        </w:rPr>
        <w:t>本协议书中词语含义与第二部分通用合同条款中赋予的含义相同。</w:t>
      </w:r>
    </w:p>
    <w:p>
      <w:pPr>
        <w:spacing w:line="400" w:lineRule="exact"/>
        <w:ind w:firstLine="482" w:firstLineChars="200"/>
        <w:rPr>
          <w:rFonts w:hAnsi="宋体"/>
          <w:b/>
          <w:bCs/>
          <w:color w:val="auto"/>
          <w:sz w:val="24"/>
          <w:highlight w:val="none"/>
        </w:rPr>
      </w:pPr>
      <w:bookmarkStart w:id="415" w:name="_Toc351203489"/>
      <w:r>
        <w:rPr>
          <w:rFonts w:hAnsi="宋体"/>
          <w:b/>
          <w:color w:val="auto"/>
          <w:sz w:val="24"/>
          <w:highlight w:val="none"/>
        </w:rPr>
        <w:t>九、签订时间</w:t>
      </w:r>
      <w:bookmarkEnd w:id="415"/>
    </w:p>
    <w:p>
      <w:pPr>
        <w:spacing w:line="400" w:lineRule="exact"/>
        <w:ind w:firstLine="480" w:firstLineChars="200"/>
        <w:rPr>
          <w:rFonts w:hAnsi="宋体"/>
          <w:bCs/>
          <w:color w:val="auto"/>
          <w:sz w:val="24"/>
          <w:highlight w:val="none"/>
        </w:rPr>
      </w:pPr>
      <w:r>
        <w:rPr>
          <w:rFonts w:hAnsi="宋体"/>
          <w:bCs/>
          <w:color w:val="auto"/>
          <w:sz w:val="24"/>
          <w:highlight w:val="none"/>
        </w:rPr>
        <w:t>本合同于</w:t>
      </w:r>
      <w:r>
        <w:rPr>
          <w:rFonts w:hAnsi="宋体"/>
          <w:bCs/>
          <w:color w:val="auto"/>
          <w:sz w:val="24"/>
          <w:highlight w:val="none"/>
          <w:u w:val="single"/>
        </w:rPr>
        <w:t xml:space="preserve">         </w:t>
      </w:r>
      <w:r>
        <w:rPr>
          <w:rFonts w:hAnsi="宋体"/>
          <w:bCs/>
          <w:color w:val="auto"/>
          <w:sz w:val="24"/>
          <w:highlight w:val="none"/>
        </w:rPr>
        <w:t>年</w:t>
      </w:r>
      <w:r>
        <w:rPr>
          <w:rFonts w:hAnsi="宋体"/>
          <w:bCs/>
          <w:color w:val="auto"/>
          <w:sz w:val="24"/>
          <w:highlight w:val="none"/>
          <w:u w:val="single"/>
        </w:rPr>
        <w:t xml:space="preserve">    </w:t>
      </w:r>
      <w:r>
        <w:rPr>
          <w:rFonts w:hAnsi="宋体"/>
          <w:bCs/>
          <w:color w:val="auto"/>
          <w:sz w:val="24"/>
          <w:highlight w:val="none"/>
        </w:rPr>
        <w:t>月</w:t>
      </w:r>
      <w:r>
        <w:rPr>
          <w:rFonts w:hAnsi="宋体"/>
          <w:bCs/>
          <w:color w:val="auto"/>
          <w:sz w:val="24"/>
          <w:highlight w:val="none"/>
          <w:u w:val="single"/>
        </w:rPr>
        <w:t xml:space="preserve">    </w:t>
      </w:r>
      <w:r>
        <w:rPr>
          <w:rFonts w:hAnsi="宋体"/>
          <w:bCs/>
          <w:color w:val="auto"/>
          <w:sz w:val="24"/>
          <w:highlight w:val="none"/>
        </w:rPr>
        <w:t>日签订。</w:t>
      </w:r>
    </w:p>
    <w:p>
      <w:pPr>
        <w:spacing w:line="400" w:lineRule="exact"/>
        <w:ind w:firstLine="482" w:firstLineChars="200"/>
        <w:rPr>
          <w:rFonts w:hAnsi="宋体"/>
          <w:b/>
          <w:bCs/>
          <w:color w:val="auto"/>
          <w:sz w:val="24"/>
          <w:highlight w:val="none"/>
        </w:rPr>
      </w:pPr>
      <w:bookmarkStart w:id="416" w:name="_Toc351203490"/>
      <w:r>
        <w:rPr>
          <w:rFonts w:hAnsi="宋体"/>
          <w:b/>
          <w:color w:val="auto"/>
          <w:sz w:val="24"/>
          <w:highlight w:val="none"/>
        </w:rPr>
        <w:t>十、签订地点</w:t>
      </w:r>
      <w:bookmarkEnd w:id="416"/>
    </w:p>
    <w:p>
      <w:pPr>
        <w:spacing w:line="400" w:lineRule="exact"/>
        <w:ind w:firstLine="480" w:firstLineChars="200"/>
        <w:rPr>
          <w:rFonts w:hAnsi="宋体"/>
          <w:bCs/>
          <w:color w:val="auto"/>
          <w:sz w:val="24"/>
          <w:highlight w:val="none"/>
        </w:rPr>
      </w:pPr>
      <w:r>
        <w:rPr>
          <w:rFonts w:hAnsi="宋体"/>
          <w:bCs/>
          <w:color w:val="auto"/>
          <w:sz w:val="24"/>
          <w:highlight w:val="none"/>
        </w:rPr>
        <w:t>本合同在</w:t>
      </w:r>
      <w:r>
        <w:rPr>
          <w:rFonts w:hAnsi="宋体"/>
          <w:bCs/>
          <w:color w:val="auto"/>
          <w:sz w:val="24"/>
          <w:highlight w:val="none"/>
          <w:u w:val="single"/>
        </w:rPr>
        <w:t xml:space="preserve">                                    </w:t>
      </w:r>
      <w:r>
        <w:rPr>
          <w:rFonts w:hAnsi="宋体"/>
          <w:bCs/>
          <w:color w:val="auto"/>
          <w:sz w:val="24"/>
          <w:highlight w:val="none"/>
        </w:rPr>
        <w:t>签订。</w:t>
      </w:r>
    </w:p>
    <w:p>
      <w:pPr>
        <w:spacing w:line="400" w:lineRule="exact"/>
        <w:ind w:firstLine="482" w:firstLineChars="200"/>
        <w:rPr>
          <w:rFonts w:hAnsi="宋体"/>
          <w:b/>
          <w:bCs/>
          <w:color w:val="auto"/>
          <w:sz w:val="24"/>
          <w:highlight w:val="none"/>
        </w:rPr>
      </w:pPr>
      <w:bookmarkStart w:id="417" w:name="_Toc351203491"/>
      <w:r>
        <w:rPr>
          <w:rFonts w:hAnsi="宋体"/>
          <w:b/>
          <w:color w:val="auto"/>
          <w:sz w:val="24"/>
          <w:highlight w:val="none"/>
        </w:rPr>
        <w:t>十一、补充协议</w:t>
      </w:r>
      <w:bookmarkEnd w:id="417"/>
    </w:p>
    <w:p>
      <w:pPr>
        <w:spacing w:line="400" w:lineRule="exact"/>
        <w:ind w:firstLine="480" w:firstLineChars="200"/>
        <w:rPr>
          <w:rFonts w:hAnsi="宋体"/>
          <w:b/>
          <w:bCs/>
          <w:color w:val="auto"/>
          <w:sz w:val="24"/>
          <w:highlight w:val="none"/>
        </w:rPr>
      </w:pPr>
      <w:r>
        <w:rPr>
          <w:rFonts w:hAnsi="宋体"/>
          <w:bCs/>
          <w:color w:val="auto"/>
          <w:sz w:val="24"/>
          <w:highlight w:val="none"/>
        </w:rPr>
        <w:t>合同未尽事宜，合同当事人另行签订补充协议</w:t>
      </w:r>
      <w:r>
        <w:rPr>
          <w:rFonts w:hint="eastAsia" w:hAnsi="宋体"/>
          <w:bCs/>
          <w:color w:val="auto"/>
          <w:sz w:val="24"/>
          <w:highlight w:val="none"/>
        </w:rPr>
        <w:t>，</w:t>
      </w:r>
      <w:r>
        <w:rPr>
          <w:rFonts w:hAnsi="宋体"/>
          <w:bCs/>
          <w:color w:val="auto"/>
          <w:sz w:val="24"/>
          <w:highlight w:val="none"/>
        </w:rPr>
        <w:t>补充协议是合同的组成部分。</w:t>
      </w:r>
    </w:p>
    <w:p>
      <w:pPr>
        <w:spacing w:line="400" w:lineRule="exact"/>
        <w:ind w:firstLine="482" w:firstLineChars="200"/>
        <w:rPr>
          <w:rFonts w:hAnsi="宋体"/>
          <w:b/>
          <w:bCs/>
          <w:color w:val="auto"/>
          <w:sz w:val="24"/>
          <w:highlight w:val="none"/>
        </w:rPr>
      </w:pPr>
      <w:bookmarkStart w:id="418" w:name="_Toc351203492"/>
      <w:r>
        <w:rPr>
          <w:rFonts w:hAnsi="宋体"/>
          <w:b/>
          <w:color w:val="auto"/>
          <w:sz w:val="24"/>
          <w:highlight w:val="none"/>
        </w:rPr>
        <w:t>十二、合同生效</w:t>
      </w:r>
      <w:bookmarkEnd w:id="418"/>
    </w:p>
    <w:p>
      <w:pPr>
        <w:spacing w:line="400" w:lineRule="exact"/>
        <w:ind w:firstLine="480" w:firstLineChars="200"/>
        <w:rPr>
          <w:rFonts w:hAnsi="宋体"/>
          <w:bCs/>
          <w:color w:val="auto"/>
          <w:sz w:val="24"/>
          <w:highlight w:val="none"/>
        </w:rPr>
      </w:pPr>
      <w:r>
        <w:rPr>
          <w:rFonts w:hAnsi="宋体"/>
          <w:bCs/>
          <w:color w:val="auto"/>
          <w:sz w:val="24"/>
          <w:highlight w:val="none"/>
        </w:rPr>
        <w:t>本合同自</w:t>
      </w:r>
      <w:r>
        <w:rPr>
          <w:rFonts w:hAnsi="宋体"/>
          <w:bCs/>
          <w:color w:val="auto"/>
          <w:sz w:val="24"/>
          <w:highlight w:val="none"/>
          <w:u w:val="single"/>
        </w:rPr>
        <w:t xml:space="preserve">                                   </w:t>
      </w:r>
      <w:r>
        <w:rPr>
          <w:rFonts w:hAnsi="宋体"/>
          <w:bCs/>
          <w:color w:val="auto"/>
          <w:sz w:val="24"/>
          <w:highlight w:val="none"/>
        </w:rPr>
        <w:t>生效。</w:t>
      </w:r>
    </w:p>
    <w:p>
      <w:pPr>
        <w:spacing w:line="400" w:lineRule="exact"/>
        <w:ind w:firstLine="482" w:firstLineChars="200"/>
        <w:rPr>
          <w:rFonts w:hAnsi="宋体"/>
          <w:b/>
          <w:bCs/>
          <w:color w:val="auto"/>
          <w:sz w:val="24"/>
          <w:highlight w:val="none"/>
        </w:rPr>
      </w:pPr>
      <w:bookmarkStart w:id="419" w:name="_Toc351203493"/>
      <w:r>
        <w:rPr>
          <w:rFonts w:hAnsi="宋体"/>
          <w:b/>
          <w:color w:val="auto"/>
          <w:sz w:val="24"/>
          <w:highlight w:val="none"/>
        </w:rPr>
        <w:t>十三、合同份数</w:t>
      </w:r>
      <w:bookmarkEnd w:id="419"/>
    </w:p>
    <w:p>
      <w:pPr>
        <w:spacing w:line="400" w:lineRule="exact"/>
        <w:ind w:firstLine="480" w:firstLineChars="200"/>
        <w:rPr>
          <w:rFonts w:hAnsi="宋体"/>
          <w:bCs/>
          <w:color w:val="auto"/>
          <w:sz w:val="24"/>
          <w:highlight w:val="none"/>
        </w:rPr>
      </w:pPr>
      <w:r>
        <w:rPr>
          <w:rFonts w:hAnsi="宋体"/>
          <w:bCs/>
          <w:color w:val="auto"/>
          <w:sz w:val="24"/>
          <w:highlight w:val="none"/>
        </w:rPr>
        <w:t>本合同一式</w:t>
      </w:r>
      <w:r>
        <w:rPr>
          <w:rFonts w:hAnsi="宋体"/>
          <w:bCs/>
          <w:color w:val="auto"/>
          <w:sz w:val="24"/>
          <w:highlight w:val="none"/>
          <w:u w:val="single"/>
        </w:rPr>
        <w:t xml:space="preserve"> </w:t>
      </w:r>
      <w:r>
        <w:rPr>
          <w:rFonts w:hint="eastAsia" w:hAnsi="宋体"/>
          <w:bCs/>
          <w:color w:val="auto"/>
          <w:sz w:val="24"/>
          <w:highlight w:val="none"/>
          <w:u w:val="single"/>
        </w:rPr>
        <w:t>8</w:t>
      </w:r>
      <w:r>
        <w:rPr>
          <w:rFonts w:hAnsi="宋体"/>
          <w:bCs/>
          <w:color w:val="auto"/>
          <w:sz w:val="24"/>
          <w:highlight w:val="none"/>
          <w:u w:val="single"/>
        </w:rPr>
        <w:t xml:space="preserve"> </w:t>
      </w:r>
      <w:r>
        <w:rPr>
          <w:rFonts w:hAnsi="宋体"/>
          <w:bCs/>
          <w:color w:val="auto"/>
          <w:sz w:val="24"/>
          <w:highlight w:val="none"/>
        </w:rPr>
        <w:t>份，均具有同等法律效力，发包人执</w:t>
      </w:r>
      <w:r>
        <w:rPr>
          <w:rFonts w:hAnsi="宋体"/>
          <w:bCs/>
          <w:color w:val="auto"/>
          <w:sz w:val="24"/>
          <w:highlight w:val="none"/>
          <w:u w:val="single"/>
        </w:rPr>
        <w:t xml:space="preserve"> </w:t>
      </w:r>
      <w:r>
        <w:rPr>
          <w:rFonts w:hint="eastAsia" w:hAnsi="宋体"/>
          <w:bCs/>
          <w:color w:val="auto"/>
          <w:sz w:val="24"/>
          <w:highlight w:val="none"/>
          <w:u w:val="single"/>
        </w:rPr>
        <w:t>6</w:t>
      </w:r>
      <w:r>
        <w:rPr>
          <w:rFonts w:hAnsi="宋体"/>
          <w:bCs/>
          <w:color w:val="auto"/>
          <w:sz w:val="24"/>
          <w:highlight w:val="none"/>
          <w:u w:val="single"/>
        </w:rPr>
        <w:t xml:space="preserve"> </w:t>
      </w:r>
      <w:r>
        <w:rPr>
          <w:rFonts w:hAnsi="宋体"/>
          <w:bCs/>
          <w:color w:val="auto"/>
          <w:sz w:val="24"/>
          <w:highlight w:val="none"/>
        </w:rPr>
        <w:t>份，承包人执</w:t>
      </w:r>
      <w:r>
        <w:rPr>
          <w:rFonts w:hAnsi="宋体"/>
          <w:bCs/>
          <w:color w:val="auto"/>
          <w:sz w:val="24"/>
          <w:highlight w:val="none"/>
          <w:u w:val="single"/>
        </w:rPr>
        <w:t xml:space="preserve"> </w:t>
      </w:r>
      <w:r>
        <w:rPr>
          <w:rFonts w:hint="eastAsia" w:hAnsi="宋体"/>
          <w:bCs/>
          <w:color w:val="auto"/>
          <w:sz w:val="24"/>
          <w:highlight w:val="none"/>
          <w:u w:val="single"/>
        </w:rPr>
        <w:t>2</w:t>
      </w:r>
      <w:r>
        <w:rPr>
          <w:rFonts w:hAnsi="宋体"/>
          <w:bCs/>
          <w:color w:val="auto"/>
          <w:sz w:val="24"/>
          <w:highlight w:val="none"/>
          <w:u w:val="single"/>
        </w:rPr>
        <w:t xml:space="preserve"> </w:t>
      </w:r>
      <w:r>
        <w:rPr>
          <w:rFonts w:hAnsi="宋体"/>
          <w:bCs/>
          <w:color w:val="auto"/>
          <w:sz w:val="24"/>
          <w:highlight w:val="none"/>
        </w:rPr>
        <w:t>份。</w:t>
      </w:r>
    </w:p>
    <w:p>
      <w:pPr>
        <w:spacing w:line="400" w:lineRule="exact"/>
        <w:ind w:firstLine="480" w:firstLineChars="200"/>
        <w:rPr>
          <w:rFonts w:hint="eastAsia" w:hAnsi="宋体"/>
          <w:color w:val="auto"/>
          <w:sz w:val="24"/>
          <w:highlight w:val="none"/>
        </w:rPr>
      </w:pPr>
      <w:r>
        <w:rPr>
          <w:rFonts w:hAnsi="宋体"/>
          <w:color w:val="auto"/>
          <w:sz w:val="24"/>
          <w:highlight w:val="none"/>
        </w:rPr>
        <w:t>发包人</w:t>
      </w:r>
      <w:r>
        <w:rPr>
          <w:rFonts w:hint="eastAsia" w:hAnsi="宋体"/>
          <w:color w:val="auto"/>
          <w:sz w:val="24"/>
          <w:highlight w:val="none"/>
        </w:rPr>
        <w:t xml:space="preserve">：  </w:t>
      </w:r>
      <w:r>
        <w:rPr>
          <w:rFonts w:hAnsi="宋体"/>
          <w:color w:val="auto"/>
          <w:sz w:val="24"/>
          <w:highlight w:val="none"/>
        </w:rPr>
        <w:t>(公章)</w:t>
      </w:r>
      <w:r>
        <w:rPr>
          <w:rFonts w:hint="eastAsia" w:hAnsi="宋体"/>
          <w:color w:val="auto"/>
          <w:sz w:val="24"/>
          <w:highlight w:val="none"/>
        </w:rPr>
        <w:t xml:space="preserve">            </w:t>
      </w:r>
      <w:r>
        <w:rPr>
          <w:rFonts w:hAnsi="宋体"/>
          <w:color w:val="auto"/>
          <w:sz w:val="24"/>
          <w:highlight w:val="none"/>
        </w:rPr>
        <w:t>承包人</w:t>
      </w:r>
      <w:r>
        <w:rPr>
          <w:rFonts w:hint="eastAsia" w:hAnsi="宋体"/>
          <w:color w:val="auto"/>
          <w:sz w:val="24"/>
          <w:highlight w:val="none"/>
        </w:rPr>
        <w:t xml:space="preserve">：  </w:t>
      </w:r>
      <w:r>
        <w:rPr>
          <w:rFonts w:hAnsi="宋体"/>
          <w:color w:val="auto"/>
          <w:sz w:val="24"/>
          <w:highlight w:val="none"/>
        </w:rPr>
        <w:t>(公章)</w:t>
      </w:r>
    </w:p>
    <w:p>
      <w:pPr>
        <w:spacing w:line="400" w:lineRule="exact"/>
        <w:ind w:firstLine="480" w:firstLineChars="200"/>
        <w:rPr>
          <w:rFonts w:hint="eastAsia" w:hAnsi="宋体"/>
          <w:color w:val="auto"/>
          <w:sz w:val="24"/>
          <w:highlight w:val="none"/>
        </w:rPr>
      </w:pPr>
      <w:r>
        <w:rPr>
          <w:rFonts w:hint="eastAsia" w:hAnsi="宋体"/>
          <w:color w:val="auto"/>
          <w:sz w:val="24"/>
          <w:highlight w:val="none"/>
        </w:rPr>
        <w:t xml:space="preserve">法定代表人或其委托代理人：（签字）   法定代表人或其委托代理人：（签字）                </w:t>
      </w:r>
    </w:p>
    <w:p>
      <w:pPr>
        <w:tabs>
          <w:tab w:val="left" w:pos="4410"/>
        </w:tabs>
        <w:spacing w:line="400" w:lineRule="exact"/>
        <w:ind w:firstLine="480" w:firstLineChars="200"/>
        <w:rPr>
          <w:rFonts w:hAnsi="宋体"/>
          <w:color w:val="auto"/>
          <w:sz w:val="24"/>
          <w:highlight w:val="none"/>
        </w:rPr>
      </w:pPr>
      <w:r>
        <w:rPr>
          <w:rFonts w:hint="eastAsia" w:hAnsi="宋体"/>
          <w:color w:val="auto"/>
          <w:sz w:val="24"/>
          <w:highlight w:val="none"/>
        </w:rPr>
        <w:t>组织机构代码：</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组织机构代码：</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地  址：</w:t>
      </w:r>
      <w:r>
        <w:rPr>
          <w:rFonts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rPr>
        <w:t xml:space="preserve">  </w:t>
      </w:r>
      <w:r>
        <w:rPr>
          <w:rFonts w:hAnsi="宋体"/>
          <w:color w:val="auto"/>
          <w:sz w:val="24"/>
          <w:highlight w:val="none"/>
        </w:rPr>
        <w:t>地  址：</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邮政编码：</w:t>
      </w:r>
      <w:r>
        <w:rPr>
          <w:rFonts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邮政编码：</w:t>
      </w:r>
      <w:r>
        <w:rPr>
          <w:rFonts w:hint="eastAsia" w:hAnsi="宋体" w:cs="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法定代表人：</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法定代表人：</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委托代理人：</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委托代理人：</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电  话：</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电  话：</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传  真：</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传  真：</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电子信箱：</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电子信箱：</w:t>
      </w:r>
      <w:r>
        <w:rPr>
          <w:rFonts w:hint="eastAsia" w:hAnsi="宋体" w:cs="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开户银行：</w:t>
      </w:r>
      <w:r>
        <w:rPr>
          <w:rFonts w:hint="eastAsia" w:hAnsi="宋体" w:cs="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开户银行：</w:t>
      </w:r>
      <w:r>
        <w:rPr>
          <w:rFonts w:hint="eastAsia" w:hAnsi="宋体" w:cs="宋体"/>
          <w:color w:val="auto"/>
          <w:sz w:val="24"/>
          <w:highlight w:val="none"/>
          <w:u w:val="single"/>
        </w:rPr>
        <w:t xml:space="preserve">   </w:t>
      </w:r>
    </w:p>
    <w:p>
      <w:pPr>
        <w:spacing w:line="400" w:lineRule="exact"/>
        <w:ind w:firstLine="480" w:firstLineChars="200"/>
        <w:rPr>
          <w:rFonts w:hint="eastAsia" w:hAnsi="宋体"/>
          <w:color w:val="auto"/>
          <w:sz w:val="24"/>
          <w:highlight w:val="none"/>
          <w:u w:val="single"/>
        </w:rPr>
      </w:pPr>
      <w:r>
        <w:rPr>
          <w:rFonts w:hAnsi="宋体"/>
          <w:color w:val="auto"/>
          <w:sz w:val="24"/>
          <w:highlight w:val="none"/>
        </w:rPr>
        <w:t>账  号：</w:t>
      </w:r>
      <w:r>
        <w:rPr>
          <w:rFonts w:hint="eastAsia" w:hAnsi="宋体" w:cs="宋体"/>
          <w:color w:val="auto"/>
          <w:sz w:val="24"/>
          <w:highlight w:val="none"/>
          <w:u w:val="single"/>
        </w:rPr>
        <w:t xml:space="preserve">       </w:t>
      </w:r>
      <w:r>
        <w:rPr>
          <w:rFonts w:hint="eastAsia" w:hAnsi="宋体"/>
          <w:color w:val="auto"/>
          <w:sz w:val="24"/>
          <w:highlight w:val="none"/>
        </w:rPr>
        <w:t xml:space="preserve">  </w:t>
      </w:r>
      <w:r>
        <w:rPr>
          <w:rFonts w:hAnsi="宋体"/>
          <w:color w:val="auto"/>
          <w:sz w:val="24"/>
          <w:highlight w:val="none"/>
        </w:rPr>
        <w:t>账</w:t>
      </w:r>
      <w:r>
        <w:rPr>
          <w:rFonts w:hint="eastAsia" w:hAnsi="宋体"/>
          <w:color w:val="auto"/>
          <w:sz w:val="24"/>
          <w:highlight w:val="none"/>
        </w:rPr>
        <w:t xml:space="preserve"> </w:t>
      </w:r>
      <w:r>
        <w:rPr>
          <w:rFonts w:hAnsi="宋体"/>
          <w:color w:val="auto"/>
          <w:sz w:val="24"/>
          <w:highlight w:val="none"/>
        </w:rPr>
        <w:t xml:space="preserve"> 号：</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pPr>
        <w:pStyle w:val="952"/>
        <w:tabs>
          <w:tab w:val="left" w:pos="3780"/>
        </w:tabs>
        <w:spacing w:before="0" w:after="0" w:line="400" w:lineRule="exact"/>
        <w:ind w:left="0" w:right="0" w:firstLine="482" w:firstLineChars="200"/>
        <w:jc w:val="both"/>
        <w:rPr>
          <w:rFonts w:hint="eastAsia" w:hAnsi="宋体" w:cs="宋体"/>
          <w:b/>
          <w:bCs/>
          <w:color w:val="auto"/>
          <w:szCs w:val="24"/>
          <w:highlight w:val="none"/>
        </w:rPr>
      </w:pPr>
      <w:r>
        <w:rPr>
          <w:rFonts w:hint="eastAsia" w:hAnsi="宋体" w:cs="宋体"/>
          <w:b/>
          <w:bCs/>
          <w:color w:val="auto"/>
          <w:szCs w:val="24"/>
          <w:highlight w:val="none"/>
        </w:rPr>
        <w:t xml:space="preserve">               </w:t>
      </w:r>
    </w:p>
    <w:p>
      <w:pPr>
        <w:pStyle w:val="952"/>
        <w:tabs>
          <w:tab w:val="left" w:pos="3780"/>
        </w:tabs>
        <w:spacing w:before="0" w:after="0" w:line="440" w:lineRule="exact"/>
        <w:ind w:left="0" w:right="0"/>
        <w:jc w:val="cente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pStyle w:val="952"/>
        <w:numPr>
          <w:ilvl w:val="0"/>
          <w:numId w:val="0"/>
        </w:numPr>
        <w:tabs>
          <w:tab w:val="left" w:pos="3780"/>
        </w:tabs>
        <w:spacing w:before="0" w:after="0" w:line="440" w:lineRule="exact"/>
        <w:ind w:right="0" w:rightChars="0"/>
        <w:jc w:val="center"/>
        <w:rPr>
          <w:rFonts w:hint="eastAsia" w:hAnsi="宋体"/>
          <w:color w:val="auto"/>
          <w:sz w:val="32"/>
          <w:szCs w:val="32"/>
          <w:highlight w:val="none"/>
        </w:rPr>
      </w:pPr>
      <w:r>
        <w:rPr>
          <w:rFonts w:hint="eastAsia" w:ascii="宋体" w:hAnsi="宋体"/>
          <w:b/>
          <w:color w:val="auto"/>
          <w:sz w:val="32"/>
          <w:szCs w:val="32"/>
          <w:highlight w:val="none"/>
          <w:lang w:val="en-US" w:eastAsia="zh-CN"/>
        </w:rPr>
        <w:t xml:space="preserve">第二部分  </w:t>
      </w:r>
      <w:r>
        <w:rPr>
          <w:rFonts w:hint="eastAsia" w:ascii="宋体" w:hAnsi="宋体"/>
          <w:b/>
          <w:color w:val="auto"/>
          <w:sz w:val="32"/>
          <w:szCs w:val="32"/>
          <w:highlight w:val="none"/>
        </w:rPr>
        <w:t>通用条款</w:t>
      </w:r>
      <w:r>
        <w:rPr>
          <w:rFonts w:hint="eastAsia" w:hAnsi="宋体"/>
          <w:color w:val="auto"/>
          <w:sz w:val="32"/>
          <w:szCs w:val="32"/>
          <w:highlight w:val="none"/>
        </w:rPr>
        <w:t>（略）</w:t>
      </w:r>
    </w:p>
    <w:p>
      <w:pPr>
        <w:spacing w:line="420" w:lineRule="exact"/>
        <w:jc w:val="center"/>
        <w:rPr>
          <w:rFonts w:hint="eastAsia" w:hAnsi="宋体" w:cs="宋体"/>
          <w:b/>
          <w:color w:val="auto"/>
          <w:szCs w:val="28"/>
          <w:highlight w:val="none"/>
        </w:rPr>
      </w:pPr>
      <w:r>
        <w:rPr>
          <w:rFonts w:hint="eastAsia" w:hAnsi="宋体" w:cs="宋体"/>
          <w:b/>
          <w:color w:val="auto"/>
          <w:szCs w:val="28"/>
          <w:highlight w:val="none"/>
        </w:rPr>
        <w:t>采用《建设工程施工合同（示范文本）》（GF—2017—0201）列明的通用条款。</w:t>
      </w:r>
    </w:p>
    <w:p>
      <w:pPr>
        <w:pStyle w:val="8"/>
        <w:spacing w:line="440" w:lineRule="exact"/>
        <w:jc w:val="center"/>
        <w:rPr>
          <w:rFonts w:hint="eastAsia" w:hAnsi="宋体"/>
          <w:b w:val="0"/>
          <w:color w:val="auto"/>
          <w:highlight w:val="none"/>
        </w:rPr>
      </w:pPr>
      <w:r>
        <w:rPr>
          <w:rFonts w:hAnsi="宋体"/>
          <w:b w:val="0"/>
          <w:color w:val="auto"/>
          <w:highlight w:val="none"/>
        </w:rPr>
        <w:t xml:space="preserve">第三部分 </w:t>
      </w:r>
      <w:r>
        <w:rPr>
          <w:rFonts w:hint="eastAsia" w:hAnsi="宋体"/>
          <w:b w:val="0"/>
          <w:color w:val="auto"/>
          <w:highlight w:val="none"/>
        </w:rPr>
        <w:t>专用合同条款</w:t>
      </w:r>
    </w:p>
    <w:p>
      <w:pPr>
        <w:spacing w:line="440" w:lineRule="exact"/>
        <w:ind w:firstLine="480" w:firstLineChars="200"/>
        <w:rPr>
          <w:rFonts w:hAnsi="宋体"/>
          <w:color w:val="auto"/>
          <w:sz w:val="24"/>
          <w:highlight w:val="none"/>
        </w:rPr>
      </w:pPr>
      <w:bookmarkStart w:id="420" w:name="_Toc351203633"/>
      <w:r>
        <w:rPr>
          <w:rFonts w:hAnsi="宋体"/>
          <w:color w:val="auto"/>
          <w:sz w:val="24"/>
          <w:highlight w:val="none"/>
        </w:rPr>
        <w:t>1</w:t>
      </w:r>
      <w:bookmarkStart w:id="421" w:name="_Toc297048342"/>
      <w:bookmarkStart w:id="422" w:name="_Toc296890984"/>
      <w:bookmarkStart w:id="423" w:name="_Toc296944495"/>
      <w:bookmarkStart w:id="424" w:name="_Toc296891196"/>
      <w:bookmarkStart w:id="425" w:name="_Toc296347155"/>
      <w:bookmarkStart w:id="426" w:name="_Toc297120456"/>
      <w:bookmarkStart w:id="427" w:name="_Toc296346657"/>
      <w:bookmarkStart w:id="428" w:name="_Toc292559866"/>
      <w:bookmarkStart w:id="429" w:name="_Toc292559361"/>
      <w:bookmarkStart w:id="430" w:name="_Toc296503156"/>
      <w:r>
        <w:rPr>
          <w:rFonts w:hAnsi="宋体"/>
          <w:color w:val="auto"/>
          <w:sz w:val="24"/>
          <w:highlight w:val="none"/>
        </w:rPr>
        <w:t>. 一般约定</w:t>
      </w:r>
      <w:bookmarkEnd w:id="420"/>
    </w:p>
    <w:bookmarkEnd w:id="421"/>
    <w:bookmarkEnd w:id="422"/>
    <w:bookmarkEnd w:id="423"/>
    <w:bookmarkEnd w:id="424"/>
    <w:bookmarkEnd w:id="425"/>
    <w:bookmarkEnd w:id="426"/>
    <w:bookmarkEnd w:id="427"/>
    <w:bookmarkEnd w:id="428"/>
    <w:bookmarkEnd w:id="429"/>
    <w:bookmarkEnd w:id="430"/>
    <w:p>
      <w:pPr>
        <w:spacing w:line="440" w:lineRule="exact"/>
        <w:ind w:firstLine="480" w:firstLineChars="200"/>
        <w:rPr>
          <w:rFonts w:hAnsi="宋体"/>
          <w:color w:val="auto"/>
          <w:sz w:val="24"/>
          <w:highlight w:val="none"/>
        </w:rPr>
      </w:pPr>
      <w:r>
        <w:rPr>
          <w:rFonts w:hAnsi="宋体"/>
          <w:color w:val="auto"/>
          <w:sz w:val="24"/>
          <w:highlight w:val="none"/>
        </w:rPr>
        <w:t>1.1 词语定义</w:t>
      </w:r>
    </w:p>
    <w:p>
      <w:pPr>
        <w:spacing w:line="440" w:lineRule="exact"/>
        <w:ind w:firstLine="480" w:firstLineChars="200"/>
        <w:rPr>
          <w:rFonts w:hAnsi="宋体"/>
          <w:color w:val="auto"/>
          <w:kern w:val="0"/>
          <w:sz w:val="24"/>
          <w:highlight w:val="none"/>
        </w:rPr>
      </w:pPr>
      <w:r>
        <w:rPr>
          <w:rFonts w:hAnsi="宋体"/>
          <w:color w:val="auto"/>
          <w:kern w:val="0"/>
          <w:sz w:val="24"/>
          <w:highlight w:val="none"/>
        </w:rPr>
        <w:t>1.1.1合同</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1.1.1.10其他合同文件包括：</w:t>
      </w:r>
      <w:r>
        <w:rPr>
          <w:rFonts w:hint="eastAsia" w:hAnsi="宋体"/>
          <w:color w:val="auto"/>
          <w:sz w:val="24"/>
          <w:highlight w:val="none"/>
          <w:u w:val="single"/>
        </w:rPr>
        <w:t>施工组织设计：施工组织</w:t>
      </w:r>
      <w:r>
        <w:rPr>
          <w:rFonts w:hAnsi="宋体"/>
          <w:color w:val="auto"/>
          <w:sz w:val="24"/>
          <w:highlight w:val="none"/>
          <w:u w:val="single"/>
        </w:rPr>
        <w:fldChar w:fldCharType="begin"/>
      </w:r>
      <w:r>
        <w:rPr>
          <w:rFonts w:hAnsi="宋体"/>
          <w:color w:val="auto"/>
          <w:sz w:val="24"/>
          <w:highlight w:val="none"/>
          <w:u w:val="single"/>
        </w:rPr>
        <w:instrText xml:space="preserve"> HYPERLINK "http://baike.baidu.com/view/14417.htm" \t "_blank" </w:instrText>
      </w:r>
      <w:r>
        <w:rPr>
          <w:rFonts w:hAnsi="宋体"/>
          <w:color w:val="auto"/>
          <w:sz w:val="24"/>
          <w:highlight w:val="none"/>
          <w:u w:val="single"/>
        </w:rPr>
        <w:fldChar w:fldCharType="separate"/>
      </w:r>
      <w:r>
        <w:rPr>
          <w:rFonts w:hint="eastAsia" w:hAnsi="宋体"/>
          <w:color w:val="auto"/>
          <w:sz w:val="24"/>
          <w:highlight w:val="none"/>
          <w:u w:val="single"/>
        </w:rPr>
        <w:t>设计</w:t>
      </w:r>
      <w:r>
        <w:rPr>
          <w:rFonts w:hAnsi="宋体"/>
          <w:color w:val="auto"/>
          <w:sz w:val="24"/>
          <w:highlight w:val="none"/>
          <w:u w:val="single"/>
        </w:rPr>
        <w:fldChar w:fldCharType="end"/>
      </w:r>
      <w:r>
        <w:rPr>
          <w:rFonts w:hint="eastAsia" w:hAnsi="宋体"/>
          <w:color w:val="auto"/>
          <w:sz w:val="24"/>
          <w:highlight w:val="none"/>
          <w:u w:val="single"/>
        </w:rPr>
        <w:t>是用来指导</w:t>
      </w:r>
      <w:r>
        <w:rPr>
          <w:rFonts w:hAnsi="宋体"/>
          <w:color w:val="auto"/>
          <w:sz w:val="24"/>
          <w:highlight w:val="none"/>
          <w:u w:val="single"/>
        </w:rPr>
        <w:fldChar w:fldCharType="begin"/>
      </w:r>
      <w:r>
        <w:rPr>
          <w:rFonts w:hAnsi="宋体"/>
          <w:color w:val="auto"/>
          <w:sz w:val="24"/>
          <w:highlight w:val="none"/>
          <w:u w:val="single"/>
        </w:rPr>
        <w:instrText xml:space="preserve"> HYPERLINK "http://baike.baidu.com/view/1094820.htm" \t "_blank" </w:instrText>
      </w:r>
      <w:r>
        <w:rPr>
          <w:rFonts w:hAnsi="宋体"/>
          <w:color w:val="auto"/>
          <w:sz w:val="24"/>
          <w:highlight w:val="none"/>
          <w:u w:val="single"/>
        </w:rPr>
        <w:fldChar w:fldCharType="separate"/>
      </w:r>
      <w:r>
        <w:rPr>
          <w:rFonts w:hint="eastAsia" w:hAnsi="宋体"/>
          <w:color w:val="auto"/>
          <w:sz w:val="24"/>
          <w:highlight w:val="none"/>
          <w:u w:val="single"/>
        </w:rPr>
        <w:t>施工项目</w:t>
      </w:r>
      <w:r>
        <w:rPr>
          <w:rFonts w:hAnsi="宋体"/>
          <w:color w:val="auto"/>
          <w:sz w:val="24"/>
          <w:highlight w:val="none"/>
          <w:u w:val="single"/>
        </w:rPr>
        <w:fldChar w:fldCharType="end"/>
      </w:r>
      <w:r>
        <w:rPr>
          <w:rFonts w:hint="eastAsia" w:hAnsi="宋体"/>
          <w:color w:val="auto"/>
          <w:sz w:val="24"/>
          <w:highlight w:val="none"/>
          <w:u w:val="single"/>
        </w:rPr>
        <w:t xml:space="preserve">全过程各项活动的技术、经济和组织的综合性文件 </w:t>
      </w:r>
      <w:r>
        <w:rPr>
          <w:rFonts w:hint="eastAsia" w:hAnsi="宋体"/>
          <w:color w:val="auto"/>
          <w:sz w:val="24"/>
          <w:highlight w:val="none"/>
        </w:rPr>
        <w:t>。</w:t>
      </w:r>
    </w:p>
    <w:p>
      <w:pPr>
        <w:spacing w:line="420" w:lineRule="exact"/>
        <w:ind w:firstLine="480" w:firstLineChars="200"/>
        <w:rPr>
          <w:rFonts w:hint="eastAsia" w:hAnsi="宋体" w:cs="宋体"/>
          <w:color w:val="auto"/>
          <w:sz w:val="24"/>
          <w:highlight w:val="none"/>
          <w:u w:val="single"/>
        </w:rPr>
      </w:pPr>
      <w:r>
        <w:rPr>
          <w:rFonts w:hAnsi="宋体"/>
          <w:color w:val="auto"/>
          <w:sz w:val="24"/>
          <w:highlight w:val="none"/>
        </w:rPr>
        <w:t>1.1.2 合同当事人及其他相关方</w:t>
      </w:r>
      <w:r>
        <w:rPr>
          <w:rFonts w:hint="eastAsia" w:hAnsi="宋体"/>
          <w:color w:val="auto"/>
          <w:sz w:val="24"/>
          <w:highlight w:val="none"/>
          <w:lang w:eastAsia="zh-CN"/>
        </w:rPr>
        <w:t>：</w:t>
      </w:r>
      <w:r>
        <w:rPr>
          <w:rFonts w:hint="eastAsia" w:hAnsi="宋体" w:cs="宋体"/>
          <w:color w:val="auto"/>
          <w:sz w:val="24"/>
          <w:highlight w:val="none"/>
          <w:u w:val="single"/>
        </w:rPr>
        <w:t>财政局、审计局代表、甲方委托的造价咨询机构。</w:t>
      </w:r>
    </w:p>
    <w:p>
      <w:pPr>
        <w:spacing w:line="440" w:lineRule="exact"/>
        <w:ind w:firstLine="480" w:firstLineChars="200"/>
        <w:rPr>
          <w:rFonts w:hAnsi="宋体"/>
          <w:color w:val="auto"/>
          <w:sz w:val="24"/>
          <w:highlight w:val="none"/>
        </w:rPr>
      </w:pPr>
      <w:r>
        <w:rPr>
          <w:rFonts w:hAnsi="宋体"/>
          <w:color w:val="auto"/>
          <w:sz w:val="24"/>
          <w:highlight w:val="none"/>
        </w:rPr>
        <w:t>1.1.2.4监理人：</w:t>
      </w:r>
    </w:p>
    <w:p>
      <w:pPr>
        <w:spacing w:line="440" w:lineRule="exact"/>
        <w:ind w:firstLine="480" w:firstLineChars="200"/>
        <w:rPr>
          <w:rFonts w:hAnsi="宋体"/>
          <w:color w:val="auto"/>
          <w:sz w:val="24"/>
          <w:highlight w:val="none"/>
        </w:rPr>
      </w:pPr>
      <w:r>
        <w:rPr>
          <w:rFonts w:hAnsi="宋体"/>
          <w:color w:val="auto"/>
          <w:sz w:val="24"/>
          <w:highlight w:val="none"/>
        </w:rPr>
        <w:t>名    称：</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资质类别和等级：</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1.1.2.5 设计人：</w:t>
      </w:r>
    </w:p>
    <w:p>
      <w:pPr>
        <w:spacing w:line="440" w:lineRule="exact"/>
        <w:ind w:firstLine="480" w:firstLineChars="200"/>
        <w:rPr>
          <w:rFonts w:hAnsi="宋体"/>
          <w:color w:val="auto"/>
          <w:sz w:val="24"/>
          <w:highlight w:val="none"/>
        </w:rPr>
      </w:pPr>
      <w:r>
        <w:rPr>
          <w:rFonts w:hAnsi="宋体"/>
          <w:color w:val="auto"/>
          <w:sz w:val="24"/>
          <w:highlight w:val="none"/>
        </w:rPr>
        <w:t>名    称：</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资质类别和等级：</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1.1.3 工程和设备</w:t>
      </w:r>
    </w:p>
    <w:p>
      <w:pPr>
        <w:spacing w:line="440" w:lineRule="exact"/>
        <w:ind w:firstLine="480" w:firstLineChars="200"/>
        <w:rPr>
          <w:rFonts w:hAnsi="宋体"/>
          <w:color w:val="auto"/>
          <w:sz w:val="24"/>
          <w:highlight w:val="none"/>
          <w:u w:val="single"/>
        </w:rPr>
      </w:pPr>
      <w:r>
        <w:rPr>
          <w:rFonts w:hAnsi="宋体"/>
          <w:color w:val="auto"/>
          <w:sz w:val="24"/>
          <w:highlight w:val="none"/>
        </w:rPr>
        <w:t>1.1.3.7 作为施工现场组成部分的其他场所包括：</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1.1.3.9 永久占地包括：</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kern w:val="0"/>
          <w:sz w:val="24"/>
          <w:highlight w:val="none"/>
        </w:rPr>
        <w:t>1.1.3.10 临时占地包括：</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 xml:space="preserve">1.3法律 </w:t>
      </w:r>
    </w:p>
    <w:p>
      <w:pPr>
        <w:adjustRightInd/>
        <w:spacing w:line="400" w:lineRule="exact"/>
        <w:ind w:firstLine="475" w:firstLineChars="198"/>
        <w:rPr>
          <w:rFonts w:ascii="宋体" w:hAnsi="宋体" w:cs="宋体"/>
          <w:b/>
          <w:bCs/>
          <w:color w:val="auto"/>
          <w:sz w:val="24"/>
          <w:szCs w:val="24"/>
          <w:highlight w:val="none"/>
          <w:u w:val="single"/>
        </w:rPr>
      </w:pPr>
      <w:r>
        <w:rPr>
          <w:rFonts w:hAnsi="宋体"/>
          <w:color w:val="auto"/>
          <w:sz w:val="24"/>
          <w:highlight w:val="none"/>
        </w:rPr>
        <w:t>适用于合同的其他规范性文件：</w:t>
      </w:r>
      <w:r>
        <w:rPr>
          <w:rFonts w:hint="eastAsia" w:ascii="宋体" w:hAnsi="宋体" w:cs="宋体"/>
          <w:b/>
          <w:bCs/>
          <w:color w:val="auto"/>
          <w:sz w:val="24"/>
          <w:szCs w:val="24"/>
          <w:highlight w:val="none"/>
          <w:u w:val="single"/>
        </w:rPr>
        <w:t>1.3.1  杭州市建设工程工程量清单计价实施细则》(杭建市发〔2018〕578号)；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1.3.2  《关于进一步加强杭州市建设工程市场要素价格动态管理的指导意见》（杭建市发〔2018〕579号）；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1.3.3  省市建设行政部门颁发的其他现行有效文件(包括但不仅限于以下文件)：</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（1）《关于转发省建设厅&lt;关于进一步加强建筑施工领域企业安全生产工作的实施意见&gt;的通知》（杭建工发〔2011〕130号）；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（2）《关于进一步加强建设工程安全质量物联网管理应用平台建设的通知》（杭建工发〔2012〕426号）；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（3）《关于开展建筑工程扬尘在线监测设施安装工作的通知》（杭建工〔2019〕103号）；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（4）《关于巩固G20杭州峰会成果进一步加强建设工程文明施工管理的若干意见》（杭建工发〔2017〕112号）；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（5）《杭州市建设领域农民工“无欠薪”管理实施细则（试行）》（杭建市〔2018〕161号）；</w:t>
      </w:r>
    </w:p>
    <w:p>
      <w:pPr>
        <w:adjustRightInd/>
        <w:spacing w:line="400" w:lineRule="exact"/>
        <w:ind w:firstLine="477" w:firstLineChars="19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（6）其他：</w:t>
      </w:r>
      <w:r>
        <w:rPr>
          <w:rFonts w:hint="eastAsia" w:ascii="宋体" w:hAnsi="宋体" w:cs="宋体"/>
          <w:b/>
          <w:bCs/>
          <w:color w:val="auto"/>
          <w:sz w:val="24"/>
          <w:szCs w:val="24"/>
          <w:highlight w:val="none"/>
          <w:u w:val="single"/>
        </w:rPr>
        <w:t xml:space="preserve"> 《中华人民共和国</w:t>
      </w:r>
      <w:r>
        <w:rPr>
          <w:rFonts w:hint="eastAsia" w:ascii="宋体" w:hAnsi="宋体" w:cs="宋体"/>
          <w:b/>
          <w:bCs/>
          <w:color w:val="auto"/>
          <w:sz w:val="24"/>
          <w:szCs w:val="24"/>
          <w:highlight w:val="none"/>
          <w:u w:val="single"/>
          <w:lang w:eastAsia="zh-CN"/>
        </w:rPr>
        <w:t>民法典</w:t>
      </w:r>
      <w:r>
        <w:rPr>
          <w:rFonts w:hint="eastAsia" w:ascii="宋体" w:hAnsi="宋体" w:cs="宋体"/>
          <w:b/>
          <w:bCs/>
          <w:color w:val="auto"/>
          <w:sz w:val="24"/>
          <w:szCs w:val="24"/>
          <w:highlight w:val="none"/>
          <w:u w:val="single"/>
        </w:rPr>
        <w:t>》、《中华人民共和国招标投标法》、《浙江省建设工程计价规则》、中华人民共和国《建设工程安全生产管理条例》《建设工程质量检验评定标准》等国家现行法律法规及省、杭州市、临安区颁发的相关规范性文件。</w:t>
      </w:r>
    </w:p>
    <w:p>
      <w:pPr>
        <w:adjustRightInd/>
        <w:spacing w:line="400" w:lineRule="exact"/>
        <w:ind w:firstLine="477" w:firstLineChars="198"/>
        <w:rPr>
          <w:rFonts w:ascii="宋体" w:hAnsi="宋体" w:cs="宋体"/>
          <w:b/>
          <w:bCs/>
          <w:color w:val="auto"/>
          <w:sz w:val="24"/>
          <w:szCs w:val="24"/>
          <w:highlight w:val="none"/>
        </w:rPr>
      </w:pPr>
      <w:r>
        <w:rPr>
          <w:rFonts w:hint="eastAsia" w:ascii="宋体" w:hAnsi="宋体" w:cs="宋体"/>
          <w:b/>
          <w:bCs/>
          <w:color w:val="auto"/>
          <w:sz w:val="24"/>
          <w:szCs w:val="24"/>
          <w:highlight w:val="none"/>
        </w:rPr>
        <w:t>1.3.4  新工艺、新技术的约定：</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pPr>
        <w:adjustRightInd/>
        <w:spacing w:line="400" w:lineRule="exact"/>
        <w:ind w:firstLine="477" w:firstLineChars="198"/>
        <w:rPr>
          <w:rFonts w:ascii="宋体" w:hAnsi="宋体" w:cs="宋体"/>
          <w:b/>
          <w:bCs/>
          <w:color w:val="auto"/>
          <w:sz w:val="24"/>
          <w:szCs w:val="24"/>
          <w:highlight w:val="none"/>
        </w:rPr>
      </w:pPr>
      <w:r>
        <w:rPr>
          <w:rFonts w:hint="eastAsia" w:ascii="宋体" w:hAnsi="宋体" w:cs="宋体"/>
          <w:b/>
          <w:bCs/>
          <w:color w:val="auto"/>
          <w:sz w:val="24"/>
          <w:szCs w:val="24"/>
          <w:highlight w:val="none"/>
        </w:rPr>
        <w:t>1.3.5  其他</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1.4 标准和规范</w:t>
      </w:r>
    </w:p>
    <w:p>
      <w:pPr>
        <w:spacing w:line="420" w:lineRule="exact"/>
        <w:ind w:firstLine="480" w:firstLineChars="200"/>
        <w:rPr>
          <w:rFonts w:hint="eastAsia" w:hAnsi="宋体" w:cs="宋体"/>
          <w:color w:val="auto"/>
          <w:sz w:val="24"/>
          <w:highlight w:val="none"/>
        </w:rPr>
      </w:pPr>
      <w:r>
        <w:rPr>
          <w:rFonts w:hAnsi="宋体"/>
          <w:color w:val="auto"/>
          <w:sz w:val="24"/>
          <w:highlight w:val="none"/>
        </w:rPr>
        <w:t>1.4.1适用于工程的标准规范包括：</w:t>
      </w:r>
      <w:r>
        <w:rPr>
          <w:rFonts w:hint="eastAsia" w:hAnsi="宋体" w:cs="宋体"/>
          <w:b/>
          <w:bCs/>
          <w:color w:val="auto"/>
          <w:sz w:val="24"/>
          <w:highlight w:val="none"/>
          <w:u w:val="single"/>
        </w:rPr>
        <w:t>（1）按通用条款约定；</w:t>
      </w:r>
    </w:p>
    <w:p>
      <w:pPr>
        <w:spacing w:line="440" w:lineRule="exact"/>
        <w:ind w:firstLine="480" w:firstLineChars="200"/>
        <w:rPr>
          <w:rFonts w:hAnsi="宋体"/>
          <w:color w:val="auto"/>
          <w:sz w:val="24"/>
          <w:highlight w:val="none"/>
          <w:u w:val="single"/>
        </w:rPr>
      </w:pPr>
      <w:r>
        <w:rPr>
          <w:rFonts w:hint="eastAsia" w:hAnsi="宋体"/>
          <w:color w:val="auto"/>
          <w:sz w:val="24"/>
          <w:highlight w:val="none"/>
          <w:u w:val="single"/>
        </w:rPr>
        <w:t>执行国家、省、市及行业现行的有关规范标准、规程。并按如下办法确定适用的标准、规范：“现行标准、规范及有关技术说明”与“合同图纸”之间出现歧义或矛盾时，施工质量要求或工艺标准以两者之间相对较高的为准。“合同图纸”不符合“现行标准，规范及有关技术说明”，承包人有义务及时向发包人提出；标准、规范及有关技术说明有出入的以严格的为准，颁布时间有前后的，以新的为准。</w:t>
      </w:r>
    </w:p>
    <w:p>
      <w:pPr>
        <w:spacing w:line="440" w:lineRule="exact"/>
        <w:ind w:firstLine="480" w:firstLineChars="200"/>
        <w:rPr>
          <w:rFonts w:hAnsi="宋体"/>
          <w:color w:val="auto"/>
          <w:kern w:val="0"/>
          <w:sz w:val="24"/>
          <w:highlight w:val="none"/>
        </w:rPr>
      </w:pPr>
      <w:r>
        <w:rPr>
          <w:rFonts w:hAnsi="宋体"/>
          <w:color w:val="auto"/>
          <w:kern w:val="0"/>
          <w:sz w:val="24"/>
          <w:highlight w:val="none"/>
        </w:rPr>
        <w:t>1.4.2 发包人提供国外标准、规范的名称：</w:t>
      </w:r>
      <w:r>
        <w:rPr>
          <w:rFonts w:hint="eastAsia" w:hAnsi="宋体"/>
          <w:color w:val="auto"/>
          <w:sz w:val="24"/>
          <w:highlight w:val="none"/>
          <w:u w:val="single"/>
        </w:rPr>
        <w:t xml:space="preserve">承包人自备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发包人提供国外标准、规范的份数：</w:t>
      </w:r>
      <w:r>
        <w:rPr>
          <w:rFonts w:hAnsi="宋体"/>
          <w:color w:val="auto"/>
          <w:kern w:val="0"/>
          <w:sz w:val="24"/>
          <w:highlight w:val="none"/>
          <w:u w:val="single"/>
        </w:rPr>
        <w:t xml:space="preserve">  </w:t>
      </w:r>
      <w:r>
        <w:rPr>
          <w:rFonts w:hint="eastAsia" w:hAnsi="宋体"/>
          <w:color w:val="auto"/>
          <w:sz w:val="24"/>
          <w:highlight w:val="none"/>
          <w:u w:val="single"/>
        </w:rPr>
        <w:t>承包人自备</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kern w:val="0"/>
          <w:sz w:val="24"/>
          <w:highlight w:val="none"/>
        </w:rPr>
        <w:t>发包人提供国外标准、规范的</w:t>
      </w:r>
      <w:r>
        <w:rPr>
          <w:rFonts w:hint="eastAsia" w:hAnsi="宋体"/>
          <w:color w:val="auto"/>
          <w:kern w:val="0"/>
          <w:sz w:val="24"/>
          <w:highlight w:val="none"/>
        </w:rPr>
        <w:t>时间</w:t>
      </w:r>
      <w:r>
        <w:rPr>
          <w:rFonts w:hAnsi="宋体"/>
          <w:color w:val="auto"/>
          <w:kern w:val="0"/>
          <w:sz w:val="24"/>
          <w:highlight w:val="none"/>
        </w:rPr>
        <w:t>：</w:t>
      </w:r>
      <w:r>
        <w:rPr>
          <w:rFonts w:hint="eastAsia" w:hAnsi="宋体"/>
          <w:color w:val="auto"/>
          <w:kern w:val="0"/>
          <w:sz w:val="24"/>
          <w:highlight w:val="none"/>
          <w:u w:val="single"/>
        </w:rPr>
        <w:t xml:space="preserve">  </w:t>
      </w:r>
      <w:r>
        <w:rPr>
          <w:rFonts w:hint="eastAsia" w:hAnsi="宋体"/>
          <w:color w:val="auto"/>
          <w:sz w:val="24"/>
          <w:highlight w:val="none"/>
          <w:u w:val="single"/>
        </w:rPr>
        <w:t>承包人自备</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pStyle w:val="2"/>
        <w:snapToGrid w:val="0"/>
        <w:spacing w:line="440" w:lineRule="exact"/>
        <w:ind w:firstLine="480"/>
        <w:outlineLvl w:val="0"/>
        <w:rPr>
          <w:rFonts w:hint="eastAsia"/>
          <w:color w:val="auto"/>
          <w:highlight w:val="none"/>
          <w:u w:val="single"/>
        </w:rPr>
      </w:pPr>
      <w:r>
        <w:rPr>
          <w:color w:val="auto"/>
          <w:sz w:val="24"/>
          <w:szCs w:val="24"/>
          <w:highlight w:val="none"/>
        </w:rPr>
        <w:t>1.4.3发包人对工程的技术标准和功能要求的特殊要求</w:t>
      </w:r>
      <w:r>
        <w:rPr>
          <w:rFonts w:hint="eastAsia"/>
          <w:color w:val="auto"/>
          <w:sz w:val="24"/>
          <w:szCs w:val="24"/>
          <w:highlight w:val="none"/>
        </w:rPr>
        <w:t>：</w:t>
      </w:r>
      <w:r>
        <w:rPr>
          <w:rFonts w:hint="eastAsia"/>
          <w:color w:val="auto"/>
          <w:sz w:val="24"/>
          <w:szCs w:val="24"/>
          <w:highlight w:val="none"/>
          <w:u w:val="single"/>
        </w:rPr>
        <w:t>由承包人、设计人、监理单位、发包人共同商定，报质监部门认可</w:t>
      </w:r>
      <w:r>
        <w:rPr>
          <w:rFonts w:hint="eastAsia"/>
          <w:bCs/>
          <w:color w:val="auto"/>
          <w:sz w:val="24"/>
          <w:szCs w:val="24"/>
          <w:highlight w:val="none"/>
          <w:u w:val="single"/>
        </w:rPr>
        <w:t xml:space="preserve"> 。</w:t>
      </w:r>
      <w:r>
        <w:rPr>
          <w:color w:val="auto"/>
          <w:sz w:val="24"/>
          <w:szCs w:val="24"/>
          <w:highlight w:val="none"/>
          <w:u w:val="singl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1.5 合同文件的优先顺序</w:t>
      </w:r>
    </w:p>
    <w:p>
      <w:pPr>
        <w:autoSpaceDE w:val="0"/>
        <w:autoSpaceDN w:val="0"/>
        <w:adjustRightInd w:val="0"/>
        <w:spacing w:line="440" w:lineRule="exact"/>
        <w:ind w:firstLine="480" w:firstLineChars="200"/>
        <w:rPr>
          <w:rFonts w:hint="eastAsia" w:hAnsi="宋体"/>
          <w:color w:val="auto"/>
          <w:kern w:val="0"/>
          <w:sz w:val="24"/>
          <w:highlight w:val="none"/>
          <w:u w:val="single"/>
        </w:rPr>
      </w:pPr>
      <w:r>
        <w:rPr>
          <w:color w:val="auto"/>
          <w:sz w:val="24"/>
          <w:highlight w:val="none"/>
        </w:rPr>
        <w:t>合同文件组成及优先顺序为：</w:t>
      </w:r>
      <w:r>
        <w:rPr>
          <w:rFonts w:hint="eastAsia" w:hAnsi="宋体"/>
          <w:color w:val="auto"/>
          <w:kern w:val="0"/>
          <w:sz w:val="24"/>
          <w:highlight w:val="none"/>
          <w:u w:val="single"/>
        </w:rPr>
        <w:t xml:space="preserve">（1）合同协议书；（2）中标通知书；（3）投标函及其附录（如果有）；（4）专用合同条款及其附件；（5）通用合同条款；（6）技术标准和要求；（7）图纸；（8）已标价工程量清单或预算书；（9）其他合同文件：①施工组织设计；②其他：     </w:t>
      </w:r>
    </w:p>
    <w:p>
      <w:pPr>
        <w:spacing w:line="440" w:lineRule="exact"/>
        <w:ind w:firstLine="480" w:firstLineChars="200"/>
        <w:rPr>
          <w:color w:val="auto"/>
          <w:sz w:val="24"/>
          <w:highlight w:val="none"/>
        </w:rPr>
      </w:pPr>
      <w:r>
        <w:rPr>
          <w:color w:val="auto"/>
          <w:sz w:val="24"/>
          <w:highlight w:val="none"/>
        </w:rPr>
        <w:t>1.6 图纸和承包人文件</w:t>
      </w:r>
      <w:r>
        <w:rPr>
          <w:color w:val="auto"/>
          <w:sz w:val="24"/>
          <w:highlight w:val="none"/>
        </w:rPr>
        <w:tab/>
      </w:r>
    </w:p>
    <w:p>
      <w:pPr>
        <w:spacing w:line="440" w:lineRule="exact"/>
        <w:ind w:firstLine="480" w:firstLineChars="200"/>
        <w:rPr>
          <w:rFonts w:hAnsi="宋体"/>
          <w:color w:val="auto"/>
          <w:sz w:val="24"/>
          <w:highlight w:val="none"/>
        </w:rPr>
      </w:pPr>
      <w:r>
        <w:rPr>
          <w:rFonts w:hAnsi="宋体"/>
          <w:color w:val="auto"/>
          <w:sz w:val="24"/>
          <w:highlight w:val="none"/>
        </w:rPr>
        <w:t>1.6.1 图纸的提供</w:t>
      </w:r>
    </w:p>
    <w:p>
      <w:pPr>
        <w:pStyle w:val="2"/>
        <w:snapToGrid w:val="0"/>
        <w:spacing w:line="440" w:lineRule="exact"/>
        <w:ind w:firstLine="480"/>
        <w:rPr>
          <w:rFonts w:hint="eastAsia"/>
          <w:color w:val="auto"/>
          <w:sz w:val="24"/>
          <w:szCs w:val="24"/>
          <w:highlight w:val="none"/>
          <w:u w:val="single"/>
        </w:rPr>
      </w:pPr>
      <w:r>
        <w:rPr>
          <w:color w:val="auto"/>
          <w:sz w:val="24"/>
          <w:szCs w:val="24"/>
          <w:highlight w:val="none"/>
        </w:rPr>
        <w:t>发包人向承包人提供图纸的期限：</w:t>
      </w:r>
      <w:r>
        <w:rPr>
          <w:rFonts w:hint="eastAsia"/>
          <w:color w:val="auto"/>
          <w:sz w:val="24"/>
          <w:szCs w:val="24"/>
          <w:highlight w:val="none"/>
          <w:u w:val="single"/>
        </w:rPr>
        <w:t>合同签订后；</w:t>
      </w:r>
    </w:p>
    <w:p>
      <w:pPr>
        <w:spacing w:line="440" w:lineRule="exact"/>
        <w:ind w:firstLine="480" w:firstLineChars="200"/>
        <w:rPr>
          <w:rFonts w:hAnsi="宋体"/>
          <w:color w:val="auto"/>
          <w:sz w:val="24"/>
          <w:highlight w:val="none"/>
        </w:rPr>
      </w:pPr>
      <w:r>
        <w:rPr>
          <w:rFonts w:hAnsi="宋体"/>
          <w:color w:val="auto"/>
          <w:sz w:val="24"/>
          <w:highlight w:val="none"/>
        </w:rPr>
        <w:t>发包人向承包人提供图纸的数量：</w:t>
      </w:r>
      <w:r>
        <w:rPr>
          <w:rFonts w:hint="eastAsia" w:hAnsi="宋体"/>
          <w:color w:val="auto"/>
          <w:sz w:val="24"/>
          <w:highlight w:val="none"/>
          <w:u w:val="single"/>
        </w:rPr>
        <w:t>叁 套</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发包人向承包人提供图纸的内容：</w:t>
      </w:r>
      <w:r>
        <w:rPr>
          <w:rFonts w:hint="eastAsia" w:hAnsi="宋体"/>
          <w:color w:val="auto"/>
          <w:sz w:val="24"/>
          <w:highlight w:val="none"/>
          <w:u w:val="single"/>
        </w:rPr>
        <w:t>施工图</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1.6.4 承包人文件</w:t>
      </w:r>
    </w:p>
    <w:p>
      <w:pPr>
        <w:spacing w:line="440" w:lineRule="exact"/>
        <w:ind w:firstLine="480" w:firstLineChars="200"/>
        <w:rPr>
          <w:rFonts w:hint="eastAsia" w:hAnsi="宋体" w:cs="宋体"/>
          <w:color w:val="auto"/>
          <w:sz w:val="24"/>
          <w:highlight w:val="none"/>
          <w:u w:val="single"/>
        </w:rPr>
      </w:pPr>
      <w:r>
        <w:rPr>
          <w:rFonts w:hAnsi="宋体"/>
          <w:color w:val="auto"/>
          <w:sz w:val="24"/>
          <w:highlight w:val="none"/>
        </w:rPr>
        <w:t>需要由承包人提供的文件，包括：</w:t>
      </w:r>
      <w:r>
        <w:rPr>
          <w:rFonts w:hint="eastAsia" w:hAnsi="宋体" w:cs="宋体"/>
          <w:color w:val="auto"/>
          <w:sz w:val="24"/>
          <w:highlight w:val="none"/>
          <w:u w:val="single"/>
        </w:rPr>
        <w:t>提供施工组织计划和进度计划以及材料供应计划等，并上报项目班子人员名单。如工程师另有要求时，还应按工程师指定的进度提交单位工程的进度计划；总体施工计划（网络图和横道图均需标示关键线路）于工程开工前七天提供3套。</w:t>
      </w:r>
    </w:p>
    <w:p>
      <w:pPr>
        <w:spacing w:line="440" w:lineRule="exact"/>
        <w:ind w:firstLine="480" w:firstLineChars="200"/>
        <w:rPr>
          <w:rFonts w:hint="eastAsia" w:hAnsi="宋体" w:cs="宋体"/>
          <w:color w:val="auto"/>
          <w:sz w:val="24"/>
          <w:highlight w:val="none"/>
          <w:u w:val="single"/>
        </w:rPr>
      </w:pPr>
      <w:r>
        <w:rPr>
          <w:rFonts w:hint="eastAsia" w:hAnsi="宋体" w:cs="宋体"/>
          <w:color w:val="auto"/>
          <w:sz w:val="24"/>
          <w:highlight w:val="none"/>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p>
    <w:p>
      <w:pPr>
        <w:spacing w:line="440" w:lineRule="exact"/>
        <w:ind w:firstLine="480" w:firstLineChars="200"/>
        <w:rPr>
          <w:rFonts w:hAnsi="宋体"/>
          <w:color w:val="auto"/>
          <w:sz w:val="24"/>
          <w:highlight w:val="none"/>
        </w:rPr>
      </w:pPr>
      <w:r>
        <w:rPr>
          <w:rFonts w:hAnsi="宋体"/>
          <w:color w:val="auto"/>
          <w:sz w:val="24"/>
          <w:highlight w:val="none"/>
        </w:rPr>
        <w:t>承包人提供的文件的期限为：</w:t>
      </w:r>
      <w:r>
        <w:rPr>
          <w:rFonts w:hint="eastAsia" w:hAnsi="宋体"/>
          <w:color w:val="auto"/>
          <w:sz w:val="24"/>
          <w:highlight w:val="none"/>
          <w:u w:val="single"/>
        </w:rPr>
        <w:t>合同签订后七天内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承包人提供的文件的数量为：</w:t>
      </w:r>
      <w:r>
        <w:rPr>
          <w:rFonts w:hint="eastAsia" w:hAnsi="宋体"/>
          <w:color w:val="auto"/>
          <w:sz w:val="24"/>
          <w:highlight w:val="none"/>
          <w:u w:val="single"/>
        </w:rPr>
        <w:t>竣工资料五套，电子文档</w:t>
      </w:r>
      <w:r>
        <w:rPr>
          <w:rFonts w:hint="eastAsia" w:hAnsi="宋体"/>
          <w:color w:val="auto"/>
          <w:sz w:val="24"/>
          <w:szCs w:val="24"/>
          <w:highlight w:val="none"/>
          <w:u w:val="single"/>
        </w:rPr>
        <w:t>（竣工图）</w:t>
      </w:r>
      <w:r>
        <w:rPr>
          <w:rFonts w:hint="eastAsia" w:hAnsi="宋体"/>
          <w:color w:val="auto"/>
          <w:sz w:val="24"/>
          <w:highlight w:val="none"/>
          <w:u w:val="single"/>
        </w:rPr>
        <w:t>光盘二份</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承包人提供的文件的形式为：</w:t>
      </w:r>
      <w:r>
        <w:rPr>
          <w:rFonts w:hint="eastAsia" w:hAnsi="宋体"/>
          <w:color w:val="auto"/>
          <w:sz w:val="24"/>
          <w:highlight w:val="none"/>
          <w:u w:val="single"/>
        </w:rPr>
        <w:t>纸质文本</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w:t>
      </w:r>
      <w:r>
        <w:rPr>
          <w:rFonts w:hint="eastAsia" w:hAnsi="宋体"/>
          <w:color w:val="auto"/>
          <w:sz w:val="24"/>
          <w:highlight w:val="none"/>
        </w:rPr>
        <w:t>审批</w:t>
      </w:r>
      <w:r>
        <w:rPr>
          <w:rFonts w:hAnsi="宋体"/>
          <w:color w:val="auto"/>
          <w:sz w:val="24"/>
          <w:highlight w:val="none"/>
        </w:rPr>
        <w:t>承包人文件的期限：</w:t>
      </w:r>
      <w:r>
        <w:rPr>
          <w:rFonts w:hint="eastAsia" w:hAnsi="宋体"/>
          <w:color w:val="auto"/>
          <w:sz w:val="24"/>
          <w:highlight w:val="none"/>
          <w:u w:val="single"/>
        </w:rPr>
        <w:t>7天内</w:t>
      </w:r>
      <w:r>
        <w:rPr>
          <w:rFonts w:hAnsi="宋体"/>
          <w:color w:val="auto"/>
          <w:sz w:val="24"/>
          <w:highlight w:val="none"/>
        </w:rPr>
        <w:t>。</w:t>
      </w:r>
    </w:p>
    <w:p>
      <w:pPr>
        <w:spacing w:line="440" w:lineRule="exact"/>
        <w:ind w:firstLine="480" w:firstLineChars="200"/>
        <w:rPr>
          <w:rFonts w:hint="eastAsia" w:hAnsi="宋体" w:eastAsia="宋体"/>
          <w:color w:val="auto"/>
          <w:sz w:val="24"/>
          <w:highlight w:val="none"/>
          <w:lang w:val="en-US" w:eastAsia="zh-CN"/>
        </w:rPr>
      </w:pPr>
      <w:r>
        <w:rPr>
          <w:rFonts w:hAnsi="宋体"/>
          <w:color w:val="auto"/>
          <w:sz w:val="24"/>
          <w:highlight w:val="none"/>
        </w:rPr>
        <w:t>1.6.5 现场图纸准备</w:t>
      </w:r>
      <w:r>
        <w:rPr>
          <w:rFonts w:hint="eastAsia" w:hAnsi="宋体"/>
          <w:color w:val="auto"/>
          <w:sz w:val="24"/>
          <w:highlight w:val="none"/>
          <w:lang w:val="en-US" w:eastAsia="zh-CN"/>
        </w:rPr>
        <w:t>.</w:t>
      </w:r>
    </w:p>
    <w:p>
      <w:pPr>
        <w:spacing w:line="440" w:lineRule="exact"/>
        <w:ind w:firstLine="480" w:firstLineChars="200"/>
        <w:rPr>
          <w:rFonts w:hAnsi="宋体"/>
          <w:color w:val="auto"/>
          <w:sz w:val="24"/>
          <w:highlight w:val="none"/>
        </w:rPr>
      </w:pPr>
      <w:r>
        <w:rPr>
          <w:rFonts w:hAnsi="宋体"/>
          <w:color w:val="auto"/>
          <w:sz w:val="24"/>
          <w:highlight w:val="none"/>
        </w:rPr>
        <w:t>关于现场图纸准备的约定：</w:t>
      </w:r>
      <w:r>
        <w:rPr>
          <w:rFonts w:hint="eastAsia" w:hAnsi="宋体"/>
          <w:color w:val="auto"/>
          <w:sz w:val="24"/>
          <w:highlight w:val="none"/>
          <w:u w:val="single"/>
        </w:rPr>
        <w:t>由承包人保存</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1.7 联络</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1.7.1发包人和承包人应当在</w:t>
      </w:r>
      <w:r>
        <w:rPr>
          <w:rFonts w:hint="eastAsia" w:hAnsi="宋体"/>
          <w:color w:val="auto"/>
          <w:sz w:val="24"/>
          <w:highlight w:val="none"/>
          <w:u w:val="single"/>
        </w:rPr>
        <w:t>7</w:t>
      </w:r>
      <w:r>
        <w:rPr>
          <w:rFonts w:hAnsi="宋体"/>
          <w:color w:val="auto"/>
          <w:kern w:val="0"/>
          <w:sz w:val="24"/>
          <w:highlight w:val="none"/>
        </w:rPr>
        <w:t>天内将与合同有关的通知、批准、证明、证书、指示、指令、要求、请求、同意、意见、确定和决定等书面函件送达对方当事人</w:t>
      </w:r>
      <w:r>
        <w:rPr>
          <w:rFonts w:hint="eastAsia"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1.7.2 发包人接收文件的地点：</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发包人指定的接收人为：</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承包人接收文件的地点：</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承包人指定的接收人为：</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监理人接收文件的地点：</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监理人指定的接收人为：</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1.10 交通运输</w:t>
      </w:r>
    </w:p>
    <w:p>
      <w:pPr>
        <w:spacing w:line="440" w:lineRule="exact"/>
        <w:ind w:firstLine="480" w:firstLineChars="200"/>
        <w:rPr>
          <w:rFonts w:hAnsi="宋体"/>
          <w:color w:val="auto"/>
          <w:sz w:val="24"/>
          <w:highlight w:val="none"/>
        </w:rPr>
      </w:pPr>
      <w:r>
        <w:rPr>
          <w:rFonts w:hAnsi="宋体"/>
          <w:color w:val="auto"/>
          <w:sz w:val="24"/>
          <w:highlight w:val="none"/>
        </w:rPr>
        <w:t>1</w:t>
      </w:r>
      <w:bookmarkStart w:id="431" w:name="_Toc312677986"/>
      <w:bookmarkStart w:id="432" w:name="_Toc303539100"/>
      <w:bookmarkStart w:id="433" w:name="_Toc318581155"/>
      <w:bookmarkStart w:id="434" w:name="_Toc300934943"/>
      <w:bookmarkStart w:id="435" w:name="_Toc304295521"/>
      <w:r>
        <w:rPr>
          <w:rFonts w:hAnsi="宋体"/>
          <w:color w:val="auto"/>
          <w:sz w:val="24"/>
          <w:highlight w:val="none"/>
        </w:rPr>
        <w:t>.10.1 出入现场的权利</w:t>
      </w:r>
    </w:p>
    <w:p>
      <w:pPr>
        <w:spacing w:line="440" w:lineRule="exact"/>
        <w:ind w:firstLine="480" w:firstLineChars="200"/>
        <w:rPr>
          <w:rFonts w:hAnsi="宋体"/>
          <w:color w:val="auto"/>
          <w:sz w:val="24"/>
          <w:highlight w:val="none"/>
          <w:u w:val="single"/>
        </w:rPr>
      </w:pPr>
      <w:r>
        <w:rPr>
          <w:rFonts w:hAnsi="宋体"/>
          <w:color w:val="auto"/>
          <w:sz w:val="24"/>
          <w:highlight w:val="none"/>
        </w:rPr>
        <w:t>关于出入现场的权利的约定：</w:t>
      </w:r>
      <w:r>
        <w:rPr>
          <w:rFonts w:hint="eastAsia" w:hAnsi="宋体"/>
          <w:color w:val="auto"/>
          <w:sz w:val="24"/>
          <w:highlight w:val="none"/>
          <w:u w:val="single"/>
        </w:rPr>
        <w:t>由承包人负责管理并承担费用</w:t>
      </w:r>
      <w:r>
        <w:rPr>
          <w:rFonts w:hAnsi="宋体"/>
          <w:color w:val="auto"/>
          <w:sz w:val="24"/>
          <w:highlight w:val="none"/>
        </w:rPr>
        <w:t>。</w:t>
      </w:r>
    </w:p>
    <w:bookmarkEnd w:id="431"/>
    <w:bookmarkEnd w:id="432"/>
    <w:bookmarkEnd w:id="433"/>
    <w:bookmarkEnd w:id="434"/>
    <w:bookmarkEnd w:id="435"/>
    <w:p>
      <w:pPr>
        <w:spacing w:line="440" w:lineRule="exact"/>
        <w:ind w:firstLine="480" w:firstLineChars="200"/>
        <w:rPr>
          <w:rFonts w:hAnsi="宋体"/>
          <w:color w:val="auto"/>
          <w:sz w:val="24"/>
          <w:highlight w:val="none"/>
        </w:rPr>
      </w:pPr>
      <w:r>
        <w:rPr>
          <w:rFonts w:hAnsi="宋体"/>
          <w:color w:val="auto"/>
          <w:sz w:val="24"/>
          <w:highlight w:val="none"/>
        </w:rPr>
        <w:t>1</w:t>
      </w:r>
      <w:bookmarkStart w:id="436" w:name="_Toc312677987"/>
      <w:bookmarkStart w:id="437" w:name="_Toc304295522"/>
      <w:bookmarkStart w:id="438" w:name="_Toc303539101"/>
      <w:bookmarkStart w:id="439" w:name="_Toc300934944"/>
      <w:bookmarkStart w:id="440" w:name="_Toc318581156"/>
      <w:r>
        <w:rPr>
          <w:rFonts w:hAnsi="宋体"/>
          <w:color w:val="auto"/>
          <w:sz w:val="24"/>
          <w:highlight w:val="none"/>
        </w:rPr>
        <w:t>.10.3 场内交通</w:t>
      </w:r>
    </w:p>
    <w:p>
      <w:pPr>
        <w:spacing w:line="440" w:lineRule="exact"/>
        <w:ind w:firstLine="480" w:firstLineChars="200"/>
        <w:rPr>
          <w:rFonts w:hAnsi="宋体"/>
          <w:color w:val="auto"/>
          <w:kern w:val="0"/>
          <w:sz w:val="24"/>
          <w:highlight w:val="none"/>
        </w:rPr>
      </w:pPr>
      <w:r>
        <w:rPr>
          <w:rFonts w:hAnsi="宋体"/>
          <w:color w:val="auto"/>
          <w:kern w:val="0"/>
          <w:sz w:val="24"/>
          <w:highlight w:val="none"/>
        </w:rPr>
        <w:t>关于场外交通和场内交通的边界的约定：</w:t>
      </w:r>
      <w:r>
        <w:rPr>
          <w:rFonts w:hint="eastAsia" w:hAnsi="宋体"/>
          <w:color w:val="auto"/>
          <w:sz w:val="24"/>
          <w:highlight w:val="none"/>
          <w:u w:val="single"/>
        </w:rPr>
        <w:t>由承包人负责管理并承担费用</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关于发包人向承包人免费提供满足工程施工需要的场内道路和交通设施的约定：</w:t>
      </w:r>
      <w:r>
        <w:rPr>
          <w:rFonts w:hint="eastAsia" w:hAnsi="宋体"/>
          <w:color w:val="auto"/>
          <w:sz w:val="24"/>
          <w:highlight w:val="none"/>
          <w:u w:val="single"/>
        </w:rPr>
        <w:t>均由承包人自行负责并承担费用</w:t>
      </w:r>
      <w:r>
        <w:rPr>
          <w:rFonts w:hAnsi="宋体"/>
          <w:color w:val="auto"/>
          <w:sz w:val="24"/>
          <w:highlight w:val="none"/>
        </w:rPr>
        <w:t>。</w:t>
      </w:r>
      <w:bookmarkEnd w:id="436"/>
      <w:bookmarkEnd w:id="437"/>
      <w:bookmarkEnd w:id="438"/>
      <w:bookmarkEnd w:id="439"/>
      <w:bookmarkEnd w:id="440"/>
      <w:r>
        <w:rPr>
          <w:rFonts w:hAnsi="宋体"/>
          <w:color w:val="auto"/>
          <w:sz w:val="24"/>
          <w:highlight w:val="none"/>
        </w:rPr>
        <w:t xml:space="preserve"> </w:t>
      </w:r>
      <w:bookmarkStart w:id="441" w:name="_Toc318581157"/>
    </w:p>
    <w:p>
      <w:pPr>
        <w:spacing w:line="440" w:lineRule="exact"/>
        <w:ind w:firstLine="480" w:firstLineChars="200"/>
        <w:rPr>
          <w:rFonts w:hAnsi="宋体"/>
          <w:color w:val="auto"/>
          <w:sz w:val="24"/>
          <w:highlight w:val="none"/>
        </w:rPr>
      </w:pPr>
      <w:r>
        <w:rPr>
          <w:rFonts w:hAnsi="宋体"/>
          <w:color w:val="auto"/>
          <w:sz w:val="24"/>
          <w:highlight w:val="none"/>
        </w:rPr>
        <w:t>1.10.4超大件和超重件的运输</w:t>
      </w:r>
    </w:p>
    <w:p>
      <w:pPr>
        <w:spacing w:line="440" w:lineRule="exact"/>
        <w:ind w:firstLine="480" w:firstLineChars="200"/>
        <w:rPr>
          <w:rFonts w:hAnsi="宋体"/>
          <w:color w:val="auto"/>
          <w:sz w:val="24"/>
          <w:highlight w:val="none"/>
        </w:rPr>
      </w:pPr>
      <w:r>
        <w:rPr>
          <w:rFonts w:hAnsi="宋体"/>
          <w:color w:val="auto"/>
          <w:sz w:val="24"/>
          <w:highlight w:val="none"/>
        </w:rPr>
        <w:t>运输超大件或超重件所需的道路和桥梁临时加固改造费用和其他有关费用由</w:t>
      </w:r>
      <w:r>
        <w:rPr>
          <w:rFonts w:hint="eastAsia" w:hAnsi="宋体"/>
          <w:color w:val="auto"/>
          <w:sz w:val="24"/>
          <w:highlight w:val="none"/>
          <w:u w:val="single"/>
        </w:rPr>
        <w:t>承包人</w:t>
      </w:r>
      <w:r>
        <w:rPr>
          <w:rFonts w:hAnsi="宋体"/>
          <w:color w:val="auto"/>
          <w:sz w:val="24"/>
          <w:highlight w:val="none"/>
        </w:rPr>
        <w:t>承担。</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本工程的超大件：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本工程的超重件：</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41"/>
    <w:p>
      <w:pPr>
        <w:spacing w:line="440" w:lineRule="exact"/>
        <w:ind w:firstLine="480" w:firstLineChars="200"/>
        <w:rPr>
          <w:rFonts w:hAnsi="宋体"/>
          <w:color w:val="auto"/>
          <w:sz w:val="24"/>
          <w:highlight w:val="none"/>
        </w:rPr>
      </w:pPr>
      <w:r>
        <w:rPr>
          <w:rFonts w:hAnsi="宋体"/>
          <w:color w:val="auto"/>
          <w:sz w:val="24"/>
          <w:highlight w:val="none"/>
        </w:rPr>
        <w:t>1.11 知识产权</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hAnsi="宋体"/>
          <w:color w:val="auto"/>
          <w:sz w:val="24"/>
          <w:highlight w:val="none"/>
          <w:u w:val="single"/>
        </w:rPr>
        <w:t>归发包人所有</w:t>
      </w:r>
      <w:r>
        <w:rPr>
          <w:rFonts w:hAnsi="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关于发包人提供的上述文件的使用限制的要求：</w:t>
      </w:r>
      <w:r>
        <w:rPr>
          <w:rFonts w:hint="eastAsia" w:hAnsi="宋体"/>
          <w:color w:val="auto"/>
          <w:sz w:val="24"/>
          <w:highlight w:val="none"/>
          <w:u w:val="single"/>
        </w:rPr>
        <w:t>须经发包人书面同意</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1.11.2 关于承包人为实施工程所编制文件的著作权的归属：</w:t>
      </w:r>
      <w:r>
        <w:rPr>
          <w:rFonts w:hint="eastAsia" w:hAnsi="宋体"/>
          <w:color w:val="auto"/>
          <w:sz w:val="24"/>
          <w:highlight w:val="none"/>
          <w:u w:val="single"/>
        </w:rPr>
        <w:t>归发包人</w:t>
      </w:r>
      <w:r>
        <w:rPr>
          <w:rFonts w:hAnsi="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关于承包人提供的上述文件的使用限制的要求：</w:t>
      </w:r>
      <w:r>
        <w:rPr>
          <w:rFonts w:hint="eastAsia" w:hAnsi="宋体"/>
          <w:color w:val="auto"/>
          <w:sz w:val="24"/>
          <w:highlight w:val="none"/>
          <w:u w:val="single"/>
        </w:rPr>
        <w:t>须经发包人书面同意</w:t>
      </w:r>
      <w:r>
        <w:rPr>
          <w:rFonts w:hAnsi="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sz w:val="24"/>
          <w:highlight w:val="none"/>
        </w:rPr>
        <w:t>1.11.4 承包人在施工过程中所采用的专利、专有技术、技术秘密的使用费的承担方式：</w:t>
      </w:r>
      <w:r>
        <w:rPr>
          <w:rFonts w:hint="eastAsia" w:hAnsi="宋体"/>
          <w:b/>
          <w:color w:val="auto"/>
          <w:sz w:val="24"/>
          <w:highlight w:val="none"/>
          <w:u w:val="single"/>
        </w:rPr>
        <w:t xml:space="preserve">（除发包人指明外）承包人在施工过程中所采用的专利、专有技术、技术秘密的使用费包含在合同价款内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1.13工程量清单错误的修正</w:t>
      </w:r>
    </w:p>
    <w:p>
      <w:pPr>
        <w:spacing w:line="440" w:lineRule="exact"/>
        <w:ind w:firstLine="480" w:firstLineChars="200"/>
        <w:rPr>
          <w:rFonts w:hint="eastAsia" w:hAnsi="宋体"/>
          <w:color w:val="auto"/>
          <w:kern w:val="0"/>
          <w:sz w:val="24"/>
          <w:highlight w:val="none"/>
        </w:rPr>
      </w:pPr>
      <w:r>
        <w:rPr>
          <w:rFonts w:hint="eastAsia" w:hAnsi="宋体"/>
          <w:color w:val="auto"/>
          <w:sz w:val="24"/>
          <w:highlight w:val="none"/>
        </w:rPr>
        <w:t>出现工程量清单错误时，是否调整合同价格：</w:t>
      </w:r>
      <w:r>
        <w:rPr>
          <w:rFonts w:hint="eastAsia" w:hAnsi="宋体"/>
          <w:b/>
          <w:color w:val="auto"/>
          <w:sz w:val="24"/>
          <w:highlight w:val="none"/>
          <w:u w:val="single"/>
        </w:rPr>
        <w:t xml:space="preserve"> </w:t>
      </w:r>
      <w:r>
        <w:rPr>
          <w:rFonts w:hint="eastAsia" w:hAnsi="宋体" w:cs="宋体"/>
          <w:color w:val="auto"/>
          <w:sz w:val="24"/>
          <w:highlight w:val="none"/>
          <w:u w:val="single"/>
        </w:rPr>
        <w:t xml:space="preserve">工程量确有错误的，工程量经相关部门对工程结算审核确认后调整  </w:t>
      </w:r>
      <w:r>
        <w:rPr>
          <w:rFonts w:hint="eastAsia" w:hAnsi="宋体" w:cs="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sz w:val="24"/>
          <w:highlight w:val="none"/>
        </w:rPr>
        <w:t>允许调整合同价格的工程量偏差范围：</w:t>
      </w:r>
      <w:r>
        <w:rPr>
          <w:rFonts w:hint="eastAsia" w:hAnsi="宋体"/>
          <w:color w:val="auto"/>
          <w:sz w:val="24"/>
          <w:highlight w:val="none"/>
          <w:u w:val="single"/>
        </w:rPr>
        <w:t>工程量按实结算，单价不变</w:t>
      </w:r>
      <w:r>
        <w:rPr>
          <w:rFonts w:hAnsi="宋体"/>
          <w:color w:val="auto"/>
          <w:kern w:val="0"/>
          <w:sz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调整合同价格的修正时间：</w:t>
      </w:r>
      <w:r>
        <w:rPr>
          <w:rFonts w:hint="eastAsia" w:ascii="宋体" w:hAnsi="宋体" w:eastAsia="宋体" w:cs="宋体"/>
          <w:b/>
          <w:bCs/>
          <w:color w:val="auto"/>
          <w:sz w:val="24"/>
          <w:szCs w:val="24"/>
          <w:highlight w:val="none"/>
          <w:u w:val="single"/>
        </w:rPr>
        <w:t xml:space="preserve">          </w:t>
      </w:r>
      <w:r>
        <w:rPr>
          <w:rFonts w:hint="eastAsia"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1.14 合同价款</w:t>
      </w:r>
    </w:p>
    <w:p>
      <w:pPr>
        <w:spacing w:line="440" w:lineRule="exact"/>
        <w:ind w:firstLine="480" w:firstLineChars="200"/>
        <w:rPr>
          <w:rFonts w:hAnsi="宋体"/>
          <w:color w:val="auto"/>
          <w:sz w:val="24"/>
          <w:highlight w:val="none"/>
          <w:u w:val="single"/>
        </w:rPr>
      </w:pPr>
      <w:r>
        <w:rPr>
          <w:rFonts w:hint="eastAsia" w:hAnsi="宋体"/>
          <w:color w:val="auto"/>
          <w:sz w:val="24"/>
          <w:highlight w:val="none"/>
          <w:u w:val="single"/>
        </w:rPr>
        <w:t>本合同为单价合同，工程量按实调整。合同价仅为进度款支付依据，最终结算价以建设单位委托的审价公司出具的审核报告为准。</w:t>
      </w:r>
    </w:p>
    <w:p>
      <w:pPr>
        <w:spacing w:line="440" w:lineRule="exact"/>
        <w:ind w:firstLine="480" w:firstLineChars="200"/>
        <w:rPr>
          <w:rFonts w:hint="eastAsia"/>
          <w:color w:val="auto"/>
          <w:sz w:val="24"/>
          <w:highlight w:val="none"/>
        </w:rPr>
      </w:pPr>
      <w:bookmarkStart w:id="442" w:name="_Toc351203634"/>
      <w:r>
        <w:rPr>
          <w:color w:val="auto"/>
          <w:sz w:val="24"/>
          <w:highlight w:val="none"/>
        </w:rPr>
        <w:t>2</w:t>
      </w:r>
      <w:bookmarkStart w:id="443" w:name="_Toc296503157"/>
      <w:bookmarkStart w:id="444" w:name="_Toc296891197"/>
      <w:bookmarkStart w:id="445" w:name="_Toc292559867"/>
      <w:bookmarkStart w:id="446" w:name="_Toc296944496"/>
      <w:bookmarkStart w:id="447" w:name="_Toc296890985"/>
      <w:bookmarkStart w:id="448" w:name="_Toc297048343"/>
      <w:bookmarkStart w:id="449" w:name="_Toc296347156"/>
      <w:bookmarkStart w:id="450" w:name="_Toc292559362"/>
      <w:bookmarkStart w:id="451" w:name="_Toc297120457"/>
      <w:bookmarkStart w:id="452" w:name="_Toc296346658"/>
      <w:r>
        <w:rPr>
          <w:color w:val="auto"/>
          <w:sz w:val="24"/>
          <w:highlight w:val="none"/>
        </w:rPr>
        <w:t>. 发包人</w:t>
      </w:r>
      <w:bookmarkEnd w:id="442"/>
    </w:p>
    <w:p>
      <w:pPr>
        <w:keepNext w:val="0"/>
        <w:keepLines w:val="0"/>
        <w:pageBreakBefore w:val="0"/>
        <w:widowControl w:val="0"/>
        <w:kinsoku/>
        <w:wordWrap/>
        <w:overflowPunct/>
        <w:topLinePunct w:val="0"/>
        <w:bidi w:val="0"/>
        <w:adjustRightInd/>
        <w:snapToGrid/>
        <w:spacing w:line="400" w:lineRule="exact"/>
        <w:ind w:firstLine="354" w:firstLineChars="147"/>
        <w:textAlignment w:val="auto"/>
        <w:rPr>
          <w:rFonts w:hint="eastAsia" w:ascii="宋体" w:hAnsi="宋体" w:eastAsia="宋体" w:cs="宋体"/>
          <w:b/>
          <w:bCs/>
          <w:color w:val="auto"/>
          <w:sz w:val="24"/>
          <w:szCs w:val="24"/>
          <w:highlight w:val="none"/>
        </w:rPr>
      </w:pPr>
      <w:r>
        <w:rPr>
          <w:rFonts w:hint="eastAsia" w:hAnsi="宋体"/>
          <w:b/>
          <w:color w:val="auto"/>
          <w:sz w:val="24"/>
          <w:highlight w:val="none"/>
        </w:rPr>
        <w:t>发包人应根据工程所需配备发包人代表，同时配备1-2名相关人员到岗履职。</w:t>
      </w:r>
      <w:r>
        <w:rPr>
          <w:rFonts w:hint="eastAsia" w:ascii="宋体" w:hAnsi="宋体" w:eastAsia="宋体" w:cs="宋体"/>
          <w:b/>
          <w:bCs/>
          <w:color w:val="auto"/>
          <w:sz w:val="24"/>
          <w:szCs w:val="24"/>
          <w:highlight w:val="none"/>
        </w:rPr>
        <w:t>发包人应做好承包人农民工工资保证金缴存情况的审核工作，督促未缴存农民工工资保证金的承包人及时缴存。</w:t>
      </w:r>
    </w:p>
    <w:bookmarkEnd w:id="443"/>
    <w:bookmarkEnd w:id="444"/>
    <w:bookmarkEnd w:id="445"/>
    <w:bookmarkEnd w:id="446"/>
    <w:bookmarkEnd w:id="447"/>
    <w:bookmarkEnd w:id="448"/>
    <w:bookmarkEnd w:id="449"/>
    <w:bookmarkEnd w:id="450"/>
    <w:bookmarkEnd w:id="451"/>
    <w:bookmarkEnd w:id="452"/>
    <w:p>
      <w:pPr>
        <w:spacing w:line="440" w:lineRule="exact"/>
        <w:ind w:firstLine="480" w:firstLineChars="200"/>
        <w:rPr>
          <w:rFonts w:hAnsi="宋体"/>
          <w:color w:val="auto"/>
          <w:sz w:val="24"/>
          <w:highlight w:val="none"/>
        </w:rPr>
      </w:pPr>
      <w:r>
        <w:rPr>
          <w:rFonts w:hAnsi="宋体"/>
          <w:color w:val="auto"/>
          <w:sz w:val="24"/>
          <w:highlight w:val="none"/>
        </w:rPr>
        <w:t>2.2 发包人代表</w:t>
      </w:r>
    </w:p>
    <w:p>
      <w:pPr>
        <w:spacing w:line="440" w:lineRule="exact"/>
        <w:ind w:firstLine="480" w:firstLineChars="200"/>
        <w:rPr>
          <w:rFonts w:hAnsi="宋体"/>
          <w:color w:val="auto"/>
          <w:sz w:val="24"/>
          <w:highlight w:val="none"/>
        </w:rPr>
      </w:pPr>
      <w:r>
        <w:rPr>
          <w:rFonts w:hAnsi="宋体"/>
          <w:color w:val="auto"/>
          <w:sz w:val="24"/>
          <w:highlight w:val="none"/>
        </w:rPr>
        <w:t>发包人代表：</w:t>
      </w:r>
    </w:p>
    <w:p>
      <w:pPr>
        <w:spacing w:line="440" w:lineRule="exact"/>
        <w:ind w:firstLine="480" w:firstLineChars="200"/>
        <w:rPr>
          <w:rFonts w:hAnsi="宋体"/>
          <w:color w:val="auto"/>
          <w:sz w:val="24"/>
          <w:highlight w:val="none"/>
        </w:rPr>
      </w:pPr>
      <w:r>
        <w:rPr>
          <w:rFonts w:hAnsi="宋体"/>
          <w:color w:val="auto"/>
          <w:sz w:val="24"/>
          <w:highlight w:val="none"/>
        </w:rPr>
        <w:t>姓    名：</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身份证号：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职    务：</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color w:val="auto"/>
          <w:sz w:val="24"/>
          <w:highlight w:val="none"/>
        </w:rPr>
      </w:pPr>
      <w:r>
        <w:rPr>
          <w:rFonts w:hAnsi="宋体"/>
          <w:color w:val="auto"/>
          <w:sz w:val="24"/>
          <w:highlight w:val="none"/>
        </w:rPr>
        <w:t>发包人对发包人代表的授权范围如下：</w:t>
      </w:r>
      <w:r>
        <w:rPr>
          <w:rFonts w:hint="eastAsia" w:hAnsi="宋体"/>
          <w:color w:val="auto"/>
          <w:sz w:val="24"/>
          <w:highlight w:val="none"/>
          <w:u w:val="single"/>
        </w:rPr>
        <w:t>对工程进度、质量、成本及合同执行情况进行监督和检查，负责设计问题的联络处理，代表发包人履行设计变更、联系单及工程进度款的签证等职责（以上需经工程师核定签字，并由发包方盖章后方为有效。详细的权限根据发包人公司相关制度的规定）。</w:t>
      </w:r>
    </w:p>
    <w:p>
      <w:pPr>
        <w:spacing w:line="440" w:lineRule="exact"/>
        <w:ind w:firstLine="480" w:firstLineChars="200"/>
        <w:rPr>
          <w:rFonts w:hAnsi="宋体"/>
          <w:color w:val="auto"/>
          <w:sz w:val="24"/>
          <w:highlight w:val="none"/>
        </w:rPr>
      </w:pPr>
      <w:r>
        <w:rPr>
          <w:rFonts w:hAnsi="宋体"/>
          <w:color w:val="auto"/>
          <w:sz w:val="24"/>
          <w:highlight w:val="none"/>
        </w:rPr>
        <w:t>2.4 施工现场、施工条件和基础资料的提供</w:t>
      </w:r>
    </w:p>
    <w:p>
      <w:pPr>
        <w:spacing w:line="440" w:lineRule="exact"/>
        <w:ind w:firstLine="480" w:firstLineChars="200"/>
        <w:rPr>
          <w:rFonts w:hAnsi="宋体"/>
          <w:color w:val="auto"/>
          <w:sz w:val="24"/>
          <w:highlight w:val="none"/>
        </w:rPr>
      </w:pPr>
      <w:r>
        <w:rPr>
          <w:rFonts w:hAnsi="宋体"/>
          <w:color w:val="auto"/>
          <w:sz w:val="24"/>
          <w:highlight w:val="none"/>
        </w:rPr>
        <w:t>2.4.1 提供施工现场</w:t>
      </w:r>
    </w:p>
    <w:p>
      <w:pPr>
        <w:spacing w:line="440" w:lineRule="exact"/>
        <w:ind w:firstLine="480" w:firstLineChars="200"/>
        <w:rPr>
          <w:rFonts w:hAnsi="宋体"/>
          <w:color w:val="auto"/>
          <w:sz w:val="24"/>
          <w:highlight w:val="none"/>
        </w:rPr>
      </w:pPr>
      <w:r>
        <w:rPr>
          <w:rFonts w:hAnsi="宋体"/>
          <w:color w:val="auto"/>
          <w:sz w:val="24"/>
          <w:highlight w:val="none"/>
        </w:rPr>
        <w:t>关于发包人移交施工现场的期限要求：</w:t>
      </w:r>
      <w:r>
        <w:rPr>
          <w:rFonts w:hint="eastAsia"/>
          <w:color w:val="auto"/>
          <w:sz w:val="24"/>
          <w:highlight w:val="none"/>
          <w:u w:val="single"/>
        </w:rPr>
        <w:t>合同签订后5天内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2.4.2 提供施工条件</w:t>
      </w:r>
    </w:p>
    <w:p>
      <w:pPr>
        <w:spacing w:line="440" w:lineRule="exact"/>
        <w:ind w:firstLine="480" w:firstLineChars="200"/>
        <w:rPr>
          <w:rFonts w:hAnsi="宋体"/>
          <w:color w:val="auto"/>
          <w:sz w:val="24"/>
          <w:highlight w:val="none"/>
        </w:rPr>
      </w:pPr>
      <w:r>
        <w:rPr>
          <w:rFonts w:hAnsi="宋体"/>
          <w:color w:val="auto"/>
          <w:sz w:val="24"/>
          <w:highlight w:val="none"/>
        </w:rPr>
        <w:t>关于发包人应负责提供施工</w:t>
      </w:r>
      <w:r>
        <w:rPr>
          <w:rFonts w:hint="eastAsia" w:hAnsi="宋体"/>
          <w:color w:val="auto"/>
          <w:sz w:val="24"/>
          <w:highlight w:val="none"/>
        </w:rPr>
        <w:t>所需要的条件，</w:t>
      </w:r>
      <w:r>
        <w:rPr>
          <w:rFonts w:hAnsi="宋体"/>
          <w:color w:val="auto"/>
          <w:sz w:val="24"/>
          <w:highlight w:val="none"/>
        </w:rPr>
        <w:t>包括：</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（1）施工场地已具备施工条件的要求及完成的时间：现场已具备开工条件，有关进场准备工作由承包人负责做好，费用已含在承包人的投标报价中。</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承包人已对施工现场勘查完毕并充分了解，认为具备施工条件。施工前，发包人已要求承包人自行到工地现场勘查，承包人已充分了解工地位置、情况、道路、装卸限制及任何其他足以影响承包价的现场情况，任何忽视或误解工地现场情况而导致的索赔或工期延长申请将不获批准。</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2）施工现场水、电、通迅线路接到施工现场的时间、地点和供应要求：发包人负责提供电源、水源，由承包人接入施工现场，设置分电源箱，并单独装表计量。安装费、线路、设备购置费及施工过程中发生的所有电费、水费，均已含在投标报价中。</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（3）施工场地与公共道路的通道开通时间和要求：</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（4）工程地质和地下管线资料（如有）的提供时间：</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（5）图纸会审和设计交底</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（6）协调处理施工场地周围地下管线和邻近建筑物、构筑物、古树名木保护等工作：由承包人自行解决。</w:t>
      </w:r>
    </w:p>
    <w:p>
      <w:pPr>
        <w:spacing w:line="440" w:lineRule="exact"/>
        <w:ind w:firstLine="480" w:firstLineChars="200"/>
        <w:rPr>
          <w:rFonts w:hAnsi="宋体"/>
          <w:color w:val="auto"/>
          <w:sz w:val="24"/>
          <w:highlight w:val="none"/>
        </w:rPr>
      </w:pPr>
      <w:r>
        <w:rPr>
          <w:rFonts w:hAnsi="宋体"/>
          <w:color w:val="auto"/>
          <w:sz w:val="24"/>
          <w:highlight w:val="none"/>
        </w:rPr>
        <w:t>2.5 资金来源证明及支付担保</w:t>
      </w:r>
    </w:p>
    <w:p>
      <w:pPr>
        <w:spacing w:line="440" w:lineRule="exact"/>
        <w:ind w:firstLine="480" w:firstLineChars="200"/>
        <w:rPr>
          <w:rFonts w:hAnsi="宋体"/>
          <w:color w:val="auto"/>
          <w:sz w:val="24"/>
          <w:highlight w:val="none"/>
        </w:rPr>
      </w:pPr>
      <w:r>
        <w:rPr>
          <w:rFonts w:hAnsi="宋体"/>
          <w:color w:val="auto"/>
          <w:sz w:val="24"/>
          <w:highlight w:val="none"/>
        </w:rPr>
        <w:t>发包人提供资金来源证明的期限要求：</w:t>
      </w:r>
      <w:r>
        <w:rPr>
          <w:rFonts w:hint="eastAsia" w:hAnsi="宋体" w:cs="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发包人是否提供支付担保：</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发包人提供支付担保的形式：</w:t>
      </w:r>
      <w:r>
        <w:rPr>
          <w:rFonts w:hint="eastAsia" w:hAnsi="宋体" w:cs="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color w:val="auto"/>
          <w:sz w:val="24"/>
          <w:highlight w:val="none"/>
        </w:rPr>
      </w:pPr>
      <w:bookmarkStart w:id="453" w:name="_Toc351203635"/>
      <w:r>
        <w:rPr>
          <w:color w:val="auto"/>
          <w:sz w:val="24"/>
          <w:highlight w:val="none"/>
        </w:rPr>
        <w:t>3</w:t>
      </w:r>
      <w:bookmarkStart w:id="454" w:name="_Toc296890986"/>
      <w:bookmarkStart w:id="455" w:name="_Toc292559363"/>
      <w:bookmarkStart w:id="456" w:name="_Toc296346659"/>
      <w:bookmarkStart w:id="457" w:name="_Toc297048344"/>
      <w:bookmarkStart w:id="458" w:name="_Toc292559868"/>
      <w:bookmarkStart w:id="459" w:name="_Toc296891198"/>
      <w:bookmarkStart w:id="460" w:name="_Toc296347157"/>
      <w:bookmarkStart w:id="461" w:name="_Toc296503158"/>
      <w:bookmarkStart w:id="462" w:name="_Toc296944497"/>
      <w:bookmarkStart w:id="463" w:name="_Toc297120458"/>
      <w:r>
        <w:rPr>
          <w:color w:val="auto"/>
          <w:sz w:val="24"/>
          <w:highlight w:val="none"/>
        </w:rPr>
        <w:t>. 承包人</w:t>
      </w:r>
      <w:bookmarkEnd w:id="453"/>
    </w:p>
    <w:bookmarkEnd w:id="454"/>
    <w:bookmarkEnd w:id="455"/>
    <w:bookmarkEnd w:id="456"/>
    <w:bookmarkEnd w:id="457"/>
    <w:bookmarkEnd w:id="458"/>
    <w:bookmarkEnd w:id="459"/>
    <w:bookmarkEnd w:id="460"/>
    <w:bookmarkEnd w:id="461"/>
    <w:bookmarkEnd w:id="462"/>
    <w:bookmarkEnd w:id="463"/>
    <w:p>
      <w:pPr>
        <w:spacing w:line="440" w:lineRule="exact"/>
        <w:ind w:firstLine="480" w:firstLineChars="200"/>
        <w:rPr>
          <w:rFonts w:hAnsi="宋体"/>
          <w:color w:val="auto"/>
          <w:sz w:val="24"/>
          <w:highlight w:val="none"/>
        </w:rPr>
      </w:pPr>
      <w:r>
        <w:rPr>
          <w:rFonts w:hAnsi="宋体"/>
          <w:color w:val="auto"/>
          <w:sz w:val="24"/>
          <w:highlight w:val="none"/>
        </w:rPr>
        <w:t>3.1 承包人的一般义务</w:t>
      </w:r>
    </w:p>
    <w:p>
      <w:pPr>
        <w:pStyle w:val="26"/>
        <w:spacing w:after="0" w:line="440" w:lineRule="exact"/>
        <w:ind w:firstLine="480" w:firstLineChars="200"/>
        <w:rPr>
          <w:rFonts w:hint="eastAsia" w:hAnsi="宋体"/>
          <w:color w:val="auto"/>
          <w:sz w:val="24"/>
          <w:highlight w:val="none"/>
          <w:u w:val="single"/>
        </w:rPr>
      </w:pPr>
      <w:r>
        <w:rPr>
          <w:rFonts w:hAnsi="宋体"/>
          <w:color w:val="auto"/>
          <w:sz w:val="24"/>
          <w:highlight w:val="none"/>
        </w:rPr>
        <w:t>（</w:t>
      </w:r>
      <w:r>
        <w:rPr>
          <w:rFonts w:hint="eastAsia" w:hAnsi="宋体"/>
          <w:color w:val="auto"/>
          <w:sz w:val="24"/>
          <w:highlight w:val="none"/>
          <w:lang w:val="en-US" w:eastAsia="zh-CN"/>
        </w:rPr>
        <w:t>9</w:t>
      </w:r>
      <w:r>
        <w:rPr>
          <w:rFonts w:hAnsi="宋体"/>
          <w:color w:val="auto"/>
          <w:sz w:val="24"/>
          <w:highlight w:val="none"/>
        </w:rPr>
        <w:t>）承包人提交的竣工资料的内容：</w:t>
      </w:r>
      <w:r>
        <w:rPr>
          <w:rFonts w:hint="eastAsia" w:hAnsi="宋体"/>
          <w:color w:val="auto"/>
          <w:sz w:val="24"/>
          <w:highlight w:val="none"/>
          <w:u w:val="single"/>
        </w:rPr>
        <w:t>在工程竣工前免费向发包人提供符合城建档案等部门要求的竣工资料。</w:t>
      </w:r>
    </w:p>
    <w:p>
      <w:pPr>
        <w:spacing w:line="440" w:lineRule="exact"/>
        <w:ind w:firstLine="480" w:firstLineChars="200"/>
        <w:rPr>
          <w:rFonts w:hint="eastAsia" w:hAnsi="宋体"/>
          <w:color w:val="auto"/>
          <w:sz w:val="24"/>
          <w:highlight w:val="none"/>
        </w:rPr>
      </w:pPr>
      <w:r>
        <w:rPr>
          <w:rFonts w:hAnsi="宋体"/>
          <w:color w:val="auto"/>
          <w:sz w:val="24"/>
          <w:highlight w:val="none"/>
        </w:rPr>
        <w:t>承包人需要提交的竣工资料套数：</w:t>
      </w:r>
      <w:r>
        <w:rPr>
          <w:rFonts w:hint="eastAsia" w:hAnsi="宋体"/>
          <w:color w:val="auto"/>
          <w:sz w:val="24"/>
          <w:highlight w:val="none"/>
          <w:u w:val="single"/>
        </w:rPr>
        <w:t>各五套（包括电子文档五套），其中一套必须是原件及电子光盘一套）</w:t>
      </w:r>
      <w:r>
        <w:rPr>
          <w:rFonts w:hint="eastAsia"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承包人提交的竣工资料的费用承担：</w:t>
      </w:r>
      <w:r>
        <w:rPr>
          <w:rFonts w:hint="eastAsia" w:hAnsi="宋体"/>
          <w:color w:val="auto"/>
          <w:sz w:val="24"/>
          <w:highlight w:val="none"/>
          <w:u w:val="single"/>
        </w:rPr>
        <w:t>自行承担</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承包人提交的竣工资料移交时间：</w:t>
      </w:r>
      <w:r>
        <w:rPr>
          <w:rFonts w:hint="eastAsia" w:hAnsi="宋体"/>
          <w:color w:val="auto"/>
          <w:sz w:val="24"/>
          <w:highlight w:val="none"/>
          <w:u w:val="single"/>
        </w:rPr>
        <w:t xml:space="preserve">竣工验收后5天内及相应的进度款支付前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承包人提交的竣工资料形式要求：</w:t>
      </w:r>
      <w:r>
        <w:rPr>
          <w:rFonts w:hint="eastAsia" w:hAnsi="宋体"/>
          <w:color w:val="auto"/>
          <w:sz w:val="24"/>
          <w:highlight w:val="none"/>
          <w:u w:val="single"/>
        </w:rPr>
        <w:t>纸质文本、电子光盘</w:t>
      </w:r>
      <w:r>
        <w:rPr>
          <w:rFonts w:hAnsi="宋体"/>
          <w:color w:val="auto"/>
          <w:sz w:val="24"/>
          <w:highlight w:val="none"/>
        </w:rPr>
        <w:t>。</w:t>
      </w:r>
    </w:p>
    <w:p>
      <w:pPr>
        <w:spacing w:line="440" w:lineRule="exact"/>
        <w:ind w:firstLine="480" w:firstLineChars="200"/>
        <w:rPr>
          <w:rFonts w:hint="eastAsia" w:hAnsi="宋体" w:cs="宋体"/>
          <w:color w:val="auto"/>
          <w:sz w:val="24"/>
          <w:highlight w:val="none"/>
          <w:u w:val="single"/>
        </w:rPr>
      </w:pPr>
      <w:r>
        <w:rPr>
          <w:rFonts w:hint="eastAsia" w:hAnsi="宋体" w:cs="宋体"/>
          <w:color w:val="auto"/>
          <w:sz w:val="24"/>
          <w:highlight w:val="none"/>
          <w:u w:val="single"/>
        </w:rPr>
        <w:t>承包人提交的竣工资料必须按临安城建档案馆归档要求提供。如因资料不符合城建档案馆及其他有关部门的要求，而产生的资料整理费用由承包人承担，承包人还应承担由此给发包人造成的其它损失。</w:t>
      </w:r>
    </w:p>
    <w:p>
      <w:pPr>
        <w:numPr>
          <w:ilvl w:val="0"/>
          <w:numId w:val="0"/>
        </w:numPr>
        <w:tabs>
          <w:tab w:val="left" w:pos="2856"/>
        </w:tabs>
        <w:spacing w:line="440" w:lineRule="exact"/>
        <w:ind w:firstLine="480" w:firstLineChars="200"/>
        <w:rPr>
          <w:rFonts w:hAnsi="宋体"/>
          <w:color w:val="auto"/>
          <w:kern w:val="0"/>
          <w:sz w:val="24"/>
          <w:highlight w:val="none"/>
        </w:rPr>
      </w:pPr>
      <w:r>
        <w:rPr>
          <w:rFonts w:hint="eastAsia" w:hAnsi="宋体"/>
          <w:color w:val="auto"/>
          <w:kern w:val="0"/>
          <w:sz w:val="24"/>
          <w:highlight w:val="none"/>
          <w:lang w:eastAsia="zh-CN"/>
        </w:rPr>
        <w:t>（</w:t>
      </w:r>
      <w:r>
        <w:rPr>
          <w:rFonts w:hint="eastAsia" w:hAnsi="宋体"/>
          <w:color w:val="auto"/>
          <w:kern w:val="0"/>
          <w:sz w:val="24"/>
          <w:highlight w:val="none"/>
          <w:lang w:val="en-US" w:eastAsia="zh-CN"/>
        </w:rPr>
        <w:t>10</w:t>
      </w:r>
      <w:r>
        <w:rPr>
          <w:rFonts w:hint="eastAsia" w:hAnsi="宋体"/>
          <w:color w:val="auto"/>
          <w:kern w:val="0"/>
          <w:sz w:val="24"/>
          <w:highlight w:val="none"/>
          <w:lang w:eastAsia="zh-CN"/>
        </w:rPr>
        <w:t>）</w:t>
      </w:r>
      <w:r>
        <w:rPr>
          <w:rFonts w:hAnsi="宋体"/>
          <w:color w:val="auto"/>
          <w:kern w:val="0"/>
          <w:sz w:val="24"/>
          <w:highlight w:val="none"/>
        </w:rPr>
        <w:t>承包人应履行的其他义务：</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1）</w:t>
      </w:r>
      <w:r>
        <w:rPr>
          <w:rFonts w:hint="eastAsia"/>
          <w:b/>
          <w:bCs/>
          <w:color w:val="auto"/>
          <w:sz w:val="24"/>
          <w:szCs w:val="24"/>
          <w:highlight w:val="none"/>
          <w:u w:val="single"/>
        </w:rPr>
        <w:t>承包人应当在工程开工建设前，到项目所在地商业银行开设农民工工资专用账户，专项用于支付该工程建设项目农民工工资。</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2）</w:t>
      </w:r>
      <w:r>
        <w:rPr>
          <w:rFonts w:hint="eastAsia"/>
          <w:b/>
          <w:bCs/>
          <w:color w:val="auto"/>
          <w:sz w:val="24"/>
          <w:szCs w:val="24"/>
          <w:highlight w:val="none"/>
          <w:u w:val="single"/>
        </w:rPr>
        <w:t>承包人应建立实名制电子考勤系统，做好与杭州市智慧工地实名制管理应用系统以及全国建筑工人管理服务信息平台的数据对接工作。</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3）</w:t>
      </w:r>
      <w:r>
        <w:rPr>
          <w:rFonts w:hint="eastAsia"/>
          <w:b/>
          <w:bCs/>
          <w:color w:val="auto"/>
          <w:sz w:val="24"/>
          <w:szCs w:val="24"/>
          <w:highlight w:val="none"/>
          <w:u w:val="single"/>
        </w:rPr>
        <w:t>承包人应及时向项目所在地保证金管理部门缴存农民工工资保证金，并做好分包单位农民工工资保证金缴存的查验工作。</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4）</w:t>
      </w:r>
      <w:r>
        <w:rPr>
          <w:rFonts w:hint="eastAsia"/>
          <w:b/>
          <w:bCs/>
          <w:color w:val="auto"/>
          <w:sz w:val="24"/>
          <w:szCs w:val="24"/>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5）</w:t>
      </w:r>
      <w:r>
        <w:rPr>
          <w:rFonts w:hint="eastAsia"/>
          <w:b/>
          <w:bCs/>
          <w:color w:val="auto"/>
          <w:sz w:val="24"/>
          <w:szCs w:val="24"/>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numPr>
          <w:ilvl w:val="0"/>
          <w:numId w:val="0"/>
        </w:numPr>
        <w:tabs>
          <w:tab w:val="left" w:pos="2856"/>
        </w:tabs>
        <w:spacing w:line="440" w:lineRule="exact"/>
        <w:ind w:firstLine="480" w:firstLineChars="200"/>
        <w:rPr>
          <w:rFonts w:hint="eastAsia" w:hAnsi="宋体"/>
          <w:color w:val="auto"/>
          <w:sz w:val="24"/>
          <w:highlight w:val="none"/>
        </w:rPr>
      </w:pPr>
      <w:r>
        <w:rPr>
          <w:rFonts w:hint="eastAsia" w:hAnsi="宋体"/>
          <w:color w:val="auto"/>
          <w:sz w:val="24"/>
          <w:highlight w:val="none"/>
          <w:u w:val="single"/>
        </w:rPr>
        <w:t>承包人负责安装在施工过程中为自己所用的供水管网、线路及其设施，并严格按供水供电的有关规定执行，否则一切后果均由承包人负责。施工场地内的施工便道由承包人负责，费用已含在投标总价中。如工程师另有要求时，还应按工程师指定的进度提交单位工程的进度计划等及</w:t>
      </w:r>
      <w:r>
        <w:rPr>
          <w:rFonts w:hint="eastAsia"/>
          <w:color w:val="auto"/>
          <w:sz w:val="24"/>
          <w:highlight w:val="none"/>
          <w:u w:val="single"/>
        </w:rPr>
        <w:t>工程报监、施工许可证办理、工程竣工备案资料整理等有关手续。</w:t>
      </w:r>
      <w:r>
        <w:rPr>
          <w:color w:val="auto"/>
          <w:sz w:val="24"/>
          <w:highlight w:val="none"/>
          <w:u w:val="single"/>
        </w:rPr>
        <w:t xml:space="preserve">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 xml:space="preserve">如因资料不符合城建档案馆及其他有关部门的要求，而产生的资料整理费用，由承包人承担。并提供竣工资料电子档一份 。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施工中发生的水、电费用，由施工单位自装水表、电表，自行支付。</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承包单位必须做好与有关专业单位的配合工作。必须严格遵守安全施工的操作规程,完善安全施工措施，如发现安全事故，由施工单位承担一切责任。水源、电源的接入口到施工、生活现场的费用，已在报价时考虑，结算时不再增加。</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承包人必须对施工场地周边设施妥善保护，如出现损坏由承包负责赔偿及处理。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 xml:space="preserve">工程在具备一定完工条件或竣工验收条件之前，承包单位如接到发包人和监理单位要求其清场并撤离的通知后7日内，必须完成机械设备的撤离施工现场、建筑垃圾的清运出场等场地清理工作（场地清理要符合发包人和监理单位的现场代表的要求），修复场内的交通道路，撤离所有施工人员。如逾期仍未撤离完的，应赔偿发包人每日2000元的赔偿金。同时，发包人有权采取强制手段清除现场，且无须征得承包人的许可，为此所发生的费用从未付工程款中扣除。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施工承包单位应严格按已确认的设计图纸和施工技术方案组织施工，并无条件的接受发包人及发包人委托的监理单位对施工质量的监督和管理。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由于本工程施工而对道路及其它设施设备的影响、破坏，其修复费用由承包人自行承担。</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承包人应依法为本合同下雇佣的职员和工人提供适当和充分的劳动保护。</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承包人为本合同所雇佣的特殊工种的工人和操作人员应受过专门的培训并已取得有关管理机构规定的上岗证书。严格执行施工规范、安全操作规程、防火安全规定、环境保护规定，严格按图施工，做好各项质量检查记录。</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材料的运输、保管、装卸及二次运输等涉及的费用已含在投标总价内，结算时不再增加。</w:t>
      </w:r>
    </w:p>
    <w:p>
      <w:pPr>
        <w:spacing w:line="440" w:lineRule="exact"/>
        <w:ind w:firstLine="480" w:firstLineChars="200"/>
        <w:rPr>
          <w:rFonts w:hAnsi="宋体"/>
          <w:color w:val="auto"/>
          <w:sz w:val="24"/>
          <w:highlight w:val="none"/>
        </w:rPr>
      </w:pPr>
      <w:r>
        <w:rPr>
          <w:rFonts w:hAnsi="宋体"/>
          <w:color w:val="auto"/>
          <w:sz w:val="24"/>
          <w:highlight w:val="none"/>
        </w:rPr>
        <w:t>3.2 项目经理</w:t>
      </w:r>
    </w:p>
    <w:p>
      <w:pPr>
        <w:spacing w:line="440" w:lineRule="exact"/>
        <w:ind w:firstLine="480" w:firstLineChars="200"/>
        <w:rPr>
          <w:rFonts w:hAnsi="宋体"/>
          <w:color w:val="auto"/>
          <w:sz w:val="24"/>
          <w:highlight w:val="none"/>
        </w:rPr>
      </w:pPr>
      <w:r>
        <w:rPr>
          <w:rFonts w:hAnsi="宋体"/>
          <w:color w:val="auto"/>
          <w:kern w:val="0"/>
          <w:sz w:val="24"/>
          <w:highlight w:val="none"/>
        </w:rPr>
        <w:t xml:space="preserve">3.2.1 </w:t>
      </w:r>
      <w:r>
        <w:rPr>
          <w:rFonts w:hAnsi="宋体"/>
          <w:color w:val="auto"/>
          <w:sz w:val="24"/>
          <w:highlight w:val="none"/>
        </w:rPr>
        <w:t>项目经理：</w:t>
      </w:r>
    </w:p>
    <w:p>
      <w:pPr>
        <w:spacing w:line="440" w:lineRule="exact"/>
        <w:ind w:firstLine="480" w:firstLineChars="200"/>
        <w:rPr>
          <w:rFonts w:hAnsi="宋体"/>
          <w:color w:val="auto"/>
          <w:sz w:val="24"/>
          <w:highlight w:val="none"/>
        </w:rPr>
      </w:pPr>
      <w:r>
        <w:rPr>
          <w:rFonts w:hAnsi="宋体"/>
          <w:color w:val="auto"/>
          <w:sz w:val="24"/>
          <w:highlight w:val="none"/>
        </w:rPr>
        <w:t>姓    名：</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身份证号：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建造师执业资格等级：</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建造师注册证书号：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建造师执业印章号：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安全生产考核合格证书号：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color w:val="auto"/>
          <w:sz w:val="24"/>
          <w:highlight w:val="none"/>
          <w:u w:val="single"/>
        </w:rPr>
      </w:pPr>
      <w:r>
        <w:rPr>
          <w:rFonts w:hAnsi="宋体"/>
          <w:color w:val="auto"/>
          <w:sz w:val="24"/>
          <w:highlight w:val="none"/>
        </w:rPr>
        <w:t>承包人对项目经理的授权范围如下：</w:t>
      </w:r>
      <w:r>
        <w:rPr>
          <w:rFonts w:hint="eastAsia"/>
          <w:color w:val="auto"/>
          <w:sz w:val="24"/>
          <w:highlight w:val="none"/>
          <w:u w:val="single"/>
        </w:rPr>
        <w:t>按合同约定的项目进度计划，并按发包人代表和</w:t>
      </w:r>
      <w:r>
        <w:rPr>
          <w:color w:val="auto"/>
          <w:sz w:val="24"/>
          <w:highlight w:val="none"/>
          <w:u w:val="single"/>
        </w:rPr>
        <w:t>（</w:t>
      </w:r>
      <w:r>
        <w:rPr>
          <w:rFonts w:hint="eastAsia"/>
          <w:color w:val="auto"/>
          <w:sz w:val="24"/>
          <w:highlight w:val="none"/>
          <w:u w:val="single"/>
        </w:rPr>
        <w:t>或</w:t>
      </w:r>
      <w:r>
        <w:rPr>
          <w:color w:val="auto"/>
          <w:sz w:val="24"/>
          <w:highlight w:val="none"/>
          <w:u w:val="single"/>
        </w:rPr>
        <w:t>)</w:t>
      </w:r>
      <w:r>
        <w:rPr>
          <w:rFonts w:hint="eastAsia"/>
          <w:color w:val="auto"/>
          <w:sz w:val="24"/>
          <w:highlight w:val="none"/>
          <w:u w:val="single"/>
        </w:rPr>
        <w:t>工程总监依据合同发出的指令组织项目实施。在紧急情况下，且无法与发包人代表和</w:t>
      </w:r>
      <w:r>
        <w:rPr>
          <w:color w:val="auto"/>
          <w:sz w:val="24"/>
          <w:highlight w:val="none"/>
          <w:u w:val="single"/>
        </w:rPr>
        <w:t>（</w:t>
      </w:r>
      <w:r>
        <w:rPr>
          <w:rFonts w:hint="eastAsia"/>
          <w:color w:val="auto"/>
          <w:sz w:val="24"/>
          <w:highlight w:val="none"/>
          <w:u w:val="single"/>
        </w:rPr>
        <w:t>或</w:t>
      </w:r>
      <w:r>
        <w:rPr>
          <w:color w:val="auto"/>
          <w:sz w:val="24"/>
          <w:highlight w:val="none"/>
          <w:u w:val="single"/>
        </w:rPr>
        <w:t>)</w:t>
      </w:r>
      <w:r>
        <w:rPr>
          <w:rFonts w:hint="eastAsia"/>
          <w:color w:val="auto"/>
          <w:sz w:val="24"/>
          <w:highlight w:val="none"/>
          <w:u w:val="single"/>
        </w:rPr>
        <w:t>工程总监取得联系时，项目经理有权采取必要的措施保证人身、工程和财产的安全，但须在事后24小时内向发包人代表和（或)工程总监送交书面报告。保障项目的顺利实施，做好与各相关单位的协调工作。</w:t>
      </w:r>
    </w:p>
    <w:p>
      <w:pPr>
        <w:spacing w:line="440" w:lineRule="exact"/>
        <w:ind w:firstLine="480" w:firstLineChars="200"/>
        <w:rPr>
          <w:rFonts w:hint="eastAsia" w:hAnsi="宋体" w:cs="宋体"/>
          <w:color w:val="auto"/>
          <w:sz w:val="24"/>
          <w:highlight w:val="none"/>
        </w:rPr>
      </w:pPr>
      <w:r>
        <w:rPr>
          <w:rFonts w:hAnsi="宋体"/>
          <w:color w:val="auto"/>
          <w:kern w:val="0"/>
          <w:sz w:val="24"/>
          <w:highlight w:val="none"/>
        </w:rPr>
        <w:t>关于项目经理每月在施工现场的时间要求：</w:t>
      </w:r>
      <w:r>
        <w:rPr>
          <w:rFonts w:hint="eastAsia" w:hAnsi="宋体"/>
          <w:color w:val="auto"/>
          <w:sz w:val="24"/>
          <w:highlight w:val="none"/>
          <w:u w:val="single"/>
        </w:rPr>
        <w:t>每月不少于26天</w:t>
      </w:r>
      <w:r>
        <w:rPr>
          <w:rFonts w:hint="eastAsia" w:hAnsi="宋体" w:cs="宋体"/>
          <w:color w:val="auto"/>
          <w:sz w:val="24"/>
          <w:highlight w:val="none"/>
        </w:rPr>
        <w:t>。</w:t>
      </w:r>
    </w:p>
    <w:p>
      <w:pPr>
        <w:spacing w:line="440" w:lineRule="exact"/>
        <w:ind w:firstLine="480" w:firstLineChars="200"/>
        <w:rPr>
          <w:rFonts w:hAnsi="宋体"/>
          <w:color w:val="auto"/>
          <w:sz w:val="24"/>
          <w:szCs w:val="21"/>
          <w:highlight w:val="none"/>
          <w:u w:val="single"/>
        </w:rPr>
      </w:pPr>
      <w:r>
        <w:rPr>
          <w:rFonts w:hAnsi="宋体"/>
          <w:color w:val="auto"/>
          <w:kern w:val="0"/>
          <w:sz w:val="24"/>
          <w:highlight w:val="none"/>
        </w:rPr>
        <w:t>承包人未提交劳动合同，以及没有为项目经理缴纳社会保险证明的违约责任：</w:t>
      </w:r>
      <w:r>
        <w:rPr>
          <w:rFonts w:hint="eastAsia"/>
          <w:color w:val="auto"/>
          <w:sz w:val="24"/>
          <w:highlight w:val="none"/>
          <w:u w:val="single"/>
        </w:rPr>
        <w:t>责令补缴</w:t>
      </w:r>
      <w:r>
        <w:rPr>
          <w:rFonts w:hint="eastAsia"/>
          <w:color w:val="auto"/>
          <w:sz w:val="24"/>
          <w:szCs w:val="24"/>
          <w:highlight w:val="none"/>
          <w:u w:val="single"/>
        </w:rPr>
        <w:t>，由承包人承担责任</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项目经理未经批准，擅自离开施工现场的违约责任：</w:t>
      </w:r>
      <w:r>
        <w:rPr>
          <w:rFonts w:hint="eastAsia" w:hAnsi="宋体"/>
          <w:color w:val="auto"/>
          <w:kern w:val="0"/>
          <w:sz w:val="24"/>
          <w:highlight w:val="none"/>
          <w:u w:val="single"/>
        </w:rPr>
        <w:t>每少一天应向发包人支付违约金2000元，累计三次未在岗即终止合同，清退出场，由发包人确定其它承包人施工，并通报相关部门。</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3.2.3 承包人擅自更换项目经理的违约责任：</w:t>
      </w:r>
    </w:p>
    <w:p>
      <w:pPr>
        <w:spacing w:line="440" w:lineRule="exact"/>
        <w:ind w:firstLine="482" w:firstLineChars="200"/>
        <w:rPr>
          <w:rFonts w:hint="eastAsia" w:hAnsi="宋体"/>
          <w:color w:val="auto"/>
          <w:sz w:val="24"/>
          <w:szCs w:val="21"/>
          <w:highlight w:val="none"/>
          <w:u w:val="single"/>
        </w:rPr>
      </w:pPr>
      <w:r>
        <w:rPr>
          <w:rFonts w:hint="eastAsia" w:hAnsi="宋体"/>
          <w:b/>
          <w:color w:val="auto"/>
          <w:sz w:val="24"/>
          <w:highlight w:val="none"/>
        </w:rPr>
        <w:t>（1）</w:t>
      </w:r>
      <w:r>
        <w:rPr>
          <w:rFonts w:hint="eastAsia" w:hAnsi="宋体"/>
          <w:b/>
          <w:color w:val="auto"/>
          <w:kern w:val="0"/>
          <w:sz w:val="24"/>
          <w:highlight w:val="none"/>
        </w:rPr>
        <w:t>承包人确需更换项目经理的，继任项目经理注册执业资格、管理经验的约定：</w:t>
      </w:r>
      <w:r>
        <w:rPr>
          <w:rFonts w:hint="eastAsia" w:hAnsi="宋体"/>
          <w:color w:val="auto"/>
          <w:sz w:val="24"/>
          <w:szCs w:val="21"/>
          <w:highlight w:val="none"/>
          <w:u w:val="single"/>
        </w:rPr>
        <w:t>经发包人同意，且更换的项目经理资格、经验等须同等及以上，</w:t>
      </w:r>
      <w:r>
        <w:rPr>
          <w:rFonts w:hint="eastAsia" w:hAnsi="宋体"/>
          <w:color w:val="auto"/>
          <w:sz w:val="24"/>
          <w:highlight w:val="none"/>
          <w:u w:val="single"/>
        </w:rPr>
        <w:t>须追加10万元项目班子保证金</w:t>
      </w:r>
      <w:r>
        <w:rPr>
          <w:rFonts w:hint="eastAsia" w:hAnsi="宋体"/>
          <w:color w:val="auto"/>
          <w:sz w:val="24"/>
          <w:szCs w:val="21"/>
          <w:highlight w:val="none"/>
          <w:u w:val="single"/>
        </w:rPr>
        <w:t>。</w:t>
      </w:r>
    </w:p>
    <w:p>
      <w:pPr>
        <w:spacing w:line="440" w:lineRule="exact"/>
        <w:ind w:firstLine="480" w:firstLineChars="200"/>
        <w:rPr>
          <w:rFonts w:hint="eastAsia" w:hAnsi="宋体"/>
          <w:color w:val="auto"/>
          <w:sz w:val="24"/>
          <w:szCs w:val="21"/>
          <w:highlight w:val="none"/>
          <w:u w:val="single"/>
        </w:rPr>
      </w:pPr>
      <w:r>
        <w:rPr>
          <w:rFonts w:hint="eastAsia" w:hAnsi="宋体"/>
          <w:color w:val="auto"/>
          <w:sz w:val="24"/>
          <w:szCs w:val="21"/>
          <w:highlight w:val="none"/>
          <w:u w:val="single"/>
        </w:rPr>
        <w:t>（2）承包人擅自更换项目经理的违约责任：处以签约合同价1%的罚金并承担由此增加的费用和延误的工期 。</w:t>
      </w:r>
    </w:p>
    <w:p>
      <w:pPr>
        <w:spacing w:line="440" w:lineRule="exact"/>
        <w:ind w:firstLine="480" w:firstLineChars="200"/>
        <w:rPr>
          <w:rFonts w:hint="eastAsia" w:hAnsi="宋体"/>
          <w:color w:val="auto"/>
          <w:sz w:val="24"/>
          <w:szCs w:val="21"/>
          <w:highlight w:val="none"/>
          <w:u w:val="single"/>
        </w:rPr>
      </w:pPr>
      <w:r>
        <w:rPr>
          <w:rFonts w:hint="eastAsia" w:hAnsi="宋体"/>
          <w:color w:val="auto"/>
          <w:sz w:val="24"/>
          <w:szCs w:val="21"/>
          <w:highlight w:val="none"/>
          <w:u w:val="single"/>
        </w:rPr>
        <w:t>3.2.4 承包人无正当理由拒绝更换项目经理的违约责任：处以签约合同价1%的罚金并承担由此增加的费用和延误的工期。</w:t>
      </w:r>
    </w:p>
    <w:p>
      <w:pPr>
        <w:spacing w:line="440" w:lineRule="exact"/>
        <w:ind w:firstLine="480" w:firstLineChars="200"/>
        <w:rPr>
          <w:rFonts w:hAnsi="宋体"/>
          <w:color w:val="auto"/>
          <w:sz w:val="24"/>
          <w:highlight w:val="none"/>
        </w:rPr>
      </w:pPr>
      <w:r>
        <w:rPr>
          <w:rFonts w:hAnsi="宋体"/>
          <w:color w:val="auto"/>
          <w:sz w:val="24"/>
          <w:highlight w:val="none"/>
        </w:rPr>
        <w:t>3.3 承包人人员</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3.3.1 承包人提交项目管理机构及施工现场管理人员安排报告的期限：</w:t>
      </w:r>
      <w:r>
        <w:rPr>
          <w:rFonts w:hint="eastAsia" w:hAnsi="宋体"/>
          <w:color w:val="auto"/>
          <w:sz w:val="24"/>
          <w:highlight w:val="none"/>
          <w:u w:val="single"/>
        </w:rPr>
        <w:t>中标通知书发出后3天内，到岗率必须</w:t>
      </w:r>
      <w:r>
        <w:rPr>
          <w:rFonts w:hint="eastAsia" w:hAnsi="宋体"/>
          <w:color w:val="auto"/>
          <w:sz w:val="24"/>
          <w:szCs w:val="21"/>
          <w:highlight w:val="none"/>
          <w:u w:val="single"/>
        </w:rPr>
        <w:t>达到100%，到岗</w:t>
      </w:r>
      <w:r>
        <w:rPr>
          <w:rFonts w:hint="eastAsia" w:hAnsi="宋体"/>
          <w:color w:val="auto"/>
          <w:sz w:val="24"/>
          <w:highlight w:val="none"/>
          <w:u w:val="single"/>
        </w:rPr>
        <w:t xml:space="preserve">率按月计算，并由建设单位本工程管理人员或委托监理人考核。  </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rPr>
        <w:t>3.3.2 承包人需更换主要施工管理人员的，继任人员的数量、注册执业资格、管理经验的约定：</w:t>
      </w:r>
      <w:r>
        <w:rPr>
          <w:rFonts w:hint="eastAsia" w:hAnsi="宋体"/>
          <w:b/>
          <w:color w:val="auto"/>
          <w:sz w:val="24"/>
          <w:highlight w:val="none"/>
          <w:u w:val="single"/>
        </w:rPr>
        <w:t>须经发包人同意，且更换的资格、经验等须同等及以上，</w:t>
      </w:r>
      <w:r>
        <w:rPr>
          <w:rFonts w:hint="eastAsia" w:hAnsi="宋体"/>
          <w:color w:val="auto"/>
          <w:sz w:val="24"/>
          <w:highlight w:val="none"/>
          <w:u w:val="single"/>
        </w:rPr>
        <w:t>但须追加10万元项目班子保证金</w:t>
      </w:r>
      <w:r>
        <w:rPr>
          <w:rFonts w:hint="eastAsia" w:hAnsi="宋体"/>
          <w:b/>
          <w:color w:val="auto"/>
          <w:sz w:val="24"/>
          <w:highlight w:val="none"/>
          <w:u w:val="single"/>
        </w:rPr>
        <w:t>。</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3.3.3 承包人无正当理由拒绝撤换主要施工管理人员的违约责任：</w:t>
      </w:r>
      <w:r>
        <w:rPr>
          <w:rFonts w:hint="eastAsia" w:hAnsi="宋体"/>
          <w:color w:val="auto"/>
          <w:sz w:val="24"/>
          <w:highlight w:val="none"/>
          <w:u w:val="single"/>
        </w:rPr>
        <w:t>直接扣除10%履约保证金.</w:t>
      </w:r>
    </w:p>
    <w:p>
      <w:pPr>
        <w:spacing w:line="440" w:lineRule="exact"/>
        <w:ind w:firstLine="480" w:firstLineChars="200"/>
        <w:rPr>
          <w:rFonts w:hAnsi="宋体"/>
          <w:color w:val="auto"/>
          <w:sz w:val="24"/>
          <w:highlight w:val="none"/>
          <w:u w:val="single"/>
        </w:rPr>
      </w:pPr>
      <w:r>
        <w:rPr>
          <w:rFonts w:hAnsi="宋体"/>
          <w:color w:val="auto"/>
          <w:sz w:val="24"/>
          <w:highlight w:val="none"/>
        </w:rPr>
        <w:t>3.3.4 承包人主要施工管理人员离开施工现场的批准要求：</w:t>
      </w:r>
      <w:r>
        <w:rPr>
          <w:rFonts w:hint="eastAsia" w:hAnsi="宋体"/>
          <w:color w:val="auto"/>
          <w:sz w:val="24"/>
          <w:highlight w:val="none"/>
          <w:u w:val="single"/>
        </w:rPr>
        <w:t>须经现场监理工程师和发包人代表同意</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int="eastAsia" w:hAnsi="宋体" w:cs="宋体"/>
          <w:color w:val="auto"/>
          <w:sz w:val="24"/>
          <w:highlight w:val="none"/>
        </w:rPr>
        <w:t>3.3.5</w:t>
      </w:r>
      <w:r>
        <w:rPr>
          <w:rFonts w:hint="eastAsia" w:hAnsi="宋体"/>
          <w:color w:val="auto"/>
          <w:sz w:val="24"/>
          <w:highlight w:val="none"/>
        </w:rPr>
        <w:t>承包人擅自更换主要施工管理人员的违约责任：</w:t>
      </w:r>
      <w:r>
        <w:rPr>
          <w:rFonts w:hint="eastAsia" w:hAnsi="宋体"/>
          <w:color w:val="auto"/>
          <w:sz w:val="24"/>
          <w:highlight w:val="none"/>
          <w:u w:val="single"/>
        </w:rPr>
        <w:t>处以签约合同价0.5%的罚金并承担由此增加的费用和延误的工期 。</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承包人主要施工管理人员擅自离开施工现场的违约责任：</w:t>
      </w:r>
      <w:r>
        <w:rPr>
          <w:rFonts w:hint="eastAsia" w:hAnsi="宋体"/>
          <w:color w:val="auto"/>
          <w:sz w:val="24"/>
          <w:highlight w:val="none"/>
          <w:u w:val="single"/>
        </w:rPr>
        <w:t>每人次扣除人员履约保证金的1%</w:t>
      </w:r>
      <w:r>
        <w:rPr>
          <w:rFonts w:hint="eastAsia"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主要施工管理人员包括项目副经理、专职技术负责人、质量检查员、安全生产管理人员、施工试验管理人员等。</w:t>
      </w:r>
    </w:p>
    <w:p>
      <w:pPr>
        <w:spacing w:line="440" w:lineRule="exact"/>
        <w:ind w:firstLine="480" w:firstLineChars="200"/>
        <w:rPr>
          <w:rFonts w:hint="eastAsia" w:hAnsi="宋体"/>
          <w:color w:val="auto"/>
          <w:sz w:val="24"/>
          <w:highlight w:val="none"/>
          <w:u w:val="single"/>
        </w:rPr>
      </w:pPr>
      <w:r>
        <w:rPr>
          <w:rFonts w:hint="eastAsia" w:hAnsi="宋体" w:cs="宋体"/>
          <w:color w:val="auto"/>
          <w:sz w:val="24"/>
          <w:highlight w:val="none"/>
          <w:u w:val="single"/>
        </w:rPr>
        <w:t xml:space="preserve">机械设备到位：机械设备的到位率须达到100%或以上（即每月到位至少30天），到位率未达到要求的扣罚到位率保证金的20%/次。由发包人代表或委托监理人考核。          </w:t>
      </w:r>
    </w:p>
    <w:p>
      <w:pPr>
        <w:spacing w:line="440" w:lineRule="exact"/>
        <w:ind w:firstLine="480" w:firstLineChars="200"/>
        <w:rPr>
          <w:rFonts w:hAnsi="宋体"/>
          <w:color w:val="auto"/>
          <w:sz w:val="24"/>
          <w:highlight w:val="none"/>
        </w:rPr>
      </w:pPr>
      <w:r>
        <w:rPr>
          <w:rFonts w:hAnsi="宋体"/>
          <w:color w:val="auto"/>
          <w:sz w:val="24"/>
          <w:highlight w:val="none"/>
        </w:rPr>
        <w:t>3</w:t>
      </w:r>
      <w:bookmarkStart w:id="464" w:name="_Toc297216151"/>
      <w:bookmarkStart w:id="465" w:name="_Toc292559364"/>
      <w:bookmarkStart w:id="466" w:name="_Toc297048345"/>
      <w:bookmarkStart w:id="467" w:name="_Toc296891199"/>
      <w:bookmarkStart w:id="468" w:name="_Toc296503159"/>
      <w:bookmarkStart w:id="469" w:name="_Toc296347158"/>
      <w:bookmarkStart w:id="470" w:name="_Toc297120459"/>
      <w:bookmarkStart w:id="471" w:name="_Toc300934945"/>
      <w:bookmarkStart w:id="472" w:name="_Toc297123492"/>
      <w:bookmarkStart w:id="473" w:name="_Toc292559869"/>
      <w:bookmarkStart w:id="474" w:name="_Toc312677988"/>
      <w:bookmarkStart w:id="475" w:name="_Toc304295523"/>
      <w:bookmarkStart w:id="476" w:name="_Toc296890987"/>
      <w:bookmarkStart w:id="477" w:name="_Toc303539102"/>
      <w:bookmarkStart w:id="478" w:name="_Toc296944498"/>
      <w:bookmarkStart w:id="479" w:name="_Toc296346660"/>
      <w:r>
        <w:rPr>
          <w:rFonts w:hAnsi="宋体"/>
          <w:color w:val="auto"/>
          <w:sz w:val="24"/>
          <w:highlight w:val="none"/>
        </w:rPr>
        <w:t>.5 分包</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Pr>
        <w:spacing w:line="440" w:lineRule="exact"/>
        <w:ind w:firstLine="480" w:firstLineChars="200"/>
        <w:rPr>
          <w:rFonts w:hAnsi="宋体"/>
          <w:color w:val="auto"/>
          <w:sz w:val="24"/>
          <w:highlight w:val="none"/>
        </w:rPr>
      </w:pPr>
      <w:r>
        <w:rPr>
          <w:rFonts w:hAnsi="宋体"/>
          <w:color w:val="auto"/>
          <w:sz w:val="24"/>
          <w:highlight w:val="none"/>
        </w:rPr>
        <w:t>3</w:t>
      </w:r>
      <w:bookmarkStart w:id="480" w:name="_Toc296346661"/>
      <w:bookmarkStart w:id="481" w:name="_Toc303539103"/>
      <w:bookmarkStart w:id="482" w:name="_Toc297048346"/>
      <w:bookmarkStart w:id="483" w:name="_Toc296503160"/>
      <w:bookmarkStart w:id="484" w:name="_Toc300934946"/>
      <w:bookmarkStart w:id="485" w:name="_Toc296891200"/>
      <w:bookmarkStart w:id="486" w:name="_Toc292559870"/>
      <w:bookmarkStart w:id="487" w:name="_Toc297123493"/>
      <w:bookmarkStart w:id="488" w:name="_Toc296347159"/>
      <w:bookmarkStart w:id="489" w:name="_Toc296944499"/>
      <w:bookmarkStart w:id="490" w:name="_Toc297120460"/>
      <w:bookmarkStart w:id="491" w:name="_Toc304295524"/>
      <w:bookmarkStart w:id="492" w:name="_Toc297216152"/>
      <w:bookmarkStart w:id="493" w:name="_Toc292559365"/>
      <w:bookmarkStart w:id="494" w:name="_Toc296890988"/>
      <w:bookmarkStart w:id="495" w:name="_Toc312677989"/>
      <w:bookmarkStart w:id="496" w:name="_Toc318581158"/>
      <w:r>
        <w:rPr>
          <w:rFonts w:hAnsi="宋体"/>
          <w:color w:val="auto"/>
          <w:sz w:val="24"/>
          <w:highlight w:val="none"/>
        </w:rPr>
        <w:t>.5.1 分包的一般约定</w:t>
      </w:r>
    </w:p>
    <w:p>
      <w:pPr>
        <w:spacing w:line="440" w:lineRule="exact"/>
        <w:ind w:firstLine="480" w:firstLineChars="200"/>
        <w:rPr>
          <w:rFonts w:hint="eastAsia" w:hAnsi="宋体" w:cs="宋体"/>
          <w:color w:val="auto"/>
          <w:sz w:val="24"/>
          <w:highlight w:val="none"/>
        </w:rPr>
      </w:pPr>
      <w:r>
        <w:rPr>
          <w:rFonts w:hAnsi="宋体"/>
          <w:color w:val="auto"/>
          <w:sz w:val="24"/>
          <w:highlight w:val="none"/>
        </w:rPr>
        <w:t>禁止分包的工程包括：</w:t>
      </w:r>
      <w:r>
        <w:rPr>
          <w:rFonts w:hint="eastAsia" w:hAnsi="宋体" w:cs="宋体"/>
          <w:color w:val="auto"/>
          <w:sz w:val="24"/>
          <w:highlight w:val="none"/>
          <w:u w:val="single"/>
        </w:rPr>
        <w:t>本工程主体、关键部分工程内容</w:t>
      </w:r>
      <w:r>
        <w:rPr>
          <w:rFonts w:hint="eastAsia" w:hAnsi="宋体" w:cs="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主体结构、关键性工作的范围：</w:t>
      </w:r>
      <w:r>
        <w:rPr>
          <w:rFonts w:hint="eastAsia" w:hAnsi="宋体"/>
          <w:color w:val="auto"/>
          <w:sz w:val="24"/>
          <w:highlight w:val="none"/>
          <w:u w:val="single"/>
        </w:rPr>
        <w:t>见工程量清单及施工图纸</w:t>
      </w:r>
      <w:r>
        <w:rPr>
          <w:rFonts w:hAnsi="宋体"/>
          <w:color w:val="auto"/>
          <w:sz w:val="24"/>
          <w:highlight w:val="none"/>
        </w:rPr>
        <w:t>。</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Start w:id="497" w:name="_Toc300934947"/>
      <w:bookmarkStart w:id="498" w:name="_Toc296944500"/>
      <w:bookmarkStart w:id="499" w:name="_Toc296346662"/>
      <w:bookmarkStart w:id="500" w:name="_Toc304295525"/>
      <w:bookmarkStart w:id="501" w:name="_Toc297216153"/>
      <w:bookmarkStart w:id="502" w:name="_Toc297120461"/>
      <w:bookmarkStart w:id="503" w:name="_Toc296347160"/>
      <w:bookmarkStart w:id="504" w:name="_Toc296891201"/>
      <w:bookmarkStart w:id="505" w:name="_Toc296890989"/>
      <w:bookmarkStart w:id="506" w:name="_Toc296503161"/>
      <w:bookmarkStart w:id="507" w:name="_Toc297048347"/>
      <w:bookmarkStart w:id="508" w:name="_Toc303539104"/>
      <w:bookmarkStart w:id="509" w:name="_Toc297123494"/>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spacing w:line="440" w:lineRule="exact"/>
        <w:ind w:firstLine="480" w:firstLineChars="200"/>
        <w:rPr>
          <w:rFonts w:hAnsi="宋体"/>
          <w:color w:val="auto"/>
          <w:sz w:val="24"/>
          <w:highlight w:val="none"/>
        </w:rPr>
      </w:pPr>
      <w:r>
        <w:rPr>
          <w:rFonts w:hAnsi="宋体"/>
          <w:color w:val="auto"/>
          <w:sz w:val="24"/>
          <w:highlight w:val="none"/>
        </w:rPr>
        <w:t>3</w:t>
      </w:r>
      <w:bookmarkStart w:id="510" w:name="_Toc318581159"/>
      <w:bookmarkStart w:id="511" w:name="_Toc312677990"/>
      <w:r>
        <w:rPr>
          <w:rFonts w:hAnsi="宋体"/>
          <w:color w:val="auto"/>
          <w:sz w:val="24"/>
          <w:highlight w:val="none"/>
        </w:rPr>
        <w:t>.5.2分包的确定</w:t>
      </w:r>
    </w:p>
    <w:p>
      <w:pPr>
        <w:spacing w:line="440" w:lineRule="exact"/>
        <w:ind w:firstLine="480" w:firstLineChars="200"/>
        <w:rPr>
          <w:rFonts w:hAnsi="宋体"/>
          <w:color w:val="auto"/>
          <w:sz w:val="24"/>
          <w:highlight w:val="none"/>
          <w:u w:val="single"/>
        </w:rPr>
      </w:pPr>
      <w:r>
        <w:rPr>
          <w:rFonts w:hAnsi="宋体"/>
          <w:color w:val="auto"/>
          <w:sz w:val="24"/>
          <w:highlight w:val="none"/>
        </w:rPr>
        <w:t>允许分包的专业工程包括：</w:t>
      </w:r>
      <w:r>
        <w:rPr>
          <w:rFonts w:hint="eastAsia" w:hAnsi="宋体" w:cs="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其他关于分包的约定：</w:t>
      </w:r>
      <w:r>
        <w:rPr>
          <w:rFonts w:hint="eastAsia" w:hAnsi="宋体"/>
          <w:color w:val="auto"/>
          <w:sz w:val="24"/>
          <w:highlight w:val="none"/>
          <w:u w:val="single"/>
        </w:rPr>
        <w:t xml:space="preserve">   /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3.5.4 分包合同价款</w:t>
      </w:r>
    </w:p>
    <w:p>
      <w:pPr>
        <w:spacing w:line="440" w:lineRule="exact"/>
        <w:ind w:firstLine="480" w:firstLineChars="200"/>
        <w:rPr>
          <w:rFonts w:hAnsi="宋体"/>
          <w:color w:val="auto"/>
          <w:sz w:val="24"/>
          <w:highlight w:val="none"/>
        </w:rPr>
      </w:pPr>
      <w:r>
        <w:rPr>
          <w:rFonts w:hAnsi="宋体"/>
          <w:color w:val="auto"/>
          <w:sz w:val="24"/>
          <w:highlight w:val="none"/>
        </w:rPr>
        <w:t>关于分包合同价款支付的约定：</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bookmarkEnd w:id="510"/>
    <w:bookmarkEnd w:id="511"/>
    <w:p>
      <w:pPr>
        <w:spacing w:line="440" w:lineRule="exact"/>
        <w:ind w:firstLine="480" w:firstLineChars="200"/>
        <w:rPr>
          <w:rFonts w:hAnsi="宋体"/>
          <w:color w:val="auto"/>
          <w:sz w:val="24"/>
          <w:highlight w:val="none"/>
        </w:rPr>
      </w:pPr>
      <w:r>
        <w:rPr>
          <w:rFonts w:hAnsi="宋体"/>
          <w:color w:val="auto"/>
          <w:sz w:val="24"/>
          <w:highlight w:val="none"/>
        </w:rPr>
        <w:t>3.6 工程照管与成品、半成品保护</w:t>
      </w:r>
    </w:p>
    <w:p>
      <w:pPr>
        <w:spacing w:line="440" w:lineRule="exact"/>
        <w:ind w:firstLine="480" w:firstLineChars="200"/>
        <w:rPr>
          <w:rFonts w:hAnsi="宋体"/>
          <w:color w:val="auto"/>
          <w:kern w:val="0"/>
          <w:sz w:val="24"/>
          <w:highlight w:val="none"/>
          <w:u w:val="single"/>
        </w:rPr>
      </w:pPr>
      <w:r>
        <w:rPr>
          <w:rFonts w:hAnsi="宋体"/>
          <w:color w:val="auto"/>
          <w:kern w:val="0"/>
          <w:sz w:val="24"/>
          <w:highlight w:val="none"/>
        </w:rPr>
        <w:t>承包人负责照管工程及工程相关的材料、工程设备的起始时间：</w:t>
      </w:r>
      <w:r>
        <w:rPr>
          <w:rFonts w:hint="eastAsia" w:hAnsi="宋体"/>
          <w:color w:val="auto"/>
          <w:kern w:val="0"/>
          <w:sz w:val="24"/>
          <w:highlight w:val="none"/>
          <w:u w:val="single"/>
        </w:rPr>
        <w:t>从发包人移交施工现场之日起，直到颁发工程接收证书之日止</w:t>
      </w:r>
      <w:r>
        <w:rPr>
          <w:rFonts w:hAnsi="宋体"/>
          <w:color w:val="auto"/>
          <w:kern w:val="0"/>
          <w:sz w:val="24"/>
          <w:highlight w:val="none"/>
          <w:u w:val="single"/>
        </w:rPr>
        <w:t>。</w:t>
      </w:r>
      <w:r>
        <w:rPr>
          <w:rFonts w:hint="eastAsia" w:hAnsi="宋体"/>
          <w:color w:val="auto"/>
          <w:kern w:val="0"/>
          <w:sz w:val="24"/>
          <w:highlight w:val="none"/>
          <w:u w:val="single"/>
        </w:rPr>
        <w:t>保护期间发生损坏，承包人自费予以修复。如果由此造成的工期延误，承包人自行承担相应违约责任。</w:t>
      </w:r>
    </w:p>
    <w:p>
      <w:pPr>
        <w:spacing w:line="440" w:lineRule="exact"/>
        <w:ind w:firstLine="480" w:firstLineChars="200"/>
        <w:rPr>
          <w:rFonts w:hAnsi="宋体"/>
          <w:color w:val="auto"/>
          <w:sz w:val="24"/>
          <w:highlight w:val="none"/>
        </w:rPr>
      </w:pPr>
      <w:r>
        <w:rPr>
          <w:rFonts w:hAnsi="宋体"/>
          <w:color w:val="auto"/>
          <w:sz w:val="24"/>
          <w:highlight w:val="none"/>
        </w:rPr>
        <w:t>3.7 履约担保</w:t>
      </w:r>
    </w:p>
    <w:p>
      <w:pPr>
        <w:spacing w:line="440" w:lineRule="exact"/>
        <w:ind w:firstLine="480" w:firstLineChars="200"/>
        <w:rPr>
          <w:rFonts w:hAnsi="宋体"/>
          <w:color w:val="auto"/>
          <w:sz w:val="24"/>
          <w:highlight w:val="none"/>
        </w:rPr>
      </w:pPr>
      <w:r>
        <w:rPr>
          <w:rFonts w:hint="eastAsia" w:hAnsi="宋体"/>
          <w:color w:val="auto"/>
          <w:sz w:val="24"/>
          <w:highlight w:val="none"/>
        </w:rPr>
        <w:t>承包人是否提供履约担保：</w:t>
      </w:r>
      <w:r>
        <w:rPr>
          <w:rFonts w:hint="eastAsia" w:hAnsi="宋体"/>
          <w:color w:val="auto"/>
          <w:sz w:val="24"/>
          <w:highlight w:val="none"/>
          <w:u w:val="single"/>
        </w:rPr>
        <w:t xml:space="preserve">是              </w:t>
      </w:r>
      <w:r>
        <w:rPr>
          <w:rFonts w:hAnsi="宋体"/>
          <w:color w:val="auto"/>
          <w:sz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hAnsi="宋体"/>
          <w:b/>
          <w:bCs/>
          <w:color w:val="auto"/>
          <w:sz w:val="24"/>
          <w:szCs w:val="24"/>
          <w:highlight w:val="none"/>
        </w:rPr>
        <w:t>承包人提供履约担保的形式、金额及期限的</w:t>
      </w:r>
      <w:r>
        <w:rPr>
          <w:rFonts w:hint="eastAsia" w:ascii="宋体" w:hAnsi="宋体" w:eastAsia="宋体" w:cs="宋体"/>
          <w:b/>
          <w:bCs/>
          <w:color w:val="auto"/>
          <w:sz w:val="24"/>
          <w:szCs w:val="24"/>
          <w:highlight w:val="none"/>
        </w:rPr>
        <w:t>，采用以下第</w:t>
      </w:r>
      <w:r>
        <w:rPr>
          <w:rFonts w:hint="eastAsia" w:ascii="宋体" w:hAnsi="宋体" w:eastAsia="宋体" w:cs="宋体"/>
          <w:b/>
          <w:bCs/>
          <w:color w:val="auto"/>
          <w:sz w:val="24"/>
          <w:szCs w:val="24"/>
          <w:highlight w:val="none"/>
          <w:u w:val="single"/>
        </w:rPr>
        <w:t xml:space="preserve"> </w:t>
      </w:r>
      <w:r>
        <w:rPr>
          <w:rFonts w:hint="eastAsia" w:hAnsi="宋体" w:eastAsia="宋体" w:cs="宋体"/>
          <w:b/>
          <w:bCs/>
          <w:color w:val="auto"/>
          <w:sz w:val="24"/>
          <w:szCs w:val="24"/>
          <w:highlight w:val="none"/>
          <w:u w:val="single"/>
          <w:lang w:val="en-US" w:eastAsia="zh-CN"/>
        </w:rPr>
        <w:t xml:space="preserve"> （2）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种方式：</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u w:val="single"/>
        </w:rPr>
        <w:t>保证保险，金额及期限为：</w:t>
      </w:r>
      <w:r>
        <w:rPr>
          <w:rFonts w:hint="eastAsia" w:hAnsi="宋体" w:eastAsia="宋体"/>
          <w:b/>
          <w:bCs/>
          <w:color w:val="auto"/>
          <w:sz w:val="24"/>
          <w:szCs w:val="24"/>
          <w:highlight w:val="none"/>
          <w:u w:val="single"/>
          <w:lang w:val="en-US" w:eastAsia="zh-CN"/>
        </w:rPr>
        <w:t>/</w:t>
      </w:r>
      <w:r>
        <w:rPr>
          <w:rFonts w:hint="eastAsia" w:hAnsi="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pPr>
        <w:spacing w:line="420" w:lineRule="exact"/>
        <w:ind w:firstLine="482" w:firstLineChars="200"/>
        <w:rPr>
          <w:rFonts w:hint="eastAsia" w:hAnsi="宋体" w:cs="宋体"/>
          <w:color w:val="auto"/>
          <w:sz w:val="24"/>
          <w:highlight w:val="none"/>
          <w:u w:val="singl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u w:val="single"/>
        </w:rPr>
        <w:t xml:space="preserve">银行保函，金额及期限为： </w:t>
      </w:r>
      <w:r>
        <w:rPr>
          <w:rFonts w:hint="eastAsia" w:hAnsi="宋体"/>
          <w:b/>
          <w:bCs/>
          <w:color w:val="auto"/>
          <w:sz w:val="24"/>
          <w:szCs w:val="24"/>
          <w:highlight w:val="none"/>
          <w:u w:val="single"/>
        </w:rPr>
        <w:t>合同总价的</w:t>
      </w:r>
      <w:r>
        <w:rPr>
          <w:rFonts w:hint="eastAsia" w:hAnsi="宋体"/>
          <w:b/>
          <w:bCs/>
          <w:color w:val="auto"/>
          <w:sz w:val="24"/>
          <w:szCs w:val="24"/>
          <w:highlight w:val="none"/>
          <w:u w:val="single"/>
          <w:lang w:val="en-US" w:eastAsia="zh-CN"/>
        </w:rPr>
        <w:t>2</w:t>
      </w:r>
      <w:r>
        <w:rPr>
          <w:rFonts w:hint="eastAsia" w:hAnsi="宋体"/>
          <w:b/>
          <w:bCs/>
          <w:color w:val="auto"/>
          <w:sz w:val="24"/>
          <w:szCs w:val="24"/>
          <w:highlight w:val="none"/>
          <w:u w:val="single"/>
        </w:rPr>
        <w:t>%，</w:t>
      </w:r>
      <w:r>
        <w:rPr>
          <w:rFonts w:hint="eastAsia" w:hAnsi="宋体" w:cs="宋体"/>
          <w:color w:val="auto"/>
          <w:sz w:val="24"/>
          <w:highlight w:val="none"/>
          <w:u w:val="single"/>
        </w:rPr>
        <w:t>在收到</w:t>
      </w:r>
      <w:r>
        <w:rPr>
          <w:rFonts w:hint="eastAsia" w:hAnsi="宋体" w:cs="宋体"/>
          <w:color w:val="auto"/>
          <w:sz w:val="24"/>
          <w:highlight w:val="none"/>
          <w:u w:val="single"/>
          <w:lang w:val="en-US" w:eastAsia="zh-CN"/>
        </w:rPr>
        <w:t>成交通知书（</w:t>
      </w:r>
      <w:r>
        <w:rPr>
          <w:rFonts w:hint="eastAsia" w:hAnsi="宋体" w:cs="宋体"/>
          <w:color w:val="auto"/>
          <w:sz w:val="24"/>
          <w:highlight w:val="none"/>
          <w:u w:val="single"/>
        </w:rPr>
        <w:t>中标通知书</w:t>
      </w:r>
      <w:r>
        <w:rPr>
          <w:rFonts w:hint="eastAsia" w:hAnsi="宋体" w:cs="宋体"/>
          <w:color w:val="auto"/>
          <w:sz w:val="24"/>
          <w:highlight w:val="none"/>
          <w:u w:val="single"/>
          <w:lang w:eastAsia="zh-CN"/>
        </w:rPr>
        <w:t>）</w:t>
      </w:r>
      <w:r>
        <w:rPr>
          <w:rFonts w:hint="eastAsia" w:hAnsi="宋体" w:cs="宋体"/>
          <w:color w:val="auto"/>
          <w:sz w:val="24"/>
          <w:highlight w:val="none"/>
          <w:u w:val="single"/>
        </w:rPr>
        <w:t>后5天内必须提交</w:t>
      </w:r>
      <w:r>
        <w:rPr>
          <w:rFonts w:hint="eastAsia" w:hAnsi="宋体" w:cs="宋体"/>
          <w:color w:val="auto"/>
          <w:sz w:val="24"/>
          <w:highlight w:val="none"/>
          <w:u w:val="single"/>
          <w:lang w:eastAsia="zh-CN"/>
        </w:rPr>
        <w:t>，</w:t>
      </w:r>
      <w:r>
        <w:rPr>
          <w:rFonts w:hint="eastAsia" w:hAnsi="宋体" w:cs="宋体"/>
          <w:color w:val="auto"/>
          <w:sz w:val="24"/>
          <w:highlight w:val="none"/>
          <w:u w:val="single"/>
        </w:rPr>
        <w:t>保函须由国有或股份制商业银行出具</w:t>
      </w:r>
      <w:r>
        <w:rPr>
          <w:rFonts w:hint="eastAsia" w:hAnsi="宋体" w:cs="宋体"/>
          <w:color w:val="auto"/>
          <w:sz w:val="24"/>
          <w:highlight w:val="none"/>
          <w:u w:val="single"/>
          <w:lang w:eastAsia="zh-CN"/>
        </w:rPr>
        <w:t>，</w:t>
      </w:r>
      <w:r>
        <w:rPr>
          <w:rFonts w:hint="eastAsia" w:hAnsi="宋体" w:cs="宋体"/>
          <w:color w:val="auto"/>
          <w:sz w:val="24"/>
          <w:highlight w:val="none"/>
          <w:u w:val="single"/>
        </w:rPr>
        <w:t>保函须以竣工验收证书为保函到期解除条件，不得以合同工期为到期条件。</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hAnsi="宋体" w:cs="宋体"/>
          <w:b/>
          <w:bCs/>
          <w:color w:val="auto"/>
          <w:sz w:val="24"/>
          <w:szCs w:val="22"/>
          <w:highlight w:val="none"/>
          <w:u w:val="singl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u w:val="single"/>
        </w:rPr>
        <w:t xml:space="preserve">其他方式: </w:t>
      </w:r>
      <w:r>
        <w:rPr>
          <w:rFonts w:hint="eastAsia" w:hAnsi="宋体" w:eastAsia="宋体"/>
          <w:b/>
          <w:bCs/>
          <w:color w:val="auto"/>
          <w:sz w:val="24"/>
          <w:szCs w:val="24"/>
          <w:highlight w:val="none"/>
          <w:u w:val="single"/>
          <w:lang w:val="en-US" w:eastAsia="zh-CN"/>
        </w:rPr>
        <w:t>/</w:t>
      </w:r>
      <w:r>
        <w:rPr>
          <w:rFonts w:hint="eastAsia" w:hAnsi="宋体" w:cs="宋体"/>
          <w:b/>
          <w:bCs/>
          <w:color w:val="auto"/>
          <w:sz w:val="24"/>
          <w:szCs w:val="22"/>
          <w:highlight w:val="none"/>
          <w:u w:val="none"/>
        </w:rPr>
        <w:t>。</w:t>
      </w:r>
    </w:p>
    <w:p>
      <w:pPr>
        <w:pStyle w:val="34"/>
        <w:ind w:firstLine="480"/>
        <w:rPr>
          <w:rFonts w:hint="eastAsia" w:hAnsi="宋体"/>
          <w:color w:val="auto"/>
          <w:highlight w:val="none"/>
          <w:u w:val="single"/>
        </w:rPr>
      </w:pPr>
      <w:bookmarkStart w:id="512" w:name="_Toc351203636"/>
      <w:r>
        <w:rPr>
          <w:rFonts w:hint="eastAsia" w:hAnsi="宋体"/>
          <w:color w:val="auto"/>
          <w:highlight w:val="none"/>
          <w:u w:val="single"/>
        </w:rPr>
        <w:t>1、承包人在收到</w:t>
      </w:r>
      <w:r>
        <w:rPr>
          <w:rFonts w:hint="eastAsia" w:hAnsi="宋体" w:cs="宋体"/>
          <w:color w:val="auto"/>
          <w:sz w:val="24"/>
          <w:highlight w:val="none"/>
          <w:u w:val="single"/>
          <w:lang w:val="en-US" w:eastAsia="zh-CN"/>
        </w:rPr>
        <w:t>成交通知书（</w:t>
      </w:r>
      <w:r>
        <w:rPr>
          <w:rFonts w:hint="eastAsia" w:hAnsi="宋体" w:cs="宋体"/>
          <w:color w:val="auto"/>
          <w:sz w:val="24"/>
          <w:highlight w:val="none"/>
          <w:u w:val="single"/>
        </w:rPr>
        <w:t>中标通知书</w:t>
      </w:r>
      <w:r>
        <w:rPr>
          <w:rFonts w:hint="eastAsia" w:hAnsi="宋体" w:cs="宋体"/>
          <w:color w:val="auto"/>
          <w:sz w:val="24"/>
          <w:highlight w:val="none"/>
          <w:u w:val="single"/>
          <w:lang w:eastAsia="zh-CN"/>
        </w:rPr>
        <w:t>）</w:t>
      </w:r>
      <w:r>
        <w:rPr>
          <w:rFonts w:hint="eastAsia" w:hAnsi="宋体"/>
          <w:color w:val="auto"/>
          <w:highlight w:val="none"/>
          <w:u w:val="single"/>
        </w:rPr>
        <w:t>后5天内，应先向发包人提交中标金额</w:t>
      </w:r>
      <w:r>
        <w:rPr>
          <w:rFonts w:hint="eastAsia" w:hAnsi="宋体"/>
          <w:color w:val="auto"/>
          <w:highlight w:val="none"/>
          <w:u w:val="single"/>
          <w:lang w:val="en-US" w:eastAsia="zh-CN"/>
        </w:rPr>
        <w:t>2</w:t>
      </w:r>
      <w:r>
        <w:rPr>
          <w:rFonts w:hint="eastAsia" w:hAnsi="宋体"/>
          <w:color w:val="auto"/>
          <w:highlight w:val="none"/>
          <w:u w:val="single"/>
        </w:rPr>
        <w:t>%的履约保证金，</w:t>
      </w:r>
      <w:r>
        <w:rPr>
          <w:rFonts w:hint="eastAsia" w:hAnsi="宋体"/>
          <w:b/>
          <w:color w:val="auto"/>
          <w:highlight w:val="none"/>
          <w:u w:val="single"/>
        </w:rPr>
        <w:t>若不按发包人规定时间内交纳的，取消其中标资格</w:t>
      </w:r>
      <w:r>
        <w:rPr>
          <w:rFonts w:hint="eastAsia" w:hAnsi="宋体"/>
          <w:color w:val="auto"/>
          <w:highlight w:val="none"/>
          <w:u w:val="single"/>
        </w:rPr>
        <w:t xml:space="preserve">；且执行本条各项要求所需的费用由承包人承担，此保证金发包方在承包方如期完成全部工程内容，按发包人规定期限退还承包方（无息）。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2、履约保证金内容包括：工程质量履约担保占履约担保总额的35%，工期履约担保占履约担保总额的30%，安全、文明、环境保护施工履约担保占履约担保总额的20%，项目班子、机械设备到岗率履约担保占履约担保总额的10%，工程资料保证金占履约担保总额的5%。</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3、履约保证金在工程竣工验收通过、工程和工程资料移交后 1 个月内，发包人扣除应扣罚的违约金后，退还剩余的履约保证金，履约保证金不计利息。</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4、有下列违约情形的，相应的工程履约保证金发包人不予退还，并可在当期工程款（进度款）中扣除承包人给发包人造成的损失：</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A、由于承包人原因在执行过程中解除合同，工程履约保证金不予退还；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B、竣工验收，未能一次性验收合格，质量履约保证金不予退还；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C、承包人在施工期间发生重大质量事故的，工程质量履约保证金不予退还；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D、工程未能在合同约定的期限内完工，按合同有关条款处罚，工期履约保证金若不足以抵扣工期违约金的，在工程价款中相应扣足；</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E、在施工期间发生重大安全事故的，安全、文明、环境保护施工履约保证金不予退还；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F、承包人在合同履行期间不能及时填写、整理、提交完整的工程技术资料，工程资料保证金不予退还。若承包人在投标时提供了虚假资料，一经发现，工程资料保证金不予退还，并承担一切法律责任。</w:t>
      </w:r>
    </w:p>
    <w:p>
      <w:pPr>
        <w:spacing w:line="440" w:lineRule="exact"/>
        <w:ind w:firstLine="480" w:firstLineChars="200"/>
        <w:rPr>
          <w:rFonts w:hAnsi="宋体"/>
          <w:color w:val="auto"/>
          <w:sz w:val="24"/>
          <w:highlight w:val="none"/>
          <w:u w:val="single"/>
        </w:rPr>
      </w:pPr>
      <w:r>
        <w:rPr>
          <w:color w:val="auto"/>
          <w:sz w:val="24"/>
          <w:highlight w:val="none"/>
        </w:rPr>
        <w:t>4</w:t>
      </w:r>
      <w:bookmarkStart w:id="513" w:name="_Toc296944501"/>
      <w:bookmarkStart w:id="514" w:name="_Toc292559871"/>
      <w:bookmarkStart w:id="515" w:name="_Toc296503162"/>
      <w:bookmarkStart w:id="516" w:name="_Toc296891202"/>
      <w:bookmarkStart w:id="517" w:name="_Toc297048348"/>
      <w:bookmarkStart w:id="518" w:name="_Toc296890990"/>
      <w:bookmarkStart w:id="519" w:name="_Toc292559366"/>
      <w:bookmarkStart w:id="520" w:name="_Toc296346663"/>
      <w:bookmarkStart w:id="521" w:name="_Toc267251413"/>
      <w:bookmarkStart w:id="522" w:name="_Toc297120462"/>
      <w:bookmarkStart w:id="523" w:name="_Toc296347161"/>
      <w:r>
        <w:rPr>
          <w:color w:val="auto"/>
          <w:sz w:val="24"/>
          <w:highlight w:val="none"/>
        </w:rPr>
        <w:t>. 监</w:t>
      </w:r>
      <w:bookmarkEnd w:id="513"/>
      <w:bookmarkEnd w:id="514"/>
      <w:bookmarkEnd w:id="515"/>
      <w:bookmarkEnd w:id="516"/>
      <w:bookmarkEnd w:id="517"/>
      <w:bookmarkEnd w:id="518"/>
      <w:bookmarkEnd w:id="519"/>
      <w:bookmarkEnd w:id="520"/>
      <w:bookmarkEnd w:id="521"/>
      <w:bookmarkEnd w:id="522"/>
      <w:bookmarkEnd w:id="523"/>
      <w:r>
        <w:rPr>
          <w:color w:val="auto"/>
          <w:sz w:val="24"/>
          <w:highlight w:val="none"/>
        </w:rPr>
        <w:t>理人</w:t>
      </w:r>
      <w:bookmarkEnd w:id="512"/>
    </w:p>
    <w:p>
      <w:pPr>
        <w:spacing w:line="440" w:lineRule="exact"/>
        <w:ind w:firstLine="480" w:firstLineChars="200"/>
        <w:rPr>
          <w:rFonts w:hAnsi="宋体"/>
          <w:color w:val="auto"/>
          <w:sz w:val="24"/>
          <w:highlight w:val="none"/>
        </w:rPr>
      </w:pPr>
      <w:r>
        <w:rPr>
          <w:rFonts w:hAnsi="宋体"/>
          <w:color w:val="auto"/>
          <w:sz w:val="24"/>
          <w:highlight w:val="none"/>
        </w:rPr>
        <w:t>4.1监理人的一般规定</w:t>
      </w:r>
    </w:p>
    <w:p>
      <w:pPr>
        <w:spacing w:line="440" w:lineRule="exact"/>
        <w:ind w:firstLine="480" w:firstLineChars="200"/>
        <w:rPr>
          <w:rFonts w:hAnsi="宋体"/>
          <w:color w:val="auto"/>
          <w:sz w:val="24"/>
          <w:highlight w:val="none"/>
        </w:rPr>
      </w:pPr>
      <w:r>
        <w:rPr>
          <w:rFonts w:hAnsi="宋体"/>
          <w:color w:val="auto"/>
          <w:sz w:val="24"/>
          <w:highlight w:val="none"/>
        </w:rPr>
        <w:t>关于监理人的监理内容：</w:t>
      </w:r>
      <w:r>
        <w:rPr>
          <w:rFonts w:hint="eastAsia" w:hAnsi="宋体"/>
          <w:color w:val="auto"/>
          <w:sz w:val="24"/>
          <w:highlight w:val="none"/>
          <w:u w:val="single"/>
        </w:rPr>
        <w:t>按监理规范、上级文件要求和监理合同执行</w:t>
      </w:r>
      <w:r>
        <w:rPr>
          <w:rFonts w:hAnsi="宋体"/>
          <w:color w:val="auto"/>
          <w:sz w:val="24"/>
          <w:highlight w:val="none"/>
        </w:rPr>
        <w:t>。</w:t>
      </w:r>
    </w:p>
    <w:p>
      <w:pPr>
        <w:pStyle w:val="57"/>
        <w:tabs>
          <w:tab w:val="left" w:pos="2856"/>
        </w:tabs>
        <w:snapToGrid w:val="0"/>
        <w:spacing w:before="0" w:beforeAutospacing="0" w:after="0" w:afterAutospacing="0" w:line="440" w:lineRule="exact"/>
        <w:ind w:firstLine="480" w:firstLineChars="200"/>
        <w:jc w:val="both"/>
        <w:rPr>
          <w:rFonts w:cs="Courier New"/>
          <w:color w:val="auto"/>
          <w:kern w:val="2"/>
          <w:highlight w:val="none"/>
          <w:u w:val="single"/>
        </w:rPr>
      </w:pPr>
      <w:r>
        <w:rPr>
          <w:color w:val="auto"/>
          <w:highlight w:val="none"/>
        </w:rPr>
        <w:t>关于监理人的监理权限：</w:t>
      </w:r>
      <w:r>
        <w:rPr>
          <w:rFonts w:hint="eastAsia" w:cs="Courier New"/>
          <w:color w:val="auto"/>
          <w:kern w:val="2"/>
          <w:highlight w:val="none"/>
          <w:u w:val="single"/>
        </w:rPr>
        <w:t xml:space="preserve">对工程的质量、安全、造价、进度等所有内容进行全面控制和管理及施工协调（如下）。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 xml:space="preserve">(1)参加由发包人组织的设计技术交底会，并负责技术交底纪要的整理；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(2)审核</w:t>
      </w:r>
      <w:r>
        <w:rPr>
          <w:rFonts w:hAnsi="宋体"/>
          <w:color w:val="auto"/>
          <w:sz w:val="24"/>
          <w:szCs w:val="24"/>
          <w:highlight w:val="none"/>
          <w:u w:val="single"/>
        </w:rPr>
        <w:t>承包人</w:t>
      </w:r>
      <w:r>
        <w:rPr>
          <w:rFonts w:hint="eastAsia" w:hAnsi="宋体"/>
          <w:color w:val="auto"/>
          <w:sz w:val="24"/>
          <w:szCs w:val="24"/>
          <w:highlight w:val="none"/>
          <w:u w:val="single"/>
        </w:rPr>
        <w:t xml:space="preserve">报送的施工组织设计、技术方案、进度计划；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(3)</w:t>
      </w:r>
      <w:r>
        <w:rPr>
          <w:rFonts w:hAnsi="宋体"/>
          <w:color w:val="auto"/>
          <w:sz w:val="24"/>
          <w:szCs w:val="24"/>
          <w:highlight w:val="none"/>
          <w:u w:val="single"/>
        </w:rPr>
        <w:t>报经</w:t>
      </w:r>
      <w:r>
        <w:rPr>
          <w:rFonts w:hint="eastAsia" w:hAnsi="宋体"/>
          <w:color w:val="auto"/>
          <w:sz w:val="24"/>
          <w:szCs w:val="24"/>
          <w:highlight w:val="none"/>
          <w:u w:val="single"/>
        </w:rPr>
        <w:t>发包人</w:t>
      </w:r>
      <w:r>
        <w:rPr>
          <w:rFonts w:hAnsi="宋体"/>
          <w:color w:val="auto"/>
          <w:sz w:val="24"/>
          <w:szCs w:val="24"/>
          <w:highlight w:val="none"/>
          <w:u w:val="single"/>
        </w:rPr>
        <w:t>同意后，发布开工令、停工令、复工令。如在紧急情况下未能事先报告，则应在24小时内向</w:t>
      </w:r>
      <w:r>
        <w:rPr>
          <w:rFonts w:hint="eastAsia" w:hAnsi="宋体"/>
          <w:color w:val="auto"/>
          <w:sz w:val="24"/>
          <w:szCs w:val="24"/>
          <w:highlight w:val="none"/>
          <w:u w:val="single"/>
        </w:rPr>
        <w:t>发包人</w:t>
      </w:r>
      <w:r>
        <w:rPr>
          <w:rFonts w:hAnsi="宋体"/>
          <w:color w:val="auto"/>
          <w:sz w:val="24"/>
          <w:szCs w:val="24"/>
          <w:highlight w:val="none"/>
          <w:u w:val="single"/>
        </w:rPr>
        <w:t>作出书面报告</w:t>
      </w:r>
      <w:r>
        <w:rPr>
          <w:rFonts w:hint="eastAsia" w:hAnsi="宋体"/>
          <w:color w:val="auto"/>
          <w:sz w:val="24"/>
          <w:szCs w:val="24"/>
          <w:highlight w:val="none"/>
          <w:u w:val="single"/>
        </w:rPr>
        <w:t xml:space="preserve">；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(4)进场</w:t>
      </w:r>
      <w:r>
        <w:rPr>
          <w:rFonts w:hAnsi="宋体"/>
          <w:color w:val="auto"/>
          <w:sz w:val="24"/>
          <w:szCs w:val="24"/>
          <w:highlight w:val="none"/>
          <w:u w:val="single"/>
        </w:rPr>
        <w:t>材料</w:t>
      </w:r>
      <w:r>
        <w:rPr>
          <w:rFonts w:hint="eastAsia" w:hAnsi="宋体"/>
          <w:color w:val="auto"/>
          <w:sz w:val="24"/>
          <w:szCs w:val="24"/>
          <w:highlight w:val="none"/>
          <w:u w:val="single"/>
        </w:rPr>
        <w:t>、半成品、成品及设备的</w:t>
      </w:r>
      <w:r>
        <w:rPr>
          <w:rFonts w:hAnsi="宋体"/>
          <w:color w:val="auto"/>
          <w:sz w:val="24"/>
          <w:szCs w:val="24"/>
          <w:highlight w:val="none"/>
          <w:u w:val="single"/>
        </w:rPr>
        <w:t>检验</w:t>
      </w:r>
      <w:r>
        <w:rPr>
          <w:rFonts w:hint="eastAsia" w:hAnsi="宋体"/>
          <w:color w:val="auto"/>
          <w:sz w:val="24"/>
          <w:szCs w:val="24"/>
          <w:highlight w:val="none"/>
          <w:u w:val="single"/>
        </w:rPr>
        <w:t xml:space="preserve">、验收；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 xml:space="preserve">(5)工程质量的监督、检验；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(6)审核签署</w:t>
      </w:r>
      <w:r>
        <w:rPr>
          <w:rFonts w:hAnsi="宋体"/>
          <w:color w:val="auto"/>
          <w:sz w:val="24"/>
          <w:szCs w:val="24"/>
          <w:highlight w:val="none"/>
          <w:u w:val="single"/>
        </w:rPr>
        <w:t>承包人</w:t>
      </w:r>
      <w:r>
        <w:rPr>
          <w:rFonts w:hint="eastAsia" w:hAnsi="宋体"/>
          <w:color w:val="auto"/>
          <w:sz w:val="24"/>
          <w:szCs w:val="24"/>
          <w:highlight w:val="none"/>
          <w:u w:val="single"/>
        </w:rPr>
        <w:t>的申请、支付证书；</w:t>
      </w:r>
      <w:r>
        <w:rPr>
          <w:rFonts w:hAnsi="宋体"/>
          <w:color w:val="auto"/>
          <w:sz w:val="24"/>
          <w:szCs w:val="24"/>
          <w:highlight w:val="none"/>
          <w:u w:val="single"/>
        </w:rPr>
        <w:t>未经总监理工程师书面签字确认，</w:t>
      </w:r>
      <w:r>
        <w:rPr>
          <w:rFonts w:hint="eastAsia" w:hAnsi="宋体"/>
          <w:color w:val="auto"/>
          <w:sz w:val="24"/>
          <w:szCs w:val="24"/>
          <w:highlight w:val="none"/>
          <w:u w:val="single"/>
        </w:rPr>
        <w:t>发包人</w:t>
      </w:r>
      <w:r>
        <w:rPr>
          <w:rFonts w:hAnsi="宋体"/>
          <w:color w:val="auto"/>
          <w:sz w:val="24"/>
          <w:szCs w:val="24"/>
          <w:highlight w:val="none"/>
          <w:u w:val="single"/>
        </w:rPr>
        <w:t>不支付工程款</w:t>
      </w:r>
      <w:r>
        <w:rPr>
          <w:rFonts w:hint="eastAsia" w:hAnsi="宋体"/>
          <w:color w:val="auto"/>
          <w:sz w:val="24"/>
          <w:szCs w:val="24"/>
          <w:highlight w:val="none"/>
          <w:u w:val="single"/>
        </w:rPr>
        <w:t xml:space="preserve">；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 xml:space="preserve">(7)审查和处理工程变更；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 xml:space="preserve">(8)调解发包人与承包人的合同争议、处理索赔、审批工程延期；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 xml:space="preserve">(9)主题会议的主持权，并负责相关纪要的整理；                              </w:t>
      </w:r>
    </w:p>
    <w:p>
      <w:pPr>
        <w:pStyle w:val="56"/>
        <w:numPr>
          <w:ilvl w:val="0"/>
          <w:numId w:val="0"/>
        </w:numPr>
        <w:tabs>
          <w:tab w:val="left" w:pos="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hAnsi="宋体"/>
          <w:color w:val="auto"/>
          <w:sz w:val="24"/>
          <w:szCs w:val="24"/>
          <w:highlight w:val="none"/>
          <w:u w:val="single"/>
        </w:rPr>
        <w:t xml:space="preserve">(10)主持或参与工程质量事故的调查。                                       </w:t>
      </w:r>
    </w:p>
    <w:p>
      <w:pPr>
        <w:pStyle w:val="57"/>
        <w:tabs>
          <w:tab w:val="left" w:pos="0"/>
          <w:tab w:val="left" w:pos="2856"/>
        </w:tabs>
        <w:snapToGrid w:val="0"/>
        <w:spacing w:before="0" w:beforeAutospacing="0" w:after="0" w:afterAutospacing="0" w:line="440" w:lineRule="exact"/>
        <w:ind w:firstLine="480" w:firstLineChars="200"/>
        <w:jc w:val="both"/>
        <w:rPr>
          <w:color w:val="auto"/>
          <w:highlight w:val="none"/>
          <w:u w:val="single"/>
        </w:rPr>
      </w:pPr>
      <w:r>
        <w:rPr>
          <w:color w:val="auto"/>
          <w:highlight w:val="none"/>
        </w:rPr>
        <w:t>需要取得</w:t>
      </w:r>
      <w:r>
        <w:rPr>
          <w:rFonts w:hint="eastAsia"/>
          <w:color w:val="auto"/>
          <w:highlight w:val="none"/>
        </w:rPr>
        <w:t>业主</w:t>
      </w:r>
      <w:r>
        <w:rPr>
          <w:color w:val="auto"/>
          <w:highlight w:val="none"/>
        </w:rPr>
        <w:t>批准才能行使的职权：</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hAnsi="宋体"/>
          <w:color w:val="auto"/>
          <w:sz w:val="24"/>
          <w:szCs w:val="24"/>
          <w:highlight w:val="none"/>
          <w:u w:val="single"/>
        </w:rPr>
      </w:pPr>
      <w:r>
        <w:rPr>
          <w:rFonts w:hint="eastAsia" w:hAnsi="宋体"/>
          <w:color w:val="auto"/>
          <w:sz w:val="24"/>
          <w:szCs w:val="24"/>
          <w:highlight w:val="none"/>
          <w:u w:val="single"/>
        </w:rPr>
        <w:t>(1)发</w:t>
      </w:r>
      <w:r>
        <w:rPr>
          <w:rFonts w:hAnsi="宋体"/>
          <w:color w:val="auto"/>
          <w:sz w:val="24"/>
          <w:szCs w:val="24"/>
          <w:highlight w:val="none"/>
          <w:u w:val="single"/>
        </w:rPr>
        <w:t>布停、复工令应当事先向</w:t>
      </w:r>
      <w:r>
        <w:rPr>
          <w:rFonts w:hint="eastAsia" w:hAnsi="宋体"/>
          <w:color w:val="auto"/>
          <w:sz w:val="24"/>
          <w:szCs w:val="24"/>
          <w:highlight w:val="none"/>
          <w:u w:val="single"/>
        </w:rPr>
        <w:t>发包人</w:t>
      </w:r>
      <w:r>
        <w:rPr>
          <w:rFonts w:hAnsi="宋体"/>
          <w:color w:val="auto"/>
          <w:sz w:val="24"/>
          <w:szCs w:val="24"/>
          <w:highlight w:val="none"/>
          <w:u w:val="single"/>
        </w:rPr>
        <w:t>报告。报经</w:t>
      </w:r>
      <w:r>
        <w:rPr>
          <w:rFonts w:hint="eastAsia" w:hAnsi="宋体"/>
          <w:color w:val="auto"/>
          <w:sz w:val="24"/>
          <w:szCs w:val="24"/>
          <w:highlight w:val="none"/>
          <w:u w:val="single"/>
        </w:rPr>
        <w:t>发包人</w:t>
      </w:r>
      <w:r>
        <w:rPr>
          <w:rFonts w:hAnsi="宋体"/>
          <w:color w:val="auto"/>
          <w:sz w:val="24"/>
          <w:szCs w:val="24"/>
          <w:highlight w:val="none"/>
          <w:u w:val="single"/>
        </w:rPr>
        <w:t>同意后，发布开工令、停工令、复工令。当对设计单位或承包人提出建议时，该建议会提高工程造价或延长工期</w:t>
      </w:r>
      <w:r>
        <w:rPr>
          <w:rFonts w:hint="eastAsia" w:hAnsi="宋体"/>
          <w:color w:val="auto"/>
          <w:sz w:val="24"/>
          <w:szCs w:val="24"/>
          <w:highlight w:val="none"/>
          <w:u w:val="single"/>
        </w:rPr>
        <w:t>的</w:t>
      </w:r>
      <w:r>
        <w:rPr>
          <w:rFonts w:hAnsi="宋体"/>
          <w:color w:val="auto"/>
          <w:sz w:val="24"/>
          <w:szCs w:val="24"/>
          <w:highlight w:val="none"/>
          <w:u w:val="single"/>
        </w:rPr>
        <w:t>，必须事先报经</w:t>
      </w:r>
      <w:r>
        <w:rPr>
          <w:rFonts w:hint="eastAsia" w:hAnsi="宋体"/>
          <w:color w:val="auto"/>
          <w:sz w:val="24"/>
          <w:szCs w:val="24"/>
          <w:highlight w:val="none"/>
          <w:u w:val="single"/>
        </w:rPr>
        <w:t>发包人</w:t>
      </w:r>
      <w:r>
        <w:rPr>
          <w:rFonts w:hAnsi="宋体"/>
          <w:color w:val="auto"/>
          <w:sz w:val="24"/>
          <w:szCs w:val="24"/>
          <w:highlight w:val="none"/>
          <w:u w:val="single"/>
        </w:rPr>
        <w:t>同意。</w:t>
      </w:r>
      <w:r>
        <w:rPr>
          <w:rFonts w:hint="eastAsia" w:hAnsi="宋体"/>
          <w:color w:val="auto"/>
          <w:sz w:val="24"/>
          <w:szCs w:val="24"/>
          <w:highlight w:val="none"/>
          <w:u w:val="single"/>
        </w:rPr>
        <w:t xml:space="preserve">      </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hAnsi="宋体"/>
          <w:color w:val="auto"/>
          <w:sz w:val="24"/>
          <w:szCs w:val="24"/>
          <w:highlight w:val="none"/>
          <w:u w:val="single"/>
        </w:rPr>
      </w:pPr>
      <w:r>
        <w:rPr>
          <w:rFonts w:hint="eastAsia" w:hAnsi="宋体"/>
          <w:color w:val="auto"/>
          <w:sz w:val="24"/>
          <w:szCs w:val="24"/>
          <w:highlight w:val="none"/>
          <w:u w:val="single"/>
        </w:rPr>
        <w:t>(2)</w:t>
      </w:r>
      <w:r>
        <w:rPr>
          <w:rFonts w:hAnsi="宋体"/>
          <w:color w:val="auto"/>
          <w:sz w:val="24"/>
          <w:szCs w:val="24"/>
          <w:highlight w:val="none"/>
          <w:u w:val="single"/>
        </w:rPr>
        <w:t>监理人在</w:t>
      </w:r>
      <w:r>
        <w:rPr>
          <w:rFonts w:hint="eastAsia" w:hAnsi="宋体"/>
          <w:color w:val="auto"/>
          <w:sz w:val="24"/>
          <w:szCs w:val="24"/>
          <w:highlight w:val="none"/>
          <w:u w:val="single"/>
        </w:rPr>
        <w:t>发包人</w:t>
      </w:r>
      <w:r>
        <w:rPr>
          <w:rFonts w:hAnsi="宋体"/>
          <w:color w:val="auto"/>
          <w:sz w:val="24"/>
          <w:szCs w:val="24"/>
          <w:highlight w:val="none"/>
          <w:u w:val="single"/>
        </w:rPr>
        <w:t>的书面授权下可对承包人合同规定的义务提出变更。</w:t>
      </w:r>
      <w:r>
        <w:rPr>
          <w:rFonts w:hint="eastAsia" w:hAnsi="宋体"/>
          <w:color w:val="auto"/>
          <w:sz w:val="24"/>
          <w:szCs w:val="24"/>
          <w:highlight w:val="none"/>
          <w:u w:val="single"/>
        </w:rPr>
        <w:t xml:space="preserve">          </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color w:val="auto"/>
          <w:sz w:val="24"/>
          <w:szCs w:val="24"/>
          <w:highlight w:val="none"/>
          <w:u w:val="single"/>
        </w:rPr>
      </w:pPr>
      <w:r>
        <w:rPr>
          <w:rFonts w:hint="eastAsia"/>
          <w:color w:val="auto"/>
          <w:sz w:val="24"/>
          <w:szCs w:val="24"/>
          <w:highlight w:val="none"/>
          <w:u w:val="single"/>
        </w:rPr>
        <w:t>(3)</w:t>
      </w:r>
      <w:r>
        <w:rPr>
          <w:color w:val="auto"/>
          <w:sz w:val="24"/>
          <w:szCs w:val="24"/>
          <w:highlight w:val="none"/>
          <w:u w:val="single"/>
        </w:rPr>
        <w:t>总监理工程师行使除上述职权外还包括通用条款中明确规定由总监理工程师行使的职权和义务。总监理工程师在履行上述授权的任何行为都不会额外增加</w:t>
      </w:r>
      <w:r>
        <w:rPr>
          <w:rFonts w:hint="eastAsia"/>
          <w:color w:val="auto"/>
          <w:sz w:val="24"/>
          <w:szCs w:val="24"/>
          <w:highlight w:val="none"/>
          <w:u w:val="single"/>
        </w:rPr>
        <w:t>发包人</w:t>
      </w:r>
      <w:r>
        <w:rPr>
          <w:color w:val="auto"/>
          <w:sz w:val="24"/>
          <w:szCs w:val="24"/>
          <w:highlight w:val="none"/>
          <w:u w:val="single"/>
        </w:rPr>
        <w:t>的义务，更不会解除或减轻合同中承包人的义务，否则该行为不会对</w:t>
      </w:r>
      <w:r>
        <w:rPr>
          <w:rFonts w:hint="eastAsia"/>
          <w:color w:val="auto"/>
          <w:sz w:val="24"/>
          <w:szCs w:val="24"/>
          <w:highlight w:val="none"/>
          <w:u w:val="single"/>
        </w:rPr>
        <w:t>发包人</w:t>
      </w:r>
      <w:r>
        <w:rPr>
          <w:color w:val="auto"/>
          <w:sz w:val="24"/>
          <w:szCs w:val="24"/>
          <w:highlight w:val="none"/>
          <w:u w:val="single"/>
        </w:rPr>
        <w:t>有任何约束力。</w:t>
      </w:r>
      <w:r>
        <w:rPr>
          <w:rFonts w:hint="eastAsia"/>
          <w:color w:val="auto"/>
          <w:sz w:val="24"/>
          <w:szCs w:val="24"/>
          <w:highlight w:val="none"/>
          <w:u w:val="single"/>
        </w:rPr>
        <w:t xml:space="preserve">    </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color w:val="auto"/>
          <w:sz w:val="24"/>
          <w:szCs w:val="24"/>
          <w:highlight w:val="none"/>
          <w:u w:val="single"/>
        </w:rPr>
      </w:pPr>
      <w:r>
        <w:rPr>
          <w:rFonts w:hint="eastAsia"/>
          <w:color w:val="auto"/>
          <w:sz w:val="24"/>
          <w:szCs w:val="24"/>
          <w:highlight w:val="none"/>
          <w:u w:val="single"/>
        </w:rPr>
        <w:t>(4)</w:t>
      </w:r>
      <w:r>
        <w:rPr>
          <w:color w:val="auto"/>
          <w:sz w:val="24"/>
          <w:szCs w:val="24"/>
          <w:highlight w:val="none"/>
          <w:u w:val="single"/>
        </w:rPr>
        <w:t>监理人的任何批准、检查、证书、同意、通知、建议、检验、指令、决定和要求等不解除承包商在合同中的责任。</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color w:val="auto"/>
          <w:highlight w:val="none"/>
          <w:u w:val="single"/>
        </w:rPr>
      </w:pPr>
      <w:r>
        <w:rPr>
          <w:rFonts w:hint="eastAsia"/>
          <w:color w:val="auto"/>
          <w:sz w:val="24"/>
          <w:szCs w:val="24"/>
          <w:highlight w:val="none"/>
          <w:u w:val="single"/>
        </w:rPr>
        <w:t xml:space="preserve">(5)工程变更所引起的工程量及价款的调整，监理工程师只能对工程量进行确定，工程变更价款须由发包人确定。            </w:t>
      </w:r>
      <w:r>
        <w:rPr>
          <w:rFonts w:hint="eastAsia"/>
          <w:color w:val="auto"/>
          <w:highlight w:val="none"/>
          <w:u w:val="single"/>
        </w:rPr>
        <w:t xml:space="preserve">                                      </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color w:val="auto"/>
          <w:sz w:val="24"/>
          <w:szCs w:val="24"/>
          <w:highlight w:val="none"/>
          <w:u w:val="single"/>
        </w:rPr>
      </w:pPr>
      <w:r>
        <w:rPr>
          <w:color w:val="auto"/>
          <w:sz w:val="24"/>
          <w:szCs w:val="24"/>
          <w:highlight w:val="none"/>
        </w:rPr>
        <w:t>关于监理人在施工现场的办公场所、生活场所的提供和费用承担的约定：</w:t>
      </w:r>
      <w:r>
        <w:rPr>
          <w:rFonts w:hint="eastAsia"/>
          <w:color w:val="auto"/>
          <w:sz w:val="24"/>
          <w:szCs w:val="24"/>
          <w:highlight w:val="none"/>
          <w:u w:val="single"/>
        </w:rPr>
        <w:t>由承包人提供</w:t>
      </w:r>
      <w:r>
        <w:rPr>
          <w:color w:val="auto"/>
          <w:sz w:val="24"/>
          <w:szCs w:val="24"/>
          <w:highlight w:val="none"/>
          <w:u w:val="single"/>
        </w:rPr>
        <w:t>。</w:t>
      </w:r>
    </w:p>
    <w:p>
      <w:pPr>
        <w:spacing w:line="440" w:lineRule="exact"/>
        <w:ind w:firstLine="480" w:firstLineChars="200"/>
        <w:rPr>
          <w:rFonts w:hAnsi="宋体"/>
          <w:color w:val="auto"/>
          <w:sz w:val="24"/>
          <w:highlight w:val="none"/>
        </w:rPr>
      </w:pPr>
      <w:r>
        <w:rPr>
          <w:rFonts w:hAnsi="宋体"/>
          <w:color w:val="auto"/>
          <w:sz w:val="24"/>
          <w:highlight w:val="none"/>
        </w:rPr>
        <w:t>4.2 监理人员</w:t>
      </w:r>
    </w:p>
    <w:p>
      <w:pPr>
        <w:spacing w:line="440" w:lineRule="exact"/>
        <w:ind w:firstLine="480" w:firstLineChars="200"/>
        <w:rPr>
          <w:rFonts w:hAnsi="宋体"/>
          <w:color w:val="auto"/>
          <w:sz w:val="24"/>
          <w:highlight w:val="none"/>
        </w:rPr>
      </w:pPr>
      <w:r>
        <w:rPr>
          <w:rFonts w:hAnsi="宋体"/>
          <w:color w:val="auto"/>
          <w:sz w:val="24"/>
          <w:highlight w:val="none"/>
        </w:rPr>
        <w:t>总监理工程师：</w:t>
      </w:r>
    </w:p>
    <w:p>
      <w:pPr>
        <w:spacing w:line="440" w:lineRule="exact"/>
        <w:ind w:firstLine="480" w:firstLineChars="200"/>
        <w:rPr>
          <w:rFonts w:hAnsi="宋体"/>
          <w:color w:val="auto"/>
          <w:sz w:val="24"/>
          <w:highlight w:val="none"/>
        </w:rPr>
      </w:pPr>
      <w:r>
        <w:rPr>
          <w:rFonts w:hAnsi="宋体"/>
          <w:color w:val="auto"/>
          <w:sz w:val="24"/>
          <w:highlight w:val="none"/>
        </w:rPr>
        <w:t>姓    名：</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职    务：</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监理工程师执业资格证书号：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关于监理人的其他约定：</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4.4 商定或确定</w:t>
      </w:r>
    </w:p>
    <w:p>
      <w:pPr>
        <w:spacing w:line="440" w:lineRule="exact"/>
        <w:ind w:firstLine="480" w:firstLineChars="200"/>
        <w:rPr>
          <w:rFonts w:hAnsi="宋体"/>
          <w:color w:val="auto"/>
          <w:sz w:val="24"/>
          <w:highlight w:val="none"/>
        </w:rPr>
      </w:pPr>
      <w:bookmarkStart w:id="524" w:name="_Toc267251418"/>
      <w:r>
        <w:rPr>
          <w:rFonts w:hAnsi="宋体"/>
          <w:color w:val="auto"/>
          <w:sz w:val="24"/>
          <w:highlight w:val="none"/>
        </w:rPr>
        <w:t>在发包人和承包人不能通过协商达成一致意见时，发包人授权监理人对以下事项进行确定：</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（1）</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（2）</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（3）</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color w:val="auto"/>
          <w:sz w:val="24"/>
          <w:highlight w:val="none"/>
        </w:rPr>
      </w:pPr>
      <w:bookmarkStart w:id="525" w:name="_Toc351203637"/>
      <w:r>
        <w:rPr>
          <w:color w:val="auto"/>
          <w:sz w:val="24"/>
          <w:highlight w:val="none"/>
        </w:rPr>
        <w:t>5</w:t>
      </w:r>
      <w:bookmarkEnd w:id="524"/>
      <w:bookmarkStart w:id="526" w:name="_Toc296346664"/>
      <w:bookmarkStart w:id="527" w:name="_Toc297120463"/>
      <w:bookmarkStart w:id="528" w:name="_Toc296890991"/>
      <w:bookmarkStart w:id="529" w:name="_Toc292559872"/>
      <w:bookmarkStart w:id="530" w:name="_Toc297048349"/>
      <w:bookmarkStart w:id="531" w:name="_Toc296944502"/>
      <w:bookmarkStart w:id="532" w:name="_Toc296891203"/>
      <w:bookmarkStart w:id="533" w:name="_Toc296347162"/>
      <w:bookmarkStart w:id="534" w:name="_Toc292559367"/>
      <w:bookmarkStart w:id="535" w:name="_Toc296503163"/>
      <w:r>
        <w:rPr>
          <w:color w:val="auto"/>
          <w:sz w:val="24"/>
          <w:highlight w:val="none"/>
        </w:rPr>
        <w:t>. 工程质量</w:t>
      </w:r>
      <w:bookmarkEnd w:id="525"/>
    </w:p>
    <w:p>
      <w:pPr>
        <w:spacing w:line="440" w:lineRule="exact"/>
        <w:ind w:firstLine="480" w:firstLineChars="200"/>
        <w:rPr>
          <w:rFonts w:hAnsi="宋体"/>
          <w:color w:val="auto"/>
          <w:sz w:val="24"/>
          <w:highlight w:val="none"/>
        </w:rPr>
      </w:pPr>
      <w:r>
        <w:rPr>
          <w:rFonts w:hAnsi="宋体"/>
          <w:color w:val="auto"/>
          <w:sz w:val="24"/>
          <w:highlight w:val="none"/>
        </w:rPr>
        <w:t>5.1 质量要求</w:t>
      </w:r>
    </w:p>
    <w:p>
      <w:pPr>
        <w:spacing w:line="440" w:lineRule="exact"/>
        <w:ind w:firstLine="480" w:firstLineChars="200"/>
        <w:rPr>
          <w:rFonts w:hint="eastAsia" w:hAnsi="宋体"/>
          <w:color w:val="auto"/>
          <w:sz w:val="24"/>
          <w:highlight w:val="none"/>
        </w:rPr>
      </w:pPr>
      <w:r>
        <w:rPr>
          <w:rFonts w:hAnsi="宋体"/>
          <w:color w:val="auto"/>
          <w:sz w:val="24"/>
          <w:highlight w:val="none"/>
        </w:rPr>
        <w:t>5</w:t>
      </w:r>
      <w:bookmarkStart w:id="536" w:name="_Toc312677997"/>
      <w:bookmarkStart w:id="537" w:name="_Toc300934949"/>
      <w:bookmarkStart w:id="538" w:name="_Toc297216155"/>
      <w:bookmarkStart w:id="539" w:name="_Toc297123496"/>
      <w:bookmarkStart w:id="540" w:name="_Toc318581164"/>
      <w:bookmarkStart w:id="541" w:name="_Toc304295527"/>
      <w:bookmarkStart w:id="542" w:name="_Toc303539106"/>
      <w:r>
        <w:rPr>
          <w:rFonts w:hAnsi="宋体"/>
          <w:color w:val="auto"/>
          <w:sz w:val="24"/>
          <w:highlight w:val="none"/>
        </w:rPr>
        <w:t>.1.1 特殊质量标准和要求：</w:t>
      </w:r>
      <w:r>
        <w:rPr>
          <w:rFonts w:hint="eastAsia" w:hAnsi="宋体"/>
          <w:bCs/>
          <w:color w:val="auto"/>
          <w:sz w:val="24"/>
          <w:highlight w:val="none"/>
          <w:u w:val="single"/>
        </w:rPr>
        <w:t>合格标准</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关于工程奖项的约定：</w:t>
      </w:r>
      <w:r>
        <w:rPr>
          <w:rFonts w:hint="eastAsia" w:hAnsi="宋体"/>
          <w:color w:val="auto"/>
          <w:sz w:val="24"/>
          <w:highlight w:val="none"/>
        </w:rPr>
        <w:t>/</w:t>
      </w:r>
      <w:r>
        <w:rPr>
          <w:rFonts w:hint="eastAsia" w:hAnsi="宋体"/>
          <w:color w:val="auto"/>
          <w:sz w:val="24"/>
          <w:highlight w:val="none"/>
          <w:u w:val="single"/>
        </w:rPr>
        <w:t>。</w:t>
      </w:r>
    </w:p>
    <w:p>
      <w:pPr>
        <w:spacing w:line="440" w:lineRule="exact"/>
        <w:ind w:firstLine="480" w:firstLineChars="200"/>
        <w:rPr>
          <w:rFonts w:hAnsi="宋体"/>
          <w:color w:val="auto"/>
          <w:sz w:val="24"/>
          <w:highlight w:val="none"/>
        </w:rPr>
      </w:pPr>
      <w:r>
        <w:rPr>
          <w:rFonts w:hAnsi="宋体"/>
          <w:color w:val="auto"/>
          <w:sz w:val="24"/>
          <w:highlight w:val="none"/>
        </w:rPr>
        <w:t>5.3 隐蔽工程检查</w:t>
      </w:r>
    </w:p>
    <w:p>
      <w:pPr>
        <w:spacing w:line="440" w:lineRule="exact"/>
        <w:ind w:firstLine="480" w:firstLineChars="200"/>
        <w:rPr>
          <w:rFonts w:hint="eastAsia" w:hAnsi="宋体" w:cs="宋体"/>
          <w:color w:val="auto"/>
          <w:sz w:val="24"/>
          <w:highlight w:val="none"/>
        </w:rPr>
      </w:pPr>
      <w:r>
        <w:rPr>
          <w:rFonts w:hAnsi="宋体"/>
          <w:color w:val="auto"/>
          <w:sz w:val="24"/>
          <w:highlight w:val="none"/>
        </w:rPr>
        <w:t>5.3.2承包人提前通知监理人隐蔽工程检查的期限的约定：</w:t>
      </w:r>
      <w:r>
        <w:rPr>
          <w:rFonts w:hint="eastAsia" w:hAnsi="宋体" w:cs="宋体"/>
          <w:color w:val="auto"/>
          <w:sz w:val="24"/>
          <w:highlight w:val="none"/>
          <w:u w:val="single"/>
        </w:rPr>
        <w:t xml:space="preserve">经承包人自检确认后，48 小时内书面通知监理人检查，质检按现行规范规定和临安区建设工程质量安全监督站的规定执行。  </w:t>
      </w:r>
    </w:p>
    <w:p>
      <w:pPr>
        <w:spacing w:line="440" w:lineRule="exact"/>
        <w:ind w:firstLine="480" w:firstLineChars="200"/>
        <w:rPr>
          <w:rFonts w:hAnsi="宋体"/>
          <w:color w:val="auto"/>
          <w:sz w:val="24"/>
          <w:highlight w:val="none"/>
        </w:rPr>
      </w:pPr>
      <w:r>
        <w:rPr>
          <w:rFonts w:hAnsi="宋体"/>
          <w:color w:val="auto"/>
          <w:sz w:val="24"/>
          <w:highlight w:val="none"/>
        </w:rPr>
        <w:t>监理人不能按时进行检查时，应提前</w:t>
      </w:r>
      <w:r>
        <w:rPr>
          <w:rFonts w:hAnsi="宋体"/>
          <w:color w:val="auto"/>
          <w:sz w:val="24"/>
          <w:highlight w:val="none"/>
          <w:u w:val="single"/>
        </w:rPr>
        <w:t xml:space="preserve"> </w:t>
      </w:r>
      <w:r>
        <w:rPr>
          <w:rFonts w:hint="eastAsia" w:hAnsi="宋体"/>
          <w:color w:val="auto"/>
          <w:sz w:val="24"/>
          <w:highlight w:val="none"/>
          <w:u w:val="single"/>
        </w:rPr>
        <w:t>24</w:t>
      </w:r>
      <w:r>
        <w:rPr>
          <w:rFonts w:hAnsi="宋体"/>
          <w:color w:val="auto"/>
          <w:sz w:val="24"/>
          <w:highlight w:val="none"/>
          <w:u w:val="single"/>
        </w:rPr>
        <w:t xml:space="preserve"> </w:t>
      </w:r>
      <w:r>
        <w:rPr>
          <w:rFonts w:hAnsi="宋体"/>
          <w:color w:val="auto"/>
          <w:sz w:val="24"/>
          <w:highlight w:val="none"/>
        </w:rPr>
        <w:t>小时提交书面延期要求。</w:t>
      </w:r>
    </w:p>
    <w:p>
      <w:pPr>
        <w:spacing w:line="440" w:lineRule="exact"/>
        <w:ind w:firstLine="480" w:firstLineChars="200"/>
        <w:rPr>
          <w:rFonts w:hAnsi="宋体"/>
          <w:color w:val="auto"/>
          <w:sz w:val="24"/>
          <w:highlight w:val="none"/>
        </w:rPr>
      </w:pPr>
      <w:r>
        <w:rPr>
          <w:rFonts w:hAnsi="宋体"/>
          <w:color w:val="auto"/>
          <w:sz w:val="24"/>
          <w:highlight w:val="none"/>
        </w:rPr>
        <w:t>关于延期最长不得超过：</w:t>
      </w:r>
      <w:r>
        <w:rPr>
          <w:rFonts w:hAnsi="宋体"/>
          <w:color w:val="auto"/>
          <w:sz w:val="24"/>
          <w:highlight w:val="none"/>
          <w:u w:val="single"/>
        </w:rPr>
        <w:t xml:space="preserve"> </w:t>
      </w:r>
      <w:r>
        <w:rPr>
          <w:rFonts w:hint="eastAsia" w:hAnsi="宋体"/>
          <w:color w:val="auto"/>
          <w:sz w:val="24"/>
          <w:highlight w:val="none"/>
          <w:u w:val="single"/>
        </w:rPr>
        <w:t>48</w:t>
      </w:r>
      <w:r>
        <w:rPr>
          <w:rFonts w:hAnsi="宋体"/>
          <w:color w:val="auto"/>
          <w:sz w:val="24"/>
          <w:highlight w:val="none"/>
          <w:u w:val="single"/>
        </w:rPr>
        <w:t xml:space="preserve"> </w:t>
      </w:r>
      <w:r>
        <w:rPr>
          <w:rFonts w:hAnsi="宋体"/>
          <w:color w:val="auto"/>
          <w:sz w:val="24"/>
          <w:highlight w:val="none"/>
        </w:rPr>
        <w:t>小时。</w:t>
      </w:r>
    </w:p>
    <w:p>
      <w:pPr>
        <w:spacing w:line="440" w:lineRule="exact"/>
        <w:ind w:firstLine="480" w:firstLineChars="200"/>
        <w:rPr>
          <w:color w:val="auto"/>
          <w:sz w:val="24"/>
          <w:highlight w:val="none"/>
        </w:rPr>
      </w:pPr>
      <w:bookmarkStart w:id="543" w:name="_Toc351203638"/>
      <w:r>
        <w:rPr>
          <w:color w:val="auto"/>
          <w:sz w:val="24"/>
          <w:highlight w:val="none"/>
        </w:rPr>
        <w:t>6. 安全文明施工与环境保护</w:t>
      </w:r>
      <w:bookmarkEnd w:id="543"/>
    </w:p>
    <w:p>
      <w:pPr>
        <w:spacing w:line="440" w:lineRule="exact"/>
        <w:ind w:firstLine="480" w:firstLineChars="200"/>
        <w:rPr>
          <w:rFonts w:hAnsi="宋体"/>
          <w:color w:val="auto"/>
          <w:sz w:val="24"/>
          <w:highlight w:val="none"/>
        </w:rPr>
      </w:pPr>
      <w:r>
        <w:rPr>
          <w:rFonts w:hAnsi="宋体"/>
          <w:color w:val="auto"/>
          <w:sz w:val="24"/>
          <w:highlight w:val="none"/>
        </w:rPr>
        <w:t>6.1安全文明施工</w:t>
      </w:r>
    </w:p>
    <w:p>
      <w:pPr>
        <w:tabs>
          <w:tab w:val="left" w:pos="2856"/>
        </w:tabs>
        <w:spacing w:line="440" w:lineRule="exact"/>
        <w:ind w:firstLine="480" w:firstLineChars="200"/>
        <w:rPr>
          <w:rFonts w:hAnsi="宋体"/>
          <w:color w:val="auto"/>
          <w:sz w:val="24"/>
          <w:highlight w:val="none"/>
        </w:rPr>
      </w:pPr>
      <w:r>
        <w:rPr>
          <w:rFonts w:hAnsi="宋体"/>
          <w:color w:val="auto"/>
          <w:sz w:val="24"/>
          <w:highlight w:val="none"/>
        </w:rPr>
        <w:t>6.1.1 项目安全生产的达标目标及相应事项的约定：</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承包人应认真执行当地有关施工安全生产条例和规定及发包人的有关要求，做好安全管理工作，杜绝安全事故的发生，同时做好社会综合治理工作，确保本工程达到安全文明施工标准化工地，并明确相关措施：</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1）做好安全、防火教育工作，确保无火灾事故发生。</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2）承包人应对施工安全负责，加强施工的安全生产管理，制定安全操作规程，保证工程施工的安全。承包人应教育其职工进行文明施工，配备必要的安全生产设施和劳动保护用具，并配备专职安全负责人，以确保生产安全。</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3）承包人应对其管辖范围内的人员和设备（包括进入施工场地内及施工场地附近人员和财产）以及工程的安全负责。应负责做好其所辖人员的工作场所和居住区的日常治安管理和安全保护工作，设置必要的消防水源和简易消防设备。承包人必须注意保护工地、邻近建筑物和附近居民的安全，防止因施工措施不当使附近居民的人员财产遭受损失，否则承包人负全责。</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4）承包人必须对施工现场的用电安全负责，配备专职用电管理员，全面负责施工用电的管理。施工现场用电必须遵照相关的施工现场用电管理条例执行，无触电伤人事故。</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5）承包人在工地现场做好警戒告示牌，提醒过往行人、通行车辆以及进入施工现场人员注意，承担所有安全保卫责任。在施工过程中无人员重大伤亡事故，无重大行车交通事故，无重大居民投诉治安事件。在施工过程中由于承包人原因而发生的人身伤亡、财产损失及其它一切事故，均由承包人承担一切经济及法律责任。</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6）工程施工及投入使用期间，由于工程施工质量问题造成安全事故或第三方人员伤亡及其它损失的，均由承包人承担一切经济及法律责任。</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7）管理人员、班组长、施工人员、特殊工种等应有上岗证（国家有明确规定须经培训获得上岗资格的全部施工人员必须持证上岗）。</w:t>
      </w:r>
    </w:p>
    <w:p>
      <w:pPr>
        <w:spacing w:line="42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8）本项目施工时，承包人负责处理好与周边社区、居民的关系及其安全、预见规避一切安全风险，避免安全事故的发生，并充分考虑施工对周边村庄、建（构）筑物、道路、地上地下管线、设备、人员等人身、财产的损害赔偿，费用与投标报价时考虑在内，一旦中标，结算时不再增加此类费用。若实际施工时对周边、建（构）筑物、道路、地上地下管线、设备、人员等人身、财产产生损害的，一切经济、法律后果均由承包人负责处理并承担费用，发包人仅给予必要的协助但不承担费用。</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6.1.4 关于治安保卫的特别约定：</w:t>
      </w:r>
      <w:r>
        <w:rPr>
          <w:rFonts w:hint="eastAsia" w:hAnsi="宋体"/>
          <w:color w:val="auto"/>
          <w:sz w:val="24"/>
          <w:highlight w:val="none"/>
          <w:u w:val="single"/>
          <w:lang w:val="en-US" w:eastAsia="zh-CN"/>
        </w:rPr>
        <w:t>/</w:t>
      </w:r>
      <w:r>
        <w:rPr>
          <w:rFonts w:hint="eastAsia" w:hAnsi="宋体"/>
          <w:color w:val="auto"/>
          <w:sz w:val="24"/>
          <w:highlight w:val="none"/>
          <w:u w:val="single"/>
        </w:rPr>
        <w:t xml:space="preserve">。         </w:t>
      </w:r>
    </w:p>
    <w:p>
      <w:pPr>
        <w:spacing w:line="440" w:lineRule="exact"/>
        <w:ind w:firstLine="480" w:firstLineChars="200"/>
        <w:rPr>
          <w:rFonts w:hint="eastAsia" w:hAnsi="宋体"/>
          <w:color w:val="auto"/>
          <w:sz w:val="24"/>
          <w:highlight w:val="none"/>
        </w:rPr>
      </w:pPr>
      <w:r>
        <w:rPr>
          <w:rFonts w:hAnsi="宋体"/>
          <w:color w:val="auto"/>
          <w:sz w:val="24"/>
          <w:highlight w:val="none"/>
        </w:rPr>
        <w:t>关于编制施工场地治安管理计划的约定：</w:t>
      </w:r>
      <w:r>
        <w:rPr>
          <w:rFonts w:hint="eastAsia" w:hAnsi="宋体"/>
          <w:color w:val="auto"/>
          <w:sz w:val="24"/>
          <w:highlight w:val="none"/>
          <w:u w:val="single"/>
        </w:rPr>
        <w:t>承包人应在开工后7天内编制施工场地治安管理计划，并制定应对突发治安事件的紧急预案，报监理工程师和发包人确认</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6.1.5 文明施工</w:t>
      </w:r>
    </w:p>
    <w:p>
      <w:pPr>
        <w:spacing w:line="440" w:lineRule="exact"/>
        <w:ind w:firstLine="480" w:firstLineChars="200"/>
        <w:rPr>
          <w:rFonts w:hint="eastAsia" w:hAnsi="宋体"/>
          <w:b/>
          <w:color w:val="auto"/>
          <w:sz w:val="24"/>
          <w:highlight w:val="none"/>
          <w:u w:val="single"/>
          <w:lang w:val="zh-CN"/>
        </w:rPr>
      </w:pPr>
      <w:r>
        <w:rPr>
          <w:rFonts w:hint="eastAsia" w:hAnsi="宋体"/>
          <w:color w:val="auto"/>
          <w:sz w:val="24"/>
          <w:highlight w:val="none"/>
        </w:rPr>
        <w:t>合同当事人对文明施工的要求：</w:t>
      </w:r>
      <w:r>
        <w:rPr>
          <w:rFonts w:hint="eastAsia" w:hAnsi="宋体"/>
          <w:b/>
          <w:color w:val="auto"/>
          <w:sz w:val="24"/>
          <w:highlight w:val="none"/>
          <w:u w:val="single"/>
        </w:rPr>
        <w:t>（1）</w:t>
      </w:r>
      <w:r>
        <w:rPr>
          <w:rFonts w:hint="eastAsia" w:hAnsi="宋体"/>
          <w:b/>
          <w:color w:val="auto"/>
          <w:sz w:val="24"/>
          <w:highlight w:val="none"/>
          <w:u w:val="single"/>
          <w:lang w:val="zh-CN"/>
        </w:rPr>
        <w:t>遵守地方政府和有关部门对施工场地交通、环卫、安全和施工噪音等管理规定，并办理相关审批手续</w:t>
      </w:r>
      <w:r>
        <w:rPr>
          <w:rFonts w:hint="eastAsia" w:hAnsi="宋体"/>
          <w:b/>
          <w:color w:val="auto"/>
          <w:sz w:val="24"/>
          <w:highlight w:val="none"/>
          <w:lang w:val="zh-CN"/>
        </w:rPr>
        <w:t>。</w:t>
      </w:r>
    </w:p>
    <w:p>
      <w:pPr>
        <w:spacing w:line="440" w:lineRule="exact"/>
        <w:ind w:firstLine="482" w:firstLineChars="200"/>
        <w:rPr>
          <w:rFonts w:hint="eastAsia" w:hAnsi="宋体"/>
          <w:b/>
          <w:color w:val="auto"/>
          <w:sz w:val="24"/>
          <w:highlight w:val="none"/>
          <w:lang w:val="zh-CN"/>
        </w:rPr>
      </w:pPr>
      <w:r>
        <w:rPr>
          <w:rFonts w:hint="eastAsia" w:hAnsi="宋体"/>
          <w:b/>
          <w:color w:val="auto"/>
          <w:sz w:val="24"/>
          <w:highlight w:val="none"/>
          <w:u w:val="single"/>
          <w:lang w:val="zh-CN"/>
        </w:rPr>
        <w:t>（2）承包人应采取有效措施尽量减小尘土和噪音污染，需要进行夜间作业时应经有关部门批准</w:t>
      </w:r>
      <w:r>
        <w:rPr>
          <w:rFonts w:hint="eastAsia" w:hAnsi="宋体"/>
          <w:b/>
          <w:color w:val="auto"/>
          <w:sz w:val="24"/>
          <w:highlight w:val="none"/>
          <w:lang w:val="zh-CN"/>
        </w:rPr>
        <w:t>。</w:t>
      </w:r>
    </w:p>
    <w:p>
      <w:pPr>
        <w:spacing w:line="440" w:lineRule="exact"/>
        <w:ind w:firstLine="482" w:firstLineChars="200"/>
        <w:rPr>
          <w:rFonts w:hint="eastAsia" w:hAnsi="宋体"/>
          <w:color w:val="auto"/>
          <w:sz w:val="24"/>
          <w:highlight w:val="none"/>
        </w:rPr>
      </w:pPr>
      <w:r>
        <w:rPr>
          <w:rFonts w:hint="eastAsia" w:hAnsi="宋体"/>
          <w:b/>
          <w:color w:val="auto"/>
          <w:sz w:val="24"/>
          <w:highlight w:val="none"/>
          <w:u w:val="single"/>
          <w:lang w:val="zh-CN"/>
        </w:rPr>
        <w:t>（3）其他：</w:t>
      </w:r>
      <w:r>
        <w:rPr>
          <w:rFonts w:hint="eastAsia" w:hAnsi="宋体"/>
          <w:color w:val="auto"/>
          <w:sz w:val="24"/>
          <w:highlight w:val="none"/>
          <w:u w:val="single"/>
        </w:rPr>
        <w:t>承包人在工程施工期间，应当采取措施保持施工现场平整，物料堆放整齐。工程所在地有关政府行政管理部门有特殊要求的，按照其要求执行</w:t>
      </w:r>
      <w:r>
        <w:rPr>
          <w:rFonts w:hint="eastAsia"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场地须硬化，并每天专人清理，对发包人分配的包干区必须派专人清扫，办公室外、厕所、食堂、生活设施等要整洁。如承包人接到书面通知后不积极配合，发包人有权安排其他施工单位进行场地清理和垃圾外运，所发生的费用从承包人的结算中双倍扣除。</w:t>
      </w:r>
    </w:p>
    <w:p>
      <w:pPr>
        <w:spacing w:line="420" w:lineRule="exact"/>
        <w:ind w:firstLine="480" w:firstLineChars="200"/>
        <w:rPr>
          <w:rFonts w:hint="eastAsia" w:hAnsi="宋体"/>
          <w:color w:val="auto"/>
          <w:sz w:val="24"/>
          <w:szCs w:val="24"/>
          <w:highlight w:val="none"/>
        </w:rPr>
      </w:pPr>
      <w:r>
        <w:rPr>
          <w:rFonts w:hint="eastAsia" w:hAnsi="宋体" w:cs="宋体"/>
          <w:color w:val="auto"/>
          <w:sz w:val="24"/>
          <w:highlight w:val="none"/>
        </w:rPr>
        <w:t>6.1.6 关于安全文明施工费支付比例和支付期限的约定：</w:t>
      </w:r>
      <w:r>
        <w:rPr>
          <w:rFonts w:hint="eastAsia" w:hAnsi="宋体"/>
          <w:color w:val="auto"/>
          <w:sz w:val="24"/>
          <w:szCs w:val="24"/>
          <w:highlight w:val="none"/>
          <w:u w:val="single"/>
        </w:rPr>
        <w:t>承包人应加大安全文明施工的投入并确保投标书中的安全文明费用的投入，否则发包人有权扣除安全文明未投入部分费用</w:t>
      </w:r>
      <w:r>
        <w:rPr>
          <w:rFonts w:hint="eastAsia" w:hAnsi="宋体"/>
          <w:color w:val="auto"/>
          <w:sz w:val="24"/>
          <w:szCs w:val="24"/>
          <w:highlight w:val="none"/>
        </w:rPr>
        <w:t>。</w:t>
      </w:r>
    </w:p>
    <w:p>
      <w:pPr>
        <w:spacing w:line="40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发包人有权在工程实施中不定期抽查安全文明施工情况，若发现安全文明施工未到位一次处以3000元的违约金，三次以上扣罚所有安全文明施工履约保证金；在施工期间发生重大质量、安全事故的，安全施工履约保证金不予退还。</w:t>
      </w:r>
    </w:p>
    <w:p>
      <w:pPr>
        <w:spacing w:line="40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不得拖欠民工工资、分包商各种款项，因拖欠民工工资、分包商各种款项造成的一切后果均由承包人承担，发包人有权暂扣工程款（进度款），代付清工资。拖欠民工工资的，还要扣罚承包人40-50万元。同时，文明施工履约保证金不予退还。</w:t>
      </w:r>
    </w:p>
    <w:p>
      <w:pPr>
        <w:spacing w:line="40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安全防护、文明施工措施费和建设工程质量检验试验费不得挪作他用，实施过程中根据投标文件的承诺和合同规定，经监理单位审查认可后由发包人足额支付。</w:t>
      </w:r>
    </w:p>
    <w:bookmarkEnd w:id="536"/>
    <w:bookmarkEnd w:id="537"/>
    <w:bookmarkEnd w:id="538"/>
    <w:bookmarkEnd w:id="539"/>
    <w:bookmarkEnd w:id="540"/>
    <w:bookmarkEnd w:id="541"/>
    <w:bookmarkEnd w:id="542"/>
    <w:p>
      <w:pPr>
        <w:spacing w:line="440" w:lineRule="exact"/>
        <w:ind w:firstLine="480" w:firstLineChars="200"/>
        <w:rPr>
          <w:color w:val="auto"/>
          <w:sz w:val="24"/>
          <w:highlight w:val="none"/>
        </w:rPr>
      </w:pPr>
      <w:bookmarkStart w:id="544" w:name="_Toc351203639"/>
      <w:r>
        <w:rPr>
          <w:rFonts w:hint="eastAsia"/>
          <w:color w:val="auto"/>
          <w:sz w:val="24"/>
          <w:highlight w:val="none"/>
        </w:rPr>
        <w:t>6.3 环境保护</w:t>
      </w:r>
    </w:p>
    <w:p>
      <w:pPr>
        <w:spacing w:line="440" w:lineRule="exact"/>
        <w:ind w:firstLine="480" w:firstLineChars="200"/>
        <w:rPr>
          <w:color w:val="auto"/>
          <w:sz w:val="24"/>
          <w:highlight w:val="none"/>
        </w:rPr>
      </w:pPr>
      <w:r>
        <w:rPr>
          <w:rFonts w:hint="eastAsia"/>
          <w:color w:val="auto"/>
          <w:sz w:val="24"/>
          <w:highlight w:val="none"/>
          <w:u w:val="single"/>
        </w:rPr>
        <w:t>承包人应按要求实施标化管理，做好现场公共部位的清洁绿化工作并承担费用。工程完工交付前现场应清除所有不再需要的临时工程、临时设施、承包人的设备和多余材料、全部建筑和生活垃圾、施工机械等，达到工程师要求，所需费用承包人自理。如承包人不履行，发包人可自行清除，发生的费用和损失由承包人双倍承担。</w:t>
      </w:r>
    </w:p>
    <w:p>
      <w:pPr>
        <w:spacing w:line="440" w:lineRule="exact"/>
        <w:ind w:firstLine="480" w:firstLineChars="200"/>
        <w:rPr>
          <w:color w:val="auto"/>
          <w:sz w:val="24"/>
          <w:highlight w:val="none"/>
        </w:rPr>
      </w:pPr>
      <w:r>
        <w:rPr>
          <w:color w:val="auto"/>
          <w:sz w:val="24"/>
          <w:highlight w:val="none"/>
        </w:rPr>
        <w:t>7. 工期和进度</w:t>
      </w:r>
      <w:bookmarkEnd w:id="544"/>
    </w:p>
    <w:p>
      <w:pPr>
        <w:spacing w:line="440" w:lineRule="exact"/>
        <w:ind w:firstLine="480" w:firstLineChars="200"/>
        <w:rPr>
          <w:rFonts w:hAnsi="宋体"/>
          <w:color w:val="auto"/>
          <w:sz w:val="24"/>
          <w:highlight w:val="none"/>
        </w:rPr>
      </w:pPr>
      <w:r>
        <w:rPr>
          <w:rFonts w:hAnsi="宋体"/>
          <w:color w:val="auto"/>
          <w:sz w:val="24"/>
          <w:highlight w:val="none"/>
        </w:rPr>
        <w:t>7.1 施工组织设计</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sz w:val="24"/>
          <w:highlight w:val="none"/>
        </w:rPr>
        <w:t>7.1.</w:t>
      </w:r>
      <w:r>
        <w:rPr>
          <w:rFonts w:hint="eastAsia" w:hAnsi="宋体"/>
          <w:color w:val="auto"/>
          <w:sz w:val="24"/>
          <w:highlight w:val="none"/>
        </w:rPr>
        <w:t>1 合</w:t>
      </w:r>
      <w:r>
        <w:rPr>
          <w:rFonts w:hint="eastAsia" w:hAnsi="宋体"/>
          <w:color w:val="auto"/>
          <w:kern w:val="0"/>
          <w:sz w:val="24"/>
          <w:highlight w:val="none"/>
        </w:rPr>
        <w:t>同当事人约定的</w:t>
      </w:r>
      <w:r>
        <w:rPr>
          <w:rFonts w:hAnsi="宋体"/>
          <w:color w:val="auto"/>
          <w:kern w:val="0"/>
          <w:sz w:val="24"/>
          <w:highlight w:val="none"/>
        </w:rPr>
        <w:t>施工组织设计</w:t>
      </w:r>
      <w:r>
        <w:rPr>
          <w:rFonts w:hint="eastAsia" w:hAnsi="宋体"/>
          <w:color w:val="auto"/>
          <w:kern w:val="0"/>
          <w:sz w:val="24"/>
          <w:highlight w:val="none"/>
        </w:rPr>
        <w:t>应包括的其他内容</w:t>
      </w:r>
      <w:r>
        <w:rPr>
          <w:rFonts w:hAnsi="宋体"/>
          <w:color w:val="auto"/>
          <w:kern w:val="0"/>
          <w:sz w:val="24"/>
          <w:highlight w:val="none"/>
        </w:rPr>
        <w:t>：</w:t>
      </w:r>
      <w:r>
        <w:rPr>
          <w:rFonts w:hint="eastAsia" w:hAnsi="宋体"/>
          <w:color w:val="auto"/>
          <w:sz w:val="24"/>
          <w:highlight w:val="none"/>
          <w:u w:val="single"/>
        </w:rPr>
        <w:t>/</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sz w:val="24"/>
          <w:highlight w:val="none"/>
        </w:rPr>
        <w:t xml:space="preserve">7.1.2 </w:t>
      </w:r>
      <w:r>
        <w:rPr>
          <w:rFonts w:hAnsi="宋体"/>
          <w:color w:val="auto"/>
          <w:kern w:val="0"/>
          <w:sz w:val="24"/>
          <w:highlight w:val="none"/>
        </w:rPr>
        <w:t>施工组织设计的提交和修改</w:t>
      </w:r>
    </w:p>
    <w:p>
      <w:pPr>
        <w:pStyle w:val="2"/>
        <w:snapToGrid w:val="0"/>
        <w:spacing w:line="440" w:lineRule="exact"/>
        <w:ind w:firstLine="480"/>
        <w:outlineLvl w:val="0"/>
        <w:rPr>
          <w:rFonts w:hint="eastAsia"/>
          <w:color w:val="auto"/>
          <w:sz w:val="24"/>
          <w:szCs w:val="24"/>
          <w:highlight w:val="none"/>
          <w:u w:val="single"/>
        </w:rPr>
      </w:pPr>
      <w:r>
        <w:rPr>
          <w:color w:val="auto"/>
          <w:sz w:val="24"/>
          <w:szCs w:val="24"/>
          <w:highlight w:val="none"/>
        </w:rPr>
        <w:t>承包人提交详细施工组织设计的期限的约定：</w:t>
      </w:r>
      <w:r>
        <w:rPr>
          <w:rFonts w:hint="eastAsia"/>
          <w:color w:val="auto"/>
          <w:sz w:val="24"/>
          <w:szCs w:val="24"/>
          <w:highlight w:val="none"/>
          <w:u w:val="single"/>
        </w:rPr>
        <w:t>合同签定后7天内，承包人提交施工组织设计（施工方案）和施工进度计划一式五份。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承包人提交的施工组织设计应当载明如下内容（包括但不限于）：</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w:t>
      </w:r>
      <w:r>
        <w:rPr>
          <w:color w:val="auto"/>
          <w:sz w:val="24"/>
          <w:szCs w:val="24"/>
          <w:highlight w:val="none"/>
          <w:u w:val="single"/>
        </w:rPr>
        <w:t>1</w:t>
      </w:r>
      <w:r>
        <w:rPr>
          <w:rFonts w:hint="eastAsia"/>
          <w:color w:val="auto"/>
          <w:sz w:val="24"/>
          <w:szCs w:val="24"/>
          <w:highlight w:val="none"/>
          <w:u w:val="single"/>
        </w:rPr>
        <w:t>）各分部分项工程的完整的施工方案和施工组织设计包括：①施工总平面布置；②主要分项工程的施工方案、施工方法和工艺；③质量、安全生产目标及保证体系和保证措施；④文明施工管理方案；⑤工程施工管理方案。⑥与其他专业工程承包人的交叉施工与协调管理工作方案和措施。⑦对甲供设备材料等安装过程中的配合协调方案和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（2）施工资源投入计划包括：机械设备进场计划、机电设备材料和物料进场计划、施工人员进场计划等；</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（3）施工现场平面布置图及施工道路平面图；</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（4）季节性施工措施；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（5）地下管线及其他地下设施的加固措施；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（6）保证工期、质量的措施；</w:t>
      </w:r>
    </w:p>
    <w:p>
      <w:pPr>
        <w:pStyle w:val="2"/>
        <w:snapToGrid w:val="0"/>
        <w:spacing w:line="440" w:lineRule="exact"/>
        <w:ind w:firstLine="480"/>
        <w:outlineLvl w:val="0"/>
        <w:rPr>
          <w:rFonts w:hint="eastAsia"/>
          <w:color w:val="auto"/>
          <w:sz w:val="24"/>
          <w:szCs w:val="24"/>
          <w:highlight w:val="none"/>
          <w:u w:val="single"/>
        </w:rPr>
      </w:pPr>
      <w:r>
        <w:rPr>
          <w:rFonts w:hint="eastAsia"/>
          <w:color w:val="auto"/>
          <w:sz w:val="24"/>
          <w:szCs w:val="24"/>
          <w:highlight w:val="none"/>
          <w:u w:val="single"/>
        </w:rPr>
        <w:t xml:space="preserve">（7）保证安全生产，文明施工，减少扰民降低环境污染和噪音的措施； </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（8）妥善处理与相邻施工地作业现场关系的措施；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（9）其他与工程施工有关的管理方案、措施。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p>
    <w:p>
      <w:pPr>
        <w:pStyle w:val="2"/>
        <w:snapToGrid w:val="0"/>
        <w:spacing w:line="440" w:lineRule="exact"/>
        <w:ind w:firstLine="480"/>
        <w:outlineLvl w:val="0"/>
        <w:rPr>
          <w:rFonts w:hint="eastAsia"/>
          <w:color w:val="auto"/>
          <w:sz w:val="24"/>
          <w:szCs w:val="24"/>
          <w:highlight w:val="none"/>
        </w:rPr>
      </w:pPr>
      <w:r>
        <w:rPr>
          <w:color w:val="auto"/>
          <w:sz w:val="24"/>
          <w:szCs w:val="24"/>
          <w:highlight w:val="none"/>
        </w:rPr>
        <w:t>发包人和监理人在收到</w:t>
      </w:r>
      <w:r>
        <w:rPr>
          <w:rFonts w:hint="eastAsia"/>
          <w:color w:val="auto"/>
          <w:sz w:val="24"/>
          <w:szCs w:val="24"/>
          <w:highlight w:val="none"/>
        </w:rPr>
        <w:t>详细的施工组织设计</w:t>
      </w:r>
      <w:r>
        <w:rPr>
          <w:color w:val="auto"/>
          <w:sz w:val="24"/>
          <w:szCs w:val="24"/>
          <w:highlight w:val="none"/>
        </w:rPr>
        <w:t>后确认或提出修改意见的期限：</w:t>
      </w:r>
      <w:r>
        <w:rPr>
          <w:rFonts w:hint="eastAsia"/>
          <w:color w:val="auto"/>
          <w:sz w:val="24"/>
          <w:szCs w:val="24"/>
          <w:highlight w:val="none"/>
          <w:u w:val="single"/>
        </w:rPr>
        <w:t>收到施工组织设计后</w:t>
      </w:r>
      <w:r>
        <w:rPr>
          <w:color w:val="auto"/>
          <w:sz w:val="24"/>
          <w:szCs w:val="24"/>
          <w:highlight w:val="none"/>
          <w:u w:val="single"/>
        </w:rPr>
        <w:t xml:space="preserve">10 </w:t>
      </w:r>
      <w:r>
        <w:rPr>
          <w:rFonts w:hint="eastAsia"/>
          <w:color w:val="auto"/>
          <w:sz w:val="24"/>
          <w:szCs w:val="24"/>
          <w:highlight w:val="none"/>
          <w:u w:val="single"/>
        </w:rPr>
        <w:t>天内给予批复。对施工组织设计方案的确认是对施工组织设计方案可行性的确认，并不是对所涉及费用的确认，施工组织设计方案属承包人自身的施工措施，所增加人工、材料、机械等措施费用均由承包人自身承担并已考虑在报价中。</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7</w:t>
      </w:r>
      <w:bookmarkStart w:id="545" w:name="_Toc312677479"/>
      <w:bookmarkStart w:id="546" w:name="_Toc312678005"/>
      <w:bookmarkStart w:id="547" w:name="_Toc297123514"/>
      <w:bookmarkStart w:id="548" w:name="_Toc303539123"/>
      <w:bookmarkStart w:id="549" w:name="_Toc297216173"/>
      <w:bookmarkStart w:id="550" w:name="_Toc300934966"/>
      <w:bookmarkStart w:id="551" w:name="_Toc304295541"/>
      <w:r>
        <w:rPr>
          <w:rFonts w:hAnsi="宋体"/>
          <w:color w:val="auto"/>
          <w:sz w:val="24"/>
          <w:highlight w:val="none"/>
        </w:rPr>
        <w:t>.2 施工进度计划</w:t>
      </w:r>
    </w:p>
    <w:p>
      <w:pPr>
        <w:spacing w:line="440" w:lineRule="exact"/>
        <w:ind w:firstLine="480" w:firstLineChars="200"/>
        <w:rPr>
          <w:rFonts w:hAnsi="宋体"/>
          <w:color w:val="auto"/>
          <w:sz w:val="24"/>
          <w:highlight w:val="none"/>
        </w:rPr>
      </w:pPr>
      <w:r>
        <w:rPr>
          <w:rFonts w:hAnsi="宋体"/>
          <w:color w:val="auto"/>
          <w:sz w:val="24"/>
          <w:highlight w:val="none"/>
        </w:rPr>
        <w:t>7.2.2 施工进度计划的修订</w:t>
      </w:r>
    </w:p>
    <w:p>
      <w:pPr>
        <w:pStyle w:val="2"/>
        <w:snapToGrid w:val="0"/>
        <w:spacing w:line="440" w:lineRule="exact"/>
        <w:ind w:firstLine="480"/>
        <w:outlineLvl w:val="0"/>
        <w:rPr>
          <w:rFonts w:hint="eastAsia"/>
          <w:color w:val="auto"/>
          <w:sz w:val="24"/>
          <w:szCs w:val="24"/>
          <w:highlight w:val="none"/>
        </w:rPr>
      </w:pPr>
      <w:r>
        <w:rPr>
          <w:color w:val="auto"/>
          <w:sz w:val="24"/>
          <w:szCs w:val="24"/>
          <w:highlight w:val="none"/>
        </w:rPr>
        <w:t>发包人和监理人在收到修订的施工进度计划后确认或提出修改意见的期限：</w:t>
      </w:r>
      <w:r>
        <w:rPr>
          <w:rFonts w:hint="eastAsia"/>
          <w:color w:val="auto"/>
          <w:sz w:val="24"/>
          <w:szCs w:val="24"/>
          <w:highlight w:val="none"/>
          <w:u w:val="single"/>
        </w:rPr>
        <w:t>收到施工进度计划后</w:t>
      </w:r>
      <w:r>
        <w:rPr>
          <w:color w:val="auto"/>
          <w:sz w:val="24"/>
          <w:szCs w:val="24"/>
          <w:highlight w:val="none"/>
          <w:u w:val="single"/>
        </w:rPr>
        <w:t xml:space="preserve">10 </w:t>
      </w:r>
      <w:r>
        <w:rPr>
          <w:rFonts w:hint="eastAsia"/>
          <w:color w:val="auto"/>
          <w:sz w:val="24"/>
          <w:szCs w:val="24"/>
          <w:highlight w:val="none"/>
          <w:u w:val="single"/>
        </w:rPr>
        <w:t xml:space="preserve">天内给予批复。 </w:t>
      </w:r>
    </w:p>
    <w:p>
      <w:pPr>
        <w:spacing w:line="440" w:lineRule="exact"/>
        <w:ind w:firstLine="480" w:firstLineChars="200"/>
        <w:rPr>
          <w:rFonts w:hAnsi="宋体"/>
          <w:color w:val="auto"/>
          <w:sz w:val="24"/>
          <w:highlight w:val="none"/>
        </w:rPr>
      </w:pPr>
      <w:r>
        <w:rPr>
          <w:rFonts w:hAnsi="宋体"/>
          <w:color w:val="auto"/>
          <w:sz w:val="24"/>
          <w:highlight w:val="none"/>
        </w:rPr>
        <w:t>7.3 开工</w:t>
      </w:r>
    </w:p>
    <w:p>
      <w:pPr>
        <w:spacing w:line="440" w:lineRule="exact"/>
        <w:ind w:firstLine="480" w:firstLineChars="200"/>
        <w:rPr>
          <w:rFonts w:hAnsi="宋体"/>
          <w:color w:val="auto"/>
          <w:sz w:val="24"/>
          <w:highlight w:val="none"/>
        </w:rPr>
      </w:pPr>
      <w:r>
        <w:rPr>
          <w:rFonts w:hAnsi="宋体"/>
          <w:color w:val="auto"/>
          <w:sz w:val="24"/>
          <w:highlight w:val="none"/>
        </w:rPr>
        <w:t>7.3.1 开工准备</w:t>
      </w:r>
    </w:p>
    <w:p>
      <w:pPr>
        <w:spacing w:line="440" w:lineRule="exact"/>
        <w:ind w:firstLine="480" w:firstLineChars="200"/>
        <w:rPr>
          <w:rFonts w:hAnsi="宋体"/>
          <w:color w:val="auto"/>
          <w:sz w:val="24"/>
          <w:highlight w:val="none"/>
          <w:u w:val="single"/>
        </w:rPr>
      </w:pPr>
      <w:r>
        <w:rPr>
          <w:rFonts w:hAnsi="宋体"/>
          <w:color w:val="auto"/>
          <w:sz w:val="24"/>
          <w:highlight w:val="none"/>
        </w:rPr>
        <w:t>关于承包人提交</w:t>
      </w:r>
      <w:r>
        <w:rPr>
          <w:rFonts w:hAnsi="宋体"/>
          <w:color w:val="auto"/>
          <w:kern w:val="0"/>
          <w:sz w:val="24"/>
          <w:highlight w:val="none"/>
        </w:rPr>
        <w:t>工程开工报审表的期限：</w:t>
      </w:r>
      <w:r>
        <w:rPr>
          <w:rFonts w:hint="eastAsia" w:hAnsi="宋体"/>
          <w:color w:val="auto"/>
          <w:sz w:val="24"/>
          <w:highlight w:val="none"/>
          <w:u w:val="single"/>
        </w:rPr>
        <w:t>合同签订后7天内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关于发包人应完成的其他开工准备工作及期限：</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关于承包人应完成的其他开工准备工作及期限：</w:t>
      </w:r>
      <w:r>
        <w:rPr>
          <w:rFonts w:hint="eastAsia" w:hAnsi="宋体"/>
          <w:color w:val="auto"/>
          <w:sz w:val="24"/>
          <w:highlight w:val="none"/>
          <w:u w:val="single"/>
        </w:rPr>
        <w:t>根据施工需要或发包人要求提供</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7.3.2开工通知</w:t>
      </w:r>
    </w:p>
    <w:p>
      <w:pPr>
        <w:spacing w:line="440" w:lineRule="exact"/>
        <w:ind w:firstLine="480" w:firstLineChars="200"/>
        <w:rPr>
          <w:rFonts w:hint="eastAsia" w:hAnsi="宋体"/>
          <w:color w:val="auto"/>
          <w:sz w:val="24"/>
          <w:highlight w:val="none"/>
        </w:rPr>
      </w:pPr>
      <w:r>
        <w:rPr>
          <w:rFonts w:hAnsi="宋体"/>
          <w:color w:val="auto"/>
          <w:sz w:val="24"/>
          <w:highlight w:val="none"/>
        </w:rPr>
        <w:t>因发包人原因造成监理人未能在计划开工日期之日起</w:t>
      </w:r>
      <w:r>
        <w:rPr>
          <w:rFonts w:hint="eastAsia" w:hAnsi="宋体"/>
          <w:color w:val="auto"/>
          <w:sz w:val="24"/>
          <w:highlight w:val="none"/>
          <w:u w:val="single"/>
        </w:rPr>
        <w:t xml:space="preserve"> / </w:t>
      </w:r>
      <w:r>
        <w:rPr>
          <w:rFonts w:hAnsi="宋体"/>
          <w:color w:val="auto"/>
          <w:sz w:val="24"/>
          <w:highlight w:val="none"/>
        </w:rPr>
        <w:t>天内发出开工通知的，承包人有权提出价格调整要求，或者解除合同。</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工程师应以书面形式通知承包人开工日期，若在书面通知后推迟开工日期的，工期顺延。若在约定的开工日期承包人没有进场的，发包人不承担任何费用。如在工程施工过程中，由于发包人原因或非承包人原因致使工程停工或者窝工的（不可抗力因素除外），15天以内的，由承包人通过赶工和其他施工组织设计，保证工程在合同约定工期内完工；超过15天的，经发包人签证后，延长工期超过15天的部分予以顺延，但不补偿承包人任何损失。</w:t>
      </w:r>
    </w:p>
    <w:bookmarkEnd w:id="545"/>
    <w:bookmarkEnd w:id="546"/>
    <w:bookmarkEnd w:id="547"/>
    <w:bookmarkEnd w:id="548"/>
    <w:bookmarkEnd w:id="549"/>
    <w:bookmarkEnd w:id="550"/>
    <w:bookmarkEnd w:id="551"/>
    <w:p>
      <w:pPr>
        <w:spacing w:line="440" w:lineRule="exact"/>
        <w:ind w:firstLine="480" w:firstLineChars="200"/>
        <w:rPr>
          <w:rFonts w:hAnsi="宋体"/>
          <w:color w:val="auto"/>
          <w:sz w:val="24"/>
          <w:highlight w:val="none"/>
        </w:rPr>
      </w:pPr>
      <w:r>
        <w:rPr>
          <w:rFonts w:hAnsi="宋体"/>
          <w:color w:val="auto"/>
          <w:sz w:val="24"/>
          <w:highlight w:val="none"/>
        </w:rPr>
        <w:t>7.4 测量放线</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7.4.1发包人通过监理人向承包人提供测量基准点、基准线和水准点及其书面资料的期限：</w:t>
      </w:r>
      <w:r>
        <w:rPr>
          <w:rFonts w:hint="eastAsia" w:hAnsi="宋体"/>
          <w:color w:val="auto"/>
          <w:sz w:val="24"/>
          <w:highlight w:val="none"/>
          <w:u w:val="single"/>
        </w:rPr>
        <w:t>开工日期前7天</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7</w:t>
      </w:r>
      <w:bookmarkStart w:id="552" w:name="_Toc312677484"/>
      <w:bookmarkStart w:id="553" w:name="_Toc312678010"/>
      <w:bookmarkStart w:id="554" w:name="_Toc303539125"/>
      <w:bookmarkStart w:id="555" w:name="_Toc304295546"/>
      <w:bookmarkStart w:id="556" w:name="_Toc297216175"/>
      <w:bookmarkStart w:id="557" w:name="_Toc300934968"/>
      <w:bookmarkStart w:id="558" w:name="_Toc297123516"/>
      <w:r>
        <w:rPr>
          <w:rFonts w:hAnsi="宋体"/>
          <w:color w:val="auto"/>
          <w:sz w:val="24"/>
          <w:highlight w:val="none"/>
        </w:rPr>
        <w:t>.5 工期延误</w:t>
      </w:r>
    </w:p>
    <w:bookmarkEnd w:id="552"/>
    <w:bookmarkEnd w:id="553"/>
    <w:bookmarkEnd w:id="554"/>
    <w:bookmarkEnd w:id="555"/>
    <w:bookmarkEnd w:id="556"/>
    <w:bookmarkEnd w:id="557"/>
    <w:bookmarkEnd w:id="558"/>
    <w:p>
      <w:pPr>
        <w:spacing w:line="440" w:lineRule="exact"/>
        <w:ind w:firstLine="480" w:firstLineChars="200"/>
        <w:rPr>
          <w:rFonts w:hAnsi="宋体"/>
          <w:color w:val="auto"/>
          <w:sz w:val="24"/>
          <w:highlight w:val="none"/>
        </w:rPr>
      </w:pPr>
      <w:r>
        <w:rPr>
          <w:rFonts w:hAnsi="宋体"/>
          <w:color w:val="auto"/>
          <w:sz w:val="24"/>
          <w:highlight w:val="none"/>
        </w:rPr>
        <w:t>7.5.1 因发包人原因导致工期延误</w:t>
      </w:r>
    </w:p>
    <w:p>
      <w:pPr>
        <w:spacing w:line="440" w:lineRule="exact"/>
        <w:ind w:firstLine="480" w:firstLineChars="200"/>
        <w:rPr>
          <w:rFonts w:hint="eastAsia" w:hAnsi="宋体"/>
          <w:color w:val="auto"/>
          <w:sz w:val="24"/>
          <w:highlight w:val="none"/>
        </w:rPr>
      </w:pPr>
      <w:r>
        <w:rPr>
          <w:rFonts w:hAnsi="宋体"/>
          <w:color w:val="auto"/>
          <w:sz w:val="24"/>
          <w:highlight w:val="none"/>
        </w:rPr>
        <w:t>（7）因发包人原因导致工期延误的其他情形：</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①重大设计变更引起的工期延误                        </w:t>
      </w:r>
      <w:r>
        <w:rPr>
          <w:rFonts w:hint="eastAsia" w:hAnsi="宋体"/>
          <w:b/>
          <w:color w:val="auto"/>
          <w:sz w:val="24"/>
          <w:highlight w:val="none"/>
        </w:rPr>
        <w:t>；</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②其他：                                           </w:t>
      </w:r>
      <w:r>
        <w:rPr>
          <w:rFonts w:hint="eastAsia" w:hAnsi="宋体"/>
          <w:b/>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7</w:t>
      </w:r>
      <w:bookmarkStart w:id="559" w:name="_Toc312677486"/>
      <w:bookmarkStart w:id="560" w:name="_Toc312678012"/>
      <w:bookmarkStart w:id="561" w:name="_Toc318581169"/>
      <w:bookmarkStart w:id="562" w:name="_Toc300934970"/>
      <w:bookmarkStart w:id="563" w:name="_Toc297216177"/>
      <w:bookmarkStart w:id="564" w:name="_Toc304295548"/>
      <w:bookmarkStart w:id="565" w:name="_Toc297123518"/>
      <w:bookmarkStart w:id="566" w:name="_Toc303539127"/>
      <w:r>
        <w:rPr>
          <w:rFonts w:hAnsi="宋体"/>
          <w:color w:val="auto"/>
          <w:sz w:val="24"/>
          <w:highlight w:val="none"/>
        </w:rPr>
        <w:t>.5.2 因承包人原因导致工期延误</w:t>
      </w:r>
    </w:p>
    <w:bookmarkEnd w:id="559"/>
    <w:bookmarkEnd w:id="560"/>
    <w:bookmarkEnd w:id="561"/>
    <w:p>
      <w:pPr>
        <w:spacing w:line="440" w:lineRule="exact"/>
        <w:ind w:firstLine="480" w:firstLineChars="200"/>
        <w:rPr>
          <w:rFonts w:hint="eastAsia" w:hAnsi="宋体" w:cs="宋体"/>
          <w:color w:val="auto"/>
          <w:sz w:val="24"/>
          <w:highlight w:val="none"/>
          <w:u w:val="single"/>
        </w:rPr>
      </w:pPr>
      <w:r>
        <w:rPr>
          <w:rFonts w:hAnsi="宋体" w:cs="宋体"/>
          <w:color w:val="auto"/>
          <w:sz w:val="24"/>
          <w:highlight w:val="none"/>
          <w:u w:val="single"/>
        </w:rPr>
        <w:t>因</w:t>
      </w:r>
      <w:bookmarkStart w:id="567" w:name="_Toc312677487"/>
      <w:bookmarkStart w:id="568" w:name="_Toc318581170"/>
      <w:bookmarkStart w:id="569" w:name="_Toc312678013"/>
      <w:r>
        <w:rPr>
          <w:rFonts w:hAnsi="宋体" w:cs="宋体"/>
          <w:color w:val="auto"/>
          <w:sz w:val="24"/>
          <w:highlight w:val="none"/>
          <w:u w:val="single"/>
        </w:rPr>
        <w:t>承包人原因造成工期延误，逾期竣工违约金的计算方法为：</w:t>
      </w:r>
      <w:bookmarkEnd w:id="562"/>
      <w:bookmarkEnd w:id="563"/>
      <w:bookmarkEnd w:id="564"/>
      <w:bookmarkEnd w:id="565"/>
      <w:bookmarkEnd w:id="566"/>
      <w:bookmarkEnd w:id="567"/>
      <w:bookmarkEnd w:id="568"/>
      <w:bookmarkEnd w:id="569"/>
      <w:r>
        <w:rPr>
          <w:rFonts w:hint="eastAsia" w:hAnsi="宋体" w:cs="宋体"/>
          <w:color w:val="auto"/>
          <w:sz w:val="24"/>
          <w:highlight w:val="none"/>
          <w:u w:val="single"/>
        </w:rPr>
        <w:t>因承包人原因造成工期延误，逾期竣工违约金的计算方法为：每延误 1 天发包人按2000元/天向承包人计取违约金，延期7天以上的发包人有权扣除全部工期履约保证金。</w:t>
      </w:r>
    </w:p>
    <w:p>
      <w:pPr>
        <w:spacing w:line="440" w:lineRule="exact"/>
        <w:ind w:firstLine="480" w:firstLineChars="200"/>
        <w:rPr>
          <w:rFonts w:hint="eastAsia" w:hAnsi="宋体"/>
          <w:color w:val="auto"/>
          <w:sz w:val="24"/>
          <w:highlight w:val="none"/>
        </w:rPr>
      </w:pPr>
      <w:r>
        <w:rPr>
          <w:rFonts w:hAnsi="宋体"/>
          <w:color w:val="auto"/>
          <w:sz w:val="24"/>
          <w:highlight w:val="none"/>
        </w:rPr>
        <w:t>因承包人原因造成工期延误，逾</w:t>
      </w:r>
      <w:bookmarkStart w:id="570" w:name="_Toc312678014"/>
      <w:bookmarkStart w:id="571" w:name="_Toc318581171"/>
      <w:r>
        <w:rPr>
          <w:rFonts w:hAnsi="宋体"/>
          <w:color w:val="auto"/>
          <w:sz w:val="24"/>
          <w:highlight w:val="none"/>
        </w:rPr>
        <w:t>期竣工违约金的上限：</w:t>
      </w:r>
      <w:r>
        <w:rPr>
          <w:rFonts w:hint="eastAsia" w:hAnsi="宋体"/>
          <w:color w:val="auto"/>
          <w:sz w:val="24"/>
          <w:highlight w:val="none"/>
        </w:rPr>
        <w:t xml:space="preserve">合同价格的 </w:t>
      </w:r>
      <w:r>
        <w:rPr>
          <w:rFonts w:hint="eastAsia" w:hAnsi="宋体"/>
          <w:color w:val="auto"/>
          <w:sz w:val="24"/>
          <w:highlight w:val="none"/>
          <w:u w:val="single"/>
        </w:rPr>
        <w:t>10</w:t>
      </w:r>
      <w:r>
        <w:rPr>
          <w:rFonts w:hint="eastAsia" w:hAnsi="宋体"/>
          <w:color w:val="auto"/>
          <w:sz w:val="24"/>
          <w:highlight w:val="none"/>
        </w:rPr>
        <w:t xml:space="preserve"> %</w:t>
      </w:r>
      <w:r>
        <w:rPr>
          <w:rFonts w:hAnsi="宋体"/>
          <w:color w:val="auto"/>
          <w:sz w:val="24"/>
          <w:highlight w:val="none"/>
        </w:rPr>
        <w:t>。</w:t>
      </w:r>
    </w:p>
    <w:bookmarkEnd w:id="570"/>
    <w:bookmarkEnd w:id="571"/>
    <w:p>
      <w:pPr>
        <w:spacing w:line="440" w:lineRule="exact"/>
        <w:ind w:firstLine="480" w:firstLineChars="200"/>
        <w:rPr>
          <w:rFonts w:hAnsi="宋体"/>
          <w:color w:val="auto"/>
          <w:sz w:val="24"/>
          <w:highlight w:val="none"/>
        </w:rPr>
      </w:pPr>
      <w:r>
        <w:rPr>
          <w:rFonts w:hAnsi="宋体"/>
          <w:color w:val="auto"/>
          <w:sz w:val="24"/>
          <w:highlight w:val="none"/>
        </w:rPr>
        <w:t>7</w:t>
      </w:r>
      <w:bookmarkStart w:id="572" w:name="_Toc297216178"/>
      <w:bookmarkStart w:id="573" w:name="_Toc297123519"/>
      <w:bookmarkStart w:id="574" w:name="_Toc312678015"/>
      <w:bookmarkStart w:id="575" w:name="_Toc300934971"/>
      <w:bookmarkStart w:id="576" w:name="_Toc304295549"/>
      <w:bookmarkStart w:id="577" w:name="_Toc303539128"/>
      <w:r>
        <w:rPr>
          <w:rFonts w:hAnsi="宋体"/>
          <w:color w:val="auto"/>
          <w:sz w:val="24"/>
          <w:highlight w:val="none"/>
        </w:rPr>
        <w:t>.6 不</w:t>
      </w:r>
      <w:bookmarkEnd w:id="572"/>
      <w:bookmarkEnd w:id="573"/>
      <w:bookmarkEnd w:id="574"/>
      <w:bookmarkEnd w:id="575"/>
      <w:bookmarkEnd w:id="576"/>
      <w:bookmarkEnd w:id="577"/>
      <w:r>
        <w:rPr>
          <w:rFonts w:hAnsi="宋体"/>
          <w:color w:val="auto"/>
          <w:sz w:val="24"/>
          <w:highlight w:val="none"/>
        </w:rPr>
        <w:t>利物质条件</w:t>
      </w:r>
    </w:p>
    <w:p>
      <w:pPr>
        <w:spacing w:line="440" w:lineRule="exact"/>
        <w:ind w:firstLine="480" w:firstLineChars="200"/>
        <w:rPr>
          <w:rFonts w:hint="eastAsia" w:hAnsi="宋体"/>
          <w:color w:val="auto"/>
          <w:sz w:val="24"/>
          <w:highlight w:val="none"/>
        </w:rPr>
      </w:pPr>
      <w:bookmarkStart w:id="578" w:name="_Toc297216179"/>
      <w:bookmarkStart w:id="579" w:name="_Toc304295550"/>
      <w:bookmarkStart w:id="580" w:name="_Toc303539129"/>
      <w:bookmarkStart w:id="581" w:name="_Toc318581172"/>
      <w:bookmarkStart w:id="582" w:name="_Toc300934972"/>
      <w:bookmarkStart w:id="583" w:name="_Toc297123520"/>
      <w:bookmarkStart w:id="584" w:name="_Toc312678016"/>
      <w:r>
        <w:rPr>
          <w:rFonts w:hAnsi="宋体"/>
          <w:color w:val="auto"/>
          <w:sz w:val="24"/>
          <w:highlight w:val="none"/>
        </w:rPr>
        <w:t>不利物质条件的其他情形和有关约定：</w:t>
      </w:r>
      <w:bookmarkEnd w:id="578"/>
      <w:bookmarkEnd w:id="579"/>
      <w:bookmarkEnd w:id="580"/>
      <w:bookmarkEnd w:id="581"/>
      <w:bookmarkEnd w:id="582"/>
      <w:bookmarkEnd w:id="583"/>
      <w:bookmarkEnd w:id="584"/>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（1）施工场地周围地下管线                            </w:t>
      </w:r>
      <w:r>
        <w:rPr>
          <w:rFonts w:hint="eastAsia" w:hAnsi="宋体"/>
          <w:b/>
          <w:color w:val="auto"/>
          <w:sz w:val="24"/>
          <w:highlight w:val="none"/>
        </w:rPr>
        <w:t>；</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（2）地下障碍物和污染物                              </w:t>
      </w:r>
      <w:r>
        <w:rPr>
          <w:rFonts w:hint="eastAsia" w:hAnsi="宋体"/>
          <w:b/>
          <w:color w:val="auto"/>
          <w:sz w:val="24"/>
          <w:highlight w:val="none"/>
        </w:rPr>
        <w:t>；</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（3）邻近建筑物、构筑物的保护要求                    ；</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（4）其他                                            。</w:t>
      </w:r>
    </w:p>
    <w:p>
      <w:pPr>
        <w:tabs>
          <w:tab w:val="left" w:pos="1276"/>
          <w:tab w:val="left" w:pos="2856"/>
        </w:tabs>
        <w:spacing w:line="440" w:lineRule="exact"/>
        <w:ind w:firstLine="480" w:firstLineChars="200"/>
        <w:rPr>
          <w:rFonts w:hAnsi="宋体"/>
          <w:color w:val="auto"/>
          <w:sz w:val="24"/>
          <w:highlight w:val="none"/>
        </w:rPr>
      </w:pPr>
      <w:r>
        <w:rPr>
          <w:rFonts w:hAnsi="宋体"/>
          <w:color w:val="auto"/>
          <w:sz w:val="24"/>
          <w:highlight w:val="none"/>
        </w:rPr>
        <w:t>7</w:t>
      </w:r>
      <w:bookmarkStart w:id="585" w:name="_Toc297216180"/>
      <w:bookmarkStart w:id="586" w:name="_Toc304295551"/>
      <w:bookmarkStart w:id="587" w:name="_Toc297123521"/>
      <w:bookmarkStart w:id="588" w:name="_Toc300934973"/>
      <w:bookmarkStart w:id="589" w:name="_Toc312678017"/>
      <w:bookmarkStart w:id="590" w:name="_Toc303539130"/>
      <w:r>
        <w:rPr>
          <w:rFonts w:hAnsi="宋体"/>
          <w:color w:val="auto"/>
          <w:sz w:val="24"/>
          <w:highlight w:val="none"/>
        </w:rPr>
        <w:t>.7异常恶劣的气候条件</w:t>
      </w:r>
    </w:p>
    <w:bookmarkEnd w:id="585"/>
    <w:bookmarkEnd w:id="586"/>
    <w:bookmarkEnd w:id="587"/>
    <w:bookmarkEnd w:id="588"/>
    <w:bookmarkEnd w:id="589"/>
    <w:bookmarkEnd w:id="590"/>
    <w:p>
      <w:pPr>
        <w:spacing w:line="440" w:lineRule="exact"/>
        <w:ind w:firstLine="480" w:firstLineChars="200"/>
        <w:rPr>
          <w:rFonts w:hAnsi="宋体"/>
          <w:color w:val="auto"/>
          <w:sz w:val="24"/>
          <w:highlight w:val="none"/>
        </w:rPr>
      </w:pPr>
      <w:r>
        <w:rPr>
          <w:rFonts w:hAnsi="宋体"/>
          <w:color w:val="auto"/>
          <w:sz w:val="24"/>
          <w:highlight w:val="none"/>
        </w:rPr>
        <w:t>发包人和承包人同意以下情形视为异常恶劣的气候条件：</w:t>
      </w:r>
    </w:p>
    <w:p>
      <w:pPr>
        <w:spacing w:line="44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7.8暂停施工</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7.8.1因发包人原因引起的暂停施工，其费用于投标时考虑，结算时不再增加该笔费用。</w:t>
      </w:r>
    </w:p>
    <w:p>
      <w:pPr>
        <w:spacing w:line="440" w:lineRule="exact"/>
        <w:ind w:firstLine="480" w:firstLineChars="200"/>
        <w:rPr>
          <w:rFonts w:hAnsi="宋体"/>
          <w:color w:val="auto"/>
          <w:sz w:val="24"/>
          <w:highlight w:val="none"/>
        </w:rPr>
      </w:pPr>
      <w:r>
        <w:rPr>
          <w:rFonts w:hAnsi="宋体"/>
          <w:color w:val="auto"/>
          <w:sz w:val="24"/>
          <w:highlight w:val="none"/>
        </w:rPr>
        <w:t>7.9</w:t>
      </w:r>
      <w:r>
        <w:rPr>
          <w:rFonts w:hint="eastAsia" w:hAnsi="宋体"/>
          <w:color w:val="auto"/>
          <w:sz w:val="24"/>
          <w:highlight w:val="none"/>
        </w:rPr>
        <w:t>关于工期的奖惩</w:t>
      </w:r>
    </w:p>
    <w:p>
      <w:pPr>
        <w:spacing w:line="440" w:lineRule="exact"/>
        <w:ind w:firstLine="480" w:firstLineChars="200"/>
        <w:rPr>
          <w:rFonts w:hint="eastAsia"/>
          <w:color w:val="auto"/>
          <w:sz w:val="24"/>
          <w:highlight w:val="none"/>
          <w:u w:val="single"/>
        </w:rPr>
      </w:pPr>
      <w:r>
        <w:rPr>
          <w:rFonts w:hAnsi="宋体"/>
          <w:color w:val="auto"/>
          <w:sz w:val="24"/>
          <w:highlight w:val="none"/>
        </w:rPr>
        <w:t>7.9.2提前竣工的奖励：</w:t>
      </w:r>
      <w:r>
        <w:rPr>
          <w:rFonts w:hint="eastAsia" w:hAnsi="宋体"/>
          <w:color w:val="auto"/>
          <w:sz w:val="24"/>
          <w:highlight w:val="none"/>
        </w:rPr>
        <w:t>/</w:t>
      </w:r>
      <w:r>
        <w:rPr>
          <w:rFonts w:hint="eastAsia"/>
          <w:color w:val="auto"/>
          <w:sz w:val="24"/>
          <w:highlight w:val="none"/>
          <w:u w:val="single"/>
        </w:rPr>
        <w:t>。</w:t>
      </w:r>
    </w:p>
    <w:p>
      <w:pPr>
        <w:spacing w:line="440" w:lineRule="exact"/>
        <w:ind w:firstLine="480" w:firstLineChars="200"/>
        <w:rPr>
          <w:rFonts w:hint="eastAsia" w:hAnsi="宋体"/>
          <w:color w:val="auto"/>
          <w:sz w:val="24"/>
          <w:highlight w:val="none"/>
        </w:rPr>
      </w:pPr>
      <w:bookmarkStart w:id="591" w:name="_Toc351203640"/>
      <w:r>
        <w:rPr>
          <w:color w:val="auto"/>
          <w:sz w:val="24"/>
          <w:highlight w:val="none"/>
        </w:rPr>
        <w:t>8. 材料与设备</w:t>
      </w:r>
      <w:bookmarkEnd w:id="526"/>
      <w:bookmarkEnd w:id="527"/>
      <w:bookmarkEnd w:id="528"/>
      <w:bookmarkEnd w:id="529"/>
      <w:bookmarkEnd w:id="530"/>
      <w:bookmarkEnd w:id="531"/>
      <w:bookmarkEnd w:id="532"/>
      <w:bookmarkEnd w:id="533"/>
      <w:bookmarkEnd w:id="534"/>
      <w:bookmarkEnd w:id="535"/>
      <w:bookmarkEnd w:id="591"/>
    </w:p>
    <w:p>
      <w:pPr>
        <w:spacing w:line="440" w:lineRule="exact"/>
        <w:ind w:firstLine="480" w:firstLineChars="200"/>
        <w:rPr>
          <w:rFonts w:hint="eastAsia" w:hAnsi="宋体"/>
          <w:color w:val="auto"/>
          <w:sz w:val="24"/>
          <w:highlight w:val="none"/>
        </w:rPr>
      </w:pPr>
      <w:r>
        <w:rPr>
          <w:rFonts w:hAnsi="宋体"/>
          <w:color w:val="auto"/>
          <w:sz w:val="24"/>
          <w:highlight w:val="none"/>
        </w:rPr>
        <w:t>8</w:t>
      </w:r>
      <w:bookmarkStart w:id="592" w:name="_Toc296944506"/>
      <w:bookmarkStart w:id="593" w:name="_Toc296503167"/>
      <w:bookmarkStart w:id="594" w:name="_Toc280868654"/>
      <w:bookmarkStart w:id="595" w:name="_Toc296346668"/>
      <w:bookmarkStart w:id="596" w:name="_Toc296890995"/>
      <w:bookmarkStart w:id="597" w:name="_Toc304295556"/>
      <w:bookmarkStart w:id="598" w:name="_Toc300934979"/>
      <w:bookmarkStart w:id="599" w:name="_Toc312677493"/>
      <w:bookmarkStart w:id="600" w:name="_Toc296347166"/>
      <w:bookmarkStart w:id="601" w:name="_Toc303539136"/>
      <w:bookmarkStart w:id="602" w:name="_Toc297216186"/>
      <w:bookmarkStart w:id="603" w:name="_Toc296891207"/>
      <w:bookmarkStart w:id="604" w:name="_Toc292559372"/>
      <w:bookmarkStart w:id="605" w:name="_Toc297048353"/>
      <w:bookmarkStart w:id="606" w:name="_Toc312678019"/>
      <w:bookmarkStart w:id="607" w:name="_Toc292559877"/>
      <w:bookmarkStart w:id="608" w:name="_Toc297123527"/>
      <w:bookmarkStart w:id="609" w:name="_Toc297120467"/>
      <w:bookmarkStart w:id="610" w:name="_Toc267251424"/>
      <w:bookmarkStart w:id="611" w:name="_Toc280868655"/>
      <w:bookmarkStart w:id="612" w:name="_Toc280868656"/>
      <w:r>
        <w:rPr>
          <w:rFonts w:hAnsi="宋体"/>
          <w:color w:val="auto"/>
          <w:sz w:val="24"/>
          <w:highlight w:val="none"/>
        </w:rPr>
        <w:t>.4材料与工程设备的保管与使用</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spacing w:line="440" w:lineRule="exact"/>
        <w:ind w:firstLine="480" w:firstLineChars="200"/>
        <w:rPr>
          <w:rFonts w:hint="eastAsia" w:hAnsi="宋体"/>
          <w:color w:val="auto"/>
          <w:sz w:val="24"/>
          <w:highlight w:val="none"/>
        </w:rPr>
      </w:pPr>
      <w:r>
        <w:rPr>
          <w:color w:val="auto"/>
          <w:sz w:val="24"/>
          <w:highlight w:val="none"/>
        </w:rPr>
        <w:t>8</w:t>
      </w:r>
      <w:bookmarkStart w:id="613" w:name="_Toc292559878"/>
      <w:bookmarkStart w:id="614" w:name="_Toc292559373"/>
      <w:bookmarkStart w:id="615" w:name="_Toc318581173"/>
      <w:bookmarkStart w:id="616" w:name="_Toc297048354"/>
      <w:bookmarkStart w:id="617" w:name="_Toc303539137"/>
      <w:bookmarkStart w:id="618" w:name="_Toc312677494"/>
      <w:bookmarkStart w:id="619" w:name="_Toc297120468"/>
      <w:bookmarkStart w:id="620" w:name="_Toc300934980"/>
      <w:bookmarkStart w:id="621" w:name="_Toc296503168"/>
      <w:bookmarkStart w:id="622" w:name="_Toc296890996"/>
      <w:bookmarkStart w:id="623" w:name="_Toc296347167"/>
      <w:bookmarkStart w:id="624" w:name="_Toc296944507"/>
      <w:bookmarkStart w:id="625" w:name="_Toc297216187"/>
      <w:bookmarkStart w:id="626" w:name="_Toc312678020"/>
      <w:bookmarkStart w:id="627" w:name="_Toc304295557"/>
      <w:bookmarkStart w:id="628" w:name="_Toc296346669"/>
      <w:bookmarkStart w:id="629" w:name="_Toc296891208"/>
      <w:bookmarkStart w:id="630" w:name="_Toc297123528"/>
      <w:r>
        <w:rPr>
          <w:color w:val="auto"/>
          <w:sz w:val="24"/>
          <w:highlight w:val="none"/>
        </w:rPr>
        <w:t>.4.1发包人供应的材料设备的保管费用的承担：</w:t>
      </w:r>
      <w:r>
        <w:rPr>
          <w:rFonts w:hint="eastAsia"/>
          <w:color w:val="auto"/>
          <w:sz w:val="24"/>
          <w:highlight w:val="none"/>
          <w:u w:val="single"/>
        </w:rPr>
        <w:t>发包人采购的材料设备，发包人负责运到工地。承包人报价中应含材料设备卸车费、保管费、材料设备仓库搬运至施工操作面费用，并考虑安装就位措施等费用。发包人采购的材料设备损耗按定额规定计取，超出定额规定损耗率的材料设备由发包人按实向承包人收取费用</w:t>
      </w:r>
      <w:r>
        <w:rPr>
          <w:rFonts w:hint="eastAsia"/>
          <w:color w:val="auto"/>
          <w:sz w:val="24"/>
          <w:highlight w:val="none"/>
        </w:rPr>
        <w:t xml:space="preserve">。  </w:t>
      </w:r>
      <w:bookmarkEnd w:id="613"/>
      <w:bookmarkEnd w:id="614"/>
    </w:p>
    <w:p>
      <w:pPr>
        <w:spacing w:line="440" w:lineRule="exact"/>
        <w:ind w:firstLine="480" w:firstLineChars="200"/>
        <w:rPr>
          <w:rFonts w:hAnsi="宋体"/>
          <w:color w:val="auto"/>
          <w:sz w:val="24"/>
          <w:highlight w:val="none"/>
        </w:rPr>
      </w:pPr>
      <w:r>
        <w:rPr>
          <w:rFonts w:hAnsi="宋体"/>
          <w:color w:val="auto"/>
          <w:sz w:val="24"/>
          <w:highlight w:val="none"/>
        </w:rPr>
        <w:t>8.6 样品</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8.6.1</w:t>
      </w:r>
      <w:r>
        <w:rPr>
          <w:rFonts w:hAnsi="宋体"/>
          <w:color w:val="auto"/>
          <w:kern w:val="0"/>
          <w:sz w:val="24"/>
          <w:highlight w:val="none"/>
        </w:rPr>
        <w:tab/>
      </w:r>
      <w:r>
        <w:rPr>
          <w:rFonts w:hAnsi="宋体"/>
          <w:color w:val="auto"/>
          <w:kern w:val="0"/>
          <w:sz w:val="24"/>
          <w:highlight w:val="none"/>
        </w:rPr>
        <w:t>样品的报送</w:t>
      </w:r>
      <w:r>
        <w:rPr>
          <w:rFonts w:hint="eastAsia" w:hAnsi="宋体"/>
          <w:color w:val="auto"/>
          <w:kern w:val="0"/>
          <w:sz w:val="24"/>
          <w:highlight w:val="none"/>
        </w:rPr>
        <w:t>与封存</w:t>
      </w:r>
    </w:p>
    <w:p>
      <w:pPr>
        <w:spacing w:line="440" w:lineRule="exact"/>
        <w:ind w:firstLine="480" w:firstLineChars="200"/>
        <w:rPr>
          <w:rFonts w:hint="eastAsia" w:hAnsi="宋体" w:cs="宋体"/>
          <w:color w:val="auto"/>
          <w:sz w:val="24"/>
          <w:highlight w:val="none"/>
          <w:u w:val="single"/>
        </w:rPr>
      </w:pPr>
      <w:r>
        <w:rPr>
          <w:rFonts w:hAnsi="宋体"/>
          <w:color w:val="auto"/>
          <w:kern w:val="0"/>
          <w:sz w:val="24"/>
          <w:highlight w:val="none"/>
        </w:rPr>
        <w:t>需要承包人报送样品的材料或工程设备，样品的种类、名称、规格、数量要求：</w:t>
      </w:r>
      <w:r>
        <w:rPr>
          <w:rFonts w:hint="eastAsia" w:hAnsi="宋体" w:cs="宋体"/>
          <w:color w:val="auto"/>
          <w:sz w:val="24"/>
          <w:highlight w:val="none"/>
          <w:u w:val="single"/>
        </w:rPr>
        <w:t xml:space="preserve">工程所需材料全部由中标方自行采购（甲供材料除外），材料质量必须符合国家现行有关规范标准和设计要求，并经监理和发包人签证同意后方可使用。材料质量、规格与要求不符的，监理工程师或发包人代表将拒绝使用，承包人应无条件负责更换或返工，并承担由此发生的一切费用和工期延误损失。    </w:t>
      </w:r>
    </w:p>
    <w:p>
      <w:pPr>
        <w:spacing w:line="500" w:lineRule="exact"/>
        <w:ind w:firstLine="480" w:firstLineChars="200"/>
        <w:rPr>
          <w:rFonts w:hint="eastAsia" w:hAnsi="宋体" w:cs="宋体"/>
          <w:color w:val="auto"/>
          <w:sz w:val="24"/>
          <w:highlight w:val="none"/>
          <w:u w:val="single"/>
        </w:rPr>
      </w:pPr>
      <w:r>
        <w:rPr>
          <w:rFonts w:hint="eastAsia" w:hAnsi="宋体" w:cs="宋体"/>
          <w:color w:val="auto"/>
          <w:sz w:val="24"/>
          <w:highlight w:val="none"/>
          <w:u w:val="single"/>
        </w:rPr>
        <w:t>由承包人采购供应的材料承包人必须按招标文件或工程量清单等资料中提供的品牌、质量进行采购，承包单位在采购主要材料前，需提供样品，经发包单位、设计单位、监理单位共同确认并签字认可后方可采购，采购完成后统一入库、统一拨付、统一管理 。</w:t>
      </w:r>
    </w:p>
    <w:p>
      <w:pPr>
        <w:spacing w:line="440" w:lineRule="exact"/>
        <w:ind w:firstLine="480" w:firstLineChars="200"/>
        <w:rPr>
          <w:rFonts w:hAnsi="宋体"/>
          <w:color w:val="auto"/>
          <w:sz w:val="24"/>
          <w:highlight w:val="none"/>
        </w:rPr>
      </w:pPr>
      <w:r>
        <w:rPr>
          <w:rFonts w:hAnsi="宋体"/>
          <w:color w:val="auto"/>
          <w:sz w:val="24"/>
          <w:highlight w:val="none"/>
        </w:rPr>
        <w:t>8.8 施工设备和临时设施</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8.8.1 承包人提供的施工设备和临时设施</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关于修建临时设施费用承担的约定：</w:t>
      </w:r>
      <w:r>
        <w:rPr>
          <w:rFonts w:hint="eastAsia" w:hAnsi="宋体"/>
          <w:color w:val="auto"/>
          <w:sz w:val="24"/>
          <w:highlight w:val="none"/>
          <w:u w:val="single"/>
        </w:rPr>
        <w:t>承包人自行承担</w:t>
      </w:r>
      <w:r>
        <w:rPr>
          <w:rFonts w:hAnsi="宋体"/>
          <w:color w:val="auto"/>
          <w:sz w:val="24"/>
          <w:highlight w:val="none"/>
        </w:rPr>
        <w:t>。</w:t>
      </w:r>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Pr>
        <w:spacing w:line="440" w:lineRule="exact"/>
        <w:ind w:firstLine="480" w:firstLineChars="200"/>
        <w:rPr>
          <w:color w:val="auto"/>
          <w:sz w:val="24"/>
          <w:highlight w:val="none"/>
        </w:rPr>
      </w:pPr>
      <w:bookmarkStart w:id="631" w:name="_Toc351203641"/>
      <w:r>
        <w:rPr>
          <w:color w:val="auto"/>
          <w:sz w:val="24"/>
          <w:highlight w:val="none"/>
        </w:rPr>
        <w:t>9</w:t>
      </w:r>
      <w:bookmarkEnd w:id="610"/>
      <w:bookmarkEnd w:id="611"/>
      <w:bookmarkEnd w:id="612"/>
      <w:bookmarkStart w:id="632" w:name="_Toc304295559"/>
      <w:bookmarkStart w:id="633" w:name="_Toc312677495"/>
      <w:bookmarkStart w:id="634" w:name="_Toc300934982"/>
      <w:bookmarkStart w:id="635" w:name="_Toc297216192"/>
      <w:bookmarkStart w:id="636" w:name="_Toc297123533"/>
      <w:bookmarkStart w:id="637" w:name="_Toc303539139"/>
      <w:bookmarkStart w:id="638" w:name="_Toc312678021"/>
      <w:bookmarkStart w:id="639" w:name="_Toc296891213"/>
      <w:bookmarkStart w:id="640" w:name="_Toc267251428"/>
      <w:bookmarkStart w:id="641" w:name="_Toc297120473"/>
      <w:bookmarkStart w:id="642" w:name="_Toc296891001"/>
      <w:bookmarkStart w:id="643" w:name="_Toc296944512"/>
      <w:bookmarkStart w:id="644" w:name="_Toc296347172"/>
      <w:bookmarkStart w:id="645" w:name="_Toc296346674"/>
      <w:bookmarkStart w:id="646" w:name="_Toc296503173"/>
      <w:bookmarkStart w:id="647" w:name="_Toc297048359"/>
      <w:bookmarkStart w:id="648" w:name="_Toc292559883"/>
      <w:bookmarkStart w:id="649" w:name="_Toc292559378"/>
      <w:bookmarkStart w:id="650" w:name="_Toc267251427"/>
      <w:r>
        <w:rPr>
          <w:color w:val="auto"/>
          <w:sz w:val="24"/>
          <w:highlight w:val="none"/>
        </w:rPr>
        <w:t>. 试验与检验</w:t>
      </w:r>
      <w:bookmarkEnd w:id="631"/>
    </w:p>
    <w:bookmarkEnd w:id="632"/>
    <w:bookmarkEnd w:id="633"/>
    <w:bookmarkEnd w:id="634"/>
    <w:bookmarkEnd w:id="635"/>
    <w:bookmarkEnd w:id="636"/>
    <w:bookmarkEnd w:id="637"/>
    <w:bookmarkEnd w:id="638"/>
    <w:p>
      <w:pPr>
        <w:spacing w:line="440" w:lineRule="exact"/>
        <w:ind w:firstLine="480" w:firstLineChars="200"/>
        <w:rPr>
          <w:rFonts w:hAnsi="宋体"/>
          <w:color w:val="auto"/>
          <w:sz w:val="24"/>
          <w:highlight w:val="none"/>
        </w:rPr>
      </w:pPr>
      <w:r>
        <w:rPr>
          <w:rFonts w:hAnsi="宋体"/>
          <w:color w:val="auto"/>
          <w:sz w:val="24"/>
          <w:highlight w:val="none"/>
        </w:rPr>
        <w:t>9</w:t>
      </w:r>
      <w:bookmarkStart w:id="651" w:name="_Toc312678022"/>
      <w:bookmarkStart w:id="652" w:name="_Toc297123534"/>
      <w:bookmarkStart w:id="653" w:name="_Toc304295560"/>
      <w:bookmarkStart w:id="654" w:name="_Toc312677496"/>
      <w:bookmarkStart w:id="655" w:name="_Toc300934983"/>
      <w:bookmarkStart w:id="656" w:name="_Toc303539140"/>
      <w:bookmarkStart w:id="657" w:name="_Toc297216193"/>
      <w:r>
        <w:rPr>
          <w:rFonts w:hAnsi="宋体"/>
          <w:color w:val="auto"/>
          <w:sz w:val="24"/>
          <w:highlight w:val="none"/>
        </w:rPr>
        <w:t>.1试验设备与试验人员</w:t>
      </w:r>
    </w:p>
    <w:bookmarkEnd w:id="651"/>
    <w:bookmarkEnd w:id="652"/>
    <w:bookmarkEnd w:id="653"/>
    <w:bookmarkEnd w:id="654"/>
    <w:bookmarkEnd w:id="655"/>
    <w:bookmarkEnd w:id="656"/>
    <w:bookmarkEnd w:id="657"/>
    <w:p>
      <w:pPr>
        <w:spacing w:line="440" w:lineRule="exact"/>
        <w:ind w:firstLine="480" w:firstLineChars="200"/>
        <w:rPr>
          <w:rFonts w:hAnsi="宋体"/>
          <w:color w:val="auto"/>
          <w:sz w:val="24"/>
          <w:highlight w:val="none"/>
        </w:rPr>
      </w:pPr>
      <w:r>
        <w:rPr>
          <w:rFonts w:hAnsi="宋体"/>
          <w:color w:val="auto"/>
          <w:sz w:val="24"/>
          <w:highlight w:val="none"/>
        </w:rPr>
        <w:t>9</w:t>
      </w:r>
      <w:bookmarkStart w:id="658" w:name="_Toc297216194"/>
      <w:bookmarkStart w:id="659" w:name="_Toc300934984"/>
      <w:bookmarkStart w:id="660" w:name="_Toc312678023"/>
      <w:bookmarkStart w:id="661" w:name="_Toc297123535"/>
      <w:bookmarkStart w:id="662" w:name="_Toc312677497"/>
      <w:bookmarkStart w:id="663" w:name="_Toc303539141"/>
      <w:bookmarkStart w:id="664" w:name="_Toc304295561"/>
      <w:bookmarkStart w:id="665" w:name="_Toc318581174"/>
      <w:r>
        <w:rPr>
          <w:rFonts w:hAnsi="宋体"/>
          <w:color w:val="auto"/>
          <w:sz w:val="24"/>
          <w:highlight w:val="none"/>
        </w:rPr>
        <w:t>.1.2 试验设备</w:t>
      </w:r>
    </w:p>
    <w:p>
      <w:pPr>
        <w:spacing w:line="440" w:lineRule="exact"/>
        <w:ind w:firstLine="480" w:firstLineChars="200"/>
        <w:rPr>
          <w:rFonts w:hAnsi="宋体"/>
          <w:color w:val="auto"/>
          <w:sz w:val="24"/>
          <w:highlight w:val="none"/>
        </w:rPr>
      </w:pPr>
      <w:r>
        <w:rPr>
          <w:rFonts w:hAnsi="宋体"/>
          <w:color w:val="auto"/>
          <w:sz w:val="24"/>
          <w:highlight w:val="none"/>
        </w:rPr>
        <w:t>施工现场需要配置的试验场所：</w:t>
      </w:r>
      <w:bookmarkEnd w:id="658"/>
      <w:bookmarkEnd w:id="659"/>
      <w:bookmarkEnd w:id="660"/>
      <w:bookmarkEnd w:id="661"/>
      <w:bookmarkEnd w:id="662"/>
      <w:bookmarkEnd w:id="663"/>
      <w:bookmarkEnd w:id="664"/>
      <w:bookmarkStart w:id="666" w:name="_Toc312678024"/>
      <w:bookmarkStart w:id="667" w:name="_Toc300934985"/>
      <w:bookmarkStart w:id="668" w:name="_Toc303539142"/>
      <w:bookmarkStart w:id="669" w:name="_Toc312677498"/>
      <w:bookmarkStart w:id="670" w:name="_Toc304295562"/>
      <w:bookmarkStart w:id="671" w:name="_Toc297123536"/>
      <w:bookmarkStart w:id="672" w:name="_Toc297216195"/>
      <w:r>
        <w:rPr>
          <w:rFonts w:hint="eastAsia" w:hAnsi="宋体"/>
          <w:color w:val="auto"/>
          <w:sz w:val="24"/>
          <w:highlight w:val="none"/>
          <w:u w:val="single"/>
        </w:rPr>
        <w:t>/</w:t>
      </w:r>
      <w:r>
        <w:rPr>
          <w:rFonts w:hAnsi="宋体"/>
          <w:color w:val="auto"/>
          <w:sz w:val="24"/>
          <w:highlight w:val="none"/>
        </w:rPr>
        <w:t>。</w:t>
      </w:r>
      <w:r>
        <w:rPr>
          <w:rFonts w:hint="eastAsia" w:hAnsi="宋体"/>
          <w:color w:val="auto"/>
          <w:sz w:val="24"/>
          <w:highlight w:val="non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施工现场需要配备的试验设备：</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施工现场需要具备的其他试验条件：</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9.4 现场工艺试验</w:t>
      </w:r>
      <w:r>
        <w:rPr>
          <w:rFonts w:hint="eastAsia" w:hAnsi="宋体"/>
          <w:color w:val="auto"/>
          <w:sz w:val="24"/>
          <w:highlight w:val="none"/>
        </w:rPr>
        <w:t xml:space="preserve"> </w:t>
      </w:r>
    </w:p>
    <w:p>
      <w:pPr>
        <w:spacing w:line="440" w:lineRule="exact"/>
        <w:ind w:firstLine="480" w:firstLineChars="200"/>
        <w:rPr>
          <w:rFonts w:hint="eastAsia" w:hAnsi="宋体"/>
          <w:color w:val="auto"/>
          <w:sz w:val="24"/>
          <w:highlight w:val="none"/>
        </w:rPr>
      </w:pPr>
      <w:r>
        <w:rPr>
          <w:rFonts w:hAnsi="宋体"/>
          <w:color w:val="auto"/>
          <w:sz w:val="24"/>
          <w:highlight w:val="none"/>
        </w:rPr>
        <w:t>现场工艺试验的有关约定：</w:t>
      </w:r>
      <w:r>
        <w:rPr>
          <w:rFonts w:hint="eastAsia" w:hAnsi="宋体"/>
          <w:color w:val="auto"/>
          <w:sz w:val="24"/>
          <w:highlight w:val="none"/>
          <w:u w:val="single"/>
        </w:rPr>
        <w:t>/</w:t>
      </w:r>
      <w:r>
        <w:rPr>
          <w:rFonts w:hAnsi="宋体"/>
          <w:color w:val="auto"/>
          <w:sz w:val="24"/>
          <w:highlight w:val="none"/>
        </w:rPr>
        <w:t>。</w:t>
      </w:r>
    </w:p>
    <w:bookmarkEnd w:id="639"/>
    <w:bookmarkEnd w:id="640"/>
    <w:bookmarkEnd w:id="641"/>
    <w:bookmarkEnd w:id="642"/>
    <w:bookmarkEnd w:id="643"/>
    <w:bookmarkEnd w:id="644"/>
    <w:bookmarkEnd w:id="645"/>
    <w:bookmarkEnd w:id="646"/>
    <w:bookmarkEnd w:id="647"/>
    <w:bookmarkEnd w:id="648"/>
    <w:bookmarkEnd w:id="649"/>
    <w:bookmarkEnd w:id="650"/>
    <w:bookmarkEnd w:id="665"/>
    <w:bookmarkEnd w:id="666"/>
    <w:bookmarkEnd w:id="667"/>
    <w:bookmarkEnd w:id="668"/>
    <w:bookmarkEnd w:id="669"/>
    <w:bookmarkEnd w:id="670"/>
    <w:bookmarkEnd w:id="671"/>
    <w:bookmarkEnd w:id="672"/>
    <w:p>
      <w:pPr>
        <w:spacing w:line="440" w:lineRule="exact"/>
        <w:ind w:firstLine="480" w:firstLineChars="200"/>
        <w:rPr>
          <w:rFonts w:hint="eastAsia" w:hAnsi="宋体" w:cs="宋体"/>
          <w:color w:val="auto"/>
          <w:sz w:val="24"/>
          <w:highlight w:val="none"/>
        </w:rPr>
      </w:pPr>
      <w:bookmarkStart w:id="673" w:name="_Toc296346695"/>
      <w:bookmarkStart w:id="674" w:name="_Toc304295567"/>
      <w:bookmarkStart w:id="675" w:name="_Toc297123541"/>
      <w:bookmarkStart w:id="676" w:name="_Toc297048380"/>
      <w:bookmarkStart w:id="677" w:name="_Toc292559399"/>
      <w:bookmarkStart w:id="678" w:name="_Toc296347193"/>
      <w:bookmarkStart w:id="679" w:name="_Toc312678026"/>
      <w:bookmarkStart w:id="680" w:name="_Toc297216200"/>
      <w:bookmarkStart w:id="681" w:name="_Toc297120494"/>
      <w:bookmarkStart w:id="682" w:name="_Toc296891022"/>
      <w:bookmarkStart w:id="683" w:name="_Toc296944533"/>
      <w:bookmarkStart w:id="684" w:name="_Toc296503194"/>
      <w:bookmarkStart w:id="685" w:name="_Toc300934990"/>
      <w:bookmarkStart w:id="686" w:name="_Toc312677500"/>
      <w:bookmarkStart w:id="687" w:name="_Toc296891234"/>
      <w:bookmarkStart w:id="688" w:name="_Toc292559904"/>
      <w:bookmarkStart w:id="689" w:name="_Toc303539147"/>
      <w:bookmarkStart w:id="690" w:name="_Toc267251440"/>
      <w:bookmarkStart w:id="691" w:name="_Toc267251441"/>
      <w:bookmarkStart w:id="692" w:name="_Toc267251435"/>
      <w:bookmarkStart w:id="693" w:name="_Toc267251437"/>
      <w:bookmarkStart w:id="694" w:name="_Toc267251439"/>
      <w:bookmarkStart w:id="695" w:name="_Toc267251433"/>
      <w:bookmarkStart w:id="696" w:name="_Toc267251442"/>
      <w:r>
        <w:rPr>
          <w:rFonts w:hint="eastAsia" w:hAnsi="宋体" w:cs="宋体"/>
          <w:color w:val="auto"/>
          <w:sz w:val="24"/>
          <w:highlight w:val="none"/>
        </w:rPr>
        <w:t>10. 变更</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10.1 变更的范围</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关于变更的范围的约定：</w:t>
      </w:r>
    </w:p>
    <w:p>
      <w:pPr>
        <w:spacing w:line="380" w:lineRule="exact"/>
        <w:ind w:firstLine="480"/>
        <w:rPr>
          <w:rFonts w:hAnsi="宋体" w:cs="宋体"/>
          <w:color w:val="auto"/>
          <w:sz w:val="24"/>
          <w:highlight w:val="none"/>
          <w:u w:val="single"/>
        </w:rPr>
      </w:pPr>
      <w:r>
        <w:rPr>
          <w:rFonts w:hint="eastAsia" w:hAnsi="宋体" w:cs="宋体"/>
          <w:color w:val="auto"/>
          <w:sz w:val="24"/>
          <w:highlight w:val="none"/>
          <w:u w:val="single"/>
        </w:rPr>
        <w:t>（1）政府性投资项目按</w:t>
      </w:r>
      <w:r>
        <w:rPr>
          <w:rFonts w:hint="eastAsia" w:hAnsi="宋体" w:cs="宋体"/>
          <w:b/>
          <w:color w:val="auto"/>
          <w:sz w:val="24"/>
          <w:highlight w:val="none"/>
          <w:u w:val="single"/>
        </w:rPr>
        <w:t>《临安区政府性投资项目工程变更管理办法》（临政函[2018]11号）</w:t>
      </w:r>
      <w:r>
        <w:rPr>
          <w:rFonts w:hint="eastAsia" w:hAnsi="宋体" w:cs="宋体"/>
          <w:color w:val="auto"/>
          <w:sz w:val="24"/>
          <w:highlight w:val="none"/>
          <w:u w:val="single"/>
        </w:rPr>
        <w:t>相关变更管理办法规定，如追加额外工作，取消合同中部分工程量，改变质量标准，改变工程的基线、标高、位置和尺寸等。</w:t>
      </w:r>
    </w:p>
    <w:p>
      <w:pPr>
        <w:spacing w:line="380" w:lineRule="exact"/>
        <w:ind w:firstLine="480"/>
        <w:rPr>
          <w:rFonts w:hAnsi="宋体" w:cs="宋体"/>
          <w:b/>
          <w:color w:val="auto"/>
          <w:sz w:val="24"/>
          <w:highlight w:val="none"/>
          <w:u w:val="single"/>
        </w:rPr>
      </w:pPr>
      <w:r>
        <w:rPr>
          <w:rFonts w:hint="eastAsia" w:hAnsi="宋体" w:cs="宋体"/>
          <w:b/>
          <w:color w:val="auto"/>
          <w:sz w:val="24"/>
          <w:highlight w:val="none"/>
          <w:u w:val="single"/>
        </w:rPr>
        <w:t>（2）发包人可根据工程需要进行工程变更，承包人必须及时按照招标人的相关要求进行工程变更。否则视承包人违约，发包人可根据情节严重程度对承包人进行处罚。如变更产生费用增加或工期延长，需发包人进行签证的，需按下列要求提交签证文件（工程联系单）：</w:t>
      </w:r>
    </w:p>
    <w:p>
      <w:pPr>
        <w:spacing w:line="380" w:lineRule="exact"/>
        <w:ind w:firstLine="480"/>
        <w:rPr>
          <w:rFonts w:hAnsi="宋体" w:cs="宋体"/>
          <w:b/>
          <w:color w:val="auto"/>
          <w:sz w:val="24"/>
          <w:highlight w:val="none"/>
          <w:u w:val="single"/>
        </w:rPr>
      </w:pPr>
      <w:r>
        <w:rPr>
          <w:rFonts w:hint="eastAsia" w:hAnsi="宋体" w:cs="宋体"/>
          <w:b/>
          <w:color w:val="auto"/>
          <w:sz w:val="24"/>
          <w:highlight w:val="none"/>
          <w:u w:val="single"/>
        </w:rPr>
        <w:t>A、变更内容明确，工程量可准确计算的，承包人应在接收变更指令后14个工作日内提交相关的签证文件（工程联系单）；</w:t>
      </w:r>
    </w:p>
    <w:p>
      <w:pPr>
        <w:spacing w:line="380" w:lineRule="exact"/>
        <w:ind w:firstLine="480"/>
        <w:rPr>
          <w:rFonts w:hAnsi="宋体" w:cs="宋体"/>
          <w:color w:val="auto"/>
          <w:sz w:val="24"/>
          <w:highlight w:val="none"/>
          <w:u w:val="single"/>
        </w:rPr>
      </w:pPr>
      <w:r>
        <w:rPr>
          <w:rFonts w:hint="eastAsia" w:hAnsi="宋体" w:cs="宋体"/>
          <w:b/>
          <w:color w:val="auto"/>
          <w:sz w:val="24"/>
          <w:highlight w:val="none"/>
          <w:u w:val="single"/>
        </w:rPr>
        <w:t>B、工程变更内容完成后才能准确计量的工程变更，承包人应在工程变更完成后14个工作日内提交相关的签证文件（工程联系单）；</w:t>
      </w:r>
    </w:p>
    <w:p>
      <w:pPr>
        <w:spacing w:line="380" w:lineRule="exact"/>
        <w:ind w:firstLine="480"/>
        <w:rPr>
          <w:rFonts w:hAnsi="宋体" w:cs="宋体"/>
          <w:b/>
          <w:color w:val="auto"/>
          <w:sz w:val="24"/>
          <w:highlight w:val="none"/>
          <w:u w:val="single"/>
        </w:rPr>
      </w:pPr>
      <w:r>
        <w:rPr>
          <w:rFonts w:hAnsi="宋体" w:cs="宋体"/>
          <w:b/>
          <w:color w:val="auto"/>
          <w:sz w:val="24"/>
          <w:highlight w:val="none"/>
          <w:u w:val="single"/>
        </w:rPr>
        <w:t>C</w:t>
      </w:r>
      <w:r>
        <w:rPr>
          <w:rFonts w:hint="eastAsia" w:hAnsi="宋体" w:cs="宋体"/>
          <w:b/>
          <w:color w:val="auto"/>
          <w:sz w:val="24"/>
          <w:highlight w:val="none"/>
          <w:u w:val="single"/>
        </w:rPr>
        <w:t>、如承包人未按上述要求及时提交工程变更的签证文件（工程联系单），则视为相关变更不产生费用增加或工期延长；</w:t>
      </w:r>
    </w:p>
    <w:p>
      <w:pPr>
        <w:spacing w:line="380" w:lineRule="exact"/>
        <w:ind w:firstLine="480"/>
        <w:rPr>
          <w:rFonts w:hAnsi="宋体" w:cs="宋体"/>
          <w:b/>
          <w:color w:val="auto"/>
          <w:sz w:val="24"/>
          <w:highlight w:val="none"/>
          <w:u w:val="single"/>
        </w:rPr>
      </w:pPr>
      <w:r>
        <w:rPr>
          <w:rFonts w:hint="eastAsia" w:hAnsi="宋体" w:cs="宋体"/>
          <w:b/>
          <w:color w:val="auto"/>
          <w:sz w:val="24"/>
          <w:highlight w:val="none"/>
          <w:u w:val="single"/>
        </w:rPr>
        <w:t>D、发包人对签证文件（工程联系单）进行审核并完成相关流程审批后予以签证回复；</w:t>
      </w:r>
    </w:p>
    <w:p>
      <w:pPr>
        <w:spacing w:line="380" w:lineRule="exact"/>
        <w:ind w:firstLine="480"/>
        <w:rPr>
          <w:rFonts w:hAnsi="宋体" w:cs="宋体"/>
          <w:b/>
          <w:color w:val="auto"/>
          <w:sz w:val="24"/>
          <w:highlight w:val="none"/>
          <w:u w:val="single"/>
        </w:rPr>
      </w:pPr>
      <w:r>
        <w:rPr>
          <w:rFonts w:hAnsi="宋体" w:cs="宋体"/>
          <w:b/>
          <w:color w:val="auto"/>
          <w:sz w:val="24"/>
          <w:highlight w:val="none"/>
          <w:u w:val="single"/>
        </w:rPr>
        <w:t>E</w:t>
      </w:r>
      <w:r>
        <w:rPr>
          <w:rFonts w:hint="eastAsia" w:hAnsi="宋体" w:cs="宋体"/>
          <w:b/>
          <w:color w:val="auto"/>
          <w:sz w:val="24"/>
          <w:highlight w:val="none"/>
          <w:u w:val="single"/>
        </w:rPr>
        <w:t>、变更超过原设计标准或批准的建设规模时，发包人应报规划管理部门和其他相关部门重新审查批准，并由原设计单位提供变更的相应图纸和说明。</w:t>
      </w:r>
    </w:p>
    <w:p>
      <w:pPr>
        <w:spacing w:line="380" w:lineRule="exact"/>
        <w:ind w:firstLine="480"/>
        <w:rPr>
          <w:rFonts w:hAnsi="宋体" w:cs="宋体"/>
          <w:b/>
          <w:bCs/>
          <w:color w:val="auto"/>
          <w:sz w:val="24"/>
          <w:highlight w:val="none"/>
          <w:u w:val="single"/>
        </w:rPr>
      </w:pPr>
      <w:r>
        <w:rPr>
          <w:rFonts w:hint="eastAsia" w:hAnsi="宋体" w:cs="宋体"/>
          <w:b/>
          <w:bCs/>
          <w:color w:val="auto"/>
          <w:sz w:val="24"/>
          <w:highlight w:val="none"/>
          <w:u w:val="single"/>
        </w:rPr>
        <w:t>（</w:t>
      </w:r>
      <w:r>
        <w:rPr>
          <w:rFonts w:hAnsi="宋体" w:cs="宋体"/>
          <w:b/>
          <w:bCs/>
          <w:color w:val="auto"/>
          <w:sz w:val="24"/>
          <w:highlight w:val="none"/>
          <w:u w:val="single"/>
        </w:rPr>
        <w:t>3</w:t>
      </w:r>
      <w:r>
        <w:rPr>
          <w:rFonts w:hint="eastAsia" w:hAnsi="宋体" w:cs="宋体"/>
          <w:b/>
          <w:bCs/>
          <w:color w:val="auto"/>
          <w:sz w:val="24"/>
          <w:highlight w:val="none"/>
          <w:u w:val="single"/>
        </w:rPr>
        <w:t>）施工中发包人需对原工程设计变更，应提前14天以书面形式向承包人发出变更通知。变更超过原设计标准或批准的建设规模时，发包人应报规划管理部门和其他相关部门重新审查批准，并由原设计单位提供变更的相应图纸和说明。承包人按照招标人发出的变更通知及有关要求进行变更。</w:t>
      </w:r>
    </w:p>
    <w:p>
      <w:pPr>
        <w:spacing w:line="380" w:lineRule="exact"/>
        <w:ind w:firstLine="480"/>
        <w:rPr>
          <w:rFonts w:hAnsi="宋体" w:cs="宋体"/>
          <w:color w:val="auto"/>
          <w:sz w:val="24"/>
          <w:highlight w:val="none"/>
          <w:u w:val="single"/>
        </w:rPr>
      </w:pPr>
      <w:r>
        <w:rPr>
          <w:rFonts w:hint="eastAsia" w:hAnsi="宋体" w:cs="宋体"/>
          <w:color w:val="auto"/>
          <w:sz w:val="24"/>
          <w:highlight w:val="none"/>
          <w:u w:val="single"/>
        </w:rPr>
        <w:t>（4）施工中承包人不得对原工程设计进行变更。因承包人擅自变更设计发生的费用和由此导致发包人的直接损失，由承包人承担，延误的工期不予顺延。</w:t>
      </w:r>
    </w:p>
    <w:p>
      <w:pPr>
        <w:spacing w:line="380" w:lineRule="exact"/>
        <w:ind w:firstLine="480"/>
        <w:rPr>
          <w:rFonts w:hAnsi="宋体" w:cs="宋体"/>
          <w:color w:val="auto"/>
          <w:sz w:val="24"/>
          <w:highlight w:val="none"/>
          <w:u w:val="single"/>
        </w:rPr>
      </w:pPr>
      <w:r>
        <w:rPr>
          <w:rFonts w:hint="eastAsia" w:hAnsi="宋体" w:cs="宋体"/>
          <w:color w:val="auto"/>
          <w:sz w:val="24"/>
          <w:highlight w:val="none"/>
          <w:u w:val="single"/>
        </w:rPr>
        <w:t>（5）承包人在施工中提出的合理化建议涉及到设计图纸或施工组织设计的更改及对材料、设备的换用，须经招标人同意。未经同意擅自更改或换用时，承包人承担由此发生的费用，并赔偿发包人的有关损失，延误的工期不予顺延。</w:t>
      </w:r>
    </w:p>
    <w:p>
      <w:pPr>
        <w:spacing w:line="380" w:lineRule="exact"/>
        <w:ind w:firstLine="480"/>
        <w:rPr>
          <w:rFonts w:hAnsi="宋体" w:cs="宋体"/>
          <w:color w:val="auto"/>
          <w:sz w:val="24"/>
          <w:highlight w:val="none"/>
          <w:u w:val="single"/>
        </w:rPr>
      </w:pPr>
      <w:r>
        <w:rPr>
          <w:rFonts w:hint="eastAsia" w:hAnsi="宋体" w:cs="宋体"/>
          <w:color w:val="auto"/>
          <w:sz w:val="24"/>
          <w:highlight w:val="none"/>
          <w:u w:val="single"/>
        </w:rPr>
        <w:t>（6）发包人有可能根据工程需要修改施工图纸或发出指令增加或减少工程量，工程量不论增减多少，承包人均应服从，对因变更增加或减少的工程量，其结算口径按本合同条款执行。对变更单项材料累计金额达到规定标准时，招标人有权通过招标确定材料价格及供货单位。</w:t>
      </w:r>
    </w:p>
    <w:p>
      <w:pPr>
        <w:spacing w:line="380" w:lineRule="exact"/>
        <w:ind w:firstLine="480"/>
        <w:rPr>
          <w:rFonts w:hAnsi="宋体" w:cs="宋体"/>
          <w:color w:val="auto"/>
          <w:sz w:val="24"/>
          <w:highlight w:val="none"/>
          <w:u w:val="single"/>
        </w:rPr>
      </w:pPr>
      <w:r>
        <w:rPr>
          <w:rFonts w:hint="eastAsia" w:hAnsi="宋体" w:cs="宋体"/>
          <w:color w:val="auto"/>
          <w:sz w:val="24"/>
          <w:highlight w:val="none"/>
          <w:u w:val="single"/>
        </w:rPr>
        <w:t>（7）工程量调整方法如下：1.竣工结算时工程量计算规则按招标文件以及《建设工程工程量清单计价规范》（GB50500-2013）</w:t>
      </w:r>
      <w:r>
        <w:rPr>
          <w:rFonts w:hint="eastAsia" w:hAnsi="宋体" w:cs="宋体"/>
          <w:b/>
          <w:color w:val="auto"/>
          <w:sz w:val="24"/>
          <w:highlight w:val="none"/>
          <w:u w:val="single"/>
        </w:rPr>
        <w:t>和杭州市建设工程工程量清单实施细则（2018年修订）工程量清单对应计算规则执行</w:t>
      </w:r>
      <w:r>
        <w:rPr>
          <w:rFonts w:hint="eastAsia" w:hAnsi="宋体" w:cs="宋体"/>
          <w:color w:val="auto"/>
          <w:sz w:val="24"/>
          <w:highlight w:val="none"/>
          <w:u w:val="single"/>
        </w:rPr>
        <w:t xml:space="preserve">；2.经发包人确认的工程变更，调整方法见“10.4.1变更估价原则”。 </w:t>
      </w:r>
    </w:p>
    <w:p>
      <w:pPr>
        <w:spacing w:line="380" w:lineRule="exact"/>
        <w:ind w:firstLine="480"/>
        <w:rPr>
          <w:rFonts w:hint="eastAsia" w:hAnsi="宋体" w:cs="宋体"/>
          <w:color w:val="auto"/>
          <w:sz w:val="24"/>
          <w:highlight w:val="none"/>
          <w:u w:val="single"/>
        </w:rPr>
      </w:pPr>
      <w:r>
        <w:rPr>
          <w:rFonts w:hint="eastAsia" w:hAnsi="宋体" w:cs="宋体"/>
          <w:color w:val="auto"/>
          <w:sz w:val="24"/>
          <w:highlight w:val="none"/>
          <w:u w:val="single"/>
        </w:rPr>
        <w:t>（</w:t>
      </w:r>
      <w:r>
        <w:rPr>
          <w:rFonts w:hAnsi="宋体" w:cs="宋体"/>
          <w:color w:val="auto"/>
          <w:sz w:val="24"/>
          <w:highlight w:val="none"/>
          <w:u w:val="single"/>
        </w:rPr>
        <w:t>8</w:t>
      </w:r>
      <w:r>
        <w:rPr>
          <w:rFonts w:hint="eastAsia" w:hAnsi="宋体" w:cs="宋体"/>
          <w:color w:val="auto"/>
          <w:sz w:val="24"/>
          <w:highlight w:val="none"/>
          <w:u w:val="single"/>
        </w:rPr>
        <w:t>）工程量按经监理和发包人签证后的实测量联系单、施工图和设计变更单按实结算 。</w:t>
      </w:r>
    </w:p>
    <w:p>
      <w:pPr>
        <w:spacing w:line="380" w:lineRule="exact"/>
        <w:ind w:firstLine="480"/>
        <w:rPr>
          <w:rFonts w:hint="eastAsia"/>
          <w:b/>
          <w:color w:val="auto"/>
          <w:sz w:val="24"/>
          <w:highlight w:val="none"/>
        </w:rPr>
      </w:pPr>
      <w:r>
        <w:rPr>
          <w:rFonts w:hint="eastAsia"/>
          <w:b/>
          <w:color w:val="auto"/>
          <w:sz w:val="24"/>
          <w:highlight w:val="none"/>
        </w:rPr>
        <w:t>10.4 变更估价</w:t>
      </w:r>
    </w:p>
    <w:p>
      <w:pPr>
        <w:spacing w:line="380" w:lineRule="exact"/>
        <w:ind w:firstLine="480"/>
        <w:jc w:val="left"/>
        <w:rPr>
          <w:rFonts w:hint="eastAsia"/>
          <w:b/>
          <w:color w:val="auto"/>
          <w:sz w:val="24"/>
          <w:highlight w:val="none"/>
        </w:rPr>
      </w:pPr>
      <w:r>
        <w:rPr>
          <w:rFonts w:hint="eastAsia"/>
          <w:b/>
          <w:color w:val="auto"/>
          <w:sz w:val="24"/>
          <w:highlight w:val="none"/>
        </w:rPr>
        <w:t>10.4.1变更估价原则</w:t>
      </w:r>
    </w:p>
    <w:p>
      <w:pPr>
        <w:spacing w:line="380" w:lineRule="exact"/>
        <w:ind w:firstLine="480"/>
        <w:rPr>
          <w:rFonts w:hint="eastAsia"/>
          <w:b/>
          <w:color w:val="auto"/>
          <w:sz w:val="24"/>
          <w:highlight w:val="none"/>
        </w:rPr>
      </w:pPr>
      <w:r>
        <w:rPr>
          <w:rFonts w:hint="eastAsia" w:hAnsi="宋体" w:cs="宋体"/>
          <w:color w:val="auto"/>
          <w:sz w:val="24"/>
          <w:highlight w:val="none"/>
        </w:rPr>
        <w:t>关于变更估价的约定：</w:t>
      </w:r>
      <w:r>
        <w:rPr>
          <w:rFonts w:hint="eastAsia"/>
          <w:b/>
          <w:color w:val="auto"/>
          <w:sz w:val="24"/>
          <w:highlight w:val="none"/>
        </w:rPr>
        <w:t>承包人在工程变更确定后14天内，提出变更工程价款的报告，经工程师确认后的调整合同价款。变更合同价款按下列方法进行：</w:t>
      </w:r>
    </w:p>
    <w:p>
      <w:pPr>
        <w:autoSpaceDE w:val="0"/>
        <w:autoSpaceDN w:val="0"/>
        <w:spacing w:line="380" w:lineRule="exact"/>
        <w:ind w:firstLine="356"/>
        <w:jc w:val="left"/>
        <w:rPr>
          <w:rFonts w:hint="eastAsia"/>
          <w:b/>
          <w:color w:val="auto"/>
          <w:sz w:val="24"/>
          <w:highlight w:val="none"/>
        </w:rPr>
      </w:pPr>
      <w:r>
        <w:rPr>
          <w:rFonts w:hint="eastAsia"/>
          <w:b/>
          <w:color w:val="auto"/>
          <w:sz w:val="24"/>
          <w:highlight w:val="none"/>
        </w:rPr>
        <w:t>（1）已标价工程量清单有相同项目综合单价的，按照相同项目综合单价确定。</w:t>
      </w:r>
    </w:p>
    <w:p>
      <w:pPr>
        <w:autoSpaceDE w:val="0"/>
        <w:autoSpaceDN w:val="0"/>
        <w:spacing w:line="380" w:lineRule="exact"/>
        <w:ind w:firstLine="356"/>
        <w:jc w:val="left"/>
        <w:rPr>
          <w:rFonts w:hint="eastAsia"/>
          <w:b/>
          <w:color w:val="auto"/>
          <w:sz w:val="24"/>
          <w:highlight w:val="none"/>
        </w:rPr>
      </w:pPr>
      <w:r>
        <w:rPr>
          <w:rFonts w:hint="eastAsia"/>
          <w:b/>
          <w:color w:val="auto"/>
          <w:sz w:val="24"/>
          <w:highlight w:val="none"/>
        </w:rPr>
        <w:t>（2）已标价工程量清单中无相同项目，但有类似项目综合单价的，参照类似项目的综合单价确定。</w:t>
      </w:r>
    </w:p>
    <w:p>
      <w:pPr>
        <w:autoSpaceDE w:val="0"/>
        <w:autoSpaceDN w:val="0"/>
        <w:spacing w:line="380" w:lineRule="exact"/>
        <w:ind w:firstLine="360"/>
        <w:jc w:val="left"/>
        <w:rPr>
          <w:rFonts w:hint="eastAsia"/>
          <w:b/>
          <w:color w:val="auto"/>
          <w:sz w:val="24"/>
          <w:highlight w:val="none"/>
        </w:rPr>
      </w:pPr>
      <w:r>
        <w:rPr>
          <w:rFonts w:hint="eastAsia"/>
          <w:b/>
          <w:color w:val="auto"/>
          <w:sz w:val="24"/>
          <w:highlight w:val="none"/>
        </w:rPr>
        <w:t>（3）已标价工程量清单中无相同项目及类似项目综合单价的，其综合单价的确定，按以下约定：套用浙江省2018定额及现行相应专业定额，材料价格有投标价的执行投标价，无投标价、但信息价（正刊）有公布的材料，执行合同工期内各月的信息价（正刊）的算术平均值并结合最终总价相对于招标控制价的下浮率等因素，签证确定。无投标价且信息价（正刊）没有公布的材料，发包人应在充分市场询价的基础上，参照同期同类材料市场价格水平、最终总价相对于招标控制价的下浮率等因素，按规定程序签证确定。</w:t>
      </w:r>
    </w:p>
    <w:p>
      <w:pPr>
        <w:autoSpaceDE w:val="0"/>
        <w:autoSpaceDN w:val="0"/>
        <w:spacing w:line="380" w:lineRule="exact"/>
        <w:ind w:firstLine="360"/>
        <w:jc w:val="left"/>
        <w:rPr>
          <w:rFonts w:hint="eastAsia"/>
          <w:b/>
          <w:color w:val="auto"/>
          <w:sz w:val="24"/>
          <w:highlight w:val="none"/>
        </w:rPr>
      </w:pPr>
      <w:r>
        <w:rPr>
          <w:rFonts w:hint="eastAsia"/>
          <w:b/>
          <w:color w:val="auto"/>
          <w:sz w:val="24"/>
          <w:highlight w:val="none"/>
        </w:rPr>
        <w:t>（4）工程量清单错误和（或）设计变更导致实际完成的工程量与已标价工程量清单中列明的该项目工程量不一致的，合价金额占合同总价2%及以上且工程量增减超过本项目工程数量的15%及以上的。或合价金额占合同金额不到2%但其工程量增减超过本项目工程数量的25%及以上的，其综合单价允许调整。竣工结算阶段如已标价的工程量清单综合单价异常，其综合单价允许调整，参照第（3）条原则执行。</w:t>
      </w:r>
    </w:p>
    <w:p>
      <w:pPr>
        <w:autoSpaceDE w:val="0"/>
        <w:autoSpaceDN w:val="0"/>
        <w:spacing w:line="380" w:lineRule="exact"/>
        <w:ind w:firstLine="356"/>
        <w:jc w:val="left"/>
        <w:rPr>
          <w:rFonts w:hint="eastAsia"/>
          <w:b/>
          <w:color w:val="auto"/>
          <w:sz w:val="24"/>
          <w:highlight w:val="none"/>
        </w:rPr>
      </w:pPr>
      <w:r>
        <w:rPr>
          <w:rFonts w:hint="eastAsia"/>
          <w:b/>
          <w:color w:val="auto"/>
          <w:sz w:val="24"/>
          <w:highlight w:val="none"/>
        </w:rPr>
        <w:t>（5）当承包人最终总报价与招标控制价中同项目综合单价相比较偏差在±30%以上的，可认定报价异常。工程竣工结算阶段，如发现综合单价异常，则工程量增、减在本项工程量15%以内的，均按原综合单价执行；综合单价异常清单子目、工程量增加超过本项工程量15%以上部分工程量按第（3）条原则执行，也可按招标控制价中综合单价结合投标下浮率确定。</w:t>
      </w:r>
    </w:p>
    <w:p>
      <w:pPr>
        <w:autoSpaceDE w:val="0"/>
        <w:autoSpaceDN w:val="0"/>
        <w:spacing w:line="380" w:lineRule="exact"/>
        <w:ind w:firstLine="356"/>
        <w:jc w:val="left"/>
        <w:rPr>
          <w:rFonts w:hint="eastAsia"/>
          <w:b/>
          <w:color w:val="auto"/>
          <w:sz w:val="24"/>
          <w:highlight w:val="none"/>
          <w:u w:val="none"/>
        </w:rPr>
      </w:pPr>
      <w:r>
        <w:rPr>
          <w:rFonts w:hint="eastAsia"/>
          <w:b/>
          <w:color w:val="auto"/>
          <w:sz w:val="24"/>
          <w:highlight w:val="none"/>
        </w:rPr>
        <w:t>（6）其他：</w:t>
      </w:r>
      <w:r>
        <w:rPr>
          <w:rFonts w:hint="eastAsia"/>
          <w:b/>
          <w:color w:val="auto"/>
          <w:sz w:val="24"/>
          <w:highlight w:val="none"/>
          <w:u w:val="none"/>
        </w:rPr>
        <w:t>A.施工组织措施费用、</w:t>
      </w:r>
      <w:r>
        <w:rPr>
          <w:rFonts w:hint="eastAsia" w:hAnsi="宋体" w:cs="宋体"/>
          <w:b/>
          <w:color w:val="auto"/>
          <w:sz w:val="24"/>
          <w:szCs w:val="24"/>
          <w:highlight w:val="none"/>
          <w:u w:val="none"/>
        </w:rPr>
        <w:t>以“项”为计量单位的</w:t>
      </w:r>
      <w:r>
        <w:rPr>
          <w:rFonts w:hint="eastAsia" w:hAnsi="宋体" w:cs="宋体"/>
          <w:b/>
          <w:color w:val="auto"/>
          <w:sz w:val="24"/>
          <w:szCs w:val="24"/>
          <w:highlight w:val="none"/>
          <w:u w:val="none"/>
          <w:lang w:val="en-US" w:eastAsia="zh-CN"/>
        </w:rPr>
        <w:t>施工</w:t>
      </w:r>
      <w:r>
        <w:rPr>
          <w:rFonts w:hint="eastAsia"/>
          <w:b/>
          <w:color w:val="auto"/>
          <w:sz w:val="24"/>
          <w:highlight w:val="none"/>
          <w:u w:val="none"/>
        </w:rPr>
        <w:t>技术措施费用按中标价包干，不因工程变更而调整。如有甩项工程，发包人将对措施费用按上述方法予以扣除。</w:t>
      </w:r>
    </w:p>
    <w:p>
      <w:pPr>
        <w:autoSpaceDE w:val="0"/>
        <w:autoSpaceDN w:val="0"/>
        <w:spacing w:line="380" w:lineRule="exact"/>
        <w:ind w:firstLine="356"/>
        <w:jc w:val="left"/>
        <w:rPr>
          <w:rFonts w:hint="eastAsia"/>
          <w:b/>
          <w:color w:val="auto"/>
          <w:sz w:val="24"/>
          <w:highlight w:val="none"/>
          <w:u w:val="none"/>
        </w:rPr>
      </w:pPr>
      <w:r>
        <w:rPr>
          <w:rFonts w:hint="eastAsia"/>
          <w:b/>
          <w:color w:val="auto"/>
          <w:sz w:val="24"/>
          <w:highlight w:val="none"/>
          <w:u w:val="none"/>
        </w:rPr>
        <w:t>B.若有邻近建筑物、构筑物、文物保护点、古树名木等的保护的，招标时已明确的，其相关费用计入报价，包干使用。实施过程中新发现的，其保护费用按（1） -（4）口径计算。</w:t>
      </w:r>
    </w:p>
    <w:p>
      <w:pPr>
        <w:autoSpaceDE w:val="0"/>
        <w:autoSpaceDN w:val="0"/>
        <w:spacing w:line="380" w:lineRule="exact"/>
        <w:ind w:firstLine="356"/>
        <w:jc w:val="left"/>
        <w:rPr>
          <w:rFonts w:hint="eastAsia"/>
          <w:b/>
          <w:color w:val="auto"/>
          <w:sz w:val="24"/>
          <w:highlight w:val="none"/>
          <w:u w:val="none"/>
        </w:rPr>
      </w:pPr>
      <w:r>
        <w:rPr>
          <w:rFonts w:hint="eastAsia"/>
          <w:b/>
          <w:color w:val="auto"/>
          <w:sz w:val="24"/>
          <w:highlight w:val="none"/>
          <w:u w:val="none"/>
        </w:rPr>
        <w:t>注：上述价格的调整若在评标时已修正的按修正价结算。</w:t>
      </w:r>
    </w:p>
    <w:p>
      <w:pPr>
        <w:autoSpaceDE w:val="0"/>
        <w:autoSpaceDN w:val="0"/>
        <w:spacing w:line="380" w:lineRule="exact"/>
        <w:ind w:firstLine="356"/>
        <w:jc w:val="left"/>
        <w:rPr>
          <w:rFonts w:hAnsi="宋体"/>
          <w:color w:val="auto"/>
          <w:sz w:val="24"/>
          <w:highlight w:val="none"/>
        </w:rPr>
      </w:pPr>
      <w:r>
        <w:rPr>
          <w:rFonts w:hAnsi="宋体"/>
          <w:color w:val="auto"/>
          <w:sz w:val="24"/>
          <w:highlight w:val="none"/>
        </w:rPr>
        <w:t>1</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Start w:id="697" w:name="_Toc297123544"/>
      <w:bookmarkStart w:id="698" w:name="_Toc296891025"/>
      <w:bookmarkStart w:id="699" w:name="_Toc303539150"/>
      <w:bookmarkStart w:id="700" w:name="_Toc300934993"/>
      <w:bookmarkStart w:id="701" w:name="_Toc292559402"/>
      <w:bookmarkStart w:id="702" w:name="_Toc296347196"/>
      <w:bookmarkStart w:id="703" w:name="_Toc296944536"/>
      <w:bookmarkStart w:id="704" w:name="_Toc296891237"/>
      <w:bookmarkStart w:id="705" w:name="_Toc296346698"/>
      <w:bookmarkStart w:id="706" w:name="_Toc297216203"/>
      <w:bookmarkStart w:id="707" w:name="_Toc296503197"/>
      <w:bookmarkStart w:id="708" w:name="_Toc297120497"/>
      <w:bookmarkStart w:id="709" w:name="_Toc292559907"/>
      <w:bookmarkStart w:id="710" w:name="_Toc297048383"/>
      <w:bookmarkStart w:id="711" w:name="_Toc312678029"/>
      <w:bookmarkStart w:id="712" w:name="_Toc312677503"/>
      <w:bookmarkStart w:id="713" w:name="_Toc304295570"/>
      <w:r>
        <w:rPr>
          <w:rFonts w:hAnsi="宋体"/>
          <w:color w:val="auto"/>
          <w:sz w:val="24"/>
          <w:highlight w:val="none"/>
        </w:rPr>
        <w:t>0.5承</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Start w:id="714" w:name="_Toc297123545"/>
      <w:bookmarkStart w:id="715" w:name="_Toc296891243"/>
      <w:bookmarkStart w:id="716" w:name="_Toc296347202"/>
      <w:bookmarkStart w:id="717" w:name="_Toc292559408"/>
      <w:bookmarkStart w:id="718" w:name="_Toc297216204"/>
      <w:bookmarkStart w:id="719" w:name="_Toc292559913"/>
      <w:bookmarkStart w:id="720" w:name="_Toc296346704"/>
      <w:bookmarkStart w:id="721" w:name="_Toc303539151"/>
      <w:bookmarkStart w:id="722" w:name="_Toc296503203"/>
      <w:bookmarkStart w:id="723" w:name="_Toc300934994"/>
      <w:bookmarkStart w:id="724" w:name="_Toc297120503"/>
      <w:bookmarkStart w:id="725" w:name="_Toc296944542"/>
      <w:bookmarkStart w:id="726" w:name="_Toc296891031"/>
      <w:bookmarkStart w:id="727" w:name="_Toc297048389"/>
      <w:r>
        <w:rPr>
          <w:rFonts w:hAnsi="宋体"/>
          <w:color w:val="auto"/>
          <w:sz w:val="24"/>
          <w:highlight w:val="none"/>
        </w:rPr>
        <w:t>包人的合理化建议</w:t>
      </w:r>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Pr>
        <w:spacing w:line="440" w:lineRule="exact"/>
        <w:ind w:firstLine="480" w:firstLineChars="200"/>
        <w:rPr>
          <w:rFonts w:hAnsi="宋体"/>
          <w:color w:val="auto"/>
          <w:sz w:val="24"/>
          <w:highlight w:val="none"/>
        </w:rPr>
      </w:pPr>
      <w:r>
        <w:rPr>
          <w:rFonts w:hAnsi="宋体"/>
          <w:color w:val="auto"/>
          <w:sz w:val="24"/>
          <w:highlight w:val="none"/>
        </w:rPr>
        <w:t>监理人审查承包人合理化建议的期限：</w:t>
      </w:r>
      <w:r>
        <w:rPr>
          <w:rFonts w:hint="eastAsia" w:hAnsi="宋体"/>
          <w:color w:val="auto"/>
          <w:sz w:val="24"/>
          <w:highlight w:val="none"/>
          <w:u w:val="single"/>
        </w:rPr>
        <w:t>提交之日起7天内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发包人审批承包人合理化建议的期限：</w:t>
      </w:r>
      <w:r>
        <w:rPr>
          <w:rFonts w:hint="eastAsia" w:hAnsi="宋体"/>
          <w:color w:val="auto"/>
          <w:sz w:val="24"/>
          <w:highlight w:val="none"/>
          <w:u w:val="single"/>
        </w:rPr>
        <w:t>提交之日起7天内</w:t>
      </w:r>
      <w:r>
        <w:rPr>
          <w:rFonts w:hAnsi="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承</w:t>
      </w:r>
      <w:bookmarkStart w:id="728" w:name="_Toc296503204"/>
      <w:bookmarkStart w:id="729" w:name="_Toc303539152"/>
      <w:bookmarkStart w:id="730" w:name="_Toc296891244"/>
      <w:bookmarkStart w:id="731" w:name="_Toc296347203"/>
      <w:bookmarkStart w:id="732" w:name="_Toc292559914"/>
      <w:bookmarkStart w:id="733" w:name="_Toc297216205"/>
      <w:bookmarkStart w:id="734" w:name="_Toc304295571"/>
      <w:bookmarkStart w:id="735" w:name="_Toc296346705"/>
      <w:bookmarkStart w:id="736" w:name="_Toc296891032"/>
      <w:bookmarkStart w:id="737" w:name="_Toc297123546"/>
      <w:bookmarkStart w:id="738" w:name="_Toc318581175"/>
      <w:bookmarkStart w:id="739" w:name="_Toc297048390"/>
      <w:bookmarkStart w:id="740" w:name="_Toc312677504"/>
      <w:bookmarkStart w:id="741" w:name="_Toc292559409"/>
      <w:bookmarkStart w:id="742" w:name="_Toc312678030"/>
      <w:bookmarkStart w:id="743" w:name="_Toc296944543"/>
      <w:bookmarkStart w:id="744" w:name="_Toc297120504"/>
      <w:bookmarkStart w:id="745" w:name="_Toc300934995"/>
      <w:r>
        <w:rPr>
          <w:rFonts w:hAnsi="宋体"/>
          <w:color w:val="auto"/>
          <w:sz w:val="24"/>
          <w:highlight w:val="none"/>
        </w:rPr>
        <w:t>包人提出的合理化建议降低了合同价格或者提高了工程经济效益的奖励的方法和金额为：</w:t>
      </w:r>
      <w:r>
        <w:rPr>
          <w:rFonts w:hint="eastAsia" w:hAnsi="宋体"/>
          <w:color w:val="auto"/>
          <w:sz w:val="24"/>
          <w:highlight w:val="none"/>
          <w:u w:val="single"/>
        </w:rPr>
        <w:t>中标后双方协商</w:t>
      </w:r>
      <w:r>
        <w:rPr>
          <w:rFonts w:hAnsi="宋体"/>
          <w:color w:val="auto"/>
          <w:sz w:val="24"/>
          <w:highlight w:val="none"/>
        </w:rPr>
        <w:t>。</w:t>
      </w:r>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Pr>
        <w:spacing w:line="440" w:lineRule="exact"/>
        <w:ind w:firstLine="480" w:firstLineChars="200"/>
        <w:rPr>
          <w:rFonts w:hAnsi="宋体"/>
          <w:color w:val="auto"/>
          <w:sz w:val="24"/>
          <w:highlight w:val="none"/>
        </w:rPr>
      </w:pPr>
      <w:r>
        <w:rPr>
          <w:rFonts w:hAnsi="宋体"/>
          <w:color w:val="auto"/>
          <w:sz w:val="24"/>
          <w:highlight w:val="none"/>
        </w:rPr>
        <w:t>1</w:t>
      </w:r>
      <w:bookmarkStart w:id="746" w:name="_Toc303539154"/>
      <w:bookmarkStart w:id="747" w:name="_Toc297120499"/>
      <w:bookmarkStart w:id="748" w:name="_Toc312678033"/>
      <w:bookmarkStart w:id="749" w:name="_Toc297216207"/>
      <w:bookmarkStart w:id="750" w:name="_Toc297123548"/>
      <w:bookmarkStart w:id="751" w:name="_Toc297048385"/>
      <w:bookmarkStart w:id="752" w:name="_Toc304295574"/>
      <w:bookmarkStart w:id="753" w:name="_Toc300934997"/>
      <w:bookmarkStart w:id="754" w:name="_Toc296944538"/>
      <w:bookmarkStart w:id="755" w:name="_Toc296346700"/>
      <w:bookmarkStart w:id="756" w:name="_Toc296347198"/>
      <w:bookmarkStart w:id="757" w:name="_Toc296891239"/>
      <w:bookmarkStart w:id="758" w:name="_Toc312677507"/>
      <w:bookmarkStart w:id="759" w:name="_Toc292559909"/>
      <w:bookmarkStart w:id="760" w:name="_Toc296891027"/>
      <w:bookmarkStart w:id="761" w:name="_Toc296503199"/>
      <w:bookmarkStart w:id="762" w:name="_Toc292559404"/>
      <w:r>
        <w:rPr>
          <w:rFonts w:hAnsi="宋体"/>
          <w:color w:val="auto"/>
          <w:sz w:val="24"/>
          <w:highlight w:val="none"/>
        </w:rPr>
        <w:t>0.7 暂估价</w:t>
      </w:r>
    </w:p>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Pr>
        <w:spacing w:line="440" w:lineRule="exact"/>
        <w:ind w:firstLine="480" w:firstLineChars="200"/>
        <w:rPr>
          <w:rFonts w:hint="eastAsia" w:hAnsi="宋体"/>
          <w:color w:val="auto"/>
          <w:kern w:val="0"/>
          <w:sz w:val="24"/>
          <w:highlight w:val="none"/>
          <w:lang w:val="en-US" w:eastAsia="zh-CN"/>
        </w:rPr>
      </w:pPr>
      <w:r>
        <w:rPr>
          <w:rFonts w:hint="eastAsia" w:hAnsi="宋体"/>
          <w:color w:val="auto"/>
          <w:kern w:val="0"/>
          <w:sz w:val="24"/>
          <w:highlight w:val="none"/>
          <w:lang w:val="en-US" w:eastAsia="zh-CN"/>
        </w:rPr>
        <w:t>本项目无暂估价项目。</w:t>
      </w:r>
    </w:p>
    <w:p>
      <w:pPr>
        <w:spacing w:line="440" w:lineRule="exact"/>
        <w:ind w:firstLine="480" w:firstLineChars="200"/>
        <w:rPr>
          <w:rFonts w:hAnsi="宋体"/>
          <w:color w:val="auto"/>
          <w:sz w:val="24"/>
          <w:highlight w:val="none"/>
        </w:rPr>
      </w:pPr>
      <w:r>
        <w:rPr>
          <w:rFonts w:hAnsi="宋体"/>
          <w:color w:val="auto"/>
          <w:sz w:val="24"/>
          <w:highlight w:val="none"/>
        </w:rPr>
        <w:t>10.8 暂列金额</w:t>
      </w:r>
    </w:p>
    <w:p>
      <w:pPr>
        <w:autoSpaceDE w:val="0"/>
        <w:autoSpaceDN w:val="0"/>
        <w:adjustRightInd w:val="0"/>
        <w:spacing w:line="440" w:lineRule="exact"/>
        <w:ind w:firstLine="480" w:firstLineChars="200"/>
        <w:rPr>
          <w:rFonts w:hAnsi="宋体"/>
          <w:b/>
          <w:color w:val="auto"/>
          <w:sz w:val="24"/>
          <w:highlight w:val="none"/>
          <w:u w:val="single"/>
        </w:rPr>
      </w:pPr>
      <w:r>
        <w:rPr>
          <w:rFonts w:hint="eastAsia" w:hAnsi="宋体"/>
          <w:color w:val="auto"/>
          <w:kern w:val="0"/>
          <w:sz w:val="24"/>
          <w:highlight w:val="none"/>
        </w:rPr>
        <w:t>合同当事人关于暂列金额使用的约定：</w:t>
      </w:r>
      <w:bookmarkStart w:id="763" w:name="_Toc351203643"/>
      <w:r>
        <w:rPr>
          <w:rFonts w:hint="eastAsia" w:hAnsi="宋体"/>
          <w:b/>
          <w:bCs/>
          <w:color w:val="auto"/>
          <w:sz w:val="24"/>
          <w:highlight w:val="none"/>
          <w:u w:val="single"/>
          <w:lang w:val="en-US" w:eastAsia="zh-CN"/>
        </w:rPr>
        <w:t>/</w:t>
      </w:r>
      <w:r>
        <w:rPr>
          <w:rFonts w:hint="eastAsia" w:hAnsi="宋体"/>
          <w:b/>
          <w:color w:val="auto"/>
          <w:sz w:val="24"/>
          <w:highlight w:val="none"/>
          <w:u w:val="single"/>
        </w:rPr>
        <w:t>。</w:t>
      </w:r>
    </w:p>
    <w:p>
      <w:pPr>
        <w:spacing w:line="440" w:lineRule="exact"/>
        <w:ind w:firstLine="480" w:firstLineChars="200"/>
        <w:rPr>
          <w:color w:val="auto"/>
          <w:sz w:val="24"/>
          <w:highlight w:val="none"/>
        </w:rPr>
      </w:pPr>
      <w:r>
        <w:rPr>
          <w:color w:val="auto"/>
          <w:sz w:val="24"/>
          <w:highlight w:val="none"/>
        </w:rPr>
        <w:t>11. 价格调整</w:t>
      </w:r>
      <w:bookmarkEnd w:id="763"/>
    </w:p>
    <w:bookmarkEnd w:id="690"/>
    <w:bookmarkEnd w:id="691"/>
    <w:bookmarkEnd w:id="692"/>
    <w:bookmarkEnd w:id="693"/>
    <w:bookmarkEnd w:id="694"/>
    <w:bookmarkEnd w:id="695"/>
    <w:p>
      <w:pPr>
        <w:spacing w:line="440" w:lineRule="exact"/>
        <w:ind w:firstLine="480" w:firstLineChars="200"/>
        <w:rPr>
          <w:rFonts w:hAnsi="宋体"/>
          <w:color w:val="auto"/>
          <w:sz w:val="24"/>
          <w:highlight w:val="none"/>
        </w:rPr>
      </w:pPr>
      <w:bookmarkStart w:id="764" w:name="_Toc304295577"/>
      <w:bookmarkStart w:id="765" w:name="_Toc297216209"/>
      <w:bookmarkStart w:id="766" w:name="_Toc296347200"/>
      <w:bookmarkStart w:id="767" w:name="_Toc296891029"/>
      <w:bookmarkStart w:id="768" w:name="_Toc300935000"/>
      <w:bookmarkStart w:id="769" w:name="_Toc296346702"/>
      <w:bookmarkStart w:id="770" w:name="_Toc297123550"/>
      <w:bookmarkStart w:id="771" w:name="_Toc297048387"/>
      <w:bookmarkStart w:id="772" w:name="_Toc296944540"/>
      <w:bookmarkStart w:id="773" w:name="_Toc292559911"/>
      <w:bookmarkStart w:id="774" w:name="_Toc297120501"/>
      <w:bookmarkStart w:id="775" w:name="_Toc296503201"/>
      <w:bookmarkStart w:id="776" w:name="_Toc296891241"/>
      <w:bookmarkStart w:id="777" w:name="_Toc292559406"/>
      <w:bookmarkStart w:id="778" w:name="_Toc303539157"/>
      <w:bookmarkStart w:id="779" w:name="_Toc312678039"/>
      <w:bookmarkStart w:id="780" w:name="_Toc296944544"/>
      <w:bookmarkStart w:id="781" w:name="_Toc297120505"/>
      <w:bookmarkStart w:id="782" w:name="_Toc296346706"/>
      <w:bookmarkStart w:id="783" w:name="_Toc296503205"/>
      <w:bookmarkStart w:id="784" w:name="_Toc296891033"/>
      <w:bookmarkStart w:id="785" w:name="_Toc296891245"/>
      <w:bookmarkStart w:id="786" w:name="_Toc296347204"/>
      <w:bookmarkStart w:id="787" w:name="_Toc297048391"/>
      <w:bookmarkStart w:id="788" w:name="_Toc292559410"/>
      <w:bookmarkStart w:id="789" w:name="_Toc292559915"/>
      <w:bookmarkStart w:id="790" w:name="_Toc351203644"/>
      <w:bookmarkStart w:id="791" w:name="_Toc304295579"/>
      <w:bookmarkStart w:id="792" w:name="_Toc297216211"/>
      <w:bookmarkStart w:id="793" w:name="_Toc300935002"/>
      <w:bookmarkStart w:id="794" w:name="_Toc303539159"/>
      <w:bookmarkStart w:id="795" w:name="_Toc312678040"/>
      <w:bookmarkStart w:id="796" w:name="_Toc297123552"/>
      <w:r>
        <w:rPr>
          <w:rFonts w:hAnsi="宋体"/>
          <w:color w:val="auto"/>
          <w:sz w:val="24"/>
          <w:highlight w:val="none"/>
        </w:rPr>
        <w:t>11.1 市场价格波动引起的调整</w:t>
      </w:r>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spacing w:line="440" w:lineRule="exact"/>
        <w:ind w:firstLine="480" w:firstLineChars="200"/>
        <w:rPr>
          <w:rFonts w:hAnsi="宋体"/>
          <w:color w:val="auto"/>
          <w:sz w:val="24"/>
          <w:highlight w:val="none"/>
        </w:rPr>
      </w:pPr>
      <w:r>
        <w:rPr>
          <w:rFonts w:hAnsi="宋体"/>
          <w:color w:val="auto"/>
          <w:kern w:val="0"/>
          <w:sz w:val="24"/>
          <w:highlight w:val="none"/>
        </w:rPr>
        <w:t>市场价格波动是否调整合同价格的约定：</w:t>
      </w:r>
      <w:r>
        <w:rPr>
          <w:rFonts w:hint="eastAsia" w:hAnsi="宋体"/>
          <w:color w:val="auto"/>
          <w:kern w:val="0"/>
          <w:sz w:val="24"/>
          <w:highlight w:val="none"/>
        </w:rPr>
        <w:t>不调整</w:t>
      </w:r>
      <w:r>
        <w:rPr>
          <w:rFonts w:hAnsi="宋体"/>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12. </w:t>
      </w:r>
      <w:bookmarkEnd w:id="780"/>
      <w:bookmarkEnd w:id="781"/>
      <w:bookmarkEnd w:id="782"/>
      <w:bookmarkEnd w:id="783"/>
      <w:bookmarkEnd w:id="784"/>
      <w:bookmarkEnd w:id="785"/>
      <w:bookmarkEnd w:id="786"/>
      <w:bookmarkEnd w:id="787"/>
      <w:bookmarkEnd w:id="788"/>
      <w:bookmarkEnd w:id="789"/>
      <w:r>
        <w:rPr>
          <w:color w:val="auto"/>
          <w:sz w:val="24"/>
          <w:highlight w:val="none"/>
        </w:rPr>
        <w:t>合同价格、计量与支付</w:t>
      </w:r>
      <w:bookmarkEnd w:id="790"/>
    </w:p>
    <w:bookmarkEnd w:id="791"/>
    <w:bookmarkEnd w:id="792"/>
    <w:bookmarkEnd w:id="793"/>
    <w:bookmarkEnd w:id="794"/>
    <w:bookmarkEnd w:id="795"/>
    <w:bookmarkEnd w:id="796"/>
    <w:p>
      <w:pPr>
        <w:spacing w:line="440" w:lineRule="exact"/>
        <w:ind w:firstLine="480" w:firstLineChars="200"/>
        <w:rPr>
          <w:rFonts w:hAnsi="宋体"/>
          <w:color w:val="auto"/>
          <w:sz w:val="24"/>
          <w:highlight w:val="none"/>
        </w:rPr>
      </w:pPr>
      <w:bookmarkStart w:id="797" w:name="_Toc267251461"/>
      <w:bookmarkStart w:id="798" w:name="_Toc292559411"/>
      <w:bookmarkStart w:id="799" w:name="_Toc292559916"/>
      <w:bookmarkStart w:id="800" w:name="_Toc297048392"/>
      <w:bookmarkStart w:id="801" w:name="_Toc297120506"/>
      <w:bookmarkStart w:id="802" w:name="_Toc296346707"/>
      <w:bookmarkStart w:id="803" w:name="_Toc296944545"/>
      <w:bookmarkStart w:id="804" w:name="_Toc296891246"/>
      <w:bookmarkStart w:id="805" w:name="_Toc296347205"/>
      <w:bookmarkStart w:id="806" w:name="_Toc296503206"/>
      <w:bookmarkStart w:id="807" w:name="_Toc296891034"/>
      <w:bookmarkStart w:id="808" w:name="_Toc297216212"/>
      <w:bookmarkStart w:id="809" w:name="_Toc303539160"/>
      <w:bookmarkStart w:id="810" w:name="_Toc297123553"/>
      <w:bookmarkStart w:id="811" w:name="_Toc300935003"/>
      <w:bookmarkStart w:id="812" w:name="_Toc312678041"/>
      <w:bookmarkStart w:id="813" w:name="_Toc304295580"/>
      <w:r>
        <w:rPr>
          <w:rFonts w:hAnsi="宋体"/>
          <w:color w:val="auto"/>
          <w:sz w:val="24"/>
          <w:highlight w:val="none"/>
        </w:rPr>
        <w:t>12.1 合</w:t>
      </w:r>
      <w:bookmarkEnd w:id="797"/>
      <w:bookmarkEnd w:id="798"/>
      <w:bookmarkEnd w:id="799"/>
      <w:r>
        <w:rPr>
          <w:rFonts w:hAnsi="宋体"/>
          <w:color w:val="auto"/>
          <w:sz w:val="24"/>
          <w:highlight w:val="none"/>
        </w:rPr>
        <w:t>同价</w:t>
      </w:r>
      <w:bookmarkEnd w:id="800"/>
      <w:bookmarkEnd w:id="801"/>
      <w:bookmarkEnd w:id="802"/>
      <w:bookmarkEnd w:id="803"/>
      <w:bookmarkEnd w:id="804"/>
      <w:bookmarkEnd w:id="805"/>
      <w:bookmarkEnd w:id="806"/>
      <w:bookmarkEnd w:id="807"/>
      <w:r>
        <w:rPr>
          <w:rFonts w:hAnsi="宋体"/>
          <w:color w:val="auto"/>
          <w:sz w:val="24"/>
          <w:highlight w:val="none"/>
        </w:rPr>
        <w:t>格形式</w:t>
      </w:r>
    </w:p>
    <w:bookmarkEnd w:id="808"/>
    <w:bookmarkEnd w:id="809"/>
    <w:bookmarkEnd w:id="810"/>
    <w:bookmarkEnd w:id="811"/>
    <w:bookmarkEnd w:id="812"/>
    <w:bookmarkEnd w:id="813"/>
    <w:p>
      <w:pPr>
        <w:spacing w:line="440" w:lineRule="exact"/>
        <w:ind w:firstLine="480" w:firstLineChars="200"/>
        <w:rPr>
          <w:rFonts w:hint="eastAsia" w:hAnsi="宋体"/>
          <w:color w:val="auto"/>
          <w:sz w:val="24"/>
          <w:highlight w:val="none"/>
          <w:u w:val="single"/>
        </w:rPr>
      </w:pPr>
      <w:r>
        <w:rPr>
          <w:rFonts w:hAnsi="宋体"/>
          <w:color w:val="auto"/>
          <w:sz w:val="24"/>
          <w:highlight w:val="none"/>
        </w:rPr>
        <w:t>1、</w:t>
      </w:r>
      <w:r>
        <w:rPr>
          <w:rFonts w:hint="eastAsia" w:hAnsi="宋体"/>
          <w:color w:val="auto"/>
          <w:sz w:val="24"/>
          <w:highlight w:val="none"/>
        </w:rPr>
        <w:t>单价合同</w:t>
      </w:r>
      <w:r>
        <w:rPr>
          <w:rFonts w:hint="eastAsia"/>
          <w:color w:val="auto"/>
          <w:sz w:val="24"/>
          <w:highlight w:val="none"/>
          <w:u w:val="single"/>
        </w:rPr>
        <w:t>（合同约定可调的除外）</w:t>
      </w:r>
      <w:r>
        <w:rPr>
          <w:rFonts w:hint="eastAsia" w:hAnsi="宋体"/>
          <w:color w:val="auto"/>
          <w:sz w:val="24"/>
          <w:highlight w:val="none"/>
        </w:rPr>
        <w:t>。</w:t>
      </w:r>
      <w:r>
        <w:rPr>
          <w:rFonts w:hint="eastAsia" w:hAnsi="宋体"/>
          <w:color w:val="auto"/>
          <w:sz w:val="24"/>
          <w:highlight w:val="none"/>
          <w:u w:val="single"/>
        </w:rPr>
        <w:t>工程竣工后，工程量按经监理和招标人签证后的实测实量联系单、施工图和设计变更单按实结算。</w:t>
      </w:r>
    </w:p>
    <w:p>
      <w:pPr>
        <w:spacing w:line="440" w:lineRule="exact"/>
        <w:ind w:firstLine="480" w:firstLineChars="200"/>
        <w:rPr>
          <w:rFonts w:hint="eastAsia" w:hAnsi="宋体" w:cs="宋体"/>
          <w:b/>
          <w:color w:val="auto"/>
          <w:sz w:val="24"/>
          <w:highlight w:val="none"/>
          <w:u w:val="single"/>
        </w:rPr>
      </w:pPr>
      <w:r>
        <w:rPr>
          <w:rFonts w:hAnsi="宋体"/>
          <w:color w:val="auto"/>
          <w:sz w:val="24"/>
          <w:highlight w:val="none"/>
        </w:rPr>
        <w:t>综合单价包含的风险范围：</w:t>
      </w:r>
      <w:r>
        <w:rPr>
          <w:rFonts w:hint="eastAsia" w:hAnsi="宋体"/>
          <w:b/>
          <w:color w:val="auto"/>
          <w:sz w:val="24"/>
          <w:highlight w:val="none"/>
          <w:u w:val="single"/>
        </w:rPr>
        <w:t>①投标时漏项、少计的工程内容（不包括招标人提供的工程量本身的漏项、少计内容）； ②合同执行期内材料价格、人工工资上涨的风险因素，施工临时停电、停水造成的连续8小时以内的停工； ③合同执行期内，因客观原因造成停工、窝工； ④合同执行期内可能发生的其他费用 ，包括市政、市容、卫生、环保、治安等； ⑤组织措施费、</w:t>
      </w:r>
      <w:r>
        <w:rPr>
          <w:rFonts w:hint="eastAsia" w:hAnsi="宋体"/>
          <w:b/>
          <w:bCs/>
          <w:color w:val="auto"/>
          <w:sz w:val="24"/>
          <w:szCs w:val="24"/>
          <w:highlight w:val="none"/>
          <w:u w:val="single"/>
        </w:rPr>
        <w:t>以“项”为计量单位的施工</w:t>
      </w:r>
      <w:r>
        <w:rPr>
          <w:rFonts w:hint="eastAsia" w:hAnsi="宋体"/>
          <w:b/>
          <w:color w:val="auto"/>
          <w:sz w:val="24"/>
          <w:highlight w:val="none"/>
          <w:u w:val="single"/>
        </w:rPr>
        <w:t>技术措施费实行投标价一次性包干；⑥工程实施中属于招标文件和本合同约定需要投标报价和合同包干风险范围内应考虑的费用，虽经发包人现场签证认可，在工程结算时可认定该签证无效；⑦工程量计算规则未描述到的但又是完成分项工程必须有的工作内容，均应包括在内；</w:t>
      </w:r>
      <w:r>
        <w:rPr>
          <w:rFonts w:hint="eastAsia" w:hAnsi="宋体" w:cs="宋体"/>
          <w:b/>
          <w:color w:val="auto"/>
          <w:sz w:val="24"/>
          <w:highlight w:val="none"/>
          <w:u w:val="single"/>
        </w:rPr>
        <w:t>⑧施工场地的围护、运输保洁费，由于停电、停水造成的增加费用，附近居民因施工不便应增加的设施或便道等增加的各类费用。</w:t>
      </w:r>
    </w:p>
    <w:p>
      <w:pPr>
        <w:spacing w:line="440" w:lineRule="exact"/>
        <w:ind w:firstLine="480" w:firstLineChars="200"/>
        <w:rPr>
          <w:rFonts w:hAnsi="宋体"/>
          <w:color w:val="auto"/>
          <w:sz w:val="24"/>
          <w:highlight w:val="none"/>
        </w:rPr>
      </w:pPr>
      <w:r>
        <w:rPr>
          <w:rFonts w:hAnsi="宋体"/>
          <w:color w:val="auto"/>
          <w:sz w:val="24"/>
          <w:highlight w:val="none"/>
        </w:rPr>
        <w:t>风险费用的计算方法：</w:t>
      </w:r>
      <w:r>
        <w:rPr>
          <w:rFonts w:hint="eastAsia" w:hAnsi="宋体"/>
          <w:color w:val="auto"/>
          <w:sz w:val="24"/>
          <w:highlight w:val="none"/>
          <w:u w:val="single"/>
        </w:rPr>
        <w:t>已考虑在投标报价范围内</w:t>
      </w:r>
      <w:r>
        <w:rPr>
          <w:rFonts w:hint="eastAsia"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风险范围以外合同价格的调整方法：</w:t>
      </w:r>
      <w:bookmarkStart w:id="814" w:name="_Toc297216213"/>
      <w:bookmarkStart w:id="815" w:name="_Toc300935004"/>
      <w:bookmarkStart w:id="816" w:name="_Toc303539161"/>
      <w:bookmarkStart w:id="817" w:name="_Toc297123554"/>
      <w:bookmarkStart w:id="818" w:name="_Toc304295581"/>
      <w:bookmarkStart w:id="819" w:name="_Toc312678042"/>
      <w:bookmarkStart w:id="820" w:name="_Toc292559917"/>
      <w:bookmarkStart w:id="821" w:name="_Toc297048393"/>
      <w:bookmarkStart w:id="822" w:name="_Toc296891247"/>
      <w:bookmarkStart w:id="823" w:name="_Toc296503207"/>
      <w:bookmarkStart w:id="824" w:name="_Toc292559412"/>
      <w:bookmarkStart w:id="825" w:name="_Toc297120507"/>
      <w:bookmarkStart w:id="826" w:name="_Toc296944546"/>
      <w:bookmarkStart w:id="827" w:name="_Toc296346708"/>
      <w:bookmarkStart w:id="828" w:name="_Toc296891035"/>
      <w:bookmarkStart w:id="829" w:name="_Toc296347206"/>
      <w:r>
        <w:rPr>
          <w:rFonts w:hint="eastAsia" w:hAnsi="宋体"/>
          <w:color w:val="auto"/>
          <w:sz w:val="24"/>
          <w:highlight w:val="none"/>
          <w:u w:val="single"/>
        </w:rPr>
        <w:t>（1）结算时的工程量（分部分项工程量及技术措施项目工程量）按双方在合同中约定应予计量且实际完成的工程量进行最终确定，计算规则按招标文件以及现行的《建设工程工程量清单计价规范（GB50500-2013）》、《浙江省建设工程计价规则（2018版）》、《浙江省建筑与装饰工程预算定额（2018版）》、《浙江省通用安装工程预算定额（2018版）》、《浙江省市政工程预算定额（2018版）》、浙江省建设施工机械台班费用参考定额（2018版）》及相应的补充内容和文件执行，承包人投标时承诺的综合单价</w:t>
      </w:r>
      <w:r>
        <w:rPr>
          <w:rFonts w:hint="eastAsia" w:hAnsi="宋体"/>
          <w:b/>
          <w:color w:val="auto"/>
          <w:sz w:val="24"/>
          <w:highlight w:val="none"/>
          <w:u w:val="single"/>
        </w:rPr>
        <w:t>（该综合单价为</w:t>
      </w:r>
      <w:r>
        <w:rPr>
          <w:rFonts w:hint="eastAsia"/>
          <w:b/>
          <w:color w:val="auto"/>
          <w:sz w:val="24"/>
          <w:highlight w:val="none"/>
          <w:u w:val="single"/>
        </w:rPr>
        <w:t>最终总价与初次投标总价下浮比例同比例下浮后的综合单价为准</w:t>
      </w:r>
      <w:r>
        <w:rPr>
          <w:rFonts w:hint="eastAsia" w:hAnsi="宋体"/>
          <w:b/>
          <w:color w:val="auto"/>
          <w:sz w:val="24"/>
          <w:highlight w:val="none"/>
          <w:u w:val="single"/>
        </w:rPr>
        <w:t>）</w:t>
      </w:r>
      <w:r>
        <w:rPr>
          <w:rFonts w:hint="eastAsia" w:hAnsi="宋体"/>
          <w:color w:val="auto"/>
          <w:sz w:val="24"/>
          <w:highlight w:val="none"/>
          <w:u w:val="single"/>
        </w:rPr>
        <w:t>一次性包干（合同约定可调的除外）；</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2）经发包人确认的设计变更、发包人的修改要求而引起的工程量清单的项目调整或数量调整，其工程量按招标文件以及《浙江省建筑工程量清单指引》规定的工程量计算规则进行计算，工程项目综合单价按下列方法确定：</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A、工程量按联系单在规定范围内按实结算。对承包人超出施工设计图纸（含施工图纸的设计变更）范围和因承包人原因造成返工的工程量，发包人不予计算。</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B、单价或费用的计算口径：①投标书中有相同项目的，参照相同项目价格结算；②投标书中有类似项目的，参照类似项目价格结算；③投标书中没有相同或类似项目的，参照以下方式结算：（a）有相应定额套用的按照浙江省 2018 版相应专业预算定额及工程实施当月杭州市造价信息（正刊）、浙江造价信息（正刊）及 2018 版浙江省施工取费定额中值组价后，按最终总价与审核预算总价下浮比例同比例下浮结算；（b）无相应定额套用的按照市场价格并参照最终中标总价与审核预算总价下浮比例同比例下浮结算，由承包人根据市场行情组价后上报发包人。招标时为暂定的材料（设备）价格和由于发包人提出对已定品牌、型号及规格的材料（设备）进行变更的，新增加的材料（设备）的价格如投标函中有的，按投标函中价格计入；投标函中没有的，按招标控制价编制月份造价信息（正刊）中的价格并按最终中标总价与审核预算总价下浮比例同比例下浮后计入；投标函中没有，造价信息（正刊）中也没有的价格，按发包人按发包人签证价计入；实行签证价的项目已含下浮部分；④如投标单价明显高于市场价格水平的单价，应结合市场报价水平由双方另行确定，其相应单价按投标口径的组价原则及总价优惠幅度确定；⑤由于清单项目中项目特征或工程内容发生部分变更的，应以原综合单价为基础，仅计算变更部分相应定额子目，调整综合单价；若项目特征描述中材料发生变化的（包括砼标号变化），价格调差参照本合同有关条款执行。</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（3）甲定乙供材料：按发包人提供的甲定乙供材料清单表中的品牌、规格、型号、质次等由承包人自行报价，结算时不作调整。</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4）承包人应是根据发包人提供的工程量清单和施工图进行报价的，并对工程量清单（包括项目、项目特征描述、数量）和施工图不一致处进行了答疑，若在今后（施工中）出现类似问题将按有利于发包人利益原则处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5）为保障项目顺利实施，确保工程质量，承包人的报价不得出现不平衡报价。若在评标时未予发现，而在中标后或施工中发现的，在总价不变的前提下，发包人有权要求承包人进行调整，并按有利于发包人利益原则处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（6）承包人应在投标时自行考虑施工中可能发生的施工场地、围护、管理、相互协作费用和责任。</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（7）不可抗力事件引起的合同价款变更按通用条款执行。</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（8）承包人报审的结算应按临安区政府投资建设管理办法有关规定执行，如发生高估冒算的审计费由承包人承担。</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（9）法律、行政法规和国家有关政策变化及工程造价管理部门发布的文件影响合同价款时，如临安转发，按相关政策、文件精神协商执行。</w:t>
      </w:r>
    </w:p>
    <w:p>
      <w:pPr>
        <w:spacing w:line="440" w:lineRule="exact"/>
        <w:ind w:firstLine="480" w:firstLineChars="200"/>
        <w:rPr>
          <w:rFonts w:hAnsi="宋体"/>
          <w:color w:val="auto"/>
          <w:sz w:val="24"/>
          <w:highlight w:val="none"/>
        </w:rPr>
      </w:pPr>
      <w:r>
        <w:rPr>
          <w:rFonts w:hAnsi="宋体"/>
          <w:color w:val="auto"/>
          <w:sz w:val="24"/>
          <w:highlight w:val="none"/>
        </w:rPr>
        <w:t>12.2 预付款</w:t>
      </w:r>
    </w:p>
    <w:bookmarkEnd w:id="814"/>
    <w:bookmarkEnd w:id="815"/>
    <w:bookmarkEnd w:id="816"/>
    <w:bookmarkEnd w:id="817"/>
    <w:bookmarkEnd w:id="818"/>
    <w:bookmarkEnd w:id="819"/>
    <w:p>
      <w:pPr>
        <w:spacing w:line="440" w:lineRule="exact"/>
        <w:ind w:firstLine="480" w:firstLineChars="200"/>
        <w:rPr>
          <w:rFonts w:hAnsi="宋体"/>
          <w:color w:val="auto"/>
          <w:sz w:val="24"/>
          <w:highlight w:val="none"/>
        </w:rPr>
      </w:pPr>
      <w:r>
        <w:rPr>
          <w:rFonts w:hAnsi="宋体"/>
          <w:color w:val="auto"/>
          <w:sz w:val="24"/>
          <w:highlight w:val="none"/>
        </w:rPr>
        <w:t>12.2.1 预付款的支付</w:t>
      </w:r>
    </w:p>
    <w:p>
      <w:pPr>
        <w:spacing w:line="420" w:lineRule="exact"/>
        <w:ind w:firstLine="480" w:firstLineChars="200"/>
        <w:rPr>
          <w:rFonts w:hint="eastAsia" w:hAnsi="宋体" w:cs="宋体"/>
          <w:color w:val="auto"/>
          <w:sz w:val="24"/>
          <w:szCs w:val="22"/>
          <w:highlight w:val="none"/>
          <w:u w:val="single"/>
        </w:rPr>
      </w:pPr>
      <w:r>
        <w:rPr>
          <w:rFonts w:hint="eastAsia" w:hAnsi="宋体" w:cs="宋体"/>
          <w:color w:val="auto"/>
          <w:sz w:val="24"/>
          <w:highlight w:val="none"/>
        </w:rPr>
        <w:t>预付款支付比例或金额：</w:t>
      </w:r>
      <w:r>
        <w:rPr>
          <w:rFonts w:hint="eastAsia" w:hAnsi="宋体" w:cs="宋体"/>
          <w:color w:val="auto"/>
          <w:sz w:val="24"/>
          <w:szCs w:val="22"/>
          <w:highlight w:val="none"/>
          <w:u w:val="single"/>
          <w:lang w:val="en-US" w:eastAsia="zh-CN"/>
        </w:rPr>
        <w:t>不支付预付款</w:t>
      </w:r>
      <w:r>
        <w:rPr>
          <w:rFonts w:hint="eastAsia" w:hAnsi="宋体" w:cs="宋体"/>
          <w:color w:val="auto"/>
          <w:sz w:val="24"/>
          <w:szCs w:val="22"/>
          <w:highlight w:val="none"/>
          <w:u w:val="single"/>
        </w:rPr>
        <w:t>。</w:t>
      </w:r>
    </w:p>
    <w:p>
      <w:pPr>
        <w:spacing w:line="420" w:lineRule="exact"/>
        <w:ind w:firstLine="480" w:firstLineChars="200"/>
        <w:rPr>
          <w:rFonts w:hAnsi="宋体" w:cs="宋体"/>
          <w:color w:val="auto"/>
          <w:sz w:val="24"/>
          <w:highlight w:val="none"/>
        </w:rPr>
      </w:pPr>
      <w:r>
        <w:rPr>
          <w:rFonts w:hint="eastAsia" w:ascii="宋体" w:hAnsi="宋体" w:eastAsia="宋体" w:cs="宋体"/>
          <w:color w:val="auto"/>
          <w:sz w:val="24"/>
          <w:szCs w:val="24"/>
          <w:highlight w:val="none"/>
        </w:rPr>
        <w:t>工资预付款支付比例或金额：</w:t>
      </w:r>
      <w:r>
        <w:rPr>
          <w:rFonts w:hint="eastAsia" w:hAnsi="宋体" w:eastAsia="宋体" w:cs="宋体"/>
          <w:b/>
          <w:bCs/>
          <w:color w:val="auto"/>
          <w:sz w:val="24"/>
          <w:szCs w:val="22"/>
          <w:highlight w:val="none"/>
          <w:u w:val="single"/>
          <w:lang w:val="en-US" w:eastAsia="zh-CN"/>
        </w:rPr>
        <w:t>/</w:t>
      </w:r>
      <w:r>
        <w:rPr>
          <w:rFonts w:hint="eastAsia" w:hAnsi="宋体" w:cs="宋体"/>
          <w:color w:val="auto"/>
          <w:sz w:val="24"/>
          <w:highlight w:val="none"/>
        </w:rPr>
        <w:t>。</w:t>
      </w:r>
    </w:p>
    <w:p>
      <w:pPr>
        <w:spacing w:line="420" w:lineRule="exact"/>
        <w:ind w:firstLine="480" w:firstLineChars="200"/>
        <w:rPr>
          <w:rFonts w:hAnsi="宋体" w:cs="宋体"/>
          <w:color w:val="auto"/>
          <w:sz w:val="24"/>
          <w:highlight w:val="none"/>
        </w:rPr>
      </w:pPr>
      <w:r>
        <w:rPr>
          <w:rFonts w:hAnsi="宋体"/>
          <w:color w:val="auto"/>
          <w:sz w:val="24"/>
          <w:highlight w:val="none"/>
        </w:rPr>
        <w:t>预付款支付期限：</w:t>
      </w:r>
      <w:r>
        <w:rPr>
          <w:rFonts w:hint="eastAsia" w:hAnsi="宋体" w:cs="宋体"/>
          <w:color w:val="auto"/>
          <w:sz w:val="24"/>
          <w:highlight w:val="none"/>
          <w:u w:val="single"/>
          <w:lang w:val="en-US" w:eastAsia="zh-CN"/>
        </w:rPr>
        <w:t>/</w:t>
      </w:r>
      <w:r>
        <w:rPr>
          <w:rFonts w:hint="eastAsia" w:hAnsi="宋体" w:cs="宋体"/>
          <w:color w:val="auto"/>
          <w:sz w:val="24"/>
          <w:highlight w:val="none"/>
        </w:rPr>
        <w:t>。</w:t>
      </w:r>
    </w:p>
    <w:p>
      <w:pPr>
        <w:spacing w:line="420" w:lineRule="exact"/>
        <w:ind w:firstLine="480" w:firstLineChars="200"/>
        <w:rPr>
          <w:rFonts w:hAnsi="宋体" w:cs="宋体"/>
          <w:color w:val="auto"/>
          <w:sz w:val="24"/>
          <w:highlight w:val="none"/>
          <w:u w:val="single"/>
        </w:rPr>
      </w:pPr>
      <w:r>
        <w:rPr>
          <w:rFonts w:hAnsi="宋体"/>
          <w:color w:val="auto"/>
          <w:sz w:val="24"/>
          <w:highlight w:val="none"/>
        </w:rPr>
        <w:t>预付款扣回的方式：</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w:t>
      </w:r>
    </w:p>
    <w:p>
      <w:pPr>
        <w:spacing w:line="440" w:lineRule="exact"/>
        <w:ind w:firstLine="480" w:firstLineChars="200"/>
        <w:rPr>
          <w:rFonts w:hAnsi="宋体"/>
          <w:color w:val="auto"/>
          <w:sz w:val="24"/>
          <w:highlight w:val="none"/>
        </w:rPr>
      </w:pPr>
      <w:r>
        <w:rPr>
          <w:rFonts w:hAnsi="宋体"/>
          <w:color w:val="auto"/>
          <w:sz w:val="24"/>
          <w:highlight w:val="none"/>
        </w:rPr>
        <w:t>12.2.2 预付款担保</w:t>
      </w:r>
    </w:p>
    <w:bookmarkEnd w:id="820"/>
    <w:bookmarkEnd w:id="821"/>
    <w:bookmarkEnd w:id="822"/>
    <w:bookmarkEnd w:id="823"/>
    <w:bookmarkEnd w:id="824"/>
    <w:bookmarkEnd w:id="825"/>
    <w:bookmarkEnd w:id="826"/>
    <w:bookmarkEnd w:id="827"/>
    <w:bookmarkEnd w:id="828"/>
    <w:bookmarkEnd w:id="829"/>
    <w:p>
      <w:pPr>
        <w:spacing w:line="440" w:lineRule="exact"/>
        <w:ind w:firstLine="480" w:firstLineChars="200"/>
        <w:rPr>
          <w:rFonts w:hAnsi="宋体"/>
          <w:color w:val="auto"/>
          <w:sz w:val="24"/>
          <w:highlight w:val="none"/>
        </w:rPr>
      </w:pPr>
      <w:r>
        <w:rPr>
          <w:rFonts w:hAnsi="宋体"/>
          <w:color w:val="auto"/>
          <w:sz w:val="24"/>
          <w:highlight w:val="none"/>
        </w:rPr>
        <w:t>承包人提交预付款担保的期限：</w:t>
      </w:r>
      <w:r>
        <w:rPr>
          <w:rFonts w:hint="eastAsia" w:hAnsi="宋体" w:cs="宋体"/>
          <w:color w:val="auto"/>
          <w:sz w:val="24"/>
          <w:highlight w:val="none"/>
          <w:u w:val="single"/>
          <w:lang w:val="en-US" w:eastAsia="zh-CN"/>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预付款担保的形式为：</w:t>
      </w:r>
      <w:r>
        <w:rPr>
          <w:rFonts w:hint="eastAsia" w:hAnsi="宋体" w:cs="宋体"/>
          <w:color w:val="auto"/>
          <w:sz w:val="24"/>
          <w:highlight w:val="none"/>
          <w:u w:val="single"/>
          <w:lang w:val="en-US" w:eastAsia="zh-CN"/>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 计量</w:t>
      </w:r>
    </w:p>
    <w:p>
      <w:pPr>
        <w:spacing w:line="440" w:lineRule="exact"/>
        <w:ind w:firstLine="480" w:firstLineChars="200"/>
        <w:rPr>
          <w:rFonts w:hAnsi="宋体"/>
          <w:color w:val="auto"/>
          <w:sz w:val="24"/>
          <w:highlight w:val="none"/>
        </w:rPr>
      </w:pPr>
      <w:r>
        <w:rPr>
          <w:rFonts w:hAnsi="宋体"/>
          <w:color w:val="auto"/>
          <w:sz w:val="24"/>
          <w:highlight w:val="none"/>
        </w:rPr>
        <w:t>12.3.1 计量原则</w:t>
      </w:r>
    </w:p>
    <w:p>
      <w:pPr>
        <w:spacing w:line="440" w:lineRule="exact"/>
        <w:ind w:firstLine="480" w:firstLineChars="200"/>
        <w:rPr>
          <w:rFonts w:hAnsi="宋体" w:cs="宋体"/>
          <w:b/>
          <w:color w:val="auto"/>
          <w:sz w:val="24"/>
          <w:highlight w:val="none"/>
          <w:u w:val="single"/>
        </w:rPr>
      </w:pPr>
      <w:r>
        <w:rPr>
          <w:rFonts w:hAnsi="宋体"/>
          <w:color w:val="auto"/>
          <w:sz w:val="24"/>
          <w:highlight w:val="none"/>
        </w:rPr>
        <w:t>工程量计算规则：</w:t>
      </w:r>
      <w:r>
        <w:rPr>
          <w:rFonts w:hint="eastAsia" w:hAnsi="宋体" w:cs="宋体"/>
          <w:color w:val="auto"/>
          <w:sz w:val="24"/>
          <w:highlight w:val="none"/>
          <w:u w:val="single"/>
        </w:rPr>
        <w:t>本工程的工程量（分部分项工程量及技术措施项目工程量）按双方在合同中约定应予计量且实际完成的工程量进行最终确定，工程量依据现行的《建设工程工程量清单计价规范（GB50500-2013）》、《浙江省建设工程计价规则（2018版）》、</w:t>
      </w:r>
      <w:r>
        <w:rPr>
          <w:rFonts w:hint="eastAsia" w:hAnsi="宋体" w:cs="宋体"/>
          <w:b/>
          <w:color w:val="auto"/>
          <w:sz w:val="24"/>
          <w:highlight w:val="none"/>
          <w:u w:val="single"/>
        </w:rPr>
        <w:t>杭州市建设工程工程量清单实施细则（2018年修订）</w:t>
      </w:r>
      <w:r>
        <w:rPr>
          <w:rFonts w:hint="eastAsia" w:hAnsi="宋体" w:cs="宋体"/>
          <w:color w:val="auto"/>
          <w:sz w:val="24"/>
          <w:highlight w:val="none"/>
          <w:u w:val="single"/>
        </w:rPr>
        <w:t>计算规则计算。</w:t>
      </w:r>
    </w:p>
    <w:p>
      <w:pPr>
        <w:spacing w:line="440" w:lineRule="exact"/>
        <w:ind w:firstLine="480" w:firstLineChars="200"/>
        <w:rPr>
          <w:rFonts w:hAnsi="宋体"/>
          <w:color w:val="auto"/>
          <w:sz w:val="24"/>
          <w:highlight w:val="none"/>
        </w:rPr>
      </w:pPr>
      <w:r>
        <w:rPr>
          <w:rFonts w:hAnsi="宋体"/>
          <w:color w:val="auto"/>
          <w:sz w:val="24"/>
          <w:highlight w:val="none"/>
        </w:rPr>
        <w:t>12.3.2 计量周期</w:t>
      </w:r>
    </w:p>
    <w:p>
      <w:pPr>
        <w:spacing w:line="440" w:lineRule="exact"/>
        <w:ind w:firstLine="480" w:firstLineChars="200"/>
        <w:rPr>
          <w:rFonts w:hAnsi="宋体"/>
          <w:color w:val="auto"/>
          <w:sz w:val="24"/>
          <w:highlight w:val="none"/>
        </w:rPr>
      </w:pPr>
      <w:r>
        <w:rPr>
          <w:rFonts w:hAnsi="宋体"/>
          <w:color w:val="auto"/>
          <w:sz w:val="24"/>
          <w:highlight w:val="none"/>
        </w:rPr>
        <w:t>关于计量周期的约定：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hAnsi="宋体"/>
          <w:color w:val="auto"/>
          <w:kern w:val="0"/>
          <w:sz w:val="24"/>
          <w:highlight w:val="none"/>
          <w:u w:val="single"/>
        </w:rPr>
        <w:t>按通用条款规定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12.3.3 单价合同的计量</w:t>
      </w:r>
    </w:p>
    <w:p>
      <w:pPr>
        <w:tabs>
          <w:tab w:val="left" w:pos="360"/>
          <w:tab w:val="left" w:pos="540"/>
        </w:tabs>
        <w:spacing w:line="440" w:lineRule="exact"/>
        <w:ind w:firstLine="480" w:firstLineChars="200"/>
        <w:rPr>
          <w:rFonts w:hAnsi="宋体"/>
          <w:color w:val="auto"/>
          <w:kern w:val="0"/>
          <w:sz w:val="24"/>
          <w:highlight w:val="none"/>
          <w:u w:val="single"/>
        </w:rPr>
      </w:pPr>
      <w:r>
        <w:rPr>
          <w:rFonts w:hAnsi="宋体"/>
          <w:color w:val="auto"/>
          <w:sz w:val="24"/>
          <w:highlight w:val="none"/>
        </w:rPr>
        <w:t>关于单价合同计量的约定：</w:t>
      </w:r>
      <w:r>
        <w:rPr>
          <w:rFonts w:hint="eastAsia" w:hAnsi="宋体"/>
          <w:color w:val="auto"/>
          <w:kern w:val="0"/>
          <w:sz w:val="24"/>
          <w:highlight w:val="none"/>
          <w:u w:val="single"/>
        </w:rPr>
        <w:t>。</w:t>
      </w:r>
    </w:p>
    <w:p>
      <w:pPr>
        <w:spacing w:line="440" w:lineRule="exact"/>
        <w:ind w:firstLine="480" w:firstLineChars="200"/>
        <w:rPr>
          <w:rFonts w:hAnsi="宋体"/>
          <w:color w:val="auto"/>
          <w:sz w:val="24"/>
          <w:highlight w:val="none"/>
        </w:rPr>
      </w:pPr>
      <w:r>
        <w:rPr>
          <w:rFonts w:hAnsi="宋体"/>
          <w:color w:val="auto"/>
          <w:sz w:val="24"/>
          <w:highlight w:val="none"/>
        </w:rPr>
        <w:t>12.3.4 总价合同的计量</w:t>
      </w:r>
    </w:p>
    <w:p>
      <w:pPr>
        <w:spacing w:line="440" w:lineRule="exact"/>
        <w:ind w:firstLine="480" w:firstLineChars="200"/>
        <w:rPr>
          <w:rFonts w:hint="eastAsia" w:hAnsi="宋体"/>
          <w:color w:val="auto"/>
          <w:sz w:val="24"/>
          <w:highlight w:val="none"/>
        </w:rPr>
      </w:pPr>
      <w:r>
        <w:rPr>
          <w:rFonts w:hAnsi="宋体"/>
          <w:color w:val="auto"/>
          <w:sz w:val="24"/>
          <w:highlight w:val="none"/>
        </w:rPr>
        <w:t>关于总价合同计量的约定：</w:t>
      </w:r>
      <w:r>
        <w:rPr>
          <w:rFonts w:hAnsi="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12.3.5总价合同采用支付分解表计量支付的，是否适用第</w:t>
      </w:r>
      <w:r>
        <w:rPr>
          <w:rFonts w:hAnsi="宋体"/>
          <w:color w:val="auto"/>
          <w:kern w:val="0"/>
          <w:sz w:val="24"/>
          <w:highlight w:val="none"/>
        </w:rPr>
        <w:t xml:space="preserve">12.3.4 </w:t>
      </w:r>
      <w:r>
        <w:rPr>
          <w:rFonts w:hAnsi="宋体"/>
          <w:color w:val="auto"/>
          <w:sz w:val="24"/>
          <w:highlight w:val="none"/>
        </w:rPr>
        <w:t>项</w:t>
      </w:r>
      <w:r>
        <w:rPr>
          <w:rFonts w:hint="eastAsia" w:hAnsi="宋体"/>
          <w:color w:val="auto"/>
          <w:kern w:val="0"/>
          <w:sz w:val="24"/>
          <w:highlight w:val="none"/>
        </w:rPr>
        <w:t>〔</w:t>
      </w:r>
      <w:r>
        <w:rPr>
          <w:rFonts w:hAnsi="宋体"/>
          <w:color w:val="auto"/>
          <w:kern w:val="0"/>
          <w:sz w:val="24"/>
          <w:highlight w:val="none"/>
        </w:rPr>
        <w:t>总价合同的计量</w:t>
      </w:r>
      <w:r>
        <w:rPr>
          <w:rFonts w:hint="eastAsia" w:hAnsi="宋体"/>
          <w:color w:val="auto"/>
          <w:kern w:val="0"/>
          <w:sz w:val="24"/>
          <w:highlight w:val="none"/>
        </w:rPr>
        <w:t>〕</w:t>
      </w:r>
      <w:r>
        <w:rPr>
          <w:rFonts w:hAnsi="宋体"/>
          <w:color w:val="auto"/>
          <w:sz w:val="24"/>
          <w:highlight w:val="none"/>
        </w:rPr>
        <w:t>约定</w:t>
      </w:r>
      <w:r>
        <w:rPr>
          <w:rFonts w:hint="eastAsia" w:hAnsi="宋体"/>
          <w:color w:val="auto"/>
          <w:sz w:val="24"/>
          <w:highlight w:val="none"/>
        </w:rPr>
        <w:t>进行计量：</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12.3.6 其他价格形式合同的计量</w:t>
      </w:r>
    </w:p>
    <w:p>
      <w:pPr>
        <w:spacing w:line="440" w:lineRule="exact"/>
        <w:ind w:firstLine="480" w:firstLineChars="200"/>
        <w:rPr>
          <w:rFonts w:hAnsi="宋体"/>
          <w:color w:val="auto"/>
          <w:sz w:val="24"/>
          <w:highlight w:val="none"/>
        </w:rPr>
      </w:pPr>
      <w:r>
        <w:rPr>
          <w:rFonts w:hAnsi="宋体"/>
          <w:color w:val="auto"/>
          <w:sz w:val="24"/>
          <w:highlight w:val="none"/>
        </w:rPr>
        <w:t>其他价格形式的计量方式和程序：</w:t>
      </w:r>
      <w:r>
        <w:rPr>
          <w:rFonts w:hAnsi="宋体"/>
          <w:color w:val="auto"/>
          <w:sz w:val="24"/>
          <w:highlight w:val="none"/>
          <w:u w:val="single"/>
        </w:rPr>
        <w:t xml:space="preserve">   </w:t>
      </w:r>
      <w:r>
        <w:rPr>
          <w:rFonts w:hint="eastAsia" w:hAnsi="宋体"/>
          <w:color w:val="auto"/>
          <w:sz w:val="24"/>
          <w:highlight w:val="none"/>
          <w:u w:val="single"/>
        </w:rPr>
        <w:t xml:space="preserve"> /</w:t>
      </w:r>
    </w:p>
    <w:p>
      <w:pPr>
        <w:spacing w:line="440" w:lineRule="exact"/>
        <w:ind w:firstLine="480" w:firstLineChars="200"/>
        <w:rPr>
          <w:rFonts w:hAnsi="宋体"/>
          <w:color w:val="auto"/>
          <w:sz w:val="24"/>
          <w:highlight w:val="none"/>
        </w:rPr>
      </w:pPr>
      <w:bookmarkStart w:id="830" w:name="_Toc297123556"/>
      <w:bookmarkStart w:id="831" w:name="_Toc292559921"/>
      <w:bookmarkStart w:id="832" w:name="_Toc296346712"/>
      <w:bookmarkStart w:id="833" w:name="_Toc296891039"/>
      <w:bookmarkStart w:id="834" w:name="_Toc296944550"/>
      <w:bookmarkStart w:id="835" w:name="_Toc297048397"/>
      <w:bookmarkStart w:id="836" w:name="_Toc296891251"/>
      <w:bookmarkStart w:id="837" w:name="_Toc292559416"/>
      <w:bookmarkStart w:id="838" w:name="_Toc296503211"/>
      <w:bookmarkStart w:id="839" w:name="_Toc300935006"/>
      <w:bookmarkStart w:id="840" w:name="_Toc297120511"/>
      <w:bookmarkStart w:id="841" w:name="_Toc296347210"/>
      <w:bookmarkStart w:id="842" w:name="_Toc297216215"/>
      <w:bookmarkStart w:id="843" w:name="_Toc303539163"/>
      <w:r>
        <w:rPr>
          <w:rFonts w:hAnsi="宋体"/>
          <w:color w:val="auto"/>
          <w:sz w:val="24"/>
          <w:highlight w:val="none"/>
        </w:rPr>
        <w:t>12.4 工程进度款支付</w:t>
      </w:r>
    </w:p>
    <w:p>
      <w:pPr>
        <w:spacing w:line="440" w:lineRule="exact"/>
        <w:ind w:firstLine="480" w:firstLineChars="200"/>
        <w:rPr>
          <w:rFonts w:hAnsi="宋体"/>
          <w:color w:val="auto"/>
          <w:sz w:val="24"/>
          <w:highlight w:val="none"/>
        </w:rPr>
      </w:pPr>
      <w:r>
        <w:rPr>
          <w:rFonts w:hAnsi="宋体"/>
          <w:color w:val="auto"/>
          <w:sz w:val="24"/>
          <w:highlight w:val="none"/>
        </w:rPr>
        <w:t>12.4.1 付款周期</w:t>
      </w:r>
    </w:p>
    <w:p>
      <w:pPr>
        <w:pStyle w:val="2"/>
        <w:snapToGrid w:val="0"/>
        <w:spacing w:line="440" w:lineRule="exact"/>
        <w:outlineLvl w:val="0"/>
        <w:rPr>
          <w:rFonts w:hint="eastAsia"/>
          <w:color w:val="auto"/>
          <w:sz w:val="24"/>
          <w:highlight w:val="none"/>
          <w:u w:val="single"/>
        </w:rPr>
      </w:pPr>
      <w:r>
        <w:rPr>
          <w:color w:val="auto"/>
          <w:sz w:val="24"/>
          <w:szCs w:val="24"/>
          <w:highlight w:val="none"/>
        </w:rPr>
        <w:t>关于付款周期的约定：</w:t>
      </w:r>
      <w:r>
        <w:rPr>
          <w:rFonts w:hint="eastAsia"/>
          <w:color w:val="auto"/>
          <w:sz w:val="24"/>
          <w:szCs w:val="24"/>
          <w:highlight w:val="none"/>
          <w:u w:val="single"/>
          <w:lang w:eastAsia="zh-CN"/>
        </w:rPr>
        <w:t>合同签订后</w:t>
      </w:r>
      <w:r>
        <w:rPr>
          <w:rFonts w:hint="eastAsia"/>
          <w:color w:val="auto"/>
          <w:sz w:val="24"/>
          <w:szCs w:val="24"/>
          <w:highlight w:val="none"/>
          <w:u w:val="single"/>
          <w:lang w:val="en-US" w:eastAsia="zh-CN"/>
        </w:rPr>
        <w:t>30天内，支付合同总价的20%，</w:t>
      </w:r>
      <w:r>
        <w:rPr>
          <w:rFonts w:hint="eastAsia"/>
          <w:color w:val="auto"/>
          <w:sz w:val="24"/>
          <w:highlight w:val="none"/>
          <w:u w:val="single"/>
        </w:rPr>
        <w:t>当工程竣工验收合格，且承包人按要求提交全套技术资料（含决算资料）后付至合同总价的80%</w:t>
      </w:r>
      <w:r>
        <w:rPr>
          <w:rFonts w:hint="eastAsia"/>
          <w:b/>
          <w:bCs/>
          <w:color w:val="auto"/>
          <w:sz w:val="24"/>
          <w:highlight w:val="none"/>
          <w:u w:val="single"/>
        </w:rPr>
        <w:t>并同时扣回预付款</w:t>
      </w:r>
      <w:r>
        <w:rPr>
          <w:rFonts w:hint="eastAsia"/>
          <w:color w:val="auto"/>
          <w:sz w:val="24"/>
          <w:highlight w:val="none"/>
          <w:u w:val="single"/>
        </w:rPr>
        <w:t>；经审计结束后30日内付至结算价的9</w:t>
      </w:r>
      <w:r>
        <w:rPr>
          <w:rFonts w:hint="eastAsia"/>
          <w:color w:val="auto"/>
          <w:sz w:val="24"/>
          <w:highlight w:val="none"/>
          <w:u w:val="single"/>
          <w:lang w:val="en-US" w:eastAsia="zh-CN"/>
        </w:rPr>
        <w:t>8</w:t>
      </w:r>
      <w:r>
        <w:rPr>
          <w:rFonts w:hint="eastAsia"/>
          <w:color w:val="auto"/>
          <w:sz w:val="24"/>
          <w:highlight w:val="none"/>
          <w:u w:val="single"/>
        </w:rPr>
        <w:t>.5%；其余</w:t>
      </w:r>
      <w:r>
        <w:rPr>
          <w:rFonts w:hint="eastAsia"/>
          <w:color w:val="auto"/>
          <w:sz w:val="24"/>
          <w:highlight w:val="none"/>
          <w:u w:val="single"/>
          <w:lang w:val="en-US" w:eastAsia="zh-CN"/>
        </w:rPr>
        <w:t>1</w:t>
      </w:r>
      <w:r>
        <w:rPr>
          <w:rFonts w:hint="eastAsia"/>
          <w:color w:val="auto"/>
          <w:sz w:val="24"/>
          <w:highlight w:val="none"/>
          <w:u w:val="single"/>
        </w:rPr>
        <w:t>.5%留作质量保修金。保修服务期内须按投标承诺进行保修服务，并须达到发包人要求，否则发包人有权暂扣质量保修金。</w:t>
      </w:r>
    </w:p>
    <w:p>
      <w:pPr>
        <w:spacing w:line="420" w:lineRule="exact"/>
        <w:ind w:firstLine="482" w:firstLineChars="200"/>
        <w:rPr>
          <w:rFonts w:hAnsi="宋体" w:cs="宋体"/>
          <w:b/>
          <w:color w:val="auto"/>
          <w:sz w:val="24"/>
          <w:highlight w:val="none"/>
          <w:u w:val="single"/>
        </w:rPr>
      </w:pPr>
      <w:r>
        <w:rPr>
          <w:rFonts w:hint="eastAsia" w:hAnsi="宋体" w:cs="宋体"/>
          <w:b/>
          <w:color w:val="auto"/>
          <w:sz w:val="24"/>
          <w:highlight w:val="none"/>
          <w:u w:val="single"/>
        </w:rPr>
        <w:t>▲</w:t>
      </w:r>
      <w:r>
        <w:rPr>
          <w:rFonts w:hint="eastAsia" w:hAnsi="宋体" w:cs="宋体"/>
          <w:b/>
          <w:color w:val="auto"/>
          <w:sz w:val="24"/>
          <w:highlight w:val="none"/>
          <w:u w:val="single"/>
          <w:lang w:val="en-US" w:eastAsia="zh-CN"/>
        </w:rPr>
        <w:t>乙方须</w:t>
      </w:r>
      <w:r>
        <w:rPr>
          <w:rFonts w:hint="eastAsia" w:hAnsi="宋体" w:cs="宋体"/>
          <w:b/>
          <w:color w:val="auto"/>
          <w:sz w:val="24"/>
          <w:highlight w:val="none"/>
          <w:u w:val="single"/>
        </w:rPr>
        <w:t>严格落实民工工资支付和“无欠薪”专项治理工作各项要求，实行“实名制登记、民工工资账户分设、银行代发工资、民工工资保证金缴纳、按月足额支付、民工维权告示牌”等，确保劳动者足额领取工资，确保不发生因欠薪引发重大群体性事件。</w:t>
      </w:r>
    </w:p>
    <w:p>
      <w:pPr>
        <w:pStyle w:val="2"/>
        <w:snapToGrid w:val="0"/>
        <w:spacing w:line="440" w:lineRule="exact"/>
        <w:ind w:firstLine="480"/>
        <w:outlineLvl w:val="0"/>
        <w:rPr>
          <w:rFonts w:hint="eastAsia"/>
          <w:color w:val="auto"/>
          <w:sz w:val="24"/>
          <w:highlight w:val="none"/>
          <w:u w:val="single"/>
        </w:rPr>
      </w:pPr>
      <w:r>
        <w:rPr>
          <w:rFonts w:hint="eastAsia"/>
          <w:color w:val="auto"/>
          <w:sz w:val="24"/>
          <w:highlight w:val="none"/>
          <w:u w:val="single"/>
          <w:lang w:val="en-US" w:eastAsia="zh-CN"/>
        </w:rPr>
        <w:t>3</w:t>
      </w:r>
      <w:r>
        <w:rPr>
          <w:rFonts w:hint="eastAsia"/>
          <w:color w:val="auto"/>
          <w:sz w:val="24"/>
          <w:highlight w:val="none"/>
          <w:u w:val="single"/>
        </w:rPr>
        <w:t>）根据工程实际完成进度，承包人于每次付款前一周提交三份已完工工程量报告，经监理公司审核，发包人审定，承包人签字确认后支付工程款（进度款）。如不按期提交，视为承包方将本期完成工程量计入下期工程款，由此发生的责任全部由承包方承担。</w:t>
      </w:r>
    </w:p>
    <w:p>
      <w:pPr>
        <w:pStyle w:val="2"/>
        <w:snapToGrid w:val="0"/>
        <w:spacing w:line="440" w:lineRule="exact"/>
        <w:ind w:firstLine="480"/>
        <w:outlineLvl w:val="0"/>
        <w:rPr>
          <w:rFonts w:hint="eastAsia"/>
          <w:color w:val="auto"/>
          <w:sz w:val="24"/>
          <w:highlight w:val="none"/>
          <w:u w:val="single"/>
        </w:rPr>
      </w:pPr>
      <w:r>
        <w:rPr>
          <w:rFonts w:hint="eastAsia"/>
          <w:color w:val="auto"/>
          <w:sz w:val="24"/>
          <w:highlight w:val="none"/>
          <w:u w:val="single"/>
          <w:lang w:val="en-US" w:eastAsia="zh-CN"/>
        </w:rPr>
        <w:t>4</w:t>
      </w:r>
      <w:r>
        <w:rPr>
          <w:rFonts w:hint="eastAsia"/>
          <w:color w:val="auto"/>
          <w:sz w:val="24"/>
          <w:highlight w:val="none"/>
          <w:u w:val="single"/>
        </w:rPr>
        <w:t xml:space="preserve">）工程变更部分价款于结算审计后统一支付，但发包人与承包人另行签订补充协议的除外。     </w:t>
      </w:r>
    </w:p>
    <w:p>
      <w:pPr>
        <w:pStyle w:val="2"/>
        <w:snapToGrid w:val="0"/>
        <w:spacing w:line="440" w:lineRule="exact"/>
        <w:ind w:firstLine="480"/>
        <w:outlineLvl w:val="0"/>
        <w:rPr>
          <w:rFonts w:hint="eastAsia"/>
          <w:color w:val="auto"/>
          <w:sz w:val="24"/>
          <w:highlight w:val="none"/>
          <w:u w:val="single"/>
        </w:rPr>
      </w:pPr>
      <w:r>
        <w:rPr>
          <w:rFonts w:hint="eastAsia"/>
          <w:color w:val="auto"/>
          <w:sz w:val="24"/>
          <w:highlight w:val="none"/>
          <w:u w:val="single"/>
          <w:lang w:val="en-US" w:eastAsia="zh-CN"/>
        </w:rPr>
        <w:t>5</w:t>
      </w:r>
      <w:r>
        <w:rPr>
          <w:rFonts w:hint="eastAsia"/>
          <w:color w:val="auto"/>
          <w:sz w:val="24"/>
          <w:highlight w:val="none"/>
          <w:u w:val="single"/>
        </w:rPr>
        <w:t>）根据国家对建设工程税收的有关规定，临安市税务部门要求在支付工程款（进度款）时，必须由当地财税部门开具发票。发包人付至工程结算价9</w:t>
      </w:r>
      <w:r>
        <w:rPr>
          <w:rFonts w:hint="eastAsia"/>
          <w:color w:val="auto"/>
          <w:sz w:val="24"/>
          <w:highlight w:val="none"/>
          <w:u w:val="single"/>
          <w:lang w:val="en-US" w:eastAsia="zh-CN"/>
        </w:rPr>
        <w:t>8</w:t>
      </w:r>
      <w:r>
        <w:rPr>
          <w:rFonts w:hint="eastAsia"/>
          <w:color w:val="auto"/>
          <w:sz w:val="24"/>
          <w:highlight w:val="none"/>
          <w:u w:val="single"/>
        </w:rPr>
        <w:t xml:space="preserve">.5%工程款以前，承包人应向发包人提供工程结算价100%的发票。 </w:t>
      </w:r>
    </w:p>
    <w:p>
      <w:pPr>
        <w:pStyle w:val="2"/>
        <w:snapToGrid w:val="0"/>
        <w:spacing w:line="440" w:lineRule="exact"/>
        <w:ind w:firstLine="480"/>
        <w:outlineLvl w:val="0"/>
        <w:rPr>
          <w:color w:val="auto"/>
          <w:sz w:val="24"/>
          <w:szCs w:val="24"/>
          <w:highlight w:val="none"/>
        </w:rPr>
      </w:pPr>
      <w:r>
        <w:rPr>
          <w:color w:val="auto"/>
          <w:sz w:val="24"/>
          <w:szCs w:val="24"/>
          <w:highlight w:val="none"/>
        </w:rPr>
        <w:t>12.4.2 进度付款申请单的编制</w:t>
      </w:r>
    </w:p>
    <w:p>
      <w:pPr>
        <w:spacing w:line="440" w:lineRule="exact"/>
        <w:ind w:firstLine="480" w:firstLineChars="200"/>
        <w:rPr>
          <w:rFonts w:hAnsi="宋体"/>
          <w:color w:val="auto"/>
          <w:sz w:val="24"/>
          <w:highlight w:val="none"/>
        </w:rPr>
      </w:pPr>
      <w:r>
        <w:rPr>
          <w:rFonts w:hAnsi="宋体"/>
          <w:color w:val="auto"/>
          <w:sz w:val="24"/>
          <w:highlight w:val="none"/>
        </w:rPr>
        <w:t>关于进度付款申请单编制的约定：</w:t>
      </w:r>
      <w:r>
        <w:rPr>
          <w:rFonts w:hAnsi="宋体"/>
          <w:color w:val="auto"/>
          <w:sz w:val="24"/>
          <w:highlight w:val="none"/>
          <w:u w:val="single"/>
        </w:rPr>
        <w:t xml:space="preserve">   </w:t>
      </w:r>
      <w:r>
        <w:rPr>
          <w:rFonts w:hint="eastAsia" w:hAnsi="宋体"/>
          <w:color w:val="auto"/>
          <w:sz w:val="24"/>
          <w:highlight w:val="none"/>
          <w:u w:val="single"/>
        </w:rPr>
        <w:t>按通用条款规定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Fonts w:hAnsi="宋体"/>
          <w:color w:val="auto"/>
          <w:sz w:val="24"/>
          <w:highlight w:val="none"/>
        </w:rPr>
        <w:t>2.4.3 进度付款申请单的提交</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（1）单价合同进度付款申请单提交的约定</w:t>
      </w:r>
      <w:r>
        <w:rPr>
          <w:rFonts w:hint="eastAsia" w:hAnsi="宋体"/>
          <w:color w:val="auto"/>
          <w:sz w:val="24"/>
          <w:highlight w:val="none"/>
        </w:rPr>
        <w:t>：</w:t>
      </w:r>
      <w:r>
        <w:rPr>
          <w:rFonts w:hint="eastAsia" w:hAnsi="宋体"/>
          <w:color w:val="auto"/>
          <w:sz w:val="24"/>
          <w:highlight w:val="none"/>
          <w:u w:val="single"/>
        </w:rPr>
        <w:t>按通用条款规定</w:t>
      </w:r>
    </w:p>
    <w:p>
      <w:pPr>
        <w:spacing w:line="440" w:lineRule="exact"/>
        <w:ind w:firstLine="480" w:firstLineChars="200"/>
        <w:rPr>
          <w:rFonts w:hAnsi="宋体"/>
          <w:color w:val="auto"/>
          <w:sz w:val="24"/>
          <w:highlight w:val="none"/>
        </w:rPr>
      </w:pPr>
      <w:r>
        <w:rPr>
          <w:rFonts w:hAnsi="宋体"/>
          <w:color w:val="auto"/>
          <w:sz w:val="24"/>
          <w:highlight w:val="none"/>
        </w:rPr>
        <w:t>（2）总价合同进度付款申请单提交的约定</w:t>
      </w:r>
      <w:r>
        <w:rPr>
          <w:rFonts w:hint="eastAsia" w:hAnsi="宋体"/>
          <w:color w:val="auto"/>
          <w:sz w:val="24"/>
          <w:highlight w:val="none"/>
        </w:rPr>
        <w:t>：</w:t>
      </w:r>
      <w:r>
        <w:rPr>
          <w:rFonts w:hint="eastAsia" w:hAnsi="宋体" w:cs="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（3）其他价格形式合同进度付款申请单提交的约定：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12.4.4 进度款审核和支付</w:t>
      </w:r>
    </w:p>
    <w:p>
      <w:pPr>
        <w:spacing w:line="440" w:lineRule="exact"/>
        <w:ind w:firstLine="480" w:firstLineChars="200"/>
        <w:rPr>
          <w:rFonts w:hAnsi="宋体"/>
          <w:color w:val="auto"/>
          <w:sz w:val="24"/>
          <w:highlight w:val="none"/>
          <w:u w:val="single"/>
        </w:rPr>
      </w:pPr>
      <w:r>
        <w:rPr>
          <w:rFonts w:hAnsi="宋体"/>
          <w:color w:val="auto"/>
          <w:sz w:val="24"/>
          <w:highlight w:val="none"/>
        </w:rPr>
        <w:t>（1）监理人审查并报送发包人的期限：</w:t>
      </w:r>
      <w:r>
        <w:rPr>
          <w:rFonts w:hint="eastAsia" w:hAnsi="宋体"/>
          <w:color w:val="auto"/>
          <w:sz w:val="24"/>
          <w:highlight w:val="none"/>
          <w:u w:val="single"/>
        </w:rPr>
        <w:t>收到进度付款申请单以及相关资料后7天内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发包人完成审批并签发进度款支付证书的期限：</w:t>
      </w:r>
      <w:r>
        <w:rPr>
          <w:rFonts w:hint="eastAsia" w:hAnsi="宋体"/>
          <w:color w:val="auto"/>
          <w:sz w:val="24"/>
          <w:highlight w:val="none"/>
          <w:u w:val="single"/>
        </w:rPr>
        <w:t>收到进度款申请单及相关资料后7天内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（2）发包人支付进度款的期限：</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发包人逾期支付进度款的违约金的计算方式：</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12.4.6 支付分解表的编制</w:t>
      </w:r>
    </w:p>
    <w:p>
      <w:pPr>
        <w:spacing w:line="440" w:lineRule="exact"/>
        <w:ind w:firstLine="480" w:firstLineChars="200"/>
        <w:rPr>
          <w:rFonts w:hAnsi="宋体"/>
          <w:color w:val="auto"/>
          <w:sz w:val="24"/>
          <w:highlight w:val="none"/>
        </w:rPr>
      </w:pPr>
      <w:r>
        <w:rPr>
          <w:rFonts w:hAnsi="宋体"/>
          <w:color w:val="auto"/>
          <w:sz w:val="24"/>
          <w:highlight w:val="none"/>
        </w:rPr>
        <w:t>2、总价合同支付分解表的编制与审批：</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3、单价合同的总价项目支付分解表的编制与审批：</w:t>
      </w:r>
      <w:r>
        <w:rPr>
          <w:rFonts w:hint="eastAsia" w:hAnsi="宋体"/>
          <w:color w:val="auto"/>
          <w:sz w:val="24"/>
          <w:highlight w:val="none"/>
          <w:u w:val="single"/>
        </w:rPr>
        <w:t>/</w:t>
      </w:r>
      <w:r>
        <w:rPr>
          <w:rFonts w:hAnsi="宋体"/>
          <w:color w:val="auto"/>
          <w:sz w:val="24"/>
          <w:highlight w:val="none"/>
        </w:rPr>
        <w:t>。</w:t>
      </w:r>
    </w:p>
    <w:bookmarkEnd w:id="696"/>
    <w:p>
      <w:pPr>
        <w:spacing w:line="440" w:lineRule="exact"/>
        <w:ind w:firstLine="480" w:firstLineChars="200"/>
        <w:rPr>
          <w:color w:val="auto"/>
          <w:sz w:val="24"/>
          <w:highlight w:val="none"/>
        </w:rPr>
      </w:pPr>
      <w:bookmarkStart w:id="844" w:name="_Toc351203645"/>
      <w:bookmarkStart w:id="845" w:name="_Toc297048405"/>
      <w:bookmarkStart w:id="846" w:name="_Toc297123564"/>
      <w:bookmarkStart w:id="847" w:name="_Toc297120519"/>
      <w:bookmarkStart w:id="848" w:name="_Toc312678053"/>
      <w:bookmarkStart w:id="849" w:name="_Toc300935015"/>
      <w:bookmarkStart w:id="850" w:name="_Toc296891047"/>
      <w:bookmarkStart w:id="851" w:name="_Toc297216223"/>
      <w:bookmarkStart w:id="852" w:name="_Toc296347218"/>
      <w:bookmarkStart w:id="853" w:name="_Toc296503219"/>
      <w:bookmarkStart w:id="854" w:name="_Toc304295593"/>
      <w:bookmarkStart w:id="855" w:name="_Toc296944558"/>
      <w:bookmarkStart w:id="856" w:name="_Toc296891259"/>
      <w:bookmarkStart w:id="857" w:name="_Toc296346720"/>
      <w:bookmarkStart w:id="858" w:name="_Toc292559424"/>
      <w:bookmarkStart w:id="859" w:name="_Toc303539172"/>
      <w:bookmarkStart w:id="860" w:name="_Toc292559929"/>
      <w:r>
        <w:rPr>
          <w:color w:val="auto"/>
          <w:sz w:val="24"/>
          <w:highlight w:val="none"/>
        </w:rPr>
        <w:t>13.</w:t>
      </w:r>
      <w:r>
        <w:rPr>
          <w:rFonts w:hint="eastAsia"/>
          <w:color w:val="auto"/>
          <w:sz w:val="24"/>
          <w:highlight w:val="none"/>
        </w:rPr>
        <w:t xml:space="preserve"> </w:t>
      </w:r>
      <w:r>
        <w:rPr>
          <w:color w:val="auto"/>
          <w:sz w:val="24"/>
          <w:highlight w:val="none"/>
        </w:rPr>
        <w:t>验收和工程试车</w:t>
      </w:r>
      <w:bookmarkEnd w:id="844"/>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Pr>
        <w:spacing w:line="440" w:lineRule="exact"/>
        <w:ind w:firstLine="480" w:firstLineChars="200"/>
        <w:rPr>
          <w:rFonts w:hAnsi="宋体"/>
          <w:color w:val="auto"/>
          <w:sz w:val="24"/>
          <w:highlight w:val="none"/>
        </w:rPr>
      </w:pPr>
      <w:r>
        <w:rPr>
          <w:rFonts w:hAnsi="宋体"/>
          <w:color w:val="auto"/>
          <w:sz w:val="24"/>
          <w:highlight w:val="none"/>
        </w:rPr>
        <w:t>13.1 分部分项工程验收</w:t>
      </w:r>
    </w:p>
    <w:p>
      <w:pPr>
        <w:spacing w:line="440" w:lineRule="exact"/>
        <w:ind w:firstLine="480" w:firstLineChars="200"/>
        <w:rPr>
          <w:rFonts w:hAnsi="宋体"/>
          <w:color w:val="auto"/>
          <w:sz w:val="24"/>
          <w:highlight w:val="none"/>
        </w:rPr>
      </w:pPr>
      <w:r>
        <w:rPr>
          <w:rFonts w:hAnsi="宋体"/>
          <w:color w:val="auto"/>
          <w:sz w:val="24"/>
          <w:highlight w:val="none"/>
        </w:rPr>
        <w:t>13.1.2监理人不能按时进行验收时，应提前</w:t>
      </w:r>
      <w:r>
        <w:rPr>
          <w:rFonts w:hAnsi="宋体"/>
          <w:color w:val="auto"/>
          <w:sz w:val="24"/>
          <w:highlight w:val="none"/>
          <w:u w:val="single"/>
        </w:rPr>
        <w:t xml:space="preserve"> </w:t>
      </w:r>
      <w:r>
        <w:rPr>
          <w:rFonts w:hint="eastAsia" w:hAnsi="宋体"/>
          <w:color w:val="auto"/>
          <w:sz w:val="24"/>
          <w:highlight w:val="none"/>
          <w:u w:val="single"/>
        </w:rPr>
        <w:t>24</w:t>
      </w:r>
      <w:r>
        <w:rPr>
          <w:rFonts w:hAnsi="宋体"/>
          <w:color w:val="auto"/>
          <w:sz w:val="24"/>
          <w:highlight w:val="none"/>
          <w:u w:val="single"/>
        </w:rPr>
        <w:t xml:space="preserve">  </w:t>
      </w:r>
      <w:r>
        <w:rPr>
          <w:rFonts w:hAnsi="宋体"/>
          <w:color w:val="auto"/>
          <w:sz w:val="24"/>
          <w:highlight w:val="none"/>
        </w:rPr>
        <w:t>小时提交书面延期要求。</w:t>
      </w:r>
    </w:p>
    <w:p>
      <w:pPr>
        <w:spacing w:line="440" w:lineRule="exact"/>
        <w:ind w:firstLine="480" w:firstLineChars="200"/>
        <w:rPr>
          <w:rFonts w:hAnsi="宋体"/>
          <w:b/>
          <w:color w:val="auto"/>
          <w:sz w:val="24"/>
          <w:highlight w:val="none"/>
        </w:rPr>
      </w:pPr>
      <w:r>
        <w:rPr>
          <w:rFonts w:hAnsi="宋体"/>
          <w:color w:val="auto"/>
          <w:sz w:val="24"/>
          <w:highlight w:val="none"/>
        </w:rPr>
        <w:t>关于延期最长不得超过：</w:t>
      </w:r>
      <w:r>
        <w:rPr>
          <w:rFonts w:hAnsi="宋体"/>
          <w:color w:val="auto"/>
          <w:sz w:val="24"/>
          <w:highlight w:val="none"/>
          <w:u w:val="single"/>
        </w:rPr>
        <w:t xml:space="preserve"> </w:t>
      </w:r>
      <w:r>
        <w:rPr>
          <w:rFonts w:hint="eastAsia" w:hAnsi="宋体"/>
          <w:color w:val="auto"/>
          <w:sz w:val="24"/>
          <w:highlight w:val="none"/>
          <w:u w:val="single"/>
        </w:rPr>
        <w:t>48</w:t>
      </w:r>
      <w:r>
        <w:rPr>
          <w:rFonts w:hAnsi="宋体"/>
          <w:color w:val="auto"/>
          <w:sz w:val="24"/>
          <w:highlight w:val="none"/>
          <w:u w:val="single"/>
        </w:rPr>
        <w:t xml:space="preserve">   </w:t>
      </w:r>
      <w:r>
        <w:rPr>
          <w:rFonts w:hAnsi="宋体"/>
          <w:color w:val="auto"/>
          <w:sz w:val="24"/>
          <w:highlight w:val="none"/>
        </w:rPr>
        <w:t>小时。</w:t>
      </w:r>
    </w:p>
    <w:p>
      <w:pPr>
        <w:spacing w:line="440" w:lineRule="exact"/>
        <w:ind w:firstLine="480" w:firstLineChars="200"/>
        <w:rPr>
          <w:rFonts w:hAnsi="宋体"/>
          <w:color w:val="auto"/>
          <w:sz w:val="24"/>
          <w:highlight w:val="none"/>
        </w:rPr>
      </w:pPr>
      <w:bookmarkStart w:id="861" w:name="_Toc303539173"/>
      <w:bookmarkStart w:id="862" w:name="_Toc297216224"/>
      <w:bookmarkStart w:id="863" w:name="_Toc296891263"/>
      <w:bookmarkStart w:id="864" w:name="_Toc292559933"/>
      <w:bookmarkStart w:id="865" w:name="_Toc296503223"/>
      <w:bookmarkStart w:id="866" w:name="_Toc312678056"/>
      <w:bookmarkStart w:id="867" w:name="_Toc292559428"/>
      <w:bookmarkStart w:id="868" w:name="_Toc300935016"/>
      <w:bookmarkStart w:id="869" w:name="_Toc297048409"/>
      <w:bookmarkStart w:id="870" w:name="_Toc297120523"/>
      <w:bookmarkStart w:id="871" w:name="_Toc304295596"/>
      <w:bookmarkStart w:id="872" w:name="_Toc296944562"/>
      <w:bookmarkStart w:id="873" w:name="_Toc296347222"/>
      <w:bookmarkStart w:id="874" w:name="_Toc296891051"/>
      <w:bookmarkStart w:id="875" w:name="_Toc296346724"/>
      <w:bookmarkStart w:id="876" w:name="_Toc297123565"/>
      <w:bookmarkStart w:id="877" w:name="_Toc267251470"/>
      <w:bookmarkStart w:id="878" w:name="_Toc267251474"/>
      <w:bookmarkStart w:id="879" w:name="_Toc267251471"/>
      <w:bookmarkStart w:id="880" w:name="_Toc267251472"/>
      <w:bookmarkStart w:id="881" w:name="_Toc267251476"/>
      <w:bookmarkStart w:id="882" w:name="_Toc267251475"/>
      <w:bookmarkStart w:id="883" w:name="_Toc267251473"/>
      <w:r>
        <w:rPr>
          <w:rFonts w:hAnsi="宋体"/>
          <w:color w:val="auto"/>
          <w:sz w:val="24"/>
          <w:highlight w:val="none"/>
        </w:rPr>
        <w:t>13.2 竣工验收</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Pr>
        <w:spacing w:line="440" w:lineRule="exact"/>
        <w:ind w:firstLine="480" w:firstLineChars="200"/>
        <w:rPr>
          <w:rFonts w:hAnsi="宋体"/>
          <w:color w:val="auto"/>
          <w:sz w:val="24"/>
          <w:highlight w:val="none"/>
        </w:rPr>
      </w:pPr>
      <w:bookmarkStart w:id="884" w:name="_Toc280868704"/>
      <w:bookmarkStart w:id="885" w:name="_Toc280868705"/>
      <w:bookmarkStart w:id="886" w:name="_Toc280868706"/>
      <w:bookmarkStart w:id="887" w:name="_Toc280868707"/>
      <w:bookmarkStart w:id="888" w:name="_Toc280868708"/>
      <w:bookmarkStart w:id="889" w:name="_Toc280868709"/>
      <w:r>
        <w:rPr>
          <w:rFonts w:hAnsi="宋体"/>
          <w:color w:val="auto"/>
          <w:sz w:val="24"/>
          <w:highlight w:val="none"/>
        </w:rPr>
        <w:t>13.2.2竣工验收程序</w:t>
      </w:r>
    </w:p>
    <w:bookmarkEnd w:id="884"/>
    <w:p>
      <w:pPr>
        <w:spacing w:line="440" w:lineRule="exact"/>
        <w:ind w:firstLine="480" w:firstLineChars="200"/>
        <w:rPr>
          <w:rFonts w:hAnsi="宋体"/>
          <w:color w:val="auto"/>
          <w:sz w:val="24"/>
          <w:highlight w:val="none"/>
        </w:rPr>
      </w:pPr>
      <w:r>
        <w:rPr>
          <w:rFonts w:hAnsi="宋体"/>
          <w:color w:val="auto"/>
          <w:kern w:val="0"/>
          <w:sz w:val="24"/>
          <w:highlight w:val="none"/>
        </w:rPr>
        <w:t>关于竣工验收程序的约定：</w:t>
      </w:r>
      <w:r>
        <w:rPr>
          <w:rFonts w:hint="eastAsia" w:hAnsi="宋体"/>
          <w:color w:val="auto"/>
          <w:sz w:val="24"/>
          <w:highlight w:val="none"/>
          <w:u w:val="single"/>
        </w:rPr>
        <w:t>按通用条款有关规定执行</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发包人不按照本项约定组织竣工验收、颁发工程接收证书的违约金的计算方法：</w:t>
      </w:r>
      <w:r>
        <w:rPr>
          <w:rFonts w:hint="eastAsia" w:hAnsi="宋体"/>
          <w:color w:val="auto"/>
          <w:sz w:val="24"/>
          <w:highlight w:val="none"/>
          <w:u w:val="single"/>
        </w:rPr>
        <w:t xml:space="preserve">/ </w:t>
      </w:r>
      <w:r>
        <w:rPr>
          <w:rFonts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bookmarkEnd w:id="885"/>
    <w:bookmarkEnd w:id="886"/>
    <w:bookmarkEnd w:id="887"/>
    <w:p>
      <w:pPr>
        <w:spacing w:line="440" w:lineRule="exact"/>
        <w:ind w:firstLine="480" w:firstLineChars="200"/>
        <w:rPr>
          <w:rFonts w:hAnsi="宋体"/>
          <w:color w:val="auto"/>
          <w:sz w:val="24"/>
          <w:highlight w:val="none"/>
        </w:rPr>
      </w:pPr>
      <w:r>
        <w:rPr>
          <w:rFonts w:hAnsi="宋体"/>
          <w:color w:val="auto"/>
          <w:sz w:val="24"/>
          <w:highlight w:val="none"/>
        </w:rPr>
        <w:t>13.2.5移交、接收全部与部分工程</w:t>
      </w:r>
    </w:p>
    <w:p>
      <w:pPr>
        <w:spacing w:line="440" w:lineRule="exact"/>
        <w:ind w:firstLine="480" w:firstLineChars="200"/>
        <w:rPr>
          <w:rFonts w:hint="eastAsia" w:hAnsi="宋体" w:cs="宋体"/>
          <w:color w:val="auto"/>
          <w:sz w:val="24"/>
          <w:highlight w:val="none"/>
        </w:rPr>
      </w:pPr>
      <w:r>
        <w:rPr>
          <w:rFonts w:hint="eastAsia" w:hAnsi="宋体"/>
          <w:color w:val="auto"/>
          <w:kern w:val="0"/>
          <w:sz w:val="24"/>
          <w:highlight w:val="none"/>
        </w:rPr>
        <w:t>承包人向发包人移交工程的期限：</w:t>
      </w:r>
      <w:r>
        <w:rPr>
          <w:rFonts w:hint="eastAsia" w:hAnsi="宋体" w:cs="宋体"/>
          <w:color w:val="auto"/>
          <w:sz w:val="24"/>
          <w:highlight w:val="none"/>
          <w:u w:val="single"/>
        </w:rPr>
        <w:t>承包人应当在颁发工程接收证书后 7 天内完成工程的移交</w:t>
      </w:r>
      <w:r>
        <w:rPr>
          <w:rFonts w:hint="eastAsia" w:hAnsi="宋体" w:cs="宋体"/>
          <w:color w:val="auto"/>
          <w:sz w:val="24"/>
          <w:highlight w:val="none"/>
        </w:rPr>
        <w:t>。</w:t>
      </w:r>
    </w:p>
    <w:p>
      <w:pPr>
        <w:spacing w:line="440" w:lineRule="exact"/>
        <w:ind w:firstLine="480" w:firstLineChars="200"/>
        <w:rPr>
          <w:rFonts w:hAnsi="宋体" w:cs="宋体"/>
          <w:color w:val="auto"/>
          <w:sz w:val="24"/>
          <w:highlight w:val="none"/>
        </w:rPr>
      </w:pPr>
      <w:r>
        <w:rPr>
          <w:rFonts w:hAnsi="宋体"/>
          <w:color w:val="auto"/>
          <w:kern w:val="0"/>
          <w:sz w:val="24"/>
          <w:highlight w:val="none"/>
        </w:rPr>
        <w:t>发包人未按本合同约定接收全部或部分工程的，违约金的计算方法为：</w:t>
      </w:r>
      <w:r>
        <w:rPr>
          <w:rFonts w:hint="eastAsia" w:hAnsi="宋体"/>
          <w:color w:val="auto"/>
          <w:sz w:val="24"/>
          <w:highlight w:val="none"/>
          <w:u w:val="single"/>
        </w:rPr>
        <w:t>/。</w:t>
      </w:r>
    </w:p>
    <w:p>
      <w:pPr>
        <w:spacing w:line="440" w:lineRule="exact"/>
        <w:ind w:firstLine="480" w:firstLineChars="200"/>
        <w:rPr>
          <w:rFonts w:hint="eastAsia" w:hAnsi="宋体"/>
          <w:color w:val="auto"/>
          <w:sz w:val="24"/>
          <w:highlight w:val="none"/>
        </w:rPr>
      </w:pPr>
      <w:r>
        <w:rPr>
          <w:rFonts w:hAnsi="宋体"/>
          <w:color w:val="auto"/>
          <w:sz w:val="24"/>
          <w:highlight w:val="none"/>
        </w:rPr>
        <w:t>承包人未按时移交工程的，违约金的计算方法为：</w:t>
      </w:r>
      <w:r>
        <w:rPr>
          <w:rFonts w:hint="eastAsia" w:hAnsi="宋体"/>
          <w:color w:val="auto"/>
          <w:sz w:val="24"/>
          <w:highlight w:val="none"/>
          <w:u w:val="single"/>
        </w:rPr>
        <w:t>除扣除工程资料履约保证金外，每延迟交付一天扣罚2000元/天，并承担由此给发包人带来的一切损失</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13.3 工程试车</w:t>
      </w:r>
    </w:p>
    <w:bookmarkEnd w:id="888"/>
    <w:p>
      <w:pPr>
        <w:spacing w:line="440" w:lineRule="exact"/>
        <w:ind w:firstLine="480" w:firstLineChars="200"/>
        <w:rPr>
          <w:rFonts w:hAnsi="宋体"/>
          <w:color w:val="auto"/>
          <w:kern w:val="0"/>
          <w:sz w:val="24"/>
          <w:highlight w:val="none"/>
        </w:rPr>
      </w:pPr>
      <w:r>
        <w:rPr>
          <w:rFonts w:hAnsi="宋体"/>
          <w:color w:val="auto"/>
          <w:kern w:val="0"/>
          <w:sz w:val="24"/>
          <w:highlight w:val="none"/>
        </w:rPr>
        <w:t>13.3.1 试车程序</w:t>
      </w:r>
    </w:p>
    <w:p>
      <w:pPr>
        <w:spacing w:line="440" w:lineRule="exact"/>
        <w:ind w:firstLine="480" w:firstLineChars="200"/>
        <w:rPr>
          <w:rFonts w:hAnsi="宋体"/>
          <w:color w:val="auto"/>
          <w:kern w:val="0"/>
          <w:sz w:val="24"/>
          <w:highlight w:val="none"/>
        </w:rPr>
      </w:pPr>
      <w:r>
        <w:rPr>
          <w:rFonts w:hAnsi="宋体"/>
          <w:color w:val="auto"/>
          <w:kern w:val="0"/>
          <w:sz w:val="24"/>
          <w:highlight w:val="none"/>
        </w:rPr>
        <w:t>工程试车内容：</w:t>
      </w:r>
      <w:r>
        <w:rPr>
          <w:rFonts w:hint="eastAsia" w:hAnsi="宋体"/>
          <w:color w:val="auto"/>
          <w:sz w:val="24"/>
          <w:highlight w:val="none"/>
          <w:u w:val="single"/>
        </w:rPr>
        <w:t>按通用条款有关规定执行</w:t>
      </w:r>
      <w:r>
        <w:rPr>
          <w:rFonts w:hAnsi="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（1）单机无负荷试车费用由</w:t>
      </w:r>
      <w:r>
        <w:rPr>
          <w:rFonts w:hAnsi="宋体"/>
          <w:color w:val="auto"/>
          <w:sz w:val="24"/>
          <w:highlight w:val="none"/>
          <w:u w:val="single"/>
        </w:rPr>
        <w:t xml:space="preserve">    </w:t>
      </w:r>
      <w:r>
        <w:rPr>
          <w:rFonts w:hint="eastAsia" w:hAnsi="宋体"/>
          <w:color w:val="auto"/>
          <w:sz w:val="24"/>
          <w:highlight w:val="none"/>
          <w:u w:val="single"/>
        </w:rPr>
        <w:t>承包人</w:t>
      </w:r>
      <w:r>
        <w:rPr>
          <w:rFonts w:hAnsi="宋体"/>
          <w:color w:val="auto"/>
          <w:sz w:val="24"/>
          <w:highlight w:val="none"/>
          <w:u w:val="single"/>
        </w:rPr>
        <w:t xml:space="preserve">        </w:t>
      </w:r>
      <w:r>
        <w:rPr>
          <w:rFonts w:hAnsi="宋体"/>
          <w:color w:val="auto"/>
          <w:kern w:val="0"/>
          <w:sz w:val="24"/>
          <w:highlight w:val="none"/>
        </w:rPr>
        <w:t>承担；</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（2）无负荷联动试车费用由</w:t>
      </w:r>
      <w:r>
        <w:rPr>
          <w:rFonts w:hAnsi="宋体"/>
          <w:color w:val="auto"/>
          <w:sz w:val="24"/>
          <w:highlight w:val="none"/>
          <w:u w:val="single"/>
        </w:rPr>
        <w:t xml:space="preserve">    </w:t>
      </w:r>
      <w:r>
        <w:rPr>
          <w:rFonts w:hint="eastAsia" w:hAnsi="宋体"/>
          <w:color w:val="auto"/>
          <w:sz w:val="24"/>
          <w:highlight w:val="none"/>
          <w:u w:val="single"/>
        </w:rPr>
        <w:t>承包人</w:t>
      </w:r>
      <w:r>
        <w:rPr>
          <w:rFonts w:hAnsi="宋体"/>
          <w:color w:val="auto"/>
          <w:sz w:val="24"/>
          <w:highlight w:val="none"/>
          <w:u w:val="single"/>
        </w:rPr>
        <w:t xml:space="preserve">           </w:t>
      </w:r>
      <w:r>
        <w:rPr>
          <w:rFonts w:hAnsi="宋体"/>
          <w:color w:val="auto"/>
          <w:kern w:val="0"/>
          <w:sz w:val="24"/>
          <w:highlight w:val="none"/>
        </w:rPr>
        <w:t>承担。</w:t>
      </w:r>
    </w:p>
    <w:p>
      <w:pPr>
        <w:spacing w:line="440" w:lineRule="exact"/>
        <w:ind w:firstLine="480" w:firstLineChars="200"/>
        <w:rPr>
          <w:rFonts w:hAnsi="宋体"/>
          <w:color w:val="auto"/>
          <w:kern w:val="0"/>
          <w:sz w:val="24"/>
          <w:highlight w:val="none"/>
        </w:rPr>
      </w:pPr>
      <w:r>
        <w:rPr>
          <w:rFonts w:hAnsi="宋体"/>
          <w:color w:val="auto"/>
          <w:kern w:val="0"/>
          <w:sz w:val="24"/>
          <w:highlight w:val="none"/>
        </w:rPr>
        <w:t>13.3.3 投料试车</w:t>
      </w:r>
    </w:p>
    <w:p>
      <w:pPr>
        <w:spacing w:line="440" w:lineRule="exact"/>
        <w:ind w:firstLine="480" w:firstLineChars="200"/>
        <w:rPr>
          <w:rFonts w:hAnsi="宋体"/>
          <w:color w:val="auto"/>
          <w:kern w:val="0"/>
          <w:sz w:val="24"/>
          <w:highlight w:val="none"/>
        </w:rPr>
      </w:pPr>
      <w:r>
        <w:rPr>
          <w:rFonts w:hint="eastAsia" w:hAnsi="宋体"/>
          <w:color w:val="auto"/>
          <w:kern w:val="0"/>
          <w:sz w:val="24"/>
          <w:highlight w:val="none"/>
        </w:rPr>
        <w:t>关于投料试车相关事项的约定：</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13.6 竣工退场</w:t>
      </w:r>
    </w:p>
    <w:p>
      <w:pPr>
        <w:spacing w:line="440" w:lineRule="exact"/>
        <w:ind w:firstLine="480" w:firstLineChars="200"/>
        <w:rPr>
          <w:rFonts w:hAnsi="宋体"/>
          <w:color w:val="auto"/>
          <w:kern w:val="0"/>
          <w:sz w:val="24"/>
          <w:highlight w:val="none"/>
        </w:rPr>
      </w:pPr>
      <w:r>
        <w:rPr>
          <w:rFonts w:hAnsi="宋体"/>
          <w:color w:val="auto"/>
          <w:kern w:val="0"/>
          <w:sz w:val="24"/>
          <w:highlight w:val="none"/>
        </w:rPr>
        <w:t>13.6.1 竣工退场</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承包人完成竣工退场的期限：</w:t>
      </w:r>
      <w:r>
        <w:rPr>
          <w:rFonts w:hint="eastAsia" w:hAnsi="宋体"/>
          <w:color w:val="auto"/>
          <w:sz w:val="24"/>
          <w:highlight w:val="none"/>
          <w:u w:val="single"/>
        </w:rPr>
        <w:t xml:space="preserve">接到发包人和监理单位要求其清场并撤离的通知后7天内。 </w:t>
      </w:r>
    </w:p>
    <w:bookmarkEnd w:id="877"/>
    <w:bookmarkEnd w:id="878"/>
    <w:bookmarkEnd w:id="879"/>
    <w:bookmarkEnd w:id="880"/>
    <w:bookmarkEnd w:id="881"/>
    <w:bookmarkEnd w:id="882"/>
    <w:bookmarkEnd w:id="883"/>
    <w:bookmarkEnd w:id="889"/>
    <w:p>
      <w:pPr>
        <w:spacing w:line="440" w:lineRule="exact"/>
        <w:ind w:firstLine="480" w:firstLineChars="200"/>
        <w:rPr>
          <w:rFonts w:hint="eastAsia" w:hAnsi="宋体"/>
          <w:color w:val="auto"/>
          <w:sz w:val="24"/>
          <w:highlight w:val="none"/>
        </w:rPr>
      </w:pPr>
      <w:bookmarkStart w:id="890" w:name="_Toc351203646"/>
      <w:bookmarkStart w:id="891" w:name="_Toc351203647"/>
      <w:bookmarkStart w:id="892" w:name="_Toc267251483"/>
      <w:bookmarkStart w:id="893" w:name="_Toc267251484"/>
      <w:bookmarkStart w:id="894" w:name="_Toc267251482"/>
      <w:bookmarkStart w:id="895" w:name="_Toc267251485"/>
      <w:bookmarkStart w:id="896" w:name="_Toc267251486"/>
      <w:bookmarkStart w:id="897" w:name="_Toc267251489"/>
      <w:bookmarkStart w:id="898" w:name="_Toc267251488"/>
      <w:bookmarkStart w:id="899" w:name="_Toc267251490"/>
      <w:bookmarkStart w:id="900" w:name="_Toc267251503"/>
      <w:bookmarkStart w:id="901" w:name="_Toc267251498"/>
      <w:bookmarkStart w:id="902" w:name="_Toc267251493"/>
      <w:bookmarkStart w:id="903" w:name="_Toc267251494"/>
      <w:bookmarkStart w:id="904" w:name="_Toc267251491"/>
      <w:bookmarkStart w:id="905" w:name="_Toc267251495"/>
      <w:bookmarkStart w:id="906" w:name="_Toc267251497"/>
      <w:bookmarkStart w:id="907" w:name="_Toc267251499"/>
      <w:bookmarkStart w:id="908" w:name="_Toc267251496"/>
      <w:bookmarkStart w:id="909" w:name="_Toc267251502"/>
      <w:bookmarkStart w:id="910" w:name="_Toc267251501"/>
      <w:bookmarkStart w:id="911" w:name="_Toc267251492"/>
      <w:bookmarkStart w:id="912" w:name="_Toc267251504"/>
      <w:bookmarkStart w:id="913" w:name="_Toc267251506"/>
      <w:bookmarkStart w:id="914" w:name="_Toc267251507"/>
      <w:bookmarkStart w:id="915" w:name="_Toc267251508"/>
      <w:bookmarkStart w:id="916" w:name="_Toc267251514"/>
      <w:bookmarkStart w:id="917" w:name="_Toc267251515"/>
      <w:bookmarkStart w:id="918" w:name="_Toc267251510"/>
      <w:bookmarkStart w:id="919" w:name="_Toc267251511"/>
      <w:bookmarkStart w:id="920" w:name="_Toc267251513"/>
      <w:bookmarkStart w:id="921" w:name="_Toc267251509"/>
      <w:r>
        <w:rPr>
          <w:rFonts w:hint="eastAsia" w:hAnsi="宋体"/>
          <w:color w:val="auto"/>
          <w:sz w:val="24"/>
          <w:highlight w:val="none"/>
        </w:rPr>
        <w:t>14. 竣工结算</w:t>
      </w:r>
      <w:bookmarkEnd w:id="890"/>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承包人提交竣工结算申请单的期限：根据《杭州市建设工程工程量清单计价实施细则》（2018版）有关规定以及审定的工程结算（报告），做好相关结算工作。根据《杭州市建设工程工程量清单计价实施细则》（2018版）有关规定以及审计部门审定的工程结算，做好相关结算工作。未按规定进行竣工结算的不得进行竣工验收备案、交付使用，有关部门不予办理产权登记。</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承包人应在工程竣工验收合格后28天内向发包人和监理人提交竣工结算申请单，并提交完整的结算资料。</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工程造价在500万元以下的项目，从收到完整的竣工结算书之日起20日内，发包人应提出竣工结算核对意见。（500-2000万的项目，提出核对意见时限30日；2000-5000万的项目，提出核对意见时限45日；5000万以上的项目，提出核对意见时限60日）。</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承包人在收到发包人的核对意见后28天内按要求补充、修改竣工结算文件，并再次提交发包人复核。</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发、承包人均对复核结果无异议的，应于7天内在竣工结算文件上签字确认，竣工结算办理完毕（工程结算核对、答复、办结期限最长不超过6个月）。发包人或承包人对复核结果认为有异议的，对有异议部分应由发承包双方协商解决；协商不成的，应按照合同约定的争议解决方式处理。</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工程结算审查费用由基本收费和核减追加费两部分组成。根据相关规定，结合协审机构政府采购、投标报价情况，工程结算审查基本收费按</w:t>
      </w:r>
      <w:r>
        <w:rPr>
          <w:rFonts w:hint="eastAsia" w:hAnsi="宋体" w:cs="宋体"/>
          <w:color w:val="auto"/>
          <w:sz w:val="24"/>
          <w:highlight w:val="none"/>
          <w:lang w:eastAsia="zh-CN"/>
        </w:rPr>
        <w:t>招标人要求</w:t>
      </w:r>
      <w:r>
        <w:rPr>
          <w:rFonts w:hint="eastAsia" w:hAnsi="宋体" w:cs="宋体"/>
          <w:color w:val="auto"/>
          <w:sz w:val="24"/>
          <w:highlight w:val="none"/>
        </w:rPr>
        <w:t>计取。核减追加费按不高于净核减额的5%计取。</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为有效控制工程造价，防范高估冒算现象的发生，若工程结算审核净核减超过5%，承包人应承担净核减超过送审造价5%部分的核减追加费，即核减追加费以净核减额超过送审造价5%部分为基数。按5%计。</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对监理单位、施工单位、造价咨询单位在工程结算过程中存在的弄虚作假、高估冒算等违纪违法行为，一经查实，相关部门将依法追究责任单位和责任人员的责任。</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建设单位应当在工程价款结算书经财政、审计等相关部门批准或认定之日起30日内报</w:t>
      </w:r>
      <w:r>
        <w:rPr>
          <w:rFonts w:hint="eastAsia" w:hAnsi="宋体" w:cs="宋体"/>
          <w:color w:val="auto"/>
          <w:sz w:val="24"/>
          <w:highlight w:val="none"/>
          <w:lang w:val="en-US" w:eastAsia="zh-CN"/>
        </w:rPr>
        <w:t>有关主管部门</w:t>
      </w:r>
      <w:r>
        <w:rPr>
          <w:rFonts w:hint="eastAsia" w:hAnsi="宋体" w:cs="宋体"/>
          <w:color w:val="auto"/>
          <w:sz w:val="24"/>
          <w:highlight w:val="none"/>
        </w:rPr>
        <w:t>备案。</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竣工结算申请单应包括的内容：结算审计需要的竣工结算的相关资料要求齐全。包括结算书、竣工图纸、通知单、设计变更单、数量认可单、现场签证单、工程质量评定书、验收报告及其它相关资料。竣工结算价应包含原投标报价、工程量清单修正部分的价款、人工及材料调差价、设计变更价、签证价等内容。</w:t>
      </w:r>
    </w:p>
    <w:p>
      <w:pPr>
        <w:spacing w:line="440" w:lineRule="exact"/>
        <w:ind w:firstLine="480" w:firstLineChars="200"/>
        <w:rPr>
          <w:color w:val="auto"/>
          <w:sz w:val="24"/>
          <w:highlight w:val="none"/>
        </w:rPr>
      </w:pPr>
      <w:r>
        <w:rPr>
          <w:color w:val="auto"/>
          <w:sz w:val="24"/>
          <w:highlight w:val="none"/>
        </w:rPr>
        <w:t>15. 缺陷责任期与保修</w:t>
      </w:r>
      <w:bookmarkEnd w:id="891"/>
    </w:p>
    <w:p>
      <w:pPr>
        <w:spacing w:line="440" w:lineRule="exact"/>
        <w:ind w:firstLine="480" w:firstLineChars="200"/>
        <w:rPr>
          <w:rFonts w:hAnsi="宋体"/>
          <w:color w:val="auto"/>
          <w:sz w:val="24"/>
          <w:highlight w:val="none"/>
        </w:rPr>
      </w:pPr>
      <w:r>
        <w:rPr>
          <w:rFonts w:hAnsi="宋体"/>
          <w:color w:val="auto"/>
          <w:sz w:val="24"/>
          <w:highlight w:val="none"/>
        </w:rPr>
        <w:t>15.2缺陷责任期</w:t>
      </w:r>
      <w:bookmarkEnd w:id="892"/>
    </w:p>
    <w:p>
      <w:pPr>
        <w:spacing w:line="440" w:lineRule="exact"/>
        <w:ind w:firstLine="480" w:firstLineChars="200"/>
        <w:rPr>
          <w:rFonts w:hAnsi="宋体"/>
          <w:color w:val="auto"/>
          <w:sz w:val="24"/>
          <w:highlight w:val="none"/>
        </w:rPr>
      </w:pPr>
      <w:r>
        <w:rPr>
          <w:rFonts w:hAnsi="宋体"/>
          <w:color w:val="auto"/>
          <w:sz w:val="24"/>
          <w:highlight w:val="none"/>
        </w:rPr>
        <w:t>缺陷责任期的具体期限：</w:t>
      </w:r>
      <w:r>
        <w:rPr>
          <w:rFonts w:hint="eastAsia" w:hAnsi="宋体" w:cs="宋体"/>
          <w:color w:val="auto"/>
          <w:sz w:val="24"/>
          <w:highlight w:val="none"/>
          <w:u w:val="single"/>
          <w:lang w:val="en-US" w:eastAsia="zh-CN"/>
        </w:rPr>
        <w:t>竣工日起</w:t>
      </w:r>
      <w:r>
        <w:rPr>
          <w:rFonts w:hint="eastAsia" w:hAnsi="宋体" w:cs="宋体"/>
          <w:color w:val="auto"/>
          <w:sz w:val="24"/>
          <w:highlight w:val="none"/>
          <w:u w:val="single"/>
        </w:rPr>
        <w:t>24个月</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15.3 质量保证金</w:t>
      </w:r>
    </w:p>
    <w:p>
      <w:pPr>
        <w:spacing w:line="440" w:lineRule="exact"/>
        <w:ind w:firstLine="480" w:firstLineChars="200"/>
        <w:rPr>
          <w:rFonts w:hAnsi="宋体"/>
          <w:color w:val="auto"/>
          <w:sz w:val="24"/>
          <w:highlight w:val="none"/>
        </w:rPr>
      </w:pPr>
      <w:r>
        <w:rPr>
          <w:rFonts w:hint="eastAsia" w:hAnsi="宋体"/>
          <w:color w:val="auto"/>
          <w:sz w:val="24"/>
          <w:highlight w:val="none"/>
        </w:rPr>
        <w:t>关于是否扣留质量保证金的约定：</w:t>
      </w:r>
      <w:r>
        <w:rPr>
          <w:rFonts w:hint="eastAsia" w:hAnsi="宋体" w:cs="宋体"/>
          <w:color w:val="auto"/>
          <w:sz w:val="24"/>
          <w:highlight w:val="none"/>
          <w:u w:val="single"/>
        </w:rPr>
        <w:t>扣留结算价的</w:t>
      </w:r>
      <w:r>
        <w:rPr>
          <w:rFonts w:hint="eastAsia" w:hAnsi="宋体" w:cs="宋体"/>
          <w:color w:val="auto"/>
          <w:sz w:val="24"/>
          <w:highlight w:val="none"/>
          <w:u w:val="single"/>
          <w:lang w:val="en-US" w:eastAsia="zh-CN"/>
        </w:rPr>
        <w:t>1</w:t>
      </w:r>
      <w:r>
        <w:rPr>
          <w:rFonts w:hint="eastAsia" w:hAnsi="宋体" w:cs="宋体"/>
          <w:color w:val="auto"/>
          <w:sz w:val="24"/>
          <w:highlight w:val="none"/>
          <w:u w:val="single"/>
        </w:rPr>
        <w:t>.5%</w:t>
      </w:r>
      <w:r>
        <w:rPr>
          <w:rFonts w:hAnsi="宋体"/>
          <w:color w:val="auto"/>
          <w:sz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在工程项目竣工前，承包人按专用合同条款第3.7条提供履约担保的，发包人不得同时预留工程质量保证金。</w:t>
      </w:r>
    </w:p>
    <w:p>
      <w:pPr>
        <w:spacing w:line="440" w:lineRule="exact"/>
        <w:ind w:firstLine="480" w:firstLineChars="200"/>
        <w:rPr>
          <w:rFonts w:hAnsi="宋体"/>
          <w:color w:val="auto"/>
          <w:sz w:val="24"/>
          <w:highlight w:val="none"/>
        </w:rPr>
      </w:pPr>
      <w:r>
        <w:rPr>
          <w:rFonts w:hAnsi="宋体"/>
          <w:color w:val="auto"/>
          <w:sz w:val="24"/>
          <w:highlight w:val="none"/>
        </w:rPr>
        <w:t xml:space="preserve">15.3.1 </w:t>
      </w:r>
      <w:r>
        <w:rPr>
          <w:rFonts w:hint="eastAsia" w:hAnsi="宋体"/>
          <w:color w:val="auto"/>
          <w:sz w:val="24"/>
          <w:highlight w:val="none"/>
        </w:rPr>
        <w:t>承包人提供</w:t>
      </w:r>
      <w:r>
        <w:rPr>
          <w:rFonts w:hAnsi="宋体"/>
          <w:color w:val="auto"/>
          <w:sz w:val="24"/>
          <w:highlight w:val="none"/>
        </w:rPr>
        <w:t>质量保证金的</w:t>
      </w:r>
      <w:r>
        <w:rPr>
          <w:rFonts w:hint="eastAsia" w:hAnsi="宋体"/>
          <w:color w:val="auto"/>
          <w:sz w:val="24"/>
          <w:highlight w:val="none"/>
        </w:rPr>
        <w:t>方</w:t>
      </w:r>
      <w:r>
        <w:rPr>
          <w:rFonts w:hAnsi="宋体"/>
          <w:color w:val="auto"/>
          <w:sz w:val="24"/>
          <w:highlight w:val="none"/>
        </w:rPr>
        <w:t>式</w:t>
      </w:r>
    </w:p>
    <w:p>
      <w:pPr>
        <w:spacing w:line="44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rPr>
        <w:t>质量保证金采用以下第</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4</w:t>
      </w:r>
      <w:r>
        <w:rPr>
          <w:rFonts w:hint="eastAsia" w:hAnsi="宋体"/>
          <w:color w:val="auto"/>
          <w:sz w:val="24"/>
          <w:szCs w:val="24"/>
          <w:highlight w:val="none"/>
          <w:u w:val="single"/>
        </w:rPr>
        <w:t xml:space="preserve">） </w:t>
      </w:r>
      <w:r>
        <w:rPr>
          <w:rFonts w:hint="eastAsia" w:hAnsi="宋体"/>
          <w:color w:val="auto"/>
          <w:sz w:val="24"/>
          <w:szCs w:val="24"/>
          <w:highlight w:val="none"/>
        </w:rPr>
        <w:t>种方式：</w:t>
      </w:r>
    </w:p>
    <w:p>
      <w:pPr>
        <w:autoSpaceDE w:val="0"/>
        <w:autoSpaceDN w:val="0"/>
        <w:adjustRightInd w:val="0"/>
        <w:spacing w:line="440" w:lineRule="exact"/>
        <w:ind w:firstLine="482" w:firstLineChars="200"/>
        <w:jc w:val="left"/>
        <w:rPr>
          <w:rFonts w:hint="eastAsia" w:hAnsi="宋体"/>
          <w:b/>
          <w:bCs/>
          <w:color w:val="auto"/>
          <w:kern w:val="0"/>
          <w:sz w:val="24"/>
          <w:szCs w:val="24"/>
          <w:highlight w:val="none"/>
        </w:rPr>
      </w:pPr>
      <w:r>
        <w:rPr>
          <w:rFonts w:hint="eastAsia" w:hAnsi="宋体"/>
          <w:b/>
          <w:bCs/>
          <w:color w:val="auto"/>
          <w:kern w:val="0"/>
          <w:sz w:val="24"/>
          <w:szCs w:val="24"/>
          <w:highlight w:val="none"/>
        </w:rPr>
        <w:t>（1）质量保证金保函，保证金额为：</w:t>
      </w:r>
      <w:r>
        <w:rPr>
          <w:rFonts w:hint="eastAsia" w:hAnsi="宋体"/>
          <w:b/>
          <w:bCs/>
          <w:color w:val="auto"/>
          <w:kern w:val="0"/>
          <w:sz w:val="24"/>
          <w:szCs w:val="24"/>
          <w:highlight w:val="none"/>
          <w:u w:val="single"/>
        </w:rPr>
        <w:t xml:space="preserve">                   </w:t>
      </w:r>
      <w:r>
        <w:rPr>
          <w:rFonts w:hint="eastAsia" w:hAnsi="宋体"/>
          <w:b/>
          <w:bCs/>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（2）保证保险，保证金额为：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%的工程款；</w:t>
      </w:r>
    </w:p>
    <w:p>
      <w:pPr>
        <w:autoSpaceDE w:val="0"/>
        <w:autoSpaceDN w:val="0"/>
        <w:adjustRightInd w:val="0"/>
        <w:spacing w:line="440" w:lineRule="exact"/>
        <w:ind w:firstLine="482" w:firstLineChars="200"/>
        <w:jc w:val="left"/>
        <w:rPr>
          <w:rFonts w:hint="eastAsia" w:hAnsi="宋体"/>
          <w:b/>
          <w:bCs/>
          <w:color w:val="auto"/>
          <w:kern w:val="0"/>
          <w:sz w:val="24"/>
          <w:szCs w:val="24"/>
          <w:highlight w:val="none"/>
        </w:rPr>
      </w:pPr>
      <w:r>
        <w:rPr>
          <w:rFonts w:hint="eastAsia" w:hAnsi="宋体"/>
          <w:b/>
          <w:bCs/>
          <w:color w:val="auto"/>
          <w:kern w:val="0"/>
          <w:sz w:val="24"/>
          <w:szCs w:val="24"/>
          <w:highlight w:val="none"/>
        </w:rPr>
        <w:t>（</w:t>
      </w:r>
      <w:r>
        <w:rPr>
          <w:rFonts w:hint="eastAsia" w:hAnsi="宋体"/>
          <w:b/>
          <w:bCs/>
          <w:color w:val="auto"/>
          <w:kern w:val="0"/>
          <w:sz w:val="24"/>
          <w:szCs w:val="24"/>
          <w:highlight w:val="none"/>
          <w:lang w:val="en-US" w:eastAsia="zh-CN"/>
        </w:rPr>
        <w:t>4</w:t>
      </w:r>
      <w:r>
        <w:rPr>
          <w:rFonts w:hint="eastAsia" w:hAnsi="宋体"/>
          <w:b/>
          <w:bCs/>
          <w:color w:val="auto"/>
          <w:kern w:val="0"/>
          <w:sz w:val="24"/>
          <w:szCs w:val="24"/>
          <w:highlight w:val="none"/>
        </w:rPr>
        <w:t>）其他方式:</w:t>
      </w:r>
      <w:r>
        <w:rPr>
          <w:rFonts w:hint="eastAsia" w:hAnsi="宋体"/>
          <w:b/>
          <w:bCs/>
          <w:color w:val="auto"/>
          <w:kern w:val="0"/>
          <w:sz w:val="24"/>
          <w:szCs w:val="24"/>
          <w:highlight w:val="none"/>
          <w:u w:val="single"/>
        </w:rPr>
        <w:t xml:space="preserve">  </w:t>
      </w:r>
      <w:r>
        <w:rPr>
          <w:rFonts w:hint="eastAsia" w:hAnsi="宋体"/>
          <w:b/>
          <w:bCs/>
          <w:color w:val="auto"/>
          <w:sz w:val="24"/>
          <w:szCs w:val="24"/>
          <w:highlight w:val="none"/>
          <w:u w:val="single"/>
        </w:rPr>
        <w:t>合同结算价的</w:t>
      </w:r>
      <w:r>
        <w:rPr>
          <w:rFonts w:hint="eastAsia" w:hAnsi="宋体"/>
          <w:b/>
          <w:bCs/>
          <w:color w:val="auto"/>
          <w:sz w:val="24"/>
          <w:szCs w:val="24"/>
          <w:highlight w:val="none"/>
          <w:u w:val="single"/>
          <w:lang w:val="en-US" w:eastAsia="zh-CN"/>
        </w:rPr>
        <w:t>1</w:t>
      </w:r>
      <w:r>
        <w:rPr>
          <w:rFonts w:hint="eastAsia" w:hAnsi="宋体"/>
          <w:b/>
          <w:bCs/>
          <w:color w:val="auto"/>
          <w:sz w:val="24"/>
          <w:szCs w:val="24"/>
          <w:highlight w:val="none"/>
          <w:u w:val="single"/>
        </w:rPr>
        <w:t>.5%</w:t>
      </w:r>
      <w:r>
        <w:rPr>
          <w:rFonts w:hint="eastAsia" w:hAnsi="宋体"/>
          <w:b/>
          <w:bCs/>
          <w:color w:val="auto"/>
          <w:kern w:val="0"/>
          <w:sz w:val="24"/>
          <w:szCs w:val="24"/>
          <w:highlight w:val="none"/>
          <w:u w:val="single"/>
        </w:rPr>
        <w:t xml:space="preserve">    </w:t>
      </w:r>
      <w:r>
        <w:rPr>
          <w:rFonts w:hint="eastAsia" w:hAnsi="宋体"/>
          <w:b/>
          <w:bCs/>
          <w:color w:val="auto"/>
          <w:kern w:val="0"/>
          <w:sz w:val="24"/>
          <w:szCs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 xml:space="preserve">15.3.2 质量保证金的扣留 </w:t>
      </w:r>
    </w:p>
    <w:p>
      <w:pPr>
        <w:spacing w:line="440" w:lineRule="exact"/>
        <w:ind w:firstLine="480" w:firstLineChars="200"/>
        <w:rPr>
          <w:rFonts w:hAnsi="宋体"/>
          <w:color w:val="auto"/>
          <w:sz w:val="24"/>
          <w:highlight w:val="none"/>
        </w:rPr>
      </w:pPr>
      <w:r>
        <w:rPr>
          <w:rFonts w:hAnsi="宋体"/>
          <w:color w:val="auto"/>
          <w:sz w:val="24"/>
          <w:highlight w:val="none"/>
        </w:rPr>
        <w:t>质量保证金的扣留采取以下第</w:t>
      </w:r>
      <w:r>
        <w:rPr>
          <w:rFonts w:hAnsi="宋体"/>
          <w:color w:val="auto"/>
          <w:sz w:val="24"/>
          <w:highlight w:val="none"/>
          <w:u w:val="single"/>
        </w:rPr>
        <w:t xml:space="preserve"> </w:t>
      </w:r>
      <w:r>
        <w:rPr>
          <w:rFonts w:hint="eastAsia" w:hAnsi="宋体"/>
          <w:color w:val="auto"/>
          <w:sz w:val="24"/>
          <w:highlight w:val="none"/>
          <w:u w:val="single"/>
        </w:rPr>
        <w:t>（2）</w:t>
      </w:r>
      <w:r>
        <w:rPr>
          <w:rFonts w:hAnsi="宋体"/>
          <w:color w:val="auto"/>
          <w:sz w:val="24"/>
          <w:highlight w:val="none"/>
          <w:u w:val="single"/>
        </w:rPr>
        <w:t xml:space="preserve"> </w:t>
      </w:r>
      <w:r>
        <w:rPr>
          <w:rFonts w:hAnsi="宋体"/>
          <w:color w:val="auto"/>
          <w:sz w:val="24"/>
          <w:highlight w:val="none"/>
        </w:rPr>
        <w:t>种方式：</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（1）在支付工程进度款时逐次扣留，在此情形下，质量保证金的计算基数不包括预付款的支付、扣回以及价格调整的金额；</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（2）工程竣工结算时一次性扣留质量保证金；</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（3）其他扣留方式:</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关于质量保证金的补充约定：</w:t>
      </w:r>
      <w:r>
        <w:rPr>
          <w:rFonts w:hint="eastAsia" w:hAnsi="宋体"/>
          <w:color w:val="auto"/>
          <w:kern w:val="0"/>
          <w:sz w:val="24"/>
          <w:highlight w:val="none"/>
          <w:u w:val="single"/>
        </w:rPr>
        <w:t>中标后双方协商</w:t>
      </w:r>
      <w:r>
        <w:rPr>
          <w:rFonts w:hAnsi="宋体"/>
          <w:color w:val="auto"/>
          <w:kern w:val="0"/>
          <w:sz w:val="24"/>
          <w:highlight w:val="none"/>
        </w:rPr>
        <w:t>。</w:t>
      </w:r>
    </w:p>
    <w:bookmarkEnd w:id="893"/>
    <w:bookmarkEnd w:id="894"/>
    <w:p>
      <w:pPr>
        <w:spacing w:line="440" w:lineRule="exact"/>
        <w:ind w:firstLine="480" w:firstLineChars="200"/>
        <w:rPr>
          <w:rFonts w:hAnsi="宋体"/>
          <w:color w:val="auto"/>
          <w:sz w:val="24"/>
          <w:highlight w:val="none"/>
        </w:rPr>
      </w:pPr>
      <w:r>
        <w:rPr>
          <w:rFonts w:hAnsi="宋体"/>
          <w:color w:val="auto"/>
          <w:sz w:val="24"/>
          <w:highlight w:val="none"/>
        </w:rPr>
        <w:t>15.4保修</w:t>
      </w:r>
    </w:p>
    <w:bookmarkEnd w:id="895"/>
    <w:p>
      <w:pPr>
        <w:spacing w:line="440" w:lineRule="exact"/>
        <w:ind w:firstLine="480" w:firstLineChars="200"/>
        <w:rPr>
          <w:rFonts w:hAnsi="宋体"/>
          <w:color w:val="auto"/>
          <w:sz w:val="24"/>
          <w:highlight w:val="none"/>
        </w:rPr>
      </w:pPr>
      <w:r>
        <w:rPr>
          <w:rFonts w:hAnsi="宋体"/>
          <w:color w:val="auto"/>
          <w:sz w:val="24"/>
          <w:highlight w:val="none"/>
        </w:rPr>
        <w:t>15.4.1 保修责任</w:t>
      </w:r>
    </w:p>
    <w:p>
      <w:pPr>
        <w:spacing w:line="440" w:lineRule="exact"/>
        <w:ind w:firstLine="480" w:firstLineChars="200"/>
        <w:rPr>
          <w:rFonts w:hAnsi="宋体"/>
          <w:color w:val="auto"/>
          <w:kern w:val="0"/>
          <w:sz w:val="24"/>
          <w:highlight w:val="none"/>
          <w:u w:val="single"/>
        </w:rPr>
      </w:pPr>
      <w:r>
        <w:rPr>
          <w:rFonts w:hAnsi="宋体"/>
          <w:color w:val="auto"/>
          <w:sz w:val="24"/>
          <w:highlight w:val="none"/>
        </w:rPr>
        <w:t>工程保修期为：</w:t>
      </w:r>
      <w:r>
        <w:rPr>
          <w:rFonts w:hint="eastAsia" w:hAnsi="宋体"/>
          <w:color w:val="auto"/>
          <w:kern w:val="0"/>
          <w:sz w:val="24"/>
          <w:highlight w:val="none"/>
          <w:u w:val="single"/>
        </w:rPr>
        <w:t>保修期遵照质量保修书约定。</w:t>
      </w:r>
    </w:p>
    <w:p>
      <w:pPr>
        <w:spacing w:line="440" w:lineRule="exact"/>
        <w:ind w:firstLine="480" w:firstLineChars="200"/>
        <w:rPr>
          <w:rFonts w:hAnsi="宋体"/>
          <w:color w:val="auto"/>
          <w:sz w:val="24"/>
          <w:highlight w:val="none"/>
        </w:rPr>
      </w:pPr>
      <w:r>
        <w:rPr>
          <w:rFonts w:hAnsi="宋体"/>
          <w:color w:val="auto"/>
          <w:sz w:val="24"/>
          <w:highlight w:val="none"/>
        </w:rPr>
        <w:t>15.4.3 修复通知</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承包人收到保修通知并到达工程现场的合理时间：</w:t>
      </w:r>
      <w:r>
        <w:rPr>
          <w:rFonts w:hint="eastAsia" w:hAnsi="宋体"/>
          <w:color w:val="auto"/>
          <w:kern w:val="0"/>
          <w:sz w:val="24"/>
          <w:highlight w:val="none"/>
          <w:u w:val="single"/>
        </w:rPr>
        <w:t>12小时内</w:t>
      </w:r>
      <w:r>
        <w:rPr>
          <w:rFonts w:hAnsi="宋体"/>
          <w:color w:val="auto"/>
          <w:kern w:val="0"/>
          <w:sz w:val="24"/>
          <w:highlight w:val="none"/>
        </w:rPr>
        <w:t>。</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在法定的保修期内工程发生质量问题，无论发包人以何种方式通知承包人，承包人必须按照规定的时间到场进行维修，并一次性维修合格；不能按时到场进行维修的或一次性维修不合格的，发包人可另行委托他人进行维修，所发生的维修费用由承包人支付。</w:t>
      </w:r>
    </w:p>
    <w:bookmarkEnd w:id="896"/>
    <w:bookmarkEnd w:id="897"/>
    <w:bookmarkEnd w:id="898"/>
    <w:bookmarkEnd w:id="899"/>
    <w:p>
      <w:pPr>
        <w:spacing w:line="440" w:lineRule="exact"/>
        <w:ind w:firstLine="480" w:firstLineChars="200"/>
        <w:rPr>
          <w:color w:val="auto"/>
          <w:sz w:val="24"/>
          <w:highlight w:val="none"/>
        </w:rPr>
      </w:pPr>
      <w:bookmarkStart w:id="922" w:name="_Toc351203648"/>
      <w:bookmarkStart w:id="923" w:name="_Toc280868717"/>
      <w:bookmarkStart w:id="924" w:name="_Toc280868718"/>
      <w:r>
        <w:rPr>
          <w:color w:val="auto"/>
          <w:sz w:val="24"/>
          <w:highlight w:val="none"/>
        </w:rPr>
        <w:t>16. 违约</w:t>
      </w:r>
      <w:bookmarkEnd w:id="922"/>
    </w:p>
    <w:p>
      <w:pPr>
        <w:spacing w:line="440" w:lineRule="exact"/>
        <w:ind w:firstLine="480" w:firstLineChars="200"/>
        <w:rPr>
          <w:rFonts w:hAnsi="宋体"/>
          <w:color w:val="auto"/>
          <w:sz w:val="24"/>
          <w:highlight w:val="none"/>
        </w:rPr>
      </w:pPr>
      <w:r>
        <w:rPr>
          <w:rFonts w:hAnsi="宋体"/>
          <w:color w:val="auto"/>
          <w:sz w:val="24"/>
          <w:highlight w:val="none"/>
        </w:rPr>
        <w:t>16.1 发包人违约</w:t>
      </w:r>
    </w:p>
    <w:p>
      <w:pPr>
        <w:spacing w:line="440" w:lineRule="exact"/>
        <w:ind w:firstLine="480" w:firstLineChars="200"/>
        <w:rPr>
          <w:rFonts w:hAnsi="宋体"/>
          <w:color w:val="auto"/>
          <w:sz w:val="24"/>
          <w:highlight w:val="none"/>
        </w:rPr>
      </w:pPr>
      <w:r>
        <w:rPr>
          <w:rFonts w:hAnsi="宋体"/>
          <w:color w:val="auto"/>
          <w:sz w:val="24"/>
          <w:highlight w:val="none"/>
        </w:rPr>
        <w:t>16.1.1发包人违约的情形</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发包人违约的其他情形：</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 xml:space="preserve">    16.1.2 发包人违约的责任</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发包人违约责任的承担方式和计算方法：</w:t>
      </w:r>
    </w:p>
    <w:p>
      <w:pPr>
        <w:spacing w:line="440" w:lineRule="exact"/>
        <w:ind w:firstLine="480" w:firstLineChars="200"/>
        <w:rPr>
          <w:rFonts w:hAnsi="宋体"/>
          <w:color w:val="auto"/>
          <w:kern w:val="0"/>
          <w:sz w:val="24"/>
          <w:highlight w:val="none"/>
          <w:u w:val="single"/>
        </w:rPr>
      </w:pPr>
      <w:r>
        <w:rPr>
          <w:rFonts w:hAnsi="宋体"/>
          <w:color w:val="auto"/>
          <w:kern w:val="0"/>
          <w:sz w:val="24"/>
          <w:highlight w:val="none"/>
        </w:rPr>
        <w:t>（1）因发包人原因未能在计划开工日期前7天内下达开工通知的违约责任：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（2）因发包人原因未能按合同约定支付合同价款的违约责任：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（3）发包人违反第10.1款</w:t>
      </w:r>
      <w:r>
        <w:rPr>
          <w:rFonts w:hint="eastAsia" w:hAnsi="宋体"/>
          <w:color w:val="auto"/>
          <w:kern w:val="0"/>
          <w:sz w:val="24"/>
          <w:highlight w:val="none"/>
        </w:rPr>
        <w:t>〔</w:t>
      </w:r>
      <w:r>
        <w:rPr>
          <w:rFonts w:hAnsi="宋体"/>
          <w:color w:val="auto"/>
          <w:kern w:val="0"/>
          <w:sz w:val="24"/>
          <w:highlight w:val="none"/>
        </w:rPr>
        <w:t>变更的范围</w:t>
      </w:r>
      <w:r>
        <w:rPr>
          <w:rFonts w:hint="eastAsia" w:hAnsi="宋体"/>
          <w:color w:val="auto"/>
          <w:kern w:val="0"/>
          <w:sz w:val="24"/>
          <w:highlight w:val="none"/>
        </w:rPr>
        <w:t>〕</w:t>
      </w:r>
      <w:r>
        <w:rPr>
          <w:rFonts w:hAnsi="宋体"/>
          <w:color w:val="auto"/>
          <w:kern w:val="0"/>
          <w:sz w:val="24"/>
          <w:highlight w:val="none"/>
        </w:rPr>
        <w:t>第（2）项约定，自行实施被取消的工作或转由他人实施的违约责任：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（5）因发包人违反合同约定造成暂停施工的违约责任：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（6）发包人无正当理由没有在约定期限内发出复工指示，导致承包人无法复工的违约责任：</w:t>
      </w:r>
      <w:r>
        <w:rPr>
          <w:rFonts w:hAnsi="宋体"/>
          <w:color w:val="auto"/>
          <w:kern w:val="0"/>
          <w:sz w:val="24"/>
          <w:highlight w:val="none"/>
          <w:u w:val="single"/>
        </w:rPr>
        <w:t xml:space="preserve">         </w:t>
      </w:r>
      <w:r>
        <w:rPr>
          <w:rFonts w:hint="eastAsia" w:hAnsi="宋体"/>
          <w:color w:val="auto"/>
          <w:kern w:val="0"/>
          <w:sz w:val="24"/>
          <w:highlight w:val="none"/>
          <w:u w:val="single"/>
        </w:rPr>
        <w:t>/</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（7）</w:t>
      </w:r>
      <w:r>
        <w:rPr>
          <w:rFonts w:hint="eastAsia" w:hAnsi="宋体"/>
          <w:color w:val="auto"/>
          <w:kern w:val="0"/>
          <w:sz w:val="24"/>
          <w:highlight w:val="none"/>
        </w:rPr>
        <w:t>其他：</w:t>
      </w:r>
      <w:r>
        <w:rPr>
          <w:rFonts w:hAnsi="宋体"/>
          <w:color w:val="auto"/>
          <w:kern w:val="0"/>
          <w:sz w:val="24"/>
          <w:highlight w:val="none"/>
          <w:u w:val="single"/>
        </w:rPr>
        <w:t xml:space="preserve">      </w:t>
      </w:r>
      <w:r>
        <w:rPr>
          <w:rFonts w:hint="eastAsia" w:hAnsi="宋体"/>
          <w:color w:val="auto"/>
          <w:kern w:val="0"/>
          <w:sz w:val="24"/>
          <w:highlight w:val="none"/>
          <w:u w:val="single"/>
        </w:rPr>
        <w:t>/</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16.1.3 因发包人违约解除合同</w:t>
      </w:r>
    </w:p>
    <w:p>
      <w:pPr>
        <w:autoSpaceDE w:val="0"/>
        <w:autoSpaceDN w:val="0"/>
        <w:adjustRightInd w:val="0"/>
        <w:spacing w:line="440" w:lineRule="exact"/>
        <w:ind w:firstLine="480" w:firstLineChars="200"/>
        <w:rPr>
          <w:rFonts w:hint="eastAsia" w:hAnsi="宋体"/>
          <w:color w:val="auto"/>
          <w:kern w:val="0"/>
          <w:sz w:val="24"/>
          <w:highlight w:val="none"/>
        </w:rPr>
      </w:pPr>
      <w:r>
        <w:rPr>
          <w:rFonts w:hAnsi="宋体"/>
          <w:color w:val="auto"/>
          <w:kern w:val="0"/>
          <w:sz w:val="24"/>
          <w:highlight w:val="none"/>
        </w:rPr>
        <w:t>承包人按16.1.1项</w:t>
      </w:r>
      <w:r>
        <w:rPr>
          <w:rFonts w:hint="eastAsia" w:hAnsi="宋体"/>
          <w:color w:val="auto"/>
          <w:kern w:val="0"/>
          <w:sz w:val="24"/>
          <w:highlight w:val="none"/>
        </w:rPr>
        <w:t>〔</w:t>
      </w:r>
      <w:r>
        <w:rPr>
          <w:rFonts w:hAnsi="宋体"/>
          <w:color w:val="auto"/>
          <w:kern w:val="0"/>
          <w:sz w:val="24"/>
          <w:highlight w:val="none"/>
        </w:rPr>
        <w:t>发包人违约的情形</w:t>
      </w:r>
      <w:r>
        <w:rPr>
          <w:rFonts w:hint="eastAsia" w:hAnsi="宋体"/>
          <w:color w:val="auto"/>
          <w:kern w:val="0"/>
          <w:sz w:val="24"/>
          <w:highlight w:val="none"/>
        </w:rPr>
        <w:t>〕</w:t>
      </w:r>
      <w:r>
        <w:rPr>
          <w:rFonts w:hAnsi="宋体"/>
          <w:color w:val="auto"/>
          <w:kern w:val="0"/>
          <w:sz w:val="24"/>
          <w:highlight w:val="none"/>
        </w:rPr>
        <w:t>约定暂停施工满</w:t>
      </w:r>
      <w:r>
        <w:rPr>
          <w:rFonts w:hAnsi="宋体"/>
          <w:color w:val="auto"/>
          <w:kern w:val="0"/>
          <w:sz w:val="24"/>
          <w:highlight w:val="none"/>
          <w:u w:val="single"/>
        </w:rPr>
        <w:t xml:space="preserve">  </w:t>
      </w:r>
      <w:r>
        <w:rPr>
          <w:rFonts w:hint="eastAsia" w:hAnsi="宋体"/>
          <w:color w:val="auto"/>
          <w:kern w:val="0"/>
          <w:sz w:val="24"/>
          <w:highlight w:val="none"/>
          <w:u w:val="single"/>
        </w:rPr>
        <w:t>/</w:t>
      </w:r>
      <w:r>
        <w:rPr>
          <w:rFonts w:hAnsi="宋体"/>
          <w:color w:val="auto"/>
          <w:kern w:val="0"/>
          <w:sz w:val="24"/>
          <w:highlight w:val="none"/>
          <w:u w:val="single"/>
        </w:rPr>
        <w:t xml:space="preserve">  </w:t>
      </w:r>
      <w:r>
        <w:rPr>
          <w:rFonts w:hAnsi="宋体"/>
          <w:color w:val="auto"/>
          <w:kern w:val="0"/>
          <w:sz w:val="24"/>
          <w:highlight w:val="none"/>
        </w:rPr>
        <w:t>天后发包人仍不纠正其违约行为并致使合同目的不能实现的，承包人有权解除合同。</w:t>
      </w:r>
    </w:p>
    <w:p>
      <w:pPr>
        <w:spacing w:line="440" w:lineRule="exact"/>
        <w:ind w:firstLine="480" w:firstLineChars="200"/>
        <w:rPr>
          <w:rFonts w:hAnsi="宋体"/>
          <w:color w:val="auto"/>
          <w:sz w:val="24"/>
          <w:highlight w:val="none"/>
        </w:rPr>
      </w:pPr>
      <w:r>
        <w:rPr>
          <w:rFonts w:hAnsi="宋体"/>
          <w:color w:val="auto"/>
          <w:sz w:val="24"/>
          <w:highlight w:val="none"/>
        </w:rPr>
        <w:t>16.2 承包人违约</w:t>
      </w:r>
    </w:p>
    <w:p>
      <w:pPr>
        <w:spacing w:line="440" w:lineRule="exact"/>
        <w:ind w:firstLine="480" w:firstLineChars="200"/>
        <w:rPr>
          <w:rFonts w:hAnsi="宋体"/>
          <w:color w:val="auto"/>
          <w:kern w:val="0"/>
          <w:sz w:val="24"/>
          <w:highlight w:val="none"/>
        </w:rPr>
      </w:pPr>
      <w:r>
        <w:rPr>
          <w:rFonts w:hAnsi="宋体"/>
          <w:color w:val="auto"/>
          <w:kern w:val="0"/>
          <w:sz w:val="24"/>
          <w:highlight w:val="none"/>
        </w:rPr>
        <w:t>16.2.1 承包人违约的情形</w:t>
      </w:r>
    </w:p>
    <w:p>
      <w:pPr>
        <w:spacing w:line="440" w:lineRule="exact"/>
        <w:ind w:firstLine="480" w:firstLineChars="200"/>
        <w:rPr>
          <w:rFonts w:hint="eastAsia" w:hAnsi="宋体"/>
          <w:b/>
          <w:color w:val="auto"/>
          <w:sz w:val="24"/>
          <w:highlight w:val="none"/>
          <w:u w:val="single"/>
        </w:rPr>
      </w:pPr>
      <w:r>
        <w:rPr>
          <w:rFonts w:hAnsi="宋体"/>
          <w:color w:val="auto"/>
          <w:kern w:val="0"/>
          <w:sz w:val="24"/>
          <w:highlight w:val="none"/>
        </w:rPr>
        <w:t>承包人违约的其他情形：</w:t>
      </w:r>
      <w:r>
        <w:rPr>
          <w:rFonts w:hint="eastAsia" w:hAnsi="宋体"/>
          <w:b/>
          <w:color w:val="auto"/>
          <w:sz w:val="24"/>
          <w:highlight w:val="none"/>
          <w:u w:val="single"/>
        </w:rPr>
        <w:t xml:space="preserve">中标工期即为合同工期，工期实行履约措施。承包人如不能按时完成竣工工期的工作，按本合同有关条款处以违约金，并承担监理延期费用。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符合国家施工质量验收规定合格标准。中标人投标质量承诺等级即为合同质量等级。质量等级以招标人评定的等级为准。承包人必须严格按照施工图及工程施工验收规范等精心组织施工，严格把好每道工序的质量关，确保工程质量达到质量目标。经验收，如有不合格工程，在监理发出整改通知书后承包人无条件返工、整改、采取相应的补救、修复措施，如再次验收还是不合格，根据《建设工程施工现场管理规定》、《杭州市建筑工地文明施工管理规定》等相关规定，承包工程人无条件返工、整改、采取相应的补救、修复措施直至验收合格，由此追加的费用和延误的工期均由承包人负责。工程质量如一次性验收达不到合格质量目标，除扣除其全额质量履约保证金外，并处以工程结算造价的5%的违约金。</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其它情形：</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①</w:t>
      </w:r>
      <w:r>
        <w:rPr>
          <w:rFonts w:hint="eastAsia" w:hAnsi="宋体"/>
          <w:color w:val="auto"/>
          <w:sz w:val="24"/>
          <w:highlight w:val="none"/>
          <w:u w:val="single"/>
        </w:rPr>
        <w:t>不定期进行安全文明施工检查，施工单位应及时整改，被一次警告后不作处罚，限期整改，被二次警告后扣除相应比例的文明施工费，另若由于施工不文明、不安全而被新闻单位曝光或交通或有关管理部门检查后通报或发生安全事故的，根据《建设工程施工现场管理规定》、《杭州市建筑工地文明施工管理规定》等相关规定进行处罚。</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②</w:t>
      </w:r>
      <w:r>
        <w:rPr>
          <w:rFonts w:hint="eastAsia" w:hAnsi="宋体"/>
          <w:b/>
          <w:color w:val="auto"/>
          <w:sz w:val="24"/>
          <w:highlight w:val="none"/>
        </w:rPr>
        <w:t>项目班子保证金的具体规定</w:t>
      </w:r>
      <w:r>
        <w:rPr>
          <w:rFonts w:hint="eastAsia" w:hAnsi="宋体"/>
          <w:color w:val="auto"/>
          <w:sz w:val="24"/>
          <w:highlight w:val="none"/>
        </w:rPr>
        <w:t>：</w:t>
      </w:r>
      <w:r>
        <w:rPr>
          <w:rFonts w:hint="eastAsia" w:hAnsi="宋体"/>
          <w:color w:val="auto"/>
          <w:sz w:val="24"/>
          <w:highlight w:val="none"/>
          <w:u w:val="single"/>
        </w:rPr>
        <w:t xml:space="preserve">中标后，承包人的项目负责人(建造师)在项目实施阶段不可调换。如有特殊情况，经招标人批准可以调换，但须追加10万元项目班子保证金。工程项目负责人(建造师)到岗必须每月不少于26天，否则按承包方违约论处，招标人按本合同有关条款对承包人处以违约金；其它项目班子主要成员主要包括技术负责、施工员、安全员、质检员等工程技术与管理人员，到岗率必须达到100%，达不到的，招标人按本合同有关条款对承包人处以违约金；到岗率按月计算，并由建设单位本工程管理人员或委托监理人考核。  </w:t>
      </w:r>
    </w:p>
    <w:p>
      <w:pPr>
        <w:spacing w:line="440" w:lineRule="exact"/>
        <w:ind w:firstLine="480" w:firstLineChars="200"/>
        <w:rPr>
          <w:rFonts w:hint="eastAsia" w:hAnsi="宋体"/>
          <w:color w:val="auto"/>
          <w:sz w:val="24"/>
          <w:highlight w:val="none"/>
          <w:u w:val="single"/>
        </w:rPr>
      </w:pPr>
      <w:r>
        <w:rPr>
          <w:rFonts w:hAnsi="宋体"/>
          <w:color w:val="auto"/>
          <w:sz w:val="24"/>
          <w:highlight w:val="none"/>
          <w:u w:val="single"/>
        </w:rPr>
        <w:t>③</w:t>
      </w:r>
      <w:r>
        <w:rPr>
          <w:rFonts w:hint="eastAsia" w:hAnsi="宋体"/>
          <w:color w:val="auto"/>
          <w:sz w:val="24"/>
          <w:highlight w:val="none"/>
          <w:u w:val="single"/>
        </w:rPr>
        <w:t>未经发包人同意，承包人擅自变更施工方案、拆改结构或设备管线的，每发现一次将扣除质量担保的履约保证金1%，由此发生的损失或事故（包括罚款），由承包人负责并承担损失。</w:t>
      </w:r>
    </w:p>
    <w:p>
      <w:pPr>
        <w:spacing w:line="440" w:lineRule="exact"/>
        <w:ind w:firstLine="480" w:firstLineChars="200"/>
        <w:rPr>
          <w:rFonts w:hint="eastAsia" w:hAnsi="宋体"/>
          <w:color w:val="auto"/>
          <w:sz w:val="24"/>
          <w:highlight w:val="none"/>
          <w:u w:val="single"/>
        </w:rPr>
      </w:pPr>
      <w:r>
        <w:rPr>
          <w:rFonts w:hAnsi="宋体"/>
          <w:color w:val="auto"/>
          <w:sz w:val="24"/>
          <w:highlight w:val="none"/>
          <w:u w:val="single"/>
        </w:rPr>
        <w:t>④</w:t>
      </w:r>
      <w:r>
        <w:rPr>
          <w:rFonts w:hint="eastAsia" w:hAnsi="宋体"/>
          <w:color w:val="auto"/>
          <w:sz w:val="24"/>
          <w:highlight w:val="none"/>
          <w:u w:val="single"/>
        </w:rPr>
        <w:t>本工程不得转包，否则，一经发现，即被视为违约，发包人有权终止合同，并有权扣罚合同造价10%的违约金。</w:t>
      </w:r>
    </w:p>
    <w:p>
      <w:pPr>
        <w:spacing w:line="440" w:lineRule="exact"/>
        <w:ind w:firstLine="480" w:firstLineChars="200"/>
        <w:rPr>
          <w:rFonts w:hAnsi="宋体"/>
          <w:color w:val="auto"/>
          <w:kern w:val="0"/>
          <w:sz w:val="24"/>
          <w:highlight w:val="none"/>
        </w:rPr>
      </w:pPr>
      <w:r>
        <w:rPr>
          <w:rFonts w:hAnsi="宋体"/>
          <w:color w:val="auto"/>
          <w:kern w:val="0"/>
          <w:sz w:val="24"/>
          <w:highlight w:val="none"/>
        </w:rPr>
        <w:t>16.2.2承包人违约的责任</w:t>
      </w:r>
    </w:p>
    <w:p>
      <w:pPr>
        <w:spacing w:line="440" w:lineRule="exact"/>
        <w:ind w:firstLine="480" w:firstLineChars="200"/>
        <w:rPr>
          <w:rFonts w:hAnsi="宋体"/>
          <w:color w:val="auto"/>
          <w:kern w:val="0"/>
          <w:sz w:val="24"/>
          <w:highlight w:val="none"/>
          <w:u w:val="single"/>
        </w:rPr>
      </w:pPr>
      <w:r>
        <w:rPr>
          <w:rFonts w:hAnsi="宋体"/>
          <w:color w:val="auto"/>
          <w:kern w:val="0"/>
          <w:sz w:val="24"/>
          <w:highlight w:val="none"/>
        </w:rPr>
        <w:t>承包人违约责任的承担方式和计算方法：</w:t>
      </w:r>
      <w:r>
        <w:rPr>
          <w:rFonts w:hAnsi="宋体"/>
          <w:color w:val="auto"/>
          <w:kern w:val="0"/>
          <w:sz w:val="24"/>
          <w:highlight w:val="none"/>
          <w:u w:val="single"/>
        </w:rPr>
        <w:t xml:space="preserve">                 </w:t>
      </w:r>
      <w:r>
        <w:rPr>
          <w:rFonts w:hAnsi="宋体"/>
          <w:color w:val="auto"/>
          <w:kern w:val="0"/>
          <w:sz w:val="24"/>
          <w:highlight w:val="none"/>
        </w:rPr>
        <w:t>。</w:t>
      </w:r>
      <w:r>
        <w:rPr>
          <w:rFonts w:hAnsi="宋体"/>
          <w:color w:val="auto"/>
          <w:sz w:val="24"/>
          <w:highlight w:val="non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16.2.3 因承包人违约解除合同</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关于承包人违约解除合同的特别约定：</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w:t>
      </w:r>
      <w:r>
        <w:rPr>
          <w:rFonts w:hint="eastAsia" w:hAnsi="宋体"/>
          <w:color w:val="auto"/>
          <w:kern w:val="0"/>
          <w:sz w:val="24"/>
          <w:highlight w:val="none"/>
        </w:rPr>
        <w:t>继续</w:t>
      </w:r>
      <w:r>
        <w:rPr>
          <w:rFonts w:hAnsi="宋体"/>
          <w:color w:val="auto"/>
          <w:kern w:val="0"/>
          <w:sz w:val="24"/>
          <w:highlight w:val="none"/>
        </w:rPr>
        <w:t>使用承包人在施工现场的材料、设备、临时工程、承包人文件和由承包人或以其名义编制的其他文件</w:t>
      </w:r>
      <w:r>
        <w:rPr>
          <w:rFonts w:hint="eastAsia" w:hAnsi="宋体"/>
          <w:color w:val="auto"/>
          <w:kern w:val="0"/>
          <w:sz w:val="24"/>
          <w:highlight w:val="none"/>
        </w:rPr>
        <w:t>的费用承担方式</w:t>
      </w:r>
      <w:r>
        <w:rPr>
          <w:rFonts w:hAnsi="宋体"/>
          <w:color w:val="auto"/>
          <w:kern w:val="0"/>
          <w:sz w:val="24"/>
          <w:highlight w:val="none"/>
        </w:rPr>
        <w:t>：</w:t>
      </w:r>
      <w:r>
        <w:rPr>
          <w:rFonts w:hint="eastAsia" w:hAnsi="宋体"/>
          <w:color w:val="auto"/>
          <w:kern w:val="0"/>
          <w:sz w:val="24"/>
          <w:highlight w:val="none"/>
          <w:u w:val="single"/>
        </w:rPr>
        <w:t>由承包人承担</w:t>
      </w:r>
      <w:r>
        <w:rPr>
          <w:rFonts w:hint="eastAsia" w:hAnsi="宋体"/>
          <w:color w:val="auto"/>
          <w:kern w:val="0"/>
          <w:sz w:val="24"/>
          <w:highlight w:val="none"/>
        </w:rPr>
        <w:t>。</w:t>
      </w:r>
    </w:p>
    <w:p>
      <w:pPr>
        <w:spacing w:line="440" w:lineRule="exact"/>
        <w:ind w:firstLine="480" w:firstLineChars="200"/>
        <w:rPr>
          <w:color w:val="auto"/>
          <w:sz w:val="24"/>
          <w:highlight w:val="none"/>
        </w:rPr>
      </w:pPr>
      <w:bookmarkStart w:id="925" w:name="_Toc351203649"/>
      <w:r>
        <w:rPr>
          <w:color w:val="auto"/>
          <w:sz w:val="24"/>
          <w:highlight w:val="none"/>
        </w:rPr>
        <w:t>17. 不可抗力</w:t>
      </w:r>
      <w:bookmarkEnd w:id="925"/>
      <w:r>
        <w:rPr>
          <w:color w:val="auto"/>
          <w:sz w:val="24"/>
          <w:highlight w:val="none"/>
        </w:rPr>
        <w:t xml:space="preserve"> </w:t>
      </w:r>
      <w:bookmarkEnd w:id="923"/>
    </w:p>
    <w:p>
      <w:pPr>
        <w:spacing w:line="440" w:lineRule="exact"/>
        <w:ind w:firstLine="480" w:firstLineChars="200"/>
        <w:rPr>
          <w:rFonts w:hAnsi="宋体"/>
          <w:color w:val="auto"/>
          <w:sz w:val="24"/>
          <w:highlight w:val="none"/>
        </w:rPr>
      </w:pPr>
      <w:r>
        <w:rPr>
          <w:rFonts w:hAnsi="宋体"/>
          <w:color w:val="auto"/>
          <w:sz w:val="24"/>
          <w:highlight w:val="none"/>
        </w:rPr>
        <w:t>17.1 不可抗力的确认</w:t>
      </w:r>
    </w:p>
    <w:p>
      <w:pPr>
        <w:tabs>
          <w:tab w:val="left" w:pos="1276"/>
        </w:tabs>
        <w:spacing w:line="440" w:lineRule="exact"/>
        <w:ind w:firstLine="480" w:firstLineChars="200"/>
        <w:rPr>
          <w:rFonts w:hint="eastAsia"/>
          <w:color w:val="auto"/>
          <w:sz w:val="24"/>
          <w:highlight w:val="none"/>
        </w:rPr>
      </w:pPr>
      <w:r>
        <w:rPr>
          <w:rFonts w:hAnsi="宋体"/>
          <w:color w:val="auto"/>
          <w:sz w:val="24"/>
          <w:highlight w:val="none"/>
        </w:rPr>
        <w:t>除通用合同条款约定的不可抗力事件之外，视为不可抗力的其他情形：</w:t>
      </w:r>
      <w:r>
        <w:rPr>
          <w:rFonts w:hint="eastAsia" w:hAnsi="宋体"/>
          <w:color w:val="auto"/>
          <w:sz w:val="24"/>
          <w:highlight w:val="none"/>
          <w:u w:val="single"/>
        </w:rPr>
        <w:t>六级以上地震、山洪暴发、战争、十级以上台风及其他属于承包人不能预见、不能避免并不能克服的客观情况。</w:t>
      </w:r>
    </w:p>
    <w:p>
      <w:pPr>
        <w:spacing w:line="440" w:lineRule="exact"/>
        <w:ind w:firstLine="480" w:firstLineChars="200"/>
        <w:rPr>
          <w:rFonts w:hAnsi="宋体"/>
          <w:color w:val="auto"/>
          <w:sz w:val="24"/>
          <w:highlight w:val="none"/>
        </w:rPr>
      </w:pPr>
      <w:r>
        <w:rPr>
          <w:rFonts w:hAnsi="宋体"/>
          <w:color w:val="auto"/>
          <w:sz w:val="24"/>
          <w:highlight w:val="none"/>
        </w:rPr>
        <w:t>17.4 因不可抗力解除合同</w:t>
      </w:r>
    </w:p>
    <w:p>
      <w:pPr>
        <w:spacing w:line="440" w:lineRule="exact"/>
        <w:ind w:firstLine="480" w:firstLineChars="200"/>
        <w:rPr>
          <w:rFonts w:hint="eastAsia" w:hAnsi="宋体"/>
          <w:color w:val="auto"/>
          <w:sz w:val="24"/>
          <w:highlight w:val="none"/>
        </w:rPr>
      </w:pPr>
      <w:r>
        <w:rPr>
          <w:rFonts w:hAnsi="宋体"/>
          <w:color w:val="auto"/>
          <w:sz w:val="24"/>
          <w:highlight w:val="none"/>
        </w:rPr>
        <w:t>合同解除后，发包人应在商定或确定发包人应支付款项后</w:t>
      </w:r>
      <w:r>
        <w:rPr>
          <w:rFonts w:hAnsi="宋体"/>
          <w:color w:val="auto"/>
          <w:sz w:val="24"/>
          <w:highlight w:val="none"/>
          <w:u w:val="single"/>
        </w:rPr>
        <w:t xml:space="preserve">  </w:t>
      </w:r>
      <w:r>
        <w:rPr>
          <w:rFonts w:hAnsi="宋体"/>
          <w:color w:val="auto"/>
          <w:sz w:val="24"/>
          <w:highlight w:val="none"/>
        </w:rPr>
        <w:t>天内完成款项的支付。</w:t>
      </w:r>
    </w:p>
    <w:p>
      <w:pPr>
        <w:spacing w:line="440" w:lineRule="exact"/>
        <w:ind w:firstLine="480" w:firstLineChars="200"/>
        <w:rPr>
          <w:color w:val="auto"/>
          <w:sz w:val="24"/>
          <w:highlight w:val="none"/>
        </w:rPr>
      </w:pPr>
      <w:bookmarkStart w:id="926" w:name="_Toc351203650"/>
      <w:r>
        <w:rPr>
          <w:color w:val="auto"/>
          <w:sz w:val="24"/>
          <w:highlight w:val="none"/>
        </w:rPr>
        <w:t>18. 保险</w:t>
      </w:r>
      <w:bookmarkEnd w:id="926"/>
    </w:p>
    <w:bookmarkEnd w:id="924"/>
    <w:p>
      <w:pPr>
        <w:spacing w:line="440" w:lineRule="exact"/>
        <w:ind w:firstLine="480" w:firstLineChars="200"/>
        <w:rPr>
          <w:rFonts w:hAnsi="宋体"/>
          <w:color w:val="auto"/>
          <w:sz w:val="24"/>
          <w:highlight w:val="none"/>
        </w:rPr>
      </w:pPr>
      <w:r>
        <w:rPr>
          <w:rFonts w:hAnsi="宋体"/>
          <w:color w:val="auto"/>
          <w:sz w:val="24"/>
          <w:highlight w:val="none"/>
        </w:rPr>
        <w:t>18.1 工程保险</w:t>
      </w:r>
    </w:p>
    <w:p>
      <w:pPr>
        <w:spacing w:line="440" w:lineRule="exact"/>
        <w:ind w:firstLine="480" w:firstLineChars="200"/>
        <w:rPr>
          <w:rFonts w:hint="eastAsia" w:hAnsi="宋体" w:cs="宋体"/>
          <w:color w:val="auto"/>
          <w:sz w:val="24"/>
          <w:highlight w:val="none"/>
        </w:rPr>
      </w:pPr>
      <w:r>
        <w:rPr>
          <w:rFonts w:hAnsi="宋体"/>
          <w:color w:val="auto"/>
          <w:sz w:val="24"/>
          <w:highlight w:val="none"/>
        </w:rPr>
        <w:t>关于工程保险的特别约定：</w:t>
      </w:r>
      <w:r>
        <w:rPr>
          <w:rFonts w:hint="eastAsia" w:hAnsi="宋体" w:cs="宋体"/>
          <w:color w:val="auto"/>
          <w:sz w:val="24"/>
          <w:highlight w:val="none"/>
          <w:u w:val="single"/>
        </w:rPr>
        <w:t>承包人应为建设工程和施工场地内的自有人员和设备及第三方生命财产办理相关所有保险并支付保险费用，费用已包含在总价内。施工时若发生事故，引发的相关经济、法律等责任均由承包方承担</w:t>
      </w:r>
      <w:r>
        <w:rPr>
          <w:rFonts w:hint="eastAsia" w:hAnsi="宋体" w:cs="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18.3 其他保险</w:t>
      </w:r>
    </w:p>
    <w:p>
      <w:pPr>
        <w:spacing w:line="440" w:lineRule="exact"/>
        <w:ind w:firstLine="480" w:firstLineChars="200"/>
        <w:rPr>
          <w:rFonts w:hAnsi="宋体"/>
          <w:color w:val="auto"/>
          <w:kern w:val="0"/>
          <w:sz w:val="24"/>
          <w:highlight w:val="none"/>
        </w:rPr>
      </w:pPr>
      <w:r>
        <w:rPr>
          <w:rFonts w:hAnsi="宋体"/>
          <w:color w:val="auto"/>
          <w:sz w:val="24"/>
          <w:highlight w:val="none"/>
        </w:rPr>
        <w:t>关于其他保险的约定：</w:t>
      </w:r>
      <w:r>
        <w:rPr>
          <w:rFonts w:hint="eastAsia" w:hAnsi="宋体"/>
          <w:color w:val="auto"/>
          <w:sz w:val="24"/>
          <w:highlight w:val="none"/>
        </w:rPr>
        <w:t>由</w:t>
      </w:r>
      <w:r>
        <w:rPr>
          <w:rFonts w:hint="eastAsia"/>
          <w:color w:val="auto"/>
          <w:sz w:val="24"/>
          <w:highlight w:val="none"/>
          <w:u w:val="single"/>
        </w:rPr>
        <w:t>承包方应缴纳相关所有保险。</w:t>
      </w:r>
      <w:r>
        <w:rPr>
          <w:rFonts w:hAnsi="宋体"/>
          <w:color w:val="auto"/>
          <w:kern w:val="0"/>
          <w:sz w:val="24"/>
          <w:highlight w:val="none"/>
        </w:rPr>
        <w:t>。</w:t>
      </w:r>
    </w:p>
    <w:p>
      <w:pPr>
        <w:spacing w:line="440" w:lineRule="exact"/>
        <w:ind w:firstLine="480" w:firstLineChars="200"/>
        <w:rPr>
          <w:rFonts w:hAnsi="宋体"/>
          <w:color w:val="auto"/>
          <w:spacing w:val="-10"/>
          <w:kern w:val="0"/>
          <w:sz w:val="24"/>
          <w:highlight w:val="none"/>
        </w:rPr>
      </w:pPr>
      <w:r>
        <w:rPr>
          <w:rFonts w:hAnsi="宋体"/>
          <w:color w:val="auto"/>
          <w:sz w:val="24"/>
          <w:highlight w:val="none"/>
        </w:rPr>
        <w:t>承包人是否应为其施工设备等办理财产保险：</w:t>
      </w:r>
      <w:r>
        <w:rPr>
          <w:rFonts w:hint="eastAsia" w:hAnsi="宋体"/>
          <w:color w:val="auto"/>
          <w:spacing w:val="-10"/>
          <w:sz w:val="24"/>
          <w:highlight w:val="none"/>
          <w:u w:val="single"/>
        </w:rPr>
        <w:t>承包人应为其施工设备等办理财产保险</w:t>
      </w:r>
      <w:r>
        <w:rPr>
          <w:rFonts w:hAnsi="宋体"/>
          <w:color w:val="auto"/>
          <w:spacing w:val="-1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18.7 通知义务</w:t>
      </w:r>
    </w:p>
    <w:p>
      <w:pPr>
        <w:spacing w:line="440" w:lineRule="exact"/>
        <w:ind w:firstLine="480" w:firstLineChars="200"/>
        <w:rPr>
          <w:rFonts w:hAnsi="宋体"/>
          <w:color w:val="auto"/>
          <w:sz w:val="24"/>
          <w:highlight w:val="none"/>
        </w:rPr>
      </w:pPr>
      <w:r>
        <w:rPr>
          <w:rFonts w:hAnsi="宋体"/>
          <w:color w:val="auto"/>
          <w:kern w:val="0"/>
          <w:sz w:val="24"/>
          <w:highlight w:val="none"/>
        </w:rPr>
        <w:t>关于变更保险合同时的通知义务的约定：</w:t>
      </w:r>
      <w:r>
        <w:rPr>
          <w:rFonts w:hint="eastAsia" w:hAnsi="宋体"/>
          <w:color w:val="auto"/>
          <w:sz w:val="24"/>
          <w:highlight w:val="none"/>
          <w:u w:val="single"/>
        </w:rPr>
        <w:t>/</w:t>
      </w:r>
      <w:r>
        <w:rPr>
          <w:rFonts w:hAnsi="宋体"/>
          <w:color w:val="auto"/>
          <w:sz w:val="24"/>
          <w:highlight w:val="none"/>
        </w:rPr>
        <w:t>。</w:t>
      </w:r>
    </w:p>
    <w:bookmarkEnd w:id="900"/>
    <w:bookmarkEnd w:id="901"/>
    <w:bookmarkEnd w:id="902"/>
    <w:bookmarkEnd w:id="903"/>
    <w:bookmarkEnd w:id="904"/>
    <w:bookmarkEnd w:id="905"/>
    <w:bookmarkEnd w:id="906"/>
    <w:bookmarkEnd w:id="907"/>
    <w:bookmarkEnd w:id="908"/>
    <w:bookmarkEnd w:id="909"/>
    <w:bookmarkEnd w:id="910"/>
    <w:bookmarkEnd w:id="911"/>
    <w:p>
      <w:pPr>
        <w:spacing w:line="440" w:lineRule="exact"/>
        <w:ind w:firstLine="480" w:firstLineChars="200"/>
        <w:rPr>
          <w:color w:val="auto"/>
          <w:sz w:val="24"/>
          <w:highlight w:val="none"/>
        </w:rPr>
      </w:pPr>
      <w:bookmarkStart w:id="927" w:name="_Toc351203651"/>
      <w:r>
        <w:rPr>
          <w:color w:val="auto"/>
          <w:sz w:val="24"/>
          <w:highlight w:val="none"/>
        </w:rPr>
        <w:t>20. 争议解决</w:t>
      </w:r>
      <w:bookmarkEnd w:id="927"/>
    </w:p>
    <w:bookmarkEnd w:id="912"/>
    <w:bookmarkEnd w:id="913"/>
    <w:p>
      <w:pPr>
        <w:spacing w:line="440" w:lineRule="exact"/>
        <w:ind w:firstLine="480" w:firstLineChars="200"/>
        <w:rPr>
          <w:rFonts w:hAnsi="宋体"/>
          <w:color w:val="auto"/>
          <w:sz w:val="24"/>
          <w:highlight w:val="none"/>
        </w:rPr>
      </w:pPr>
      <w:r>
        <w:rPr>
          <w:rFonts w:hAnsi="宋体"/>
          <w:color w:val="auto"/>
          <w:sz w:val="24"/>
          <w:highlight w:val="none"/>
        </w:rPr>
        <w:t>20.3 争</w:t>
      </w:r>
      <w:bookmarkEnd w:id="914"/>
      <w:r>
        <w:rPr>
          <w:rFonts w:hAnsi="宋体"/>
          <w:color w:val="auto"/>
          <w:sz w:val="24"/>
          <w:highlight w:val="none"/>
        </w:rPr>
        <w:t>议评审</w:t>
      </w:r>
    </w:p>
    <w:p>
      <w:pPr>
        <w:spacing w:line="440" w:lineRule="exact"/>
        <w:ind w:firstLine="480" w:firstLineChars="200"/>
        <w:rPr>
          <w:rFonts w:hAnsi="宋体"/>
          <w:color w:val="auto"/>
          <w:sz w:val="24"/>
          <w:highlight w:val="none"/>
        </w:rPr>
      </w:pPr>
      <w:r>
        <w:rPr>
          <w:rFonts w:hAnsi="宋体"/>
          <w:color w:val="auto"/>
          <w:sz w:val="24"/>
          <w:highlight w:val="none"/>
        </w:rPr>
        <w:t>合同当事人是否同意将工程争议提交争议评审小组决</w:t>
      </w:r>
      <w:r>
        <w:rPr>
          <w:rFonts w:hint="eastAsia" w:hAnsi="宋体"/>
          <w:color w:val="auto"/>
          <w:sz w:val="24"/>
          <w:highlight w:val="none"/>
        </w:rPr>
        <w:t>定：</w:t>
      </w:r>
      <w:r>
        <w:rPr>
          <w:rFonts w:hint="eastAsia" w:hAnsi="宋体"/>
          <w:color w:val="auto"/>
          <w:sz w:val="24"/>
          <w:highlight w:val="none"/>
          <w:u w:val="single"/>
        </w:rPr>
        <w:t>中标后双方协商</w:t>
      </w:r>
      <w:r>
        <w:rPr>
          <w:rFonts w:hint="eastAsia" w:hAnsi="宋体"/>
          <w:color w:val="auto"/>
          <w:sz w:val="24"/>
          <w:highlight w:val="non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20.3.1 争议评审小组的确定</w:t>
      </w:r>
    </w:p>
    <w:p>
      <w:pPr>
        <w:spacing w:line="440" w:lineRule="exact"/>
        <w:ind w:firstLine="480" w:firstLineChars="200"/>
        <w:rPr>
          <w:rFonts w:hAnsi="宋体"/>
          <w:color w:val="auto"/>
          <w:sz w:val="24"/>
          <w:highlight w:val="none"/>
          <w:u w:val="single"/>
        </w:rPr>
      </w:pPr>
      <w:r>
        <w:rPr>
          <w:rFonts w:hAnsi="宋体"/>
          <w:color w:val="auto"/>
          <w:sz w:val="24"/>
          <w:highlight w:val="none"/>
        </w:rPr>
        <w:t>争议评审小组成员的确定：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选定争议评审员的期限：</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争议评审小组成员的报酬承担方式：</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其他事项的约定：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20.3.2 争议评审小组的决定</w:t>
      </w:r>
    </w:p>
    <w:p>
      <w:pPr>
        <w:spacing w:line="440" w:lineRule="exact"/>
        <w:ind w:firstLine="480" w:firstLineChars="200"/>
        <w:rPr>
          <w:rFonts w:hAnsi="宋体"/>
          <w:color w:val="auto"/>
          <w:sz w:val="24"/>
          <w:highlight w:val="none"/>
        </w:rPr>
      </w:pPr>
      <w:r>
        <w:rPr>
          <w:rFonts w:hAnsi="宋体"/>
          <w:color w:val="auto"/>
          <w:sz w:val="24"/>
          <w:highlight w:val="none"/>
        </w:rPr>
        <w:t>合同当事人关于本项的约定：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20.4仲裁或诉讼</w:t>
      </w:r>
      <w:bookmarkEnd w:id="915"/>
    </w:p>
    <w:p>
      <w:pPr>
        <w:spacing w:line="440" w:lineRule="exact"/>
        <w:ind w:firstLine="480" w:firstLineChars="200"/>
        <w:rPr>
          <w:rFonts w:hint="eastAsia" w:hAnsi="宋体"/>
          <w:color w:val="auto"/>
          <w:sz w:val="24"/>
          <w:highlight w:val="none"/>
        </w:rPr>
      </w:pPr>
      <w:r>
        <w:rPr>
          <w:rFonts w:hint="eastAsia" w:hAnsi="宋体"/>
          <w:color w:val="auto"/>
          <w:sz w:val="24"/>
          <w:highlight w:val="none"/>
        </w:rPr>
        <w:t>因合同及合同有关事项发生的争议，双方当事人一致同意提交</w:t>
      </w:r>
      <w:r>
        <w:rPr>
          <w:rFonts w:hint="eastAsia" w:hAnsi="宋体"/>
          <w:b/>
          <w:color w:val="auto"/>
          <w:sz w:val="24"/>
          <w:highlight w:val="none"/>
        </w:rPr>
        <w:t>杭州仲裁委员会申请仲裁</w:t>
      </w:r>
      <w:r>
        <w:rPr>
          <w:rFonts w:hint="eastAsia" w:hAnsi="宋体"/>
          <w:color w:val="auto"/>
          <w:sz w:val="24"/>
          <w:highlight w:val="none"/>
        </w:rPr>
        <w:t>；但双方当事人特别约定下列解决方式中第</w:t>
      </w:r>
      <w:r>
        <w:rPr>
          <w:rFonts w:hint="eastAsia" w:hAnsi="宋体"/>
          <w:color w:val="auto"/>
          <w:sz w:val="24"/>
          <w:highlight w:val="none"/>
          <w:u w:val="single"/>
        </w:rPr>
        <w:t xml:space="preserve"> 2 </w:t>
      </w:r>
      <w:r>
        <w:rPr>
          <w:rFonts w:hint="eastAsia" w:hAnsi="宋体"/>
          <w:color w:val="auto"/>
          <w:sz w:val="24"/>
          <w:highlight w:val="none"/>
        </w:rPr>
        <w:t>种方式解决争议的除外：</w:t>
      </w:r>
    </w:p>
    <w:p>
      <w:pPr>
        <w:spacing w:line="440" w:lineRule="exact"/>
        <w:ind w:firstLine="480" w:firstLineChars="200"/>
        <w:rPr>
          <w:rFonts w:hAnsi="宋体"/>
          <w:color w:val="auto"/>
          <w:sz w:val="24"/>
          <w:highlight w:val="none"/>
        </w:rPr>
      </w:pPr>
      <w:r>
        <w:rPr>
          <w:rFonts w:hAnsi="宋体"/>
          <w:color w:val="auto"/>
          <w:sz w:val="24"/>
          <w:highlight w:val="none"/>
        </w:rPr>
        <w:t>（1）向</w:t>
      </w:r>
      <w:r>
        <w:rPr>
          <w:rFonts w:hAnsi="宋体"/>
          <w:color w:val="auto"/>
          <w:sz w:val="24"/>
          <w:highlight w:val="none"/>
          <w:u w:val="single"/>
        </w:rPr>
        <w:t xml:space="preserve">                     </w:t>
      </w:r>
      <w:r>
        <w:rPr>
          <w:rFonts w:hAnsi="宋体"/>
          <w:color w:val="auto"/>
          <w:sz w:val="24"/>
          <w:highlight w:val="none"/>
        </w:rPr>
        <w:t>仲裁委员会申请仲裁；</w:t>
      </w:r>
    </w:p>
    <w:p>
      <w:pPr>
        <w:spacing w:line="440" w:lineRule="exact"/>
        <w:ind w:firstLine="480" w:firstLineChars="200"/>
        <w:rPr>
          <w:rFonts w:hAnsi="宋体"/>
          <w:color w:val="auto"/>
          <w:sz w:val="24"/>
          <w:highlight w:val="none"/>
        </w:rPr>
      </w:pPr>
      <w:r>
        <w:rPr>
          <w:rFonts w:hAnsi="宋体"/>
          <w:color w:val="auto"/>
          <w:sz w:val="24"/>
          <w:highlight w:val="none"/>
        </w:rPr>
        <w:t>（2）向</w:t>
      </w:r>
      <w:r>
        <w:rPr>
          <w:rFonts w:hAnsi="宋体"/>
          <w:color w:val="auto"/>
          <w:sz w:val="24"/>
          <w:highlight w:val="none"/>
          <w:u w:val="single"/>
        </w:rPr>
        <w:t xml:space="preserve">  </w:t>
      </w:r>
      <w:r>
        <w:rPr>
          <w:rFonts w:hint="eastAsia" w:hAnsi="宋体"/>
          <w:color w:val="auto"/>
          <w:sz w:val="24"/>
          <w:highlight w:val="none"/>
          <w:u w:val="single"/>
        </w:rPr>
        <w:t>工程所在地</w:t>
      </w:r>
      <w:r>
        <w:rPr>
          <w:rFonts w:hAnsi="宋体"/>
          <w:color w:val="auto"/>
          <w:sz w:val="24"/>
          <w:highlight w:val="none"/>
          <w:u w:val="single"/>
        </w:rPr>
        <w:t xml:space="preserve"> </w:t>
      </w:r>
      <w:r>
        <w:rPr>
          <w:rFonts w:hAnsi="宋体"/>
          <w:color w:val="auto"/>
          <w:sz w:val="24"/>
          <w:highlight w:val="none"/>
        </w:rPr>
        <w:t>人民法院起诉。</w:t>
      </w:r>
      <w:bookmarkEnd w:id="916"/>
      <w:bookmarkEnd w:id="917"/>
      <w:bookmarkEnd w:id="918"/>
      <w:bookmarkEnd w:id="919"/>
      <w:bookmarkEnd w:id="920"/>
      <w:bookmarkEnd w:id="921"/>
    </w:p>
    <w:p>
      <w:pPr>
        <w:spacing w:line="440" w:lineRule="exact"/>
        <w:ind w:firstLine="480" w:firstLineChars="200"/>
        <w:rPr>
          <w:rFonts w:hint="eastAsia" w:hAnsi="宋体"/>
          <w:b/>
          <w:color w:val="auto"/>
          <w:sz w:val="24"/>
          <w:highlight w:val="none"/>
          <w:u w:val="single"/>
        </w:rPr>
      </w:pPr>
      <w:r>
        <w:rPr>
          <w:rFonts w:hint="eastAsia" w:hAnsi="宋体"/>
          <w:color w:val="auto"/>
          <w:sz w:val="24"/>
          <w:highlight w:val="none"/>
        </w:rPr>
        <w:t>20.5</w:t>
      </w:r>
      <w:r>
        <w:rPr>
          <w:rFonts w:hint="eastAsia" w:hAnsi="宋体"/>
          <w:b/>
          <w:color w:val="auto"/>
          <w:sz w:val="24"/>
          <w:highlight w:val="none"/>
          <w:u w:val="single"/>
        </w:rPr>
        <w:t>其它</w:t>
      </w:r>
    </w:p>
    <w:p>
      <w:pPr>
        <w:spacing w:line="440" w:lineRule="exact"/>
        <w:ind w:firstLine="482" w:firstLineChars="200"/>
        <w:rPr>
          <w:rFonts w:hint="eastAsia" w:hAnsi="宋体"/>
          <w:b/>
          <w:color w:val="auto"/>
          <w:sz w:val="24"/>
          <w:highlight w:val="none"/>
        </w:rPr>
      </w:pPr>
      <w:r>
        <w:rPr>
          <w:rFonts w:hint="eastAsia" w:hAnsi="宋体"/>
          <w:b/>
          <w:color w:val="auto"/>
          <w:sz w:val="24"/>
          <w:highlight w:val="none"/>
          <w:u w:val="single"/>
        </w:rPr>
        <w:t xml:space="preserve">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发包人保留在签约后调整部分承包范围的权力直至某些项目的取消，承包人投标的投标单价不作调整。</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工程建设项目承发包双方在签订业务合同的同时，必须签订廉政责任书,明确作为廉政承诺。</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竣工验收后的工程结算最终以审计审核为准。</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20.6联系单管理及造价核定管理约定：</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（1）承包人提出的尤其涉及费用的联系单必须依据充分，用详尽的资料、图纸附加图片、照片予以说明，以便于发包人及造价监审单位审核，否则发包人可予以退回或拒签。</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（2）竣工验收合格后，承包人在28天内向发包人提交竣工结算报告及完整的结算资料。</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（3）施工过程中的变更联系单价款结算最终以结算审计审核为准。</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（4）若承包单位报送的工程结算经审核后核减率大于5%的，核减大于5%部分按核减额5%计算审核费用由承包单位承担。</w:t>
      </w:r>
    </w:p>
    <w:p>
      <w:pPr>
        <w:spacing w:line="440" w:lineRule="exact"/>
        <w:ind w:firstLine="482" w:firstLineChars="200"/>
        <w:rPr>
          <w:rFonts w:hint="eastAsia" w:hAnsi="宋体"/>
          <w:b/>
          <w:color w:val="auto"/>
          <w:sz w:val="24"/>
          <w:highlight w:val="none"/>
        </w:rPr>
      </w:pPr>
    </w:p>
    <w:p>
      <w:pPr>
        <w:spacing w:line="440" w:lineRule="exact"/>
        <w:ind w:firstLine="482" w:firstLineChars="200"/>
        <w:rPr>
          <w:rFonts w:hint="eastAsia" w:hAnsi="宋体"/>
          <w:b/>
          <w:color w:val="auto"/>
          <w:sz w:val="24"/>
          <w:highlight w:val="none"/>
        </w:rPr>
      </w:pPr>
      <w:r>
        <w:rPr>
          <w:rFonts w:hint="eastAsia" w:hAnsi="宋体"/>
          <w:b/>
          <w:color w:val="auto"/>
          <w:sz w:val="24"/>
          <w:highlight w:val="none"/>
        </w:rPr>
        <w:t>发包人保留在正式签订合同前修改、完善合同条款的权利。</w:t>
      </w:r>
    </w:p>
    <w:p>
      <w:pPr>
        <w:spacing w:line="400" w:lineRule="exact"/>
        <w:ind w:firstLine="480" w:firstLineChars="200"/>
        <w:rPr>
          <w:rFonts w:hint="eastAsia" w:hAnsi="宋体"/>
          <w:color w:val="auto"/>
          <w:sz w:val="24"/>
          <w:highlight w:val="none"/>
        </w:rPr>
      </w:pPr>
      <w:r>
        <w:rPr>
          <w:rFonts w:hint="eastAsia" w:hAnsi="宋体"/>
          <w:color w:val="auto"/>
          <w:sz w:val="24"/>
          <w:highlight w:val="none"/>
        </w:rPr>
        <w:t>附件：</w:t>
      </w:r>
    </w:p>
    <w:p>
      <w:pPr>
        <w:spacing w:line="400" w:lineRule="exact"/>
        <w:ind w:firstLine="480" w:firstLineChars="200"/>
        <w:rPr>
          <w:rFonts w:hint="eastAsia" w:hAnsi="宋体"/>
          <w:color w:val="auto"/>
          <w:sz w:val="24"/>
          <w:highlight w:val="none"/>
        </w:rPr>
      </w:pPr>
      <w:r>
        <w:rPr>
          <w:rFonts w:hAnsi="宋体"/>
          <w:color w:val="auto"/>
          <w:sz w:val="24"/>
          <w:highlight w:val="none"/>
        </w:rPr>
        <w:t>附件1：承包人承揽工程项目一览表</w:t>
      </w:r>
    </w:p>
    <w:p>
      <w:pPr>
        <w:spacing w:line="42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专用合同条款附件：</w:t>
      </w:r>
    </w:p>
    <w:p>
      <w:pPr>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附件</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：承包人用于本工程施工的机械设备表</w:t>
      </w:r>
    </w:p>
    <w:p>
      <w:pPr>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附件</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：工程质量保修书</w:t>
      </w:r>
    </w:p>
    <w:p>
      <w:pPr>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附件4：承包人主要施工管理人员表</w:t>
      </w:r>
    </w:p>
    <w:p>
      <w:pPr>
        <w:spacing w:line="400" w:lineRule="exact"/>
        <w:jc w:val="left"/>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r>
        <w:rPr>
          <w:rFonts w:hint="eastAsia" w:hAnsi="宋体"/>
          <w:color w:val="auto"/>
          <w:sz w:val="24"/>
          <w:highlight w:val="none"/>
        </w:rPr>
        <w:br w:type="page"/>
      </w:r>
    </w:p>
    <w:p>
      <w:pPr>
        <w:spacing w:line="400" w:lineRule="exact"/>
        <w:jc w:val="left"/>
        <w:rPr>
          <w:rFonts w:hint="eastAsia" w:hAnsi="宋体"/>
          <w:color w:val="auto"/>
          <w:sz w:val="24"/>
          <w:highlight w:val="none"/>
        </w:rPr>
      </w:pPr>
      <w:r>
        <w:rPr>
          <w:rFonts w:hint="eastAsia" w:hAnsi="宋体"/>
          <w:color w:val="auto"/>
          <w:sz w:val="24"/>
          <w:highlight w:val="none"/>
        </w:rPr>
        <w:t>附件1：</w:t>
      </w:r>
    </w:p>
    <w:p>
      <w:pPr>
        <w:spacing w:line="400" w:lineRule="exact"/>
        <w:jc w:val="center"/>
        <w:rPr>
          <w:rFonts w:hint="eastAsia" w:hAnsi="宋体"/>
          <w:color w:val="auto"/>
          <w:sz w:val="24"/>
          <w:highlight w:val="none"/>
        </w:rPr>
      </w:pPr>
      <w:r>
        <w:rPr>
          <w:rFonts w:hAnsi="宋体"/>
          <w:color w:val="auto"/>
          <w:sz w:val="24"/>
          <w:highlight w:val="none"/>
        </w:rPr>
        <w:t>承包人承揽工程项目一览表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2"/>
        <w:gridCol w:w="891"/>
        <w:gridCol w:w="1591"/>
        <w:gridCol w:w="878"/>
        <w:gridCol w:w="900"/>
        <w:gridCol w:w="864"/>
        <w:gridCol w:w="1308"/>
        <w:gridCol w:w="1144"/>
        <w:gridCol w:w="851"/>
        <w:gridCol w:w="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2"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单位工程名称</w:t>
            </w:r>
          </w:p>
        </w:tc>
        <w:tc>
          <w:tcPr>
            <w:tcW w:w="891"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建设规模</w:t>
            </w:r>
          </w:p>
        </w:tc>
        <w:tc>
          <w:tcPr>
            <w:tcW w:w="1591"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建筑面积(平方米)</w:t>
            </w:r>
          </w:p>
        </w:tc>
        <w:tc>
          <w:tcPr>
            <w:tcW w:w="878" w:type="dxa"/>
            <w:tcBorders>
              <w:top w:val="single" w:color="auto" w:sz="12" w:space="0"/>
              <w:bottom w:val="double" w:color="auto" w:sz="6" w:space="0"/>
            </w:tcBorders>
            <w:noWrap w:val="0"/>
            <w:vAlign w:val="center"/>
          </w:tcPr>
          <w:p>
            <w:pPr>
              <w:pStyle w:val="26"/>
              <w:keepNext/>
              <w:spacing w:after="0" w:line="400" w:lineRule="exact"/>
              <w:ind w:left="84" w:right="84"/>
              <w:rPr>
                <w:rFonts w:hint="eastAsia" w:hAnsi="宋体"/>
                <w:color w:val="auto"/>
                <w:sz w:val="24"/>
                <w:highlight w:val="none"/>
                <w:lang w:val="en-US" w:eastAsia="zh-CN"/>
              </w:rPr>
            </w:pPr>
            <w:r>
              <w:rPr>
                <w:rFonts w:hAnsi="宋体"/>
                <w:color w:val="auto"/>
                <w:sz w:val="24"/>
                <w:highlight w:val="none"/>
                <w:lang w:val="en-US" w:eastAsia="zh-CN"/>
              </w:rPr>
              <w:t>结构</w:t>
            </w:r>
          </w:p>
          <w:p>
            <w:pPr>
              <w:pStyle w:val="26"/>
              <w:keepNext/>
              <w:spacing w:after="0" w:line="400" w:lineRule="exact"/>
              <w:ind w:left="84" w:right="84"/>
              <w:rPr>
                <w:rFonts w:hAnsi="宋体"/>
                <w:color w:val="auto"/>
                <w:sz w:val="24"/>
                <w:highlight w:val="none"/>
                <w:lang w:val="en-US" w:eastAsia="zh-CN"/>
              </w:rPr>
            </w:pPr>
            <w:r>
              <w:rPr>
                <w:rFonts w:hint="eastAsia" w:hAnsi="宋体"/>
                <w:color w:val="auto"/>
                <w:sz w:val="24"/>
                <w:highlight w:val="none"/>
                <w:lang w:val="en-US" w:eastAsia="zh-CN"/>
              </w:rPr>
              <w:t>形式</w:t>
            </w:r>
          </w:p>
        </w:tc>
        <w:tc>
          <w:tcPr>
            <w:tcW w:w="900"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层数</w:t>
            </w:r>
          </w:p>
        </w:tc>
        <w:tc>
          <w:tcPr>
            <w:tcW w:w="864"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生产能力</w:t>
            </w:r>
          </w:p>
        </w:tc>
        <w:tc>
          <w:tcPr>
            <w:tcW w:w="1308"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设备安装内容</w:t>
            </w:r>
          </w:p>
        </w:tc>
        <w:tc>
          <w:tcPr>
            <w:tcW w:w="1144"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合同价格（元）</w:t>
            </w:r>
          </w:p>
        </w:tc>
        <w:tc>
          <w:tcPr>
            <w:tcW w:w="851"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开工日期</w:t>
            </w:r>
          </w:p>
        </w:tc>
        <w:tc>
          <w:tcPr>
            <w:tcW w:w="734"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noWrap w:val="0"/>
            <w:vAlign w:val="center"/>
          </w:tcPr>
          <w:p>
            <w:pPr>
              <w:pStyle w:val="26"/>
              <w:keepNext/>
              <w:spacing w:after="0" w:line="400" w:lineRule="exact"/>
              <w:ind w:left="84" w:right="84"/>
              <w:rPr>
                <w:rFonts w:hAnsi="宋体"/>
                <w:color w:val="auto"/>
                <w:sz w:val="24"/>
                <w:highlight w:val="none"/>
                <w:lang w:val="en-US" w:eastAsia="zh-CN"/>
              </w:rPr>
            </w:pPr>
          </w:p>
        </w:tc>
      </w:tr>
    </w:tbl>
    <w:p>
      <w:pPr>
        <w:spacing w:line="440" w:lineRule="exact"/>
        <w:rPr>
          <w:rFonts w:hint="eastAsia" w:hAnsi="宋体"/>
          <w:color w:val="auto"/>
          <w:sz w:val="24"/>
          <w:highlight w:val="none"/>
        </w:rPr>
      </w:pPr>
    </w:p>
    <w:p>
      <w:pPr>
        <w:spacing w:line="440" w:lineRule="exact"/>
        <w:rPr>
          <w:rFonts w:hAnsi="宋体"/>
          <w:color w:val="auto"/>
          <w:sz w:val="24"/>
          <w:highlight w:val="none"/>
        </w:rPr>
      </w:pPr>
      <w:r>
        <w:rPr>
          <w:rFonts w:hAnsi="宋体"/>
          <w:color w:val="auto"/>
          <w:sz w:val="24"/>
          <w:highlight w:val="none"/>
        </w:rPr>
        <w:t>附件</w:t>
      </w:r>
      <w:r>
        <w:rPr>
          <w:rFonts w:hint="eastAsia" w:hAnsi="宋体"/>
          <w:color w:val="auto"/>
          <w:sz w:val="24"/>
          <w:highlight w:val="none"/>
          <w:lang w:val="en-US" w:eastAsia="zh-CN"/>
        </w:rPr>
        <w:t>2</w:t>
      </w:r>
      <w:r>
        <w:rPr>
          <w:rFonts w:hAnsi="宋体"/>
          <w:color w:val="auto"/>
          <w:sz w:val="24"/>
          <w:highlight w:val="none"/>
        </w:rPr>
        <w:t>：</w:t>
      </w:r>
    </w:p>
    <w:p>
      <w:pPr>
        <w:spacing w:before="156" w:beforeLines="50" w:after="156" w:afterLines="50" w:line="440" w:lineRule="exact"/>
        <w:jc w:val="center"/>
        <w:rPr>
          <w:rFonts w:hAnsi="宋体"/>
          <w:color w:val="auto"/>
          <w:sz w:val="24"/>
          <w:highlight w:val="none"/>
        </w:rPr>
      </w:pPr>
      <w:r>
        <w:rPr>
          <w:rFonts w:hAnsi="宋体"/>
          <w:color w:val="auto"/>
          <w:sz w:val="24"/>
          <w:highlight w:val="none"/>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序号</w:t>
            </w:r>
          </w:p>
        </w:tc>
        <w:tc>
          <w:tcPr>
            <w:tcW w:w="1418"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机械或设备名称</w:t>
            </w:r>
          </w:p>
        </w:tc>
        <w:tc>
          <w:tcPr>
            <w:tcW w:w="85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规格型号</w:t>
            </w:r>
          </w:p>
        </w:tc>
        <w:tc>
          <w:tcPr>
            <w:tcW w:w="1058"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数量</w:t>
            </w:r>
          </w:p>
        </w:tc>
        <w:tc>
          <w:tcPr>
            <w:tcW w:w="88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产地</w:t>
            </w:r>
          </w:p>
        </w:tc>
        <w:tc>
          <w:tcPr>
            <w:tcW w:w="102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int="eastAsia" w:hAnsi="宋体"/>
                <w:color w:val="auto"/>
                <w:sz w:val="24"/>
                <w:highlight w:val="none"/>
                <w:lang w:val="en-US" w:eastAsia="zh-CN"/>
              </w:rPr>
            </w:pPr>
            <w:r>
              <w:rPr>
                <w:rFonts w:hAnsi="宋体"/>
                <w:color w:val="auto"/>
                <w:sz w:val="24"/>
                <w:highlight w:val="none"/>
                <w:lang w:val="en-US" w:eastAsia="zh-CN"/>
              </w:rPr>
              <w:t>制造</w:t>
            </w:r>
          </w:p>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年份</w:t>
            </w:r>
          </w:p>
        </w:tc>
        <w:tc>
          <w:tcPr>
            <w:tcW w:w="148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额定功率(kW)</w:t>
            </w:r>
          </w:p>
        </w:tc>
        <w:tc>
          <w:tcPr>
            <w:tcW w:w="102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int="eastAsia" w:hAnsi="宋体"/>
                <w:color w:val="auto"/>
                <w:sz w:val="24"/>
                <w:highlight w:val="none"/>
                <w:lang w:val="en-US" w:eastAsia="zh-CN"/>
              </w:rPr>
            </w:pPr>
            <w:r>
              <w:rPr>
                <w:rFonts w:hAnsi="宋体"/>
                <w:color w:val="auto"/>
                <w:sz w:val="24"/>
                <w:highlight w:val="none"/>
                <w:lang w:val="en-US" w:eastAsia="zh-CN"/>
              </w:rPr>
              <w:t>生产</w:t>
            </w:r>
          </w:p>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能力</w:t>
            </w:r>
          </w:p>
        </w:tc>
        <w:tc>
          <w:tcPr>
            <w:tcW w:w="921"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18"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5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58"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8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8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921"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18"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5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58"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8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8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921"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Ansi="宋体"/>
                <w:color w:val="auto"/>
                <w:sz w:val="24"/>
                <w:highlight w:val="none"/>
              </w:rPr>
            </w:pPr>
          </w:p>
        </w:tc>
        <w:tc>
          <w:tcPr>
            <w:tcW w:w="1418" w:type="dxa"/>
            <w:noWrap w:val="0"/>
            <w:vAlign w:val="center"/>
          </w:tcPr>
          <w:p>
            <w:pPr>
              <w:jc w:val="center"/>
              <w:rPr>
                <w:rFonts w:hAnsi="宋体"/>
                <w:color w:val="auto"/>
                <w:sz w:val="24"/>
                <w:highlight w:val="none"/>
              </w:rPr>
            </w:pPr>
          </w:p>
        </w:tc>
        <w:tc>
          <w:tcPr>
            <w:tcW w:w="850" w:type="dxa"/>
            <w:noWrap w:val="0"/>
            <w:vAlign w:val="center"/>
          </w:tcPr>
          <w:p>
            <w:pPr>
              <w:jc w:val="center"/>
              <w:rPr>
                <w:rFonts w:hAnsi="宋体"/>
                <w:color w:val="auto"/>
                <w:sz w:val="24"/>
                <w:highlight w:val="none"/>
              </w:rPr>
            </w:pPr>
          </w:p>
        </w:tc>
        <w:tc>
          <w:tcPr>
            <w:tcW w:w="1058" w:type="dxa"/>
            <w:noWrap w:val="0"/>
            <w:vAlign w:val="center"/>
          </w:tcPr>
          <w:p>
            <w:pPr>
              <w:jc w:val="center"/>
              <w:rPr>
                <w:rFonts w:hAnsi="宋体"/>
                <w:color w:val="auto"/>
                <w:sz w:val="24"/>
                <w:highlight w:val="none"/>
              </w:rPr>
            </w:pPr>
          </w:p>
        </w:tc>
        <w:tc>
          <w:tcPr>
            <w:tcW w:w="8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14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921"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Ansi="宋体"/>
                <w:color w:val="auto"/>
                <w:sz w:val="24"/>
                <w:highlight w:val="none"/>
              </w:rPr>
            </w:pPr>
          </w:p>
        </w:tc>
        <w:tc>
          <w:tcPr>
            <w:tcW w:w="1418" w:type="dxa"/>
            <w:noWrap w:val="0"/>
            <w:vAlign w:val="center"/>
          </w:tcPr>
          <w:p>
            <w:pPr>
              <w:jc w:val="center"/>
              <w:rPr>
                <w:rFonts w:hAnsi="宋体"/>
                <w:color w:val="auto"/>
                <w:sz w:val="24"/>
                <w:highlight w:val="none"/>
              </w:rPr>
            </w:pPr>
          </w:p>
        </w:tc>
        <w:tc>
          <w:tcPr>
            <w:tcW w:w="850" w:type="dxa"/>
            <w:noWrap w:val="0"/>
            <w:vAlign w:val="center"/>
          </w:tcPr>
          <w:p>
            <w:pPr>
              <w:jc w:val="center"/>
              <w:rPr>
                <w:rFonts w:hAnsi="宋体"/>
                <w:color w:val="auto"/>
                <w:sz w:val="24"/>
                <w:highlight w:val="none"/>
              </w:rPr>
            </w:pPr>
          </w:p>
        </w:tc>
        <w:tc>
          <w:tcPr>
            <w:tcW w:w="1058" w:type="dxa"/>
            <w:noWrap w:val="0"/>
            <w:vAlign w:val="center"/>
          </w:tcPr>
          <w:p>
            <w:pPr>
              <w:jc w:val="center"/>
              <w:rPr>
                <w:rFonts w:hAnsi="宋体"/>
                <w:color w:val="auto"/>
                <w:sz w:val="24"/>
                <w:highlight w:val="none"/>
              </w:rPr>
            </w:pPr>
          </w:p>
        </w:tc>
        <w:tc>
          <w:tcPr>
            <w:tcW w:w="8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14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921"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Ansi="宋体"/>
                <w:color w:val="auto"/>
                <w:sz w:val="24"/>
                <w:highlight w:val="none"/>
              </w:rPr>
            </w:pPr>
          </w:p>
        </w:tc>
        <w:tc>
          <w:tcPr>
            <w:tcW w:w="1418" w:type="dxa"/>
            <w:noWrap w:val="0"/>
            <w:vAlign w:val="center"/>
          </w:tcPr>
          <w:p>
            <w:pPr>
              <w:jc w:val="center"/>
              <w:rPr>
                <w:rFonts w:hAnsi="宋体"/>
                <w:color w:val="auto"/>
                <w:sz w:val="24"/>
                <w:highlight w:val="none"/>
              </w:rPr>
            </w:pPr>
          </w:p>
        </w:tc>
        <w:tc>
          <w:tcPr>
            <w:tcW w:w="850" w:type="dxa"/>
            <w:noWrap w:val="0"/>
            <w:vAlign w:val="center"/>
          </w:tcPr>
          <w:p>
            <w:pPr>
              <w:jc w:val="center"/>
              <w:rPr>
                <w:rFonts w:hAnsi="宋体"/>
                <w:color w:val="auto"/>
                <w:sz w:val="24"/>
                <w:highlight w:val="none"/>
              </w:rPr>
            </w:pPr>
          </w:p>
        </w:tc>
        <w:tc>
          <w:tcPr>
            <w:tcW w:w="1058" w:type="dxa"/>
            <w:noWrap w:val="0"/>
            <w:vAlign w:val="center"/>
          </w:tcPr>
          <w:p>
            <w:pPr>
              <w:jc w:val="center"/>
              <w:rPr>
                <w:rFonts w:hAnsi="宋体"/>
                <w:color w:val="auto"/>
                <w:sz w:val="24"/>
                <w:highlight w:val="none"/>
              </w:rPr>
            </w:pPr>
          </w:p>
        </w:tc>
        <w:tc>
          <w:tcPr>
            <w:tcW w:w="8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14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921" w:type="dxa"/>
            <w:noWrap w:val="0"/>
            <w:vAlign w:val="center"/>
          </w:tcPr>
          <w:p>
            <w:pPr>
              <w:jc w:val="center"/>
              <w:rPr>
                <w:rFonts w:hAnsi="宋体"/>
                <w:color w:val="auto"/>
                <w:sz w:val="24"/>
                <w:highlight w:val="none"/>
              </w:rPr>
            </w:pPr>
          </w:p>
        </w:tc>
      </w:tr>
    </w:tbl>
    <w:p>
      <w:pPr>
        <w:spacing w:line="440" w:lineRule="exact"/>
        <w:rPr>
          <w:rFonts w:hint="eastAsia" w:hAnsi="宋体"/>
          <w:color w:val="auto"/>
          <w:sz w:val="24"/>
          <w:highlight w:val="none"/>
        </w:rPr>
      </w:pPr>
    </w:p>
    <w:p>
      <w:pPr>
        <w:spacing w:line="440" w:lineRule="exact"/>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color w:val="auto"/>
          <w:highlight w:val="none"/>
        </w:rPr>
      </w:pPr>
      <w:r>
        <w:rPr>
          <w:rFonts w:hint="eastAsia" w:hAnsi="宋体"/>
          <w:color w:val="auto"/>
          <w:sz w:val="24"/>
          <w:highlight w:val="none"/>
        </w:rPr>
        <w:br w:type="page"/>
      </w:r>
    </w:p>
    <w:p>
      <w:pPr>
        <w:spacing w:line="460" w:lineRule="exact"/>
        <w:rPr>
          <w:rFonts w:hAnsi="宋体"/>
          <w:color w:val="auto"/>
          <w:sz w:val="24"/>
          <w:highlight w:val="none"/>
        </w:rPr>
      </w:pPr>
      <w:r>
        <w:rPr>
          <w:rFonts w:hAnsi="宋体"/>
          <w:color w:val="auto"/>
          <w:sz w:val="24"/>
          <w:highlight w:val="none"/>
        </w:rPr>
        <w:t>附件</w:t>
      </w:r>
      <w:r>
        <w:rPr>
          <w:rFonts w:hint="eastAsia" w:hAnsi="宋体"/>
          <w:color w:val="auto"/>
          <w:sz w:val="24"/>
          <w:highlight w:val="none"/>
          <w:lang w:val="en-US" w:eastAsia="zh-CN"/>
        </w:rPr>
        <w:t>3</w:t>
      </w:r>
      <w:r>
        <w:rPr>
          <w:rFonts w:hAnsi="宋体"/>
          <w:color w:val="auto"/>
          <w:sz w:val="24"/>
          <w:highlight w:val="none"/>
        </w:rPr>
        <w:t xml:space="preserve">：    </w:t>
      </w:r>
    </w:p>
    <w:p>
      <w:pPr>
        <w:spacing w:line="460" w:lineRule="exact"/>
        <w:jc w:val="center"/>
        <w:rPr>
          <w:rFonts w:hAnsi="宋体"/>
          <w:b/>
          <w:color w:val="auto"/>
          <w:sz w:val="24"/>
          <w:highlight w:val="none"/>
        </w:rPr>
      </w:pPr>
      <w:r>
        <w:rPr>
          <w:rFonts w:hAnsi="宋体"/>
          <w:b/>
          <w:color w:val="auto"/>
          <w:sz w:val="24"/>
          <w:highlight w:val="none"/>
        </w:rPr>
        <w:t>工程质量保修书</w:t>
      </w:r>
    </w:p>
    <w:p>
      <w:pPr>
        <w:spacing w:line="460" w:lineRule="exact"/>
        <w:jc w:val="center"/>
        <w:rPr>
          <w:rFonts w:hint="eastAsia" w:hAnsi="宋体"/>
          <w:b/>
          <w:color w:val="auto"/>
          <w:sz w:val="24"/>
          <w:highlight w:val="none"/>
        </w:rPr>
      </w:pPr>
      <w:r>
        <w:rPr>
          <w:rFonts w:hint="eastAsia" w:hAnsi="宋体"/>
          <w:b/>
          <w:color w:val="auto"/>
          <w:sz w:val="24"/>
          <w:highlight w:val="none"/>
        </w:rPr>
        <w:t xml:space="preserve">  </w:t>
      </w:r>
    </w:p>
    <w:p>
      <w:pPr>
        <w:spacing w:line="460" w:lineRule="exact"/>
        <w:ind w:firstLine="420" w:firstLineChars="200"/>
        <w:rPr>
          <w:rFonts w:hint="eastAsia" w:hAnsi="宋体"/>
          <w:color w:val="auto"/>
          <w:highlight w:val="none"/>
          <w:lang w:val="en-US" w:eastAsia="zh-CN"/>
        </w:rPr>
      </w:pPr>
      <w:r>
        <w:rPr>
          <w:rFonts w:hAnsi="宋体"/>
          <w:color w:val="auto"/>
          <w:highlight w:val="none"/>
        </w:rPr>
        <w:t>发包人（全称）：</w:t>
      </w:r>
      <w:r>
        <w:rPr>
          <w:rFonts w:hint="eastAsia" w:hAnsi="宋体"/>
          <w:color w:val="auto"/>
          <w:highlight w:val="none"/>
          <w:lang w:val="en-US" w:eastAsia="zh-CN"/>
        </w:rPr>
        <w:t xml:space="preserve"> 杭州市临安区教育保障中心</w:t>
      </w:r>
    </w:p>
    <w:p>
      <w:pPr>
        <w:spacing w:line="460" w:lineRule="exact"/>
        <w:ind w:firstLine="480" w:firstLineChars="200"/>
        <w:rPr>
          <w:color w:val="auto"/>
          <w:sz w:val="24"/>
          <w:highlight w:val="none"/>
          <w:u w:val="single"/>
        </w:rPr>
      </w:pPr>
      <w:r>
        <w:rPr>
          <w:rFonts w:hAnsi="宋体"/>
          <w:color w:val="auto"/>
          <w:sz w:val="24"/>
          <w:highlight w:val="none"/>
        </w:rPr>
        <w:t>承包人（全称）：</w:t>
      </w:r>
      <w:r>
        <w:rPr>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发包人和承包人根据《中华人民共和国建筑法》和《建设工程质量管理条例》，经协商一致就</w:t>
      </w:r>
      <w:r>
        <w:rPr>
          <w:rFonts w:hint="eastAsia" w:hAnsi="宋体"/>
          <w:color w:val="auto"/>
          <w:sz w:val="24"/>
          <w:highlight w:val="none"/>
          <w:u w:val="single"/>
          <w:lang w:eastAsia="zh-CN"/>
        </w:rPr>
        <w:t>杭州市临安区校园“安澜”工程</w:t>
      </w:r>
      <w:r>
        <w:rPr>
          <w:rFonts w:hAnsi="宋体"/>
          <w:color w:val="auto"/>
          <w:sz w:val="24"/>
          <w:highlight w:val="none"/>
        </w:rPr>
        <w:t>（</w:t>
      </w:r>
      <w:r>
        <w:rPr>
          <w:rFonts w:hint="eastAsia" w:hAnsi="宋体"/>
          <w:color w:val="auto"/>
          <w:sz w:val="24"/>
          <w:highlight w:val="none"/>
          <w:lang w:val="en-US" w:eastAsia="zh-CN"/>
        </w:rPr>
        <w:t>项目</w:t>
      </w:r>
      <w:r>
        <w:rPr>
          <w:rFonts w:hAnsi="宋体"/>
          <w:color w:val="auto"/>
          <w:sz w:val="24"/>
          <w:highlight w:val="none"/>
        </w:rPr>
        <w:t>全称）签订工程质量保修书。</w:t>
      </w:r>
    </w:p>
    <w:p>
      <w:pPr>
        <w:spacing w:line="460" w:lineRule="exact"/>
        <w:ind w:firstLine="480" w:firstLineChars="200"/>
        <w:rPr>
          <w:rFonts w:hAnsi="宋体"/>
          <w:color w:val="auto"/>
          <w:sz w:val="24"/>
          <w:highlight w:val="none"/>
        </w:rPr>
      </w:pPr>
      <w:r>
        <w:rPr>
          <w:rFonts w:hAnsi="宋体"/>
          <w:color w:val="auto"/>
          <w:sz w:val="24"/>
          <w:highlight w:val="none"/>
        </w:rPr>
        <w:t>一、工程质量保修范围和内容</w:t>
      </w:r>
    </w:p>
    <w:p>
      <w:pPr>
        <w:spacing w:line="460" w:lineRule="exact"/>
        <w:ind w:firstLine="480" w:firstLineChars="200"/>
        <w:rPr>
          <w:rFonts w:hAnsi="宋体"/>
          <w:color w:val="auto"/>
          <w:sz w:val="24"/>
          <w:highlight w:val="none"/>
        </w:rPr>
      </w:pPr>
      <w:r>
        <w:rPr>
          <w:rFonts w:hAnsi="宋体"/>
          <w:color w:val="auto"/>
          <w:sz w:val="24"/>
          <w:highlight w:val="none"/>
        </w:rPr>
        <w:t>承包人在质量保修期内，按照有关法律规定和合同约定，承担工程质量保修责任。</w:t>
      </w:r>
    </w:p>
    <w:p>
      <w:pPr>
        <w:pStyle w:val="26"/>
        <w:spacing w:after="0" w:line="460" w:lineRule="exact"/>
        <w:ind w:firstLine="480" w:firstLineChars="200"/>
        <w:rPr>
          <w:rFonts w:hint="eastAsia" w:hAnsi="宋体"/>
          <w:color w:val="auto"/>
          <w:sz w:val="24"/>
          <w:highlight w:val="none"/>
        </w:rPr>
      </w:pPr>
      <w:r>
        <w:rPr>
          <w:rFonts w:hAnsi="宋体"/>
          <w:color w:val="auto"/>
          <w:sz w:val="24"/>
          <w:highlight w:val="none"/>
        </w:rPr>
        <w:t>质量保修范围包括</w:t>
      </w:r>
      <w:r>
        <w:rPr>
          <w:rFonts w:hint="eastAsia" w:hAnsi="宋体"/>
          <w:color w:val="auto"/>
          <w:sz w:val="24"/>
          <w:highlight w:val="none"/>
        </w:rPr>
        <w:t>施工图纸、工程量清单、招标文件规定范围内的工程</w:t>
      </w:r>
      <w:r>
        <w:rPr>
          <w:rFonts w:hAnsi="宋体"/>
          <w:color w:val="auto"/>
          <w:sz w:val="24"/>
          <w:highlight w:val="none"/>
        </w:rPr>
        <w:t>以及双方约定的其他项目。具体保修的内容，双方约定如下：</w:t>
      </w:r>
      <w:r>
        <w:rPr>
          <w:rFonts w:hint="eastAsia" w:hAnsi="宋体"/>
          <w:color w:val="auto"/>
          <w:sz w:val="24"/>
          <w:highlight w:val="none"/>
        </w:rPr>
        <w:t>施工招标范围内的所有工程。</w:t>
      </w:r>
    </w:p>
    <w:p>
      <w:pPr>
        <w:spacing w:line="460" w:lineRule="exact"/>
        <w:ind w:firstLine="480" w:firstLineChars="200"/>
        <w:rPr>
          <w:rFonts w:hAnsi="宋体"/>
          <w:color w:val="auto"/>
          <w:sz w:val="24"/>
          <w:highlight w:val="none"/>
        </w:rPr>
      </w:pPr>
      <w:r>
        <w:rPr>
          <w:rFonts w:hAnsi="宋体"/>
          <w:color w:val="auto"/>
          <w:sz w:val="24"/>
          <w:highlight w:val="none"/>
        </w:rPr>
        <w:t>二、质量保修期</w:t>
      </w:r>
    </w:p>
    <w:p>
      <w:pPr>
        <w:spacing w:line="460" w:lineRule="exact"/>
        <w:ind w:firstLine="480" w:firstLineChars="200"/>
        <w:rPr>
          <w:rFonts w:hAnsi="宋体"/>
          <w:color w:val="auto"/>
          <w:sz w:val="24"/>
          <w:highlight w:val="none"/>
        </w:rPr>
      </w:pPr>
      <w:r>
        <w:rPr>
          <w:rFonts w:hAnsi="宋体"/>
          <w:color w:val="auto"/>
          <w:sz w:val="24"/>
          <w:highlight w:val="none"/>
        </w:rPr>
        <w:t>根据《建设工程质量管理条例》及有关规定，工程的质量保修期如下：</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1.地基基础工程和主体结构工程为设计文件规定的该工程合理使用年限；</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2.屋面防水工程、地下室防水工程、有防水要求的卫生间、房间和外墙面的防渗漏为8年（消费者权益保护法规定）；</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3.土建工程、安装工程</w:t>
      </w:r>
      <w:r>
        <w:rPr>
          <w:rFonts w:hint="eastAsia" w:hAnsi="宋体"/>
          <w:color w:val="auto"/>
          <w:sz w:val="24"/>
          <w:highlight w:val="none"/>
          <w:lang w:eastAsia="zh-CN"/>
        </w:rPr>
        <w:t>、</w:t>
      </w:r>
      <w:r>
        <w:rPr>
          <w:rFonts w:hint="eastAsia" w:hAnsi="宋体"/>
          <w:color w:val="auto"/>
          <w:sz w:val="24"/>
          <w:highlight w:val="none"/>
          <w:lang w:val="en-US" w:eastAsia="zh-CN"/>
        </w:rPr>
        <w:t>装修工程</w:t>
      </w:r>
      <w:r>
        <w:rPr>
          <w:rFonts w:hint="eastAsia" w:hAnsi="宋体"/>
          <w:color w:val="auto"/>
          <w:sz w:val="24"/>
          <w:highlight w:val="none"/>
        </w:rPr>
        <w:t>为</w:t>
      </w:r>
      <w:r>
        <w:rPr>
          <w:rFonts w:hint="eastAsia" w:hAnsi="宋体"/>
          <w:color w:val="auto"/>
          <w:sz w:val="24"/>
          <w:highlight w:val="none"/>
          <w:u w:val="single"/>
          <w:lang w:val="en-US" w:eastAsia="zh-CN"/>
        </w:rPr>
        <w:t>2</w:t>
      </w:r>
      <w:r>
        <w:rPr>
          <w:rFonts w:hint="eastAsia" w:hAnsi="宋体"/>
          <w:color w:val="auto"/>
          <w:sz w:val="24"/>
          <w:highlight w:val="none"/>
        </w:rPr>
        <w:t>年；</w:t>
      </w:r>
    </w:p>
    <w:p>
      <w:pPr>
        <w:spacing w:line="460" w:lineRule="exact"/>
        <w:ind w:firstLine="480" w:firstLineChars="200"/>
        <w:rPr>
          <w:rFonts w:hint="eastAsia" w:hAnsi="宋体"/>
          <w:color w:val="auto"/>
          <w:sz w:val="24"/>
          <w:highlight w:val="none"/>
        </w:rPr>
      </w:pPr>
      <w:r>
        <w:rPr>
          <w:rFonts w:hint="eastAsia" w:hAnsi="宋体"/>
          <w:color w:val="auto"/>
          <w:sz w:val="24"/>
          <w:highlight w:val="none"/>
        </w:rPr>
        <w:t>4.门窗工程为</w:t>
      </w:r>
      <w:r>
        <w:rPr>
          <w:rFonts w:hint="eastAsia" w:hAnsi="宋体"/>
          <w:color w:val="auto"/>
          <w:sz w:val="24"/>
          <w:highlight w:val="none"/>
          <w:u w:val="single"/>
        </w:rPr>
        <w:t xml:space="preserve">  5  </w:t>
      </w:r>
      <w:r>
        <w:rPr>
          <w:rFonts w:hint="eastAsia" w:hAnsi="宋体"/>
          <w:color w:val="auto"/>
          <w:sz w:val="24"/>
          <w:highlight w:val="none"/>
        </w:rPr>
        <w:t>年。</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5.</w:t>
      </w:r>
      <w:r>
        <w:rPr>
          <w:rFonts w:hint="eastAsia" w:hAnsi="宋体"/>
          <w:color w:val="auto"/>
          <w:sz w:val="24"/>
          <w:highlight w:val="none"/>
          <w:lang w:eastAsia="zh-CN"/>
        </w:rPr>
        <w:t>绿化</w:t>
      </w:r>
      <w:r>
        <w:rPr>
          <w:rFonts w:hint="eastAsia" w:hAnsi="宋体"/>
          <w:color w:val="auto"/>
          <w:sz w:val="24"/>
          <w:highlight w:val="none"/>
        </w:rPr>
        <w:t>工程为</w:t>
      </w:r>
      <w:r>
        <w:rPr>
          <w:rFonts w:hint="eastAsia" w:hAnsi="宋体"/>
          <w:color w:val="auto"/>
          <w:sz w:val="24"/>
          <w:highlight w:val="none"/>
          <w:u w:val="single"/>
          <w:lang w:val="en-US" w:eastAsia="zh-CN"/>
        </w:rPr>
        <w:t xml:space="preserve"> 3 </w:t>
      </w:r>
      <w:r>
        <w:rPr>
          <w:rFonts w:hint="eastAsia" w:hAnsi="宋体"/>
          <w:color w:val="auto"/>
          <w:sz w:val="24"/>
          <w:highlight w:val="none"/>
        </w:rPr>
        <w:t>年；</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lang w:val="en-US" w:eastAsia="zh-CN"/>
        </w:rPr>
        <w:t>6</w:t>
      </w:r>
      <w:r>
        <w:rPr>
          <w:rFonts w:hint="eastAsia" w:hAnsi="宋体"/>
          <w:color w:val="auto"/>
          <w:sz w:val="24"/>
          <w:highlight w:val="none"/>
        </w:rPr>
        <w:t>.供热与供冷系统为</w:t>
      </w:r>
      <w:r>
        <w:rPr>
          <w:rFonts w:hint="eastAsia" w:hAnsi="宋体"/>
          <w:color w:val="auto"/>
          <w:sz w:val="24"/>
          <w:highlight w:val="none"/>
          <w:u w:val="single"/>
          <w:lang w:val="en-US" w:eastAsia="zh-CN"/>
        </w:rPr>
        <w:t>2</w:t>
      </w:r>
      <w:r>
        <w:rPr>
          <w:rFonts w:hint="eastAsia" w:hAnsi="宋体"/>
          <w:color w:val="auto"/>
          <w:sz w:val="24"/>
          <w:highlight w:val="none"/>
        </w:rPr>
        <w:t>个采暖期、供冷期；</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lang w:val="en-US" w:eastAsia="zh-CN"/>
        </w:rPr>
        <w:t>7</w:t>
      </w:r>
      <w:r>
        <w:rPr>
          <w:rFonts w:hint="eastAsia" w:hAnsi="宋体"/>
          <w:color w:val="auto"/>
          <w:sz w:val="24"/>
          <w:highlight w:val="none"/>
        </w:rPr>
        <w:t>.给排水设施、道路等配套工程为</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2</w:t>
      </w:r>
      <w:r>
        <w:rPr>
          <w:rFonts w:hint="eastAsia" w:hAnsi="宋体"/>
          <w:color w:val="auto"/>
          <w:sz w:val="24"/>
          <w:highlight w:val="none"/>
          <w:u w:val="single"/>
        </w:rPr>
        <w:t xml:space="preserve"> </w:t>
      </w:r>
      <w:r>
        <w:rPr>
          <w:rFonts w:hint="eastAsia" w:hAnsi="宋体"/>
          <w:color w:val="auto"/>
          <w:sz w:val="24"/>
          <w:highlight w:val="none"/>
        </w:rPr>
        <w:t>年；</w:t>
      </w:r>
    </w:p>
    <w:p>
      <w:pPr>
        <w:snapToGrid w:val="0"/>
        <w:spacing w:line="460" w:lineRule="exact"/>
        <w:ind w:firstLine="480" w:firstLineChars="200"/>
        <w:rPr>
          <w:rFonts w:hint="eastAsia" w:hAnsi="宋体"/>
          <w:color w:val="auto"/>
          <w:sz w:val="24"/>
          <w:highlight w:val="none"/>
        </w:rPr>
      </w:pPr>
      <w:r>
        <w:rPr>
          <w:rFonts w:hint="eastAsia" w:hAnsi="宋体"/>
          <w:color w:val="auto"/>
          <w:sz w:val="24"/>
          <w:highlight w:val="none"/>
          <w:lang w:val="en-US" w:eastAsia="zh-CN"/>
        </w:rPr>
        <w:t>8</w:t>
      </w:r>
      <w:r>
        <w:rPr>
          <w:rFonts w:hint="eastAsia" w:hAnsi="宋体"/>
          <w:color w:val="auto"/>
          <w:sz w:val="24"/>
          <w:highlight w:val="none"/>
        </w:rPr>
        <w:t>.其他工程保修期限约定如下：</w:t>
      </w:r>
      <w:r>
        <w:rPr>
          <w:rFonts w:hint="eastAsia" w:hAnsi="宋体"/>
          <w:color w:val="auto"/>
          <w:sz w:val="24"/>
          <w:highlight w:val="none"/>
          <w:u w:val="single"/>
        </w:rPr>
        <w:t>以上未注明的工程质量保修年限，按</w:t>
      </w:r>
      <w:r>
        <w:rPr>
          <w:rFonts w:hAnsi="宋体"/>
          <w:color w:val="auto"/>
          <w:sz w:val="24"/>
          <w:highlight w:val="none"/>
          <w:u w:val="single"/>
        </w:rPr>
        <w:t>2000年1月10日国务院第25次常务会议通过</w:t>
      </w:r>
      <w:r>
        <w:rPr>
          <w:rFonts w:hint="eastAsia" w:hAnsi="宋体"/>
          <w:color w:val="auto"/>
          <w:sz w:val="24"/>
          <w:highlight w:val="none"/>
          <w:u w:val="single"/>
        </w:rPr>
        <w:t>的《建设工程质量管理条例》执行。质量保修期从工程实际竣工验收合格之日算起。分单项竣工验收的工程，按单项工程分别计算质量保修期。</w:t>
      </w:r>
    </w:p>
    <w:p>
      <w:pPr>
        <w:spacing w:line="400" w:lineRule="exact"/>
        <w:ind w:firstLine="480" w:firstLineChars="200"/>
        <w:rPr>
          <w:rFonts w:hAnsi="宋体"/>
          <w:color w:val="auto"/>
          <w:sz w:val="24"/>
          <w:szCs w:val="24"/>
          <w:highlight w:val="none"/>
        </w:rPr>
      </w:pPr>
      <w:r>
        <w:rPr>
          <w:rFonts w:hAnsi="宋体"/>
          <w:color w:val="auto"/>
          <w:sz w:val="24"/>
          <w:highlight w:val="none"/>
        </w:rPr>
        <w:t>质量保修期自工程竣工验收合格之日起计算。</w:t>
      </w:r>
      <w:r>
        <w:rPr>
          <w:rFonts w:hint="eastAsia" w:hAnsi="宋体"/>
          <w:color w:val="auto"/>
          <w:sz w:val="24"/>
          <w:szCs w:val="24"/>
          <w:highlight w:val="none"/>
        </w:rPr>
        <w:t>分单项竣工验收的工程，按单项工程分别计算质量保修期。</w:t>
      </w:r>
    </w:p>
    <w:p>
      <w:pPr>
        <w:spacing w:line="460" w:lineRule="exact"/>
        <w:ind w:firstLine="480" w:firstLineChars="200"/>
        <w:rPr>
          <w:rFonts w:hAnsi="宋体"/>
          <w:color w:val="auto"/>
          <w:sz w:val="24"/>
          <w:highlight w:val="none"/>
        </w:rPr>
      </w:pPr>
      <w:r>
        <w:rPr>
          <w:rFonts w:hAnsi="宋体"/>
          <w:color w:val="auto"/>
          <w:sz w:val="24"/>
          <w:highlight w:val="none"/>
        </w:rPr>
        <w:t>三、缺陷责任期</w:t>
      </w:r>
    </w:p>
    <w:p>
      <w:pPr>
        <w:spacing w:line="460" w:lineRule="exact"/>
        <w:ind w:firstLine="480" w:firstLineChars="200"/>
        <w:rPr>
          <w:rFonts w:hAnsi="宋体"/>
          <w:color w:val="auto"/>
          <w:sz w:val="24"/>
          <w:highlight w:val="none"/>
        </w:rPr>
      </w:pPr>
      <w:r>
        <w:rPr>
          <w:rFonts w:hAnsi="宋体"/>
          <w:color w:val="auto"/>
          <w:sz w:val="24"/>
          <w:highlight w:val="none"/>
        </w:rPr>
        <w:t>工程缺陷责任期为</w:t>
      </w:r>
      <w:r>
        <w:rPr>
          <w:rFonts w:hAnsi="宋体"/>
          <w:color w:val="auto"/>
          <w:sz w:val="24"/>
          <w:highlight w:val="none"/>
          <w:u w:val="single"/>
        </w:rPr>
        <w:t xml:space="preserve">  </w:t>
      </w:r>
      <w:r>
        <w:rPr>
          <w:rFonts w:hint="eastAsia" w:hAnsi="宋体"/>
          <w:color w:val="auto"/>
          <w:sz w:val="24"/>
          <w:highlight w:val="none"/>
          <w:u w:val="single"/>
        </w:rPr>
        <w:t>24</w:t>
      </w:r>
      <w:r>
        <w:rPr>
          <w:rFonts w:hAnsi="宋体"/>
          <w:color w:val="auto"/>
          <w:sz w:val="24"/>
          <w:highlight w:val="none"/>
          <w:u w:val="single"/>
        </w:rPr>
        <w:t xml:space="preserve">  </w:t>
      </w:r>
      <w:r>
        <w:rPr>
          <w:rFonts w:hAnsi="宋体"/>
          <w:color w:val="auto"/>
          <w:sz w:val="24"/>
          <w:highlight w:val="none"/>
        </w:rPr>
        <w:t>个月</w:t>
      </w:r>
      <w:r>
        <w:rPr>
          <w:rFonts w:hint="eastAsia" w:hAnsi="宋体" w:cs="宋体"/>
          <w:color w:val="auto"/>
          <w:sz w:val="24"/>
          <w:szCs w:val="24"/>
          <w:highlight w:val="none"/>
        </w:rPr>
        <w:t>，</w:t>
      </w:r>
      <w:r>
        <w:rPr>
          <w:rFonts w:hint="eastAsia" w:ascii="宋体" w:hAnsi="宋体" w:eastAsia="宋体" w:cs="宋体"/>
          <w:b/>
          <w:bCs/>
          <w:color w:val="auto"/>
          <w:sz w:val="24"/>
          <w:szCs w:val="24"/>
          <w:highlight w:val="none"/>
        </w:rPr>
        <w:t>缺陷责任期自工程通过竣工验收之日起计算。</w:t>
      </w:r>
      <w:r>
        <w:rPr>
          <w:rFonts w:hAnsi="宋体"/>
          <w:color w:val="auto"/>
          <w:sz w:val="24"/>
          <w:highlight w:val="none"/>
        </w:rPr>
        <w:t>单位工程先于全部工程进行验收，单位工程缺陷责任期自单位工程验收合格之日起算。</w:t>
      </w:r>
    </w:p>
    <w:p>
      <w:pPr>
        <w:spacing w:line="460" w:lineRule="exact"/>
        <w:ind w:firstLine="480" w:firstLineChars="200"/>
        <w:rPr>
          <w:rFonts w:hAnsi="宋体"/>
          <w:color w:val="auto"/>
          <w:sz w:val="24"/>
          <w:highlight w:val="none"/>
        </w:rPr>
      </w:pPr>
      <w:r>
        <w:rPr>
          <w:rFonts w:hAnsi="宋体"/>
          <w:color w:val="auto"/>
          <w:sz w:val="24"/>
          <w:highlight w:val="none"/>
        </w:rPr>
        <w:t>缺陷责任期终止后，发包人应退还剩余的质量保证金。</w:t>
      </w:r>
    </w:p>
    <w:p>
      <w:pPr>
        <w:spacing w:line="460" w:lineRule="exact"/>
        <w:ind w:firstLine="480" w:firstLineChars="200"/>
        <w:rPr>
          <w:rFonts w:hAnsi="宋体"/>
          <w:color w:val="auto"/>
          <w:sz w:val="24"/>
          <w:highlight w:val="none"/>
        </w:rPr>
      </w:pPr>
      <w:r>
        <w:rPr>
          <w:rFonts w:hAnsi="宋体"/>
          <w:color w:val="auto"/>
          <w:sz w:val="24"/>
          <w:highlight w:val="none"/>
        </w:rPr>
        <w:t>四、质量保修责任</w:t>
      </w:r>
    </w:p>
    <w:p>
      <w:pPr>
        <w:spacing w:line="460" w:lineRule="exac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属于保修范围、内容的项目，承包人应当在接到保修通知之日起</w:t>
      </w:r>
      <w:r>
        <w:rPr>
          <w:rFonts w:hint="eastAsia" w:hAnsi="宋体"/>
          <w:color w:val="auto"/>
          <w:sz w:val="24"/>
          <w:highlight w:val="none"/>
        </w:rPr>
        <w:t>12小时</w:t>
      </w:r>
      <w:r>
        <w:rPr>
          <w:rFonts w:hAnsi="宋体"/>
          <w:color w:val="auto"/>
          <w:sz w:val="24"/>
          <w:highlight w:val="none"/>
        </w:rPr>
        <w:t>内派人保修。承包人不在约定期限内派人保修的，发包人可以委托他人修理</w:t>
      </w:r>
      <w:r>
        <w:rPr>
          <w:rFonts w:hint="eastAsia" w:hAnsi="宋体"/>
          <w:color w:val="auto"/>
          <w:sz w:val="24"/>
          <w:highlight w:val="none"/>
        </w:rPr>
        <w:t>，保修费用从质量保修金内扣除。</w:t>
      </w:r>
    </w:p>
    <w:p>
      <w:pPr>
        <w:snapToGrid w:val="0"/>
        <w:spacing w:line="46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发生紧急事故需抢修的，承包人在接到事故通知后，应当立即到达事故现场抢修。</w:t>
      </w:r>
      <w:r>
        <w:rPr>
          <w:rFonts w:hint="eastAsia" w:hAnsi="宋体"/>
          <w:color w:val="auto"/>
          <w:sz w:val="24"/>
          <w:highlight w:val="none"/>
        </w:rPr>
        <w:t>非承包人施工质量引起的事故，抢修费用由发包人承担。</w:t>
      </w:r>
    </w:p>
    <w:p>
      <w:pPr>
        <w:spacing w:line="46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质量保修完成后，由发包人组织验收。</w:t>
      </w:r>
    </w:p>
    <w:p>
      <w:pPr>
        <w:spacing w:line="460" w:lineRule="exact"/>
        <w:ind w:firstLine="480" w:firstLineChars="200"/>
        <w:rPr>
          <w:rFonts w:hAnsi="宋体"/>
          <w:color w:val="auto"/>
          <w:sz w:val="24"/>
          <w:highlight w:val="none"/>
        </w:rPr>
      </w:pPr>
      <w:r>
        <w:rPr>
          <w:rFonts w:hAnsi="宋体"/>
          <w:color w:val="auto"/>
          <w:sz w:val="24"/>
          <w:highlight w:val="none"/>
        </w:rPr>
        <w:t>五、保修费用</w:t>
      </w:r>
    </w:p>
    <w:p>
      <w:pPr>
        <w:snapToGrid w:val="0"/>
        <w:spacing w:line="460" w:lineRule="exact"/>
        <w:ind w:firstLine="480" w:firstLineChars="200"/>
        <w:rPr>
          <w:rFonts w:hAnsi="宋体"/>
          <w:color w:val="auto"/>
          <w:sz w:val="24"/>
          <w:highlight w:val="none"/>
        </w:rPr>
      </w:pPr>
      <w:r>
        <w:rPr>
          <w:rFonts w:hAnsi="宋体"/>
          <w:color w:val="auto"/>
          <w:sz w:val="24"/>
          <w:highlight w:val="none"/>
        </w:rPr>
        <w:t>保修费用由造成质量缺陷的责任方承担。</w:t>
      </w:r>
      <w:r>
        <w:rPr>
          <w:rFonts w:hint="eastAsia" w:hAnsi="宋体"/>
          <w:color w:val="auto"/>
          <w:sz w:val="24"/>
          <w:highlight w:val="none"/>
        </w:rPr>
        <w:t xml:space="preserve">本工程约定的工程质量保修金为工程结算审定价款的 </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1</w:t>
      </w:r>
      <w:r>
        <w:rPr>
          <w:rFonts w:hint="eastAsia" w:hAnsi="宋体"/>
          <w:color w:val="auto"/>
          <w:sz w:val="24"/>
          <w:highlight w:val="none"/>
          <w:u w:val="single"/>
        </w:rPr>
        <w:t xml:space="preserve">.5 </w:t>
      </w:r>
      <w:r>
        <w:rPr>
          <w:rFonts w:hint="eastAsia" w:hAnsi="宋体"/>
          <w:color w:val="auto"/>
          <w:sz w:val="24"/>
          <w:highlight w:val="none"/>
        </w:rPr>
        <w:t>%，本工程双方约定承包人向发包人支付工程量保修金金额为（大写）：</w:t>
      </w:r>
      <w:r>
        <w:rPr>
          <w:rFonts w:hint="eastAsia" w:hAnsi="宋体"/>
          <w:color w:val="auto"/>
          <w:sz w:val="24"/>
          <w:highlight w:val="none"/>
          <w:u w:val="single"/>
        </w:rPr>
        <w:t xml:space="preserve">       </w:t>
      </w:r>
      <w:r>
        <w:rPr>
          <w:rFonts w:hint="eastAsia" w:hAnsi="宋体"/>
          <w:color w:val="auto"/>
          <w:sz w:val="24"/>
          <w:highlight w:val="none"/>
        </w:rPr>
        <w:t>。质量保修金银行利率为</w:t>
      </w:r>
      <w:r>
        <w:rPr>
          <w:rFonts w:hint="eastAsia" w:hAnsi="宋体"/>
          <w:color w:val="auto"/>
          <w:sz w:val="24"/>
          <w:highlight w:val="none"/>
          <w:u w:val="single"/>
        </w:rPr>
        <w:t xml:space="preserve">  0   </w:t>
      </w:r>
      <w:r>
        <w:rPr>
          <w:rFonts w:hint="eastAsia" w:hAnsi="宋体"/>
          <w:color w:val="auto"/>
          <w:sz w:val="24"/>
          <w:highlight w:val="none"/>
        </w:rPr>
        <w:t>。</w:t>
      </w:r>
    </w:p>
    <w:p>
      <w:pPr>
        <w:spacing w:line="460" w:lineRule="exact"/>
        <w:ind w:firstLine="480" w:firstLineChars="200"/>
        <w:jc w:val="left"/>
        <w:rPr>
          <w:rFonts w:hAnsi="宋体"/>
          <w:color w:val="auto"/>
          <w:sz w:val="24"/>
          <w:highlight w:val="none"/>
        </w:rPr>
      </w:pPr>
      <w:r>
        <w:rPr>
          <w:rFonts w:hAnsi="宋体"/>
          <w:color w:val="auto"/>
          <w:sz w:val="24"/>
          <w:highlight w:val="none"/>
        </w:rPr>
        <w:t>六、双方约定的其他工程质量保修事项：</w:t>
      </w:r>
      <w:r>
        <w:rPr>
          <w:rFonts w:hint="eastAsia" w:hAnsi="宋体"/>
          <w:color w:val="auto"/>
          <w:sz w:val="24"/>
          <w:highlight w:val="none"/>
          <w:u w:val="single"/>
        </w:rPr>
        <w:t xml:space="preserve">        /                  </w:t>
      </w:r>
      <w:r>
        <w:rPr>
          <w:rFonts w:hAnsi="宋体"/>
          <w:color w:val="auto"/>
          <w:sz w:val="24"/>
          <w:highlight w:val="none"/>
        </w:rPr>
        <w:t>。</w:t>
      </w:r>
    </w:p>
    <w:p>
      <w:pPr>
        <w:spacing w:line="460" w:lineRule="exact"/>
        <w:ind w:firstLine="480" w:firstLineChars="200"/>
        <w:rPr>
          <w:rFonts w:hAnsi="宋体"/>
          <w:color w:val="auto"/>
          <w:sz w:val="24"/>
          <w:highlight w:val="none"/>
        </w:rPr>
      </w:pPr>
      <w:r>
        <w:rPr>
          <w:rFonts w:hAnsi="宋体"/>
          <w:color w:val="auto"/>
          <w:sz w:val="24"/>
          <w:highlight w:val="none"/>
        </w:rPr>
        <w:t>工程质量保修书由发包人、承包人在工程竣工验收前共同签署，作为施工合同附件，其有效期限至保修期满。</w:t>
      </w:r>
    </w:p>
    <w:p>
      <w:pPr>
        <w:spacing w:line="460" w:lineRule="exact"/>
        <w:ind w:firstLine="480" w:firstLineChars="200"/>
        <w:rPr>
          <w:rFonts w:hAnsi="宋体"/>
          <w:color w:val="auto"/>
          <w:sz w:val="24"/>
          <w:highlight w:val="none"/>
        </w:rPr>
      </w:pPr>
    </w:p>
    <w:p>
      <w:pPr>
        <w:spacing w:line="460" w:lineRule="exact"/>
        <w:ind w:firstLine="480" w:firstLineChars="200"/>
        <w:rPr>
          <w:rFonts w:hAnsi="宋体"/>
          <w:color w:val="auto"/>
          <w:sz w:val="24"/>
          <w:highlight w:val="none"/>
        </w:rPr>
      </w:pPr>
    </w:p>
    <w:p>
      <w:pPr>
        <w:spacing w:line="460" w:lineRule="exact"/>
        <w:ind w:firstLine="480" w:firstLineChars="200"/>
        <w:rPr>
          <w:rFonts w:hAnsi="宋体"/>
          <w:color w:val="auto"/>
          <w:sz w:val="24"/>
          <w:highlight w:val="none"/>
        </w:rPr>
      </w:pPr>
      <w:r>
        <w:rPr>
          <w:rFonts w:hAnsi="宋体"/>
          <w:color w:val="auto"/>
          <w:sz w:val="24"/>
          <w:highlight w:val="none"/>
        </w:rPr>
        <w:t>发包人(公章)：</w:t>
      </w:r>
      <w:r>
        <w:rPr>
          <w:rFonts w:hAnsi="宋体"/>
          <w:color w:val="auto"/>
          <w:sz w:val="24"/>
          <w:highlight w:val="none"/>
          <w:u w:val="single"/>
        </w:rPr>
        <w:t xml:space="preserve"> </w:t>
      </w:r>
      <w:r>
        <w:rPr>
          <w:rFonts w:hint="eastAsia" w:hAnsi="宋体" w:cs="宋体"/>
          <w:color w:val="auto"/>
          <w:sz w:val="24"/>
          <w:highlight w:val="none"/>
          <w:u w:val="single"/>
        </w:rPr>
        <w:t xml:space="preserve">       </w:t>
      </w:r>
      <w:r>
        <w:rPr>
          <w:rFonts w:hAnsi="宋体"/>
          <w:color w:val="auto"/>
          <w:sz w:val="24"/>
          <w:highlight w:val="none"/>
        </w:rPr>
        <w:t xml:space="preserve"> 承包人(公章)：</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地  址：</w:t>
      </w:r>
      <w:r>
        <w:rPr>
          <w:rFonts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rPr>
        <w:t xml:space="preserve"> </w:t>
      </w:r>
      <w:r>
        <w:rPr>
          <w:rFonts w:hAnsi="宋体"/>
          <w:color w:val="auto"/>
          <w:sz w:val="24"/>
          <w:highlight w:val="none"/>
        </w:rPr>
        <w:t>地  址：</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法定代表人(签字)：</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法定代表人(签字)：</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委托代理人(签字)：</w:t>
      </w:r>
      <w:r>
        <w:rPr>
          <w:rFonts w:hint="eastAsia" w:hAnsi="宋体" w:cs="宋体"/>
          <w:color w:val="auto"/>
          <w:sz w:val="24"/>
          <w:highlight w:val="none"/>
          <w:u w:val="single"/>
        </w:rPr>
        <w:t xml:space="preserve">      </w:t>
      </w:r>
      <w:r>
        <w:rPr>
          <w:rFonts w:hAnsi="宋体"/>
          <w:color w:val="auto"/>
          <w:sz w:val="24"/>
          <w:highlight w:val="none"/>
        </w:rPr>
        <w:t xml:space="preserve"> 委托代理人(签字)：</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电  话：</w:t>
      </w:r>
      <w:r>
        <w:rPr>
          <w:rFonts w:hint="eastAsia" w:hAnsi="宋体" w:cs="宋体"/>
          <w:color w:val="auto"/>
          <w:sz w:val="24"/>
          <w:highlight w:val="none"/>
          <w:u w:val="single"/>
        </w:rPr>
        <w:t xml:space="preserve">   </w:t>
      </w:r>
      <w:r>
        <w:rPr>
          <w:rFonts w:hAnsi="宋体"/>
          <w:color w:val="auto"/>
          <w:sz w:val="24"/>
          <w:highlight w:val="none"/>
        </w:rPr>
        <w:t xml:space="preserve"> 电  话：</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传  真：</w:t>
      </w:r>
      <w:r>
        <w:rPr>
          <w:rFonts w:hint="eastAsia" w:hAnsi="宋体" w:cs="宋体"/>
          <w:color w:val="auto"/>
          <w:sz w:val="24"/>
          <w:highlight w:val="none"/>
          <w:u w:val="single"/>
        </w:rPr>
        <w:t xml:space="preserve">   </w:t>
      </w:r>
      <w:r>
        <w:rPr>
          <w:rFonts w:hAnsi="宋体"/>
          <w:color w:val="auto"/>
          <w:sz w:val="24"/>
          <w:highlight w:val="none"/>
        </w:rPr>
        <w:t xml:space="preserve"> 传  真：</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开户银行：</w:t>
      </w:r>
      <w:r>
        <w:rPr>
          <w:rFonts w:hint="eastAsia" w:hAnsi="宋体" w:cs="宋体"/>
          <w:color w:val="auto"/>
          <w:sz w:val="24"/>
          <w:highlight w:val="none"/>
          <w:u w:val="single"/>
        </w:rPr>
        <w:t xml:space="preserve">   </w:t>
      </w:r>
      <w:r>
        <w:rPr>
          <w:rFonts w:hAnsi="宋体"/>
          <w:color w:val="auto"/>
          <w:sz w:val="24"/>
          <w:highlight w:val="none"/>
        </w:rPr>
        <w:t xml:space="preserve"> 开户银行：</w:t>
      </w:r>
      <w:r>
        <w:rPr>
          <w:rFonts w:hint="eastAsia" w:hAnsi="宋体" w:cs="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账  号：</w:t>
      </w:r>
      <w:r>
        <w:rPr>
          <w:rFonts w:hint="eastAsia" w:hAnsi="宋体" w:cs="宋体"/>
          <w:color w:val="auto"/>
          <w:sz w:val="24"/>
          <w:highlight w:val="none"/>
          <w:u w:val="single"/>
        </w:rPr>
        <w:t xml:space="preserve">       </w:t>
      </w:r>
      <w:r>
        <w:rPr>
          <w:rFonts w:hint="eastAsia" w:hAnsi="宋体"/>
          <w:color w:val="auto"/>
          <w:sz w:val="24"/>
          <w:highlight w:val="none"/>
        </w:rPr>
        <w:t xml:space="preserve">  </w:t>
      </w:r>
      <w:r>
        <w:rPr>
          <w:rFonts w:hAnsi="宋体"/>
          <w:color w:val="auto"/>
          <w:sz w:val="24"/>
          <w:highlight w:val="none"/>
        </w:rPr>
        <w:t>账</w:t>
      </w:r>
      <w:r>
        <w:rPr>
          <w:rFonts w:hint="eastAsia" w:hAnsi="宋体"/>
          <w:color w:val="auto"/>
          <w:sz w:val="24"/>
          <w:highlight w:val="none"/>
        </w:rPr>
        <w:t xml:space="preserve"> </w:t>
      </w:r>
      <w:r>
        <w:rPr>
          <w:rFonts w:hAnsi="宋体"/>
          <w:color w:val="auto"/>
          <w:sz w:val="24"/>
          <w:highlight w:val="none"/>
        </w:rPr>
        <w:t xml:space="preserve"> 号：</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pPr>
        <w:spacing w:line="460" w:lineRule="exact"/>
        <w:ind w:firstLine="480" w:firstLineChars="200"/>
        <w:rPr>
          <w:rFonts w:hint="eastAsia" w:hAnsi="宋体" w:cs="宋体"/>
          <w:color w:val="auto"/>
          <w:sz w:val="24"/>
          <w:highlight w:val="none"/>
          <w:u w:val="single"/>
        </w:rPr>
      </w:pPr>
      <w:r>
        <w:rPr>
          <w:rFonts w:hAnsi="宋体"/>
          <w:color w:val="auto"/>
          <w:sz w:val="24"/>
          <w:highlight w:val="none"/>
        </w:rPr>
        <w:t>邮政编码：</w:t>
      </w:r>
      <w:r>
        <w:rPr>
          <w:rFonts w:hAnsi="宋体"/>
          <w:color w:val="auto"/>
          <w:sz w:val="24"/>
          <w:highlight w:val="none"/>
          <w:u w:val="single"/>
        </w:rPr>
        <w:t xml:space="preserve"> </w:t>
      </w:r>
      <w:r>
        <w:rPr>
          <w:rFonts w:hint="eastAsia" w:hAnsi="宋体" w:cs="宋体"/>
          <w:color w:val="auto"/>
          <w:sz w:val="24"/>
          <w:highlight w:val="none"/>
          <w:u w:val="single"/>
        </w:rPr>
        <w:t xml:space="preserve">    </w:t>
      </w:r>
      <w:r>
        <w:rPr>
          <w:rFonts w:hAnsi="宋体"/>
          <w:color w:val="auto"/>
          <w:sz w:val="24"/>
          <w:highlight w:val="none"/>
        </w:rPr>
        <w:t xml:space="preserve"> 邮政编码：</w:t>
      </w:r>
      <w:r>
        <w:rPr>
          <w:rFonts w:hint="eastAsia" w:hAnsi="宋体" w:cs="宋体"/>
          <w:color w:val="auto"/>
          <w:sz w:val="24"/>
          <w:highlight w:val="none"/>
          <w:u w:val="single"/>
        </w:rPr>
        <w:t xml:space="preserve">   </w:t>
      </w:r>
    </w:p>
    <w:p>
      <w:pPr>
        <w:spacing w:line="440" w:lineRule="exact"/>
        <w:rPr>
          <w:rFonts w:hint="eastAsia" w:hAnsi="宋体"/>
          <w:color w:val="auto"/>
          <w:sz w:val="24"/>
          <w:highlight w:val="none"/>
        </w:rPr>
      </w:pPr>
    </w:p>
    <w:p>
      <w:pPr>
        <w:spacing w:line="440" w:lineRule="exact"/>
        <w:rPr>
          <w:rFonts w:hAnsi="宋体"/>
          <w:color w:val="auto"/>
          <w:sz w:val="24"/>
          <w:highlight w:val="none"/>
        </w:rPr>
      </w:pPr>
      <w:r>
        <w:rPr>
          <w:rFonts w:hint="eastAsia" w:hAnsi="宋体"/>
          <w:color w:val="auto"/>
          <w:sz w:val="24"/>
          <w:highlight w:val="none"/>
        </w:rPr>
        <w:br w:type="page"/>
      </w:r>
    </w:p>
    <w:p>
      <w:pPr>
        <w:spacing w:line="440" w:lineRule="exact"/>
        <w:rPr>
          <w:rFonts w:hAnsi="宋体"/>
          <w:color w:val="auto"/>
          <w:sz w:val="24"/>
          <w:highlight w:val="none"/>
        </w:rPr>
      </w:pPr>
      <w:r>
        <w:rPr>
          <w:rFonts w:hAnsi="宋体"/>
          <w:color w:val="auto"/>
          <w:sz w:val="24"/>
          <w:highlight w:val="none"/>
        </w:rPr>
        <w:t>附</w:t>
      </w:r>
      <w:bookmarkStart w:id="928" w:name="_Toc296891056"/>
      <w:bookmarkStart w:id="929" w:name="_Toc296503228"/>
      <w:bookmarkStart w:id="930" w:name="_Toc296346729"/>
      <w:bookmarkStart w:id="931" w:name="_Toc267261699"/>
      <w:bookmarkStart w:id="932" w:name="_Toc296891268"/>
      <w:bookmarkStart w:id="933" w:name="_Toc296944567"/>
      <w:bookmarkStart w:id="934" w:name="_Toc296347227"/>
      <w:r>
        <w:rPr>
          <w:rFonts w:hAnsi="宋体"/>
          <w:color w:val="auto"/>
          <w:sz w:val="24"/>
          <w:highlight w:val="none"/>
        </w:rPr>
        <w:t>件</w:t>
      </w:r>
      <w:r>
        <w:rPr>
          <w:rFonts w:hint="eastAsia" w:hAnsi="宋体"/>
          <w:color w:val="auto"/>
          <w:sz w:val="24"/>
          <w:highlight w:val="none"/>
        </w:rPr>
        <w:t>4</w:t>
      </w:r>
      <w:r>
        <w:rPr>
          <w:rFonts w:hAnsi="宋体"/>
          <w:color w:val="auto"/>
          <w:sz w:val="24"/>
          <w:highlight w:val="none"/>
        </w:rPr>
        <w:t>：</w:t>
      </w:r>
    </w:p>
    <w:bookmarkEnd w:id="928"/>
    <w:bookmarkEnd w:id="929"/>
    <w:bookmarkEnd w:id="930"/>
    <w:bookmarkEnd w:id="931"/>
    <w:bookmarkEnd w:id="932"/>
    <w:bookmarkEnd w:id="933"/>
    <w:bookmarkEnd w:id="934"/>
    <w:p>
      <w:pPr>
        <w:spacing w:before="156" w:beforeLines="50" w:after="156" w:afterLines="50" w:line="440" w:lineRule="exact"/>
        <w:jc w:val="center"/>
        <w:rPr>
          <w:rFonts w:hAnsi="宋体"/>
          <w:color w:val="auto"/>
          <w:sz w:val="24"/>
          <w:highlight w:val="none"/>
        </w:rPr>
      </w:pPr>
      <w:r>
        <w:rPr>
          <w:rFonts w:hAnsi="宋体"/>
          <w:color w:val="auto"/>
          <w:sz w:val="24"/>
          <w:highlight w:val="none"/>
        </w:rPr>
        <w:t>承包人主要施工管理人员表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名    称</w:t>
            </w:r>
          </w:p>
        </w:tc>
        <w:tc>
          <w:tcPr>
            <w:tcW w:w="1418" w:type="dxa"/>
            <w:tcBorders>
              <w:top w:val="single" w:color="auto" w:sz="12" w:space="0"/>
              <w:bottom w:val="doub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姓名</w:t>
            </w:r>
          </w:p>
        </w:tc>
        <w:tc>
          <w:tcPr>
            <w:tcW w:w="1134" w:type="dxa"/>
            <w:tcBorders>
              <w:top w:val="single" w:color="auto" w:sz="12" w:space="0"/>
              <w:bottom w:val="doub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职务</w:t>
            </w:r>
          </w:p>
        </w:tc>
        <w:tc>
          <w:tcPr>
            <w:tcW w:w="1134" w:type="dxa"/>
            <w:tcBorders>
              <w:top w:val="single" w:color="auto" w:sz="12" w:space="0"/>
              <w:bottom w:val="doub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职称</w:t>
            </w:r>
          </w:p>
        </w:tc>
        <w:tc>
          <w:tcPr>
            <w:tcW w:w="4252" w:type="dxa"/>
            <w:tcBorders>
              <w:top w:val="single" w:color="auto" w:sz="12" w:space="0"/>
              <w:bottom w:val="doub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项目主管</w:t>
            </w:r>
          </w:p>
        </w:tc>
        <w:tc>
          <w:tcPr>
            <w:tcW w:w="1418" w:type="dxa"/>
            <w:tcBorders>
              <w:top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tcBorders>
              <w:top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tcBorders>
              <w:top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tcBorders>
              <w:top w:val="nil"/>
            </w:tcBorders>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其他人员</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项目经理</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项目副经理</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技术负责人</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造价管理</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质量管理</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材料管理</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计划管理</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安全管理</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int="eastAsia" w:hAnsi="宋体"/>
                <w:color w:val="auto"/>
                <w:sz w:val="24"/>
                <w:highlight w:val="none"/>
                <w:lang w:val="en-US" w:eastAsia="zh-CN"/>
              </w:rPr>
              <w:t>劳资专管员</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6"/>
              <w:keepNext/>
              <w:spacing w:after="0" w:line="440" w:lineRule="exact"/>
              <w:ind w:left="84" w:right="84"/>
              <w:rPr>
                <w:rFonts w:hAnsi="宋体"/>
                <w:color w:val="auto"/>
                <w:sz w:val="24"/>
                <w:highlight w:val="none"/>
                <w:lang w:val="en-US" w:eastAsia="zh-CN"/>
              </w:rPr>
            </w:pPr>
            <w:r>
              <w:rPr>
                <w:rFonts w:hAnsi="宋体"/>
                <w:color w:val="auto"/>
                <w:sz w:val="24"/>
                <w:highlight w:val="none"/>
                <w:lang w:val="en-US" w:eastAsia="zh-CN"/>
              </w:rPr>
              <w:t>其他人员</w:t>
            </w: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6"/>
              <w:keepNext/>
              <w:spacing w:after="0" w:line="440" w:lineRule="exact"/>
              <w:ind w:left="84" w:right="84"/>
              <w:rPr>
                <w:rFonts w:hAnsi="宋体"/>
                <w:color w:val="auto"/>
                <w:sz w:val="24"/>
                <w:highlight w:val="none"/>
                <w:lang w:val="en-US" w:eastAsia="zh-CN"/>
              </w:rPr>
            </w:pPr>
          </w:p>
        </w:tc>
        <w:tc>
          <w:tcPr>
            <w:tcW w:w="1418" w:type="dxa"/>
            <w:tcBorders>
              <w:bottom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tcBorders>
              <w:bottom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tcBorders>
              <w:bottom w:val="nil"/>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tcBorders>
              <w:bottom w:val="nil"/>
            </w:tcBorders>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6"/>
              <w:keepNext/>
              <w:spacing w:after="0" w:line="440" w:lineRule="exact"/>
              <w:ind w:left="84" w:right="84"/>
              <w:rPr>
                <w:rFonts w:hAnsi="宋体"/>
                <w:color w:val="auto"/>
                <w:sz w:val="24"/>
                <w:highlight w:val="none"/>
                <w:lang w:val="en-US" w:eastAsia="zh-CN"/>
              </w:rPr>
            </w:pP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6"/>
              <w:keepNext/>
              <w:spacing w:after="0" w:line="440" w:lineRule="exact"/>
              <w:ind w:left="84" w:right="84"/>
              <w:rPr>
                <w:rFonts w:hAnsi="宋体"/>
                <w:color w:val="auto"/>
                <w:sz w:val="24"/>
                <w:highlight w:val="none"/>
                <w:lang w:val="en-US" w:eastAsia="zh-CN"/>
              </w:rPr>
            </w:pP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6"/>
              <w:keepNext/>
              <w:spacing w:after="0" w:line="440" w:lineRule="exact"/>
              <w:ind w:left="84" w:right="84"/>
              <w:rPr>
                <w:rFonts w:hAnsi="宋体"/>
                <w:color w:val="auto"/>
                <w:sz w:val="24"/>
                <w:highlight w:val="none"/>
                <w:lang w:val="en-US" w:eastAsia="zh-CN"/>
              </w:rPr>
            </w:pPr>
          </w:p>
        </w:tc>
        <w:tc>
          <w:tcPr>
            <w:tcW w:w="1418"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noWrap w:val="0"/>
            <w:vAlign w:val="center"/>
          </w:tcPr>
          <w:p>
            <w:pPr>
              <w:pStyle w:val="26"/>
              <w:keepNext/>
              <w:spacing w:after="0" w:line="44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418" w:type="dxa"/>
            <w:tcBorders>
              <w:bottom w:val="single" w:color="auto" w:sz="12" w:space="0"/>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tcBorders>
              <w:bottom w:val="single" w:color="auto" w:sz="12" w:space="0"/>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1134" w:type="dxa"/>
            <w:tcBorders>
              <w:bottom w:val="single" w:color="auto" w:sz="12" w:space="0"/>
            </w:tcBorders>
            <w:noWrap w:val="0"/>
            <w:vAlign w:val="center"/>
          </w:tcPr>
          <w:p>
            <w:pPr>
              <w:pStyle w:val="26"/>
              <w:keepNext/>
              <w:spacing w:after="0" w:line="440" w:lineRule="exact"/>
              <w:ind w:left="84" w:right="84"/>
              <w:rPr>
                <w:rFonts w:hAnsi="宋体"/>
                <w:color w:val="auto"/>
                <w:sz w:val="24"/>
                <w:highlight w:val="none"/>
                <w:lang w:val="en-US" w:eastAsia="zh-CN"/>
              </w:rPr>
            </w:pPr>
          </w:p>
        </w:tc>
        <w:tc>
          <w:tcPr>
            <w:tcW w:w="4252" w:type="dxa"/>
            <w:tcBorders>
              <w:bottom w:val="single" w:color="auto" w:sz="12" w:space="0"/>
            </w:tcBorders>
            <w:noWrap w:val="0"/>
            <w:vAlign w:val="center"/>
          </w:tcPr>
          <w:p>
            <w:pPr>
              <w:pStyle w:val="26"/>
              <w:keepNext/>
              <w:spacing w:after="0" w:line="440" w:lineRule="exact"/>
              <w:ind w:left="84" w:right="84"/>
              <w:rPr>
                <w:rFonts w:hAnsi="宋体"/>
                <w:color w:val="auto"/>
                <w:sz w:val="24"/>
                <w:highlight w:val="none"/>
                <w:lang w:val="en-US" w:eastAsia="zh-CN"/>
              </w:rPr>
            </w:pPr>
          </w:p>
        </w:tc>
      </w:tr>
    </w:tbl>
    <w:p>
      <w:pPr>
        <w:spacing w:line="440" w:lineRule="exact"/>
        <w:rPr>
          <w:rFonts w:hint="eastAsia" w:hAnsi="宋体"/>
          <w:color w:val="auto"/>
          <w:sz w:val="24"/>
          <w:highlight w:val="none"/>
        </w:rPr>
      </w:pPr>
    </w:p>
    <w:p>
      <w:pPr>
        <w:spacing w:line="440" w:lineRule="exact"/>
        <w:rPr>
          <w:rFonts w:hint="eastAsia" w:hAnsi="宋体"/>
          <w:color w:val="auto"/>
          <w:sz w:val="24"/>
          <w:highlight w:val="none"/>
        </w:rPr>
      </w:pPr>
    </w:p>
    <w:p>
      <w:pPr>
        <w:spacing w:line="440" w:lineRule="exact"/>
        <w:rPr>
          <w:rFonts w:hint="eastAsia" w:hAnsi="宋体"/>
          <w:color w:val="auto"/>
          <w:sz w:val="24"/>
          <w:highlight w:val="none"/>
        </w:rPr>
      </w:pPr>
    </w:p>
    <w:p>
      <w:pPr>
        <w:spacing w:line="440" w:lineRule="exact"/>
        <w:rPr>
          <w:rFonts w:hint="eastAsia" w:hAnsi="宋体"/>
          <w:color w:val="auto"/>
          <w:sz w:val="24"/>
          <w:highlight w:val="none"/>
        </w:rPr>
      </w:pPr>
    </w:p>
    <w:p>
      <w:pPr>
        <w:rPr>
          <w:rFonts w:ascii="仿宋" w:hAnsi="仿宋" w:eastAsia="仿宋"/>
          <w:color w:val="auto"/>
          <w:sz w:val="24"/>
          <w:highlight w:val="none"/>
        </w:rPr>
      </w:pPr>
      <w:r>
        <w:rPr>
          <w:rFonts w:ascii="仿宋" w:hAnsi="仿宋" w:eastAsia="仿宋"/>
          <w:color w:val="auto"/>
          <w:sz w:val="24"/>
          <w:highlight w:val="none"/>
        </w:rPr>
        <w:br w:type="page"/>
      </w:r>
    </w:p>
    <w:p>
      <w:pPr>
        <w:pStyle w:val="42"/>
        <w:rPr>
          <w:color w:val="auto"/>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05"/>
      <w:r>
        <w:rPr>
          <w:rFonts w:ascii="仿宋" w:hAnsi="仿宋" w:eastAsia="仿宋" w:cs="仿宋_GB2312"/>
          <w:b/>
          <w:color w:val="auto"/>
          <w:sz w:val="36"/>
          <w:szCs w:val="20"/>
          <w:highlight w:val="none"/>
        </w:rPr>
        <w:t xml:space="preserve"> </w:t>
      </w:r>
      <w:bookmarkEnd w:id="406"/>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0"/>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7"/>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0"/>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pStyle w:val="60"/>
        <w:rPr>
          <w:color w:val="auto"/>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60"/>
        <w:rPr>
          <w:rFonts w:ascii="仿宋_GB2312" w:hAnsi="仿宋" w:eastAsia="仿宋_GB2312" w:cs="仿宋_GB2312"/>
          <w:b/>
          <w:color w:val="auto"/>
          <w:kern w:val="0"/>
          <w:sz w:val="32"/>
          <w:szCs w:val="32"/>
          <w:highlight w:val="none"/>
          <w:lang w:val="zh-CN"/>
        </w:rPr>
      </w:pPr>
    </w:p>
    <w:p>
      <w:pP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60"/>
        <w:rPr>
          <w:color w:val="auto"/>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7"/>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7"/>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pStyle w:val="42"/>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2"/>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2"/>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2"/>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2"/>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2"/>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2"/>
        <w:rPr>
          <w:color w:val="auto"/>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p>
    <w:p>
      <w:pPr>
        <w:snapToGrid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eastAsia="zh-CN"/>
        </w:rPr>
        <w:t>报价明细表：工程量清单编制严格按《杭州市建设工程工程量清单计价实施细则（2018年修订）》实施。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中小企业声明函</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color w:val="auto"/>
          <w:sz w:val="24"/>
          <w:szCs w:val="24"/>
          <w:highlight w:val="none"/>
          <w:u w:val="single"/>
          <w:lang w:val="en-US" w:eastAsia="zh-CN"/>
        </w:rPr>
        <w:t xml:space="preserve">      （</w:t>
      </w:r>
      <w:r>
        <w:rPr>
          <w:rFonts w:hint="eastAsia" w:ascii="仿宋_GB2312" w:hAnsi="仿宋" w:eastAsia="仿宋_GB2312" w:cs="仿宋_GB2312"/>
          <w:color w:val="auto"/>
          <w:sz w:val="24"/>
          <w:szCs w:val="24"/>
          <w:highlight w:val="none"/>
          <w:u w:val="single"/>
          <w:lang w:eastAsia="zh-CN"/>
        </w:rPr>
        <w:t>项目名称）</w:t>
      </w:r>
      <w:r>
        <w:rPr>
          <w:rFonts w:hint="eastAsia" w:ascii="仿宋_GB2312" w:hAnsi="仿宋" w:eastAsia="仿宋_GB2312" w:cs="仿宋_GB2312"/>
          <w:color w:val="auto"/>
          <w:kern w:val="0"/>
          <w:sz w:val="24"/>
          <w:szCs w:val="24"/>
          <w:highlight w:val="none"/>
          <w:lang w:val="zh-CN"/>
        </w:rPr>
        <w:t>【招标编号：</w:t>
      </w:r>
      <w:r>
        <w:rPr>
          <w:rFonts w:hint="eastAsia" w:ascii="仿宋_GB2312" w:hAnsi="仿宋" w:eastAsia="仿宋_GB2312" w:cs="仿宋_GB2312"/>
          <w:color w:val="auto"/>
          <w:sz w:val="24"/>
          <w:szCs w:val="24"/>
          <w:highlight w:val="none"/>
          <w:u w:val="single"/>
          <w:lang w:val="en-US" w:eastAsia="zh-CN"/>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szCs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16"/>
        <w:gridCol w:w="1705"/>
        <w:gridCol w:w="452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6316"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705"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4527"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投标报价</w:t>
            </w:r>
          </w:p>
        </w:tc>
        <w:tc>
          <w:tcPr>
            <w:tcW w:w="1485" w:type="dxa"/>
            <w:vAlign w:val="center"/>
          </w:tcPr>
          <w:p>
            <w:pPr>
              <w:spacing w:line="360" w:lineRule="auto"/>
              <w:jc w:val="center"/>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6316" w:type="dxa"/>
            <w:vAlign w:val="center"/>
          </w:tcPr>
          <w:p>
            <w:pPr>
              <w:snapToGrid w:val="0"/>
              <w:spacing w:line="360" w:lineRule="auto"/>
              <w:jc w:val="center"/>
              <w:rPr>
                <w:rFonts w:ascii="仿宋_GB2312" w:hAnsi="仿宋" w:eastAsia="仿宋_GB2312" w:cs="仿宋_GB2312"/>
                <w:color w:val="auto"/>
                <w:sz w:val="24"/>
                <w:highlight w:val="none"/>
              </w:rPr>
            </w:pPr>
          </w:p>
        </w:tc>
        <w:tc>
          <w:tcPr>
            <w:tcW w:w="1705" w:type="dxa"/>
            <w:vAlign w:val="center"/>
          </w:tcPr>
          <w:p>
            <w:pPr>
              <w:snapToGrid w:val="0"/>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1项</w:t>
            </w:r>
          </w:p>
        </w:tc>
        <w:tc>
          <w:tcPr>
            <w:tcW w:w="4527" w:type="dxa"/>
            <w:vAlign w:val="center"/>
          </w:tcPr>
          <w:p>
            <w:pPr>
              <w:spacing w:line="360" w:lineRule="auto"/>
              <w:jc w:val="left"/>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rPr>
              <w:t>投标报价（小写）</w:t>
            </w:r>
            <w:r>
              <w:rPr>
                <w:rFonts w:hint="eastAsia" w:ascii="仿宋_GB2312" w:hAnsi="仿宋" w:eastAsia="仿宋_GB2312" w:cs="仿宋_GB2312"/>
                <w:b/>
                <w:color w:val="auto"/>
                <w:sz w:val="24"/>
                <w:highlight w:val="none"/>
                <w:lang w:eastAsia="zh-CN"/>
              </w:rPr>
              <w:t>：</w:t>
            </w:r>
          </w:p>
          <w:p>
            <w:pPr>
              <w:spacing w:line="360" w:lineRule="auto"/>
              <w:jc w:val="left"/>
              <w:rPr>
                <w:rFonts w:hint="eastAsia" w:eastAsia="仿宋_GB2312"/>
                <w:color w:val="auto"/>
                <w:highlight w:val="none"/>
                <w:lang w:eastAsia="zh-CN"/>
              </w:rPr>
            </w:pPr>
            <w:r>
              <w:rPr>
                <w:rFonts w:hint="eastAsia" w:ascii="仿宋_GB2312" w:hAnsi="仿宋" w:eastAsia="仿宋_GB2312" w:cs="仿宋_GB2312"/>
                <w:b/>
                <w:color w:val="auto"/>
                <w:sz w:val="24"/>
                <w:highlight w:val="none"/>
              </w:rPr>
              <w:t>投标报价（大写）</w:t>
            </w:r>
            <w:r>
              <w:rPr>
                <w:rFonts w:hint="eastAsia" w:ascii="仿宋_GB2312" w:hAnsi="仿宋" w:eastAsia="仿宋_GB2312" w:cs="仿宋_GB2312"/>
                <w:b/>
                <w:color w:val="auto"/>
                <w:sz w:val="24"/>
                <w:highlight w:val="none"/>
                <w:lang w:eastAsia="zh-CN"/>
              </w:rPr>
              <w:t>：</w:t>
            </w:r>
          </w:p>
        </w:tc>
        <w:tc>
          <w:tcPr>
            <w:tcW w:w="1485" w:type="dxa"/>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1、此表报价单不得涂改，请按规定要求填报。</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2、以上报价应与“报价明细表”中的“合计”数相一致。</w:t>
      </w:r>
    </w:p>
    <w:p>
      <w:pPr>
        <w:snapToGrid w:val="0"/>
        <w:spacing w:line="360" w:lineRule="auto"/>
        <w:ind w:firstLine="480" w:firstLineChars="200"/>
        <w:jc w:val="left"/>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rPr>
          <w:b/>
          <w:color w:val="auto"/>
          <w:sz w:val="36"/>
          <w:szCs w:val="36"/>
          <w:highlight w:val="none"/>
          <w:shd w:val="clear" w:color="auto" w:fill="FFFFFF"/>
        </w:rPr>
      </w:pPr>
    </w:p>
    <w:p>
      <w:pPr>
        <w:rPr>
          <w:rFonts w:hAnsi="宋体"/>
          <w:b/>
          <w:bCs/>
          <w:color w:val="auto"/>
          <w:sz w:val="30"/>
          <w:highlight w:val="none"/>
        </w:rPr>
      </w:pPr>
      <w:r>
        <w:rPr>
          <w:rFonts w:hint="eastAsia" w:hAnsi="宋体" w:cs="宋体"/>
          <w:color w:val="auto"/>
          <w:sz w:val="36"/>
          <w:szCs w:val="36"/>
          <w:highlight w:val="none"/>
          <w:lang w:val="en-US" w:eastAsia="zh-CN"/>
        </w:rPr>
        <w:t>二、</w:t>
      </w:r>
      <w:r>
        <w:rPr>
          <w:rFonts w:hint="eastAsia" w:hAnsi="宋体" w:cs="宋体"/>
          <w:color w:val="auto"/>
          <w:sz w:val="36"/>
          <w:szCs w:val="36"/>
          <w:highlight w:val="none"/>
        </w:rPr>
        <w:t>报价明</w:t>
      </w:r>
      <w:r>
        <w:rPr>
          <w:rFonts w:hint="eastAsia" w:hAnsi="宋体" w:cs="宋体"/>
          <w:b/>
          <w:color w:val="auto"/>
          <w:sz w:val="36"/>
          <w:szCs w:val="36"/>
          <w:highlight w:val="none"/>
        </w:rPr>
        <w:t>细表格式如下：</w:t>
      </w:r>
    </w:p>
    <w:p>
      <w:pPr>
        <w:jc w:val="center"/>
        <w:rPr>
          <w:rFonts w:hAnsi="宋体"/>
          <w:b/>
          <w:bCs/>
          <w:color w:val="auto"/>
          <w:sz w:val="30"/>
          <w:highlight w:val="none"/>
        </w:rPr>
      </w:pPr>
      <w:r>
        <w:rPr>
          <w:rFonts w:hint="eastAsia" w:hAnsi="宋体"/>
          <w:b/>
          <w:bCs/>
          <w:color w:val="auto"/>
          <w:sz w:val="30"/>
          <w:highlight w:val="none"/>
        </w:rPr>
        <w:t>工程量清单报价要求</w:t>
      </w:r>
    </w:p>
    <w:p>
      <w:pPr>
        <w:jc w:val="center"/>
        <w:rPr>
          <w:rFonts w:hAnsi="宋体"/>
          <w:b/>
          <w:bCs/>
          <w:color w:val="auto"/>
          <w:sz w:val="30"/>
          <w:highlight w:val="none"/>
        </w:rPr>
      </w:pP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一)投标报价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自行拟定的施工组织设计或施工方案；市场价格或工程造价管理机构发布的价格信息；其他相关资料。</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(二)</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应当根据本企业的具体经营状况、技术装备水平、管理水平，视工程的实际情况、风险程度，自主报价。</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不得以低于其企业成本的投标报价竞标。</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其投标报价情况提供书面报价说明。报价说明的主要内容包括：投标报价的编制依据；对投标工期、质量、材料、施工等方面的承诺；综合单价中考虑的风险因素、风险范围（幅度）；措施项目的依据；其他需要说明的问题。</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 xml:space="preserve">   (三）投标报价应按照以下原则计价：</w:t>
      </w:r>
    </w:p>
    <w:p>
      <w:pPr>
        <w:widowControl/>
        <w:spacing w:line="460" w:lineRule="exact"/>
        <w:ind w:firstLine="482" w:firstLineChars="200"/>
        <w:rPr>
          <w:rFonts w:hAnsi="宋体" w:cs="仿宋_GB2312"/>
          <w:color w:val="auto"/>
          <w:kern w:val="0"/>
          <w:sz w:val="24"/>
          <w:highlight w:val="none"/>
        </w:rPr>
      </w:pPr>
      <w:r>
        <w:rPr>
          <w:rFonts w:hint="eastAsia" w:hAnsi="宋体" w:cs="仿宋_GB2312"/>
          <w:b/>
          <w:color w:val="auto"/>
          <w:kern w:val="0"/>
          <w:sz w:val="24"/>
          <w:highlight w:val="none"/>
        </w:rPr>
        <w:t>1.分部分项工程项目清单费用</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（1）</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按招标工程量清单填报价格。投标报价采用综合单价计价，</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承担的风险范围及其费用。</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（2）人工费、材料费、机械使用费、企业管理费和利润的费用所涵盖内容按省级建设行政主管部门颁发的取费定额确定。上级建设行政主管部门颁发的相关计价文件对费用内容组成另有调整的，按其规定执行。</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（3）综合单价应包括招标人自行采购材料的价款。招标文件提供暂定价的材料，</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按暂定的单价计入综合单价。暂定价材料如遇本省计价依据中无相类似的材料时，</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应该在投标文件报价说明中明确该暂定价材料的损耗率。</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（4）企业管理费、利润的费用计算由</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自主确定或参照省建设行政主管部门颁发的施工费用定额和计算方法计算。</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同时，</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必须对企业管理费中所包含的施工企业的现场监控、现场临时宿舍取暖降温费用，在相应的清单明细表中（表2-5）进行单独费用报价分析。</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施工企业的现场监控、现场临时宿舍取暖降温费用，应根据市政府、市建设行政主管部门颁发的有关文件对于现场监控和现场民工宿舍空调的设置要求或标准规定落实相应费用的报价。</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未按上述规定要求报价的，评标委员会可以评定为废标。</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（5）综合单价中的风险费计算应根据招标文件中所明确的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应承担的风险范围和幅度由</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自主确定。</w:t>
      </w:r>
    </w:p>
    <w:p>
      <w:pPr>
        <w:widowControl/>
        <w:spacing w:line="460" w:lineRule="exact"/>
        <w:ind w:firstLine="482" w:firstLineChars="200"/>
        <w:rPr>
          <w:rFonts w:hAnsi="宋体" w:cs="仿宋_GB2312"/>
          <w:b/>
          <w:color w:val="auto"/>
          <w:kern w:val="0"/>
          <w:sz w:val="24"/>
          <w:highlight w:val="none"/>
        </w:rPr>
      </w:pPr>
      <w:r>
        <w:rPr>
          <w:rFonts w:hint="eastAsia" w:hAnsi="宋体" w:cs="仿宋_GB2312"/>
          <w:b/>
          <w:color w:val="auto"/>
          <w:kern w:val="0"/>
          <w:sz w:val="24"/>
          <w:highlight w:val="none"/>
        </w:rPr>
        <w:t>2.措施项目清单费用</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（1）</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应根据招标人提供的措施项目清单和</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自行确定的施工组织设计或施工方案填报数量和价格，不发生的措施项目金额以“</w:t>
      </w:r>
      <w:r>
        <w:rPr>
          <w:rFonts w:hint="eastAsia" w:hAnsi="宋体" w:cs="仿宋_GB2312"/>
          <w:color w:val="auto"/>
          <w:kern w:val="0"/>
          <w:sz w:val="24"/>
          <w:highlight w:val="none"/>
          <w:lang w:val="en-US" w:eastAsia="zh-CN"/>
        </w:rPr>
        <w:t>0</w:t>
      </w:r>
      <w:r>
        <w:rPr>
          <w:rFonts w:hint="eastAsia" w:hAnsi="宋体" w:cs="仿宋_GB2312"/>
          <w:color w:val="auto"/>
          <w:kern w:val="0"/>
          <w:sz w:val="24"/>
          <w:highlight w:val="none"/>
        </w:rPr>
        <w:t>”计价。遇有措施项目清单未列项的，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可补充措施项目并报价。</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（2）技术措施项目中的单价项目报价可参照综合单价的组成自主确定或参照省建设行政主管部门发布的消耗量定额、施工费用定额和计算方法计算。</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（3）措施项目中凡属周转使用的设备、材料，均应按单次使用摊销量报价。</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（4）</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应针对拟建工程编制保证安全施工、文明施工、环境保护和临时设施的技术措施方案，并按招标工程量清单中的相应措施清单提供数量和报价。遇有缺项时，</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可补充措施项目。</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（5）施工取费费率依照本省现行计价依据的有关规定执行；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安全文明施工措施项目费用包括安全施工、文明施工、环境保护和临时设施费用，必须充分保证。</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应结合招标工程的实际，依据招标人提供的安全文明施工措施项目清单及计价表（表1-3-A-1），按项目整体考虑分别报价。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安全文明施工措施费用报价不得低于建设行政主管部门颁发的取费计价文件规定的弹性费率下限的计算值。</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未按规定要求报价的，评标委员会可以评定为废标；即：安全文明施工措施费用的投标报价≥∑[(专业工程分部分项工程量清单中的取费基数值 + 技术措施项目清单中的取费基数值)×对应专业工程基本费下限费率]；</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上级建设主管部门颁发的有关文件对该措施费用内容和费率下限标准有调整的，按其规定执行。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暂不填报报价；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上级建设主管部门颁发的有关文件对该措施费用内容和费率下限标准有调整的，按其规定执行。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未按上述规定要求报价的，评标委员会可评定为废标。</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安全文明施工措施费不得挪作他用。工程实施过程中应根据投标文件的承诺和合同约定，经监理单位</w:t>
      </w:r>
      <w:r>
        <w:rPr>
          <w:rFonts w:hint="eastAsia" w:hAnsi="宋体" w:cs="仿宋_GB2312"/>
          <w:color w:val="auto"/>
          <w:kern w:val="0"/>
          <w:sz w:val="24"/>
          <w:highlight w:val="none"/>
          <w:lang w:eastAsia="zh-CN"/>
        </w:rPr>
        <w:t>（</w:t>
      </w:r>
      <w:r>
        <w:rPr>
          <w:rFonts w:hint="eastAsia" w:hAnsi="宋体" w:cs="仿宋_GB2312"/>
          <w:color w:val="auto"/>
          <w:kern w:val="0"/>
          <w:sz w:val="24"/>
          <w:highlight w:val="none"/>
          <w:lang w:val="en-US" w:eastAsia="zh-CN"/>
        </w:rPr>
        <w:t>若有</w:t>
      </w:r>
      <w:r>
        <w:rPr>
          <w:rFonts w:hint="eastAsia" w:hAnsi="宋体" w:cs="仿宋_GB2312"/>
          <w:color w:val="auto"/>
          <w:kern w:val="0"/>
          <w:sz w:val="24"/>
          <w:highlight w:val="none"/>
          <w:lang w:eastAsia="zh-CN"/>
        </w:rPr>
        <w:t>）</w:t>
      </w:r>
      <w:r>
        <w:rPr>
          <w:rFonts w:hint="eastAsia" w:hAnsi="宋体" w:cs="仿宋_GB2312"/>
          <w:color w:val="auto"/>
          <w:kern w:val="0"/>
          <w:sz w:val="24"/>
          <w:highlight w:val="none"/>
        </w:rPr>
        <w:t>审查认可后由建设单位足额支付。</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（6）</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措施项目各分项之间不得重复报价。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3、其他项目清单费用</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（1）暂列金额，</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按招标工程量清单确定的金额填报；总承包服务费，</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按招标工程量清单确定的项目内容和要求自主确定费率并报价；计日工费，</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按招标工程量清单列出的项目内容和数量自主确定综合单价并计算报价。招标人对计日工费内容和数量未作要求的，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不需要作出报价。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（2）其他项目清单中的暂列金额和计日工，均为招标人估算、预测数量，投标时计入</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的报价中，竣工结算时应按承包人实际完成的工程内容结算</w:t>
      </w:r>
    </w:p>
    <w:p>
      <w:pPr>
        <w:widowControl/>
        <w:spacing w:line="460" w:lineRule="exact"/>
        <w:ind w:firstLine="482" w:firstLineChars="200"/>
        <w:rPr>
          <w:rFonts w:hAnsi="宋体" w:cs="仿宋_GB2312"/>
          <w:b/>
          <w:color w:val="auto"/>
          <w:kern w:val="0"/>
          <w:sz w:val="24"/>
          <w:highlight w:val="none"/>
        </w:rPr>
      </w:pPr>
      <w:r>
        <w:rPr>
          <w:rFonts w:hint="eastAsia" w:hAnsi="宋体" w:cs="仿宋_GB2312"/>
          <w:b/>
          <w:color w:val="auto"/>
          <w:kern w:val="0"/>
          <w:sz w:val="24"/>
          <w:highlight w:val="none"/>
        </w:rPr>
        <w:t>4.规费、税金</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规费、税金按省建设行政主管部门颁发的施工费用定额的内容和计费标准计算报价。省、市政府及有关权力部门颁发的政策性文件对规费、税金的内容和计费标准有调整的，按其规定执行。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规费费率低于现行标准费率30%的作废标处理；</w:t>
      </w:r>
    </w:p>
    <w:p>
      <w:pPr>
        <w:widowControl/>
        <w:spacing w:line="460" w:lineRule="exact"/>
        <w:ind w:firstLine="480" w:firstLineChars="200"/>
        <w:rPr>
          <w:rFonts w:hint="eastAsia" w:hAnsi="宋体" w:eastAsia="宋体" w:cs="仿宋_GB2312"/>
          <w:color w:val="auto"/>
          <w:kern w:val="0"/>
          <w:sz w:val="24"/>
          <w:highlight w:val="none"/>
          <w:lang w:eastAsia="zh-CN"/>
        </w:rPr>
      </w:pPr>
      <w:r>
        <w:rPr>
          <w:rFonts w:hint="eastAsia" w:hAnsi="宋体" w:cs="仿宋_GB2312"/>
          <w:color w:val="auto"/>
          <w:kern w:val="0"/>
          <w:sz w:val="24"/>
          <w:highlight w:val="none"/>
        </w:rPr>
        <w:t>税金作为不可竞争费用，费率低于现行规定的作废标处理</w:t>
      </w:r>
      <w:r>
        <w:rPr>
          <w:rFonts w:hint="eastAsia" w:hAnsi="宋体" w:cs="仿宋_GB2312"/>
          <w:color w:val="auto"/>
          <w:kern w:val="0"/>
          <w:sz w:val="24"/>
          <w:highlight w:val="none"/>
          <w:lang w:eastAsia="zh-CN"/>
        </w:rPr>
        <w:t>；</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（四）招标工程量清单中标明的工程量是</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投标报价的共同基础，</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不得擅自修改招标工程量清单的分部分项工程项目清单内容。</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工程量清单报价应与工、料、机报价及对应的报价分析相符，与拟建工程的施工组织设计或施工方案相符。</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应根据自己的企业定额或参照省建设行政主管部门颁发的消耗量定额向招标人提供具体的报价计算分析，其各项报价分析表与工程量清单计价表之间的金额（价格）应前后对应一致。</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（五）除《杭州市建设工程工程量清单计价实施细则（2018年修订）》另有规定外，</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对措施项目清单中不发生的项目，其费用报价允许</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根据实际情况报“</w:t>
      </w:r>
      <w:r>
        <w:rPr>
          <w:rFonts w:hint="eastAsia" w:hAnsi="宋体" w:cs="仿宋_GB2312"/>
          <w:color w:val="auto"/>
          <w:kern w:val="0"/>
          <w:sz w:val="24"/>
          <w:highlight w:val="none"/>
          <w:lang w:val="en-US" w:eastAsia="zh-CN"/>
        </w:rPr>
        <w:t>0</w:t>
      </w:r>
      <w:r>
        <w:rPr>
          <w:rFonts w:hint="eastAsia" w:hAnsi="宋体" w:cs="仿宋_GB2312"/>
          <w:color w:val="auto"/>
          <w:kern w:val="0"/>
          <w:sz w:val="24"/>
          <w:highlight w:val="none"/>
        </w:rPr>
        <w:t>”，但须与施工组织设计或施工方案对应并提供充分的说明和依据。</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（六）清单报价中的任何算术性错误，招标人按下列原则予以调整：</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1.大写金额和小写金额不一致，以大写金额为准；</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2.合价金额与单价金额和工程量的乘积不一致的，以单价金额为准，但单价金额有明显错误的除外；</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3.合价累计金额与小计（合计）金额不一致的，以合价累计金额为准，并修改小计（合计）金额及总报价。</w:t>
      </w:r>
    </w:p>
    <w:p>
      <w:pPr>
        <w:widowControl/>
        <w:spacing w:line="460" w:lineRule="exact"/>
        <w:ind w:firstLine="480" w:firstLineChars="200"/>
        <w:rPr>
          <w:rFonts w:hint="eastAsia" w:hAnsi="宋体" w:cs="仿宋_GB2312"/>
          <w:b/>
          <w:bCs/>
          <w:color w:val="auto"/>
          <w:kern w:val="0"/>
          <w:sz w:val="24"/>
          <w:highlight w:val="none"/>
        </w:rPr>
      </w:pPr>
      <w:r>
        <w:rPr>
          <w:rFonts w:hint="eastAsia" w:ascii="宋体" w:hAnsi="宋体" w:cs="宋体"/>
          <w:bCs/>
          <w:color w:val="auto"/>
          <w:sz w:val="24"/>
          <w:highlight w:val="none"/>
        </w:rPr>
        <w:t>▲</w:t>
      </w:r>
      <w:r>
        <w:rPr>
          <w:rFonts w:hint="eastAsia" w:hAnsi="宋体" w:cs="仿宋_GB2312"/>
          <w:b/>
          <w:bCs/>
          <w:color w:val="auto"/>
          <w:kern w:val="0"/>
          <w:sz w:val="24"/>
          <w:highlight w:val="none"/>
        </w:rPr>
        <w:t>（七）根据住房和城乡建设部、省建设主管部门对造价从业人员执业管理的相关法律法规规定以及《建设工程工程量清单计价规范》（GB50500-2013）的规定，投标报价的编制必须遵守以下规定：</w:t>
      </w:r>
    </w:p>
    <w:p>
      <w:pPr>
        <w:widowControl/>
        <w:spacing w:line="460" w:lineRule="exact"/>
        <w:ind w:firstLine="482" w:firstLineChars="200"/>
        <w:rPr>
          <w:rFonts w:hint="eastAsia" w:hAnsi="宋体" w:cs="仿宋_GB2312"/>
          <w:b/>
          <w:bCs/>
          <w:color w:val="auto"/>
          <w:kern w:val="0"/>
          <w:sz w:val="24"/>
          <w:highlight w:val="none"/>
        </w:rPr>
      </w:pPr>
      <w:r>
        <w:rPr>
          <w:rFonts w:hint="eastAsia" w:hAnsi="宋体" w:cs="仿宋_GB2312"/>
          <w:b/>
          <w:bCs/>
          <w:color w:val="auto"/>
          <w:kern w:val="0"/>
          <w:sz w:val="24"/>
          <w:highlight w:val="none"/>
        </w:rPr>
        <w:t>1.投标报价应由投标人或受其委托具有相应能力的工程造价咨询人编制。</w:t>
      </w:r>
    </w:p>
    <w:p>
      <w:pPr>
        <w:widowControl/>
        <w:spacing w:line="460" w:lineRule="exact"/>
        <w:ind w:firstLine="482" w:firstLineChars="200"/>
        <w:rPr>
          <w:rFonts w:hAnsi="宋体" w:cs="仿宋_GB2312"/>
          <w:b/>
          <w:bCs/>
          <w:color w:val="auto"/>
          <w:kern w:val="0"/>
          <w:sz w:val="24"/>
          <w:highlight w:val="none"/>
        </w:rPr>
      </w:pPr>
      <w:r>
        <w:rPr>
          <w:rFonts w:hint="eastAsia" w:hAnsi="宋体" w:cs="仿宋_GB2312"/>
          <w:b/>
          <w:bCs/>
          <w:color w:val="auto"/>
          <w:kern w:val="0"/>
          <w:sz w:val="24"/>
          <w:highlight w:val="none"/>
        </w:rPr>
        <w:t>2.投标文件的编制人不得接受同一工程招标人委托编制招标文件（含招标控制价)，并不得接受其他投标人委托编制投标文件。</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（八）按照《杭州市人民政府办公厅关于印发杭州市建设工程推广应用预拌砂浆管理办法的通知》（杭政办函[2011] 32号文件）的要求使用预拌砂浆，</w:t>
      </w:r>
      <w:r>
        <w:rPr>
          <w:rFonts w:hint="eastAsia" w:hAnsi="宋体" w:cs="仿宋_GB2312"/>
          <w:b/>
          <w:bCs/>
          <w:color w:val="auto"/>
          <w:kern w:val="0"/>
          <w:sz w:val="24"/>
          <w:highlight w:val="none"/>
          <w:lang w:val="en-US" w:eastAsia="zh-CN"/>
        </w:rPr>
        <w:t>响应</w:t>
      </w:r>
      <w:r>
        <w:rPr>
          <w:rFonts w:hint="eastAsia" w:hAnsi="宋体" w:cs="仿宋_GB2312"/>
          <w:b/>
          <w:bCs/>
          <w:color w:val="auto"/>
          <w:kern w:val="0"/>
          <w:sz w:val="24"/>
          <w:highlight w:val="none"/>
        </w:rPr>
        <w:t>人</w:t>
      </w:r>
      <w:r>
        <w:rPr>
          <w:rFonts w:hint="eastAsia" w:hAnsi="宋体" w:cs="仿宋_GB2312"/>
          <w:color w:val="auto"/>
          <w:kern w:val="0"/>
          <w:sz w:val="24"/>
          <w:highlight w:val="none"/>
        </w:rPr>
        <w:t xml:space="preserve">应将使用预拌砂浆的费用计入投标报价范围。 </w:t>
      </w:r>
    </w:p>
    <w:p>
      <w:pPr>
        <w:widowControl/>
        <w:spacing w:line="460" w:lineRule="exact"/>
        <w:ind w:firstLine="480" w:firstLineChars="200"/>
        <w:rPr>
          <w:rFonts w:hAnsi="宋体" w:cs="宋体"/>
          <w:b/>
          <w:color w:val="auto"/>
          <w:kern w:val="0"/>
          <w:sz w:val="44"/>
          <w:szCs w:val="44"/>
          <w:highlight w:val="none"/>
          <w:u w:val="single"/>
        </w:rPr>
      </w:pPr>
      <w:r>
        <w:rPr>
          <w:rFonts w:hAnsi="宋体" w:cs="仿宋_GB2312"/>
          <w:color w:val="auto"/>
          <w:kern w:val="0"/>
          <w:sz w:val="24"/>
          <w:highlight w:val="none"/>
        </w:rPr>
        <w:br w:type="page"/>
      </w:r>
    </w:p>
    <w:p>
      <w:pPr>
        <w:widowControl/>
        <w:tabs>
          <w:tab w:val="center" w:pos="4755"/>
          <w:tab w:val="right" w:pos="9070"/>
        </w:tabs>
        <w:spacing w:before="100" w:beforeAutospacing="1" w:after="100" w:afterAutospacing="1"/>
        <w:ind w:firstLine="442" w:firstLineChars="100"/>
        <w:jc w:val="center"/>
        <w:rPr>
          <w:rFonts w:hAnsi="宋体" w:cs="宋体"/>
          <w:b/>
          <w:color w:val="auto"/>
          <w:kern w:val="0"/>
          <w:sz w:val="44"/>
          <w:szCs w:val="44"/>
          <w:highlight w:val="none"/>
        </w:rPr>
      </w:pPr>
      <w:r>
        <w:rPr>
          <w:rFonts w:hint="eastAsia" w:hAnsi="宋体" w:cs="宋体"/>
          <w:b/>
          <w:color w:val="auto"/>
          <w:kern w:val="0"/>
          <w:sz w:val="44"/>
          <w:szCs w:val="44"/>
          <w:highlight w:val="none"/>
        </w:rPr>
        <w:t>投 标 总 价</w:t>
      </w:r>
    </w:p>
    <w:p>
      <w:pPr>
        <w:widowControl/>
        <w:tabs>
          <w:tab w:val="center" w:pos="4755"/>
          <w:tab w:val="right" w:pos="9070"/>
        </w:tabs>
        <w:spacing w:before="100" w:beforeAutospacing="1" w:after="100" w:afterAutospacing="1"/>
        <w:ind w:firstLine="320" w:firstLineChars="100"/>
        <w:jc w:val="center"/>
        <w:rPr>
          <w:rFonts w:hAnsi="宋体" w:cs="宋体"/>
          <w:color w:val="auto"/>
          <w:kern w:val="0"/>
          <w:sz w:val="32"/>
          <w:szCs w:val="32"/>
          <w:highlight w:val="none"/>
        </w:rPr>
      </w:pP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rPr>
      </w:pPr>
      <w:r>
        <w:rPr>
          <w:rFonts w:hint="eastAsia" w:hAnsi="宋体" w:cs="宋体"/>
          <w:color w:val="auto"/>
          <w:kern w:val="0"/>
          <w:sz w:val="32"/>
          <w:szCs w:val="32"/>
          <w:highlight w:val="none"/>
          <w:lang w:val="en-US" w:eastAsia="zh-CN"/>
        </w:rPr>
        <w:t>采购</w:t>
      </w:r>
      <w:r>
        <w:rPr>
          <w:rFonts w:hint="eastAsia" w:hAnsi="宋体" w:cs="宋体"/>
          <w:color w:val="auto"/>
          <w:kern w:val="0"/>
          <w:sz w:val="32"/>
          <w:szCs w:val="32"/>
          <w:highlight w:val="none"/>
        </w:rPr>
        <w:t>单位：</w:t>
      </w: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rPr>
      </w:pPr>
      <w:r>
        <w:rPr>
          <w:rFonts w:hint="eastAsia" w:hAnsi="宋体" w:cs="宋体"/>
          <w:color w:val="auto"/>
          <w:kern w:val="0"/>
          <w:sz w:val="32"/>
          <w:szCs w:val="32"/>
          <w:highlight w:val="none"/>
        </w:rPr>
        <w:t>工程名称：</w:t>
      </w: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u w:val="single"/>
        </w:rPr>
      </w:pPr>
      <w:r>
        <w:rPr>
          <w:rFonts w:hint="eastAsia" w:hAnsi="宋体" w:cs="宋体"/>
          <w:color w:val="auto"/>
          <w:kern w:val="0"/>
          <w:sz w:val="32"/>
          <w:szCs w:val="32"/>
          <w:highlight w:val="none"/>
        </w:rPr>
        <w:t>投标总价（小写）：</w:t>
      </w: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u w:val="single"/>
        </w:rPr>
      </w:pPr>
      <w:r>
        <w:rPr>
          <w:rFonts w:hint="eastAsia" w:hAnsi="宋体" w:cs="宋体"/>
          <w:color w:val="auto"/>
          <w:kern w:val="0"/>
          <w:sz w:val="32"/>
          <w:szCs w:val="32"/>
          <w:highlight w:val="none"/>
        </w:rPr>
        <w:t xml:space="preserve">        （大写）：</w:t>
      </w:r>
    </w:p>
    <w:p>
      <w:pPr>
        <w:widowControl/>
        <w:tabs>
          <w:tab w:val="center" w:pos="4755"/>
          <w:tab w:val="right" w:pos="9070"/>
        </w:tabs>
        <w:spacing w:before="100" w:beforeAutospacing="1" w:after="100" w:afterAutospacing="1"/>
        <w:ind w:right="1280" w:firstLine="320" w:firstLineChars="100"/>
        <w:rPr>
          <w:rFonts w:hAnsi="宋体" w:cs="宋体"/>
          <w:color w:val="auto"/>
          <w:kern w:val="0"/>
          <w:sz w:val="32"/>
          <w:szCs w:val="32"/>
          <w:highlight w:val="none"/>
        </w:rPr>
      </w:pPr>
    </w:p>
    <w:p>
      <w:pPr>
        <w:widowControl/>
        <w:tabs>
          <w:tab w:val="center" w:pos="4755"/>
          <w:tab w:val="right" w:pos="9070"/>
        </w:tabs>
        <w:spacing w:before="100" w:beforeAutospacing="1" w:after="100" w:afterAutospacing="1"/>
        <w:ind w:right="1280" w:firstLine="320" w:firstLineChars="100"/>
        <w:rPr>
          <w:rFonts w:hAnsi="宋体" w:cs="宋体"/>
          <w:color w:val="auto"/>
          <w:kern w:val="0"/>
          <w:sz w:val="32"/>
          <w:szCs w:val="32"/>
          <w:highlight w:val="none"/>
        </w:rPr>
      </w:pP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rPr>
      </w:pPr>
      <w:r>
        <w:rPr>
          <w:rFonts w:hint="eastAsia" w:hAnsi="宋体" w:cs="宋体"/>
          <w:color w:val="auto"/>
          <w:kern w:val="0"/>
          <w:sz w:val="32"/>
          <w:szCs w:val="32"/>
          <w:highlight w:val="none"/>
          <w:lang w:val="en-US" w:eastAsia="zh-CN"/>
        </w:rPr>
        <w:t>响</w:t>
      </w:r>
      <w:r>
        <w:rPr>
          <w:rFonts w:hint="eastAsia" w:hAnsi="宋体" w:cs="宋体"/>
          <w:color w:val="auto"/>
          <w:kern w:val="0"/>
          <w:sz w:val="32"/>
          <w:szCs w:val="32"/>
          <w:highlight w:val="none"/>
        </w:rPr>
        <w:t xml:space="preserve">   </w:t>
      </w:r>
      <w:r>
        <w:rPr>
          <w:rFonts w:hint="eastAsia" w:hAnsi="宋体" w:cs="宋体"/>
          <w:color w:val="auto"/>
          <w:kern w:val="0"/>
          <w:sz w:val="32"/>
          <w:szCs w:val="32"/>
          <w:highlight w:val="none"/>
          <w:lang w:val="en-US" w:eastAsia="zh-CN"/>
        </w:rPr>
        <w:t>应</w:t>
      </w:r>
      <w:r>
        <w:rPr>
          <w:rFonts w:hint="eastAsia" w:hAnsi="宋体" w:cs="宋体"/>
          <w:color w:val="auto"/>
          <w:kern w:val="0"/>
          <w:sz w:val="32"/>
          <w:szCs w:val="32"/>
          <w:highlight w:val="none"/>
        </w:rPr>
        <w:t xml:space="preserve">   人：                   （单位盖章）           </w:t>
      </w:r>
    </w:p>
    <w:p>
      <w:pPr>
        <w:pStyle w:val="57"/>
        <w:spacing w:line="720" w:lineRule="auto"/>
        <w:ind w:firstLine="320" w:firstLineChars="100"/>
        <w:jc w:val="both"/>
        <w:rPr>
          <w:color w:val="auto"/>
          <w:sz w:val="32"/>
          <w:szCs w:val="32"/>
          <w:highlight w:val="none"/>
        </w:rPr>
      </w:pPr>
      <w:r>
        <w:rPr>
          <w:rFonts w:hint="eastAsia"/>
          <w:color w:val="auto"/>
          <w:sz w:val="32"/>
          <w:szCs w:val="32"/>
          <w:highlight w:val="none"/>
        </w:rPr>
        <w:t xml:space="preserve">法 定 代 表 人：  </w:t>
      </w:r>
      <w:r>
        <w:rPr>
          <w:rFonts w:hint="eastAsia"/>
          <w:color w:val="auto"/>
          <w:sz w:val="32"/>
          <w:szCs w:val="32"/>
          <w:highlight w:val="none"/>
          <w:u w:val="single"/>
        </w:rPr>
        <w:t xml:space="preserve">        </w:t>
      </w:r>
      <w:r>
        <w:rPr>
          <w:rFonts w:hint="eastAsia"/>
          <w:color w:val="auto"/>
          <w:sz w:val="32"/>
          <w:szCs w:val="32"/>
          <w:highlight w:val="none"/>
        </w:rPr>
        <w:t>（签字或盖章）</w:t>
      </w:r>
    </w:p>
    <w:p>
      <w:pPr>
        <w:spacing w:line="500" w:lineRule="exact"/>
        <w:rPr>
          <w:rFonts w:hAnsi="宋体" w:cs="宋体"/>
          <w:color w:val="auto"/>
          <w:sz w:val="24"/>
          <w:highlight w:val="none"/>
        </w:rPr>
      </w:pPr>
    </w:p>
    <w:p>
      <w:pPr>
        <w:pStyle w:val="797"/>
        <w:rPr>
          <w:rFonts w:hint="eastAsia" w:ascii="宋体" w:hAnsi="宋体" w:cs="宋体"/>
          <w:color w:val="auto"/>
          <w:sz w:val="21"/>
          <w:szCs w:val="21"/>
          <w:highlight w:val="none"/>
        </w:rPr>
      </w:pPr>
    </w:p>
    <w:p>
      <w:pPr>
        <w:pStyle w:val="797"/>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pPr>
        <w:pStyle w:val="797"/>
        <w:rPr>
          <w:rFonts w:hint="eastAsia" w:ascii="宋体" w:hAnsi="宋体" w:cs="宋体"/>
          <w:color w:val="auto"/>
          <w:sz w:val="21"/>
          <w:szCs w:val="21"/>
          <w:highlight w:val="none"/>
        </w:rPr>
      </w:pPr>
    </w:p>
    <w:p>
      <w:pPr>
        <w:widowControl/>
        <w:tabs>
          <w:tab w:val="center" w:pos="4755"/>
          <w:tab w:val="right" w:pos="9070"/>
        </w:tabs>
        <w:spacing w:line="600" w:lineRule="exact"/>
        <w:ind w:firstLine="321" w:firstLineChars="100"/>
        <w:jc w:val="center"/>
        <w:rPr>
          <w:rFonts w:hAnsi="宋体"/>
          <w:b/>
          <w:color w:val="auto"/>
          <w:kern w:val="0"/>
          <w:sz w:val="32"/>
          <w:szCs w:val="32"/>
          <w:highlight w:val="none"/>
        </w:rPr>
      </w:pPr>
      <w:r>
        <w:rPr>
          <w:rFonts w:hint="eastAsia" w:hAnsi="宋体"/>
          <w:b/>
          <w:color w:val="auto"/>
          <w:kern w:val="0"/>
          <w:sz w:val="32"/>
          <w:szCs w:val="32"/>
          <w:highlight w:val="none"/>
        </w:rPr>
        <w:t>工程量清单报价说明</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9" w:hRule="atLeast"/>
        </w:trPr>
        <w:tc>
          <w:tcPr>
            <w:tcW w:w="9286" w:type="dxa"/>
            <w:noWrap w:val="0"/>
            <w:vAlign w:val="top"/>
          </w:tcPr>
          <w:p>
            <w:pPr>
              <w:widowControl/>
              <w:tabs>
                <w:tab w:val="center" w:pos="4755"/>
                <w:tab w:val="right" w:pos="9070"/>
              </w:tabs>
              <w:spacing w:before="100" w:beforeAutospacing="1" w:after="100" w:afterAutospacing="1"/>
              <w:rPr>
                <w:rFonts w:hAnsi="宋体"/>
                <w:b/>
                <w:color w:val="auto"/>
                <w:kern w:val="0"/>
                <w:sz w:val="44"/>
                <w:szCs w:val="44"/>
                <w:highlight w:val="none"/>
              </w:rPr>
            </w:pPr>
          </w:p>
        </w:tc>
      </w:tr>
    </w:tbl>
    <w:p>
      <w:pPr>
        <w:widowControl/>
        <w:tabs>
          <w:tab w:val="center" w:pos="4755"/>
          <w:tab w:val="right" w:pos="9070"/>
        </w:tabs>
        <w:spacing w:before="100" w:beforeAutospacing="1" w:after="100" w:afterAutospacing="1" w:line="360" w:lineRule="exact"/>
        <w:ind w:firstLine="240" w:firstLineChars="100"/>
        <w:jc w:val="center"/>
        <w:rPr>
          <w:rFonts w:hAnsi="宋体"/>
          <w:color w:val="auto"/>
          <w:szCs w:val="21"/>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 xml:space="preserve">人：（ 盖章）         </w:t>
      </w:r>
    </w:p>
    <w:p>
      <w:pPr>
        <w:widowControl/>
        <w:tabs>
          <w:tab w:val="center" w:pos="4755"/>
          <w:tab w:val="right" w:pos="9070"/>
        </w:tabs>
        <w:spacing w:before="100" w:beforeAutospacing="1" w:after="100" w:afterAutospacing="1"/>
        <w:ind w:firstLine="240" w:firstLineChars="100"/>
        <w:jc w:val="both"/>
        <w:rPr>
          <w:rFonts w:hAnsi="宋体"/>
          <w:color w:val="auto"/>
          <w:kern w:val="0"/>
          <w:sz w:val="24"/>
          <w:highlight w:val="none"/>
        </w:rPr>
      </w:pPr>
      <w:r>
        <w:rPr>
          <w:rFonts w:hAnsi="宋体"/>
          <w:color w:val="auto"/>
          <w:kern w:val="0"/>
          <w:sz w:val="24"/>
          <w:highlight w:val="none"/>
        </w:rPr>
        <w:br w:type="page"/>
      </w:r>
    </w:p>
    <w:p>
      <w:pPr>
        <w:widowControl/>
        <w:tabs>
          <w:tab w:val="center" w:pos="4755"/>
          <w:tab w:val="right" w:pos="9070"/>
        </w:tabs>
        <w:jc w:val="center"/>
        <w:rPr>
          <w:rFonts w:hAnsi="宋体"/>
          <w:b/>
          <w:color w:val="auto"/>
          <w:kern w:val="0"/>
          <w:sz w:val="32"/>
          <w:szCs w:val="32"/>
          <w:highlight w:val="none"/>
        </w:rPr>
      </w:pPr>
    </w:p>
    <w:p>
      <w:pPr>
        <w:widowControl/>
        <w:tabs>
          <w:tab w:val="center" w:pos="4755"/>
          <w:tab w:val="right" w:pos="9070"/>
        </w:tabs>
        <w:jc w:val="center"/>
        <w:rPr>
          <w:rFonts w:hAnsi="宋体"/>
          <w:b/>
          <w:color w:val="auto"/>
          <w:sz w:val="30"/>
          <w:szCs w:val="30"/>
          <w:highlight w:val="none"/>
        </w:rPr>
      </w:pPr>
      <w:r>
        <w:rPr>
          <w:rFonts w:hint="eastAsia" w:hAnsi="宋体"/>
          <w:b/>
          <w:color w:val="auto"/>
          <w:sz w:val="30"/>
          <w:szCs w:val="30"/>
          <w:highlight w:val="none"/>
        </w:rPr>
        <w:t>表1-1-1  工程项目报价汇总表</w:t>
      </w:r>
    </w:p>
    <w:p>
      <w:pPr>
        <w:widowControl/>
        <w:tabs>
          <w:tab w:val="center" w:pos="4755"/>
          <w:tab w:val="right" w:pos="9070"/>
        </w:tabs>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r>
        <w:rPr>
          <w:rFonts w:hint="eastAsia" w:hAnsi="宋体"/>
          <w:color w:val="auto"/>
          <w:szCs w:val="21"/>
          <w:highlight w:val="none"/>
        </w:rPr>
        <w:t>工程名称：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序号</w:t>
            </w:r>
          </w:p>
        </w:tc>
        <w:tc>
          <w:tcPr>
            <w:tcW w:w="6300"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内   容</w:t>
            </w:r>
          </w:p>
        </w:tc>
        <w:tc>
          <w:tcPr>
            <w:tcW w:w="197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一</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单位工程费合计</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1</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（单位工程1，如1号楼）</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2</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（单位工程2）</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二</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未纳入单位工程费的其他费用[（一）+（二）+（三）+（四）]</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（一）</w:t>
            </w:r>
          </w:p>
        </w:tc>
        <w:tc>
          <w:tcPr>
            <w:tcW w:w="63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整体措施项目清单（1+2）</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1</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组织措施项目清单</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2</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技术措施项目清单</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（二）</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整体其他项目清单</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（三）</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 xml:space="preserve">整体措施项目规费 </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（四）</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税金 {[（一）+（二）+（三）]*费率}</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总报价 [一 + 二 ]</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 xml:space="preserve">总报价（大写）：                           </w:t>
            </w:r>
          </w:p>
        </w:tc>
      </w:tr>
    </w:tbl>
    <w:p>
      <w:pPr>
        <w:widowControl/>
        <w:tabs>
          <w:tab w:val="center" w:pos="4755"/>
          <w:tab w:val="right" w:pos="9070"/>
        </w:tabs>
        <w:jc w:val="left"/>
        <w:rPr>
          <w:rFonts w:hAnsi="宋体"/>
          <w:color w:val="auto"/>
          <w:szCs w:val="21"/>
          <w:highlight w:val="none"/>
        </w:rPr>
      </w:pPr>
      <w:r>
        <w:rPr>
          <w:rFonts w:hint="eastAsia" w:hAnsi="宋体"/>
          <w:color w:val="auto"/>
          <w:szCs w:val="21"/>
          <w:highlight w:val="none"/>
        </w:rPr>
        <w:t>注：1.本表适用于：（1）有2个及以上单位工程的群体项目的总报价汇总；（2）单位工程发包且有2个及以上专业工程分部分项工程量清单的招标项目总报价汇总。本表应在表1-1-2基础上汇总。</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2．本表中的整体项目措施清单报价指根据招标人要求和项目特点应从招标项目整体上考虑的措施项目报价。</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3．本表中的整体其他项目清单报价指根据招标人要求需按招标项目整体考虑的其他项目清单报价。</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4．本表中的规费指整体措施清单项目应计取的规费。</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5．本表中的税金指未纳入单位工程费的整体措施项目清单、其他项目清单以及相应规费等费用应计取的税金。</w:t>
      </w:r>
    </w:p>
    <w:p>
      <w:pPr>
        <w:widowControl/>
        <w:tabs>
          <w:tab w:val="center" w:pos="4755"/>
          <w:tab w:val="right" w:pos="9070"/>
        </w:tabs>
        <w:ind w:firstLine="420" w:firstLineChars="200"/>
        <w:jc w:val="left"/>
        <w:rPr>
          <w:rFonts w:hAnsi="宋体"/>
          <w:color w:val="auto"/>
          <w:szCs w:val="21"/>
          <w:highlight w:val="none"/>
        </w:rPr>
      </w:pPr>
    </w:p>
    <w:p>
      <w:pPr>
        <w:widowControl/>
        <w:tabs>
          <w:tab w:val="center" w:pos="4755"/>
          <w:tab w:val="right" w:pos="9070"/>
        </w:tabs>
        <w:ind w:firstLine="420" w:firstLineChars="200"/>
        <w:jc w:val="left"/>
        <w:rPr>
          <w:rFonts w:hAnsi="宋体"/>
          <w:color w:val="auto"/>
          <w:szCs w:val="21"/>
          <w:highlight w:val="none"/>
        </w:rPr>
      </w:pPr>
    </w:p>
    <w:p>
      <w:pPr>
        <w:widowControl/>
        <w:tabs>
          <w:tab w:val="center" w:pos="4755"/>
          <w:tab w:val="right" w:pos="9070"/>
        </w:tabs>
        <w:spacing w:before="100" w:beforeAutospacing="1" w:after="100" w:afterAutospacing="1" w:line="360" w:lineRule="exact"/>
        <w:ind w:firstLine="240" w:firstLineChars="100"/>
        <w:jc w:val="center"/>
        <w:rPr>
          <w:rFonts w:hAnsi="宋体"/>
          <w:color w:val="auto"/>
          <w:szCs w:val="21"/>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Cs w:val="21"/>
          <w:highlight w:val="none"/>
        </w:rPr>
        <w:t xml:space="preserve">              </w:t>
      </w:r>
    </w:p>
    <w:p>
      <w:pPr>
        <w:widowControl/>
        <w:tabs>
          <w:tab w:val="center" w:pos="4755"/>
          <w:tab w:val="right" w:pos="9070"/>
        </w:tabs>
        <w:spacing w:before="100" w:beforeAutospacing="1" w:after="100" w:afterAutospacing="1" w:line="360" w:lineRule="exact"/>
        <w:ind w:firstLine="210" w:firstLineChars="100"/>
        <w:jc w:val="center"/>
        <w:rPr>
          <w:rFonts w:hint="eastAsia" w:hAnsi="宋体"/>
          <w:color w:val="auto"/>
          <w:szCs w:val="21"/>
          <w:highlight w:val="none"/>
        </w:rPr>
      </w:pPr>
    </w:p>
    <w:p>
      <w:pPr>
        <w:widowControl/>
        <w:tabs>
          <w:tab w:val="center" w:pos="4755"/>
          <w:tab w:val="right" w:pos="9070"/>
        </w:tabs>
        <w:spacing w:before="100" w:beforeAutospacing="1" w:after="100" w:afterAutospacing="1" w:line="360" w:lineRule="exact"/>
        <w:ind w:firstLine="210" w:firstLineChars="100"/>
        <w:jc w:val="center"/>
        <w:rPr>
          <w:rFonts w:hAnsi="宋体"/>
          <w:color w:val="auto"/>
          <w:szCs w:val="21"/>
          <w:highlight w:val="none"/>
        </w:rPr>
      </w:pPr>
      <w:r>
        <w:rPr>
          <w:rFonts w:hAnsi="宋体"/>
          <w:color w:val="auto"/>
          <w:szCs w:val="21"/>
          <w:highlight w:val="none"/>
        </w:rPr>
        <w:br w:type="page"/>
      </w:r>
    </w:p>
    <w:p>
      <w:pPr>
        <w:widowControl/>
        <w:tabs>
          <w:tab w:val="center" w:pos="4755"/>
          <w:tab w:val="right" w:pos="9070"/>
        </w:tabs>
        <w:spacing w:before="100" w:beforeAutospacing="1" w:after="100" w:afterAutospacing="1"/>
        <w:ind w:firstLine="211" w:firstLineChars="100"/>
        <w:jc w:val="center"/>
        <w:rPr>
          <w:rFonts w:hAnsi="宋体"/>
          <w:b/>
          <w:color w:val="auto"/>
          <w:szCs w:val="32"/>
          <w:highlight w:val="none"/>
        </w:rPr>
      </w:pPr>
      <w:r>
        <w:rPr>
          <w:rFonts w:hint="eastAsia" w:hAnsi="宋体"/>
          <w:b/>
          <w:color w:val="auto"/>
          <w:szCs w:val="32"/>
          <w:highlight w:val="none"/>
        </w:rPr>
        <w:t>表1-1-2 单位工程报价汇总表</w:t>
      </w:r>
    </w:p>
    <w:p>
      <w:pPr>
        <w:widowControl/>
        <w:tabs>
          <w:tab w:val="center" w:pos="4755"/>
          <w:tab w:val="right" w:pos="9070"/>
        </w:tabs>
        <w:spacing w:line="360" w:lineRule="auto"/>
        <w:jc w:val="left"/>
        <w:rPr>
          <w:rFonts w:hAnsi="宋体"/>
          <w:color w:val="auto"/>
          <w:szCs w:val="21"/>
          <w:highlight w:val="none"/>
        </w:rPr>
      </w:pPr>
      <w:r>
        <w:rPr>
          <w:rFonts w:hint="eastAsia" w:hAnsi="宋体"/>
          <w:color w:val="auto"/>
          <w:szCs w:val="21"/>
          <w:highlight w:val="none"/>
        </w:rPr>
        <w:t xml:space="preserve">工程名称：                    </w:t>
      </w:r>
    </w:p>
    <w:p>
      <w:pPr>
        <w:widowControl/>
        <w:tabs>
          <w:tab w:val="center" w:pos="4755"/>
          <w:tab w:val="right" w:pos="9070"/>
        </w:tabs>
        <w:spacing w:line="360" w:lineRule="auto"/>
        <w:jc w:val="left"/>
        <w:rPr>
          <w:rFonts w:hAnsi="宋体"/>
          <w:color w:val="auto"/>
          <w:szCs w:val="21"/>
          <w:highlight w:val="none"/>
        </w:rPr>
      </w:pPr>
      <w:r>
        <w:rPr>
          <w:rFonts w:hint="eastAsia" w:hAnsi="宋体"/>
          <w:color w:val="auto"/>
          <w:szCs w:val="21"/>
          <w:highlight w:val="none"/>
        </w:rPr>
        <w:t>单位工程名称：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02"/>
        <w:gridCol w:w="4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序号</w:t>
            </w:r>
          </w:p>
        </w:tc>
        <w:tc>
          <w:tcPr>
            <w:tcW w:w="3600" w:type="dxa"/>
            <w:vMerge w:val="restart"/>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内     容</w:t>
            </w:r>
          </w:p>
        </w:tc>
        <w:tc>
          <w:tcPr>
            <w:tcW w:w="1236" w:type="dxa"/>
            <w:vMerge w:val="restart"/>
            <w:noWrap w:val="0"/>
            <w:vAlign w:val="center"/>
          </w:tcPr>
          <w:p>
            <w:pPr>
              <w:widowControl/>
              <w:tabs>
                <w:tab w:val="center" w:pos="4755"/>
                <w:tab w:val="right" w:pos="9070"/>
              </w:tabs>
              <w:jc w:val="center"/>
              <w:rPr>
                <w:rFonts w:hAnsi="宋体"/>
                <w:color w:val="auto"/>
                <w:szCs w:val="21"/>
                <w:highlight w:val="none"/>
              </w:rPr>
            </w:pPr>
            <w:r>
              <w:rPr>
                <w:rFonts w:hint="eastAsia" w:hAnsi="宋体"/>
                <w:color w:val="auto"/>
                <w:szCs w:val="21"/>
                <w:highlight w:val="none"/>
              </w:rPr>
              <w:t>报价合计</w:t>
            </w:r>
          </w:p>
          <w:p>
            <w:pPr>
              <w:widowControl/>
              <w:tabs>
                <w:tab w:val="center" w:pos="4755"/>
                <w:tab w:val="right" w:pos="9070"/>
              </w:tabs>
              <w:jc w:val="center"/>
              <w:rPr>
                <w:rFonts w:hAnsi="宋体"/>
                <w:color w:val="auto"/>
                <w:szCs w:val="21"/>
                <w:highlight w:val="none"/>
              </w:rPr>
            </w:pPr>
            <w:r>
              <w:rPr>
                <w:rFonts w:hint="eastAsia" w:hAnsi="宋体"/>
                <w:color w:val="auto"/>
                <w:szCs w:val="21"/>
                <w:highlight w:val="none"/>
              </w:rPr>
              <w:t>（元）</w:t>
            </w:r>
          </w:p>
        </w:tc>
        <w:tc>
          <w:tcPr>
            <w:tcW w:w="1948" w:type="dxa"/>
            <w:gridSpan w:val="2"/>
            <w:noWrap w:val="0"/>
            <w:vAlign w:val="center"/>
          </w:tcPr>
          <w:p>
            <w:pPr>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（清单号）</w:t>
            </w: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3600" w:type="dxa"/>
            <w:vMerge w:val="continue"/>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1236" w:type="dxa"/>
            <w:vMerge w:val="continue"/>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(专业工程1)</w:t>
            </w: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一</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分部分项工程量清单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二</w:t>
            </w:r>
          </w:p>
        </w:tc>
        <w:tc>
          <w:tcPr>
            <w:tcW w:w="3600" w:type="dxa"/>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措施项目清单（1+2</w:t>
            </w:r>
            <w:r>
              <w:rPr>
                <w:rFonts w:hAnsi="宋体"/>
                <w:color w:val="auto"/>
                <w:szCs w:val="21"/>
                <w:highlight w:val="none"/>
              </w:rPr>
              <w:t>）</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1</w:t>
            </w:r>
          </w:p>
        </w:tc>
        <w:tc>
          <w:tcPr>
            <w:tcW w:w="3600" w:type="dxa"/>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组织措施项目清单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noWrap w:val="0"/>
            <w:vAlign w:val="top"/>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2</w:t>
            </w:r>
          </w:p>
        </w:tc>
        <w:tc>
          <w:tcPr>
            <w:tcW w:w="3600" w:type="dxa"/>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技术措施项目清单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三</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其他项目清单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3804" w:type="dxa"/>
            <w:gridSpan w:val="3"/>
            <w:noWrap w:val="0"/>
            <w:vAlign w:val="center"/>
          </w:tcPr>
          <w:p>
            <w:pPr>
              <w:widowControl/>
              <w:tabs>
                <w:tab w:val="center" w:pos="4755"/>
                <w:tab w:val="right" w:pos="9070"/>
              </w:tabs>
              <w:spacing w:line="360" w:lineRule="auto"/>
              <w:jc w:val="center"/>
              <w:rPr>
                <w:rFonts w:hAnsi="宋体"/>
                <w:color w:val="auto"/>
                <w:szCs w:val="21"/>
                <w:highlight w:val="none"/>
              </w:rPr>
            </w:pPr>
            <w:r>
              <w:rPr>
                <w:rFonts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27" name="直接连接符 27"/>
                      <wp:cNvGraphicFramePr/>
                      <a:graphic xmlns:a="http://schemas.openxmlformats.org/drawingml/2006/main">
                        <a:graphicData uri="http://schemas.microsoft.com/office/word/2010/wordprocessingShape">
                          <wps:wsp>
                            <wps:cNvCnPr/>
                            <wps:spPr>
                              <a:xfrm flipH="1">
                                <a:off x="0" y="0"/>
                                <a:ext cx="2354580" cy="29464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xSJ1wAAAAcBAAAPAAAAAAAAAAEAIAAAACIAAABkcnMvZG93&#10;bnJldi54bWxQSwECFAAUAAAACACHTuJAyjLi0QECAAD3AwAADgAAAAAAAAABACAAAAAmAQAAZHJz&#10;L2Uyb0RvYy54bWxQSwUGAAAAAAYABgBZAQAAmQU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四</w:t>
            </w:r>
          </w:p>
        </w:tc>
        <w:tc>
          <w:tcPr>
            <w:tcW w:w="3600" w:type="dxa"/>
            <w:noWrap w:val="0"/>
            <w:vAlign w:val="center"/>
          </w:tcPr>
          <w:p>
            <w:pPr>
              <w:tabs>
                <w:tab w:val="left" w:pos="3780"/>
              </w:tabs>
              <w:rPr>
                <w:rFonts w:hAnsi="宋体"/>
                <w:color w:val="auto"/>
                <w:szCs w:val="21"/>
                <w:highlight w:val="none"/>
              </w:rPr>
            </w:pPr>
            <w:r>
              <w:rPr>
                <w:rFonts w:hint="eastAsia" w:hAnsi="宋体"/>
                <w:color w:val="auto"/>
                <w:szCs w:val="21"/>
                <w:highlight w:val="none"/>
              </w:rPr>
              <w:t xml:space="preserve">规费  </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02"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02"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五</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税金[（一 + 二 + 三 + 四）*费率]</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3804" w:type="dxa"/>
            <w:gridSpan w:val="3"/>
            <w:vMerge w:val="restart"/>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noWrap w:val="0"/>
            <w:vAlign w:val="top"/>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六</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总报价（一+二+三+四+五）</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3804" w:type="dxa"/>
            <w:gridSpan w:val="3"/>
            <w:vMerge w:val="continue"/>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6"/>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总报价(大写):</w:t>
            </w:r>
          </w:p>
        </w:tc>
      </w:tr>
    </w:tbl>
    <w:p>
      <w:pPr>
        <w:widowControl/>
        <w:tabs>
          <w:tab w:val="center" w:pos="4755"/>
          <w:tab w:val="right" w:pos="9070"/>
        </w:tabs>
        <w:spacing w:line="360" w:lineRule="auto"/>
        <w:ind w:left="315" w:hanging="315" w:hangingChars="150"/>
        <w:jc w:val="left"/>
        <w:rPr>
          <w:rFonts w:hAnsi="宋体"/>
          <w:color w:val="auto"/>
          <w:szCs w:val="21"/>
          <w:highlight w:val="none"/>
        </w:rPr>
      </w:pPr>
      <w:r>
        <w:rPr>
          <w:rFonts w:hint="eastAsia" w:hAnsi="宋体"/>
          <w:color w:val="auto"/>
          <w:szCs w:val="21"/>
          <w:highlight w:val="none"/>
        </w:rPr>
        <w:t>注:本表适用于：</w:t>
      </w:r>
    </w:p>
    <w:p>
      <w:pPr>
        <w:widowControl/>
        <w:tabs>
          <w:tab w:val="center" w:pos="4755"/>
          <w:tab w:val="right" w:pos="9070"/>
        </w:tabs>
        <w:ind w:left="315" w:leftChars="100" w:hanging="105" w:hangingChars="50"/>
        <w:jc w:val="left"/>
        <w:rPr>
          <w:rFonts w:hAnsi="宋体"/>
          <w:color w:val="auto"/>
          <w:szCs w:val="21"/>
          <w:highlight w:val="none"/>
        </w:rPr>
      </w:pPr>
      <w:r>
        <w:rPr>
          <w:rFonts w:hint="eastAsia" w:hAnsi="宋体"/>
          <w:color w:val="auto"/>
          <w:szCs w:val="21"/>
          <w:highlight w:val="none"/>
        </w:rPr>
        <w:t>（1）只有1个专业工程分部分项工程量清单的单位工程发包项目的报价汇总；</w:t>
      </w:r>
    </w:p>
    <w:p>
      <w:pPr>
        <w:widowControl/>
        <w:tabs>
          <w:tab w:val="center" w:pos="4755"/>
          <w:tab w:val="right" w:pos="9070"/>
        </w:tabs>
        <w:ind w:left="315" w:leftChars="100" w:hanging="105" w:hangingChars="50"/>
        <w:jc w:val="left"/>
        <w:rPr>
          <w:rFonts w:hAnsi="宋体"/>
          <w:color w:val="auto"/>
          <w:szCs w:val="21"/>
          <w:highlight w:val="none"/>
        </w:rPr>
      </w:pPr>
      <w:r>
        <w:rPr>
          <w:rFonts w:hint="eastAsia" w:hAnsi="宋体"/>
          <w:color w:val="auto"/>
          <w:szCs w:val="21"/>
          <w:highlight w:val="none"/>
        </w:rPr>
        <w:t>（2）其余招标项目的单位工程报价汇总。</w:t>
      </w:r>
    </w:p>
    <w:p>
      <w:pPr>
        <w:widowControl/>
        <w:tabs>
          <w:tab w:val="center" w:pos="4755"/>
          <w:tab w:val="right" w:pos="9070"/>
        </w:tabs>
        <w:spacing w:line="360" w:lineRule="auto"/>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Cs w:val="21"/>
          <w:highlight w:val="none"/>
        </w:rPr>
        <w:t xml:space="preserve">                   </w:t>
      </w:r>
    </w:p>
    <w:p>
      <w:pPr>
        <w:spacing w:line="300" w:lineRule="exact"/>
        <w:rPr>
          <w:rFonts w:hAnsi="宋体" w:cs="宋体"/>
          <w:b/>
          <w:bCs/>
          <w:color w:val="auto"/>
          <w:kern w:val="0"/>
          <w:sz w:val="32"/>
          <w:szCs w:val="28"/>
          <w:highlight w:val="none"/>
        </w:rPr>
      </w:pPr>
      <w:r>
        <w:rPr>
          <w:rFonts w:hAnsi="宋体"/>
          <w:color w:val="auto"/>
          <w:kern w:val="0"/>
          <w:sz w:val="24"/>
          <w:highlight w:val="none"/>
        </w:rPr>
        <w:br w:type="page"/>
      </w:r>
    </w:p>
    <w:p>
      <w:pPr>
        <w:spacing w:line="600" w:lineRule="exact"/>
        <w:jc w:val="center"/>
        <w:rPr>
          <w:rFonts w:hAnsi="宋体" w:cs="宋体"/>
          <w:b/>
          <w:bCs/>
          <w:color w:val="auto"/>
          <w:kern w:val="0"/>
          <w:sz w:val="32"/>
          <w:szCs w:val="28"/>
          <w:highlight w:val="none"/>
        </w:rPr>
      </w:pPr>
      <w:r>
        <w:rPr>
          <w:rFonts w:hint="eastAsia" w:hAnsi="宋体" w:cs="宋体"/>
          <w:b/>
          <w:bCs/>
          <w:color w:val="auto"/>
          <w:kern w:val="0"/>
          <w:sz w:val="32"/>
          <w:szCs w:val="28"/>
          <w:highlight w:val="none"/>
        </w:rPr>
        <w:t>表1-2　分部分项工程量清单与计价表（　　号清单）</w:t>
      </w:r>
    </w:p>
    <w:p>
      <w:pPr>
        <w:spacing w:line="600" w:lineRule="exact"/>
        <w:rPr>
          <w:rFonts w:hAnsi="宋体"/>
          <w:color w:val="auto"/>
          <w:szCs w:val="21"/>
          <w:highlight w:val="none"/>
        </w:rPr>
      </w:pPr>
      <w:r>
        <w:rPr>
          <w:rFonts w:hint="eastAsia" w:hAnsi="宋体" w:cs="宋体"/>
          <w:color w:val="auto"/>
          <w:kern w:val="0"/>
          <w:sz w:val="24"/>
          <w:highlight w:val="none"/>
        </w:rPr>
        <w:t>单位工程及专业工程名称:                                     第   页  共 页</w:t>
      </w:r>
    </w:p>
    <w:tbl>
      <w:tblPr>
        <w:tblStyle w:val="62"/>
        <w:tblW w:w="0" w:type="auto"/>
        <w:tblInd w:w="-459" w:type="dxa"/>
        <w:tblLayout w:type="fixed"/>
        <w:tblCellMar>
          <w:top w:w="0" w:type="dxa"/>
          <w:left w:w="108" w:type="dxa"/>
          <w:bottom w:w="0" w:type="dxa"/>
          <w:right w:w="108" w:type="dxa"/>
        </w:tblCellMar>
      </w:tblPr>
      <w:tblGrid>
        <w:gridCol w:w="709"/>
        <w:gridCol w:w="945"/>
        <w:gridCol w:w="945"/>
        <w:gridCol w:w="945"/>
        <w:gridCol w:w="731"/>
        <w:gridCol w:w="868"/>
        <w:gridCol w:w="868"/>
        <w:gridCol w:w="28"/>
        <w:gridCol w:w="841"/>
        <w:gridCol w:w="869"/>
        <w:gridCol w:w="870"/>
        <w:gridCol w:w="870"/>
        <w:gridCol w:w="828"/>
      </w:tblGrid>
      <w:tr>
        <w:tblPrEx>
          <w:tblCellMar>
            <w:top w:w="0" w:type="dxa"/>
            <w:left w:w="108" w:type="dxa"/>
            <w:bottom w:w="0" w:type="dxa"/>
            <w:right w:w="108" w:type="dxa"/>
          </w:tblCellMar>
        </w:tblPrEx>
        <w:trPr>
          <w:trHeight w:val="367"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102" w:firstLineChars="49"/>
              <w:rPr>
                <w:rFonts w:hAnsi="宋体" w:cs="宋体"/>
                <w:bCs/>
                <w:color w:val="auto"/>
                <w:kern w:val="0"/>
                <w:szCs w:val="21"/>
                <w:highlight w:val="none"/>
              </w:rPr>
            </w:pPr>
            <w:r>
              <w:rPr>
                <w:rFonts w:hint="eastAsia" w:hAnsi="宋体" w:cs="宋体"/>
                <w:bCs/>
                <w:color w:val="auto"/>
                <w:kern w:val="0"/>
                <w:szCs w:val="21"/>
                <w:highlight w:val="none"/>
              </w:rPr>
              <w:t>序</w:t>
            </w:r>
          </w:p>
          <w:p>
            <w:pPr>
              <w:ind w:firstLine="102" w:firstLineChars="49"/>
              <w:rPr>
                <w:rFonts w:hAnsi="宋体" w:cs="宋体"/>
                <w:bCs/>
                <w:color w:val="auto"/>
                <w:kern w:val="0"/>
                <w:szCs w:val="21"/>
                <w:highlight w:val="none"/>
              </w:rPr>
            </w:pPr>
            <w:r>
              <w:rPr>
                <w:rFonts w:hint="eastAsia" w:hAnsi="宋体" w:cs="宋体"/>
                <w:bCs/>
                <w:color w:val="auto"/>
                <w:kern w:val="0"/>
                <w:szCs w:val="21"/>
                <w:highlight w:val="none"/>
              </w:rPr>
              <w:t>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项目</w:t>
            </w:r>
          </w:p>
          <w:p>
            <w:pPr>
              <w:widowControl/>
              <w:jc w:val="center"/>
              <w:rPr>
                <w:rFonts w:hAnsi="宋体" w:cs="宋体"/>
                <w:bCs/>
                <w:color w:val="auto"/>
                <w:kern w:val="0"/>
                <w:szCs w:val="21"/>
                <w:highlight w:val="none"/>
              </w:rPr>
            </w:pPr>
            <w:r>
              <w:rPr>
                <w:rFonts w:hint="eastAsia" w:hAnsi="宋体" w:cs="宋体"/>
                <w:bCs/>
                <w:color w:val="auto"/>
                <w:kern w:val="0"/>
                <w:szCs w:val="21"/>
                <w:highlight w:val="none"/>
              </w:rPr>
              <w:t>编码</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项目</w:t>
            </w:r>
          </w:p>
          <w:p>
            <w:pPr>
              <w:widowControl/>
              <w:jc w:val="center"/>
              <w:rPr>
                <w:rFonts w:hAnsi="宋体" w:cs="宋体"/>
                <w:bCs/>
                <w:color w:val="auto"/>
                <w:kern w:val="0"/>
                <w:szCs w:val="21"/>
                <w:highlight w:val="none"/>
              </w:rPr>
            </w:pPr>
            <w:r>
              <w:rPr>
                <w:rFonts w:hint="eastAsia" w:hAnsi="宋体" w:cs="宋体"/>
                <w:bCs/>
                <w:color w:val="auto"/>
                <w:kern w:val="0"/>
                <w:szCs w:val="21"/>
                <w:highlight w:val="none"/>
              </w:rPr>
              <w:t>名称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right="71" w:rightChars="34"/>
              <w:rPr>
                <w:rFonts w:hAnsi="宋体" w:cs="宋体"/>
                <w:bCs/>
                <w:color w:val="auto"/>
                <w:kern w:val="0"/>
                <w:szCs w:val="21"/>
                <w:highlight w:val="none"/>
              </w:rPr>
            </w:pPr>
            <w:r>
              <w:rPr>
                <w:rFonts w:hint="eastAsia" w:hAnsi="宋体" w:cs="宋体"/>
                <w:bCs/>
                <w:color w:val="auto"/>
                <w:kern w:val="0"/>
                <w:szCs w:val="21"/>
                <w:highlight w:val="none"/>
              </w:rPr>
              <w:t>项 目</w:t>
            </w:r>
          </w:p>
          <w:p>
            <w:pPr>
              <w:widowControl/>
              <w:rPr>
                <w:rFonts w:hAnsi="宋体" w:cs="宋体"/>
                <w:bCs/>
                <w:color w:val="auto"/>
                <w:kern w:val="0"/>
                <w:szCs w:val="21"/>
                <w:highlight w:val="none"/>
              </w:rPr>
            </w:pPr>
            <w:r>
              <w:rPr>
                <w:rFonts w:hint="eastAsia" w:hAnsi="宋体" w:cs="宋体"/>
                <w:bCs/>
                <w:color w:val="auto"/>
                <w:kern w:val="0"/>
                <w:szCs w:val="21"/>
                <w:highlight w:val="none"/>
              </w:rPr>
              <w:t>特 征</w:t>
            </w:r>
          </w:p>
          <w:p>
            <w:pPr>
              <w:widowControl/>
              <w:rPr>
                <w:rFonts w:hAnsi="宋体" w:cs="宋体"/>
                <w:bCs/>
                <w:color w:val="auto"/>
                <w:kern w:val="0"/>
                <w:szCs w:val="21"/>
                <w:highlight w:val="none"/>
              </w:rPr>
            </w:pPr>
            <w:r>
              <w:rPr>
                <w:rFonts w:hint="eastAsia" w:hAnsi="宋体" w:cs="宋体"/>
                <w:bCs/>
                <w:color w:val="auto"/>
                <w:kern w:val="0"/>
                <w:szCs w:val="21"/>
                <w:highlight w:val="none"/>
              </w:rPr>
              <w:t>描 述</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计量</w:t>
            </w:r>
          </w:p>
          <w:p>
            <w:pPr>
              <w:jc w:val="center"/>
              <w:rPr>
                <w:rFonts w:hAnsi="宋体" w:cs="宋体"/>
                <w:bCs/>
                <w:color w:val="auto"/>
                <w:kern w:val="0"/>
                <w:szCs w:val="21"/>
                <w:highlight w:val="none"/>
              </w:rPr>
            </w:pPr>
            <w:r>
              <w:rPr>
                <w:rFonts w:hint="eastAsia" w:hAnsi="宋体" w:cs="宋体"/>
                <w:bCs/>
                <w:color w:val="auto"/>
                <w:kern w:val="0"/>
                <w:szCs w:val="21"/>
                <w:highlight w:val="none"/>
              </w:rPr>
              <w:t>单位</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工程量</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综合</w:t>
            </w:r>
          </w:p>
          <w:p>
            <w:pPr>
              <w:widowControl/>
              <w:jc w:val="center"/>
              <w:rPr>
                <w:rFonts w:hAnsi="宋体" w:cs="宋体"/>
                <w:bCs/>
                <w:color w:val="auto"/>
                <w:kern w:val="0"/>
                <w:szCs w:val="21"/>
                <w:highlight w:val="none"/>
              </w:rPr>
            </w:pPr>
            <w:r>
              <w:rPr>
                <w:rFonts w:hint="eastAsia" w:hAnsi="宋体" w:cs="宋体"/>
                <w:bCs/>
                <w:color w:val="auto"/>
                <w:kern w:val="0"/>
                <w:szCs w:val="21"/>
                <w:highlight w:val="none"/>
              </w:rPr>
              <w:t>单价</w:t>
            </w:r>
          </w:p>
          <w:p>
            <w:pPr>
              <w:jc w:val="center"/>
              <w:rPr>
                <w:rFonts w:hAnsi="宋体" w:cs="宋体"/>
                <w:bCs/>
                <w:color w:val="auto"/>
                <w:kern w:val="0"/>
                <w:szCs w:val="21"/>
                <w:highlight w:val="none"/>
              </w:rPr>
            </w:pPr>
            <w:r>
              <w:rPr>
                <w:rFonts w:hint="eastAsia" w:hAnsi="宋体" w:cs="宋体"/>
                <w:bCs/>
                <w:color w:val="auto"/>
                <w:kern w:val="0"/>
                <w:szCs w:val="21"/>
                <w:highlight w:val="none"/>
              </w:rPr>
              <w:t>（元）</w:t>
            </w:r>
          </w:p>
        </w:tc>
        <w:tc>
          <w:tcPr>
            <w:tcW w:w="86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合 价</w:t>
            </w:r>
          </w:p>
          <w:p>
            <w:pPr>
              <w:jc w:val="center"/>
              <w:rPr>
                <w:rFonts w:hAnsi="宋体" w:cs="宋体"/>
                <w:bCs/>
                <w:color w:val="auto"/>
                <w:kern w:val="0"/>
                <w:szCs w:val="21"/>
                <w:highlight w:val="none"/>
              </w:rPr>
            </w:pPr>
            <w:r>
              <w:rPr>
                <w:rFonts w:hint="eastAsia" w:hAnsi="宋体" w:cs="宋体"/>
                <w:bCs/>
                <w:color w:val="auto"/>
                <w:kern w:val="0"/>
                <w:szCs w:val="21"/>
                <w:highlight w:val="none"/>
              </w:rPr>
              <w:t>（元）</w:t>
            </w:r>
          </w:p>
        </w:tc>
        <w:tc>
          <w:tcPr>
            <w:tcW w:w="260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其中（元）</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备注</w:t>
            </w:r>
          </w:p>
        </w:tc>
      </w:tr>
      <w:tr>
        <w:tblPrEx>
          <w:tblCellMar>
            <w:top w:w="0" w:type="dxa"/>
            <w:left w:w="108" w:type="dxa"/>
            <w:bottom w:w="0" w:type="dxa"/>
            <w:right w:w="108" w:type="dxa"/>
          </w:tblCellMar>
        </w:tblPrEx>
        <w:trPr>
          <w:trHeight w:val="61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102" w:firstLineChars="49"/>
              <w:rPr>
                <w:rFonts w:hAnsi="宋体" w:cs="宋体"/>
                <w:bCs/>
                <w:color w:val="auto"/>
                <w:kern w:val="0"/>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Ansi="宋体" w:cs="宋体"/>
                <w:bCs/>
                <w:color w:val="auto"/>
                <w:kern w:val="0"/>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Ansi="宋体" w:cs="宋体"/>
                <w:bCs/>
                <w:color w:val="auto"/>
                <w:kern w:val="0"/>
                <w:szCs w:val="21"/>
                <w:highlight w:val="none"/>
              </w:rPr>
            </w:pPr>
          </w:p>
        </w:tc>
        <w:tc>
          <w:tcPr>
            <w:tcW w:w="945"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rPr>
                <w:rFonts w:hAnsi="宋体" w:cs="宋体"/>
                <w:bCs/>
                <w:color w:val="auto"/>
                <w:kern w:val="0"/>
                <w:szCs w:val="21"/>
                <w:highlight w:val="none"/>
              </w:rPr>
            </w:pPr>
          </w:p>
        </w:tc>
        <w:tc>
          <w:tcPr>
            <w:tcW w:w="731"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Ansi="宋体" w:cs="宋体"/>
                <w:bCs/>
                <w:color w:val="auto"/>
                <w:kern w:val="0"/>
                <w:szCs w:val="21"/>
                <w:highlight w:val="none"/>
              </w:rPr>
            </w:pPr>
          </w:p>
        </w:tc>
        <w:tc>
          <w:tcPr>
            <w:tcW w:w="868"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c>
          <w:tcPr>
            <w:tcW w:w="869" w:type="dxa"/>
            <w:gridSpan w:val="2"/>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c>
          <w:tcPr>
            <w:tcW w:w="86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人工费</w:t>
            </w:r>
          </w:p>
        </w:tc>
        <w:tc>
          <w:tcPr>
            <w:tcW w:w="870" w:type="dxa"/>
            <w:tcBorders>
              <w:top w:val="single" w:color="000000" w:sz="4" w:space="0"/>
              <w:left w:val="nil"/>
              <w:bottom w:val="single" w:color="000000" w:sz="4" w:space="0"/>
              <w:right w:val="single" w:color="auto"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机械费</w:t>
            </w:r>
          </w:p>
        </w:tc>
        <w:tc>
          <w:tcPr>
            <w:tcW w:w="870" w:type="dxa"/>
            <w:tcBorders>
              <w:top w:val="single" w:color="000000" w:sz="4" w:space="0"/>
              <w:left w:val="nil"/>
              <w:bottom w:val="single" w:color="000000" w:sz="4" w:space="0"/>
              <w:right w:val="single" w:color="auto"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管理费</w:t>
            </w:r>
          </w:p>
        </w:tc>
        <w:tc>
          <w:tcPr>
            <w:tcW w:w="828"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r>
      <w:tr>
        <w:tblPrEx>
          <w:tblCellMar>
            <w:top w:w="0" w:type="dxa"/>
            <w:left w:w="108" w:type="dxa"/>
            <w:bottom w:w="0" w:type="dxa"/>
            <w:right w:w="108" w:type="dxa"/>
          </w:tblCellMar>
        </w:tblPrEx>
        <w:trPr>
          <w:trHeight w:val="450"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w:t>
            </w: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（2）</w:t>
            </w: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（3）</w:t>
            </w: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（4）</w:t>
            </w: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（5）</w:t>
            </w: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（6）</w:t>
            </w: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（7）</w:t>
            </w: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（8）</w:t>
            </w: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（9）</w:t>
            </w: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（10）</w:t>
            </w: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（11）</w:t>
            </w: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（12）</w:t>
            </w: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450"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4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3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8"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6039" w:type="dxa"/>
            <w:gridSpan w:val="8"/>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ind w:firstLine="2415" w:firstLineChars="1150"/>
              <w:jc w:val="center"/>
              <w:rPr>
                <w:rFonts w:hAnsi="宋体"/>
                <w:color w:val="auto"/>
                <w:szCs w:val="21"/>
                <w:highlight w:val="none"/>
              </w:rPr>
            </w:pPr>
            <w:r>
              <w:rPr>
                <w:rFonts w:hint="eastAsia" w:hAnsi="宋体"/>
                <w:color w:val="auto"/>
                <w:szCs w:val="21"/>
                <w:highlight w:val="none"/>
              </w:rPr>
              <w:t>合   计</w:t>
            </w:r>
          </w:p>
        </w:tc>
        <w:tc>
          <w:tcPr>
            <w:tcW w:w="841"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69"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8"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bl>
    <w:p>
      <w:pPr>
        <w:spacing w:line="300" w:lineRule="exact"/>
        <w:rPr>
          <w:rFonts w:hAnsi="宋体"/>
          <w:color w:val="auto"/>
          <w:szCs w:val="21"/>
          <w:highlight w:val="none"/>
        </w:rPr>
      </w:pPr>
      <w:r>
        <w:rPr>
          <w:rFonts w:hint="eastAsia" w:hAnsi="宋体"/>
          <w:color w:val="auto"/>
          <w:szCs w:val="21"/>
          <w:highlight w:val="none"/>
        </w:rPr>
        <w:t>注：表中（1）（2）（3）（4）（5）（6）栏由招标人提供内容。（12）栏由招标人按需提出要求，如招标人需要</w:t>
      </w:r>
      <w:r>
        <w:rPr>
          <w:rFonts w:hint="eastAsia" w:hAnsi="宋体"/>
          <w:color w:val="auto"/>
          <w:szCs w:val="21"/>
          <w:highlight w:val="none"/>
          <w:lang w:val="en-US" w:eastAsia="zh-CN"/>
        </w:rPr>
        <w:t>响应</w:t>
      </w:r>
      <w:r>
        <w:rPr>
          <w:rFonts w:hint="eastAsia" w:hAnsi="宋体"/>
          <w:color w:val="auto"/>
          <w:szCs w:val="21"/>
          <w:highlight w:val="none"/>
        </w:rPr>
        <w:t>人提供清单项目综合单价的计算分析和工料机分析，请在（12）备注中明确。</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spacing w:line="500" w:lineRule="exact"/>
        <w:rPr>
          <w:rFonts w:hint="eastAsia" w:hAnsi="宋体"/>
          <w:b/>
          <w:color w:val="auto"/>
          <w:szCs w:val="32"/>
          <w:highlight w:val="none"/>
        </w:rPr>
      </w:pPr>
      <w:r>
        <w:rPr>
          <w:rFonts w:hint="eastAsia" w:hAnsi="宋体"/>
          <w:color w:val="auto"/>
          <w:sz w:val="24"/>
          <w:highlight w:val="none"/>
        </w:rPr>
        <w:br w:type="page"/>
      </w:r>
    </w:p>
    <w:p>
      <w:pPr>
        <w:pStyle w:val="797"/>
        <w:rPr>
          <w:rFonts w:hint="eastAsia" w:hAnsi="宋体"/>
          <w:b/>
          <w:color w:val="auto"/>
          <w:szCs w:val="32"/>
          <w:highlight w:val="none"/>
        </w:rPr>
      </w:pPr>
    </w:p>
    <w:p>
      <w:pPr>
        <w:widowControl/>
        <w:tabs>
          <w:tab w:val="center" w:pos="4755"/>
          <w:tab w:val="right" w:pos="9070"/>
        </w:tabs>
        <w:spacing w:before="100" w:beforeAutospacing="1" w:after="100" w:afterAutospacing="1"/>
        <w:jc w:val="center"/>
        <w:rPr>
          <w:b/>
          <w:color w:val="auto"/>
          <w:szCs w:val="32"/>
          <w:highlight w:val="none"/>
        </w:rPr>
      </w:pPr>
      <w:r>
        <w:rPr>
          <w:rFonts w:hint="eastAsia" w:hAnsi="宋体"/>
          <w:b/>
          <w:color w:val="auto"/>
          <w:szCs w:val="32"/>
          <w:highlight w:val="none"/>
        </w:rPr>
        <w:t>表</w:t>
      </w:r>
      <w:r>
        <w:rPr>
          <w:rFonts w:hAnsi="宋体"/>
          <w:b/>
          <w:color w:val="auto"/>
          <w:szCs w:val="32"/>
          <w:highlight w:val="none"/>
        </w:rPr>
        <w:t xml:space="preserve">1-3-A  </w:t>
      </w:r>
      <w:r>
        <w:rPr>
          <w:rFonts w:hint="eastAsia" w:hAnsi="宋体"/>
          <w:b/>
          <w:color w:val="auto"/>
          <w:szCs w:val="32"/>
          <w:highlight w:val="none"/>
        </w:rPr>
        <w:t>组织措施项目（整体）清单及计价表</w:t>
      </w:r>
    </w:p>
    <w:p>
      <w:pPr>
        <w:widowControl/>
        <w:tabs>
          <w:tab w:val="center" w:pos="4755"/>
          <w:tab w:val="right" w:pos="9070"/>
        </w:tabs>
        <w:spacing w:before="100" w:beforeAutospacing="1" w:after="100" w:afterAutospacing="1"/>
        <w:jc w:val="left"/>
        <w:rPr>
          <w:color w:val="auto"/>
          <w:szCs w:val="21"/>
          <w:highlight w:val="none"/>
        </w:rPr>
      </w:pPr>
      <w:r>
        <w:rPr>
          <w:rFonts w:hint="eastAsia" w:hAnsi="宋体"/>
          <w:color w:val="auto"/>
          <w:szCs w:val="21"/>
          <w:highlight w:val="none"/>
        </w:rPr>
        <w:t>工程名称</w:t>
      </w:r>
      <w:r>
        <w:rPr>
          <w:rFonts w:hAnsi="宋体"/>
          <w:color w:val="auto"/>
          <w:szCs w:val="21"/>
          <w:highlight w:val="none"/>
        </w:rPr>
        <w:t xml:space="preserve">:                                                            </w:t>
      </w:r>
      <w:r>
        <w:rPr>
          <w:rFonts w:hint="eastAsia" w:hAnsi="宋体"/>
          <w:color w:val="auto"/>
          <w:szCs w:val="21"/>
          <w:highlight w:val="none"/>
        </w:rPr>
        <w:t>第页共页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序号</w:t>
            </w:r>
          </w:p>
        </w:tc>
        <w:tc>
          <w:tcPr>
            <w:tcW w:w="259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项目名称</w:t>
            </w:r>
          </w:p>
        </w:tc>
        <w:tc>
          <w:tcPr>
            <w:tcW w:w="108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单位</w:t>
            </w:r>
          </w:p>
        </w:tc>
        <w:tc>
          <w:tcPr>
            <w:tcW w:w="108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数量</w:t>
            </w:r>
          </w:p>
        </w:tc>
        <w:tc>
          <w:tcPr>
            <w:tcW w:w="1440"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金额</w:t>
            </w:r>
            <w:r>
              <w:rPr>
                <w:rFonts w:hAnsi="宋体"/>
                <w:color w:val="auto"/>
                <w:szCs w:val="21"/>
                <w:highlight w:val="none"/>
              </w:rPr>
              <w:t>(</w:t>
            </w:r>
            <w:r>
              <w:rPr>
                <w:rFonts w:hint="eastAsia" w:hAnsi="宋体"/>
                <w:color w:val="auto"/>
                <w:szCs w:val="21"/>
                <w:highlight w:val="none"/>
              </w:rPr>
              <w:t>元</w:t>
            </w:r>
            <w:r>
              <w:rPr>
                <w:rFonts w:hAnsi="宋体"/>
                <w:color w:val="auto"/>
                <w:szCs w:val="21"/>
                <w:highlight w:val="none"/>
              </w:rPr>
              <w:t>)</w:t>
            </w:r>
          </w:p>
        </w:tc>
        <w:tc>
          <w:tcPr>
            <w:tcW w:w="270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3" w:hRule="atLeast"/>
        </w:trPr>
        <w:tc>
          <w:tcPr>
            <w:tcW w:w="938" w:type="dxa"/>
            <w:noWrap w:val="0"/>
            <w:vAlign w:val="top"/>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w:t>
            </w:r>
          </w:p>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一</w:t>
            </w:r>
          </w:p>
          <w:p>
            <w:pPr>
              <w:widowControl/>
              <w:tabs>
                <w:tab w:val="center" w:pos="4755"/>
                <w:tab w:val="right" w:pos="9070"/>
              </w:tabs>
              <w:spacing w:before="100" w:beforeAutospacing="1" w:after="100" w:afterAutospacing="1"/>
              <w:jc w:val="center"/>
              <w:rPr>
                <w:color w:val="auto"/>
                <w:position w:val="-6"/>
                <w:szCs w:val="21"/>
                <w:highlight w:val="none"/>
              </w:rPr>
            </w:pPr>
            <w:r>
              <w:rPr>
                <w:rFonts w:hint="eastAsia" w:hAnsi="宋体"/>
                <w:color w:val="auto"/>
                <w:position w:val="-6"/>
                <w:szCs w:val="21"/>
                <w:highlight w:val="none"/>
              </w:rPr>
              <w:t>二</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1</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2</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3</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4</w:t>
            </w: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tc>
        <w:tc>
          <w:tcPr>
            <w:tcW w:w="2590" w:type="dxa"/>
            <w:noWrap w:val="0"/>
            <w:vAlign w:val="top"/>
          </w:tcPr>
          <w:p>
            <w:pPr>
              <w:widowControl/>
              <w:tabs>
                <w:tab w:val="center" w:pos="4755"/>
                <w:tab w:val="right" w:pos="9070"/>
              </w:tabs>
              <w:adjustRightInd w:val="0"/>
              <w:spacing w:before="100" w:beforeAutospacing="1" w:after="100" w:afterAutospacing="1"/>
              <w:jc w:val="center"/>
              <w:rPr>
                <w:color w:val="auto"/>
                <w:spacing w:val="-16"/>
                <w:szCs w:val="21"/>
                <w:highlight w:val="none"/>
              </w:rPr>
            </w:pPr>
            <w:r>
              <w:rPr>
                <w:rFonts w:hint="eastAsia" w:hAnsi="宋体"/>
                <w:color w:val="auto"/>
                <w:spacing w:val="-16"/>
                <w:szCs w:val="21"/>
                <w:highlight w:val="none"/>
              </w:rPr>
              <w:t>（</w:t>
            </w:r>
            <w:r>
              <w:rPr>
                <w:rFonts w:hAnsi="宋体"/>
                <w:color w:val="auto"/>
                <w:spacing w:val="-16"/>
                <w:szCs w:val="21"/>
                <w:highlight w:val="none"/>
              </w:rPr>
              <w:t>2</w:t>
            </w:r>
            <w:r>
              <w:rPr>
                <w:rFonts w:hint="eastAsia" w:hAnsi="宋体"/>
                <w:color w:val="auto"/>
                <w:spacing w:val="-16"/>
                <w:szCs w:val="21"/>
                <w:highlight w:val="none"/>
              </w:rPr>
              <w:t>）</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安全文明施工措施项目</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其他组织措施项目</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提前竣工增加费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二次搬运费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冬雨季施工增加费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行车、行人干扰增加费</w:t>
            </w: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tc>
        <w:tc>
          <w:tcPr>
            <w:tcW w:w="1080"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1080"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144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700"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提供分析清单（表</w:t>
            </w:r>
            <w:r>
              <w:rPr>
                <w:rFonts w:hAnsi="宋体"/>
                <w:color w:val="auto"/>
                <w:szCs w:val="21"/>
                <w:highlight w:val="none"/>
              </w:rPr>
              <w:t>1-3-A-1</w:t>
            </w:r>
            <w:r>
              <w:rPr>
                <w:rFonts w:hint="eastAsia" w:hAnsi="宋体"/>
                <w:color w:val="auto"/>
                <w:szCs w:val="21"/>
                <w:highlight w:val="none"/>
              </w:rPr>
              <w:t>）</w:t>
            </w:r>
          </w:p>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合计</w:t>
            </w:r>
          </w:p>
        </w:tc>
        <w:tc>
          <w:tcPr>
            <w:tcW w:w="1440" w:type="dxa"/>
            <w:noWrap w:val="0"/>
            <w:vAlign w:val="top"/>
          </w:tcPr>
          <w:p>
            <w:pPr>
              <w:widowControl/>
              <w:tabs>
                <w:tab w:val="center" w:pos="4755"/>
                <w:tab w:val="right" w:pos="9070"/>
              </w:tabs>
              <w:spacing w:before="100" w:beforeAutospacing="1" w:after="100" w:afterAutospacing="1"/>
              <w:rPr>
                <w:color w:val="auto"/>
                <w:szCs w:val="21"/>
                <w:highlight w:val="none"/>
              </w:rPr>
            </w:pPr>
          </w:p>
        </w:tc>
        <w:tc>
          <w:tcPr>
            <w:tcW w:w="2700" w:type="dxa"/>
            <w:noWrap w:val="0"/>
            <w:vAlign w:val="top"/>
          </w:tcPr>
          <w:p>
            <w:pPr>
              <w:widowControl/>
              <w:tabs>
                <w:tab w:val="center" w:pos="4755"/>
                <w:tab w:val="right" w:pos="9070"/>
              </w:tabs>
              <w:spacing w:before="100" w:beforeAutospacing="1" w:after="100" w:afterAutospacing="1"/>
              <w:rPr>
                <w:color w:val="auto"/>
                <w:szCs w:val="21"/>
                <w:highlight w:val="none"/>
              </w:rPr>
            </w:pPr>
          </w:p>
        </w:tc>
      </w:tr>
    </w:tbl>
    <w:p>
      <w:pPr>
        <w:widowControl/>
        <w:tabs>
          <w:tab w:val="center" w:pos="4755"/>
          <w:tab w:val="right" w:pos="9070"/>
        </w:tabs>
        <w:jc w:val="left"/>
        <w:rPr>
          <w:color w:val="auto"/>
          <w:szCs w:val="21"/>
          <w:highlight w:val="none"/>
        </w:rPr>
      </w:pPr>
      <w:r>
        <w:rPr>
          <w:rFonts w:hint="eastAsia" w:hAnsi="宋体"/>
          <w:color w:val="auto"/>
          <w:szCs w:val="21"/>
          <w:highlight w:val="none"/>
        </w:rPr>
        <w:t>注：</w:t>
      </w:r>
      <w:r>
        <w:rPr>
          <w:rFonts w:hAnsi="宋体"/>
          <w:color w:val="auto"/>
          <w:szCs w:val="21"/>
          <w:highlight w:val="none"/>
        </w:rPr>
        <w:t>1.</w:t>
      </w:r>
      <w:r>
        <w:rPr>
          <w:rFonts w:hint="eastAsia" w:hAnsi="宋体"/>
          <w:color w:val="auto"/>
          <w:szCs w:val="21"/>
          <w:highlight w:val="none"/>
        </w:rPr>
        <w:t>表中列项供参考，（</w:t>
      </w: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）栏由招标人提供，</w:t>
      </w:r>
      <w:r>
        <w:rPr>
          <w:rFonts w:hint="eastAsia" w:hAnsi="宋体"/>
          <w:color w:val="auto"/>
          <w:szCs w:val="21"/>
          <w:highlight w:val="none"/>
          <w:lang w:val="en-US" w:eastAsia="zh-CN"/>
        </w:rPr>
        <w:t>响应</w:t>
      </w:r>
      <w:r>
        <w:rPr>
          <w:rFonts w:hint="eastAsia" w:hAnsi="宋体"/>
          <w:color w:val="auto"/>
          <w:szCs w:val="21"/>
          <w:highlight w:val="none"/>
        </w:rPr>
        <w:t>人可按工程实际作补充。</w:t>
      </w:r>
    </w:p>
    <w:p>
      <w:pPr>
        <w:widowControl/>
        <w:tabs>
          <w:tab w:val="center" w:pos="4755"/>
          <w:tab w:val="right" w:pos="9070"/>
        </w:tabs>
        <w:ind w:firstLine="420" w:firstLineChars="200"/>
        <w:jc w:val="left"/>
        <w:rPr>
          <w:color w:val="auto"/>
          <w:szCs w:val="21"/>
          <w:highlight w:val="none"/>
        </w:rPr>
      </w:pPr>
      <w:r>
        <w:rPr>
          <w:rFonts w:hAnsi="宋体"/>
          <w:color w:val="auto"/>
          <w:szCs w:val="21"/>
          <w:highlight w:val="none"/>
        </w:rPr>
        <w:t>2.</w:t>
      </w:r>
      <w:r>
        <w:rPr>
          <w:rFonts w:hint="eastAsia" w:hAnsi="宋体"/>
          <w:color w:val="auto"/>
          <w:szCs w:val="21"/>
          <w:highlight w:val="none"/>
        </w:rPr>
        <w:t>措施项目应分整体措施项目和专业工程措施项目，安全文明施工措施项目（包括环境保护、文明施工、安全施工、临时设施）以及工程定位复测费应按招标项目整体报价，其他组织措施项目由</w:t>
      </w:r>
      <w:r>
        <w:rPr>
          <w:rFonts w:hint="eastAsia" w:hAnsi="宋体"/>
          <w:color w:val="auto"/>
          <w:szCs w:val="21"/>
          <w:highlight w:val="none"/>
          <w:lang w:val="en-US" w:eastAsia="zh-CN"/>
        </w:rPr>
        <w:t>响应</w:t>
      </w:r>
      <w:r>
        <w:rPr>
          <w:rFonts w:hint="eastAsia" w:hAnsi="宋体"/>
          <w:color w:val="auto"/>
          <w:szCs w:val="21"/>
          <w:highlight w:val="none"/>
        </w:rPr>
        <w:t>人根据工程实际自行决定按整体项目还是按专业工程清单报价（专业工程组织措施项目清单见表</w:t>
      </w:r>
      <w:r>
        <w:rPr>
          <w:rFonts w:hAnsi="宋体"/>
          <w:color w:val="auto"/>
          <w:szCs w:val="21"/>
          <w:highlight w:val="none"/>
        </w:rPr>
        <w:t>1-3-B</w:t>
      </w:r>
      <w:r>
        <w:rPr>
          <w:rFonts w:hint="eastAsia" w:hAnsi="宋体"/>
          <w:color w:val="auto"/>
          <w:szCs w:val="21"/>
          <w:highlight w:val="none"/>
        </w:rPr>
        <w:t>）。</w:t>
      </w:r>
    </w:p>
    <w:p>
      <w:pPr>
        <w:widowControl/>
        <w:tabs>
          <w:tab w:val="center" w:pos="4755"/>
          <w:tab w:val="right" w:pos="9070"/>
        </w:tabs>
        <w:ind w:firstLine="420" w:firstLineChars="200"/>
        <w:jc w:val="left"/>
        <w:rPr>
          <w:rFonts w:hAnsi="宋体"/>
          <w:color w:val="auto"/>
          <w:szCs w:val="21"/>
          <w:highlight w:val="none"/>
        </w:rPr>
      </w:pPr>
      <w:r>
        <w:rPr>
          <w:rFonts w:hAnsi="宋体"/>
          <w:color w:val="auto"/>
          <w:szCs w:val="21"/>
          <w:highlight w:val="none"/>
        </w:rPr>
        <w:t>3.</w:t>
      </w:r>
      <w:r>
        <w:rPr>
          <w:rFonts w:hint="eastAsia" w:hAnsi="宋体"/>
          <w:color w:val="auto"/>
          <w:szCs w:val="21"/>
          <w:highlight w:val="none"/>
        </w:rPr>
        <w:t>专业工程组织措施项目清单表</w:t>
      </w:r>
      <w:r>
        <w:rPr>
          <w:rFonts w:hAnsi="宋体"/>
          <w:color w:val="auto"/>
          <w:szCs w:val="21"/>
          <w:highlight w:val="none"/>
        </w:rPr>
        <w:t>1-3-B</w:t>
      </w:r>
      <w:r>
        <w:rPr>
          <w:rFonts w:hint="eastAsia" w:hAnsi="宋体"/>
          <w:color w:val="auto"/>
          <w:szCs w:val="21"/>
          <w:highlight w:val="none"/>
        </w:rPr>
        <w:t>中已报价的组织措施费不得与整体组织措施项目清单表</w:t>
      </w:r>
      <w:r>
        <w:rPr>
          <w:rFonts w:hAnsi="宋体"/>
          <w:color w:val="auto"/>
          <w:szCs w:val="21"/>
          <w:highlight w:val="none"/>
        </w:rPr>
        <w:t>1-3-A</w:t>
      </w:r>
      <w:r>
        <w:rPr>
          <w:rFonts w:hint="eastAsia" w:hAnsi="宋体"/>
          <w:color w:val="auto"/>
          <w:szCs w:val="21"/>
          <w:highlight w:val="none"/>
        </w:rPr>
        <w:t>中的其他组织措施项目重复报价。</w:t>
      </w:r>
    </w:p>
    <w:p>
      <w:pPr>
        <w:widowControl/>
        <w:tabs>
          <w:tab w:val="center" w:pos="4755"/>
          <w:tab w:val="right" w:pos="9070"/>
        </w:tabs>
        <w:spacing w:before="100" w:beforeAutospacing="1" w:after="100" w:afterAutospacing="1"/>
        <w:jc w:val="center"/>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b/>
          <w:color w:val="auto"/>
          <w:szCs w:val="32"/>
          <w:highlight w:val="none"/>
        </w:rPr>
      </w:pPr>
      <w:r>
        <w:rPr>
          <w:rFonts w:hint="eastAsia"/>
          <w:color w:val="auto"/>
          <w:highlight w:val="none"/>
        </w:rPr>
        <w:br w:type="page"/>
      </w:r>
    </w:p>
    <w:p>
      <w:pPr>
        <w:widowControl/>
        <w:tabs>
          <w:tab w:val="center" w:pos="4755"/>
          <w:tab w:val="right" w:pos="9070"/>
        </w:tabs>
        <w:spacing w:before="100" w:beforeAutospacing="1" w:after="100" w:afterAutospacing="1"/>
        <w:jc w:val="center"/>
        <w:rPr>
          <w:rFonts w:hint="eastAsia" w:hAnsi="宋体"/>
          <w:b/>
          <w:color w:val="auto"/>
          <w:szCs w:val="32"/>
          <w:highlight w:val="none"/>
        </w:rPr>
      </w:pPr>
    </w:p>
    <w:p>
      <w:pPr>
        <w:widowControl/>
        <w:tabs>
          <w:tab w:val="center" w:pos="4755"/>
          <w:tab w:val="right" w:pos="9070"/>
        </w:tabs>
        <w:spacing w:before="100" w:beforeAutospacing="1" w:after="100" w:afterAutospacing="1"/>
        <w:jc w:val="center"/>
        <w:rPr>
          <w:b/>
          <w:color w:val="auto"/>
          <w:szCs w:val="32"/>
          <w:highlight w:val="none"/>
        </w:rPr>
      </w:pPr>
      <w:r>
        <w:rPr>
          <w:rFonts w:hint="eastAsia" w:hAnsi="宋体"/>
          <w:b/>
          <w:color w:val="auto"/>
          <w:szCs w:val="32"/>
          <w:highlight w:val="none"/>
        </w:rPr>
        <w:t>表</w:t>
      </w:r>
      <w:r>
        <w:rPr>
          <w:rFonts w:hAnsi="宋体"/>
          <w:b/>
          <w:color w:val="auto"/>
          <w:szCs w:val="32"/>
          <w:highlight w:val="none"/>
        </w:rPr>
        <w:t xml:space="preserve">1-3-B  </w:t>
      </w:r>
      <w:r>
        <w:rPr>
          <w:rFonts w:hint="eastAsia" w:hAnsi="宋体"/>
          <w:b/>
          <w:color w:val="auto"/>
          <w:szCs w:val="32"/>
          <w:highlight w:val="none"/>
        </w:rPr>
        <w:t>组织措施项目（专业工程）清单及计价表</w:t>
      </w:r>
    </w:p>
    <w:p>
      <w:pPr>
        <w:widowControl/>
        <w:tabs>
          <w:tab w:val="center" w:pos="4755"/>
          <w:tab w:val="right" w:pos="9070"/>
        </w:tabs>
        <w:ind w:left="5670" w:hanging="5670" w:hangingChars="2700"/>
        <w:jc w:val="left"/>
        <w:rPr>
          <w:color w:val="auto"/>
          <w:szCs w:val="21"/>
          <w:highlight w:val="none"/>
        </w:rPr>
      </w:pPr>
      <w:r>
        <w:rPr>
          <w:rFonts w:hint="eastAsia" w:hAnsi="宋体"/>
          <w:color w:val="auto"/>
          <w:szCs w:val="21"/>
          <w:highlight w:val="none"/>
        </w:rPr>
        <w:t>工程名称</w:t>
      </w:r>
      <w:r>
        <w:rPr>
          <w:rFonts w:hAnsi="宋体"/>
          <w:color w:val="auto"/>
          <w:szCs w:val="21"/>
          <w:highlight w:val="none"/>
        </w:rPr>
        <w:t xml:space="preserve">:                                            </w:t>
      </w:r>
    </w:p>
    <w:p>
      <w:pPr>
        <w:widowControl/>
        <w:tabs>
          <w:tab w:val="center" w:pos="4755"/>
          <w:tab w:val="right" w:pos="9070"/>
        </w:tabs>
        <w:ind w:left="5670" w:hanging="5670" w:hangingChars="2700"/>
        <w:jc w:val="left"/>
        <w:rPr>
          <w:color w:val="auto"/>
          <w:szCs w:val="21"/>
          <w:highlight w:val="none"/>
        </w:rPr>
      </w:pPr>
      <w:r>
        <w:rPr>
          <w:rFonts w:hint="eastAsia" w:hAnsi="宋体"/>
          <w:color w:val="auto"/>
          <w:szCs w:val="21"/>
          <w:highlight w:val="none"/>
        </w:rPr>
        <w:t>单位工程及专业工程名称：第页共页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340"/>
        <w:gridCol w:w="1057"/>
        <w:gridCol w:w="921"/>
        <w:gridCol w:w="1789"/>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2"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序号</w:t>
            </w:r>
          </w:p>
        </w:tc>
        <w:tc>
          <w:tcPr>
            <w:tcW w:w="234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项目名称</w:t>
            </w:r>
          </w:p>
        </w:tc>
        <w:tc>
          <w:tcPr>
            <w:tcW w:w="1057"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单位</w:t>
            </w:r>
          </w:p>
        </w:tc>
        <w:tc>
          <w:tcPr>
            <w:tcW w:w="92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数量</w:t>
            </w:r>
          </w:p>
        </w:tc>
        <w:tc>
          <w:tcPr>
            <w:tcW w:w="1789"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金额</w:t>
            </w:r>
            <w:r>
              <w:rPr>
                <w:rFonts w:hAnsi="宋体"/>
                <w:color w:val="auto"/>
                <w:szCs w:val="21"/>
                <w:highlight w:val="none"/>
              </w:rPr>
              <w:t>(</w:t>
            </w:r>
            <w:r>
              <w:rPr>
                <w:rFonts w:hint="eastAsia" w:hAnsi="宋体"/>
                <w:color w:val="auto"/>
                <w:szCs w:val="21"/>
                <w:highlight w:val="none"/>
              </w:rPr>
              <w:t>元</w:t>
            </w:r>
            <w:r>
              <w:rPr>
                <w:rFonts w:hAnsi="宋体"/>
                <w:color w:val="auto"/>
                <w:szCs w:val="21"/>
                <w:highlight w:val="none"/>
              </w:rPr>
              <w:t>)</w:t>
            </w:r>
          </w:p>
        </w:tc>
        <w:tc>
          <w:tcPr>
            <w:tcW w:w="269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trPr>
        <w:tc>
          <w:tcPr>
            <w:tcW w:w="942" w:type="dxa"/>
            <w:noWrap w:val="0"/>
            <w:vAlign w:val="top"/>
          </w:tcPr>
          <w:p>
            <w:pPr>
              <w:widowControl/>
              <w:tabs>
                <w:tab w:val="center" w:pos="4755"/>
                <w:tab w:val="right" w:pos="9070"/>
              </w:tabs>
              <w:spacing w:before="100" w:beforeAutospacing="1" w:after="100" w:afterAutospacing="1"/>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1</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2</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3</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4</w:t>
            </w: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tc>
        <w:tc>
          <w:tcPr>
            <w:tcW w:w="2340" w:type="dxa"/>
            <w:noWrap w:val="0"/>
            <w:vAlign w:val="top"/>
          </w:tcPr>
          <w:p>
            <w:pPr>
              <w:widowControl/>
              <w:tabs>
                <w:tab w:val="center" w:pos="4755"/>
                <w:tab w:val="right" w:pos="9070"/>
              </w:tabs>
              <w:adjustRightInd w:val="0"/>
              <w:spacing w:before="100" w:beforeAutospacing="1" w:after="100" w:afterAutospacing="1"/>
              <w:jc w:val="center"/>
              <w:rPr>
                <w:color w:val="auto"/>
                <w:spacing w:val="-16"/>
                <w:szCs w:val="21"/>
                <w:highlight w:val="none"/>
              </w:rPr>
            </w:pPr>
            <w:r>
              <w:rPr>
                <w:rFonts w:hint="eastAsia" w:hAnsi="宋体"/>
                <w:color w:val="auto"/>
                <w:spacing w:val="-16"/>
                <w:szCs w:val="21"/>
                <w:highlight w:val="none"/>
              </w:rPr>
              <w:t>（</w:t>
            </w:r>
            <w:r>
              <w:rPr>
                <w:rFonts w:hAnsi="宋体"/>
                <w:color w:val="auto"/>
                <w:spacing w:val="-16"/>
                <w:szCs w:val="21"/>
                <w:highlight w:val="none"/>
              </w:rPr>
              <w:t>2</w:t>
            </w:r>
            <w:r>
              <w:rPr>
                <w:rFonts w:hint="eastAsia" w:hAnsi="宋体"/>
                <w:color w:val="auto"/>
                <w:spacing w:val="-16"/>
                <w:szCs w:val="21"/>
                <w:highlight w:val="none"/>
              </w:rPr>
              <w:t>）</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提前竣工增加费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二次搬运费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冬雨季施工增加费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行车、行人干扰增加费</w:t>
            </w: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tc>
        <w:tc>
          <w:tcPr>
            <w:tcW w:w="1057"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921"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1789"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691" w:type="dxa"/>
            <w:noWrap w:val="0"/>
            <w:vAlign w:val="top"/>
          </w:tcPr>
          <w:p>
            <w:pPr>
              <w:widowControl/>
              <w:tabs>
                <w:tab w:val="center" w:pos="4755"/>
                <w:tab w:val="right" w:pos="9070"/>
              </w:tabs>
              <w:spacing w:before="100" w:beforeAutospacing="1" w:after="100" w:afterAutospacing="1"/>
              <w:rPr>
                <w:color w:val="auto"/>
                <w:szCs w:val="21"/>
                <w:highlight w:val="none"/>
              </w:rPr>
            </w:pPr>
          </w:p>
          <w:p>
            <w:pPr>
              <w:widowControl/>
              <w:tabs>
                <w:tab w:val="center" w:pos="4755"/>
                <w:tab w:val="right" w:pos="9070"/>
              </w:tabs>
              <w:spacing w:before="100" w:beforeAutospacing="1" w:after="100" w:afterAutospacing="1"/>
              <w:jc w:val="center"/>
              <w:rPr>
                <w:color w:val="auto"/>
                <w:szCs w:val="21"/>
                <w:highlight w:val="none"/>
              </w:rPr>
            </w:pPr>
          </w:p>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260" w:type="dxa"/>
            <w:gridSpan w:val="4"/>
            <w:noWrap w:val="0"/>
            <w:vAlign w:val="top"/>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合计</w:t>
            </w:r>
          </w:p>
        </w:tc>
        <w:tc>
          <w:tcPr>
            <w:tcW w:w="1789" w:type="dxa"/>
            <w:noWrap w:val="0"/>
            <w:vAlign w:val="top"/>
          </w:tcPr>
          <w:p>
            <w:pPr>
              <w:widowControl/>
              <w:tabs>
                <w:tab w:val="center" w:pos="4755"/>
                <w:tab w:val="right" w:pos="9070"/>
              </w:tabs>
              <w:spacing w:before="100" w:beforeAutospacing="1" w:after="100" w:afterAutospacing="1"/>
              <w:rPr>
                <w:color w:val="auto"/>
                <w:szCs w:val="21"/>
                <w:highlight w:val="none"/>
              </w:rPr>
            </w:pPr>
          </w:p>
        </w:tc>
        <w:tc>
          <w:tcPr>
            <w:tcW w:w="2691" w:type="dxa"/>
            <w:noWrap w:val="0"/>
            <w:vAlign w:val="top"/>
          </w:tcPr>
          <w:p>
            <w:pPr>
              <w:widowControl/>
              <w:tabs>
                <w:tab w:val="center" w:pos="4755"/>
                <w:tab w:val="right" w:pos="9070"/>
              </w:tabs>
              <w:spacing w:before="100" w:beforeAutospacing="1" w:after="100" w:afterAutospacing="1"/>
              <w:rPr>
                <w:color w:val="auto"/>
                <w:szCs w:val="21"/>
                <w:highlight w:val="none"/>
              </w:rPr>
            </w:pPr>
          </w:p>
        </w:tc>
      </w:tr>
    </w:tbl>
    <w:p>
      <w:pPr>
        <w:widowControl/>
        <w:tabs>
          <w:tab w:val="center" w:pos="4755"/>
          <w:tab w:val="right" w:pos="9070"/>
        </w:tabs>
        <w:jc w:val="left"/>
        <w:rPr>
          <w:color w:val="auto"/>
          <w:szCs w:val="21"/>
          <w:highlight w:val="none"/>
        </w:rPr>
      </w:pPr>
      <w:r>
        <w:rPr>
          <w:rFonts w:hint="eastAsia" w:hAnsi="宋体"/>
          <w:color w:val="auto"/>
          <w:szCs w:val="21"/>
          <w:highlight w:val="none"/>
        </w:rPr>
        <w:t>注：</w:t>
      </w:r>
      <w:r>
        <w:rPr>
          <w:rFonts w:hAnsi="宋体"/>
          <w:color w:val="auto"/>
          <w:szCs w:val="21"/>
          <w:highlight w:val="none"/>
        </w:rPr>
        <w:t xml:space="preserve"> 1.</w:t>
      </w:r>
      <w:r>
        <w:rPr>
          <w:rFonts w:hint="eastAsia" w:hAnsi="宋体"/>
          <w:color w:val="auto"/>
          <w:szCs w:val="21"/>
          <w:highlight w:val="none"/>
        </w:rPr>
        <w:t>表中列项供参考，（</w:t>
      </w: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）栏由招标人提供，</w:t>
      </w:r>
      <w:r>
        <w:rPr>
          <w:rFonts w:hint="eastAsia" w:hAnsi="宋体"/>
          <w:color w:val="auto"/>
          <w:szCs w:val="21"/>
          <w:highlight w:val="none"/>
          <w:lang w:val="en-US" w:eastAsia="zh-CN"/>
        </w:rPr>
        <w:t>响应</w:t>
      </w:r>
      <w:r>
        <w:rPr>
          <w:rFonts w:hint="eastAsia" w:hAnsi="宋体"/>
          <w:color w:val="auto"/>
          <w:szCs w:val="21"/>
          <w:highlight w:val="none"/>
        </w:rPr>
        <w:t>人可按工程实际作补充。</w:t>
      </w:r>
    </w:p>
    <w:p>
      <w:pPr>
        <w:widowControl/>
        <w:tabs>
          <w:tab w:val="center" w:pos="4755"/>
          <w:tab w:val="right" w:pos="9070"/>
        </w:tabs>
        <w:ind w:left="479" w:leftChars="228"/>
        <w:rPr>
          <w:color w:val="auto"/>
          <w:szCs w:val="21"/>
          <w:highlight w:val="none"/>
        </w:rPr>
      </w:pPr>
      <w:r>
        <w:rPr>
          <w:rFonts w:hAnsi="宋体"/>
          <w:color w:val="auto"/>
          <w:szCs w:val="21"/>
          <w:highlight w:val="none"/>
        </w:rPr>
        <w:t>2</w:t>
      </w:r>
      <w:r>
        <w:rPr>
          <w:rFonts w:hint="eastAsia" w:hAnsi="宋体"/>
          <w:color w:val="auto"/>
          <w:szCs w:val="21"/>
          <w:highlight w:val="none"/>
        </w:rPr>
        <w:t>．当招标项目为单位工程发包且只有</w:t>
      </w:r>
      <w:r>
        <w:rPr>
          <w:rFonts w:hAnsi="宋体"/>
          <w:color w:val="auto"/>
          <w:szCs w:val="21"/>
          <w:highlight w:val="none"/>
        </w:rPr>
        <w:t>1</w:t>
      </w:r>
      <w:r>
        <w:rPr>
          <w:rFonts w:hint="eastAsia" w:hAnsi="宋体"/>
          <w:color w:val="auto"/>
          <w:szCs w:val="21"/>
          <w:highlight w:val="none"/>
        </w:rPr>
        <w:t>个分部分项工程量清单时，组织措施项目清单应按表</w:t>
      </w:r>
      <w:r>
        <w:rPr>
          <w:rFonts w:hAnsi="宋体"/>
          <w:color w:val="auto"/>
          <w:szCs w:val="21"/>
          <w:highlight w:val="none"/>
        </w:rPr>
        <w:t>1-3-A</w:t>
      </w:r>
      <w:r>
        <w:rPr>
          <w:rFonts w:hint="eastAsia" w:hAnsi="宋体"/>
          <w:color w:val="auto"/>
          <w:szCs w:val="21"/>
          <w:highlight w:val="none"/>
        </w:rPr>
        <w:t>报价。</w:t>
      </w:r>
    </w:p>
    <w:p>
      <w:pPr>
        <w:widowControl/>
        <w:tabs>
          <w:tab w:val="center" w:pos="4755"/>
          <w:tab w:val="right" w:pos="9070"/>
        </w:tabs>
        <w:ind w:left="479" w:leftChars="228"/>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spacing w:line="500" w:lineRule="exact"/>
        <w:rPr>
          <w:rFonts w:hAnsi="宋体"/>
          <w:b/>
          <w:bCs/>
          <w:color w:val="auto"/>
          <w:sz w:val="32"/>
          <w:highlight w:val="none"/>
        </w:rPr>
      </w:pPr>
      <w:r>
        <w:rPr>
          <w:rFonts w:hAnsi="宋体"/>
          <w:color w:val="auto"/>
          <w:sz w:val="24"/>
          <w:highlight w:val="none"/>
        </w:rPr>
        <w:br w:type="page"/>
      </w:r>
    </w:p>
    <w:p>
      <w:pPr>
        <w:spacing w:line="500" w:lineRule="exact"/>
        <w:jc w:val="center"/>
        <w:rPr>
          <w:rFonts w:hAnsi="宋体"/>
          <w:b/>
          <w:bCs/>
          <w:color w:val="auto"/>
          <w:sz w:val="32"/>
          <w:highlight w:val="none"/>
        </w:rPr>
      </w:pPr>
      <w:r>
        <w:rPr>
          <w:rFonts w:hint="eastAsia" w:hAnsi="宋体"/>
          <w:b/>
          <w:bCs/>
          <w:color w:val="auto"/>
          <w:sz w:val="32"/>
          <w:highlight w:val="none"/>
        </w:rPr>
        <w:t>表1-3-C　技术措施项目清单及计价表</w:t>
      </w:r>
    </w:p>
    <w:p>
      <w:pPr>
        <w:spacing w:line="500" w:lineRule="exact"/>
        <w:rPr>
          <w:rFonts w:hAnsi="宋体"/>
          <w:bCs/>
          <w:color w:val="auto"/>
          <w:sz w:val="24"/>
          <w:highlight w:val="none"/>
        </w:rPr>
      </w:pPr>
      <w:r>
        <w:rPr>
          <w:rFonts w:hint="eastAsia" w:hAnsi="宋体"/>
          <w:bCs/>
          <w:color w:val="auto"/>
          <w:sz w:val="24"/>
          <w:highlight w:val="none"/>
        </w:rPr>
        <w:t>工程名称：</w:t>
      </w:r>
    </w:p>
    <w:p>
      <w:pPr>
        <w:spacing w:line="500" w:lineRule="exact"/>
        <w:rPr>
          <w:rFonts w:hAnsi="宋体"/>
          <w:bCs/>
          <w:color w:val="auto"/>
          <w:sz w:val="24"/>
          <w:highlight w:val="none"/>
        </w:rPr>
      </w:pPr>
      <w:r>
        <w:rPr>
          <w:rFonts w:hint="eastAsia" w:hAnsi="宋体"/>
          <w:bCs/>
          <w:color w:val="auto"/>
          <w:sz w:val="24"/>
          <w:highlight w:val="none"/>
        </w:rPr>
        <w:t>单位及专业工程名称：                                        第  页  共  页</w:t>
      </w:r>
    </w:p>
    <w:tbl>
      <w:tblPr>
        <w:tblStyle w:val="62"/>
        <w:tblW w:w="0" w:type="auto"/>
        <w:tblInd w:w="-432" w:type="dxa"/>
        <w:tblLayout w:type="fixed"/>
        <w:tblCellMar>
          <w:top w:w="0" w:type="dxa"/>
          <w:left w:w="108" w:type="dxa"/>
          <w:bottom w:w="0" w:type="dxa"/>
          <w:right w:w="108" w:type="dxa"/>
        </w:tblCellMar>
      </w:tblPr>
      <w:tblGrid>
        <w:gridCol w:w="720"/>
        <w:gridCol w:w="813"/>
        <w:gridCol w:w="1260"/>
        <w:gridCol w:w="1008"/>
        <w:gridCol w:w="850"/>
        <w:gridCol w:w="720"/>
        <w:gridCol w:w="900"/>
        <w:gridCol w:w="900"/>
        <w:gridCol w:w="720"/>
        <w:gridCol w:w="750"/>
        <w:gridCol w:w="789"/>
        <w:gridCol w:w="749"/>
      </w:tblGrid>
      <w:tr>
        <w:tblPrEx>
          <w:tblCellMar>
            <w:top w:w="0" w:type="dxa"/>
            <w:left w:w="108" w:type="dxa"/>
            <w:bottom w:w="0" w:type="dxa"/>
            <w:right w:w="108" w:type="dxa"/>
          </w:tblCellMar>
        </w:tblPrEx>
        <w:trPr>
          <w:trHeight w:val="503" w:hRule="atLeast"/>
        </w:trPr>
        <w:tc>
          <w:tcPr>
            <w:tcW w:w="72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序</w:t>
            </w:r>
          </w:p>
          <w:p>
            <w:pPr>
              <w:widowControl/>
              <w:jc w:val="center"/>
              <w:rPr>
                <w:rFonts w:hAnsi="宋体" w:cs="宋体"/>
                <w:color w:val="auto"/>
                <w:kern w:val="0"/>
                <w:sz w:val="24"/>
                <w:highlight w:val="none"/>
              </w:rPr>
            </w:pPr>
            <w:r>
              <w:rPr>
                <w:rFonts w:hint="eastAsia" w:hAnsi="宋体" w:cs="宋体"/>
                <w:color w:val="auto"/>
                <w:kern w:val="0"/>
                <w:sz w:val="24"/>
                <w:highlight w:val="none"/>
              </w:rPr>
              <w:t>号</w:t>
            </w:r>
          </w:p>
          <w:p>
            <w:pPr>
              <w:jc w:val="center"/>
              <w:rPr>
                <w:rFonts w:hAnsi="宋体" w:cs="宋体"/>
                <w:color w:val="auto"/>
                <w:kern w:val="0"/>
                <w:sz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项目编码</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项目名称</w:t>
            </w:r>
          </w:p>
        </w:tc>
        <w:tc>
          <w:tcPr>
            <w:tcW w:w="1008"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项目特征描述</w:t>
            </w:r>
          </w:p>
        </w:tc>
        <w:tc>
          <w:tcPr>
            <w:tcW w:w="850"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计量单位</w:t>
            </w:r>
          </w:p>
          <w:p>
            <w:pPr>
              <w:jc w:val="center"/>
              <w:rPr>
                <w:rFonts w:hAnsi="宋体" w:cs="宋体"/>
                <w:color w:val="auto"/>
                <w:kern w:val="0"/>
                <w:sz w:val="24"/>
                <w:highlight w:val="none"/>
              </w:rPr>
            </w:pPr>
          </w:p>
        </w:tc>
        <w:tc>
          <w:tcPr>
            <w:tcW w:w="72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工</w:t>
            </w:r>
          </w:p>
          <w:p>
            <w:pPr>
              <w:widowControl/>
              <w:jc w:val="center"/>
              <w:rPr>
                <w:rFonts w:hAnsi="宋体" w:cs="宋体"/>
                <w:color w:val="auto"/>
                <w:kern w:val="0"/>
                <w:sz w:val="24"/>
                <w:highlight w:val="none"/>
              </w:rPr>
            </w:pPr>
            <w:r>
              <w:rPr>
                <w:rFonts w:hint="eastAsia" w:hAnsi="宋体" w:cs="宋体"/>
                <w:color w:val="auto"/>
                <w:kern w:val="0"/>
                <w:sz w:val="24"/>
                <w:highlight w:val="none"/>
              </w:rPr>
              <w:t>程</w:t>
            </w:r>
          </w:p>
          <w:p>
            <w:pPr>
              <w:widowControl/>
              <w:jc w:val="center"/>
              <w:rPr>
                <w:rFonts w:hAnsi="宋体" w:cs="宋体"/>
                <w:color w:val="auto"/>
                <w:kern w:val="0"/>
                <w:sz w:val="24"/>
                <w:highlight w:val="none"/>
              </w:rPr>
            </w:pPr>
            <w:r>
              <w:rPr>
                <w:rFonts w:hint="eastAsia" w:hAnsi="宋体" w:cs="宋体"/>
                <w:color w:val="auto"/>
                <w:kern w:val="0"/>
                <w:sz w:val="24"/>
                <w:highlight w:val="none"/>
              </w:rPr>
              <w:t>量</w:t>
            </w:r>
          </w:p>
        </w:tc>
        <w:tc>
          <w:tcPr>
            <w:tcW w:w="90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综合单价（元）</w:t>
            </w:r>
          </w:p>
        </w:tc>
        <w:tc>
          <w:tcPr>
            <w:tcW w:w="90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合价</w:t>
            </w:r>
          </w:p>
          <w:p>
            <w:pPr>
              <w:widowControl/>
              <w:jc w:val="center"/>
              <w:rPr>
                <w:rFonts w:hAnsi="宋体" w:cs="宋体"/>
                <w:color w:val="auto"/>
                <w:kern w:val="0"/>
                <w:sz w:val="24"/>
                <w:highlight w:val="none"/>
              </w:rPr>
            </w:pPr>
            <w:r>
              <w:rPr>
                <w:rFonts w:hint="eastAsia" w:hAnsi="宋体" w:cs="宋体"/>
                <w:color w:val="auto"/>
                <w:kern w:val="0"/>
                <w:sz w:val="24"/>
                <w:highlight w:val="none"/>
              </w:rPr>
              <w:t>（元）</w:t>
            </w:r>
          </w:p>
        </w:tc>
        <w:tc>
          <w:tcPr>
            <w:tcW w:w="225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其中</w:t>
            </w:r>
          </w:p>
        </w:tc>
        <w:tc>
          <w:tcPr>
            <w:tcW w:w="749"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备注</w:t>
            </w:r>
          </w:p>
        </w:tc>
      </w:tr>
      <w:tr>
        <w:tblPrEx>
          <w:tblCellMar>
            <w:top w:w="0" w:type="dxa"/>
            <w:left w:w="108" w:type="dxa"/>
            <w:bottom w:w="0" w:type="dxa"/>
            <w:right w:w="108" w:type="dxa"/>
          </w:tblCellMar>
        </w:tblPrEx>
        <w:trPr>
          <w:trHeight w:val="127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1008"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850"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720" w:type="dxa"/>
            <w:vMerge w:val="continue"/>
            <w:tcBorders>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900" w:type="dxa"/>
            <w:vMerge w:val="continue"/>
            <w:tcBorders>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900" w:type="dxa"/>
            <w:vMerge w:val="continue"/>
            <w:tcBorders>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人</w:t>
            </w:r>
          </w:p>
          <w:p>
            <w:pPr>
              <w:widowControl/>
              <w:jc w:val="center"/>
              <w:rPr>
                <w:rFonts w:hAnsi="宋体" w:cs="宋体"/>
                <w:color w:val="auto"/>
                <w:kern w:val="0"/>
                <w:sz w:val="24"/>
                <w:highlight w:val="none"/>
              </w:rPr>
            </w:pPr>
            <w:r>
              <w:rPr>
                <w:rFonts w:hint="eastAsia" w:hAnsi="宋体" w:cs="宋体"/>
                <w:color w:val="auto"/>
                <w:kern w:val="0"/>
                <w:sz w:val="24"/>
                <w:highlight w:val="none"/>
              </w:rPr>
              <w:t>工</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机</w:t>
            </w:r>
          </w:p>
          <w:p>
            <w:pPr>
              <w:widowControl/>
              <w:jc w:val="center"/>
              <w:rPr>
                <w:rFonts w:hAnsi="宋体" w:cs="宋体"/>
                <w:color w:val="auto"/>
                <w:kern w:val="0"/>
                <w:sz w:val="24"/>
                <w:highlight w:val="none"/>
              </w:rPr>
            </w:pPr>
            <w:r>
              <w:rPr>
                <w:rFonts w:hint="eastAsia" w:hAnsi="宋体" w:cs="宋体"/>
                <w:color w:val="auto"/>
                <w:kern w:val="0"/>
                <w:sz w:val="24"/>
                <w:highlight w:val="none"/>
              </w:rPr>
              <w:t>械</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管</w:t>
            </w:r>
          </w:p>
          <w:p>
            <w:pPr>
              <w:widowControl/>
              <w:jc w:val="center"/>
              <w:rPr>
                <w:rFonts w:hAnsi="宋体" w:cs="宋体"/>
                <w:color w:val="auto"/>
                <w:kern w:val="0"/>
                <w:sz w:val="24"/>
                <w:highlight w:val="none"/>
              </w:rPr>
            </w:pPr>
            <w:r>
              <w:rPr>
                <w:rFonts w:hint="eastAsia" w:hAnsi="宋体" w:cs="宋体"/>
                <w:color w:val="auto"/>
                <w:kern w:val="0"/>
                <w:sz w:val="24"/>
                <w:highlight w:val="none"/>
              </w:rPr>
              <w:t>理</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49" w:type="dxa"/>
            <w:vMerge w:val="continue"/>
            <w:tcBorders>
              <w:left w:val="single" w:color="auto" w:sz="4" w:space="0"/>
              <w:bottom w:val="single" w:color="000000" w:sz="4" w:space="0"/>
              <w:right w:val="single" w:color="auto" w:sz="4" w:space="0"/>
            </w:tcBorders>
            <w:noWrap w:val="0"/>
            <w:vAlign w:val="center"/>
          </w:tcPr>
          <w:p>
            <w:pPr>
              <w:widowControl/>
              <w:jc w:val="center"/>
              <w:rPr>
                <w:rFonts w:hAnsi="宋体" w:cs="宋体"/>
                <w:color w:val="auto"/>
                <w:kern w:val="0"/>
                <w:sz w:val="24"/>
                <w:highlight w:val="none"/>
              </w:rPr>
            </w:pPr>
          </w:p>
        </w:tc>
      </w:tr>
      <w:tr>
        <w:tblPrEx>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（1）</w:t>
            </w: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（2）</w:t>
            </w: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（3）</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（4）</w:t>
            </w:r>
          </w:p>
        </w:tc>
        <w:tc>
          <w:tcPr>
            <w:tcW w:w="85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（5）</w:t>
            </w: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8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r>
              <w:rPr>
                <w:rFonts w:hint="eastAsia" w:hAnsi="宋体" w:cs="宋体"/>
                <w:color w:val="auto"/>
                <w:kern w:val="0"/>
                <w:sz w:val="24"/>
                <w:highlight w:val="none"/>
              </w:rPr>
              <w:t>（6）</w:t>
            </w:r>
          </w:p>
        </w:tc>
      </w:tr>
      <w:tr>
        <w:tblPrEx>
          <w:tblCellMar>
            <w:top w:w="0" w:type="dxa"/>
            <w:left w:w="108" w:type="dxa"/>
            <w:bottom w:w="0" w:type="dxa"/>
            <w:right w:w="108" w:type="dxa"/>
          </w:tblCellMar>
        </w:tblPrEx>
        <w:trPr>
          <w:trHeight w:val="806" w:hRule="atLeast"/>
        </w:trPr>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大型机械设备进出场及安拆</w:t>
            </w:r>
          </w:p>
        </w:tc>
        <w:tc>
          <w:tcPr>
            <w:tcW w:w="1008"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50"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89"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施工降水</w:t>
            </w:r>
          </w:p>
        </w:tc>
        <w:tc>
          <w:tcPr>
            <w:tcW w:w="1008"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8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施工排水</w:t>
            </w:r>
          </w:p>
        </w:tc>
        <w:tc>
          <w:tcPr>
            <w:tcW w:w="1008" w:type="dxa"/>
            <w:tcBorders>
              <w:top w:val="nil"/>
              <w:left w:val="nil"/>
              <w:bottom w:val="single" w:color="auto" w:sz="4" w:space="0"/>
              <w:right w:val="single" w:color="auto" w:sz="4" w:space="0"/>
              <w:tr2bl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280" w:lineRule="exact"/>
              <w:rPr>
                <w:rFonts w:hAnsi="宋体" w:cs="宋体"/>
                <w:color w:val="auto"/>
                <w:kern w:val="0"/>
                <w:sz w:val="24"/>
                <w:highlight w:val="none"/>
              </w:rPr>
            </w:pPr>
            <w:r>
              <w:rPr>
                <w:rFonts w:hint="eastAsia" w:hAnsi="宋体" w:cs="宋体"/>
                <w:color w:val="auto"/>
                <w:kern w:val="0"/>
                <w:sz w:val="24"/>
                <w:highlight w:val="none"/>
              </w:rPr>
              <w:t>地下、地下设施或建筑物的临时保护措施</w:t>
            </w:r>
          </w:p>
        </w:tc>
        <w:tc>
          <w:tcPr>
            <w:tcW w:w="1008" w:type="dxa"/>
            <w:tcBorders>
              <w:top w:val="nil"/>
              <w:left w:val="nil"/>
              <w:bottom w:val="single" w:color="auto" w:sz="4" w:space="0"/>
              <w:right w:val="single" w:color="auto" w:sz="4" w:space="0"/>
              <w:tr2bl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w:t>
            </w:r>
          </w:p>
        </w:tc>
        <w:tc>
          <w:tcPr>
            <w:tcW w:w="1008"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13"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模板</w:t>
            </w:r>
          </w:p>
        </w:tc>
        <w:tc>
          <w:tcPr>
            <w:tcW w:w="1008"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13"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08"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398" w:hRule="atLeast"/>
        </w:trPr>
        <w:tc>
          <w:tcPr>
            <w:tcW w:w="6271" w:type="dxa"/>
            <w:gridSpan w:val="7"/>
            <w:tcBorders>
              <w:top w:val="nil"/>
              <w:left w:val="single" w:color="auto" w:sz="4" w:space="0"/>
              <w:bottom w:val="single" w:color="auto" w:sz="4" w:space="0"/>
              <w:right w:val="single" w:color="auto" w:sz="4" w:space="0"/>
            </w:tcBorders>
            <w:noWrap w:val="0"/>
            <w:vAlign w:val="bottom"/>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合　　计</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bl>
    <w:p>
      <w:pPr>
        <w:spacing w:line="300" w:lineRule="exact"/>
        <w:ind w:firstLine="480" w:firstLineChars="200"/>
        <w:rPr>
          <w:rFonts w:hAnsi="宋体"/>
          <w:bCs/>
          <w:color w:val="auto"/>
          <w:sz w:val="24"/>
          <w:highlight w:val="none"/>
        </w:rPr>
      </w:pPr>
      <w:r>
        <w:rPr>
          <w:rFonts w:hint="eastAsia" w:hAnsi="宋体"/>
          <w:bCs/>
          <w:color w:val="auto"/>
          <w:sz w:val="24"/>
          <w:highlight w:val="none"/>
        </w:rPr>
        <w:t>注：1、本表适用于以“项”为单位计价和以“分部分项工程量清单综合单价”方式计价的技术措施项目。2、措施项目应分整体措施项目和专业工程措施项目，如应用于整体措施项目，表头中只须填报工程名称；如应用于专业工程措施项目，表头中应分别填写工程名称、单位工程及专业工程名称。3、以“分部分项工程量清单项目综合单价”方式计价的技术措施项目，表中（1）（2）（3）（4）（5）栏由招标人提供；以“项”为单位计价的技术措施项目，表中第（4）栏项目特征不需提供和填写。</w:t>
      </w:r>
      <w:r>
        <w:rPr>
          <w:rFonts w:hint="eastAsia" w:hAnsi="宋体"/>
          <w:bCs/>
          <w:color w:val="auto"/>
          <w:sz w:val="24"/>
          <w:highlight w:val="none"/>
          <w:lang w:val="en-US" w:eastAsia="zh-CN"/>
        </w:rPr>
        <w:t>响应</w:t>
      </w:r>
      <w:r>
        <w:rPr>
          <w:rFonts w:hint="eastAsia" w:hAnsi="宋体"/>
          <w:bCs/>
          <w:color w:val="auto"/>
          <w:sz w:val="24"/>
          <w:highlight w:val="none"/>
        </w:rPr>
        <w:t>人根据施工方案对具体项目可作补充。4、第（6）栏由招标人按需出要求，如招标人需要</w:t>
      </w:r>
      <w:r>
        <w:rPr>
          <w:rFonts w:hint="eastAsia" w:hAnsi="宋体"/>
          <w:bCs/>
          <w:color w:val="auto"/>
          <w:sz w:val="24"/>
          <w:highlight w:val="none"/>
          <w:lang w:val="en-US" w:eastAsia="zh-CN"/>
        </w:rPr>
        <w:t>响应</w:t>
      </w:r>
      <w:r>
        <w:rPr>
          <w:rFonts w:hint="eastAsia" w:hAnsi="宋体"/>
          <w:bCs/>
          <w:color w:val="auto"/>
          <w:sz w:val="24"/>
          <w:highlight w:val="none"/>
        </w:rPr>
        <w:t>人提供清单项目综合单价的计算分析和工料机分析，请在备注中明确。</w:t>
      </w:r>
    </w:p>
    <w:p>
      <w:pPr>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Ansi="宋体"/>
          <w:color w:val="auto"/>
          <w:sz w:val="24"/>
          <w:highlight w:val="none"/>
        </w:rPr>
      </w:pPr>
      <w:r>
        <w:rPr>
          <w:rFonts w:hAnsi="宋体"/>
          <w:color w:val="auto"/>
          <w:sz w:val="24"/>
          <w:highlight w:val="none"/>
        </w:rPr>
        <w:br w:type="page"/>
      </w:r>
    </w:p>
    <w:p>
      <w:pPr>
        <w:spacing w:line="360" w:lineRule="auto"/>
        <w:jc w:val="center"/>
        <w:rPr>
          <w:b/>
          <w:bCs/>
          <w:color w:val="auto"/>
          <w:szCs w:val="32"/>
          <w:highlight w:val="none"/>
        </w:rPr>
      </w:pPr>
      <w:r>
        <w:rPr>
          <w:rFonts w:hint="eastAsia" w:hAnsi="宋体"/>
          <w:b/>
          <w:bCs/>
          <w:color w:val="auto"/>
          <w:szCs w:val="32"/>
          <w:highlight w:val="none"/>
        </w:rPr>
        <w:t>表</w:t>
      </w:r>
      <w:r>
        <w:rPr>
          <w:rFonts w:hAnsi="宋体"/>
          <w:b/>
          <w:bCs/>
          <w:color w:val="auto"/>
          <w:szCs w:val="32"/>
          <w:highlight w:val="none"/>
        </w:rPr>
        <w:t xml:space="preserve">1-3-A-1  </w:t>
      </w:r>
      <w:r>
        <w:rPr>
          <w:rFonts w:hint="eastAsia" w:hAnsi="宋体"/>
          <w:b/>
          <w:bCs/>
          <w:color w:val="auto"/>
          <w:szCs w:val="32"/>
          <w:highlight w:val="none"/>
        </w:rPr>
        <w:t>安全文明施工措施项目清单及计价表</w:t>
      </w:r>
    </w:p>
    <w:p>
      <w:pPr>
        <w:spacing w:line="360" w:lineRule="auto"/>
        <w:rPr>
          <w:b/>
          <w:bCs/>
          <w:color w:val="auto"/>
          <w:szCs w:val="21"/>
          <w:highlight w:val="none"/>
        </w:rPr>
      </w:pPr>
      <w:r>
        <w:rPr>
          <w:rFonts w:hint="eastAsia" w:hAnsi="宋体"/>
          <w:bCs/>
          <w:color w:val="auto"/>
          <w:szCs w:val="21"/>
          <w:highlight w:val="none"/>
        </w:rPr>
        <w:t>工程名称</w:t>
      </w:r>
      <w:r>
        <w:rPr>
          <w:rFonts w:hAnsi="宋体"/>
          <w:bCs/>
          <w:color w:val="auto"/>
          <w:szCs w:val="21"/>
          <w:highlight w:val="none"/>
        </w:rPr>
        <w:t xml:space="preserve">:                                                                </w:t>
      </w:r>
      <w:r>
        <w:rPr>
          <w:rFonts w:hint="eastAsia" w:hAnsi="宋体"/>
          <w:bCs/>
          <w:color w:val="auto"/>
          <w:szCs w:val="21"/>
          <w:highlight w:val="none"/>
        </w:rPr>
        <w:t>第页共页</w:t>
      </w:r>
    </w:p>
    <w:tbl>
      <w:tblPr>
        <w:tblStyle w:val="62"/>
        <w:tblW w:w="0" w:type="auto"/>
        <w:tblInd w:w="-459" w:type="dxa"/>
        <w:tblLayout w:type="fixed"/>
        <w:tblCellMar>
          <w:top w:w="0" w:type="dxa"/>
          <w:left w:w="108" w:type="dxa"/>
          <w:bottom w:w="0" w:type="dxa"/>
          <w:right w:w="108" w:type="dxa"/>
        </w:tblCellMar>
      </w:tblPr>
      <w:tblGrid>
        <w:gridCol w:w="1107"/>
        <w:gridCol w:w="3004"/>
        <w:gridCol w:w="776"/>
        <w:gridCol w:w="1080"/>
        <w:gridCol w:w="1080"/>
        <w:gridCol w:w="1080"/>
        <w:gridCol w:w="1980"/>
      </w:tblGrid>
      <w:tr>
        <w:tblPrEx>
          <w:tblCellMar>
            <w:top w:w="0" w:type="dxa"/>
            <w:left w:w="108" w:type="dxa"/>
            <w:bottom w:w="0" w:type="dxa"/>
            <w:right w:w="108" w:type="dxa"/>
          </w:tblCellMar>
        </w:tblPrEx>
        <w:trPr>
          <w:trHeight w:val="449"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序号</w:t>
            </w:r>
          </w:p>
        </w:tc>
        <w:tc>
          <w:tcPr>
            <w:tcW w:w="3004"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措施项目名称</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单位</w:t>
            </w:r>
          </w:p>
        </w:tc>
        <w:tc>
          <w:tcPr>
            <w:tcW w:w="1080"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数量</w:t>
            </w:r>
          </w:p>
        </w:tc>
        <w:tc>
          <w:tcPr>
            <w:tcW w:w="1080"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单价（元）</w:t>
            </w:r>
          </w:p>
        </w:tc>
        <w:tc>
          <w:tcPr>
            <w:tcW w:w="1080" w:type="dxa"/>
            <w:tcBorders>
              <w:top w:val="single" w:color="auto" w:sz="4" w:space="0"/>
              <w:left w:val="nil"/>
              <w:bottom w:val="single" w:color="auto" w:sz="4" w:space="0"/>
              <w:right w:val="single" w:color="auto" w:sz="4" w:space="0"/>
            </w:tcBorders>
            <w:noWrap w:val="0"/>
            <w:vAlign w:val="center"/>
          </w:tcPr>
          <w:p>
            <w:pPr>
              <w:ind w:left="-288" w:leftChars="-137"/>
              <w:jc w:val="center"/>
              <w:rPr>
                <w:color w:val="auto"/>
                <w:szCs w:val="21"/>
                <w:highlight w:val="none"/>
              </w:rPr>
            </w:pPr>
            <w:r>
              <w:rPr>
                <w:rFonts w:hint="eastAsia"/>
                <w:color w:val="auto"/>
                <w:szCs w:val="21"/>
                <w:highlight w:val="none"/>
              </w:rPr>
              <w:t>合价（元）</w:t>
            </w: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备注</w:t>
            </w:r>
          </w:p>
        </w:tc>
      </w:tr>
      <w:tr>
        <w:tblPrEx>
          <w:tblCellMar>
            <w:top w:w="0" w:type="dxa"/>
            <w:left w:w="108" w:type="dxa"/>
            <w:bottom w:w="0" w:type="dxa"/>
            <w:right w:w="108" w:type="dxa"/>
          </w:tblCellMar>
        </w:tblPrEx>
        <w:trPr>
          <w:trHeight w:val="277"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ascii="黑体" w:hAnsi="宋体" w:eastAsia="黑体"/>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ascii="黑体" w:hAnsi="宋体" w:eastAsia="黑体"/>
                <w:b/>
                <w:bCs/>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776"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一</w:t>
            </w:r>
          </w:p>
        </w:tc>
        <w:tc>
          <w:tcPr>
            <w:tcW w:w="3004"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安全施工措施项目</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b/>
                <w:bCs/>
                <w:color w:val="auto"/>
                <w:szCs w:val="21"/>
                <w:highlight w:val="none"/>
              </w:rPr>
            </w:pPr>
            <w:r>
              <w:rPr>
                <w:rFonts w:hint="eastAsia" w:ascii="黑体"/>
                <w:b/>
                <w:bCs/>
                <w:color w:val="auto"/>
                <w:szCs w:val="21"/>
                <w:highlight w:val="none"/>
              </w:rPr>
              <w:t>（一）</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基本安全防护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安全平网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平面面积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密目式立网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垂直立面</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防护栏杆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按栏杆长度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高处作业临边防护栏杆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深基坑（槽）临边护栏</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其他防护栏杆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防护门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按防护面积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通道防护棚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井架防护棚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升降机防护棚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含人货两用升降机、货用升降机</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断头路阻挡墙</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3</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安全隔离网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爆破工程</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对讲机</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b/>
                <w:bCs/>
                <w:color w:val="auto"/>
                <w:szCs w:val="21"/>
                <w:highlight w:val="none"/>
              </w:rPr>
            </w:pPr>
            <w:r>
              <w:rPr>
                <w:rFonts w:hint="eastAsia" w:ascii="黑体"/>
                <w:b/>
                <w:bCs/>
                <w:color w:val="auto"/>
                <w:szCs w:val="21"/>
                <w:highlight w:val="none"/>
              </w:rPr>
              <w:t>（二）</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高处作业</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洞口水平隔离防护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按洞口水平面积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高压线安全措施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起重设备防护措施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楼层呼唤器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其他高处作业安全防护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（三）</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深基坑（槽）</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上下专用通道</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含安全爬梯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基坑支护变形监测</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其他深基坑安全防护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（四）</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脚手架</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水平隔离封闭设施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其他脚手架安全防护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（五）</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井架</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架体围护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货用升降机操作室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其他井架防护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（六）</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消防器材、设施</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灭火器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消防水泵</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台</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水枪、水带</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消防箱</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消防立管</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危险品仓库搭建</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防雷设施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8</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（七）</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特殊工程安全措施</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特殊作业防护用品</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救生设施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含救生衣、救生圈等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防毒面具</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付</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有毒气体检测仪器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其他特殊安全防护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（八）</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安全标志</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安全警示标牌、标识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警示灯</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处</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航标灯</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处</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通航要求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auto"/>
                <w:szCs w:val="21"/>
                <w:highlight w:val="none"/>
              </w:rPr>
            </w:pPr>
            <w:r>
              <w:rPr>
                <w:rFonts w:eastAsia="黑体"/>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其他安全标志</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（九）</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安全专项检测</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起重机械检测费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塔吊、升降机等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钢管、扣件检测费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高处作业吊篮检测费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防坠器专项检测费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其他安全检测</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（十）</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安全教育培训</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（十一）</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现场安全保卫</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（十二）</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其他安全施工措施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二</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文明施工措施项目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围墙</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大门、门楼</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标牌</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效果图</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彩钢板围档</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地坪硬化</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其他文明施工措施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511"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三</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环境保护措施项目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含扬尘污染防治措施</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现场绿化</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防尘网布</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车辆冲洗设施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含洗车槽、自动冲洗或其他冲洗设备等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喷淋设施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塔吊喷淋</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外架喷淋</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场地喷淋</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防尘雾炮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台</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其他扬尘控制费用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噪声控制费用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8</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污水处理费用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特殊工程要求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9</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车辆密封费用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10</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工地食堂油烟净化设备</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其他环境保护措施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四</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临时设施措施项目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b/>
                <w:bCs/>
                <w:color w:val="auto"/>
                <w:szCs w:val="21"/>
                <w:highlight w:val="none"/>
              </w:rPr>
              <w:t>（一）</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b/>
                <w:bCs/>
                <w:color w:val="auto"/>
                <w:szCs w:val="21"/>
                <w:highlight w:val="none"/>
              </w:rPr>
              <w:t>办公用房</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b/>
                <w:bCs/>
                <w:color w:val="auto"/>
                <w:szCs w:val="21"/>
                <w:highlight w:val="none"/>
              </w:rPr>
              <w:t>（二）</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b/>
                <w:bCs/>
                <w:color w:val="auto"/>
                <w:szCs w:val="21"/>
                <w:highlight w:val="none"/>
              </w:rPr>
              <w:t>生活用房</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宿舍</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食堂</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厕所</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浴室</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其他生活设施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休息场所、文化娱乐设施等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b/>
                <w:bCs/>
                <w:color w:val="auto"/>
                <w:szCs w:val="21"/>
                <w:highlight w:val="none"/>
              </w:rPr>
              <w:t>（三）</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b/>
                <w:bCs/>
                <w:color w:val="auto"/>
                <w:szCs w:val="21"/>
                <w:highlight w:val="none"/>
              </w:rPr>
              <w:t>生产用房（仓库）</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hAnsi="宋体"/>
                <w:b/>
                <w:bCs/>
                <w:color w:val="auto"/>
                <w:szCs w:val="21"/>
                <w:highlight w:val="none"/>
              </w:rPr>
              <w:t>（四）</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hAnsi="宋体"/>
                <w:b/>
                <w:bCs/>
                <w:color w:val="auto"/>
                <w:szCs w:val="21"/>
                <w:highlight w:val="none"/>
              </w:rPr>
              <w:t>临时用电设施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总配电箱</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分配电箱</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开关箱</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临时用电线路</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用电保护装置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处</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发电机</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台</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其他临时用电设施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附近外电线路防护设施等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（五）</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临时供水</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（六）</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临时排水</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（七）</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其他临时设施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704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合计</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bl>
    <w:p>
      <w:pPr>
        <w:widowControl/>
        <w:jc w:val="left"/>
        <w:rPr>
          <w:color w:val="auto"/>
          <w:szCs w:val="21"/>
          <w:highlight w:val="none"/>
        </w:rPr>
      </w:pPr>
      <w:r>
        <w:rPr>
          <w:rFonts w:hint="eastAsia" w:hAnsi="宋体"/>
          <w:color w:val="auto"/>
          <w:szCs w:val="21"/>
          <w:highlight w:val="none"/>
        </w:rPr>
        <w:t>注：表中（</w:t>
      </w: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）栏由招标人根据具体工程特点提供，</w:t>
      </w:r>
      <w:r>
        <w:rPr>
          <w:rFonts w:hint="eastAsia" w:hAnsi="宋体"/>
          <w:color w:val="auto"/>
          <w:szCs w:val="21"/>
          <w:highlight w:val="none"/>
          <w:lang w:val="en-US" w:eastAsia="zh-CN"/>
        </w:rPr>
        <w:t>响应</w:t>
      </w:r>
      <w:r>
        <w:rPr>
          <w:rFonts w:hint="eastAsia" w:hAnsi="宋体"/>
          <w:color w:val="auto"/>
          <w:szCs w:val="21"/>
          <w:highlight w:val="none"/>
        </w:rPr>
        <w:t>人可补充。安全文明施工措施项目及费用应按招标项目整体报价。</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rPr>
          <w:rFonts w:hint="eastAsia" w:hAnsi="宋体"/>
          <w:color w:val="auto"/>
          <w:sz w:val="24"/>
          <w:highlight w:val="none"/>
        </w:rPr>
      </w:pPr>
      <w:r>
        <w:rPr>
          <w:rFonts w:hint="eastAsia" w:hAnsi="宋体"/>
          <w:color w:val="auto"/>
          <w:sz w:val="24"/>
          <w:highlight w:val="none"/>
        </w:rPr>
        <w:br w:type="page"/>
      </w:r>
    </w:p>
    <w:p>
      <w:pPr>
        <w:widowControl/>
        <w:tabs>
          <w:tab w:val="center" w:pos="4755"/>
          <w:tab w:val="right" w:pos="9070"/>
        </w:tabs>
        <w:spacing w:before="100" w:beforeAutospacing="1" w:after="100" w:afterAutospacing="1"/>
        <w:ind w:firstLine="321" w:firstLineChars="100"/>
        <w:jc w:val="center"/>
        <w:rPr>
          <w:rFonts w:hAnsi="宋体"/>
          <w:b/>
          <w:color w:val="auto"/>
          <w:kern w:val="0"/>
          <w:sz w:val="32"/>
          <w:highlight w:val="none"/>
        </w:rPr>
      </w:pPr>
      <w:r>
        <w:rPr>
          <w:rFonts w:hint="eastAsia" w:hAnsi="宋体"/>
          <w:b/>
          <w:color w:val="auto"/>
          <w:kern w:val="0"/>
          <w:sz w:val="32"/>
          <w:highlight w:val="none"/>
        </w:rPr>
        <w:t>表1-4  其他项目清单及计价表</w:t>
      </w:r>
    </w:p>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 xml:space="preserve">工程名称: </w:t>
      </w:r>
    </w:p>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单位工程名称：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3178"/>
        <w:gridCol w:w="2566"/>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序号</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项目名称</w:t>
            </w:r>
          </w:p>
        </w:tc>
        <w:tc>
          <w:tcPr>
            <w:tcW w:w="2566"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金额</w:t>
            </w:r>
            <w:r>
              <w:rPr>
                <w:rFonts w:hAnsi="宋体"/>
                <w:color w:val="auto"/>
                <w:szCs w:val="21"/>
                <w:highlight w:val="none"/>
              </w:rPr>
              <w:t>(</w:t>
            </w:r>
            <w:r>
              <w:rPr>
                <w:rFonts w:hint="eastAsia" w:hAnsi="宋体"/>
                <w:color w:val="auto"/>
                <w:szCs w:val="21"/>
                <w:highlight w:val="none"/>
              </w:rPr>
              <w:t>元</w:t>
            </w:r>
            <w:r>
              <w:rPr>
                <w:rFonts w:hAnsi="宋体"/>
                <w:color w:val="auto"/>
                <w:szCs w:val="21"/>
                <w:highlight w:val="none"/>
              </w:rPr>
              <w:t>)</w:t>
            </w: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Ansi="宋体"/>
                <w:color w:val="auto"/>
                <w:szCs w:val="21"/>
                <w:highlight w:val="none"/>
              </w:rPr>
              <w:t>1</w:t>
            </w:r>
          </w:p>
        </w:tc>
        <w:tc>
          <w:tcPr>
            <w:tcW w:w="3178" w:type="dxa"/>
            <w:noWrap w:val="0"/>
            <w:vAlign w:val="center"/>
          </w:tcPr>
          <w:p>
            <w:pPr>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暂列金额</w:t>
            </w:r>
          </w:p>
        </w:tc>
        <w:tc>
          <w:tcPr>
            <w:tcW w:w="2566" w:type="dxa"/>
            <w:noWrap w:val="0"/>
            <w:vAlign w:val="center"/>
          </w:tcPr>
          <w:p>
            <w:pPr>
              <w:widowControl/>
              <w:tabs>
                <w:tab w:val="left" w:pos="1000"/>
              </w:tabs>
              <w:spacing w:before="100" w:beforeAutospacing="1" w:after="100" w:afterAutospacing="1"/>
              <w:jc w:val="center"/>
              <w:rPr>
                <w:color w:val="auto"/>
                <w:szCs w:val="21"/>
                <w:highlight w:val="none"/>
              </w:rPr>
            </w:pPr>
          </w:p>
        </w:tc>
        <w:tc>
          <w:tcPr>
            <w:tcW w:w="2501" w:type="dxa"/>
            <w:noWrap w:val="0"/>
            <w:vAlign w:val="center"/>
          </w:tcPr>
          <w:p>
            <w:pPr>
              <w:widowControl/>
              <w:tabs>
                <w:tab w:val="left" w:pos="100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Ansi="宋体"/>
                <w:color w:val="auto"/>
                <w:szCs w:val="21"/>
                <w:highlight w:val="none"/>
              </w:rPr>
              <w:t>2</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计日工</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明细表详见</w:t>
            </w:r>
            <w:r>
              <w:rPr>
                <w:rFonts w:hAnsi="宋体"/>
                <w:color w:val="auto"/>
                <w:szCs w:val="21"/>
                <w:highlight w:val="none"/>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Ansi="宋体"/>
                <w:color w:val="auto"/>
                <w:szCs w:val="21"/>
                <w:highlight w:val="none"/>
              </w:rPr>
              <w:t>3</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总承包服务费</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明细表详见</w:t>
            </w:r>
            <w:r>
              <w:rPr>
                <w:rFonts w:hAnsi="宋体"/>
                <w:color w:val="auto"/>
                <w:szCs w:val="21"/>
                <w:highlight w:val="none"/>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4</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color w:val="auto"/>
                <w:szCs w:val="21"/>
                <w:highlight w:val="none"/>
              </w:rPr>
              <w:t>标化工地增加费</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color w:val="auto"/>
                <w:szCs w:val="21"/>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color w:val="auto"/>
                <w:szCs w:val="21"/>
                <w:highlight w:val="none"/>
              </w:rPr>
              <w:t>5</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color w:val="auto"/>
                <w:szCs w:val="21"/>
                <w:highlight w:val="none"/>
              </w:rPr>
              <w:t>优质工程增加费</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color w:val="auto"/>
                <w:szCs w:val="21"/>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合计</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r>
    </w:tbl>
    <w:p>
      <w:pPr>
        <w:spacing w:line="500" w:lineRule="exact"/>
        <w:rPr>
          <w:rFonts w:hAnsi="宋体"/>
          <w:color w:val="auto"/>
          <w:sz w:val="24"/>
          <w:highlight w:val="none"/>
        </w:rPr>
      </w:pPr>
    </w:p>
    <w:p>
      <w:pPr>
        <w:spacing w:line="500" w:lineRule="exact"/>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widowControl/>
        <w:tabs>
          <w:tab w:val="center" w:pos="4755"/>
          <w:tab w:val="right" w:pos="9070"/>
        </w:tabs>
        <w:spacing w:before="100" w:beforeAutospacing="1" w:after="100" w:afterAutospacing="1"/>
        <w:ind w:firstLine="241" w:firstLineChars="100"/>
        <w:rPr>
          <w:rFonts w:hAnsi="宋体"/>
          <w:b/>
          <w:color w:val="auto"/>
          <w:kern w:val="0"/>
          <w:sz w:val="24"/>
          <w:highlight w:val="none"/>
        </w:rPr>
      </w:pPr>
      <w:r>
        <w:rPr>
          <w:rFonts w:hAnsi="宋体"/>
          <w:b/>
          <w:color w:val="auto"/>
          <w:kern w:val="0"/>
          <w:sz w:val="24"/>
          <w:highlight w:val="none"/>
        </w:rPr>
        <w:br w:type="page"/>
      </w:r>
    </w:p>
    <w:p>
      <w:pPr>
        <w:widowControl/>
        <w:tabs>
          <w:tab w:val="center" w:pos="4755"/>
          <w:tab w:val="right" w:pos="9070"/>
        </w:tabs>
        <w:ind w:firstLine="321" w:firstLineChars="100"/>
        <w:jc w:val="center"/>
        <w:rPr>
          <w:rFonts w:hAnsi="宋体"/>
          <w:b/>
          <w:color w:val="auto"/>
          <w:kern w:val="0"/>
          <w:sz w:val="32"/>
          <w:highlight w:val="none"/>
        </w:rPr>
      </w:pPr>
      <w:r>
        <w:rPr>
          <w:rFonts w:hint="eastAsia" w:hAnsi="宋体"/>
          <w:b/>
          <w:color w:val="auto"/>
          <w:kern w:val="0"/>
          <w:sz w:val="32"/>
          <w:highlight w:val="none"/>
        </w:rPr>
        <w:t>表1-4-1  计日工表</w:t>
      </w:r>
    </w:p>
    <w:p>
      <w:pPr>
        <w:widowControl/>
        <w:tabs>
          <w:tab w:val="center" w:pos="4755"/>
          <w:tab w:val="right" w:pos="9070"/>
        </w:tabs>
        <w:spacing w:line="360" w:lineRule="auto"/>
        <w:rPr>
          <w:rFonts w:hAnsi="宋体"/>
          <w:color w:val="auto"/>
          <w:kern w:val="0"/>
          <w:sz w:val="24"/>
          <w:highlight w:val="none"/>
        </w:rPr>
      </w:pPr>
      <w:r>
        <w:rPr>
          <w:rFonts w:hint="eastAsia" w:hAnsi="宋体"/>
          <w:color w:val="auto"/>
          <w:kern w:val="0"/>
          <w:sz w:val="24"/>
          <w:highlight w:val="none"/>
        </w:rPr>
        <w:t xml:space="preserve">工程名称:                                   </w:t>
      </w:r>
    </w:p>
    <w:p>
      <w:pPr>
        <w:widowControl/>
        <w:tabs>
          <w:tab w:val="center" w:pos="4755"/>
          <w:tab w:val="right" w:pos="9070"/>
        </w:tabs>
        <w:spacing w:line="360" w:lineRule="auto"/>
        <w:rPr>
          <w:rFonts w:hAnsi="宋体"/>
          <w:color w:val="auto"/>
          <w:kern w:val="0"/>
          <w:sz w:val="24"/>
          <w:highlight w:val="none"/>
        </w:rPr>
      </w:pPr>
      <w:r>
        <w:rPr>
          <w:rFonts w:hint="eastAsia" w:hAnsi="宋体"/>
          <w:color w:val="auto"/>
          <w:kern w:val="0"/>
          <w:sz w:val="24"/>
          <w:highlight w:val="none"/>
        </w:rPr>
        <w:t>单位工程名称：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816"/>
        <w:gridCol w:w="1506"/>
        <w:gridCol w:w="1506"/>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编号</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项 目 名 称</w:t>
            </w:r>
          </w:p>
        </w:tc>
        <w:tc>
          <w:tcPr>
            <w:tcW w:w="81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单位</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数量</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综合单价（元）</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81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一</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人    工</w:t>
            </w: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人 工 小 计</w:t>
            </w: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二</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材    料</w:t>
            </w: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材 料 小 计</w:t>
            </w: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三</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施工机械</w:t>
            </w: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施工机械小计</w:t>
            </w: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合    计</w:t>
            </w:r>
          </w:p>
        </w:tc>
        <w:tc>
          <w:tcPr>
            <w:tcW w:w="1506" w:type="dxa"/>
            <w:noWrap w:val="0"/>
            <w:vAlign w:val="center"/>
          </w:tcPr>
          <w:p>
            <w:pPr>
              <w:tabs>
                <w:tab w:val="left" w:pos="3780"/>
              </w:tabs>
              <w:jc w:val="center"/>
              <w:rPr>
                <w:rFonts w:hAnsi="宋体"/>
                <w:color w:val="auto"/>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注：表中（1）（2）（3）（4）由招标人按需要提出，其中第（4</w:t>
      </w:r>
      <w:r>
        <w:rPr>
          <w:rFonts w:hAnsi="宋体"/>
          <w:color w:val="auto"/>
          <w:kern w:val="0"/>
          <w:sz w:val="24"/>
          <w:highlight w:val="none"/>
        </w:rPr>
        <w:t>）</w:t>
      </w:r>
      <w:r>
        <w:rPr>
          <w:rFonts w:hint="eastAsia" w:hAnsi="宋体"/>
          <w:color w:val="auto"/>
          <w:kern w:val="0"/>
          <w:sz w:val="24"/>
          <w:highlight w:val="none"/>
        </w:rPr>
        <w:t>栏数量为暂定。</w:t>
      </w:r>
    </w:p>
    <w:p>
      <w:pPr>
        <w:widowControl/>
        <w:tabs>
          <w:tab w:val="center" w:pos="4755"/>
          <w:tab w:val="right" w:pos="9070"/>
        </w:tabs>
        <w:ind w:firstLine="240" w:firstLineChars="100"/>
        <w:jc w:val="left"/>
        <w:rPr>
          <w:rFonts w:hAnsi="宋体"/>
          <w:color w:val="auto"/>
          <w:kern w:val="0"/>
          <w:sz w:val="24"/>
          <w:highlight w:val="none"/>
        </w:rPr>
      </w:pPr>
    </w:p>
    <w:p>
      <w:pPr>
        <w:spacing w:line="500" w:lineRule="exact"/>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widowControl/>
        <w:tabs>
          <w:tab w:val="center" w:pos="4755"/>
          <w:tab w:val="right" w:pos="9070"/>
        </w:tabs>
        <w:ind w:firstLine="240" w:firstLineChars="100"/>
        <w:jc w:val="left"/>
        <w:rPr>
          <w:rFonts w:hAnsi="宋体"/>
          <w:b/>
          <w:color w:val="auto"/>
          <w:kern w:val="0"/>
          <w:sz w:val="32"/>
          <w:highlight w:val="none"/>
        </w:rPr>
      </w:pPr>
      <w:r>
        <w:rPr>
          <w:rFonts w:hAnsi="宋体"/>
          <w:color w:val="auto"/>
          <w:kern w:val="0"/>
          <w:sz w:val="24"/>
          <w:highlight w:val="none"/>
        </w:rPr>
        <w:br w:type="page"/>
      </w:r>
    </w:p>
    <w:p>
      <w:pPr>
        <w:tabs>
          <w:tab w:val="left" w:pos="3780"/>
        </w:tabs>
        <w:jc w:val="center"/>
        <w:rPr>
          <w:rFonts w:hAnsi="宋体"/>
          <w:color w:val="auto"/>
          <w:sz w:val="32"/>
          <w:highlight w:val="none"/>
        </w:rPr>
      </w:pPr>
      <w:r>
        <w:rPr>
          <w:rFonts w:hint="eastAsia" w:hAnsi="宋体"/>
          <w:b/>
          <w:color w:val="auto"/>
          <w:kern w:val="0"/>
          <w:sz w:val="32"/>
          <w:highlight w:val="none"/>
        </w:rPr>
        <w:t>表1-4-2</w:t>
      </w:r>
      <w:r>
        <w:rPr>
          <w:rFonts w:hint="eastAsia" w:hAnsi="宋体"/>
          <w:b/>
          <w:color w:val="auto"/>
          <w:sz w:val="32"/>
          <w:highlight w:val="none"/>
        </w:rPr>
        <w:t>总承包服务费项目及计价表</w:t>
      </w:r>
    </w:p>
    <w:p>
      <w:pPr>
        <w:tabs>
          <w:tab w:val="left" w:pos="3780"/>
        </w:tabs>
        <w:spacing w:after="78" w:afterLines="25"/>
        <w:rPr>
          <w:rFonts w:hAnsi="宋体"/>
          <w:color w:val="auto"/>
          <w:sz w:val="24"/>
          <w:highlight w:val="none"/>
        </w:rPr>
      </w:pPr>
      <w:r>
        <w:rPr>
          <w:rFonts w:hint="eastAsia" w:hAnsi="宋体"/>
          <w:color w:val="auto"/>
          <w:sz w:val="24"/>
          <w:highlight w:val="none"/>
        </w:rPr>
        <w:t>工程名称：                                                  第   页 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序号</w:t>
            </w:r>
          </w:p>
        </w:tc>
        <w:tc>
          <w:tcPr>
            <w:tcW w:w="2709" w:type="dxa"/>
            <w:tcBorders>
              <w:top w:val="single" w:color="auto" w:sz="8" w:space="0"/>
            </w:tcBorders>
            <w:noWrap w:val="0"/>
            <w:vAlign w:val="center"/>
          </w:tcPr>
          <w:p>
            <w:pPr>
              <w:tabs>
                <w:tab w:val="left" w:pos="3780"/>
              </w:tabs>
              <w:ind w:firstLine="420"/>
              <w:rPr>
                <w:rFonts w:hAnsi="宋体"/>
                <w:color w:val="auto"/>
                <w:sz w:val="24"/>
                <w:highlight w:val="none"/>
              </w:rPr>
            </w:pPr>
            <w:r>
              <w:rPr>
                <w:rFonts w:hint="eastAsia" w:hAnsi="宋体"/>
                <w:color w:val="auto"/>
                <w:sz w:val="24"/>
                <w:highlight w:val="none"/>
              </w:rPr>
              <w:t>项 目 名 称</w:t>
            </w:r>
          </w:p>
        </w:tc>
        <w:tc>
          <w:tcPr>
            <w:tcW w:w="1620" w:type="dxa"/>
            <w:tcBorders>
              <w:top w:val="single" w:color="auto" w:sz="8" w:space="0"/>
            </w:tcBorders>
            <w:noWrap w:val="0"/>
            <w:vAlign w:val="center"/>
          </w:tcPr>
          <w:p>
            <w:pPr>
              <w:tabs>
                <w:tab w:val="left" w:pos="3780"/>
              </w:tabs>
              <w:jc w:val="center"/>
              <w:rPr>
                <w:rFonts w:hAnsi="宋体"/>
                <w:color w:val="auto"/>
                <w:sz w:val="24"/>
                <w:highlight w:val="none"/>
              </w:rPr>
            </w:pPr>
            <w:r>
              <w:rPr>
                <w:rFonts w:hint="eastAsia" w:hAnsi="宋体"/>
                <w:color w:val="auto"/>
                <w:sz w:val="24"/>
                <w:highlight w:val="none"/>
              </w:rPr>
              <w:t>项目价值</w:t>
            </w:r>
          </w:p>
          <w:p>
            <w:pPr>
              <w:tabs>
                <w:tab w:val="left" w:pos="3780"/>
              </w:tabs>
              <w:jc w:val="center"/>
              <w:rPr>
                <w:rFonts w:hAnsi="宋体"/>
                <w:color w:val="auto"/>
                <w:sz w:val="24"/>
                <w:highlight w:val="none"/>
              </w:rPr>
            </w:pPr>
            <w:r>
              <w:rPr>
                <w:rFonts w:hint="eastAsia" w:hAnsi="宋体"/>
                <w:color w:val="auto"/>
                <w:sz w:val="24"/>
                <w:highlight w:val="none"/>
              </w:rPr>
              <w:t>（元）</w:t>
            </w:r>
          </w:p>
        </w:tc>
        <w:tc>
          <w:tcPr>
            <w:tcW w:w="1440"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服务内容</w:t>
            </w:r>
          </w:p>
        </w:tc>
        <w:tc>
          <w:tcPr>
            <w:tcW w:w="1440"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费率（%）</w:t>
            </w:r>
          </w:p>
        </w:tc>
        <w:tc>
          <w:tcPr>
            <w:tcW w:w="1440"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（1）</w:t>
            </w:r>
          </w:p>
        </w:tc>
        <w:tc>
          <w:tcPr>
            <w:tcW w:w="2709"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1620" w:type="dxa"/>
            <w:noWrap w:val="0"/>
            <w:vAlign w:val="center"/>
          </w:tcPr>
          <w:p>
            <w:pPr>
              <w:tabs>
                <w:tab w:val="left" w:pos="3780"/>
              </w:tabs>
              <w:ind w:firstLine="420"/>
              <w:rPr>
                <w:rFonts w:hAnsi="宋体"/>
                <w:color w:val="auto"/>
                <w:sz w:val="24"/>
                <w:highlight w:val="none"/>
              </w:rPr>
            </w:pPr>
            <w:r>
              <w:rPr>
                <w:rFonts w:hint="eastAsia" w:hAnsi="宋体"/>
                <w:color w:val="auto"/>
                <w:sz w:val="24"/>
                <w:highlight w:val="none"/>
              </w:rPr>
              <w:t>（3）</w:t>
            </w:r>
          </w:p>
        </w:tc>
        <w:tc>
          <w:tcPr>
            <w:tcW w:w="1440" w:type="dxa"/>
            <w:tcBorders>
              <w:top w:val="single" w:color="auto" w:sz="6" w:space="0"/>
              <w:bottom w:val="single" w:color="auto" w:sz="6" w:space="0"/>
            </w:tcBorders>
            <w:noWrap w:val="0"/>
            <w:vAlign w:val="center"/>
          </w:tcPr>
          <w:p>
            <w:pPr>
              <w:tabs>
                <w:tab w:val="left" w:pos="3780"/>
              </w:tabs>
              <w:ind w:firstLine="240" w:firstLineChars="100"/>
              <w:rPr>
                <w:rFonts w:hAnsi="宋体"/>
                <w:color w:val="auto"/>
                <w:sz w:val="24"/>
                <w:highlight w:val="none"/>
              </w:rPr>
            </w:pPr>
            <w:r>
              <w:rPr>
                <w:rFonts w:hint="eastAsia" w:hAnsi="宋体"/>
                <w:color w:val="auto"/>
                <w:sz w:val="24"/>
                <w:highlight w:val="none"/>
              </w:rPr>
              <w:t>（4）</w:t>
            </w: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240" w:firstLineChars="100"/>
              <w:rPr>
                <w:rFonts w:hAnsi="宋体"/>
                <w:color w:val="auto"/>
                <w:sz w:val="24"/>
                <w:highlight w:val="none"/>
              </w:rPr>
            </w:pPr>
            <w:r>
              <w:rPr>
                <w:rFonts w:hint="eastAsia" w:hAnsi="宋体"/>
                <w:color w:val="auto"/>
                <w:sz w:val="24"/>
                <w:highlight w:val="none"/>
              </w:rPr>
              <w:t>1</w:t>
            </w:r>
          </w:p>
        </w:tc>
        <w:tc>
          <w:tcPr>
            <w:tcW w:w="2709" w:type="dxa"/>
            <w:noWrap w:val="0"/>
            <w:vAlign w:val="center"/>
          </w:tcPr>
          <w:p>
            <w:pPr>
              <w:tabs>
                <w:tab w:val="left" w:pos="3780"/>
              </w:tabs>
              <w:rPr>
                <w:rFonts w:hAnsi="宋体"/>
                <w:color w:val="auto"/>
                <w:sz w:val="24"/>
                <w:highlight w:val="none"/>
              </w:rPr>
            </w:pPr>
            <w:r>
              <w:rPr>
                <w:rFonts w:hint="eastAsia" w:hAnsi="宋体"/>
                <w:color w:val="auto"/>
                <w:sz w:val="24"/>
                <w:highlight w:val="none"/>
              </w:rPr>
              <w:t>发包人分包专业工程</w:t>
            </w: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240" w:firstLineChars="100"/>
              <w:rPr>
                <w:rFonts w:hAnsi="宋体"/>
                <w:color w:val="auto"/>
                <w:sz w:val="24"/>
                <w:highlight w:val="none"/>
              </w:rPr>
            </w:pPr>
            <w:r>
              <w:rPr>
                <w:rFonts w:hint="eastAsia" w:hAnsi="宋体"/>
                <w:color w:val="auto"/>
                <w:sz w:val="24"/>
                <w:highlight w:val="none"/>
              </w:rPr>
              <w:t>2</w:t>
            </w:r>
          </w:p>
        </w:tc>
        <w:tc>
          <w:tcPr>
            <w:tcW w:w="2709" w:type="dxa"/>
            <w:noWrap w:val="0"/>
            <w:vAlign w:val="center"/>
          </w:tcPr>
          <w:p>
            <w:pPr>
              <w:tabs>
                <w:tab w:val="left" w:pos="3780"/>
              </w:tabs>
              <w:rPr>
                <w:rFonts w:hAnsi="宋体"/>
                <w:color w:val="auto"/>
                <w:sz w:val="24"/>
                <w:highlight w:val="none"/>
              </w:rPr>
            </w:pPr>
            <w:r>
              <w:rPr>
                <w:rFonts w:hint="eastAsia" w:hAnsi="宋体"/>
                <w:color w:val="auto"/>
                <w:sz w:val="24"/>
                <w:highlight w:val="none"/>
              </w:rPr>
              <w:t>发包人供应材料</w:t>
            </w:r>
          </w:p>
        </w:tc>
        <w:tc>
          <w:tcPr>
            <w:tcW w:w="1620" w:type="dxa"/>
            <w:noWrap w:val="0"/>
            <w:vAlign w:val="center"/>
          </w:tcPr>
          <w:p>
            <w:pPr>
              <w:tabs>
                <w:tab w:val="left" w:pos="3780"/>
              </w:tabs>
              <w:ind w:left="210" w:leftChars="100"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left="210" w:leftChars="100" w:firstLine="420"/>
              <w:rPr>
                <w:rFonts w:hAnsi="宋体"/>
                <w:color w:val="auto"/>
                <w:sz w:val="24"/>
                <w:highlight w:val="none"/>
              </w:rPr>
            </w:pPr>
          </w:p>
        </w:tc>
        <w:tc>
          <w:tcPr>
            <w:tcW w:w="1620" w:type="dxa"/>
            <w:noWrap w:val="0"/>
            <w:vAlign w:val="center"/>
          </w:tcPr>
          <w:p>
            <w:pPr>
              <w:tabs>
                <w:tab w:val="left" w:pos="3780"/>
              </w:tabs>
              <w:ind w:left="210" w:leftChars="100"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noWrap w:val="0"/>
            <w:vAlign w:val="center"/>
          </w:tcPr>
          <w:p>
            <w:pPr>
              <w:tabs>
                <w:tab w:val="left" w:pos="3780"/>
              </w:tabs>
              <w:ind w:firstLine="560"/>
              <w:jc w:val="center"/>
              <w:rPr>
                <w:rFonts w:hAnsi="宋体"/>
                <w:color w:val="auto"/>
                <w:sz w:val="24"/>
                <w:highlight w:val="none"/>
              </w:rPr>
            </w:pPr>
            <w:r>
              <w:rPr>
                <w:rFonts w:hint="eastAsia" w:hAnsi="宋体"/>
                <w:color w:val="auto"/>
                <w:sz w:val="24"/>
                <w:highlight w:val="none"/>
              </w:rPr>
              <w:t>合    计</w:t>
            </w:r>
          </w:p>
        </w:tc>
        <w:tc>
          <w:tcPr>
            <w:tcW w:w="1440" w:type="dxa"/>
            <w:tcBorders>
              <w:top w:val="single" w:color="auto" w:sz="6" w:space="0"/>
              <w:left w:val="single" w:color="auto" w:sz="6" w:space="0"/>
              <w:bottom w:val="single" w:color="auto" w:sz="8" w:space="0"/>
            </w:tcBorders>
            <w:noWrap w:val="0"/>
            <w:vAlign w:val="center"/>
          </w:tcPr>
          <w:p>
            <w:pPr>
              <w:tabs>
                <w:tab w:val="left" w:pos="3780"/>
              </w:tabs>
              <w:ind w:firstLine="420"/>
              <w:jc w:val="center"/>
              <w:rPr>
                <w:rFonts w:hAnsi="宋体"/>
                <w:color w:val="auto"/>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注：表中（1）（2）（3）（4）由招标人按需要提出。</w:t>
      </w:r>
    </w:p>
    <w:p>
      <w:pPr>
        <w:widowControl/>
        <w:tabs>
          <w:tab w:val="center" w:pos="4755"/>
          <w:tab w:val="right" w:pos="9070"/>
        </w:tabs>
        <w:jc w:val="left"/>
        <w:rPr>
          <w:rFonts w:hAnsi="宋体"/>
          <w:color w:val="auto"/>
          <w:kern w:val="0"/>
          <w:sz w:val="24"/>
          <w:highlight w:val="none"/>
        </w:rPr>
      </w:pP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rPr>
          <w:rFonts w:hAnsi="宋体"/>
          <w:b/>
          <w:color w:val="auto"/>
          <w:kern w:val="0"/>
          <w:sz w:val="32"/>
          <w:highlight w:val="none"/>
        </w:rPr>
      </w:pPr>
      <w:r>
        <w:rPr>
          <w:rFonts w:hint="eastAsia" w:hAnsi="宋体"/>
          <w:color w:val="auto"/>
          <w:sz w:val="24"/>
          <w:highlight w:val="none"/>
        </w:rPr>
        <w:br w:type="page"/>
      </w:r>
      <w:r>
        <w:rPr>
          <w:rFonts w:hint="eastAsia" w:hAnsi="宋体"/>
          <w:b/>
          <w:color w:val="auto"/>
          <w:kern w:val="0"/>
          <w:sz w:val="32"/>
          <w:highlight w:val="none"/>
        </w:rPr>
        <w:t>表1-5  主要工日价格表</w:t>
      </w:r>
    </w:p>
    <w:p>
      <w:pPr>
        <w:widowControl/>
        <w:tabs>
          <w:tab w:val="center" w:pos="4755"/>
          <w:tab w:val="right" w:pos="9070"/>
        </w:tabs>
        <w:ind w:firstLine="480" w:firstLineChars="200"/>
        <w:rPr>
          <w:rFonts w:hAnsi="宋体"/>
          <w:color w:val="auto"/>
          <w:kern w:val="0"/>
          <w:sz w:val="24"/>
          <w:highlight w:val="none"/>
        </w:rPr>
      </w:pPr>
      <w:r>
        <w:rPr>
          <w:rFonts w:hint="eastAsia" w:hAnsi="宋体"/>
          <w:color w:val="auto"/>
          <w:kern w:val="0"/>
          <w:sz w:val="24"/>
          <w:highlight w:val="none"/>
        </w:rPr>
        <w:t>工程名称：                                  第  页 共  页</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138"/>
        <w:gridCol w:w="1723"/>
        <w:gridCol w:w="155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436"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序号</w:t>
            </w:r>
          </w:p>
        </w:tc>
        <w:tc>
          <w:tcPr>
            <w:tcW w:w="2138"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工  种</w:t>
            </w:r>
          </w:p>
        </w:tc>
        <w:tc>
          <w:tcPr>
            <w:tcW w:w="1723"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单位</w:t>
            </w:r>
          </w:p>
        </w:tc>
        <w:tc>
          <w:tcPr>
            <w:tcW w:w="1550"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数 量</w:t>
            </w:r>
          </w:p>
        </w:tc>
        <w:tc>
          <w:tcPr>
            <w:tcW w:w="2333" w:type="dxa"/>
            <w:tcBorders>
              <w:bottom w:val="single" w:color="auto" w:sz="4" w:space="0"/>
            </w:tcBorders>
            <w:noWrap w:val="0"/>
            <w:vAlign w:val="center"/>
          </w:tcPr>
          <w:p>
            <w:pPr>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r>
              <w:rPr>
                <w:rFonts w:hint="eastAsia" w:hAnsi="宋体"/>
                <w:color w:val="auto"/>
                <w:kern w:val="0"/>
                <w:sz w:val="24"/>
                <w:highlight w:val="none"/>
              </w:rPr>
              <w:t>（1）</w:t>
            </w:r>
          </w:p>
        </w:tc>
        <w:tc>
          <w:tcPr>
            <w:tcW w:w="2138" w:type="dxa"/>
            <w:noWrap w:val="0"/>
            <w:vAlign w:val="top"/>
          </w:tcPr>
          <w:p>
            <w:pPr>
              <w:widowControl/>
              <w:tabs>
                <w:tab w:val="center" w:pos="4755"/>
                <w:tab w:val="right" w:pos="9070"/>
              </w:tabs>
              <w:spacing w:before="100" w:beforeAutospacing="1" w:after="100" w:afterAutospacing="1"/>
              <w:ind w:firstLine="360" w:firstLineChars="150"/>
              <w:rPr>
                <w:rFonts w:hAnsi="宋体"/>
                <w:color w:val="auto"/>
                <w:kern w:val="0"/>
                <w:sz w:val="24"/>
                <w:highlight w:val="none"/>
              </w:rPr>
            </w:pPr>
            <w:r>
              <w:rPr>
                <w:rFonts w:hint="eastAsia" w:hAnsi="宋体"/>
                <w:color w:val="auto"/>
                <w:kern w:val="0"/>
                <w:sz w:val="24"/>
                <w:highlight w:val="none"/>
              </w:rPr>
              <w:t>（2）</w:t>
            </w:r>
          </w:p>
        </w:tc>
        <w:tc>
          <w:tcPr>
            <w:tcW w:w="1723" w:type="dxa"/>
            <w:noWrap w:val="0"/>
            <w:vAlign w:val="top"/>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工日</w:t>
            </w: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bl>
    <w:p>
      <w:pPr>
        <w:widowControl/>
        <w:tabs>
          <w:tab w:val="center" w:pos="4755"/>
          <w:tab w:val="right" w:pos="9070"/>
        </w:tabs>
        <w:ind w:firstLine="600" w:firstLineChars="250"/>
        <w:jc w:val="left"/>
        <w:rPr>
          <w:rFonts w:hAnsi="宋体"/>
          <w:color w:val="auto"/>
          <w:kern w:val="0"/>
          <w:sz w:val="24"/>
          <w:highlight w:val="none"/>
        </w:rPr>
      </w:pPr>
      <w:r>
        <w:rPr>
          <w:rFonts w:hint="eastAsia" w:hAnsi="宋体"/>
          <w:color w:val="auto"/>
          <w:kern w:val="0"/>
          <w:sz w:val="24"/>
          <w:highlight w:val="none"/>
        </w:rPr>
        <w:t>注：本表（1）（2）栏由招标人按需要提出。</w:t>
      </w:r>
    </w:p>
    <w:p>
      <w:pPr>
        <w:widowControl/>
        <w:tabs>
          <w:tab w:val="center" w:pos="4755"/>
          <w:tab w:val="right" w:pos="9070"/>
        </w:tabs>
        <w:ind w:firstLine="600" w:firstLineChars="250"/>
        <w:jc w:val="left"/>
        <w:rPr>
          <w:rFonts w:hAnsi="宋体"/>
          <w:color w:val="auto"/>
          <w:kern w:val="0"/>
          <w:sz w:val="24"/>
          <w:highlight w:val="none"/>
        </w:rPr>
      </w:pPr>
    </w:p>
    <w:p>
      <w:pPr>
        <w:spacing w:line="500" w:lineRule="exact"/>
        <w:ind w:firstLine="600" w:firstLineChars="250"/>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rPr>
          <w:rFonts w:hAnsi="宋体"/>
          <w:b/>
          <w:color w:val="auto"/>
          <w:kern w:val="0"/>
          <w:sz w:val="32"/>
          <w:highlight w:val="none"/>
        </w:rPr>
      </w:pPr>
      <w:r>
        <w:rPr>
          <w:rFonts w:hint="eastAsia" w:hAnsi="宋体"/>
          <w:color w:val="auto"/>
          <w:sz w:val="24"/>
          <w:highlight w:val="none"/>
        </w:rPr>
        <w:br w:type="page"/>
      </w:r>
    </w:p>
    <w:p>
      <w:pPr>
        <w:spacing w:line="500" w:lineRule="exact"/>
        <w:jc w:val="center"/>
        <w:rPr>
          <w:rFonts w:hAnsi="宋体"/>
          <w:b/>
          <w:color w:val="auto"/>
          <w:kern w:val="0"/>
          <w:sz w:val="32"/>
          <w:highlight w:val="none"/>
        </w:rPr>
      </w:pPr>
      <w:r>
        <w:rPr>
          <w:rFonts w:hint="eastAsia" w:hAnsi="宋体"/>
          <w:b/>
          <w:color w:val="auto"/>
          <w:kern w:val="0"/>
          <w:sz w:val="32"/>
          <w:highlight w:val="none"/>
        </w:rPr>
        <w:t>表1-6  主要材料及设备价格表</w:t>
      </w:r>
    </w:p>
    <w:p>
      <w:pPr>
        <w:widowControl/>
        <w:tabs>
          <w:tab w:val="center" w:pos="4755"/>
          <w:tab w:val="right" w:pos="9070"/>
        </w:tabs>
        <w:spacing w:line="360" w:lineRule="exact"/>
        <w:rPr>
          <w:rFonts w:hAnsi="宋体"/>
          <w:b/>
          <w:color w:val="auto"/>
          <w:kern w:val="0"/>
          <w:sz w:val="24"/>
          <w:highlight w:val="none"/>
        </w:rPr>
      </w:pPr>
      <w:r>
        <w:rPr>
          <w:rFonts w:hint="eastAsia" w:hAnsi="宋体"/>
          <w:color w:val="auto"/>
          <w:kern w:val="0"/>
          <w:sz w:val="24"/>
          <w:highlight w:val="none"/>
        </w:rPr>
        <w:t>工程名称：                                          第  页共  页</w:t>
      </w:r>
    </w:p>
    <w:tbl>
      <w:tblPr>
        <w:tblStyle w:val="62"/>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54"/>
        <w:gridCol w:w="1581"/>
        <w:gridCol w:w="1406"/>
        <w:gridCol w:w="1230"/>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879"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序号</w:t>
            </w:r>
          </w:p>
        </w:tc>
        <w:tc>
          <w:tcPr>
            <w:tcW w:w="1054"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编码</w:t>
            </w:r>
          </w:p>
        </w:tc>
        <w:tc>
          <w:tcPr>
            <w:tcW w:w="1581"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材料或设备名称</w:t>
            </w:r>
          </w:p>
        </w:tc>
        <w:tc>
          <w:tcPr>
            <w:tcW w:w="1406"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规格、型号</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单位</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数量</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单价（元）</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9"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（1）</w:t>
            </w:r>
          </w:p>
        </w:tc>
        <w:tc>
          <w:tcPr>
            <w:tcW w:w="1054"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（2）</w:t>
            </w:r>
          </w:p>
        </w:tc>
        <w:tc>
          <w:tcPr>
            <w:tcW w:w="1581"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（3）</w:t>
            </w:r>
          </w:p>
        </w:tc>
        <w:tc>
          <w:tcPr>
            <w:tcW w:w="1406"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（4）</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（5）</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（6）</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（7）</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bl>
    <w:p>
      <w:pPr>
        <w:widowControl/>
        <w:tabs>
          <w:tab w:val="left" w:pos="1470"/>
        </w:tabs>
        <w:spacing w:line="360" w:lineRule="exact"/>
        <w:ind w:left="480" w:hanging="480" w:hangingChars="200"/>
        <w:jc w:val="left"/>
        <w:rPr>
          <w:rFonts w:hAnsi="宋体"/>
          <w:color w:val="auto"/>
          <w:kern w:val="0"/>
          <w:sz w:val="24"/>
          <w:highlight w:val="none"/>
        </w:rPr>
      </w:pPr>
      <w:r>
        <w:rPr>
          <w:rFonts w:hint="eastAsia" w:hAnsi="宋体"/>
          <w:color w:val="auto"/>
          <w:kern w:val="0"/>
          <w:sz w:val="24"/>
          <w:highlight w:val="none"/>
        </w:rPr>
        <w:t>注：1、表（1）（2）（3）（5）（8）栏由招标人按需要提出，</w:t>
      </w:r>
      <w:r>
        <w:rPr>
          <w:rFonts w:hint="eastAsia" w:hAnsi="宋体"/>
          <w:color w:val="auto"/>
          <w:kern w:val="0"/>
          <w:sz w:val="24"/>
          <w:highlight w:val="none"/>
          <w:lang w:val="en-US" w:eastAsia="zh-CN"/>
        </w:rPr>
        <w:t>响应</w:t>
      </w:r>
      <w:r>
        <w:rPr>
          <w:rFonts w:hint="eastAsia" w:hAnsi="宋体"/>
          <w:color w:val="auto"/>
          <w:kern w:val="0"/>
          <w:sz w:val="24"/>
          <w:highlight w:val="none"/>
        </w:rPr>
        <w:t>人可补充；（4）（6）（7）栏由</w:t>
      </w:r>
      <w:r>
        <w:rPr>
          <w:rFonts w:hint="eastAsia" w:hAnsi="宋体"/>
          <w:color w:val="auto"/>
          <w:kern w:val="0"/>
          <w:sz w:val="24"/>
          <w:highlight w:val="none"/>
          <w:lang w:val="en-US" w:eastAsia="zh-CN"/>
        </w:rPr>
        <w:t>响应</w:t>
      </w:r>
      <w:r>
        <w:rPr>
          <w:rFonts w:hint="eastAsia" w:hAnsi="宋体"/>
          <w:color w:val="auto"/>
          <w:kern w:val="0"/>
          <w:sz w:val="24"/>
          <w:highlight w:val="none"/>
        </w:rPr>
        <w:t>人填写。</w:t>
      </w:r>
    </w:p>
    <w:p>
      <w:pPr>
        <w:widowControl/>
        <w:tabs>
          <w:tab w:val="center" w:pos="4755"/>
          <w:tab w:val="right" w:pos="9070"/>
        </w:tabs>
        <w:spacing w:line="360" w:lineRule="exact"/>
        <w:ind w:left="227" w:leftChars="108" w:firstLine="240" w:firstLineChars="100"/>
        <w:jc w:val="left"/>
        <w:rPr>
          <w:rFonts w:hAnsi="宋体"/>
          <w:color w:val="auto"/>
          <w:kern w:val="0"/>
          <w:sz w:val="24"/>
          <w:highlight w:val="none"/>
        </w:rPr>
      </w:pPr>
      <w:r>
        <w:rPr>
          <w:rFonts w:hint="eastAsia" w:hAnsi="宋体"/>
          <w:color w:val="auto"/>
          <w:kern w:val="0"/>
          <w:sz w:val="24"/>
          <w:highlight w:val="none"/>
        </w:rPr>
        <w:t>2、本表的材料及设备包括原材料、燃料、构配件以及按规定应计入建筑安装工程造价的设备。</w:t>
      </w:r>
    </w:p>
    <w:p>
      <w:pPr>
        <w:widowControl/>
        <w:tabs>
          <w:tab w:val="center" w:pos="4755"/>
          <w:tab w:val="right" w:pos="9070"/>
        </w:tabs>
        <w:spacing w:line="360" w:lineRule="exact"/>
        <w:ind w:firstLine="360" w:firstLineChars="150"/>
        <w:jc w:val="left"/>
        <w:rPr>
          <w:rFonts w:hAnsi="宋体"/>
          <w:color w:val="auto"/>
          <w:kern w:val="0"/>
          <w:sz w:val="24"/>
          <w:highlight w:val="none"/>
        </w:rPr>
      </w:pPr>
      <w:r>
        <w:rPr>
          <w:rFonts w:hint="eastAsia" w:hAnsi="宋体"/>
          <w:color w:val="auto"/>
          <w:kern w:val="0"/>
          <w:sz w:val="24"/>
          <w:highlight w:val="none"/>
        </w:rPr>
        <w:t xml:space="preserve"> 3、招标人指定、提供或暂定的材料和设备，按杭州市工程量清单计价实施细则的规定填写。</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Ansi="宋体"/>
          <w:b/>
          <w:color w:val="auto"/>
          <w:kern w:val="0"/>
          <w:sz w:val="32"/>
          <w:highlight w:val="none"/>
        </w:rPr>
      </w:pPr>
      <w:r>
        <w:rPr>
          <w:rFonts w:hint="eastAsia" w:hAnsi="宋体"/>
          <w:color w:val="auto"/>
          <w:sz w:val="24"/>
          <w:highlight w:val="none"/>
        </w:rPr>
        <w:br w:type="page"/>
      </w:r>
    </w:p>
    <w:p>
      <w:pPr>
        <w:spacing w:line="500" w:lineRule="exact"/>
        <w:jc w:val="center"/>
        <w:rPr>
          <w:rFonts w:hAnsi="宋体"/>
          <w:b/>
          <w:color w:val="auto"/>
          <w:kern w:val="0"/>
          <w:sz w:val="32"/>
          <w:highlight w:val="none"/>
        </w:rPr>
      </w:pPr>
      <w:r>
        <w:rPr>
          <w:rFonts w:hint="eastAsia" w:hAnsi="宋体"/>
          <w:b/>
          <w:color w:val="auto"/>
          <w:kern w:val="0"/>
          <w:sz w:val="32"/>
          <w:highlight w:val="none"/>
        </w:rPr>
        <w:t>表1-7  主要机械台班价格表</w:t>
      </w:r>
    </w:p>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工程名称：                                   第  页共  页</w:t>
      </w:r>
    </w:p>
    <w:tbl>
      <w:tblPr>
        <w:tblStyle w:val="6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序号</w:t>
            </w:r>
          </w:p>
        </w:tc>
        <w:tc>
          <w:tcPr>
            <w:tcW w:w="306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机械设备名称</w:t>
            </w:r>
          </w:p>
        </w:tc>
        <w:tc>
          <w:tcPr>
            <w:tcW w:w="1244"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单位</w:t>
            </w:r>
          </w:p>
        </w:tc>
        <w:tc>
          <w:tcPr>
            <w:tcW w:w="126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数量</w:t>
            </w:r>
          </w:p>
        </w:tc>
        <w:tc>
          <w:tcPr>
            <w:tcW w:w="234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16"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（1）</w:t>
            </w:r>
          </w:p>
        </w:tc>
        <w:tc>
          <w:tcPr>
            <w:tcW w:w="306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（2）</w:t>
            </w:r>
          </w:p>
        </w:tc>
        <w:tc>
          <w:tcPr>
            <w:tcW w:w="1244"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台班</w:t>
            </w:r>
          </w:p>
        </w:tc>
        <w:tc>
          <w:tcPr>
            <w:tcW w:w="1260" w:type="dxa"/>
            <w:noWrap w:val="0"/>
            <w:vAlign w:val="top"/>
          </w:tcPr>
          <w:p>
            <w:pPr>
              <w:widowControl/>
              <w:tabs>
                <w:tab w:val="center" w:pos="4755"/>
                <w:tab w:val="right" w:pos="9070"/>
              </w:tabs>
              <w:spacing w:before="100" w:beforeAutospacing="1" w:after="100" w:afterAutospacing="1"/>
              <w:jc w:val="center"/>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jc w:val="center"/>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bl>
    <w:p>
      <w:pPr>
        <w:widowControl/>
        <w:tabs>
          <w:tab w:val="center" w:pos="4755"/>
          <w:tab w:val="right" w:pos="9070"/>
        </w:tabs>
        <w:ind w:firstLine="240" w:firstLineChars="100"/>
        <w:jc w:val="left"/>
        <w:rPr>
          <w:rFonts w:hAnsi="宋体"/>
          <w:color w:val="auto"/>
          <w:kern w:val="0"/>
          <w:sz w:val="24"/>
          <w:highlight w:val="none"/>
        </w:rPr>
      </w:pPr>
      <w:r>
        <w:rPr>
          <w:rFonts w:hint="eastAsia" w:hAnsi="宋体"/>
          <w:color w:val="auto"/>
          <w:kern w:val="0"/>
          <w:sz w:val="24"/>
          <w:highlight w:val="none"/>
        </w:rPr>
        <w:t>注：表（1）（2）由招标人按需要提出，</w:t>
      </w:r>
      <w:r>
        <w:rPr>
          <w:rFonts w:hint="eastAsia" w:hAnsi="宋体"/>
          <w:color w:val="auto"/>
          <w:kern w:val="0"/>
          <w:sz w:val="24"/>
          <w:highlight w:val="none"/>
          <w:lang w:val="en-US" w:eastAsia="zh-CN"/>
        </w:rPr>
        <w:t>响应</w:t>
      </w:r>
      <w:r>
        <w:rPr>
          <w:rFonts w:hint="eastAsia" w:hAnsi="宋体"/>
          <w:color w:val="auto"/>
          <w:kern w:val="0"/>
          <w:sz w:val="24"/>
          <w:highlight w:val="none"/>
        </w:rPr>
        <w:t>人可补充。</w:t>
      </w:r>
    </w:p>
    <w:p>
      <w:pPr>
        <w:widowControl/>
        <w:tabs>
          <w:tab w:val="center" w:pos="4755"/>
          <w:tab w:val="right" w:pos="9070"/>
        </w:tabs>
        <w:ind w:firstLine="240" w:firstLineChars="100"/>
        <w:jc w:val="left"/>
        <w:rPr>
          <w:rFonts w:hAnsi="宋体"/>
          <w:color w:val="auto"/>
          <w:kern w:val="0"/>
          <w:sz w:val="24"/>
          <w:highlight w:val="none"/>
        </w:rPr>
      </w:pPr>
    </w:p>
    <w:p>
      <w:pPr>
        <w:widowControl/>
        <w:tabs>
          <w:tab w:val="center" w:pos="4755"/>
          <w:tab w:val="right" w:pos="9070"/>
        </w:tabs>
        <w:ind w:firstLine="240" w:firstLineChars="100"/>
        <w:jc w:val="lef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rPr>
          <w:rFonts w:hAnsi="宋体"/>
          <w:b/>
          <w:bCs/>
          <w:color w:val="auto"/>
          <w:sz w:val="32"/>
          <w:highlight w:val="none"/>
        </w:rPr>
      </w:pPr>
      <w:r>
        <w:rPr>
          <w:rFonts w:hint="eastAsia" w:hAnsi="宋体"/>
          <w:color w:val="auto"/>
          <w:sz w:val="24"/>
          <w:highlight w:val="none"/>
        </w:rPr>
        <w:br w:type="page"/>
      </w:r>
      <w:r>
        <w:rPr>
          <w:rFonts w:hint="eastAsia" w:hAnsi="宋体"/>
          <w:b/>
          <w:bCs/>
          <w:color w:val="auto"/>
          <w:sz w:val="32"/>
          <w:highlight w:val="none"/>
        </w:rPr>
        <w:t>表2-1　分部分项工程量清单综合单价分析表</w:t>
      </w:r>
    </w:p>
    <w:tbl>
      <w:tblPr>
        <w:tblStyle w:val="62"/>
        <w:tblW w:w="0" w:type="auto"/>
        <w:tblInd w:w="-547" w:type="dxa"/>
        <w:tblLayout w:type="fixed"/>
        <w:tblCellMar>
          <w:top w:w="0" w:type="dxa"/>
          <w:left w:w="108" w:type="dxa"/>
          <w:bottom w:w="0" w:type="dxa"/>
          <w:right w:w="108" w:type="dxa"/>
        </w:tblCellMar>
      </w:tblPr>
      <w:tblGrid>
        <w:gridCol w:w="540"/>
        <w:gridCol w:w="1080"/>
        <w:gridCol w:w="1080"/>
        <w:gridCol w:w="720"/>
        <w:gridCol w:w="720"/>
        <w:gridCol w:w="720"/>
        <w:gridCol w:w="720"/>
        <w:gridCol w:w="720"/>
        <w:gridCol w:w="720"/>
        <w:gridCol w:w="720"/>
        <w:gridCol w:w="720"/>
        <w:gridCol w:w="720"/>
        <w:gridCol w:w="1260"/>
      </w:tblGrid>
      <w:tr>
        <w:tblPrEx>
          <w:tblCellMar>
            <w:top w:w="0" w:type="dxa"/>
            <w:left w:w="108" w:type="dxa"/>
            <w:bottom w:w="0" w:type="dxa"/>
            <w:right w:w="108" w:type="dxa"/>
          </w:tblCellMar>
        </w:tblPrEx>
        <w:trPr>
          <w:trHeight w:val="525" w:hRule="atLeast"/>
        </w:trPr>
        <w:tc>
          <w:tcPr>
            <w:tcW w:w="10440" w:type="dxa"/>
            <w:gridSpan w:val="13"/>
            <w:tcBorders>
              <w:top w:val="nil"/>
              <w:left w:val="nil"/>
              <w:bottom w:val="single" w:color="auto" w:sz="4" w:space="0"/>
              <w:right w:val="nil"/>
            </w:tcBorders>
            <w:noWrap w:val="0"/>
            <w:vAlign w:val="center"/>
          </w:tcPr>
          <w:p>
            <w:pPr>
              <w:widowControl/>
              <w:jc w:val="left"/>
              <w:rPr>
                <w:rFonts w:hAnsi="宋体" w:cs="宋体"/>
                <w:color w:val="auto"/>
                <w:kern w:val="0"/>
                <w:sz w:val="24"/>
                <w:highlight w:val="none"/>
              </w:rPr>
            </w:pPr>
            <w:r>
              <w:rPr>
                <w:rFonts w:hint="eastAsia" w:hAnsi="宋体" w:cs="宋体"/>
                <w:color w:val="auto"/>
                <w:kern w:val="0"/>
                <w:sz w:val="24"/>
                <w:highlight w:val="none"/>
              </w:rPr>
              <w:t>工程名称：               清单号：                                     第 页 共 页</w:t>
            </w:r>
          </w:p>
        </w:tc>
      </w:tr>
      <w:tr>
        <w:tblPrEx>
          <w:tblCellMar>
            <w:top w:w="0" w:type="dxa"/>
            <w:left w:w="108" w:type="dxa"/>
            <w:bottom w:w="0" w:type="dxa"/>
            <w:right w:w="108" w:type="dxa"/>
          </w:tblCellMar>
        </w:tblPrEx>
        <w:trPr>
          <w:trHeight w:val="550" w:hRule="atLeast"/>
        </w:trPr>
        <w:tc>
          <w:tcPr>
            <w:tcW w:w="54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序</w:t>
            </w:r>
          </w:p>
          <w:p>
            <w:pPr>
              <w:spacing w:line="500" w:lineRule="exact"/>
              <w:jc w:val="center"/>
              <w:rPr>
                <w:rFonts w:hAnsi="宋体" w:cs="宋体"/>
                <w:color w:val="auto"/>
                <w:kern w:val="0"/>
                <w:sz w:val="24"/>
                <w:highlight w:val="none"/>
              </w:rPr>
            </w:pPr>
            <w:r>
              <w:rPr>
                <w:rFonts w:hint="eastAsia" w:hAnsi="宋体" w:cs="宋体"/>
                <w:color w:val="auto"/>
                <w:kern w:val="0"/>
                <w:sz w:val="24"/>
                <w:highlight w:val="none"/>
              </w:rPr>
              <w:t>号</w:t>
            </w:r>
          </w:p>
        </w:tc>
        <w:tc>
          <w:tcPr>
            <w:tcW w:w="108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编号</w:t>
            </w:r>
          </w:p>
        </w:tc>
        <w:tc>
          <w:tcPr>
            <w:tcW w:w="108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名称</w:t>
            </w:r>
          </w:p>
        </w:tc>
        <w:tc>
          <w:tcPr>
            <w:tcW w:w="720" w:type="dxa"/>
            <w:vMerge w:val="restart"/>
            <w:tcBorders>
              <w:top w:val="nil"/>
              <w:left w:val="nil"/>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计量</w:t>
            </w:r>
          </w:p>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单位</w:t>
            </w:r>
          </w:p>
        </w:tc>
        <w:tc>
          <w:tcPr>
            <w:tcW w:w="72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数</w:t>
            </w:r>
          </w:p>
          <w:p>
            <w:pPr>
              <w:spacing w:line="500" w:lineRule="exact"/>
              <w:jc w:val="center"/>
              <w:rPr>
                <w:rFonts w:hAnsi="宋体" w:cs="宋体"/>
                <w:color w:val="auto"/>
                <w:kern w:val="0"/>
                <w:sz w:val="24"/>
                <w:highlight w:val="none"/>
              </w:rPr>
            </w:pPr>
            <w:r>
              <w:rPr>
                <w:rFonts w:hint="eastAsia" w:hAnsi="宋体" w:cs="宋体"/>
                <w:color w:val="auto"/>
                <w:kern w:val="0"/>
                <w:sz w:val="24"/>
                <w:highlight w:val="none"/>
              </w:rPr>
              <w:t>量</w:t>
            </w:r>
          </w:p>
        </w:tc>
        <w:tc>
          <w:tcPr>
            <w:tcW w:w="5040" w:type="dxa"/>
            <w:gridSpan w:val="7"/>
            <w:tcBorders>
              <w:top w:val="single" w:color="auto" w:sz="4" w:space="0"/>
              <w:left w:val="single" w:color="auto" w:sz="4" w:space="0"/>
              <w:bottom w:val="single" w:color="000000" w:sz="4" w:space="0"/>
              <w:right w:val="single" w:color="000000"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综  合  单  价（元）</w:t>
            </w:r>
          </w:p>
        </w:tc>
        <w:tc>
          <w:tcPr>
            <w:tcW w:w="126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合计</w:t>
            </w:r>
          </w:p>
          <w:p>
            <w:pPr>
              <w:spacing w:line="500" w:lineRule="exact"/>
              <w:jc w:val="center"/>
              <w:rPr>
                <w:rFonts w:hAnsi="宋体" w:cs="宋体"/>
                <w:color w:val="auto"/>
                <w:kern w:val="0"/>
                <w:sz w:val="24"/>
                <w:highlight w:val="none"/>
              </w:rPr>
            </w:pPr>
            <w:r>
              <w:rPr>
                <w:rFonts w:hint="eastAsia" w:hAnsi="宋体" w:cs="宋体"/>
                <w:color w:val="auto"/>
                <w:kern w:val="0"/>
                <w:sz w:val="24"/>
                <w:highlight w:val="none"/>
              </w:rPr>
              <w:t>（元）</w:t>
            </w:r>
          </w:p>
        </w:tc>
      </w:tr>
      <w:tr>
        <w:tblPrEx>
          <w:tblCellMar>
            <w:top w:w="0" w:type="dxa"/>
            <w:left w:w="108" w:type="dxa"/>
            <w:bottom w:w="0" w:type="dxa"/>
            <w:right w:w="108" w:type="dxa"/>
          </w:tblCellMar>
        </w:tblPrEx>
        <w:trPr>
          <w:trHeight w:val="738" w:hRule="atLeast"/>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p>
        </w:tc>
        <w:tc>
          <w:tcPr>
            <w:tcW w:w="720" w:type="dxa"/>
            <w:vMerge w:val="continue"/>
            <w:tcBorders>
              <w:left w:val="nil"/>
              <w:bottom w:val="single" w:color="auto" w:sz="4" w:space="0"/>
              <w:right w:val="single" w:color="auto" w:sz="4" w:space="0"/>
            </w:tcBorders>
            <w:noWrap w:val="0"/>
            <w:vAlign w:val="center"/>
          </w:tcPr>
          <w:p>
            <w:pPr>
              <w:spacing w:line="500" w:lineRule="exact"/>
              <w:jc w:val="center"/>
              <w:rPr>
                <w:rFonts w:hAnsi="宋体" w:cs="宋体"/>
                <w:color w:val="auto"/>
                <w:kern w:val="0"/>
                <w:sz w:val="24"/>
                <w:highlight w:val="none"/>
              </w:rPr>
            </w:pPr>
          </w:p>
        </w:tc>
        <w:tc>
          <w:tcPr>
            <w:tcW w:w="72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人</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工</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材</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料</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机</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械</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管</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理</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利</w:t>
            </w:r>
          </w:p>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润</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风险</w:t>
            </w:r>
          </w:p>
          <w:p>
            <w:pPr>
              <w:jc w:val="center"/>
              <w:rPr>
                <w:rFonts w:hAnsi="宋体" w:cs="宋体"/>
                <w:color w:val="auto"/>
                <w:kern w:val="0"/>
                <w:sz w:val="24"/>
                <w:highlight w:val="none"/>
              </w:rPr>
            </w:pPr>
            <w:r>
              <w:rPr>
                <w:rFonts w:hint="eastAsia" w:hAnsi="宋体" w:cs="宋体"/>
                <w:color w:val="auto"/>
                <w:kern w:val="0"/>
                <w:sz w:val="24"/>
                <w:highlight w:val="none"/>
              </w:rPr>
              <w:t>费用</w:t>
            </w:r>
          </w:p>
        </w:tc>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小 计</w:t>
            </w:r>
          </w:p>
        </w:tc>
        <w:tc>
          <w:tcPr>
            <w:tcW w:w="126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（2）</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（3）</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（4）</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（5）</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（6）</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（7）</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（8）</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（9）</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（10）</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（11）</w:t>
            </w: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（4）*（11）</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w:t>
            </w:r>
          </w:p>
        </w:tc>
        <w:tc>
          <w:tcPr>
            <w:tcW w:w="1080"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pacing w:val="-22"/>
                <w:kern w:val="0"/>
                <w:sz w:val="20"/>
                <w:highlight w:val="none"/>
              </w:rPr>
            </w:pPr>
            <w:r>
              <w:rPr>
                <w:rFonts w:hint="eastAsia" w:hAnsi="宋体" w:cs="宋体"/>
                <w:color w:val="auto"/>
                <w:spacing w:val="-22"/>
                <w:kern w:val="0"/>
                <w:sz w:val="20"/>
                <w:highlight w:val="none"/>
              </w:rPr>
              <w:t>（清单编码）</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22"/>
                <w:kern w:val="0"/>
                <w:sz w:val="20"/>
                <w:highlight w:val="none"/>
              </w:rPr>
            </w:pPr>
            <w:r>
              <w:rPr>
                <w:rFonts w:hint="eastAsia" w:hAnsi="宋体" w:cs="宋体"/>
                <w:color w:val="auto"/>
                <w:spacing w:val="-22"/>
                <w:kern w:val="0"/>
                <w:sz w:val="20"/>
                <w:highlight w:val="none"/>
              </w:rPr>
              <w:t>（清单名称）</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spacing w:val="-22"/>
                <w:kern w:val="0"/>
                <w:sz w:val="20"/>
                <w:highlight w:val="none"/>
              </w:rPr>
              <w:t>（定额编号）</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0"/>
                <w:highlight w:val="none"/>
              </w:rPr>
            </w:pPr>
            <w:r>
              <w:rPr>
                <w:rFonts w:hint="eastAsia" w:hAnsi="宋体" w:cs="宋体"/>
                <w:color w:val="auto"/>
                <w:spacing w:val="-22"/>
                <w:kern w:val="0"/>
                <w:sz w:val="20"/>
                <w:highlight w:val="none"/>
              </w:rPr>
              <w:t>（定额名称）</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2</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22"/>
                <w:kern w:val="0"/>
                <w:sz w:val="20"/>
                <w:highlight w:val="none"/>
              </w:rPr>
            </w:pPr>
            <w:r>
              <w:rPr>
                <w:rFonts w:hint="eastAsia" w:hAnsi="宋体" w:cs="宋体"/>
                <w:color w:val="auto"/>
                <w:spacing w:val="-22"/>
                <w:kern w:val="0"/>
                <w:sz w:val="20"/>
                <w:highlight w:val="none"/>
              </w:rPr>
              <w:t>（清单编码）</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22"/>
                <w:kern w:val="0"/>
                <w:sz w:val="20"/>
                <w:highlight w:val="none"/>
              </w:rPr>
            </w:pPr>
            <w:r>
              <w:rPr>
                <w:rFonts w:hint="eastAsia" w:hAnsi="宋体" w:cs="宋体"/>
                <w:color w:val="auto"/>
                <w:spacing w:val="-22"/>
                <w:kern w:val="0"/>
                <w:sz w:val="20"/>
                <w:highlight w:val="none"/>
              </w:rPr>
              <w:t>（清单名称）</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spacing w:val="-22"/>
                <w:kern w:val="0"/>
                <w:sz w:val="20"/>
                <w:highlight w:val="none"/>
              </w:rPr>
              <w:t>（定额编号）</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0"/>
                <w:highlight w:val="none"/>
              </w:rPr>
            </w:pPr>
            <w:r>
              <w:rPr>
                <w:rFonts w:hint="eastAsia" w:hAnsi="宋体" w:cs="宋体"/>
                <w:color w:val="auto"/>
                <w:spacing w:val="-22"/>
                <w:kern w:val="0"/>
                <w:sz w:val="20"/>
                <w:highlight w:val="none"/>
              </w:rPr>
              <w:t>（定额名称）</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9180" w:type="dxa"/>
            <w:gridSpan w:val="12"/>
            <w:tcBorders>
              <w:top w:val="single" w:color="auto" w:sz="4" w:space="0"/>
              <w:left w:val="single" w:color="auto" w:sz="4" w:space="0"/>
              <w:bottom w:val="single" w:color="auto" w:sz="4" w:space="0"/>
              <w:right w:val="single" w:color="000000"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合  计：</w:t>
            </w: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r>
              <w:rPr>
                <w:rFonts w:hint="eastAsia" w:hAnsi="宋体" w:cs="宋体"/>
                <w:color w:val="auto"/>
                <w:kern w:val="0"/>
                <w:sz w:val="20"/>
                <w:highlight w:val="none"/>
              </w:rPr>
              <w:t>　</w:t>
            </w:r>
          </w:p>
        </w:tc>
      </w:tr>
    </w:tbl>
    <w:p>
      <w:pPr>
        <w:spacing w:line="500" w:lineRule="exact"/>
        <w:rPr>
          <w:rFonts w:hAnsi="宋体"/>
          <w:color w:val="auto"/>
          <w:sz w:val="24"/>
          <w:highlight w:val="none"/>
        </w:rPr>
      </w:pPr>
      <w:r>
        <w:rPr>
          <w:rFonts w:hint="eastAsia" w:hAnsi="宋体"/>
          <w:color w:val="auto"/>
          <w:sz w:val="24"/>
          <w:highlight w:val="none"/>
        </w:rPr>
        <w:t>注：表（1）（2）（3）（4）栏中清单编号、清单名称、清单计量单位和数量由招标人按需要提出。</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color w:val="auto"/>
          <w:highlight w:val="none"/>
        </w:rPr>
      </w:pPr>
      <w:r>
        <w:rPr>
          <w:color w:val="auto"/>
          <w:highlight w:val="none"/>
        </w:rPr>
        <w:br w:type="page"/>
      </w:r>
    </w:p>
    <w:p>
      <w:pPr>
        <w:widowControl/>
        <w:tabs>
          <w:tab w:val="center" w:pos="4755"/>
          <w:tab w:val="right" w:pos="9070"/>
        </w:tabs>
        <w:spacing w:before="100" w:beforeAutospacing="1" w:after="100" w:afterAutospacing="1" w:line="340" w:lineRule="exact"/>
        <w:ind w:firstLine="321" w:firstLineChars="100"/>
        <w:jc w:val="center"/>
        <w:rPr>
          <w:rFonts w:hAnsi="宋体"/>
          <w:b/>
          <w:color w:val="auto"/>
          <w:kern w:val="0"/>
          <w:sz w:val="32"/>
          <w:szCs w:val="32"/>
          <w:highlight w:val="none"/>
        </w:rPr>
      </w:pPr>
      <w:r>
        <w:rPr>
          <w:rFonts w:hint="eastAsia" w:hAnsi="宋体"/>
          <w:b/>
          <w:color w:val="auto"/>
          <w:kern w:val="0"/>
          <w:sz w:val="32"/>
          <w:szCs w:val="32"/>
          <w:highlight w:val="none"/>
        </w:rPr>
        <w:t>表2-2  措施项目清单分析表</w:t>
      </w:r>
    </w:p>
    <w:p>
      <w:pPr>
        <w:spacing w:line="440" w:lineRule="exact"/>
        <w:rPr>
          <w:rFonts w:hAnsi="宋体"/>
          <w:bCs/>
          <w:color w:val="auto"/>
          <w:sz w:val="24"/>
          <w:highlight w:val="none"/>
        </w:rPr>
      </w:pPr>
      <w:r>
        <w:rPr>
          <w:rFonts w:hint="eastAsia" w:hAnsi="宋体"/>
          <w:bCs/>
          <w:color w:val="auto"/>
          <w:sz w:val="24"/>
          <w:highlight w:val="none"/>
        </w:rPr>
        <w:t>工程名称：</w:t>
      </w:r>
    </w:p>
    <w:p>
      <w:pPr>
        <w:spacing w:line="440" w:lineRule="exact"/>
        <w:rPr>
          <w:rFonts w:hAnsi="宋体"/>
          <w:bCs/>
          <w:color w:val="auto"/>
          <w:sz w:val="24"/>
          <w:highlight w:val="none"/>
        </w:rPr>
      </w:pPr>
      <w:r>
        <w:rPr>
          <w:rFonts w:hint="eastAsia" w:hAnsi="宋体"/>
          <w:bCs/>
          <w:color w:val="auto"/>
          <w:sz w:val="24"/>
          <w:highlight w:val="none"/>
        </w:rPr>
        <w:t>单位工程名称：                                           　　 第  页共  页</w:t>
      </w:r>
    </w:p>
    <w:tbl>
      <w:tblPr>
        <w:tblStyle w:val="62"/>
        <w:tblW w:w="0" w:type="auto"/>
        <w:tblInd w:w="-697" w:type="dxa"/>
        <w:tblLayout w:type="fixed"/>
        <w:tblCellMar>
          <w:top w:w="0" w:type="dxa"/>
          <w:left w:w="108" w:type="dxa"/>
          <w:bottom w:w="0" w:type="dxa"/>
          <w:right w:w="108" w:type="dxa"/>
        </w:tblCellMar>
      </w:tblPr>
      <w:tblGrid>
        <w:gridCol w:w="540"/>
        <w:gridCol w:w="1440"/>
        <w:gridCol w:w="1440"/>
        <w:gridCol w:w="720"/>
        <w:gridCol w:w="720"/>
        <w:gridCol w:w="720"/>
        <w:gridCol w:w="720"/>
        <w:gridCol w:w="720"/>
        <w:gridCol w:w="540"/>
        <w:gridCol w:w="540"/>
        <w:gridCol w:w="900"/>
        <w:gridCol w:w="720"/>
        <w:gridCol w:w="1080"/>
      </w:tblGrid>
      <w:tr>
        <w:tblPrEx>
          <w:tblCellMar>
            <w:top w:w="0" w:type="dxa"/>
            <w:left w:w="108" w:type="dxa"/>
            <w:bottom w:w="0" w:type="dxa"/>
            <w:right w:w="108" w:type="dxa"/>
          </w:tblCellMar>
        </w:tblPrEx>
        <w:trPr>
          <w:trHeight w:val="503" w:hRule="atLeast"/>
        </w:trPr>
        <w:tc>
          <w:tcPr>
            <w:tcW w:w="54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序</w:t>
            </w:r>
          </w:p>
          <w:p>
            <w:pPr>
              <w:widowControl/>
              <w:jc w:val="center"/>
              <w:rPr>
                <w:rFonts w:hAnsi="宋体" w:cs="宋体"/>
                <w:color w:val="auto"/>
                <w:kern w:val="0"/>
                <w:sz w:val="24"/>
                <w:highlight w:val="none"/>
              </w:rPr>
            </w:pPr>
            <w:r>
              <w:rPr>
                <w:rFonts w:hint="eastAsia" w:hAnsi="宋体" w:cs="宋体"/>
                <w:color w:val="auto"/>
                <w:kern w:val="0"/>
                <w:sz w:val="24"/>
                <w:highlight w:val="none"/>
              </w:rPr>
              <w:t>号</w:t>
            </w:r>
          </w:p>
          <w:p>
            <w:pPr>
              <w:jc w:val="center"/>
              <w:rPr>
                <w:rFonts w:hAnsi="宋体" w:cs="宋体"/>
                <w:color w:val="auto"/>
                <w:kern w:val="0"/>
                <w:sz w:val="24"/>
                <w:highlight w:val="none"/>
              </w:rPr>
            </w:pP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编号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名称</w:t>
            </w:r>
          </w:p>
        </w:tc>
        <w:tc>
          <w:tcPr>
            <w:tcW w:w="720"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计</w:t>
            </w:r>
          </w:p>
          <w:p>
            <w:pPr>
              <w:widowControl/>
              <w:jc w:val="center"/>
              <w:rPr>
                <w:rFonts w:hAnsi="宋体" w:cs="宋体"/>
                <w:color w:val="auto"/>
                <w:kern w:val="0"/>
                <w:sz w:val="24"/>
                <w:highlight w:val="none"/>
              </w:rPr>
            </w:pPr>
            <w:r>
              <w:rPr>
                <w:rFonts w:hint="eastAsia" w:hAnsi="宋体" w:cs="宋体"/>
                <w:color w:val="auto"/>
                <w:kern w:val="0"/>
                <w:sz w:val="24"/>
                <w:highlight w:val="none"/>
              </w:rPr>
              <w:t>量</w:t>
            </w:r>
          </w:p>
          <w:p>
            <w:pPr>
              <w:widowControl/>
              <w:jc w:val="center"/>
              <w:rPr>
                <w:rFonts w:hAnsi="宋体" w:cs="宋体"/>
                <w:color w:val="auto"/>
                <w:kern w:val="0"/>
                <w:sz w:val="24"/>
                <w:highlight w:val="none"/>
              </w:rPr>
            </w:pPr>
            <w:r>
              <w:rPr>
                <w:rFonts w:hint="eastAsia" w:hAnsi="宋体" w:cs="宋体"/>
                <w:color w:val="auto"/>
                <w:kern w:val="0"/>
                <w:sz w:val="24"/>
                <w:highlight w:val="none"/>
              </w:rPr>
              <w:t>单</w:t>
            </w:r>
          </w:p>
          <w:p>
            <w:pPr>
              <w:widowControl/>
              <w:jc w:val="center"/>
              <w:rPr>
                <w:rFonts w:hAnsi="宋体" w:cs="宋体"/>
                <w:color w:val="auto"/>
                <w:kern w:val="0"/>
                <w:sz w:val="24"/>
                <w:highlight w:val="none"/>
              </w:rPr>
            </w:pPr>
            <w:r>
              <w:rPr>
                <w:rFonts w:hint="eastAsia" w:hAnsi="宋体" w:cs="宋体"/>
                <w:color w:val="auto"/>
                <w:kern w:val="0"/>
                <w:sz w:val="24"/>
                <w:highlight w:val="none"/>
              </w:rPr>
              <w:t>位</w:t>
            </w:r>
          </w:p>
        </w:tc>
        <w:tc>
          <w:tcPr>
            <w:tcW w:w="720"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数</w:t>
            </w:r>
          </w:p>
          <w:p>
            <w:pPr>
              <w:widowControl/>
              <w:jc w:val="center"/>
              <w:rPr>
                <w:rFonts w:hAnsi="宋体" w:cs="宋体"/>
                <w:color w:val="auto"/>
                <w:kern w:val="0"/>
                <w:sz w:val="24"/>
                <w:highlight w:val="none"/>
              </w:rPr>
            </w:pPr>
            <w:r>
              <w:rPr>
                <w:rFonts w:hint="eastAsia" w:hAnsi="宋体" w:cs="宋体"/>
                <w:color w:val="auto"/>
                <w:kern w:val="0"/>
                <w:sz w:val="24"/>
                <w:highlight w:val="none"/>
              </w:rPr>
              <w:t>量</w:t>
            </w:r>
          </w:p>
          <w:p>
            <w:pPr>
              <w:jc w:val="center"/>
              <w:rPr>
                <w:rFonts w:hAnsi="宋体" w:cs="宋体"/>
                <w:color w:val="auto"/>
                <w:kern w:val="0"/>
                <w:sz w:val="24"/>
                <w:highlight w:val="none"/>
              </w:rPr>
            </w:pPr>
          </w:p>
        </w:tc>
        <w:tc>
          <w:tcPr>
            <w:tcW w:w="486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综 合 单 价（元）</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合计（元）</w:t>
            </w:r>
          </w:p>
        </w:tc>
      </w:tr>
      <w:tr>
        <w:tblPrEx>
          <w:tblCellMar>
            <w:top w:w="0" w:type="dxa"/>
            <w:left w:w="108" w:type="dxa"/>
            <w:bottom w:w="0" w:type="dxa"/>
            <w:right w:w="108" w:type="dxa"/>
          </w:tblCellMar>
        </w:tblPrEx>
        <w:trPr>
          <w:trHeight w:val="1270"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人</w:t>
            </w:r>
          </w:p>
          <w:p>
            <w:pPr>
              <w:widowControl/>
              <w:jc w:val="center"/>
              <w:rPr>
                <w:rFonts w:hAnsi="宋体" w:cs="宋体"/>
                <w:color w:val="auto"/>
                <w:kern w:val="0"/>
                <w:sz w:val="24"/>
                <w:highlight w:val="none"/>
              </w:rPr>
            </w:pPr>
            <w:r>
              <w:rPr>
                <w:rFonts w:hint="eastAsia" w:hAnsi="宋体" w:cs="宋体"/>
                <w:color w:val="auto"/>
                <w:kern w:val="0"/>
                <w:sz w:val="24"/>
                <w:highlight w:val="none"/>
              </w:rPr>
              <w:t>工</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材</w:t>
            </w:r>
          </w:p>
          <w:p>
            <w:pPr>
              <w:widowControl/>
              <w:jc w:val="center"/>
              <w:rPr>
                <w:rFonts w:hAnsi="宋体" w:cs="宋体"/>
                <w:color w:val="auto"/>
                <w:kern w:val="0"/>
                <w:sz w:val="24"/>
                <w:highlight w:val="none"/>
              </w:rPr>
            </w:pPr>
            <w:r>
              <w:rPr>
                <w:rFonts w:hint="eastAsia" w:hAnsi="宋体" w:cs="宋体"/>
                <w:color w:val="auto"/>
                <w:kern w:val="0"/>
                <w:sz w:val="24"/>
                <w:highlight w:val="none"/>
              </w:rPr>
              <w:t>料</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机</w:t>
            </w:r>
          </w:p>
          <w:p>
            <w:pPr>
              <w:widowControl/>
              <w:jc w:val="center"/>
              <w:rPr>
                <w:rFonts w:hAnsi="宋体" w:cs="宋体"/>
                <w:color w:val="auto"/>
                <w:kern w:val="0"/>
                <w:sz w:val="24"/>
                <w:highlight w:val="none"/>
              </w:rPr>
            </w:pPr>
            <w:r>
              <w:rPr>
                <w:rFonts w:hint="eastAsia" w:hAnsi="宋体" w:cs="宋体"/>
                <w:color w:val="auto"/>
                <w:kern w:val="0"/>
                <w:sz w:val="24"/>
                <w:highlight w:val="none"/>
              </w:rPr>
              <w:t>械</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管</w:t>
            </w:r>
          </w:p>
          <w:p>
            <w:pPr>
              <w:widowControl/>
              <w:jc w:val="center"/>
              <w:rPr>
                <w:rFonts w:hAnsi="宋体" w:cs="宋体"/>
                <w:color w:val="auto"/>
                <w:kern w:val="0"/>
                <w:sz w:val="24"/>
                <w:highlight w:val="none"/>
              </w:rPr>
            </w:pPr>
            <w:r>
              <w:rPr>
                <w:rFonts w:hint="eastAsia" w:hAnsi="宋体" w:cs="宋体"/>
                <w:color w:val="auto"/>
                <w:kern w:val="0"/>
                <w:sz w:val="24"/>
                <w:highlight w:val="none"/>
              </w:rPr>
              <w:t>理</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利润</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风险</w:t>
            </w:r>
          </w:p>
          <w:p>
            <w:pPr>
              <w:jc w:val="center"/>
              <w:rPr>
                <w:rFonts w:hAnsi="宋体" w:cs="宋体"/>
                <w:color w:val="auto"/>
                <w:kern w:val="0"/>
                <w:sz w:val="24"/>
                <w:highlight w:val="none"/>
              </w:rPr>
            </w:pPr>
            <w:r>
              <w:rPr>
                <w:rFonts w:hint="eastAsia" w:hAnsi="宋体" w:cs="宋体"/>
                <w:color w:val="auto"/>
                <w:kern w:val="0"/>
                <w:sz w:val="24"/>
                <w:highlight w:val="none"/>
              </w:rPr>
              <w:t>费用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小计</w:t>
            </w:r>
          </w:p>
        </w:tc>
        <w:tc>
          <w:tcPr>
            <w:tcW w:w="1080" w:type="dxa"/>
            <w:vMerge w:val="continue"/>
            <w:tcBorders>
              <w:left w:val="single" w:color="auto" w:sz="4" w:space="0"/>
              <w:bottom w:val="single" w:color="000000" w:sz="4" w:space="0"/>
              <w:right w:val="single" w:color="auto" w:sz="4" w:space="0"/>
            </w:tcBorders>
            <w:noWrap w:val="0"/>
            <w:vAlign w:val="center"/>
          </w:tcPr>
          <w:p>
            <w:pPr>
              <w:widowControl/>
              <w:jc w:val="center"/>
              <w:rPr>
                <w:rFonts w:hAnsi="宋体" w:cs="宋体"/>
                <w:color w:val="auto"/>
                <w:kern w:val="0"/>
                <w:sz w:val="24"/>
                <w:highlight w:val="none"/>
              </w:rPr>
            </w:pPr>
          </w:p>
        </w:tc>
      </w:tr>
      <w:tr>
        <w:tblPrEx>
          <w:tblCellMar>
            <w:top w:w="0" w:type="dxa"/>
            <w:left w:w="108" w:type="dxa"/>
            <w:bottom w:w="0" w:type="dxa"/>
            <w:right w:w="108" w:type="dxa"/>
          </w:tblCellMar>
        </w:tblPrEx>
        <w:trPr>
          <w:trHeight w:val="6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（2）</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Ansi="宋体" w:cs="宋体"/>
                <w:color w:val="auto"/>
                <w:spacing w:val="-20"/>
                <w:kern w:val="0"/>
                <w:szCs w:val="21"/>
                <w:highlight w:val="none"/>
              </w:rPr>
            </w:pPr>
            <w:r>
              <w:rPr>
                <w:rFonts w:hint="eastAsia" w:hAnsi="宋体" w:cs="宋体"/>
                <w:color w:val="auto"/>
                <w:spacing w:val="-20"/>
                <w:kern w:val="0"/>
                <w:szCs w:val="21"/>
                <w:highlight w:val="none"/>
              </w:rPr>
              <w:t>（3）</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Ansi="宋体" w:cs="宋体"/>
                <w:color w:val="auto"/>
                <w:spacing w:val="-20"/>
                <w:kern w:val="0"/>
                <w:szCs w:val="21"/>
                <w:highlight w:val="none"/>
              </w:rPr>
            </w:pPr>
            <w:r>
              <w:rPr>
                <w:rFonts w:hint="eastAsia" w:hAnsi="宋体" w:cs="宋体"/>
                <w:color w:val="auto"/>
                <w:spacing w:val="-20"/>
                <w:kern w:val="0"/>
                <w:szCs w:val="21"/>
                <w:highlight w:val="none"/>
              </w:rPr>
              <w:t>（4）</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（5）</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（7）</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rPr>
                <w:rFonts w:hAnsi="宋体" w:cs="宋体"/>
                <w:color w:val="auto"/>
                <w:spacing w:val="-30"/>
                <w:kern w:val="0"/>
                <w:szCs w:val="21"/>
                <w:highlight w:val="none"/>
              </w:rPr>
            </w:pPr>
            <w:r>
              <w:rPr>
                <w:rFonts w:hint="eastAsia" w:hAnsi="宋体" w:cs="宋体"/>
                <w:color w:val="auto"/>
                <w:spacing w:val="-30"/>
                <w:kern w:val="0"/>
                <w:szCs w:val="21"/>
                <w:highlight w:val="none"/>
              </w:rPr>
              <w:t>（8）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30"/>
                <w:kern w:val="0"/>
                <w:szCs w:val="21"/>
                <w:highlight w:val="none"/>
              </w:rPr>
            </w:pPr>
            <w:r>
              <w:rPr>
                <w:rFonts w:hint="eastAsia" w:hAnsi="宋体" w:cs="宋体"/>
                <w:color w:val="auto"/>
                <w:spacing w:val="-30"/>
                <w:kern w:val="0"/>
                <w:szCs w:val="21"/>
                <w:highlight w:val="none"/>
              </w:rPr>
              <w:t>（9）</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Ansi="宋体" w:cs="宋体"/>
                <w:color w:val="auto"/>
                <w:spacing w:val="-20"/>
                <w:kern w:val="0"/>
                <w:szCs w:val="21"/>
                <w:highlight w:val="none"/>
              </w:rPr>
            </w:pPr>
            <w:r>
              <w:rPr>
                <w:rFonts w:hint="eastAsia" w:hAnsi="宋体" w:cs="宋体"/>
                <w:color w:val="auto"/>
                <w:spacing w:val="-20"/>
                <w:kern w:val="0"/>
                <w:szCs w:val="21"/>
                <w:highlight w:val="none"/>
              </w:rPr>
              <w:t>（11）</w:t>
            </w:r>
          </w:p>
        </w:tc>
        <w:tc>
          <w:tcPr>
            <w:tcW w:w="1080" w:type="dxa"/>
            <w:tcBorders>
              <w:left w:val="single" w:color="auto" w:sz="4" w:space="0"/>
              <w:bottom w:val="single" w:color="000000"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（4）*（11）</w:t>
            </w:r>
          </w:p>
        </w:tc>
      </w:tr>
      <w:tr>
        <w:tblPrEx>
          <w:tblCellMar>
            <w:top w:w="0" w:type="dxa"/>
            <w:left w:w="108" w:type="dxa"/>
            <w:bottom w:w="0" w:type="dxa"/>
            <w:right w:w="108" w:type="dxa"/>
          </w:tblCellMar>
        </w:tblPrEx>
        <w:trPr>
          <w:trHeight w:val="64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1</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72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r>
      <w:tr>
        <w:tblPrEx>
          <w:tblCellMar>
            <w:top w:w="0" w:type="dxa"/>
            <w:left w:w="108" w:type="dxa"/>
            <w:bottom w:w="0" w:type="dxa"/>
            <w:right w:w="108" w:type="dxa"/>
          </w:tblCellMar>
        </w:tblPrEx>
        <w:trPr>
          <w:trHeight w:val="64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2</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合  计：</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r>
    </w:tbl>
    <w:p>
      <w:pPr>
        <w:spacing w:line="500" w:lineRule="exact"/>
        <w:rPr>
          <w:rFonts w:hAnsi="宋体"/>
          <w:color w:val="auto"/>
          <w:sz w:val="24"/>
          <w:highlight w:val="none"/>
        </w:rPr>
      </w:pPr>
      <w:r>
        <w:rPr>
          <w:rFonts w:hint="eastAsia" w:hAnsi="宋体"/>
          <w:color w:val="auto"/>
          <w:sz w:val="24"/>
          <w:highlight w:val="none"/>
        </w:rPr>
        <w:t>注：表（1）（2）栏中清单编号和措施项目清单名称由招标人按需要提出。</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spacing w:line="500" w:lineRule="exact"/>
        <w:rPr>
          <w:rFonts w:hAnsi="宋体"/>
          <w:color w:val="auto"/>
          <w:sz w:val="24"/>
          <w:highlight w:val="none"/>
        </w:rPr>
      </w:pPr>
      <w:r>
        <w:rPr>
          <w:rFonts w:hint="eastAsia" w:hAnsi="宋体"/>
          <w:color w:val="auto"/>
          <w:sz w:val="24"/>
          <w:highlight w:val="none"/>
        </w:rPr>
        <w:br w:type="page"/>
      </w:r>
    </w:p>
    <w:p>
      <w:pPr>
        <w:widowControl/>
        <w:tabs>
          <w:tab w:val="center" w:pos="4755"/>
          <w:tab w:val="right" w:pos="9070"/>
        </w:tabs>
        <w:jc w:val="center"/>
        <w:rPr>
          <w:rFonts w:hAnsi="宋体"/>
          <w:b/>
          <w:bCs/>
          <w:color w:val="auto"/>
          <w:kern w:val="0"/>
          <w:sz w:val="32"/>
          <w:szCs w:val="28"/>
          <w:highlight w:val="none"/>
        </w:rPr>
      </w:pPr>
      <w:r>
        <w:rPr>
          <w:rFonts w:hint="eastAsia" w:hAnsi="宋体"/>
          <w:b/>
          <w:bCs/>
          <w:color w:val="auto"/>
          <w:kern w:val="0"/>
          <w:sz w:val="32"/>
          <w:szCs w:val="28"/>
          <w:highlight w:val="none"/>
        </w:rPr>
        <w:t>表2-3  综合单价工料机分析表</w:t>
      </w: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项目编码:                                            计量单位：</w:t>
      </w: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人工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一类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二类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三类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center"/>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主要</w:t>
            </w:r>
          </w:p>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材料</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主要</w:t>
            </w:r>
          </w:p>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机械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管理费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利润</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综合单价（4+5+6+7）</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注:本表由招标人按需要提出</w:t>
      </w: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int="eastAsia" w:hAnsi="宋体" w:cs="宋体"/>
          <w:b/>
          <w:bCs/>
          <w:color w:val="auto"/>
          <w:kern w:val="0"/>
          <w:sz w:val="32"/>
          <w:szCs w:val="32"/>
          <w:highlight w:val="none"/>
        </w:rPr>
      </w:pPr>
      <w:r>
        <w:rPr>
          <w:rFonts w:hAnsi="宋体"/>
          <w:color w:val="auto"/>
          <w:kern w:val="0"/>
          <w:sz w:val="32"/>
          <w:highlight w:val="none"/>
        </w:rPr>
        <w:br w:type="page"/>
      </w:r>
    </w:p>
    <w:p>
      <w:pPr>
        <w:widowControl/>
        <w:jc w:val="center"/>
        <w:rPr>
          <w:rFonts w:hAnsi="宋体" w:cs="宋体"/>
          <w:b/>
          <w:bCs/>
          <w:color w:val="auto"/>
          <w:kern w:val="0"/>
          <w:sz w:val="32"/>
          <w:szCs w:val="32"/>
          <w:highlight w:val="none"/>
        </w:rPr>
      </w:pPr>
      <w:r>
        <w:rPr>
          <w:rFonts w:hint="eastAsia" w:hAnsi="宋体" w:cs="宋体"/>
          <w:b/>
          <w:bCs/>
          <w:color w:val="auto"/>
          <w:kern w:val="0"/>
          <w:sz w:val="32"/>
          <w:szCs w:val="32"/>
          <w:highlight w:val="none"/>
        </w:rPr>
        <w:t>表2-4  措施项目工料机分析表</w:t>
      </w: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项目编码:                                            计量单位：</w:t>
      </w: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人工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一类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二类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三类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主要材料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主要机械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管理费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利润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合计（4+5+6+7）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注:本表由招标人按需要提出</w:t>
      </w: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Ansi="宋体"/>
          <w:color w:val="auto"/>
          <w:kern w:val="0"/>
          <w:sz w:val="24"/>
          <w:highlight w:val="none"/>
        </w:rPr>
      </w:pPr>
      <w:r>
        <w:rPr>
          <w:rFonts w:hAnsi="宋体"/>
          <w:color w:val="auto"/>
          <w:kern w:val="0"/>
          <w:sz w:val="24"/>
          <w:highlight w:val="none"/>
        </w:rPr>
        <w:br w:type="page"/>
      </w:r>
    </w:p>
    <w:p>
      <w:pPr>
        <w:widowControl/>
        <w:tabs>
          <w:tab w:val="center" w:pos="4755"/>
          <w:tab w:val="right" w:pos="9070"/>
        </w:tabs>
        <w:jc w:val="left"/>
        <w:rPr>
          <w:rFonts w:hAnsi="宋体"/>
          <w:color w:val="auto"/>
          <w:kern w:val="0"/>
          <w:sz w:val="24"/>
          <w:highlight w:val="none"/>
        </w:rPr>
      </w:pPr>
    </w:p>
    <w:p>
      <w:pPr>
        <w:widowControl/>
        <w:jc w:val="center"/>
        <w:rPr>
          <w:rFonts w:hAnsi="宋体" w:cs="宋体"/>
          <w:b/>
          <w:bCs/>
          <w:color w:val="auto"/>
          <w:kern w:val="0"/>
          <w:sz w:val="32"/>
          <w:szCs w:val="32"/>
          <w:highlight w:val="none"/>
        </w:rPr>
      </w:pPr>
      <w:r>
        <w:rPr>
          <w:rFonts w:hint="eastAsia" w:hAnsi="宋体" w:cs="宋体"/>
          <w:b/>
          <w:bCs/>
          <w:color w:val="auto"/>
          <w:kern w:val="0"/>
          <w:sz w:val="32"/>
          <w:szCs w:val="32"/>
          <w:highlight w:val="none"/>
        </w:rPr>
        <w:t>表2-5现场监控、临时宿舍取暖降温费用分析表</w:t>
      </w:r>
    </w:p>
    <w:p>
      <w:pPr>
        <w:widowControl/>
        <w:jc w:val="center"/>
        <w:rPr>
          <w:rFonts w:hAnsi="宋体" w:cs="宋体"/>
          <w:b/>
          <w:bCs/>
          <w:color w:val="auto"/>
          <w:kern w:val="0"/>
          <w:sz w:val="32"/>
          <w:szCs w:val="32"/>
          <w:highlight w:val="none"/>
        </w:rPr>
      </w:pPr>
    </w:p>
    <w:p>
      <w:pPr>
        <w:topLinePunct/>
        <w:spacing w:line="440" w:lineRule="exact"/>
        <w:ind w:left="240" w:hanging="240" w:hangingChars="100"/>
        <w:rPr>
          <w:color w:val="auto"/>
          <w:sz w:val="24"/>
          <w:highlight w:val="none"/>
        </w:rPr>
      </w:pPr>
      <w:r>
        <w:rPr>
          <w:rFonts w:hint="eastAsia"/>
          <w:color w:val="auto"/>
          <w:sz w:val="24"/>
          <w:highlight w:val="none"/>
        </w:rPr>
        <w:t>工程名称：                                                   第   页  共 页</w:t>
      </w:r>
    </w:p>
    <w:tbl>
      <w:tblPr>
        <w:tblStyle w:val="6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37"/>
        <w:gridCol w:w="1045"/>
        <w:gridCol w:w="1117"/>
        <w:gridCol w:w="138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noWrap w:val="0"/>
            <w:vAlign w:val="center"/>
          </w:tcPr>
          <w:p>
            <w:pPr>
              <w:topLinePunct/>
              <w:spacing w:line="440" w:lineRule="exact"/>
              <w:jc w:val="center"/>
              <w:rPr>
                <w:color w:val="auto"/>
                <w:sz w:val="24"/>
                <w:highlight w:val="none"/>
              </w:rPr>
            </w:pPr>
            <w:r>
              <w:rPr>
                <w:rFonts w:hint="eastAsia"/>
                <w:color w:val="auto"/>
                <w:sz w:val="24"/>
                <w:highlight w:val="none"/>
              </w:rPr>
              <w:t>序号</w:t>
            </w:r>
          </w:p>
        </w:tc>
        <w:tc>
          <w:tcPr>
            <w:tcW w:w="3637" w:type="dxa"/>
            <w:noWrap w:val="0"/>
            <w:vAlign w:val="center"/>
          </w:tcPr>
          <w:p>
            <w:pPr>
              <w:topLinePunct/>
              <w:spacing w:line="440" w:lineRule="exact"/>
              <w:jc w:val="center"/>
              <w:rPr>
                <w:color w:val="auto"/>
                <w:sz w:val="24"/>
                <w:highlight w:val="none"/>
              </w:rPr>
            </w:pPr>
            <w:r>
              <w:rPr>
                <w:rFonts w:hint="eastAsia"/>
                <w:color w:val="auto"/>
                <w:sz w:val="24"/>
                <w:highlight w:val="none"/>
              </w:rPr>
              <w:t>费用名称</w:t>
            </w:r>
          </w:p>
        </w:tc>
        <w:tc>
          <w:tcPr>
            <w:tcW w:w="1045" w:type="dxa"/>
            <w:noWrap w:val="0"/>
            <w:vAlign w:val="center"/>
          </w:tcPr>
          <w:p>
            <w:pPr>
              <w:topLinePunct/>
              <w:spacing w:line="440" w:lineRule="exact"/>
              <w:jc w:val="center"/>
              <w:rPr>
                <w:color w:val="auto"/>
                <w:sz w:val="24"/>
                <w:highlight w:val="none"/>
              </w:rPr>
            </w:pPr>
            <w:r>
              <w:rPr>
                <w:rFonts w:hint="eastAsia"/>
                <w:color w:val="auto"/>
                <w:sz w:val="24"/>
                <w:highlight w:val="none"/>
              </w:rPr>
              <w:t>单位</w:t>
            </w:r>
          </w:p>
        </w:tc>
        <w:tc>
          <w:tcPr>
            <w:tcW w:w="1117" w:type="dxa"/>
            <w:noWrap w:val="0"/>
            <w:vAlign w:val="center"/>
          </w:tcPr>
          <w:p>
            <w:pPr>
              <w:topLinePunct/>
              <w:spacing w:line="440" w:lineRule="exact"/>
              <w:jc w:val="center"/>
              <w:rPr>
                <w:color w:val="auto"/>
                <w:sz w:val="24"/>
                <w:highlight w:val="none"/>
              </w:rPr>
            </w:pPr>
            <w:r>
              <w:rPr>
                <w:rFonts w:hint="eastAsia"/>
                <w:color w:val="auto"/>
                <w:sz w:val="24"/>
                <w:highlight w:val="none"/>
              </w:rPr>
              <w:t>数量</w:t>
            </w:r>
          </w:p>
        </w:tc>
        <w:tc>
          <w:tcPr>
            <w:tcW w:w="1382" w:type="dxa"/>
            <w:noWrap w:val="0"/>
            <w:vAlign w:val="center"/>
          </w:tcPr>
          <w:p>
            <w:pPr>
              <w:topLinePunct/>
              <w:spacing w:line="440" w:lineRule="exact"/>
              <w:jc w:val="center"/>
              <w:rPr>
                <w:color w:val="auto"/>
                <w:sz w:val="24"/>
                <w:highlight w:val="none"/>
              </w:rPr>
            </w:pPr>
            <w:r>
              <w:rPr>
                <w:rFonts w:hint="eastAsia"/>
                <w:color w:val="auto"/>
                <w:sz w:val="24"/>
                <w:highlight w:val="none"/>
              </w:rPr>
              <w:t>单价（元）</w:t>
            </w:r>
          </w:p>
        </w:tc>
        <w:tc>
          <w:tcPr>
            <w:tcW w:w="1429" w:type="dxa"/>
            <w:noWrap w:val="0"/>
            <w:vAlign w:val="center"/>
          </w:tcPr>
          <w:p>
            <w:pPr>
              <w:topLinePunct/>
              <w:spacing w:line="440" w:lineRule="exact"/>
              <w:jc w:val="center"/>
              <w:rPr>
                <w:color w:val="auto"/>
                <w:sz w:val="24"/>
                <w:highlight w:val="none"/>
              </w:rPr>
            </w:pPr>
            <w:r>
              <w:rPr>
                <w:rFonts w:hint="eastAsia"/>
                <w:color w:val="auto"/>
                <w:sz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r>
              <w:rPr>
                <w:rFonts w:hint="eastAsia" w:hAnsi="宋体"/>
                <w:b/>
                <w:color w:val="auto"/>
                <w:sz w:val="24"/>
                <w:highlight w:val="none"/>
              </w:rPr>
              <w:t>一</w:t>
            </w:r>
          </w:p>
        </w:tc>
        <w:tc>
          <w:tcPr>
            <w:tcW w:w="3637" w:type="dxa"/>
            <w:noWrap w:val="0"/>
            <w:vAlign w:val="top"/>
          </w:tcPr>
          <w:p>
            <w:pPr>
              <w:topLinePunct/>
              <w:spacing w:line="440" w:lineRule="exact"/>
              <w:rPr>
                <w:rFonts w:hAnsi="宋体"/>
                <w:b/>
                <w:color w:val="auto"/>
                <w:sz w:val="24"/>
                <w:highlight w:val="none"/>
              </w:rPr>
            </w:pPr>
            <w:r>
              <w:rPr>
                <w:rFonts w:hint="eastAsia" w:hAnsi="宋体"/>
                <w:b/>
                <w:color w:val="auto"/>
                <w:sz w:val="24"/>
                <w:highlight w:val="none"/>
              </w:rPr>
              <w:t>施工现场在线监测监控系统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color w:val="auto"/>
                <w:sz w:val="24"/>
                <w:highlight w:val="none"/>
              </w:rPr>
            </w:pPr>
            <w:r>
              <w:rPr>
                <w:rFonts w:hint="eastAsia" w:hAnsi="宋体"/>
                <w:color w:val="auto"/>
                <w:sz w:val="24"/>
                <w:highlight w:val="none"/>
              </w:rPr>
              <w:t>1</w:t>
            </w:r>
          </w:p>
        </w:tc>
        <w:tc>
          <w:tcPr>
            <w:tcW w:w="3637" w:type="dxa"/>
            <w:noWrap w:val="0"/>
            <w:vAlign w:val="top"/>
          </w:tcPr>
          <w:p>
            <w:pPr>
              <w:topLinePunct/>
              <w:spacing w:line="440" w:lineRule="exact"/>
              <w:rPr>
                <w:rFonts w:hAnsi="宋体"/>
                <w:color w:val="auto"/>
                <w:sz w:val="24"/>
                <w:highlight w:val="none"/>
              </w:rPr>
            </w:pPr>
            <w:r>
              <w:rPr>
                <w:rFonts w:hint="eastAsia" w:hAnsi="宋体"/>
                <w:color w:val="auto"/>
                <w:sz w:val="24"/>
                <w:highlight w:val="none"/>
              </w:rPr>
              <w:t>塔吊安全监控系统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color w:val="auto"/>
                <w:sz w:val="24"/>
                <w:highlight w:val="none"/>
              </w:rPr>
            </w:pPr>
            <w:r>
              <w:rPr>
                <w:rFonts w:hint="eastAsia" w:hAnsi="宋体"/>
                <w:color w:val="auto"/>
                <w:sz w:val="24"/>
                <w:highlight w:val="none"/>
              </w:rPr>
              <w:t>2</w:t>
            </w:r>
          </w:p>
        </w:tc>
        <w:tc>
          <w:tcPr>
            <w:tcW w:w="3637" w:type="dxa"/>
            <w:noWrap w:val="0"/>
            <w:vAlign w:val="top"/>
          </w:tcPr>
          <w:p>
            <w:pPr>
              <w:topLinePunct/>
              <w:spacing w:line="440" w:lineRule="exact"/>
              <w:rPr>
                <w:rFonts w:hAnsi="宋体"/>
                <w:color w:val="auto"/>
                <w:sz w:val="24"/>
                <w:highlight w:val="none"/>
              </w:rPr>
            </w:pPr>
            <w:r>
              <w:rPr>
                <w:rFonts w:hint="eastAsia" w:hAnsi="宋体"/>
                <w:color w:val="auto"/>
                <w:sz w:val="24"/>
                <w:highlight w:val="none"/>
              </w:rPr>
              <w:t>现场远程视频监控系统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color w:val="auto"/>
                <w:sz w:val="24"/>
                <w:highlight w:val="none"/>
              </w:rPr>
            </w:pPr>
            <w:r>
              <w:rPr>
                <w:rFonts w:hint="eastAsia" w:hAnsi="宋体"/>
                <w:color w:val="auto"/>
                <w:sz w:val="24"/>
                <w:highlight w:val="none"/>
              </w:rPr>
              <w:t>3</w:t>
            </w:r>
          </w:p>
        </w:tc>
        <w:tc>
          <w:tcPr>
            <w:tcW w:w="3637" w:type="dxa"/>
            <w:noWrap w:val="0"/>
            <w:vAlign w:val="top"/>
          </w:tcPr>
          <w:p>
            <w:pPr>
              <w:topLinePunct/>
              <w:spacing w:line="440" w:lineRule="exact"/>
              <w:rPr>
                <w:rFonts w:hAnsi="宋体"/>
                <w:color w:val="auto"/>
                <w:sz w:val="24"/>
                <w:highlight w:val="none"/>
              </w:rPr>
            </w:pPr>
            <w:r>
              <w:rPr>
                <w:rFonts w:hint="eastAsia" w:hAnsi="宋体"/>
                <w:color w:val="auto"/>
                <w:sz w:val="24"/>
                <w:highlight w:val="none"/>
              </w:rPr>
              <w:t>其他监测系统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r>
              <w:rPr>
                <w:rFonts w:hint="eastAsia" w:hAnsi="宋体"/>
                <w:b/>
                <w:color w:val="auto"/>
                <w:sz w:val="24"/>
                <w:highlight w:val="none"/>
              </w:rPr>
              <w:t>二</w:t>
            </w:r>
          </w:p>
        </w:tc>
        <w:tc>
          <w:tcPr>
            <w:tcW w:w="3637" w:type="dxa"/>
            <w:noWrap w:val="0"/>
            <w:vAlign w:val="top"/>
          </w:tcPr>
          <w:p>
            <w:pPr>
              <w:topLinePunct/>
              <w:spacing w:line="440" w:lineRule="exact"/>
              <w:rPr>
                <w:rFonts w:hAnsi="宋体"/>
                <w:b/>
                <w:color w:val="auto"/>
                <w:sz w:val="24"/>
                <w:highlight w:val="none"/>
              </w:rPr>
            </w:pPr>
            <w:r>
              <w:rPr>
                <w:rFonts w:hint="eastAsia" w:hAnsi="宋体"/>
                <w:b/>
                <w:color w:val="auto"/>
                <w:sz w:val="24"/>
                <w:highlight w:val="none"/>
              </w:rPr>
              <w:t>现场临时宿舍空调设施</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r>
              <w:rPr>
                <w:rFonts w:hint="eastAsia" w:hAnsi="宋体"/>
                <w:b/>
                <w:color w:val="auto"/>
                <w:sz w:val="24"/>
                <w:highlight w:val="none"/>
              </w:rPr>
              <w:t>合计</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bl>
    <w:p>
      <w:pPr>
        <w:topLinePunct/>
        <w:spacing w:line="440" w:lineRule="exact"/>
        <w:jc w:val="center"/>
        <w:rPr>
          <w:b/>
          <w:color w:val="auto"/>
          <w:sz w:val="32"/>
          <w:szCs w:val="32"/>
          <w:highlight w:val="none"/>
        </w:rPr>
      </w:pPr>
    </w:p>
    <w:p>
      <w:pPr>
        <w:topLinePunct/>
        <w:spacing w:line="440" w:lineRule="exact"/>
        <w:rPr>
          <w:color w:val="auto"/>
          <w:sz w:val="24"/>
          <w:highlight w:val="none"/>
        </w:rPr>
      </w:pPr>
      <w:r>
        <w:rPr>
          <w:rFonts w:hint="eastAsia"/>
          <w:color w:val="auto"/>
          <w:sz w:val="24"/>
          <w:highlight w:val="none"/>
        </w:rPr>
        <w:t>注：本表为分析表，由</w:t>
      </w:r>
      <w:r>
        <w:rPr>
          <w:rFonts w:hint="eastAsia" w:hAnsi="宋体"/>
          <w:color w:val="auto"/>
          <w:kern w:val="0"/>
          <w:sz w:val="24"/>
          <w:highlight w:val="none"/>
          <w:lang w:val="en-US" w:eastAsia="zh-CN"/>
        </w:rPr>
        <w:t>响应</w:t>
      </w:r>
      <w:r>
        <w:rPr>
          <w:rFonts w:hint="eastAsia" w:hAnsi="宋体"/>
          <w:color w:val="auto"/>
          <w:kern w:val="0"/>
          <w:sz w:val="24"/>
          <w:highlight w:val="none"/>
        </w:rPr>
        <w:t>人</w:t>
      </w:r>
      <w:r>
        <w:rPr>
          <w:rFonts w:hint="eastAsia"/>
          <w:color w:val="auto"/>
          <w:sz w:val="24"/>
          <w:highlight w:val="none"/>
        </w:rPr>
        <w:t>根据市政府、市政建设行政主管部门颁发的有关文件对于现场监控和现场民工宿舍空调的设置要求或标准规定进行相应数量和费用的报价。</w:t>
      </w:r>
    </w:p>
    <w:p>
      <w:pPr>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br w:type="page"/>
      </w: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lang w:eastAsia="zh-CN"/>
        </w:rPr>
        <w:t>三</w:t>
      </w:r>
      <w:r>
        <w:rPr>
          <w:rFonts w:hint="eastAsia" w:ascii="仿宋_GB2312" w:hAnsi="仿宋" w:eastAsia="仿宋_GB2312" w:cs="仿宋_GB2312"/>
          <w:color w:val="auto"/>
          <w:kern w:val="2"/>
          <w:sz w:val="32"/>
          <w:szCs w:val="32"/>
          <w:highlight w:val="none"/>
        </w:rPr>
        <w:t>、</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7"/>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7"/>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6"/>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935" w:name="_Toc465665161"/>
      <w:r>
        <w:rPr>
          <w:rFonts w:hint="eastAsia" w:ascii="仿宋_GB2312" w:hAnsi="仿宋" w:eastAsia="仿宋_GB2312"/>
          <w:color w:val="auto"/>
          <w:highlight w:val="none"/>
        </w:rPr>
        <w:t>附件</w:t>
      </w:r>
      <w:bookmarkEnd w:id="935"/>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936" w:name="OLE_LINK13"/>
      <w:bookmarkStart w:id="937" w:name="OLE_LINK14"/>
      <w:r>
        <w:rPr>
          <w:rFonts w:hint="eastAsia" w:ascii="仿宋_GB2312" w:hAnsi="仿宋" w:eastAsia="仿宋_GB2312"/>
          <w:b/>
          <w:color w:val="auto"/>
          <w:spacing w:val="6"/>
          <w:sz w:val="32"/>
          <w:szCs w:val="32"/>
          <w:highlight w:val="none"/>
        </w:rPr>
        <w:t>残疾人福利性单位声明函</w:t>
      </w:r>
    </w:p>
    <w:bookmarkEnd w:id="936"/>
    <w:bookmarkEnd w:id="937"/>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42"/>
        <w:rPr>
          <w:rFonts w:hint="eastAsia"/>
          <w:color w:val="auto"/>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color w:val="auto"/>
          <w:highlight w:val="none"/>
          <w:lang w:val="en-US"/>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r>
        <w:rPr>
          <w:color w:val="auto"/>
          <w:highlight w:val="none"/>
        </w:rPr>
        <w:br w:type="page"/>
      </w:r>
    </w:p>
    <w:p>
      <w:pPr>
        <w:jc w:val="center"/>
        <w:rPr>
          <w:rFonts w:hint="eastAsia" w:ascii="仿宋" w:hAnsi="仿宋" w:eastAsia="仿宋" w:cs="仿宋"/>
          <w:color w:val="auto"/>
          <w:sz w:val="44"/>
          <w:szCs w:val="44"/>
          <w:highlight w:val="none"/>
        </w:rPr>
      </w:pPr>
      <w:r>
        <w:rPr>
          <w:rFonts w:hint="eastAsia" w:ascii="仿宋" w:hAnsi="仿宋" w:eastAsia="仿宋" w:cs="仿宋"/>
          <w:b/>
          <w:bCs/>
          <w:color w:val="auto"/>
          <w:sz w:val="40"/>
          <w:szCs w:val="40"/>
          <w:highlight w:val="none"/>
        </w:rPr>
        <w:t>政府采购融资畅通工程金融机构联系信息表</w:t>
      </w:r>
    </w:p>
    <w:p>
      <w:pPr>
        <w:rPr>
          <w:rFonts w:hint="eastAsia" w:ascii="仿宋" w:hAnsi="仿宋" w:eastAsia="仿宋" w:cs="仿宋"/>
          <w:color w:val="auto"/>
          <w:sz w:val="44"/>
          <w:szCs w:val="44"/>
          <w:highlight w:val="none"/>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金融机构各称</w:t>
            </w:r>
          </w:p>
        </w:tc>
        <w:tc>
          <w:tcPr>
            <w:tcW w:w="142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444"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77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w:t>
            </w:r>
            <w:r>
              <w:rPr>
                <w:rFonts w:hint="eastAsia" w:ascii="仿宋" w:hAnsi="仿宋" w:eastAsia="仿宋" w:cs="仿宋"/>
                <w:color w:val="auto"/>
                <w:sz w:val="28"/>
                <w:szCs w:val="28"/>
                <w:highlight w:val="none"/>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13868003773</w:t>
            </w:r>
          </w:p>
        </w:tc>
        <w:tc>
          <w:tcPr>
            <w:tcW w:w="2775" w:type="dxa"/>
            <w:tcBorders>
              <w:bottom w:val="single" w:color="auto" w:sz="4" w:space="0"/>
            </w:tcBorders>
            <w:vAlign w:val="center"/>
          </w:tcPr>
          <w:p>
            <w:pPr>
              <w:pStyle w:val="5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沈</w:t>
            </w:r>
            <w:r>
              <w:rPr>
                <w:rFonts w:hint="eastAsia" w:ascii="仿宋" w:hAnsi="仿宋" w:eastAsia="仿宋" w:cs="仿宋"/>
                <w:color w:val="auto"/>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61092936</w:t>
            </w:r>
          </w:p>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石镜街777号</w:t>
            </w:r>
          </w:p>
        </w:tc>
      </w:tr>
    </w:tbl>
    <w:p>
      <w:pPr>
        <w:pStyle w:val="961"/>
        <w:numPr>
          <w:ilvl w:val="0"/>
          <w:numId w:val="0"/>
        </w:numPr>
        <w:jc w:val="both"/>
        <w:rPr>
          <w:rFonts w:hint="eastAsia" w:ascii="仿宋" w:hAnsi="仿宋" w:eastAsia="仿宋" w:cs="仿宋"/>
          <w:b/>
          <w:color w:val="auto"/>
          <w:sz w:val="36"/>
          <w:szCs w:val="36"/>
          <w:highlight w:val="none"/>
        </w:rPr>
      </w:pPr>
    </w:p>
    <w:p>
      <w:pPr>
        <w:pStyle w:val="961"/>
        <w:numPr>
          <w:ilvl w:val="0"/>
          <w:numId w:val="0"/>
        </w:numPr>
        <w:jc w:val="both"/>
        <w:rPr>
          <w:rFonts w:hint="eastAsia" w:ascii="仿宋" w:hAnsi="仿宋" w:eastAsia="仿宋" w:cs="仿宋"/>
          <w:b/>
          <w:color w:val="auto"/>
          <w:sz w:val="36"/>
          <w:szCs w:val="36"/>
          <w:highlight w:val="none"/>
        </w:rPr>
      </w:pPr>
    </w:p>
    <w:p>
      <w:pPr>
        <w:pStyle w:val="961"/>
        <w:numPr>
          <w:ilvl w:val="0"/>
          <w:numId w:val="0"/>
        </w:numPr>
        <w:jc w:val="both"/>
        <w:rPr>
          <w:rFonts w:hint="eastAsia" w:ascii="仿宋" w:hAnsi="仿宋" w:eastAsia="仿宋" w:cs="仿宋"/>
          <w:b/>
          <w:color w:val="auto"/>
          <w:sz w:val="36"/>
          <w:szCs w:val="36"/>
          <w:highlight w:val="none"/>
        </w:rPr>
      </w:pPr>
    </w:p>
    <w:p>
      <w:pPr>
        <w:pStyle w:val="26"/>
        <w:rPr>
          <w:rFonts w:hint="eastAsia" w:ascii="仿宋" w:hAnsi="仿宋" w:eastAsia="仿宋" w:cs="仿宋"/>
          <w:b/>
          <w:bCs/>
          <w:color w:val="auto"/>
          <w:sz w:val="24"/>
          <w:highlight w:val="none"/>
        </w:rPr>
      </w:pPr>
    </w:p>
    <w:p>
      <w:pPr>
        <w:pStyle w:val="6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938" w:name="_Toc164085800"/>
    <w:bookmarkStart w:id="939" w:name="_Toc36110187"/>
    <w:bookmarkStart w:id="940" w:name="_Toc131845147"/>
    <w:bookmarkStart w:id="941" w:name="_Toc91899912"/>
    <w:r>
      <w:rPr>
        <w:rFonts w:hint="eastAsia" w:ascii="仿宋_GB2312" w:eastAsia="仿宋_GB2312"/>
        <w:kern w:val="0"/>
        <w:szCs w:val="21"/>
      </w:rPr>
      <w:t xml:space="preserve"> 页</w:t>
    </w:r>
    <w:bookmarkEnd w:id="938"/>
    <w:bookmarkEnd w:id="939"/>
    <w:bookmarkEnd w:id="940"/>
    <w:bookmarkEnd w:id="9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5224F"/>
    <w:multiLevelType w:val="singleLevel"/>
    <w:tmpl w:val="9765224F"/>
    <w:lvl w:ilvl="0" w:tentative="0">
      <w:start w:val="1"/>
      <w:numFmt w:val="decimal"/>
      <w:suff w:val="nothing"/>
      <w:lvlText w:val="%1、"/>
      <w:lvlJc w:val="left"/>
      <w:pPr>
        <w:ind w:left="1157" w:firstLine="403"/>
      </w:pPr>
      <w:rPr>
        <w:rFonts w:hint="default"/>
      </w:rPr>
    </w:lvl>
  </w:abstractNum>
  <w:abstractNum w:abstractNumId="1">
    <w:nsid w:val="AB7201E6"/>
    <w:multiLevelType w:val="singleLevel"/>
    <w:tmpl w:val="AB7201E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0C56"/>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0D690E"/>
    <w:rsid w:val="08452D77"/>
    <w:rsid w:val="086401F8"/>
    <w:rsid w:val="08751CAA"/>
    <w:rsid w:val="087E4C40"/>
    <w:rsid w:val="08D66AD6"/>
    <w:rsid w:val="08DA33A3"/>
    <w:rsid w:val="08E2349A"/>
    <w:rsid w:val="08E80F13"/>
    <w:rsid w:val="09335624"/>
    <w:rsid w:val="0944690F"/>
    <w:rsid w:val="09535675"/>
    <w:rsid w:val="095D54D3"/>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D305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63036D"/>
    <w:rsid w:val="16A8729C"/>
    <w:rsid w:val="16B33777"/>
    <w:rsid w:val="16BC70A7"/>
    <w:rsid w:val="16C6339E"/>
    <w:rsid w:val="172F2D79"/>
    <w:rsid w:val="17557BEF"/>
    <w:rsid w:val="17D349C1"/>
    <w:rsid w:val="1830729E"/>
    <w:rsid w:val="1870062C"/>
    <w:rsid w:val="18817102"/>
    <w:rsid w:val="18830A15"/>
    <w:rsid w:val="18852B28"/>
    <w:rsid w:val="188B5321"/>
    <w:rsid w:val="197F04EA"/>
    <w:rsid w:val="19932372"/>
    <w:rsid w:val="19A20DD5"/>
    <w:rsid w:val="19AE03F1"/>
    <w:rsid w:val="1A071A03"/>
    <w:rsid w:val="1A1F16AE"/>
    <w:rsid w:val="1A3B5C77"/>
    <w:rsid w:val="1A6934BD"/>
    <w:rsid w:val="1A984BAD"/>
    <w:rsid w:val="1AB8156B"/>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11524"/>
    <w:rsid w:val="1D266CE1"/>
    <w:rsid w:val="1D3963AF"/>
    <w:rsid w:val="1D6A673C"/>
    <w:rsid w:val="1D9247AE"/>
    <w:rsid w:val="1DB567EC"/>
    <w:rsid w:val="1DB94A45"/>
    <w:rsid w:val="1DF51A98"/>
    <w:rsid w:val="1E3D060F"/>
    <w:rsid w:val="1E3F7D2E"/>
    <w:rsid w:val="1E4134E4"/>
    <w:rsid w:val="1E5062B3"/>
    <w:rsid w:val="1E523514"/>
    <w:rsid w:val="1E714A66"/>
    <w:rsid w:val="1E802593"/>
    <w:rsid w:val="1EA703CC"/>
    <w:rsid w:val="1EB7330C"/>
    <w:rsid w:val="1F0A0FF3"/>
    <w:rsid w:val="1F5771FF"/>
    <w:rsid w:val="1FD540CE"/>
    <w:rsid w:val="1FE868A9"/>
    <w:rsid w:val="20034907"/>
    <w:rsid w:val="20173E4B"/>
    <w:rsid w:val="204E48BC"/>
    <w:rsid w:val="208921B3"/>
    <w:rsid w:val="20973DEB"/>
    <w:rsid w:val="20B26522"/>
    <w:rsid w:val="20B44310"/>
    <w:rsid w:val="20C73E09"/>
    <w:rsid w:val="211116EB"/>
    <w:rsid w:val="216133FC"/>
    <w:rsid w:val="21D56769"/>
    <w:rsid w:val="21E52EF3"/>
    <w:rsid w:val="21FB5D7B"/>
    <w:rsid w:val="220B1C3D"/>
    <w:rsid w:val="221D1D20"/>
    <w:rsid w:val="22334A87"/>
    <w:rsid w:val="228F4E54"/>
    <w:rsid w:val="22937A58"/>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D67FA"/>
    <w:rsid w:val="258B00E2"/>
    <w:rsid w:val="25A917A6"/>
    <w:rsid w:val="25BE27CC"/>
    <w:rsid w:val="25F74A5C"/>
    <w:rsid w:val="2628662C"/>
    <w:rsid w:val="262D45DE"/>
    <w:rsid w:val="264F7A3F"/>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BF91CA6"/>
    <w:rsid w:val="2C09049E"/>
    <w:rsid w:val="2C0A653C"/>
    <w:rsid w:val="2C191F85"/>
    <w:rsid w:val="2CD167FA"/>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D1342D"/>
    <w:rsid w:val="363A3B40"/>
    <w:rsid w:val="365302AE"/>
    <w:rsid w:val="36607A0A"/>
    <w:rsid w:val="366E227C"/>
    <w:rsid w:val="366F2E0D"/>
    <w:rsid w:val="367B6A5C"/>
    <w:rsid w:val="36A74ADA"/>
    <w:rsid w:val="36AD60D5"/>
    <w:rsid w:val="36B224F9"/>
    <w:rsid w:val="36EC0CC9"/>
    <w:rsid w:val="370E1194"/>
    <w:rsid w:val="373F410B"/>
    <w:rsid w:val="37EE7094"/>
    <w:rsid w:val="382667BD"/>
    <w:rsid w:val="38296C89"/>
    <w:rsid w:val="383002EB"/>
    <w:rsid w:val="38586797"/>
    <w:rsid w:val="38BC0149"/>
    <w:rsid w:val="38D87D1C"/>
    <w:rsid w:val="39636459"/>
    <w:rsid w:val="396B7F6C"/>
    <w:rsid w:val="39B417A9"/>
    <w:rsid w:val="39FB313C"/>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F7E5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00C64"/>
    <w:rsid w:val="42FE58DD"/>
    <w:rsid w:val="43174B3D"/>
    <w:rsid w:val="434B790E"/>
    <w:rsid w:val="4360274F"/>
    <w:rsid w:val="43626161"/>
    <w:rsid w:val="43977AB6"/>
    <w:rsid w:val="43A3342B"/>
    <w:rsid w:val="43C77C27"/>
    <w:rsid w:val="43DE09EE"/>
    <w:rsid w:val="44002FAD"/>
    <w:rsid w:val="449101DD"/>
    <w:rsid w:val="44DE1391"/>
    <w:rsid w:val="45142D2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70693"/>
    <w:rsid w:val="4AB82D0F"/>
    <w:rsid w:val="4AEB7664"/>
    <w:rsid w:val="4AFD7C19"/>
    <w:rsid w:val="4B0567D1"/>
    <w:rsid w:val="4B236AAE"/>
    <w:rsid w:val="4B707271"/>
    <w:rsid w:val="4B831E79"/>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916C0"/>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4781C"/>
    <w:rsid w:val="566B6D1E"/>
    <w:rsid w:val="57032A2C"/>
    <w:rsid w:val="570F5219"/>
    <w:rsid w:val="571D2F9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2E514B"/>
    <w:rsid w:val="5D397964"/>
    <w:rsid w:val="5D5A391C"/>
    <w:rsid w:val="5D5F10C0"/>
    <w:rsid w:val="5D891B7B"/>
    <w:rsid w:val="5DAD38EE"/>
    <w:rsid w:val="5E006862"/>
    <w:rsid w:val="5E0207B9"/>
    <w:rsid w:val="5E0F15B5"/>
    <w:rsid w:val="5E1834A1"/>
    <w:rsid w:val="5E261785"/>
    <w:rsid w:val="5E4A7017"/>
    <w:rsid w:val="5E552BBA"/>
    <w:rsid w:val="5E611C10"/>
    <w:rsid w:val="5EFC7377"/>
    <w:rsid w:val="5F06174D"/>
    <w:rsid w:val="5F3A3602"/>
    <w:rsid w:val="5F6277C6"/>
    <w:rsid w:val="5F6D0B1D"/>
    <w:rsid w:val="5F8D0B82"/>
    <w:rsid w:val="5FCC5339"/>
    <w:rsid w:val="5FE34A5B"/>
    <w:rsid w:val="5FFE1E36"/>
    <w:rsid w:val="601B31E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7615A"/>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F3026"/>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931EF"/>
    <w:rsid w:val="7DEF0916"/>
    <w:rsid w:val="7E1E5218"/>
    <w:rsid w:val="7E9A4E1F"/>
    <w:rsid w:val="7EA7723A"/>
    <w:rsid w:val="7EF56FBB"/>
    <w:rsid w:val="7F0768EB"/>
    <w:rsid w:val="7F143BEC"/>
    <w:rsid w:val="7F715AF2"/>
    <w:rsid w:val="7F814F1C"/>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List Number"/>
    <w:basedOn w:val="1"/>
    <w:next w:val="4"/>
    <w:qFormat/>
    <w:uiPriority w:val="0"/>
    <w:pPr>
      <w:widowControl/>
      <w:tabs>
        <w:tab w:val="left" w:pos="390"/>
        <w:tab w:val="left" w:pos="454"/>
      </w:tabs>
      <w:adjustRightInd/>
      <w:spacing w:after="156" w:afterLines="50"/>
      <w:ind w:left="454" w:hanging="284"/>
      <w:jc w:val="left"/>
    </w:pPr>
    <w:rPr>
      <w:kern w:val="0"/>
      <w:sz w:val="24"/>
      <w:szCs w:val="20"/>
    </w:rPr>
  </w:style>
  <w:style w:type="paragraph" w:styleId="4">
    <w:name w:val="Balloon Text"/>
    <w:basedOn w:val="1"/>
    <w:next w:val="5"/>
    <w:link w:val="185"/>
    <w:qFormat/>
    <w:uiPriority w:val="0"/>
    <w:rPr>
      <w:sz w:val="18"/>
      <w:szCs w:val="18"/>
    </w:rPr>
  </w:style>
  <w:style w:type="paragraph" w:styleId="5">
    <w:name w:val="toc 8"/>
    <w:basedOn w:val="1"/>
    <w:next w:val="1"/>
    <w:qFormat/>
    <w:uiPriority w:val="0"/>
    <w:pPr>
      <w:ind w:left="2940" w:leftChars="14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3"/>
    <w:qFormat/>
    <w:uiPriority w:val="0"/>
    <w:rPr>
      <w:b/>
      <w:bCs/>
    </w:rPr>
  </w:style>
  <w:style w:type="paragraph" w:styleId="60">
    <w:name w:val="Body Text First Indent"/>
    <w:basedOn w:val="26"/>
    <w:next w:val="1"/>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6"/>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6"/>
    <w:qFormat/>
    <w:uiPriority w:val="0"/>
    <w:pPr>
      <w:tabs>
        <w:tab w:val="left" w:pos="840"/>
      </w:tabs>
      <w:adjustRightInd/>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3"/>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6"/>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1</TotalTime>
  <ScaleCrop>false</ScaleCrop>
  <LinksUpToDate>false</LinksUpToDate>
  <CharactersWithSpaces>40530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杭州西成建设管理有限公司</cp:lastModifiedBy>
  <cp:lastPrinted>2021-12-27T03:06:00Z</cp:lastPrinted>
  <dcterms:modified xsi:type="dcterms:W3CDTF">2022-03-15T07:27:44Z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643406A9C6334DD2A3611DCF36EC8AF2</vt:lpwstr>
  </property>
</Properties>
</file>