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p>
    <w:p>
      <w:pPr>
        <w:spacing w:line="360" w:lineRule="auto"/>
        <w:jc w:val="center"/>
        <w:rPr>
          <w:rFonts w:ascii="仿宋" w:hAnsi="仿宋" w:eastAsia="仿宋" w:cs="仿宋_GB2312"/>
          <w:b/>
          <w:color w:val="auto"/>
          <w:sz w:val="44"/>
          <w:szCs w:val="44"/>
          <w:highlight w:val="none"/>
        </w:rPr>
      </w:pPr>
    </w:p>
    <w:p>
      <w:pPr>
        <w:adjustRightInd/>
        <w:spacing w:line="360" w:lineRule="auto"/>
        <w:jc w:val="center"/>
        <w:rPr>
          <w:rFonts w:hint="eastAsia" w:ascii="仿宋" w:hAnsi="仿宋" w:eastAsia="仿宋" w:cs="仿宋_GB2312"/>
          <w:b/>
          <w:bCs/>
          <w:color w:val="auto"/>
          <w:sz w:val="48"/>
          <w:szCs w:val="48"/>
          <w:highlight w:val="none"/>
          <w:lang w:eastAsia="zh-CN"/>
        </w:rPr>
      </w:pPr>
      <w:r>
        <w:rPr>
          <w:rFonts w:hint="eastAsia" w:ascii="仿宋" w:hAnsi="仿宋" w:eastAsia="仿宋" w:cs="仿宋_GB2312"/>
          <w:b/>
          <w:bCs/>
          <w:color w:val="auto"/>
          <w:sz w:val="48"/>
          <w:szCs w:val="48"/>
          <w:highlight w:val="none"/>
          <w:lang w:eastAsia="zh-CN"/>
        </w:rPr>
        <w:t>杭州市临安区中医院食堂物资配送服务</w:t>
      </w:r>
    </w:p>
    <w:p>
      <w:pPr>
        <w:adjustRightInd/>
        <w:spacing w:line="360" w:lineRule="auto"/>
        <w:jc w:val="center"/>
        <w:rPr>
          <w:rFonts w:hint="eastAsia" w:ascii="仿宋_GB2312" w:hAnsi="仿宋" w:eastAsia="仿宋_GB2312" w:cs="仿宋_GB2312"/>
          <w:b/>
          <w:color w:val="auto"/>
          <w:sz w:val="48"/>
          <w:szCs w:val="48"/>
          <w:highlight w:val="none"/>
          <w:lang w:eastAsia="zh-CN"/>
        </w:rPr>
      </w:pPr>
      <w:r>
        <w:rPr>
          <w:rFonts w:hint="eastAsia" w:ascii="仿宋" w:hAnsi="仿宋" w:eastAsia="仿宋" w:cs="仿宋_GB2312"/>
          <w:b/>
          <w:bCs/>
          <w:color w:val="auto"/>
          <w:sz w:val="48"/>
          <w:szCs w:val="48"/>
          <w:highlight w:val="none"/>
          <w:lang w:eastAsia="zh-CN"/>
        </w:rPr>
        <w:t>项目</w:t>
      </w:r>
    </w:p>
    <w:p>
      <w:pPr>
        <w:adjustRightInd/>
        <w:spacing w:line="360" w:lineRule="auto"/>
        <w:jc w:val="center"/>
        <w:rPr>
          <w:rFonts w:ascii="仿宋" w:hAnsi="仿宋" w:eastAsia="仿宋" w:cs="仿宋_GB2312"/>
          <w:color w:val="auto"/>
          <w:sz w:val="48"/>
          <w:szCs w:val="48"/>
          <w:highlight w:val="none"/>
        </w:rPr>
      </w:pPr>
    </w:p>
    <w:p>
      <w:pPr>
        <w:pStyle w:val="43"/>
        <w:rPr>
          <w:color w:val="auto"/>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w:t>
      </w:r>
      <w:r>
        <w:rPr>
          <w:rFonts w:hint="eastAsia" w:ascii="宋体" w:hAnsi="宋体" w:cs="宋体"/>
          <w:color w:val="auto"/>
          <w:sz w:val="32"/>
          <w:szCs w:val="32"/>
          <w:highlight w:val="none"/>
          <w:lang w:eastAsia="zh-CN"/>
        </w:rPr>
        <w:t>[2022]276号</w:t>
      </w:r>
      <w:r>
        <w:rPr>
          <w:rFonts w:hint="eastAsia" w:ascii="仿宋" w:hAnsi="仿宋" w:eastAsia="仿宋" w:cs="仿宋_GB2312"/>
          <w:color w:val="auto"/>
          <w:sz w:val="30"/>
          <w:szCs w:val="30"/>
          <w:highlight w:val="none"/>
        </w:rPr>
        <w:t>）</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jc w:val="center"/>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360" w:lineRule="auto"/>
        <w:rPr>
          <w:rFonts w:ascii="仿宋" w:hAnsi="仿宋" w:eastAsia="仿宋" w:cs="仿宋_GB2312"/>
          <w:color w:val="auto"/>
          <w:sz w:val="32"/>
          <w:szCs w:val="32"/>
          <w:highlight w:val="none"/>
        </w:rPr>
      </w:pPr>
    </w:p>
    <w:p>
      <w:pPr>
        <w:pStyle w:val="43"/>
        <w:rPr>
          <w:rFonts w:ascii="仿宋" w:hAnsi="仿宋" w:eastAsia="仿宋" w:cs="仿宋_GB2312"/>
          <w:color w:val="auto"/>
          <w:sz w:val="32"/>
          <w:szCs w:val="32"/>
          <w:highlight w:val="none"/>
        </w:rPr>
      </w:pPr>
    </w:p>
    <w:p>
      <w:pPr>
        <w:rPr>
          <w:rFonts w:ascii="仿宋" w:hAnsi="仿宋" w:eastAsia="仿宋" w:cs="仿宋_GB2312"/>
          <w:color w:val="auto"/>
          <w:sz w:val="32"/>
          <w:szCs w:val="32"/>
          <w:highlight w:val="none"/>
        </w:rPr>
      </w:pPr>
    </w:p>
    <w:p>
      <w:pPr>
        <w:pStyle w:val="43"/>
        <w:rPr>
          <w:rFonts w:ascii="仿宋" w:hAnsi="仿宋" w:eastAsia="仿宋" w:cs="仿宋_GB2312"/>
          <w:color w:val="auto"/>
          <w:sz w:val="32"/>
          <w:szCs w:val="32"/>
          <w:highlight w:val="none"/>
        </w:rPr>
      </w:pPr>
    </w:p>
    <w:p>
      <w:pPr>
        <w:rPr>
          <w:color w:val="auto"/>
          <w:highlight w:val="none"/>
        </w:rPr>
      </w:pPr>
    </w:p>
    <w:p>
      <w:pPr>
        <w:keepNext w:val="0"/>
        <w:keepLines w:val="0"/>
        <w:pageBreakBefore w:val="0"/>
        <w:widowControl w:val="0"/>
        <w:kinsoku/>
        <w:wordWrap/>
        <w:overflowPunct/>
        <w:topLinePunct w:val="0"/>
        <w:autoSpaceDE/>
        <w:autoSpaceDN/>
        <w:bidi w:val="0"/>
        <w:adjustRightInd w:val="0"/>
        <w:snapToGrid/>
        <w:spacing w:line="500" w:lineRule="exact"/>
        <w:ind w:firstLine="1600" w:firstLineChars="5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采购单位：</w:t>
      </w:r>
      <w:r>
        <w:rPr>
          <w:rFonts w:hint="eastAsia" w:ascii="宋体" w:hAnsi="宋体" w:cs="宋体"/>
          <w:color w:val="auto"/>
          <w:sz w:val="32"/>
          <w:szCs w:val="32"/>
          <w:highlight w:val="none"/>
          <w:lang w:eastAsia="zh-CN"/>
        </w:rPr>
        <w:t>杭州市临安区中医院</w:t>
      </w:r>
      <w:r>
        <w:rPr>
          <w:rFonts w:hint="eastAsia" w:ascii="宋体" w:hAnsi="宋体" w:cs="宋体"/>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1600" w:firstLineChars="500"/>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t>代理机构：杭州西成建设管理有限公司</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ascii="仿宋" w:hAnsi="仿宋" w:eastAsia="仿宋" w:cs="仿宋_GB2312"/>
          <w:bCs/>
          <w:color w:val="auto"/>
          <w:sz w:val="32"/>
          <w:szCs w:val="32"/>
          <w:highlight w:val="none"/>
        </w:rPr>
      </w:pPr>
      <w:r>
        <w:rPr>
          <w:rFonts w:hint="eastAsia" w:ascii="宋体" w:hAnsi="宋体" w:cs="宋体"/>
          <w:color w:val="auto"/>
          <w:sz w:val="32"/>
          <w:szCs w:val="32"/>
          <w:highlight w:val="none"/>
        </w:rPr>
        <w:t>备案单位：杭州市临安区政府采购办公室</w:t>
      </w:r>
    </w:p>
    <w:p>
      <w:pPr>
        <w:snapToGrid w:val="0"/>
        <w:spacing w:line="360" w:lineRule="auto"/>
        <w:jc w:val="center"/>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仿宋_GB2312" w:hAnsi="仿宋_GB2312" w:eastAsia="仿宋_GB2312" w:cs="仿宋_GB2312"/>
          <w:bCs/>
          <w:color w:val="auto"/>
          <w:sz w:val="32"/>
          <w:szCs w:val="32"/>
          <w:highlight w:val="none"/>
        </w:rPr>
        <w:t>二年</w:t>
      </w:r>
      <w:r>
        <w:rPr>
          <w:rFonts w:hint="eastAsia" w:ascii="仿宋_GB2312" w:hAnsi="仿宋_GB2312" w:eastAsia="仿宋_GB2312" w:cs="仿宋_GB2312"/>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eastAsia="zh-CN"/>
        </w:rPr>
        <w:t>二十五</w:t>
      </w:r>
      <w:r>
        <w:rPr>
          <w:rFonts w:hint="eastAsia" w:ascii="仿宋_GB2312" w:hAnsi="仿宋_GB2312" w:eastAsia="仿宋_GB2312" w:cs="仿宋_GB2312"/>
          <w:bCs/>
          <w:color w:val="auto"/>
          <w:sz w:val="32"/>
          <w:szCs w:val="32"/>
          <w:highlight w:val="none"/>
        </w:rPr>
        <w:t>日</w:t>
      </w: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杭州市临安区中医院食堂物资配送服务项目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"https://www.zcygov.cn/）获取（下载）招标文件，并于2021年"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szCs w:val="24"/>
          <w:highlight w:val="none"/>
          <w:u w:val="single"/>
        </w:rPr>
        <w:t>2022年03月17日9时</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00秒</w:t>
      </w:r>
      <w:r>
        <w:rPr>
          <w:rFonts w:hint="eastAsia" w:ascii="宋体" w:hAnsi="宋体" w:eastAsia="宋体" w:cs="宋体"/>
          <w:bCs/>
          <w:color w:val="auto"/>
          <w:sz w:val="24"/>
          <w:szCs w:val="24"/>
          <w:highlight w:val="none"/>
          <w:u w:val="singl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eastAsia="宋体" w:cs="宋体"/>
          <w:color w:val="auto"/>
          <w:sz w:val="24"/>
          <w:szCs w:val="24"/>
          <w:highlight w:val="none"/>
        </w:rPr>
        <w:t>[2022]276号</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color w:val="auto"/>
          <w:sz w:val="24"/>
          <w:szCs w:val="24"/>
          <w:highlight w:val="none"/>
          <w:lang w:eastAsia="zh-CN"/>
        </w:rPr>
        <w:t>杭州市临安区中医院食堂物资配送服务项目</w:t>
      </w:r>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w:t>
      </w:r>
      <w:r>
        <w:rPr>
          <w:rFonts w:hint="eastAsia" w:ascii="宋体" w:hAnsi="宋体" w:eastAsia="宋体" w:cs="宋体"/>
          <w:b/>
          <w:color w:val="auto"/>
          <w:sz w:val="24"/>
          <w:szCs w:val="24"/>
          <w:highlight w:val="none"/>
        </w:rPr>
        <w:t>算金额（元）：</w:t>
      </w:r>
      <w:r>
        <w:rPr>
          <w:rFonts w:hint="eastAsia" w:ascii="宋体" w:hAnsi="宋体" w:cs="宋体"/>
          <w:color w:val="auto"/>
          <w:sz w:val="24"/>
          <w:szCs w:val="24"/>
          <w:highlight w:val="none"/>
          <w:lang w:val="en-US" w:eastAsia="zh-CN"/>
        </w:rPr>
        <w:t>3000000</w:t>
      </w:r>
    </w:p>
    <w:p>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eastAsia="zh-CN"/>
        </w:rPr>
        <w:t>最低下浮率</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w:t>
      </w:r>
      <w:r>
        <w:rPr>
          <w:rFonts w:hint="eastAsia" w:ascii="宋体" w:hAnsi="宋体" w:cs="宋体"/>
          <w:color w:val="auto"/>
          <w:sz w:val="24"/>
          <w:szCs w:val="24"/>
          <w:highlight w:val="none"/>
          <w:lang w:eastAsia="zh-CN"/>
        </w:rPr>
        <w:t>详见采购需求</w:t>
      </w:r>
    </w:p>
    <w:p>
      <w:pPr>
        <w:pStyle w:val="17"/>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本项目采购内容为杭州市临安区中医院食堂所需的粮油类、新鲜蔬菜（含净菜）、冷冻食品、调味品、其他类（新鲜水产、新鲜畜禽肉及副产品、干货、豆制品、新鲜禽蛋、新鲜水果、点心饮品等）共五大类主副食品原材料的供货、粗加工（如需）及配送服务</w:t>
      </w:r>
      <w:r>
        <w:rPr>
          <w:rFonts w:hint="eastAsia" w:ascii="宋体" w:hAnsi="宋体" w:eastAsia="宋体" w:cs="宋体"/>
          <w:bCs/>
          <w:snapToGrid/>
          <w:color w:val="auto"/>
          <w:kern w:val="2"/>
          <w:sz w:val="24"/>
          <w:szCs w:val="24"/>
          <w:highlight w:val="none"/>
        </w:rPr>
        <w:t>。详见招标文件第三部分采购需求。</w:t>
      </w:r>
    </w:p>
    <w:p>
      <w:pPr>
        <w:pStyle w:val="128"/>
        <w:ind w:firstLine="482"/>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eastAsia="宋体" w:cs="宋体"/>
          <w:b w:val="0"/>
          <w:bCs/>
          <w:color w:val="auto"/>
          <w:sz w:val="24"/>
          <w:szCs w:val="24"/>
          <w:highlight w:val="none"/>
        </w:rPr>
        <w:t xml:space="preserve">合同签订起1年 </w:t>
      </w:r>
    </w:p>
    <w:p>
      <w:pPr>
        <w:pStyle w:val="17"/>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本项目接受联合体投标：否</w:t>
      </w:r>
      <w:r>
        <w:rPr>
          <w:rFonts w:hint="eastAsia" w:ascii="宋体" w:hAnsi="宋体" w:eastAsia="宋体" w:cs="宋体"/>
          <w:color w:val="auto"/>
          <w:kern w:val="0"/>
          <w:sz w:val="24"/>
          <w:szCs w:val="24"/>
          <w:highlight w:val="none"/>
        </w:rPr>
        <w:t>。</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pPr>
        <w:spacing w:line="360" w:lineRule="auto"/>
        <w:ind w:firstLine="48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 xml:space="preserve">    2.落实政府采购政策需满足的资格要求：</w:t>
      </w:r>
      <w:r>
        <w:rPr>
          <w:rFonts w:hint="eastAsia" w:ascii="宋体" w:hAnsi="宋体" w:eastAsia="宋体" w:cs="宋体"/>
          <w:color w:val="auto"/>
          <w:sz w:val="24"/>
          <w:szCs w:val="24"/>
          <w:highlight w:val="none"/>
        </w:rPr>
        <w:t>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rPr>
        <w:t>投标人须具有独立法人资格，具有有效的《食品经营许可证》或《食品流通许可证》；</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 xml:space="preserve"> </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
          <w:color w:val="auto"/>
          <w:sz w:val="24"/>
          <w:szCs w:val="24"/>
          <w:highlight w:val="none"/>
          <w:lang w:eastAsia="zh-CN"/>
        </w:rPr>
        <w:t>杭州西成建设管理有限公司开标室（杭州市临安区锦北街道科技大道云安小镇</w:t>
      </w:r>
      <w:r>
        <w:rPr>
          <w:rFonts w:hint="eastAsia" w:ascii="宋体" w:hAnsi="宋体" w:eastAsia="宋体" w:cs="宋体"/>
          <w:b/>
          <w:color w:val="auto"/>
          <w:sz w:val="24"/>
          <w:szCs w:val="24"/>
          <w:highlight w:val="none"/>
          <w:lang w:val="en-US" w:eastAsia="zh-CN"/>
        </w:rPr>
        <w:t>9B幢一楼</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rPr>
        <w:t>政采云平台（https://www.zcygov.cn/）</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日起5个工作日。</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称：杭州市临安区中医院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址：杭州市临安区武肃街与临水路交汇处西南</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rPr>
        <w:t>骆莹瑛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rPr>
        <w:t>0571-63732552</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质疑联系人：蔡湘军</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质疑联系方式：0571-63819897</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称：杭州西成建设管理有限公司</w:t>
      </w:r>
    </w:p>
    <w:p>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址：杭州市临安区锦北街道科技大道云安小镇9B幢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eastAsia="zh-CN"/>
        </w:rPr>
        <w:t>仰丽娟</w:t>
      </w:r>
      <w:bookmarkStart w:id="416" w:name="_GoBack"/>
      <w:bookmarkEnd w:id="416"/>
    </w:p>
    <w:p>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0571-6111206</w:t>
      </w:r>
      <w:r>
        <w:rPr>
          <w:rFonts w:hint="eastAsia" w:ascii="宋体" w:hAnsi="宋体" w:cs="宋体"/>
          <w:color w:val="auto"/>
          <w:sz w:val="24"/>
          <w:szCs w:val="24"/>
          <w:highlight w:val="none"/>
          <w:lang w:val="en-US" w:eastAsia="zh-CN"/>
        </w:rPr>
        <w:t>0</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质疑联系人：梅露红</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0571-61112053</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称：杭州市临安区财政局政府采购监督管理科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址：浙江省杭州市临安区锦北街道科技大道4398号4号楼11楼</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传    真：0571-63722886</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联系人 ：喻伟建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监督投诉电话：0571-61073953</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CA问题联系电话（人工）：汇信CA 400-888-4636；天谷CA 400-087-8198。</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9436" w:type="dxa"/>
        <w:tblInd w:w="-1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28" w:type="dxa"/>
          <w:bottom w:w="0" w:type="dxa"/>
          <w:right w:w="28" w:type="dxa"/>
        </w:tblCellMar>
      </w:tblPr>
      <w:tblGrid>
        <w:gridCol w:w="763"/>
        <w:gridCol w:w="1773"/>
        <w:gridCol w:w="6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90"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4424"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开标一览表（报价表）是报价的唯一载体</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4"/>
                <w:highlight w:val="none"/>
                <w:lang w:val="zh-CN"/>
              </w:rPr>
              <w:t>提醒：验收时检测费用由采购人承担，不包含在投标总价中。</w:t>
            </w:r>
          </w:p>
          <w:p>
            <w:pPr>
              <w:keepNext w:val="0"/>
              <w:keepLines w:val="0"/>
              <w:pageBreakBefore w:val="0"/>
              <w:widowControl w:val="0"/>
              <w:kinsoku/>
              <w:wordWrap/>
              <w:overflowPunct/>
              <w:topLinePunct w:val="0"/>
              <w:autoSpaceDE/>
              <w:autoSpaceDN/>
              <w:bidi w:val="0"/>
              <w:snapToGrid w:val="0"/>
              <w:spacing w:line="400" w:lineRule="exact"/>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pPr>
              <w:keepNext w:val="0"/>
              <w:keepLines w:val="0"/>
              <w:pageBreakBefore w:val="0"/>
              <w:widowControl w:val="0"/>
              <w:kinsoku/>
              <w:wordWrap/>
              <w:overflowPunct/>
              <w:topLinePunct w:val="0"/>
              <w:autoSpaceDE/>
              <w:autoSpaceDN/>
              <w:bidi w:val="0"/>
              <w:snapToGrid w:val="0"/>
              <w:spacing w:line="400" w:lineRule="exact"/>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pPr>
              <w:keepNext w:val="0"/>
              <w:keepLines w:val="0"/>
              <w:pageBreakBefore w:val="0"/>
              <w:widowControl w:val="0"/>
              <w:kinsoku/>
              <w:wordWrap/>
              <w:overflowPunct/>
              <w:topLinePunct w:val="0"/>
              <w:autoSpaceDE/>
              <w:autoSpaceDN/>
              <w:bidi w:val="0"/>
              <w:snapToGrid w:val="0"/>
              <w:spacing w:line="400" w:lineRule="exact"/>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pPr>
              <w:keepNext w:val="0"/>
              <w:keepLines w:val="0"/>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pPr>
              <w:keepNext w:val="0"/>
              <w:keepLines w:val="0"/>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05"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461" w:hRule="atLeast"/>
          <w:tblHeader/>
        </w:trPr>
        <w:tc>
          <w:tcPr>
            <w:tcW w:w="763" w:type="dxa"/>
            <w:vMerge w:val="restart"/>
            <w:tcBorders>
              <w:top w:val="single" w:color="auto" w:sz="4" w:space="0"/>
              <w:left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p>
          <w:p>
            <w:pPr>
              <w:snapToGrid w:val="0"/>
              <w:spacing w:line="240" w:lineRule="auto"/>
              <w:jc w:val="center"/>
              <w:rPr>
                <w:rFonts w:hint="eastAsia" w:ascii="宋体" w:hAnsi="宋体" w:eastAsia="宋体" w:cs="宋体"/>
                <w:color w:val="auto"/>
                <w:sz w:val="24"/>
                <w:szCs w:val="24"/>
                <w:highlight w:val="none"/>
              </w:rPr>
            </w:pPr>
          </w:p>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773" w:type="dxa"/>
            <w:vMerge w:val="restart"/>
            <w:tcBorders>
              <w:top w:val="single" w:color="000000" w:sz="8" w:space="0"/>
              <w:left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900" w:type="dxa"/>
            <w:tcBorders>
              <w:top w:val="single" w:color="000000" w:sz="8" w:space="0"/>
              <w:left w:val="single" w:color="000000" w:sz="2" w:space="0"/>
              <w:bottom w:val="single" w:color="auto" w:sz="4"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704" w:hRule="atLeast"/>
          <w:tblHeader/>
        </w:trPr>
        <w:tc>
          <w:tcPr>
            <w:tcW w:w="763" w:type="dxa"/>
            <w:vMerge w:val="continue"/>
            <w:tcBorders>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p>
        </w:tc>
        <w:tc>
          <w:tcPr>
            <w:tcW w:w="1773" w:type="dxa"/>
            <w:vMerge w:val="continue"/>
            <w:tcBorders>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p>
        </w:tc>
        <w:tc>
          <w:tcPr>
            <w:tcW w:w="6900" w:type="dxa"/>
            <w:tcBorders>
              <w:top w:val="single" w:color="auto" w:sz="4"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797"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p>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97" w:hRule="atLeast"/>
          <w:tblHeader/>
        </w:trPr>
        <w:tc>
          <w:tcPr>
            <w:tcW w:w="76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73" w:type="dxa"/>
            <w:tcBorders>
              <w:top w:val="single" w:color="000000" w:sz="8" w:space="0"/>
              <w:left w:val="single" w:color="auto" w:sz="4"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90"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sz w:val="24"/>
                <w:szCs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项目属性与核心产品</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采购标的对应的中小企业划分标准所属行业</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pStyle w:val="5"/>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rPr>
              <w:t>标的：</w:t>
            </w:r>
            <w:r>
              <w:rPr>
                <w:rFonts w:hint="eastAsia" w:ascii="宋体" w:hAnsi="宋体" w:eastAsia="宋体" w:cs="宋体"/>
                <w:color w:val="auto"/>
                <w:kern w:val="0"/>
                <w:sz w:val="24"/>
                <w:szCs w:val="24"/>
                <w:highlight w:val="none"/>
                <w:u w:val="single"/>
                <w:lang w:eastAsia="zh-CN"/>
              </w:rPr>
              <w:t>杭州市临安区中医院食堂物资配送服务项目</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餐饮</w:t>
            </w:r>
            <w:r>
              <w:rPr>
                <w:rFonts w:hint="eastAsia" w:ascii="宋体" w:hAnsi="宋体" w:eastAsia="宋体" w:cs="宋体"/>
                <w:color w:val="auto"/>
                <w:kern w:val="0"/>
                <w:sz w:val="24"/>
                <w:szCs w:val="24"/>
                <w:highlight w:val="none"/>
                <w:u w:val="single"/>
              </w:rPr>
              <w:t>业</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144" w:hRule="atLeast"/>
          <w:tblHeader/>
        </w:trPr>
        <w:tc>
          <w:tcPr>
            <w:tcW w:w="763" w:type="dxa"/>
            <w:vMerge w:val="restart"/>
            <w:tcBorders>
              <w:top w:val="single" w:color="auto" w:sz="4" w:space="0"/>
              <w:left w:val="single" w:color="000000" w:sz="8"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773" w:type="dxa"/>
            <w:vMerge w:val="restart"/>
            <w:tcBorders>
              <w:top w:val="single" w:color="000000" w:sz="8" w:space="0"/>
              <w:left w:val="single" w:color="000000" w:sz="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snapToGrid w:val="0"/>
                <w:color w:val="auto"/>
                <w:kern w:val="2"/>
                <w:sz w:val="24"/>
                <w:szCs w:val="24"/>
                <w:highlight w:val="none"/>
                <w:lang w:val="en-US" w:eastAsia="zh-CN" w:bidi="ar-SA"/>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144" w:hRule="atLeast"/>
          <w:tblHeader/>
        </w:trPr>
        <w:tc>
          <w:tcPr>
            <w:tcW w:w="763" w:type="dxa"/>
            <w:vMerge w:val="continue"/>
            <w:tcBorders>
              <w:left w:val="single" w:color="000000" w:sz="8" w:space="0"/>
              <w:right w:val="single" w:color="000000" w:sz="2" w:space="0"/>
            </w:tcBorders>
            <w:shd w:val="clear" w:color="auto" w:fill="auto"/>
          </w:tcPr>
          <w:p>
            <w:pPr>
              <w:spacing w:line="240" w:lineRule="auto"/>
              <w:ind w:firstLine="480" w:firstLineChars="200"/>
              <w:rPr>
                <w:rFonts w:hint="eastAsia" w:ascii="宋体" w:hAnsi="宋体" w:eastAsia="宋体" w:cs="宋体"/>
                <w:color w:val="auto"/>
                <w:sz w:val="24"/>
                <w:szCs w:val="24"/>
                <w:highlight w:val="none"/>
              </w:rPr>
            </w:pPr>
          </w:p>
        </w:tc>
        <w:tc>
          <w:tcPr>
            <w:tcW w:w="1773" w:type="dxa"/>
            <w:vMerge w:val="continue"/>
            <w:tcBorders>
              <w:left w:val="single" w:color="000000" w:sz="2"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rPr>
            </w:pP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1734"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备份投标文件送达地点和签收人员 </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pStyle w:val="33"/>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 xml:space="preserve"> 杭州市临安区锦北街道科技大道云安小镇9B幢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lang w:val="en-US" w:eastAsia="zh-CN"/>
              </w:rPr>
              <w:t>0571-61112061</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28" w:type="dxa"/>
            <w:bottom w:w="0" w:type="dxa"/>
            <w:right w:w="28" w:type="dxa"/>
          </w:tblCellMar>
        </w:tblPrEx>
        <w:trPr>
          <w:trHeight w:val="686" w:hRule="atLeast"/>
          <w:tblHeader/>
        </w:trPr>
        <w:tc>
          <w:tcPr>
            <w:tcW w:w="763" w:type="dxa"/>
            <w:tcBorders>
              <w:top w:val="single" w:color="auto" w:sz="4" w:space="0"/>
              <w:left w:val="single" w:color="000000" w:sz="8" w:space="0"/>
              <w:bottom w:val="single" w:color="auto" w:sz="4" w:space="0"/>
              <w:right w:val="single" w:color="000000" w:sz="2" w:space="0"/>
            </w:tcBorders>
            <w:shd w:val="clear" w:color="auto" w:fill="auto"/>
            <w:vAlign w:val="center"/>
          </w:tcPr>
          <w:p>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73" w:type="dxa"/>
            <w:tcBorders>
              <w:top w:val="single" w:color="000000" w:sz="8" w:space="0"/>
              <w:left w:val="single" w:color="000000" w:sz="2"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900" w:type="dxa"/>
            <w:tcBorders>
              <w:top w:val="single" w:color="000000" w:sz="8" w:space="0"/>
              <w:left w:val="single" w:color="000000" w:sz="2" w:space="0"/>
              <w:bottom w:val="single" w:color="000000" w:sz="8" w:space="0"/>
              <w:right w:val="single" w:color="000000" w:sz="8" w:space="0"/>
            </w:tcBorders>
            <w:shd w:val="clear" w:color="auto" w:fill="auto"/>
            <w:vAlign w:val="center"/>
          </w:tcPr>
          <w:p>
            <w:pPr>
              <w:snapToGrid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采购代理服务费</w:t>
            </w:r>
            <w:r>
              <w:rPr>
                <w:rFonts w:hint="eastAsia" w:ascii="宋体" w:hAnsi="宋体" w:cs="宋体"/>
                <w:color w:val="auto"/>
                <w:sz w:val="24"/>
                <w:highlight w:val="none"/>
                <w:lang w:val="en-US" w:eastAsia="zh-CN"/>
              </w:rPr>
              <w:t>24800元，</w:t>
            </w:r>
            <w:r>
              <w:rPr>
                <w:rFonts w:hint="eastAsia" w:ascii="宋体" w:hAnsi="宋体" w:cs="宋体"/>
                <w:color w:val="auto"/>
                <w:sz w:val="24"/>
                <w:highlight w:val="none"/>
              </w:rPr>
              <w:t>由成交人支付，评审专家费另行支付。费用在发出成交通知书前付清。</w:t>
            </w:r>
          </w:p>
        </w:tc>
      </w:tr>
    </w:tbl>
    <w:p>
      <w:pPr>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br w:type="page"/>
      </w: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适用范围</w:t>
      </w:r>
    </w:p>
    <w:p>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2.定义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系指实质性要求条款，“★”系产品采购项目中单一产品或核心产品，“</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eastAsia="宋体" w:cs="宋体"/>
          <w:color w:val="auto"/>
          <w:sz w:val="24"/>
          <w:szCs w:val="24"/>
          <w:highlight w:val="none"/>
        </w:rPr>
        <w:cr/>
      </w:r>
      <w:r>
        <w:rPr>
          <w:rFonts w:hint="eastAsia" w:ascii="宋体" w:hAnsi="宋体" w:eastAsia="宋体" w:cs="宋体"/>
          <w:b/>
          <w:color w:val="auto"/>
          <w:sz w:val="24"/>
          <w:szCs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4.2供应商质疑</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4.2</w:t>
      </w:r>
      <w:r>
        <w:rPr>
          <w:rFonts w:hint="eastAsia" w:ascii="宋体" w:hAnsi="宋体" w:eastAsia="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4.2.2.1对招标文件提出质疑的，质疑期限为供应商获得招标文件之日或者招标文件公告期限届满之日起计算。</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w:t>
      </w:r>
      <w:r>
        <w:rPr>
          <w:rFonts w:hint="eastAsia" w:ascii="宋体" w:hAnsi="宋体" w:eastAsia="宋体" w:cs="宋体"/>
          <w:color w:val="auto"/>
          <w:sz w:val="24"/>
          <w:szCs w:val="24"/>
          <w:highlight w:val="none"/>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4.2.3.2质疑项目的名称、编号；</w:t>
      </w:r>
    </w:p>
    <w:p>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4.2.3.4事实依据；</w:t>
      </w:r>
    </w:p>
    <w:p>
      <w:pPr>
        <w:pStyle w:val="33"/>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4.2.3.5必要的法律依据；</w:t>
      </w:r>
    </w:p>
    <w:p>
      <w:pPr>
        <w:pStyle w:val="33"/>
        <w:spacing w:line="360" w:lineRule="auto"/>
        <w:ind w:firstLine="960" w:firstLineChars="4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4.2</w:t>
      </w:r>
      <w:r>
        <w:rPr>
          <w:rFonts w:hint="eastAsia" w:ascii="宋体" w:hAnsi="宋体" w:eastAsia="宋体" w:cs="宋体"/>
          <w:color w:val="auto"/>
          <w:sz w:val="24"/>
          <w:szCs w:val="24"/>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4.2</w:t>
      </w:r>
      <w:r>
        <w:rPr>
          <w:rFonts w:hint="eastAsia" w:ascii="宋体" w:hAnsi="宋体" w:eastAsia="宋体" w:cs="宋体"/>
          <w:color w:val="auto"/>
          <w:sz w:val="24"/>
          <w:szCs w:val="24"/>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投诉书范本及制作说明详见附件3。</w:t>
      </w:r>
    </w:p>
    <w:p>
      <w:pPr>
        <w:pStyle w:val="128"/>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9.投标保证金</w:t>
      </w:r>
    </w:p>
    <w:p>
      <w:pPr>
        <w:pStyle w:val="17"/>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本项目不需缴纳投标保证金。</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11.1.2落实政府采购政策需满足的资格要求；</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11.1.3本项目的特定资格要求。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11.2.1投标函；</w:t>
      </w:r>
      <w:r>
        <w:rPr>
          <w:rFonts w:hint="eastAsia" w:ascii="宋体" w:hAnsi="宋体" w:eastAsia="宋体" w:cs="宋体"/>
          <w:color w:val="auto"/>
          <w:sz w:val="24"/>
          <w:szCs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11.2.3联合协议；</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11.2.4分包意向协议；</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11.2.5符合性审查资料；</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11.2.6评标标准相应的商务技术资料；</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11.2.7商务技术偏离表；</w:t>
      </w:r>
    </w:p>
    <w:p>
      <w:pPr>
        <w:snapToGrid w:val="0"/>
        <w:spacing w:line="360" w:lineRule="auto"/>
        <w:ind w:firstLine="960" w:firstLineChars="4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pPr>
        <w:snapToGrid w:val="0"/>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中小企业声明函。</w:t>
      </w:r>
    </w:p>
    <w:p>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pPr>
        <w:pStyle w:val="128"/>
        <w:snapToGrid w:val="0"/>
        <w:spacing w:before="0"/>
        <w:ind w:firstLine="0" w:firstLineChars="0"/>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投标文件的编制</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13.投标文件的签署、盖章</w:t>
      </w:r>
    </w:p>
    <w:p>
      <w:pPr>
        <w:pStyle w:val="128"/>
        <w:snapToGrid w:val="0"/>
        <w:spacing w:before="0"/>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13.1投标文件按照招标文件第六部分格式要求进行签署、盖章。</w:t>
      </w:r>
      <w:r>
        <w:rPr>
          <w:rFonts w:hint="eastAsia" w:ascii="宋体" w:hAnsi="宋体" w:eastAsia="宋体" w:cs="宋体"/>
          <w:b/>
          <w:color w:val="auto"/>
          <w:sz w:val="24"/>
          <w:szCs w:val="24"/>
          <w:highlight w:val="none"/>
        </w:rPr>
        <w:t>▲投标人的投标文件未按照招标文件要求签署、盖章的，其投标无效</w:t>
      </w:r>
      <w:r>
        <w:rPr>
          <w:rFonts w:hint="eastAsia" w:ascii="宋体" w:hAnsi="宋体" w:eastAsia="宋体" w:cs="宋体"/>
          <w:color w:val="auto"/>
          <w:sz w:val="24"/>
          <w:szCs w:val="24"/>
          <w:highlight w:val="none"/>
        </w:rPr>
        <w:t>。</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13.3招标文件对投标文件签署、盖章的要求适用于电子签名。</w:t>
      </w:r>
    </w:p>
    <w:p>
      <w:pPr>
        <w:pStyle w:val="128"/>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投标文件的提交、补充、修改、撤回</w:t>
      </w:r>
    </w:p>
    <w:p>
      <w:pPr>
        <w:pStyle w:val="128"/>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szCs w:val="24"/>
          <w:highlight w:val="none"/>
          <w:lang w:val="en-US" w:eastAsia="zh-CN"/>
        </w:rPr>
        <w:t>U</w:t>
      </w:r>
      <w:r>
        <w:rPr>
          <w:rFonts w:hint="eastAsia" w:ascii="宋体" w:hAnsi="宋体" w:eastAsia="宋体" w:cs="宋体"/>
          <w:color w:val="auto"/>
          <w:sz w:val="24"/>
          <w:szCs w:val="24"/>
          <w:highlight w:val="none"/>
        </w:rPr>
        <w:t>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不符合上述制作、存储、密封规定的备份投标文件将被视为无效或者被拒绝接收。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28"/>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16.投标文件的无效处理</w:t>
      </w:r>
    </w:p>
    <w:p>
      <w:pPr>
        <w:pStyle w:val="25"/>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有招标文件第四部分第13项规定的情形之一的，投标无效：</w:t>
      </w:r>
    </w:p>
    <w:p>
      <w:pPr>
        <w:pStyle w:val="128"/>
        <w:spacing w:before="0"/>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17.投标有效期</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17.1投标有效期为从提交投标文件的截止之日起90天。▲</w:t>
      </w:r>
      <w:r>
        <w:rPr>
          <w:rFonts w:hint="eastAsia" w:ascii="宋体" w:hAnsi="宋体" w:eastAsia="宋体" w:cs="宋体"/>
          <w:b/>
          <w:color w:val="auto"/>
          <w:sz w:val="24"/>
          <w:szCs w:val="24"/>
          <w:highlight w:val="none"/>
        </w:rPr>
        <w:t>投标人的投标文件中承诺的投标有效期少于招标文件中载明的投标有效期的，投标无效。</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17.2投标文件合格投递后，自投标截止日期起，在投标有效期内有效。</w:t>
      </w:r>
    </w:p>
    <w:p>
      <w:pPr>
        <w:pStyle w:val="128"/>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仿宋_GB2312" w:hAnsi="仿宋" w:eastAsia="仿宋_GB2312" w:cs="仿宋_GB2312"/>
          <w:b/>
          <w:color w:val="auto"/>
          <w:sz w:val="32"/>
          <w:highlight w:val="none"/>
        </w:rPr>
      </w:pPr>
    </w:p>
    <w:p>
      <w:pPr>
        <w:pStyle w:val="128"/>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554"/>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4"/>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pPr>
        <w:pStyle w:val="12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2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8"/>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hint="eastAsia" w:ascii="宋体" w:hAnsi="宋体" w:eastAsia="宋体" w:cs="宋体"/>
          <w:b/>
          <w:color w:val="auto"/>
          <w:sz w:val="24"/>
          <w:szCs w:val="24"/>
          <w:highlight w:val="none"/>
        </w:rPr>
      </w:pPr>
      <w:bookmarkStart w:id="13" w:name="_Toc91899903"/>
      <w:r>
        <w:rPr>
          <w:rFonts w:hint="eastAsia" w:ascii="宋体" w:hAnsi="宋体" w:eastAsia="宋体" w:cs="宋体"/>
          <w:b/>
          <w:color w:val="auto"/>
          <w:sz w:val="24"/>
          <w:szCs w:val="24"/>
          <w:highlight w:val="none"/>
        </w:rPr>
        <w:t>21.</w:t>
      </w:r>
      <w:r>
        <w:rPr>
          <w:rFonts w:hint="eastAsia" w:ascii="宋体" w:hAnsi="宋体" w:eastAsia="宋体" w:cs="宋体"/>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szCs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hint="eastAsia" w:ascii="仿宋_GB2312" w:hAnsi="仿宋" w:eastAsia="仿宋_GB2312" w:cs="仿宋_GB2312"/>
          <w:b/>
          <w:color w:val="auto"/>
          <w:sz w:val="36"/>
          <w:szCs w:val="36"/>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2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24. </w:t>
      </w:r>
      <w:r>
        <w:rPr>
          <w:rFonts w:hint="eastAsia" w:ascii="宋体" w:hAnsi="宋体" w:eastAsia="宋体" w:cs="宋体"/>
          <w:color w:val="auto"/>
          <w:sz w:val="24"/>
          <w:szCs w:val="24"/>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25.1</w:t>
      </w:r>
      <w:r>
        <w:rPr>
          <w:rFonts w:hint="eastAsia" w:ascii="宋体" w:hAnsi="宋体" w:eastAsia="宋体" w:cs="宋体"/>
          <w:color w:val="auto"/>
          <w:kern w:val="0"/>
          <w:sz w:val="24"/>
          <w:szCs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履约保证金</w:t>
      </w:r>
    </w:p>
    <w:p>
      <w:pPr>
        <w:tabs>
          <w:tab w:val="left" w:pos="0"/>
        </w:tabs>
        <w:spacing w:line="360" w:lineRule="auto"/>
        <w:ind w:firstLine="482"/>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szCs w:val="24"/>
          <w:highlight w:val="none"/>
        </w:rPr>
        <w:t>。履约保证金的数额不得超过政府采购合同金额的5%。鼓励和支持供应商以银行、保险公司出具的保函形式提供履约保证金。</w:t>
      </w:r>
      <w:r>
        <w:rPr>
          <w:rFonts w:hint="eastAsia" w:ascii="宋体" w:hAnsi="宋体" w:eastAsia="宋体" w:cs="宋体"/>
          <w:b/>
          <w:color w:val="auto"/>
          <w:sz w:val="24"/>
          <w:szCs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5%。</w:t>
      </w:r>
    </w:p>
    <w:p>
      <w:pPr>
        <w:pStyle w:val="5"/>
        <w:ind w:left="0"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szCs w:val="24"/>
          <w:highlight w:val="none"/>
        </w:rPr>
        <w:t>7.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2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28"/>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rPr>
          <w:rFonts w:ascii="仿宋_GB2312" w:hAnsi="仿宋" w:eastAsia="仿宋_GB2312"/>
          <w:color w:val="auto"/>
          <w:sz w:val="24"/>
          <w:highlight w:val="none"/>
        </w:rPr>
      </w:pPr>
    </w:p>
    <w:p>
      <w:pPr>
        <w:pStyle w:val="5"/>
        <w:rPr>
          <w:color w:val="auto"/>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5"/>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29.验收</w:t>
      </w:r>
    </w:p>
    <w:p>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宋体" w:hAnsi="宋体" w:eastAsia="宋体" w:cs="宋体"/>
          <w:color w:val="auto"/>
          <w:kern w:val="0"/>
          <w:sz w:val="24"/>
          <w:szCs w:val="24"/>
          <w:highlight w:val="none"/>
        </w:rPr>
        <w:sectPr>
          <w:headerReference r:id="rId4" w:type="first"/>
          <w:footerReference r:id="rId7" w:type="first"/>
          <w:headerReference r:id="rId3" w:type="default"/>
          <w:footerReference r:id="rId5" w:type="default"/>
          <w:footerReference r:id="rId6" w:type="even"/>
          <w:pgSz w:w="11906" w:h="16838"/>
          <w:pgMar w:top="680" w:right="1418" w:bottom="850" w:left="1418" w:header="340" w:footer="567" w:gutter="0"/>
          <w:cols w:space="720" w:num="1"/>
          <w:titlePg/>
          <w:docGrid w:linePitch="312" w:charSpace="0"/>
        </w:sectPr>
      </w:pPr>
      <w:bookmarkStart w:id="14" w:name="_Hlt75236011"/>
      <w:bookmarkEnd w:id="14"/>
      <w:bookmarkStart w:id="15" w:name="_Hlt68073093"/>
      <w:bookmarkEnd w:id="15"/>
      <w:bookmarkStart w:id="16" w:name="_Hlt68403820"/>
      <w:bookmarkEnd w:id="16"/>
      <w:bookmarkStart w:id="17" w:name="_Hlt68057669"/>
      <w:bookmarkEnd w:id="17"/>
      <w:bookmarkStart w:id="18" w:name="_Hlt68072990"/>
      <w:bookmarkEnd w:id="18"/>
      <w:bookmarkStart w:id="19" w:name="_Hlt74707468"/>
      <w:bookmarkEnd w:id="19"/>
      <w:bookmarkStart w:id="20" w:name="_Hlt68072998"/>
      <w:bookmarkEnd w:id="20"/>
      <w:bookmarkStart w:id="21" w:name="_Hlt75236101"/>
      <w:bookmarkEnd w:id="21"/>
      <w:bookmarkStart w:id="22" w:name="_Hlt74730295"/>
      <w:bookmarkEnd w:id="22"/>
      <w:bookmarkStart w:id="23" w:name="_Hlt75236290"/>
      <w:bookmarkEnd w:id="23"/>
      <w:bookmarkStart w:id="24" w:name="_Hlt74729768"/>
      <w:bookmarkEnd w:id="24"/>
      <w:bookmarkStart w:id="25" w:name="_Hlt74714665"/>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numPr>
          <w:ilvl w:val="0"/>
          <w:numId w:val="1"/>
        </w:numPr>
        <w:spacing w:line="360" w:lineRule="auto"/>
        <w:ind w:firstLine="426" w:firstLineChars="177"/>
        <w:jc w:val="left"/>
        <w:rPr>
          <w:rFonts w:hint="eastAsia" w:ascii="宋体" w:hAnsi="宋体" w:eastAsia="宋体" w:cs="宋体"/>
          <w:b/>
          <w:color w:val="auto"/>
          <w:sz w:val="24"/>
          <w:szCs w:val="24"/>
          <w:highlight w:val="none"/>
          <w:lang w:eastAsia="zh-CN"/>
        </w:rPr>
      </w:pPr>
      <w:bookmarkStart w:id="27" w:name="_Toc241467002"/>
      <w:bookmarkStart w:id="28" w:name="_Toc301444198"/>
      <w:bookmarkStart w:id="29" w:name="_Toc241466926"/>
      <w:bookmarkStart w:id="30" w:name="_Toc512417679"/>
      <w:bookmarkStart w:id="31" w:name="_Toc482776958"/>
      <w:bookmarkStart w:id="32" w:name="_Toc512603982"/>
      <w:bookmarkStart w:id="33" w:name="_Toc512429169"/>
      <w:bookmarkStart w:id="34" w:name="_Toc477336991"/>
      <w:bookmarkStart w:id="35" w:name="_Toc512600501"/>
      <w:bookmarkStart w:id="36" w:name="_Toc302983087"/>
      <w:bookmarkStart w:id="37" w:name="_Toc512496353"/>
      <w:bookmarkStart w:id="38" w:name="_Toc259303048"/>
      <w:bookmarkStart w:id="39" w:name="_Toc239860045"/>
      <w:r>
        <w:rPr>
          <w:rFonts w:hint="eastAsia" w:ascii="宋体" w:hAnsi="宋体" w:eastAsia="宋体" w:cs="宋体"/>
          <w:b/>
          <w:color w:val="auto"/>
          <w:sz w:val="24"/>
          <w:szCs w:val="24"/>
          <w:highlight w:val="none"/>
          <w:lang w:eastAsia="zh-CN"/>
        </w:rPr>
        <w:t>项目概况</w:t>
      </w:r>
    </w:p>
    <w:p>
      <w:pPr>
        <w:numPr>
          <w:ilvl w:val="0"/>
          <w:numId w:val="0"/>
        </w:num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1.1 </w:t>
      </w:r>
      <w:r>
        <w:rPr>
          <w:rFonts w:hint="eastAsia" w:ascii="宋体" w:hAnsi="宋体" w:eastAsia="宋体" w:cs="宋体"/>
          <w:b w:val="0"/>
          <w:bCs/>
          <w:color w:val="auto"/>
          <w:sz w:val="24"/>
          <w:szCs w:val="24"/>
          <w:highlight w:val="none"/>
        </w:rPr>
        <w:t>本项目采购内容为</w:t>
      </w:r>
      <w:r>
        <w:rPr>
          <w:rFonts w:hint="eastAsia" w:ascii="宋体" w:hAnsi="宋体" w:eastAsia="宋体" w:cs="宋体"/>
          <w:b w:val="0"/>
          <w:bCs/>
          <w:color w:val="auto"/>
          <w:sz w:val="24"/>
          <w:szCs w:val="24"/>
          <w:highlight w:val="none"/>
          <w:lang w:eastAsia="zh-CN"/>
        </w:rPr>
        <w:t>杭州市临安区中医院</w:t>
      </w:r>
      <w:r>
        <w:rPr>
          <w:rFonts w:hint="eastAsia" w:ascii="宋体" w:hAnsi="宋体" w:eastAsia="宋体" w:cs="宋体"/>
          <w:b w:val="0"/>
          <w:bCs/>
          <w:color w:val="auto"/>
          <w:sz w:val="24"/>
          <w:szCs w:val="24"/>
          <w:highlight w:val="none"/>
        </w:rPr>
        <w:t>食堂所需的粮油类、新鲜蔬菜（含净菜）、冷冻</w:t>
      </w:r>
      <w:r>
        <w:rPr>
          <w:rFonts w:hint="eastAsia" w:ascii="宋体" w:hAnsi="宋体" w:eastAsia="宋体" w:cs="宋体"/>
          <w:b w:val="0"/>
          <w:bCs/>
          <w:color w:val="auto"/>
          <w:sz w:val="24"/>
          <w:szCs w:val="24"/>
          <w:highlight w:val="none"/>
          <w:lang w:val="en-US" w:eastAsia="zh-CN"/>
        </w:rPr>
        <w:t>食</w:t>
      </w:r>
      <w:r>
        <w:rPr>
          <w:rFonts w:hint="eastAsia" w:ascii="宋体" w:hAnsi="宋体" w:eastAsia="宋体" w:cs="宋体"/>
          <w:b w:val="0"/>
          <w:bCs/>
          <w:color w:val="auto"/>
          <w:sz w:val="24"/>
          <w:szCs w:val="24"/>
          <w:highlight w:val="none"/>
        </w:rPr>
        <w:t>品、调味品、其他类（</w:t>
      </w:r>
      <w:r>
        <w:rPr>
          <w:rFonts w:hint="eastAsia" w:ascii="宋体" w:hAnsi="宋体" w:eastAsia="宋体" w:cs="宋体"/>
          <w:b w:val="0"/>
          <w:bCs/>
          <w:color w:val="auto"/>
          <w:sz w:val="24"/>
          <w:szCs w:val="24"/>
          <w:highlight w:val="none"/>
          <w:lang w:val="en-US" w:eastAsia="zh-CN"/>
        </w:rPr>
        <w:t>新鲜</w:t>
      </w:r>
      <w:r>
        <w:rPr>
          <w:rFonts w:hint="eastAsia" w:ascii="宋体" w:hAnsi="宋体" w:eastAsia="宋体" w:cs="宋体"/>
          <w:b w:val="0"/>
          <w:bCs/>
          <w:color w:val="auto"/>
          <w:sz w:val="24"/>
          <w:szCs w:val="24"/>
          <w:highlight w:val="none"/>
        </w:rPr>
        <w:t>水产、</w:t>
      </w:r>
      <w:r>
        <w:rPr>
          <w:rFonts w:hint="eastAsia" w:ascii="宋体" w:hAnsi="宋体" w:eastAsia="宋体" w:cs="宋体"/>
          <w:b w:val="0"/>
          <w:bCs/>
          <w:color w:val="auto"/>
          <w:sz w:val="24"/>
          <w:szCs w:val="24"/>
          <w:highlight w:val="none"/>
          <w:lang w:val="en-US" w:eastAsia="zh-CN"/>
        </w:rPr>
        <w:t>新鲜</w:t>
      </w:r>
      <w:r>
        <w:rPr>
          <w:rFonts w:hint="eastAsia" w:ascii="宋体" w:hAnsi="宋体" w:eastAsia="宋体" w:cs="宋体"/>
          <w:b w:val="0"/>
          <w:bCs/>
          <w:color w:val="auto"/>
          <w:sz w:val="24"/>
          <w:szCs w:val="24"/>
          <w:highlight w:val="none"/>
        </w:rPr>
        <w:t>畜禽肉及副产品、干货、豆制品、</w:t>
      </w:r>
      <w:r>
        <w:rPr>
          <w:rFonts w:hint="eastAsia" w:ascii="宋体" w:hAnsi="宋体" w:eastAsia="宋体" w:cs="宋体"/>
          <w:b w:val="0"/>
          <w:bCs/>
          <w:color w:val="auto"/>
          <w:sz w:val="24"/>
          <w:szCs w:val="24"/>
          <w:highlight w:val="none"/>
          <w:lang w:val="en-US" w:eastAsia="zh-CN"/>
        </w:rPr>
        <w:t>新鲜</w:t>
      </w:r>
      <w:r>
        <w:rPr>
          <w:rFonts w:hint="eastAsia" w:ascii="宋体" w:hAnsi="宋体" w:eastAsia="宋体" w:cs="宋体"/>
          <w:b w:val="0"/>
          <w:bCs/>
          <w:color w:val="auto"/>
          <w:sz w:val="24"/>
          <w:szCs w:val="24"/>
          <w:highlight w:val="none"/>
        </w:rPr>
        <w:t>禽蛋</w:t>
      </w:r>
      <w:r>
        <w:rPr>
          <w:rFonts w:hint="eastAsia" w:ascii="宋体" w:hAnsi="宋体" w:eastAsia="宋体" w:cs="宋体"/>
          <w:b w:val="0"/>
          <w:bCs/>
          <w:color w:val="auto"/>
          <w:sz w:val="24"/>
          <w:szCs w:val="24"/>
          <w:highlight w:val="none"/>
          <w:lang w:eastAsia="zh-CN"/>
        </w:rPr>
        <w:t>、</w:t>
      </w:r>
      <w:r>
        <w:rPr>
          <w:rFonts w:hint="eastAsia" w:ascii="宋体" w:hAnsi="宋体" w:cs="宋体"/>
          <w:color w:val="auto"/>
          <w:sz w:val="24"/>
          <w:highlight w:val="none"/>
          <w:lang w:val="en-US" w:eastAsia="zh-CN"/>
        </w:rPr>
        <w:t>新鲜</w:t>
      </w:r>
      <w:r>
        <w:rPr>
          <w:rFonts w:hint="eastAsia" w:ascii="宋体" w:hAnsi="宋体" w:cs="宋体"/>
          <w:color w:val="auto"/>
          <w:sz w:val="24"/>
          <w:highlight w:val="none"/>
        </w:rPr>
        <w:t>水果、点心饮品</w:t>
      </w:r>
      <w:r>
        <w:rPr>
          <w:rFonts w:hint="eastAsia" w:ascii="宋体" w:hAnsi="宋体" w:eastAsia="宋体" w:cs="宋体"/>
          <w:b w:val="0"/>
          <w:bCs/>
          <w:color w:val="auto"/>
          <w:sz w:val="24"/>
          <w:szCs w:val="24"/>
          <w:highlight w:val="none"/>
        </w:rPr>
        <w:t>等）共五大类主副食品原材料的供货、粗加工（如需）及配送服务，采用投标折扣率报价，年采购规模约</w:t>
      </w:r>
      <w:r>
        <w:rPr>
          <w:rFonts w:hint="eastAsia" w:ascii="宋体" w:hAnsi="宋体" w:eastAsia="宋体" w:cs="宋体"/>
          <w:b w:val="0"/>
          <w:bCs/>
          <w:color w:val="auto"/>
          <w:sz w:val="24"/>
          <w:szCs w:val="24"/>
          <w:highlight w:val="none"/>
          <w:lang w:val="en-US" w:eastAsia="zh-CN"/>
        </w:rPr>
        <w:t>300</w:t>
      </w:r>
      <w:r>
        <w:rPr>
          <w:rFonts w:hint="eastAsia" w:ascii="宋体" w:hAnsi="宋体" w:eastAsia="宋体" w:cs="宋体"/>
          <w:b w:val="0"/>
          <w:bCs/>
          <w:color w:val="auto"/>
          <w:sz w:val="24"/>
          <w:szCs w:val="24"/>
          <w:highlight w:val="none"/>
        </w:rPr>
        <w:t>万（以实际供货为准），合同期限一年。</w:t>
      </w:r>
    </w:p>
    <w:p>
      <w:pPr>
        <w:numPr>
          <w:ilvl w:val="0"/>
          <w:numId w:val="0"/>
        </w:num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1.2 </w:t>
      </w:r>
      <w:r>
        <w:rPr>
          <w:rFonts w:hint="eastAsia" w:ascii="宋体" w:hAnsi="宋体" w:eastAsia="宋体" w:cs="宋体"/>
          <w:b/>
          <w:bCs w:val="0"/>
          <w:color w:val="auto"/>
          <w:sz w:val="24"/>
          <w:szCs w:val="24"/>
          <w:highlight w:val="none"/>
        </w:rPr>
        <w:t>定价：</w:t>
      </w:r>
      <w:r>
        <w:rPr>
          <w:rFonts w:hint="eastAsia" w:ascii="宋体" w:hAnsi="宋体" w:eastAsia="宋体" w:cs="宋体"/>
          <w:b w:val="0"/>
          <w:bCs/>
          <w:color w:val="auto"/>
          <w:sz w:val="24"/>
          <w:szCs w:val="24"/>
          <w:highlight w:val="none"/>
        </w:rPr>
        <w:t>为进一步规范食材配送询价工作，提高询价工作精准度，有效降低廉政岗位风险，建立市场询价工作机制。本项目采购定价以杭州市菜篮子零售价格网公布的价格为基准价，按中标人投标时承诺的下浮率结算。</w:t>
      </w:r>
    </w:p>
    <w:p>
      <w:pPr>
        <w:numPr>
          <w:ilvl w:val="0"/>
          <w:numId w:val="0"/>
        </w:num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原则上价格每两周确定一次。中标人采集询价周次周一至周二杭州市菜篮子零售价格网公布的价格平均值，并根据下浮率制定结算价报价单；网站上未列明的产品由甲方本着质优价廉的原则自主报价，并于周三将合并报价单发送至采购方进行审核；对有疑问的菜价食堂负责人到天工商厦、浙皖农贸城进行抽查比价，以最终双方确认的报价单作为未来两周的结算价，原则上周五确认未来两周的结算价。</w:t>
      </w:r>
    </w:p>
    <w:p>
      <w:pPr>
        <w:numPr>
          <w:ilvl w:val="0"/>
          <w:numId w:val="0"/>
        </w:numPr>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 xml:space="preserve">1.3 </w:t>
      </w:r>
      <w:r>
        <w:rPr>
          <w:rFonts w:hint="eastAsia" w:ascii="宋体" w:hAnsi="宋体" w:eastAsia="宋体" w:cs="宋体"/>
          <w:b/>
          <w:bCs w:val="0"/>
          <w:color w:val="auto"/>
          <w:sz w:val="24"/>
          <w:szCs w:val="24"/>
          <w:highlight w:val="none"/>
        </w:rPr>
        <w:t>调价：</w:t>
      </w:r>
      <w:r>
        <w:rPr>
          <w:rFonts w:hint="eastAsia" w:ascii="宋体" w:hAnsi="宋体" w:eastAsia="宋体" w:cs="宋体"/>
          <w:b w:val="0"/>
          <w:bCs/>
          <w:color w:val="auto"/>
          <w:sz w:val="24"/>
          <w:szCs w:val="24"/>
          <w:highlight w:val="none"/>
        </w:rPr>
        <w:t>保持供货价格相对稳定。两周内价格不作调整，互相承担风险。</w:t>
      </w:r>
    </w:p>
    <w:p>
      <w:pPr>
        <w:numPr>
          <w:ilvl w:val="0"/>
          <w:numId w:val="0"/>
        </w:numPr>
        <w:spacing w:line="360" w:lineRule="auto"/>
        <w:ind w:firstLine="480" w:firstLineChars="200"/>
        <w:jc w:val="left"/>
        <w:rPr>
          <w:rFonts w:hint="default"/>
          <w:b/>
          <w:bCs w:val="0"/>
          <w:color w:val="auto"/>
          <w:highlight w:val="none"/>
          <w:lang w:val="en-US" w:eastAsia="zh-CN"/>
        </w:rPr>
      </w:pPr>
      <w:r>
        <w:rPr>
          <w:rFonts w:hint="eastAsia" w:ascii="宋体" w:hAnsi="宋体" w:eastAsia="宋体" w:cs="宋体"/>
          <w:b w:val="0"/>
          <w:bCs/>
          <w:color w:val="auto"/>
          <w:sz w:val="24"/>
          <w:szCs w:val="24"/>
          <w:highlight w:val="none"/>
          <w:lang w:val="en-US" w:eastAsia="zh-CN"/>
        </w:rPr>
        <w:t>1.4</w:t>
      </w:r>
      <w:r>
        <w:rPr>
          <w:rFonts w:hint="eastAsia" w:ascii="宋体" w:hAnsi="宋体" w:eastAsia="宋体" w:cs="宋体"/>
          <w:b/>
          <w:bCs w:val="0"/>
          <w:color w:val="auto"/>
          <w:sz w:val="24"/>
          <w:szCs w:val="24"/>
          <w:highlight w:val="none"/>
          <w:lang w:val="en-US" w:eastAsia="zh-CN"/>
        </w:rPr>
        <w:t xml:space="preserve"> 限价（最低下浮率）：粮油类：3%；蔬菜类：10%；冷冻品类：3%；调味品类：3%；其他类(包括水产类、禽肉类、干货类、豆制品类、禽蛋类、鲜猪肉类等)：3%。</w:t>
      </w:r>
    </w:p>
    <w:p>
      <w:pPr>
        <w:numPr>
          <w:ilvl w:val="0"/>
          <w:numId w:val="1"/>
        </w:numPr>
        <w:spacing w:line="360" w:lineRule="auto"/>
        <w:ind w:left="0" w:leftChars="0" w:firstLine="426" w:firstLineChars="177"/>
        <w:jc w:val="left"/>
        <w:rPr>
          <w:rFonts w:hint="eastAsia" w:ascii="宋体" w:hAnsi="宋体" w:eastAsia="宋体" w:cs="宋体"/>
          <w:b/>
          <w:color w:val="auto"/>
          <w:sz w:val="24"/>
          <w:szCs w:val="24"/>
          <w:highlight w:val="none"/>
          <w:lang w:eastAsia="zh-CN"/>
        </w:rPr>
      </w:pPr>
      <w:bookmarkStart w:id="40" w:name="_Toc67479573"/>
      <w:bookmarkStart w:id="41" w:name="_Toc39102647"/>
      <w:r>
        <w:rPr>
          <w:rFonts w:hint="eastAsia" w:ascii="宋体" w:hAnsi="宋体" w:eastAsia="宋体" w:cs="宋体"/>
          <w:b/>
          <w:color w:val="auto"/>
          <w:sz w:val="24"/>
          <w:szCs w:val="24"/>
          <w:highlight w:val="none"/>
          <w:lang w:eastAsia="zh-CN"/>
        </w:rPr>
        <w:t>质量、服务要求</w:t>
      </w:r>
      <w:bookmarkEnd w:id="40"/>
      <w:bookmarkEnd w:id="41"/>
    </w:p>
    <w:p>
      <w:pPr>
        <w:numPr>
          <w:ilvl w:val="0"/>
          <w:numId w:val="0"/>
        </w:numPr>
        <w:spacing w:line="360" w:lineRule="auto"/>
        <w:ind w:left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2.1 </w:t>
      </w:r>
      <w:r>
        <w:rPr>
          <w:rFonts w:hint="eastAsia" w:ascii="宋体" w:hAnsi="宋体" w:eastAsia="宋体" w:cs="宋体"/>
          <w:color w:val="auto"/>
          <w:sz w:val="24"/>
          <w:szCs w:val="24"/>
          <w:highlight w:val="none"/>
        </w:rPr>
        <w:t>物资质量标准与主要要求</w:t>
      </w:r>
    </w:p>
    <w:tbl>
      <w:tblPr>
        <w:tblStyle w:val="62"/>
        <w:tblW w:w="9356" w:type="dxa"/>
        <w:tblInd w:w="-3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autofit"/>
        <w:tblCellMar>
          <w:top w:w="0" w:type="dxa"/>
          <w:left w:w="108" w:type="dxa"/>
          <w:bottom w:w="0" w:type="dxa"/>
          <w:right w:w="108" w:type="dxa"/>
        </w:tblCellMar>
      </w:tblPr>
      <w:tblGrid>
        <w:gridCol w:w="851"/>
        <w:gridCol w:w="1425"/>
        <w:gridCol w:w="708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1" w:type="dxa"/>
            <w:shd w:val="clear" w:color="auto" w:fill="DAEEF3"/>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25" w:type="dxa"/>
            <w:shd w:val="clear" w:color="auto" w:fill="DAEEF3"/>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7080" w:type="dxa"/>
            <w:shd w:val="clear" w:color="auto" w:fill="DAEEF3"/>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质量标准与主要要求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粮油</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非转基因产品</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val="en-US" w:eastAsia="zh-CN"/>
              </w:rPr>
              <w:t>SC</w:t>
            </w:r>
            <w:r>
              <w:rPr>
                <w:rFonts w:hint="eastAsia" w:ascii="宋体" w:hAnsi="宋体" w:eastAsia="宋体" w:cs="宋体"/>
                <w:color w:val="auto"/>
                <w:sz w:val="24"/>
                <w:szCs w:val="24"/>
                <w:highlight w:val="none"/>
              </w:rPr>
              <w:t>”食品质量安全认证，符合国家现行食品质量安全标准。食用油包装完整、标识清楚，</w:t>
            </w:r>
            <w:r>
              <w:rPr>
                <w:rFonts w:hint="eastAsia" w:ascii="宋体" w:hAnsi="宋体" w:eastAsia="宋体" w:cs="宋体"/>
                <w:b/>
                <w:color w:val="auto"/>
                <w:sz w:val="24"/>
                <w:szCs w:val="24"/>
                <w:highlight w:val="none"/>
                <w:lang w:val="zh-CN"/>
              </w:rPr>
              <w:t>交货时的剩余保质期应不低于应有保质期的三分之二。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新鲜肉类</w:t>
            </w:r>
          </w:p>
        </w:tc>
        <w:tc>
          <w:tcPr>
            <w:tcW w:w="7080" w:type="dxa"/>
            <w:noWrap w:val="0"/>
            <w:vAlign w:val="center"/>
          </w:tcPr>
          <w:p>
            <w:pPr>
              <w:spacing w:line="276"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符合《鲜(冻)畜肉卫生标准GB2707》、《冷却猪肉加工技术要求GB/T22289》等国家现行食品质量安全标准，具有动物检验检疫合格证明，定型包装的必须具有“</w:t>
            </w:r>
            <w:r>
              <w:rPr>
                <w:rFonts w:hint="eastAsia" w:ascii="宋体" w:hAnsi="宋体" w:eastAsia="宋体" w:cs="宋体"/>
                <w:color w:val="auto"/>
                <w:sz w:val="24"/>
                <w:szCs w:val="24"/>
                <w:highlight w:val="none"/>
                <w:lang w:eastAsia="zh-CN"/>
              </w:rPr>
              <w:t>SC</w:t>
            </w:r>
            <w:r>
              <w:rPr>
                <w:rFonts w:hint="eastAsia" w:ascii="宋体" w:hAnsi="宋体" w:eastAsia="宋体" w:cs="宋体"/>
                <w:color w:val="auto"/>
                <w:sz w:val="24"/>
                <w:szCs w:val="24"/>
                <w:highlight w:val="none"/>
              </w:rPr>
              <w:t>”食品质量安全认证。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调味品</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SC</w:t>
            </w:r>
            <w:r>
              <w:rPr>
                <w:rFonts w:hint="eastAsia" w:ascii="宋体" w:hAnsi="宋体" w:eastAsia="宋体" w:cs="宋体"/>
                <w:color w:val="auto"/>
                <w:sz w:val="24"/>
                <w:szCs w:val="24"/>
                <w:highlight w:val="none"/>
              </w:rPr>
              <w:t>”食品质量安全认证，符合国家现行食品质量安全标准，外包装清洁卫生，完整坚固，且包装上的商品名称、厂址、规格等与内容物相符，标示清晰，批次清楚等。</w:t>
            </w:r>
            <w:r>
              <w:rPr>
                <w:rFonts w:hint="eastAsia" w:ascii="宋体" w:hAnsi="宋体" w:eastAsia="宋体" w:cs="宋体"/>
                <w:b/>
                <w:color w:val="auto"/>
                <w:sz w:val="24"/>
                <w:szCs w:val="24"/>
                <w:highlight w:val="none"/>
                <w:lang w:val="zh-CN"/>
              </w:rPr>
              <w:t>交货时的剩余保质期应不低于应有保质期的三分之二。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豆制品</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品牌祖名或鸿光</w:t>
            </w: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SC</w:t>
            </w:r>
            <w:r>
              <w:rPr>
                <w:rFonts w:hint="eastAsia" w:ascii="宋体" w:hAnsi="宋体" w:eastAsia="宋体" w:cs="宋体"/>
                <w:color w:val="auto"/>
                <w:sz w:val="24"/>
                <w:szCs w:val="24"/>
                <w:highlight w:val="none"/>
              </w:rPr>
              <w:t>”食品质量安全认证，符合国家现行食品质量安全标准，包装完整、标识清楚。</w:t>
            </w:r>
            <w:r>
              <w:rPr>
                <w:rFonts w:hint="eastAsia" w:ascii="宋体" w:hAnsi="宋体" w:eastAsia="宋体" w:cs="宋体"/>
                <w:b/>
                <w:color w:val="auto"/>
                <w:sz w:val="24"/>
                <w:szCs w:val="24"/>
                <w:highlight w:val="none"/>
                <w:lang w:val="zh-CN"/>
              </w:rPr>
              <w:t>交货时的剩余保质期应不低于应有保质期的三分之二。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鲜禽类</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SC</w:t>
            </w:r>
            <w:r>
              <w:rPr>
                <w:rFonts w:hint="eastAsia" w:ascii="宋体" w:hAnsi="宋体" w:eastAsia="宋体" w:cs="宋体"/>
                <w:color w:val="auto"/>
                <w:sz w:val="24"/>
                <w:szCs w:val="24"/>
                <w:highlight w:val="none"/>
              </w:rPr>
              <w:t>”食品质量安全认证，符合国家现行食品质量安全标准，具有动物检验检疫合格证明。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冷冻食品</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SC</w:t>
            </w:r>
            <w:r>
              <w:rPr>
                <w:rFonts w:hint="eastAsia" w:ascii="宋体" w:hAnsi="宋体" w:eastAsia="宋体" w:cs="宋体"/>
                <w:color w:val="auto"/>
                <w:sz w:val="24"/>
                <w:szCs w:val="24"/>
                <w:highlight w:val="none"/>
              </w:rPr>
              <w:t>”食品质量安全认证，符合国家现行食品质量安全标准，包装完整、标识清楚。</w:t>
            </w:r>
            <w:r>
              <w:rPr>
                <w:rFonts w:hint="eastAsia" w:ascii="宋体" w:hAnsi="宋体" w:eastAsia="宋体" w:cs="宋体"/>
                <w:b/>
                <w:color w:val="auto"/>
                <w:sz w:val="24"/>
                <w:szCs w:val="24"/>
                <w:highlight w:val="none"/>
                <w:lang w:val="zh-CN"/>
              </w:rPr>
              <w:t>交货时的剩余保质期应不低于应有保质期的三分之二。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新鲜蔬菜（含净菜）</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（1）一天内出产的新鲜蔬菜，符合无公害农产品国家标准、《蔬菜、水果卫生标准》GB/T5009.38-2003；</w:t>
            </w:r>
          </w:p>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（2）叶菜：外形正常，叶梗光滑幼嫩，不干瘪凋萎，无过多黄叶，色泽正常。去除根须，不含土，无虫害，大白菜、卷心菜切开心不变黑，无腐烂情形，无明显浸水现象；农药残留不超标；</w:t>
            </w:r>
          </w:p>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（3）根茎类（如香芋、土豆、莴笋等）：无虫咬、发芽、发霉现象，新鲜，形态大小与采购人自购标准相当。农药残留不超标；</w:t>
            </w:r>
          </w:p>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（4）花果类，如西兰花、白菜花：无虫害，成熟度良好，新鲜固有的色泽鲜明，无发霉发黄。农药残留不超标，具有有害物质残留检测报告。</w:t>
            </w:r>
          </w:p>
          <w:p>
            <w:pPr>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（5）净菜要求：按招标人要求作去根、去皮、切块、洗净、包装后交付。</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鲜活农产品（含鱼、虾水产品）</w:t>
            </w:r>
          </w:p>
        </w:tc>
        <w:tc>
          <w:tcPr>
            <w:tcW w:w="7080" w:type="dxa"/>
            <w:noWrap w:val="0"/>
            <w:vAlign w:val="center"/>
          </w:tcPr>
          <w:p>
            <w:pPr>
              <w:spacing w:line="276"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当天出产或捕捞、当天配送的鲜活农产品</w:t>
            </w:r>
            <w:r>
              <w:rPr>
                <w:rFonts w:hint="eastAsia" w:ascii="宋体" w:hAnsi="宋体" w:eastAsia="宋体" w:cs="宋体"/>
                <w:color w:val="auto"/>
                <w:sz w:val="24"/>
                <w:szCs w:val="24"/>
                <w:highlight w:val="none"/>
              </w:rPr>
              <w:t>，符合国家现行食品质量安全标准，具有动物检验检疫合格证明。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新鲜禽蛋</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两天内出产的新鲜禽蛋，符合国家现行食品质量安全标准，具有动物检验检疫合格证明。</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干货</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r>
              <w:rPr>
                <w:rFonts w:hint="eastAsia" w:ascii="宋体" w:hAnsi="宋体" w:eastAsia="宋体" w:cs="宋体"/>
                <w:color w:val="auto"/>
                <w:sz w:val="24"/>
                <w:szCs w:val="24"/>
                <w:highlight w:val="none"/>
                <w:lang w:eastAsia="zh-CN"/>
              </w:rPr>
              <w:t>SC</w:t>
            </w:r>
            <w:r>
              <w:rPr>
                <w:rFonts w:hint="eastAsia" w:ascii="宋体" w:hAnsi="宋体" w:eastAsia="宋体" w:cs="宋体"/>
                <w:color w:val="auto"/>
                <w:sz w:val="24"/>
                <w:szCs w:val="24"/>
                <w:highlight w:val="none"/>
              </w:rPr>
              <w:t>”食品质量安全认证，符合国家现行食品质量安全标准，包装完整、标识清楚。</w:t>
            </w:r>
            <w:r>
              <w:rPr>
                <w:rFonts w:hint="eastAsia" w:ascii="宋体" w:hAnsi="宋体" w:eastAsia="宋体" w:cs="宋体"/>
                <w:b/>
                <w:color w:val="auto"/>
                <w:sz w:val="24"/>
                <w:szCs w:val="24"/>
                <w:highlight w:val="none"/>
                <w:lang w:val="zh-CN"/>
              </w:rPr>
              <w:t>交货时的剩余保质期应不低于应有保质期的三分之二。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新鲜水果</w:t>
            </w:r>
          </w:p>
        </w:tc>
        <w:tc>
          <w:tcPr>
            <w:tcW w:w="7080" w:type="dxa"/>
            <w:noWrap w:val="0"/>
            <w:vAlign w:val="center"/>
          </w:tcPr>
          <w:p>
            <w:pPr>
              <w:spacing w:line="276"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必须保证新鲜，大小均匀</w:t>
            </w:r>
            <w:r>
              <w:rPr>
                <w:rFonts w:hint="eastAsia" w:ascii="宋体" w:hAnsi="宋体" w:eastAsia="宋体" w:cs="宋体"/>
                <w:color w:val="auto"/>
                <w:sz w:val="24"/>
                <w:szCs w:val="24"/>
                <w:highlight w:val="none"/>
                <w:lang w:eastAsia="zh-CN"/>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腌腊制品类</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生产企业应具有该品种有效期内的生产许可证，每批次应提供该批次产品的出厂检验合格证或者其他合格证明。产品包装、标签标识应符合相关食品安全国家标准的要求。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425" w:type="dxa"/>
            <w:noWrap w:val="0"/>
            <w:vAlign w:val="center"/>
          </w:tcPr>
          <w:p>
            <w:pPr>
              <w:spacing w:line="276"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年糕、米面类</w:t>
            </w:r>
          </w:p>
        </w:tc>
        <w:tc>
          <w:tcPr>
            <w:tcW w:w="7080" w:type="dxa"/>
            <w:noWrap w:val="0"/>
            <w:vAlign w:val="center"/>
          </w:tcPr>
          <w:p>
            <w:pPr>
              <w:spacing w:line="276"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生产企业应具有该品种有效期内的生产许可证，每批次应提供该批次产品的出厂检验合格证或者其他合格证明。产品包装、标签标识应符合相关食品安全国家标准的要求。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1" w:type="dxa"/>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c>
          <w:tcPr>
            <w:tcW w:w="8505" w:type="dxa"/>
            <w:gridSpan w:val="2"/>
            <w:noWrap w:val="0"/>
            <w:vAlign w:val="center"/>
          </w:tcPr>
          <w:p>
            <w:pPr>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★不得供应、配送被列入食品安全黑名单的物资。</w:t>
            </w:r>
          </w:p>
        </w:tc>
      </w:tr>
    </w:tbl>
    <w:p>
      <w:pPr>
        <w:spacing w:line="360" w:lineRule="auto"/>
        <w:ind w:firstLine="426" w:firstLineChars="177"/>
        <w:rPr>
          <w:rFonts w:hint="eastAsia" w:ascii="宋体" w:hAnsi="宋体" w:eastAsia="宋体" w:cs="宋体"/>
          <w:b/>
          <w:color w:val="auto"/>
          <w:sz w:val="24"/>
          <w:szCs w:val="24"/>
          <w:highlight w:val="none"/>
          <w:lang w:val="en-US" w:eastAsia="zh-CN"/>
        </w:rPr>
      </w:pPr>
    </w:p>
    <w:p>
      <w:pPr>
        <w:spacing w:line="360" w:lineRule="auto"/>
        <w:ind w:firstLine="426" w:firstLineChars="177"/>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2.2物品供货、粗加工及配送服务要求</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2.2.1供应商应制定具体有效的质量控制与保证措施，加强质量控制和安全卫生保障，配置符合规范的配送设备，确保所供物资及配送流程符合国家现行的食品安全卫生标准。</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2.2.2所有物资必须做到来源可溯，采购货源必须有合法经营许可，持有与销售内容相对应的有效营业执照、食品生产许可证或食品经营许可证，不得供应、配送被列入食品安全名单的物资；</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2.2.3新鲜肉类、鲜禽类、鲜活农产品（含鱼、虾水产品）、新鲜禽蛋每次配送时必须提供动物检验检疫合格证明</w:t>
      </w:r>
      <w:r>
        <w:rPr>
          <w:rFonts w:hint="eastAsia" w:ascii="宋体" w:hAnsi="宋体" w:eastAsia="宋体" w:cs="宋体"/>
          <w:b/>
          <w:color w:val="auto"/>
          <w:sz w:val="24"/>
          <w:szCs w:val="24"/>
          <w:highlight w:val="none"/>
          <w:lang w:val="zh-CN"/>
        </w:rPr>
        <w:t>或化验单</w:t>
      </w:r>
      <w:r>
        <w:rPr>
          <w:rFonts w:hint="eastAsia" w:ascii="宋体" w:hAnsi="宋体" w:eastAsia="宋体" w:cs="宋体"/>
          <w:b/>
          <w:color w:val="auto"/>
          <w:sz w:val="24"/>
          <w:szCs w:val="24"/>
          <w:highlight w:val="none"/>
        </w:rPr>
        <w:t>；</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2.2.4新鲜蔬菜必须当天出品当天配送，保证新鲜，每次配送时提供有害物质残留检测报告，且符合食品卫生安全法要求，如招标人有需要，应当根据招标人要求进行处理、洗净、包装后交付。</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2.2.5定型包装类物资交货时必须包装完整、标识清楚，剩余保质期应不低于应有保质期的三分之二；非定型包装类物资交付时应按规定进行包装，并在包装外标注物资名称、重量、数量等必要信息。</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2.2.6严格按照招标人确定的种类、数量、规格、送货时间等要求及时进行配送，如遇市场原因无法配送，应在要求的送货时间1日前向招标人提出替代清单并在征得招标人同意后按时按量配送到位。无法按招标人订单配送时应提前告知，以便招标人进行调整，特殊情况时无条件服从招标人配送要求。因中标人自身原因导致物资供应不及时，影响招标人食堂正常开餐的，中标人须按当日应供物资总额向招标人赔偿。</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2.2.7自觉遵守招标人规定的定价机制及相关规章制度，服从招标人管理。</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2.2.8组建专门的服务团队承担招标人单位的物资供应及配送服务，设立项目经理负责与招标人的联络与协调。指定专人、专车负责物品配送，配送人员和车辆进入招标人单位必须无条件服从招标人单位有关外来人员管理制度，服从指挥，物资装卸与车辆的停放不得妨碍招标人单位正常工作秩序，不得阻碍交通。所有物资必须配送至招标人食堂工作人员指定位置。配送车辆应刷涂标志，具有相应的保鲜设备，车辆保持整洁、卫生，使用前后进行清洗消毒。未经招标人同意，不得更换配送人员和车辆。物资交付时应提供完整的物资交付清单，并经双方工作人员签字确认后留存。</w:t>
      </w:r>
    </w:p>
    <w:p>
      <w:pPr>
        <w:spacing w:line="360" w:lineRule="auto"/>
        <w:ind w:firstLine="426" w:firstLineChars="17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2.2.9中标人应严格遵守《食品卫生法》和《动物检疫法》等相关规定，中标人所供物资存在下列情形之一的，除全部退货外，将取消其供货资格，没收部分、直至全部履约保证金，并追究其经济责任和法律责任：</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（1）腐败变质、油脂酸败、霉变、生虫、污秽不洁、混有异物或者其他感官性状异常，对人体健康有害的。</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（2）含有毒、有害物资或者被有害物污染，对人体健康有害的。</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（3）含有致病性寄生虫、微生物或者微生物含量超过国家限定标准的。</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（4）未经动物检疫部门检疫、检验或者检疫、检验不合格的肉类及其制品。</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（5）病死、毒死或者死因不明的禽、畜、兽、水产动物等及其制品。</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（6）掺假、掺杂、伪造，影响营养、卫生的。</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（7）用非食品原料加工的，加入非食品用化学物质或者将非食品当作食品的。</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（8）超过保质期限的。</w:t>
      </w:r>
    </w:p>
    <w:p>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（9）其他违反法律法规的。</w:t>
      </w:r>
    </w:p>
    <w:p>
      <w:pPr>
        <w:pStyle w:val="33"/>
        <w:spacing w:before="0" w:beforeLines="0" w:after="0" w:afterLines="0" w:line="440" w:lineRule="exact"/>
        <w:rPr>
          <w:rFonts w:hint="eastAsia" w:hAnsi="宋体" w:cs="宋体"/>
          <w:color w:val="auto"/>
          <w:highlight w:val="none"/>
        </w:rPr>
      </w:pPr>
    </w:p>
    <w:p>
      <w:pPr>
        <w:spacing w:line="440" w:lineRule="exact"/>
        <w:rPr>
          <w:rFonts w:hint="eastAsia" w:ascii="宋体" w:hAnsi="宋体" w:cs="宋体"/>
          <w:color w:val="auto"/>
          <w:sz w:val="24"/>
          <w:highlight w:val="none"/>
        </w:rPr>
      </w:pPr>
    </w:p>
    <w:p>
      <w:pPr>
        <w:rPr>
          <w:rFonts w:hint="eastAsia" w:ascii="宋体" w:hAnsi="宋体" w:cs="宋体"/>
          <w:color w:val="auto"/>
          <w:kern w:val="0"/>
          <w:sz w:val="24"/>
          <w:highlight w:val="none"/>
        </w:rPr>
      </w:pPr>
      <w:r>
        <w:rPr>
          <w:rFonts w:hint="eastAsia" w:ascii="宋体" w:hAnsi="宋体" w:cs="宋体"/>
          <w:color w:val="auto"/>
          <w:kern w:val="0"/>
          <w:sz w:val="24"/>
          <w:highlight w:val="none"/>
        </w:rPr>
        <w:br w:type="page"/>
      </w:r>
    </w:p>
    <w:bookmarkEnd w:id="27"/>
    <w:bookmarkEnd w:id="28"/>
    <w:bookmarkEnd w:id="29"/>
    <w:bookmarkEnd w:id="30"/>
    <w:bookmarkEnd w:id="31"/>
    <w:bookmarkEnd w:id="32"/>
    <w:bookmarkEnd w:id="33"/>
    <w:bookmarkEnd w:id="34"/>
    <w:bookmarkEnd w:id="35"/>
    <w:bookmarkEnd w:id="36"/>
    <w:bookmarkEnd w:id="37"/>
    <w:bookmarkEnd w:id="38"/>
    <w:bookmarkEnd w:id="39"/>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42" w:name="_Toc184313256"/>
      <w:bookmarkEnd w:id="42"/>
      <w:bookmarkStart w:id="43" w:name="_Toc184308055"/>
      <w:bookmarkEnd w:id="43"/>
      <w:bookmarkStart w:id="44" w:name="_Toc184313307"/>
      <w:bookmarkEnd w:id="44"/>
      <w:bookmarkStart w:id="45" w:name="_Toc184310298"/>
      <w:bookmarkEnd w:id="45"/>
      <w:bookmarkStart w:id="46" w:name="_Toc184313303"/>
      <w:bookmarkEnd w:id="46"/>
      <w:bookmarkStart w:id="47" w:name="_Toc184312097"/>
      <w:bookmarkEnd w:id="47"/>
      <w:bookmarkStart w:id="48" w:name="_Toc184314447"/>
      <w:bookmarkEnd w:id="48"/>
      <w:bookmarkStart w:id="49" w:name="_Toc184308081"/>
      <w:bookmarkEnd w:id="49"/>
      <w:bookmarkStart w:id="50" w:name="_Toc184313266"/>
      <w:bookmarkEnd w:id="50"/>
      <w:bookmarkStart w:id="51" w:name="_Toc184310292"/>
      <w:bookmarkEnd w:id="51"/>
      <w:bookmarkStart w:id="52" w:name="_Toc184312094"/>
      <w:bookmarkEnd w:id="52"/>
      <w:bookmarkStart w:id="53" w:name="_Toc184310322"/>
      <w:bookmarkEnd w:id="53"/>
      <w:bookmarkStart w:id="54" w:name="_Toc184312115"/>
      <w:bookmarkEnd w:id="54"/>
      <w:bookmarkStart w:id="55" w:name="_Toc184314454"/>
      <w:bookmarkEnd w:id="55"/>
      <w:bookmarkStart w:id="56" w:name="_Toc184308058"/>
      <w:bookmarkEnd w:id="56"/>
      <w:bookmarkStart w:id="57" w:name="_Toc184308066"/>
      <w:bookmarkEnd w:id="57"/>
      <w:bookmarkStart w:id="58" w:name="_Toc184313254"/>
      <w:bookmarkEnd w:id="58"/>
      <w:bookmarkStart w:id="59" w:name="_Toc184310314"/>
      <w:bookmarkEnd w:id="59"/>
      <w:bookmarkStart w:id="60" w:name="_Toc184312135"/>
      <w:bookmarkEnd w:id="60"/>
      <w:bookmarkStart w:id="61" w:name="_Toc184312117"/>
      <w:bookmarkEnd w:id="61"/>
      <w:bookmarkStart w:id="62" w:name="_Toc184312106"/>
      <w:bookmarkEnd w:id="62"/>
      <w:bookmarkStart w:id="63" w:name="_Toc184308061"/>
      <w:bookmarkEnd w:id="63"/>
      <w:bookmarkStart w:id="64" w:name="_Toc184310273"/>
      <w:bookmarkEnd w:id="64"/>
      <w:bookmarkStart w:id="65" w:name="_Toc184314434"/>
      <w:bookmarkEnd w:id="65"/>
      <w:bookmarkStart w:id="66" w:name="_Toc184314431"/>
      <w:bookmarkEnd w:id="66"/>
      <w:bookmarkStart w:id="67" w:name="_Toc184314455"/>
      <w:bookmarkEnd w:id="67"/>
      <w:bookmarkStart w:id="68" w:name="_Toc184312087"/>
      <w:bookmarkEnd w:id="68"/>
      <w:bookmarkStart w:id="69" w:name="_Toc184312070"/>
      <w:bookmarkEnd w:id="69"/>
      <w:bookmarkStart w:id="70" w:name="_Toc184310281"/>
      <w:bookmarkEnd w:id="70"/>
      <w:bookmarkStart w:id="71" w:name="_Toc184312084"/>
      <w:bookmarkEnd w:id="71"/>
      <w:bookmarkStart w:id="72" w:name="_Toc184314430"/>
      <w:bookmarkEnd w:id="72"/>
      <w:bookmarkStart w:id="73" w:name="_Toc184308064"/>
      <w:bookmarkEnd w:id="73"/>
      <w:bookmarkStart w:id="74" w:name="_Toc184308074"/>
      <w:bookmarkEnd w:id="74"/>
      <w:bookmarkStart w:id="75" w:name="_Toc184308067"/>
      <w:bookmarkEnd w:id="75"/>
      <w:bookmarkStart w:id="76" w:name="_Toc184314438"/>
      <w:bookmarkEnd w:id="76"/>
      <w:bookmarkStart w:id="77" w:name="_Toc184308053"/>
      <w:bookmarkEnd w:id="77"/>
      <w:bookmarkStart w:id="78" w:name="_Toc184308101"/>
      <w:bookmarkEnd w:id="78"/>
      <w:bookmarkStart w:id="79" w:name="_Toc184313251"/>
      <w:bookmarkEnd w:id="79"/>
      <w:bookmarkStart w:id="80" w:name="_Toc184312098"/>
      <w:bookmarkEnd w:id="80"/>
      <w:bookmarkStart w:id="81" w:name="_Toc184312068"/>
      <w:bookmarkEnd w:id="81"/>
      <w:bookmarkStart w:id="82" w:name="_Toc184314432"/>
      <w:bookmarkEnd w:id="82"/>
      <w:bookmarkStart w:id="83" w:name="_Toc184313263"/>
      <w:bookmarkEnd w:id="83"/>
      <w:bookmarkStart w:id="84" w:name="_Toc184314413"/>
      <w:bookmarkEnd w:id="84"/>
      <w:bookmarkStart w:id="85" w:name="_Toc184312069"/>
      <w:bookmarkEnd w:id="85"/>
      <w:bookmarkStart w:id="86" w:name="_Toc184308049"/>
      <w:bookmarkEnd w:id="86"/>
      <w:bookmarkStart w:id="87" w:name="_Toc184313287"/>
      <w:bookmarkEnd w:id="87"/>
      <w:bookmarkStart w:id="88" w:name="_Toc184312116"/>
      <w:bookmarkEnd w:id="88"/>
      <w:bookmarkStart w:id="89" w:name="_Toc184310288"/>
      <w:bookmarkEnd w:id="89"/>
      <w:bookmarkStart w:id="90" w:name="_Toc184308054"/>
      <w:bookmarkEnd w:id="90"/>
      <w:bookmarkStart w:id="91" w:name="_Toc184310317"/>
      <w:bookmarkEnd w:id="91"/>
      <w:bookmarkStart w:id="92" w:name="_Toc184308056"/>
      <w:bookmarkEnd w:id="92"/>
      <w:bookmarkStart w:id="93" w:name="_Toc184314458"/>
      <w:bookmarkEnd w:id="93"/>
      <w:bookmarkStart w:id="94" w:name="_Toc184308040"/>
      <w:bookmarkEnd w:id="94"/>
      <w:bookmarkStart w:id="95" w:name="_Toc184314429"/>
      <w:bookmarkEnd w:id="95"/>
      <w:bookmarkStart w:id="96" w:name="_Toc184312112"/>
      <w:bookmarkEnd w:id="96"/>
      <w:bookmarkStart w:id="97" w:name="_Toc184310275"/>
      <w:bookmarkEnd w:id="97"/>
      <w:bookmarkStart w:id="98" w:name="_Toc184313292"/>
      <w:bookmarkEnd w:id="98"/>
      <w:bookmarkStart w:id="99" w:name="_Toc184313275"/>
      <w:bookmarkEnd w:id="99"/>
      <w:bookmarkStart w:id="100" w:name="_Toc184310336"/>
      <w:bookmarkEnd w:id="100"/>
      <w:bookmarkStart w:id="101" w:name="_Toc184314459"/>
      <w:bookmarkEnd w:id="101"/>
      <w:bookmarkStart w:id="102" w:name="_Toc184312086"/>
      <w:bookmarkEnd w:id="102"/>
      <w:bookmarkStart w:id="103" w:name="_Toc184310296"/>
      <w:bookmarkEnd w:id="103"/>
      <w:bookmarkStart w:id="104" w:name="_Toc184313253"/>
      <w:bookmarkEnd w:id="104"/>
      <w:bookmarkStart w:id="105" w:name="_Toc184313306"/>
      <w:bookmarkEnd w:id="105"/>
      <w:bookmarkStart w:id="106" w:name="_Toc184313280"/>
      <w:bookmarkEnd w:id="106"/>
      <w:bookmarkStart w:id="107" w:name="_Toc184312072"/>
      <w:bookmarkEnd w:id="107"/>
      <w:bookmarkStart w:id="108" w:name="_Toc184310339"/>
      <w:bookmarkEnd w:id="108"/>
      <w:bookmarkStart w:id="109" w:name="_Toc184314411"/>
      <w:bookmarkEnd w:id="109"/>
      <w:bookmarkStart w:id="110" w:name="_Toc184312073"/>
      <w:bookmarkEnd w:id="110"/>
      <w:bookmarkStart w:id="111" w:name="_Toc184313246"/>
      <w:bookmarkEnd w:id="111"/>
      <w:bookmarkStart w:id="112" w:name="_Toc184314418"/>
      <w:bookmarkEnd w:id="112"/>
      <w:bookmarkStart w:id="113" w:name="_Toc184310290"/>
      <w:bookmarkEnd w:id="113"/>
      <w:bookmarkStart w:id="114" w:name="_Toc184314474"/>
      <w:bookmarkEnd w:id="114"/>
      <w:bookmarkStart w:id="115" w:name="_Toc184308038"/>
      <w:bookmarkEnd w:id="115"/>
      <w:bookmarkStart w:id="116" w:name="_Toc184313260"/>
      <w:bookmarkEnd w:id="116"/>
      <w:bookmarkStart w:id="117" w:name="_Toc184308105"/>
      <w:bookmarkEnd w:id="117"/>
      <w:bookmarkStart w:id="118" w:name="_Toc184308043"/>
      <w:bookmarkEnd w:id="118"/>
      <w:bookmarkStart w:id="119" w:name="_Toc184308104"/>
      <w:bookmarkEnd w:id="119"/>
      <w:bookmarkStart w:id="120" w:name="_Toc184310274"/>
      <w:bookmarkEnd w:id="120"/>
      <w:bookmarkStart w:id="121" w:name="_Toc184310335"/>
      <w:bookmarkEnd w:id="121"/>
      <w:bookmarkStart w:id="122" w:name="_Toc184314417"/>
      <w:bookmarkEnd w:id="122"/>
      <w:bookmarkStart w:id="123" w:name="_Toc184310342"/>
      <w:bookmarkEnd w:id="123"/>
      <w:bookmarkStart w:id="124" w:name="_Toc184310279"/>
      <w:bookmarkEnd w:id="124"/>
      <w:bookmarkStart w:id="125" w:name="_Toc184313244"/>
      <w:bookmarkEnd w:id="125"/>
      <w:bookmarkStart w:id="126" w:name="_Toc184314416"/>
      <w:bookmarkEnd w:id="126"/>
      <w:bookmarkStart w:id="127" w:name="_Toc184310312"/>
      <w:bookmarkEnd w:id="127"/>
      <w:bookmarkStart w:id="128" w:name="_Toc184310316"/>
      <w:bookmarkEnd w:id="128"/>
      <w:bookmarkStart w:id="129" w:name="_Toc184308044"/>
      <w:bookmarkEnd w:id="129"/>
      <w:bookmarkStart w:id="130" w:name="_Toc184312076"/>
      <w:bookmarkEnd w:id="130"/>
      <w:bookmarkStart w:id="131" w:name="_Toc184310272"/>
      <w:bookmarkEnd w:id="131"/>
      <w:bookmarkStart w:id="132" w:name="_Toc184314415"/>
      <w:bookmarkEnd w:id="132"/>
      <w:bookmarkStart w:id="133" w:name="_Toc184308041"/>
      <w:bookmarkEnd w:id="133"/>
      <w:bookmarkStart w:id="134" w:name="_Toc184312111"/>
      <w:bookmarkEnd w:id="134"/>
      <w:bookmarkStart w:id="135" w:name="_Toc184314414"/>
      <w:bookmarkEnd w:id="135"/>
      <w:bookmarkStart w:id="136" w:name="_Toc184310280"/>
      <w:bookmarkEnd w:id="136"/>
      <w:bookmarkStart w:id="137" w:name="_Toc184314472"/>
      <w:bookmarkEnd w:id="137"/>
      <w:bookmarkStart w:id="138" w:name="_Toc184312077"/>
      <w:bookmarkEnd w:id="138"/>
      <w:bookmarkStart w:id="139" w:name="_Toc184310318"/>
      <w:bookmarkEnd w:id="139"/>
      <w:bookmarkStart w:id="140" w:name="_Toc184312074"/>
      <w:bookmarkEnd w:id="140"/>
      <w:bookmarkStart w:id="141" w:name="_Toc184312075"/>
      <w:bookmarkEnd w:id="141"/>
      <w:bookmarkStart w:id="142" w:name="_Toc184313245"/>
      <w:bookmarkEnd w:id="142"/>
      <w:bookmarkStart w:id="143" w:name="_Toc184313282"/>
      <w:bookmarkEnd w:id="143"/>
      <w:bookmarkStart w:id="144" w:name="_Toc184310276"/>
      <w:bookmarkEnd w:id="144"/>
      <w:bookmarkStart w:id="145" w:name="_Toc184314448"/>
      <w:bookmarkEnd w:id="145"/>
      <w:bookmarkStart w:id="146" w:name="_Toc184310278"/>
      <w:bookmarkEnd w:id="146"/>
      <w:bookmarkStart w:id="147" w:name="_Toc184310344"/>
      <w:bookmarkEnd w:id="147"/>
      <w:bookmarkStart w:id="148" w:name="_Toc184314433"/>
      <w:bookmarkEnd w:id="148"/>
      <w:bookmarkStart w:id="149" w:name="_Toc184312092"/>
      <w:bookmarkEnd w:id="149"/>
      <w:bookmarkStart w:id="150" w:name="_Toc184308075"/>
      <w:bookmarkEnd w:id="150"/>
      <w:bookmarkStart w:id="151" w:name="_Toc184312082"/>
      <w:bookmarkEnd w:id="151"/>
      <w:bookmarkStart w:id="152" w:name="_Toc184308042"/>
      <w:bookmarkEnd w:id="152"/>
      <w:bookmarkStart w:id="153" w:name="_Toc184308059"/>
      <w:bookmarkEnd w:id="153"/>
      <w:bookmarkStart w:id="154" w:name="_Toc184314425"/>
      <w:bookmarkEnd w:id="154"/>
      <w:bookmarkStart w:id="155" w:name="_Toc184313261"/>
      <w:bookmarkEnd w:id="155"/>
      <w:bookmarkStart w:id="156" w:name="_Toc184308106"/>
      <w:bookmarkEnd w:id="156"/>
      <w:bookmarkStart w:id="157" w:name="_Toc184310277"/>
      <w:bookmarkEnd w:id="157"/>
      <w:bookmarkStart w:id="158" w:name="_Toc184308060"/>
      <w:bookmarkEnd w:id="158"/>
      <w:bookmarkStart w:id="159" w:name="_Toc184308062"/>
      <w:bookmarkEnd w:id="159"/>
      <w:bookmarkStart w:id="160" w:name="_Toc184313276"/>
      <w:bookmarkEnd w:id="160"/>
      <w:bookmarkStart w:id="161" w:name="_Toc184314477"/>
      <w:bookmarkEnd w:id="161"/>
      <w:bookmarkStart w:id="162" w:name="_Toc184310332"/>
      <w:bookmarkEnd w:id="162"/>
      <w:bookmarkStart w:id="163" w:name="_Toc184310287"/>
      <w:bookmarkEnd w:id="163"/>
      <w:bookmarkStart w:id="164" w:name="_Toc184310295"/>
      <w:bookmarkEnd w:id="164"/>
      <w:bookmarkStart w:id="165" w:name="_Toc184314471"/>
      <w:bookmarkEnd w:id="165"/>
      <w:bookmarkStart w:id="166" w:name="_Toc184308080"/>
      <w:bookmarkEnd w:id="166"/>
      <w:bookmarkStart w:id="167" w:name="_Toc184308096"/>
      <w:bookmarkEnd w:id="167"/>
      <w:bookmarkStart w:id="168" w:name="_Toc184308050"/>
      <w:bookmarkEnd w:id="168"/>
      <w:bookmarkStart w:id="169" w:name="_Toc184313309"/>
      <w:bookmarkEnd w:id="169"/>
      <w:bookmarkStart w:id="170" w:name="_Toc184308045"/>
      <w:bookmarkEnd w:id="170"/>
      <w:bookmarkStart w:id="171" w:name="_Toc184313284"/>
      <w:bookmarkEnd w:id="171"/>
      <w:bookmarkStart w:id="172" w:name="_Toc184312110"/>
      <w:bookmarkEnd w:id="172"/>
      <w:bookmarkStart w:id="173" w:name="_Toc184312089"/>
      <w:bookmarkEnd w:id="173"/>
      <w:bookmarkStart w:id="174" w:name="_Toc184313265"/>
      <w:bookmarkEnd w:id="174"/>
      <w:bookmarkStart w:id="175" w:name="_Toc184312125"/>
      <w:bookmarkEnd w:id="175"/>
      <w:bookmarkStart w:id="176" w:name="_Toc184310320"/>
      <w:bookmarkEnd w:id="176"/>
      <w:bookmarkStart w:id="177" w:name="_Toc184313243"/>
      <w:bookmarkEnd w:id="177"/>
      <w:bookmarkStart w:id="178" w:name="_Toc184313278"/>
      <w:bookmarkEnd w:id="178"/>
      <w:bookmarkStart w:id="179" w:name="_Toc184314435"/>
      <w:bookmarkEnd w:id="179"/>
      <w:bookmarkStart w:id="180" w:name="_Toc184310294"/>
      <w:bookmarkEnd w:id="180"/>
      <w:bookmarkStart w:id="181" w:name="_Toc184314437"/>
      <w:bookmarkEnd w:id="181"/>
      <w:bookmarkStart w:id="182" w:name="_Toc184308073"/>
      <w:bookmarkEnd w:id="182"/>
      <w:bookmarkStart w:id="183" w:name="_Toc184314424"/>
      <w:bookmarkEnd w:id="183"/>
      <w:bookmarkStart w:id="184" w:name="_Toc184310304"/>
      <w:bookmarkEnd w:id="184"/>
      <w:bookmarkStart w:id="185" w:name="_Toc184310321"/>
      <w:bookmarkEnd w:id="185"/>
      <w:bookmarkStart w:id="186" w:name="_Toc184314427"/>
      <w:bookmarkEnd w:id="186"/>
      <w:bookmarkStart w:id="187" w:name="_Toc184313290"/>
      <w:bookmarkEnd w:id="187"/>
      <w:bookmarkStart w:id="188" w:name="_Toc184312090"/>
      <w:bookmarkEnd w:id="188"/>
      <w:bookmarkStart w:id="189" w:name="_Toc184313296"/>
      <w:bookmarkEnd w:id="189"/>
      <w:bookmarkStart w:id="190" w:name="_Toc184313300"/>
      <w:bookmarkEnd w:id="190"/>
      <w:bookmarkStart w:id="191" w:name="_Toc184308036"/>
      <w:bookmarkEnd w:id="191"/>
      <w:bookmarkStart w:id="192" w:name="_Toc184314412"/>
      <w:bookmarkEnd w:id="192"/>
      <w:bookmarkStart w:id="193" w:name="_Toc184308098"/>
      <w:bookmarkEnd w:id="193"/>
      <w:bookmarkStart w:id="194" w:name="_Toc184313305"/>
      <w:bookmarkEnd w:id="194"/>
      <w:bookmarkStart w:id="195" w:name="_Toc184312129"/>
      <w:bookmarkEnd w:id="195"/>
      <w:bookmarkStart w:id="196" w:name="_Toc184308097"/>
      <w:bookmarkEnd w:id="196"/>
      <w:bookmarkStart w:id="197" w:name="_Toc184312134"/>
      <w:bookmarkEnd w:id="197"/>
      <w:bookmarkStart w:id="198" w:name="_Toc184308103"/>
      <w:bookmarkEnd w:id="198"/>
      <w:bookmarkStart w:id="199" w:name="_Toc184313304"/>
      <w:bookmarkEnd w:id="199"/>
      <w:bookmarkStart w:id="200" w:name="_Toc184314468"/>
      <w:bookmarkEnd w:id="200"/>
      <w:bookmarkStart w:id="201" w:name="_Toc184314469"/>
      <w:bookmarkEnd w:id="201"/>
      <w:bookmarkStart w:id="202" w:name="_Toc184308068"/>
      <w:bookmarkEnd w:id="202"/>
      <w:bookmarkStart w:id="203" w:name="_Toc184312091"/>
      <w:bookmarkEnd w:id="203"/>
      <w:bookmarkStart w:id="204" w:name="_Toc184308046"/>
      <w:bookmarkEnd w:id="204"/>
      <w:bookmarkStart w:id="205" w:name="_Toc184312130"/>
      <w:bookmarkEnd w:id="205"/>
      <w:bookmarkStart w:id="206" w:name="_Toc184312132"/>
      <w:bookmarkEnd w:id="206"/>
      <w:bookmarkStart w:id="207" w:name="_Toc184313299"/>
      <w:bookmarkEnd w:id="207"/>
      <w:bookmarkStart w:id="208" w:name="_Toc184314470"/>
      <w:bookmarkEnd w:id="208"/>
      <w:bookmarkStart w:id="209" w:name="_Toc184313285"/>
      <w:bookmarkEnd w:id="209"/>
      <w:bookmarkStart w:id="210" w:name="_Toc184310340"/>
      <w:bookmarkEnd w:id="210"/>
      <w:bookmarkStart w:id="211" w:name="_Toc184308076"/>
      <w:bookmarkEnd w:id="211"/>
      <w:bookmarkStart w:id="212" w:name="_Toc184312109"/>
      <w:bookmarkEnd w:id="212"/>
      <w:bookmarkStart w:id="213" w:name="_Toc184310330"/>
      <w:bookmarkEnd w:id="213"/>
      <w:bookmarkStart w:id="214" w:name="_Toc184314481"/>
      <w:bookmarkEnd w:id="214"/>
      <w:bookmarkStart w:id="215" w:name="_Toc184312128"/>
      <w:bookmarkEnd w:id="215"/>
      <w:bookmarkStart w:id="216" w:name="_Toc184312122"/>
      <w:bookmarkEnd w:id="216"/>
      <w:bookmarkStart w:id="217" w:name="_Toc184310329"/>
      <w:bookmarkEnd w:id="217"/>
      <w:bookmarkStart w:id="218" w:name="_Toc184308037"/>
      <w:bookmarkEnd w:id="218"/>
      <w:bookmarkStart w:id="219" w:name="_Toc184310334"/>
      <w:bookmarkEnd w:id="219"/>
      <w:bookmarkStart w:id="220" w:name="_Toc184314452"/>
      <w:bookmarkEnd w:id="220"/>
      <w:bookmarkStart w:id="221" w:name="_Toc184308092"/>
      <w:bookmarkEnd w:id="221"/>
      <w:bookmarkStart w:id="222" w:name="_Toc184308099"/>
      <w:bookmarkEnd w:id="222"/>
      <w:bookmarkStart w:id="223" w:name="_Toc184313297"/>
      <w:bookmarkEnd w:id="223"/>
      <w:bookmarkStart w:id="224" w:name="_Toc184313286"/>
      <w:bookmarkEnd w:id="224"/>
      <w:bookmarkStart w:id="225" w:name="_Toc184310338"/>
      <w:bookmarkEnd w:id="225"/>
      <w:bookmarkStart w:id="226" w:name="_Toc184312133"/>
      <w:bookmarkEnd w:id="226"/>
      <w:bookmarkStart w:id="227" w:name="_Toc184308095"/>
      <w:bookmarkEnd w:id="227"/>
      <w:bookmarkStart w:id="228" w:name="_Toc184308089"/>
      <w:bookmarkEnd w:id="228"/>
      <w:bookmarkStart w:id="229" w:name="_Toc184313288"/>
      <w:bookmarkEnd w:id="229"/>
      <w:bookmarkStart w:id="230" w:name="_Toc184308090"/>
      <w:bookmarkEnd w:id="230"/>
      <w:bookmarkStart w:id="231" w:name="_Toc184312120"/>
      <w:bookmarkEnd w:id="231"/>
      <w:bookmarkStart w:id="232" w:name="_Toc184310326"/>
      <w:bookmarkEnd w:id="232"/>
      <w:bookmarkStart w:id="233" w:name="_Toc184313294"/>
      <w:bookmarkEnd w:id="233"/>
      <w:bookmarkStart w:id="234" w:name="_Toc184314457"/>
      <w:bookmarkEnd w:id="234"/>
      <w:bookmarkStart w:id="235" w:name="_Toc184310331"/>
      <w:bookmarkEnd w:id="235"/>
      <w:bookmarkStart w:id="236" w:name="_Toc184308091"/>
      <w:bookmarkEnd w:id="236"/>
      <w:bookmarkStart w:id="237" w:name="_Toc184314463"/>
      <w:bookmarkEnd w:id="237"/>
      <w:bookmarkStart w:id="238" w:name="_Toc184308094"/>
      <w:bookmarkEnd w:id="238"/>
      <w:bookmarkStart w:id="239" w:name="_Toc184312127"/>
      <w:bookmarkEnd w:id="239"/>
      <w:bookmarkStart w:id="240" w:name="_Toc184310333"/>
      <w:bookmarkEnd w:id="240"/>
      <w:bookmarkStart w:id="241" w:name="_Toc184314467"/>
      <w:bookmarkEnd w:id="241"/>
      <w:bookmarkStart w:id="242" w:name="_Toc184312121"/>
      <w:bookmarkEnd w:id="242"/>
      <w:bookmarkStart w:id="243" w:name="_Toc184312107"/>
      <w:bookmarkEnd w:id="243"/>
      <w:bookmarkStart w:id="244" w:name="_Toc184312123"/>
      <w:bookmarkEnd w:id="244"/>
      <w:bookmarkStart w:id="245" w:name="_Toc184314466"/>
      <w:bookmarkEnd w:id="245"/>
      <w:bookmarkStart w:id="246" w:name="_Toc184314476"/>
      <w:bookmarkEnd w:id="246"/>
      <w:bookmarkStart w:id="247" w:name="_Toc184313298"/>
      <w:bookmarkEnd w:id="247"/>
      <w:bookmarkStart w:id="248" w:name="_Toc184308088"/>
      <w:bookmarkEnd w:id="248"/>
      <w:bookmarkStart w:id="249" w:name="_Toc184310325"/>
      <w:bookmarkEnd w:id="249"/>
      <w:bookmarkStart w:id="250" w:name="_Toc184312114"/>
      <w:bookmarkEnd w:id="250"/>
      <w:bookmarkStart w:id="251" w:name="_Toc184313248"/>
      <w:bookmarkEnd w:id="251"/>
      <w:bookmarkStart w:id="252" w:name="_Toc184312137"/>
      <w:bookmarkEnd w:id="252"/>
      <w:bookmarkStart w:id="253" w:name="_Toc184313241"/>
      <w:bookmarkEnd w:id="253"/>
      <w:bookmarkStart w:id="254" w:name="_Toc184308085"/>
      <w:bookmarkEnd w:id="254"/>
      <w:bookmarkStart w:id="255" w:name="_Toc184308093"/>
      <w:bookmarkEnd w:id="255"/>
      <w:bookmarkStart w:id="256" w:name="_Toc184308087"/>
      <w:bookmarkEnd w:id="256"/>
      <w:bookmarkStart w:id="257" w:name="_Toc184313250"/>
      <w:bookmarkEnd w:id="257"/>
      <w:bookmarkStart w:id="258" w:name="_Toc184308077"/>
      <w:bookmarkEnd w:id="258"/>
      <w:bookmarkStart w:id="259" w:name="_Toc184312105"/>
      <w:bookmarkEnd w:id="259"/>
      <w:bookmarkStart w:id="260" w:name="_Toc184314422"/>
      <w:bookmarkEnd w:id="260"/>
      <w:bookmarkStart w:id="261" w:name="_Toc184310313"/>
      <w:bookmarkEnd w:id="261"/>
      <w:bookmarkStart w:id="262" w:name="_Toc184314464"/>
      <w:bookmarkEnd w:id="262"/>
      <w:bookmarkStart w:id="263" w:name="_Toc184310327"/>
      <w:bookmarkEnd w:id="263"/>
      <w:bookmarkStart w:id="264" w:name="_Toc184314423"/>
      <w:bookmarkEnd w:id="264"/>
      <w:bookmarkStart w:id="265" w:name="_Toc184314480"/>
      <w:bookmarkEnd w:id="265"/>
      <w:bookmarkStart w:id="266" w:name="_Toc184314461"/>
      <w:bookmarkEnd w:id="266"/>
      <w:bookmarkStart w:id="267" w:name="_Toc184314479"/>
      <w:bookmarkEnd w:id="267"/>
      <w:bookmarkStart w:id="268" w:name="_Toc184313301"/>
      <w:bookmarkEnd w:id="268"/>
      <w:bookmarkStart w:id="269" w:name="_Toc184312093"/>
      <w:bookmarkEnd w:id="269"/>
      <w:bookmarkStart w:id="270" w:name="_Toc184314462"/>
      <w:bookmarkEnd w:id="270"/>
      <w:bookmarkStart w:id="271" w:name="_Toc184308063"/>
      <w:bookmarkEnd w:id="271"/>
      <w:bookmarkStart w:id="272" w:name="_Toc184312071"/>
      <w:bookmarkEnd w:id="272"/>
      <w:bookmarkStart w:id="273" w:name="_Toc184314451"/>
      <w:bookmarkEnd w:id="273"/>
      <w:bookmarkStart w:id="274" w:name="_Toc184310286"/>
      <w:bookmarkEnd w:id="274"/>
      <w:bookmarkStart w:id="275" w:name="_Toc184313252"/>
      <w:bookmarkEnd w:id="275"/>
      <w:bookmarkStart w:id="276" w:name="_Toc184310324"/>
      <w:bookmarkEnd w:id="276"/>
      <w:bookmarkStart w:id="277" w:name="_Toc184312080"/>
      <w:bookmarkEnd w:id="277"/>
      <w:bookmarkStart w:id="278" w:name="_Toc184314465"/>
      <w:bookmarkEnd w:id="278"/>
      <w:bookmarkStart w:id="279" w:name="_Toc184313242"/>
      <w:bookmarkEnd w:id="279"/>
      <w:bookmarkStart w:id="280" w:name="_Toc184312108"/>
      <w:bookmarkEnd w:id="280"/>
      <w:bookmarkStart w:id="281" w:name="_Toc184312119"/>
      <w:bookmarkEnd w:id="281"/>
      <w:bookmarkStart w:id="282" w:name="_Toc184313302"/>
      <w:bookmarkEnd w:id="282"/>
      <w:bookmarkStart w:id="283" w:name="_Toc184308102"/>
      <w:bookmarkEnd w:id="283"/>
      <w:bookmarkStart w:id="284" w:name="_Toc184313289"/>
      <w:bookmarkEnd w:id="284"/>
      <w:bookmarkStart w:id="285" w:name="_Toc184312124"/>
      <w:bookmarkEnd w:id="285"/>
      <w:bookmarkStart w:id="286" w:name="_Toc184312118"/>
      <w:bookmarkEnd w:id="286"/>
      <w:bookmarkStart w:id="287" w:name="_Toc184312113"/>
      <w:bookmarkEnd w:id="287"/>
      <w:bookmarkStart w:id="288" w:name="_Toc184314456"/>
      <w:bookmarkEnd w:id="288"/>
      <w:bookmarkStart w:id="289" w:name="_Toc184314419"/>
      <w:bookmarkEnd w:id="289"/>
      <w:bookmarkStart w:id="290" w:name="_Toc184312136"/>
      <w:bookmarkEnd w:id="290"/>
      <w:bookmarkStart w:id="291" w:name="_Toc184314436"/>
      <w:bookmarkEnd w:id="291"/>
      <w:bookmarkStart w:id="292" w:name="_Toc184308072"/>
      <w:bookmarkEnd w:id="292"/>
      <w:bookmarkStart w:id="293" w:name="_Toc184310309"/>
      <w:bookmarkEnd w:id="293"/>
      <w:bookmarkStart w:id="294" w:name="_Toc184312126"/>
      <w:bookmarkEnd w:id="294"/>
      <w:bookmarkStart w:id="295" w:name="_Toc184313293"/>
      <w:bookmarkEnd w:id="295"/>
      <w:bookmarkStart w:id="296" w:name="_Toc184308051"/>
      <w:bookmarkEnd w:id="296"/>
      <w:bookmarkStart w:id="297" w:name="_Toc184308107"/>
      <w:bookmarkEnd w:id="297"/>
      <w:bookmarkStart w:id="298" w:name="_Toc184310307"/>
      <w:bookmarkEnd w:id="298"/>
      <w:bookmarkStart w:id="299" w:name="_Toc184313310"/>
      <w:bookmarkEnd w:id="299"/>
      <w:bookmarkStart w:id="300" w:name="_Toc184314421"/>
      <w:bookmarkEnd w:id="300"/>
      <w:bookmarkStart w:id="301" w:name="_Toc184312138"/>
      <w:bookmarkEnd w:id="301"/>
      <w:bookmarkStart w:id="302" w:name="_Toc184314460"/>
      <w:bookmarkEnd w:id="302"/>
      <w:bookmarkStart w:id="303" w:name="_Toc184310319"/>
      <w:bookmarkEnd w:id="303"/>
      <w:bookmarkStart w:id="304" w:name="_Toc184313274"/>
      <w:bookmarkEnd w:id="304"/>
      <w:bookmarkStart w:id="305" w:name="_Toc184310328"/>
      <w:bookmarkEnd w:id="305"/>
      <w:bookmarkStart w:id="306" w:name="_Toc184310323"/>
      <w:bookmarkEnd w:id="306"/>
      <w:bookmarkStart w:id="307" w:name="_Toc184312104"/>
      <w:bookmarkEnd w:id="307"/>
      <w:bookmarkStart w:id="308" w:name="_Toc184308086"/>
      <w:bookmarkEnd w:id="308"/>
      <w:bookmarkStart w:id="309" w:name="_Toc184313295"/>
      <w:bookmarkEnd w:id="309"/>
      <w:bookmarkStart w:id="310" w:name="_Toc184312099"/>
      <w:bookmarkEnd w:id="310"/>
      <w:bookmarkStart w:id="311" w:name="_Toc184314444"/>
      <w:bookmarkEnd w:id="311"/>
      <w:bookmarkStart w:id="312" w:name="_Toc184314482"/>
      <w:bookmarkEnd w:id="312"/>
      <w:bookmarkStart w:id="313" w:name="_Toc184310284"/>
      <w:bookmarkEnd w:id="313"/>
      <w:bookmarkStart w:id="314" w:name="_Toc184308079"/>
      <w:bookmarkEnd w:id="314"/>
      <w:bookmarkStart w:id="315" w:name="_Toc184312079"/>
      <w:bookmarkEnd w:id="315"/>
      <w:bookmarkStart w:id="316" w:name="_Toc184312139"/>
      <w:bookmarkEnd w:id="316"/>
      <w:bookmarkStart w:id="317" w:name="_Toc184308108"/>
      <w:bookmarkEnd w:id="317"/>
      <w:bookmarkStart w:id="318" w:name="_Toc184312096"/>
      <w:bookmarkEnd w:id="318"/>
      <w:bookmarkStart w:id="319" w:name="_Toc184314420"/>
      <w:bookmarkEnd w:id="319"/>
      <w:bookmarkStart w:id="320" w:name="_Toc184308100"/>
      <w:bookmarkEnd w:id="320"/>
      <w:bookmarkStart w:id="321" w:name="_Toc184312102"/>
      <w:bookmarkEnd w:id="321"/>
      <w:bookmarkStart w:id="322" w:name="_Toc184310283"/>
      <w:bookmarkEnd w:id="322"/>
      <w:bookmarkStart w:id="323" w:name="_Toc184313238"/>
      <w:bookmarkEnd w:id="323"/>
      <w:bookmarkStart w:id="324" w:name="_Toc184314445"/>
      <w:bookmarkEnd w:id="324"/>
      <w:bookmarkStart w:id="325" w:name="_Toc184313308"/>
      <w:bookmarkEnd w:id="325"/>
      <w:bookmarkStart w:id="326" w:name="_Toc184310306"/>
      <w:bookmarkEnd w:id="326"/>
      <w:bookmarkStart w:id="327" w:name="_Toc184310337"/>
      <w:bookmarkEnd w:id="327"/>
      <w:bookmarkStart w:id="328" w:name="_Toc184308084"/>
      <w:bookmarkEnd w:id="328"/>
      <w:bookmarkStart w:id="329" w:name="_Toc184313249"/>
      <w:bookmarkEnd w:id="329"/>
      <w:bookmarkStart w:id="330" w:name="_Toc184314442"/>
      <w:bookmarkEnd w:id="330"/>
      <w:bookmarkStart w:id="331" w:name="_Toc184313239"/>
      <w:bookmarkEnd w:id="331"/>
      <w:bookmarkStart w:id="332" w:name="_Toc184313247"/>
      <w:bookmarkEnd w:id="332"/>
      <w:bookmarkStart w:id="333" w:name="_Toc184314441"/>
      <w:bookmarkEnd w:id="333"/>
      <w:bookmarkStart w:id="334" w:name="_Toc184314410"/>
      <w:bookmarkEnd w:id="334"/>
      <w:bookmarkStart w:id="335" w:name="_Toc184313279"/>
      <w:bookmarkEnd w:id="335"/>
      <w:bookmarkStart w:id="336" w:name="_Toc184312131"/>
      <w:bookmarkEnd w:id="336"/>
      <w:bookmarkStart w:id="337" w:name="_Toc184310285"/>
      <w:bookmarkEnd w:id="337"/>
      <w:bookmarkStart w:id="338" w:name="_Toc184314453"/>
      <w:bookmarkEnd w:id="338"/>
      <w:bookmarkStart w:id="339" w:name="_Toc184314440"/>
      <w:bookmarkEnd w:id="339"/>
      <w:bookmarkStart w:id="340" w:name="_Toc184313272"/>
      <w:bookmarkEnd w:id="340"/>
      <w:bookmarkStart w:id="341" w:name="_Toc184310303"/>
      <w:bookmarkEnd w:id="341"/>
      <w:bookmarkStart w:id="342" w:name="_Toc184308048"/>
      <w:bookmarkEnd w:id="342"/>
      <w:bookmarkStart w:id="343" w:name="_Toc184313291"/>
      <w:bookmarkEnd w:id="343"/>
      <w:bookmarkStart w:id="344" w:name="_Toc184308071"/>
      <w:bookmarkEnd w:id="344"/>
      <w:bookmarkStart w:id="345" w:name="_Toc184308070"/>
      <w:bookmarkEnd w:id="345"/>
      <w:bookmarkStart w:id="346" w:name="_Toc184310343"/>
      <w:bookmarkEnd w:id="346"/>
      <w:bookmarkStart w:id="347" w:name="_Toc184310311"/>
      <w:bookmarkEnd w:id="347"/>
      <w:bookmarkStart w:id="348" w:name="_Toc184313264"/>
      <w:bookmarkEnd w:id="348"/>
      <w:bookmarkStart w:id="349" w:name="_Toc184312078"/>
      <w:bookmarkEnd w:id="349"/>
      <w:bookmarkStart w:id="350" w:name="_Toc184308083"/>
      <w:bookmarkEnd w:id="350"/>
      <w:bookmarkStart w:id="351" w:name="_Toc184312081"/>
      <w:bookmarkEnd w:id="351"/>
      <w:bookmarkStart w:id="352" w:name="_Toc184313270"/>
      <w:bookmarkEnd w:id="352"/>
      <w:bookmarkStart w:id="353" w:name="_Toc184312101"/>
      <w:bookmarkEnd w:id="353"/>
      <w:bookmarkStart w:id="354" w:name="_Toc184313258"/>
      <w:bookmarkEnd w:id="354"/>
      <w:bookmarkStart w:id="355" w:name="_Toc184313255"/>
      <w:bookmarkEnd w:id="355"/>
      <w:bookmarkStart w:id="356" w:name="_Toc184313240"/>
      <w:bookmarkEnd w:id="356"/>
      <w:bookmarkStart w:id="357" w:name="_Toc184314439"/>
      <w:bookmarkEnd w:id="357"/>
      <w:bookmarkStart w:id="358" w:name="_Toc184313268"/>
      <w:bookmarkEnd w:id="358"/>
      <w:bookmarkStart w:id="359" w:name="_Toc184310305"/>
      <w:bookmarkEnd w:id="359"/>
      <w:bookmarkStart w:id="360" w:name="_Toc184313283"/>
      <w:bookmarkEnd w:id="360"/>
      <w:bookmarkStart w:id="361" w:name="_Toc184308069"/>
      <w:bookmarkEnd w:id="361"/>
      <w:bookmarkStart w:id="362" w:name="_Toc184310300"/>
      <w:bookmarkEnd w:id="362"/>
      <w:bookmarkStart w:id="363" w:name="_Toc184308082"/>
      <w:bookmarkEnd w:id="363"/>
      <w:bookmarkStart w:id="364" w:name="_Toc184308078"/>
      <w:bookmarkEnd w:id="364"/>
      <w:bookmarkStart w:id="365" w:name="_Toc184313281"/>
      <w:bookmarkEnd w:id="365"/>
      <w:bookmarkStart w:id="366" w:name="_Toc184310308"/>
      <w:bookmarkEnd w:id="366"/>
      <w:bookmarkStart w:id="367" w:name="_Toc184313269"/>
      <w:bookmarkEnd w:id="367"/>
      <w:bookmarkStart w:id="368" w:name="_Toc184313271"/>
      <w:bookmarkEnd w:id="368"/>
      <w:bookmarkStart w:id="369" w:name="_Toc184310310"/>
      <w:bookmarkEnd w:id="369"/>
      <w:bookmarkStart w:id="370" w:name="_Toc184310293"/>
      <w:bookmarkEnd w:id="370"/>
      <w:bookmarkStart w:id="371" w:name="_Toc184314426"/>
      <w:bookmarkEnd w:id="371"/>
      <w:bookmarkStart w:id="372" w:name="_Toc184313257"/>
      <w:bookmarkEnd w:id="372"/>
      <w:bookmarkStart w:id="373" w:name="_Toc184313267"/>
      <w:bookmarkEnd w:id="373"/>
      <w:bookmarkStart w:id="374" w:name="_Toc184308047"/>
      <w:bookmarkEnd w:id="374"/>
      <w:bookmarkStart w:id="375" w:name="_Toc184310302"/>
      <w:bookmarkEnd w:id="375"/>
      <w:bookmarkStart w:id="376" w:name="_Toc184312100"/>
      <w:bookmarkEnd w:id="376"/>
      <w:bookmarkStart w:id="377" w:name="_Toc184308052"/>
      <w:bookmarkEnd w:id="377"/>
      <w:bookmarkStart w:id="378" w:name="_Toc184312103"/>
      <w:bookmarkEnd w:id="378"/>
      <w:bookmarkStart w:id="379" w:name="_Toc184310282"/>
      <w:bookmarkEnd w:id="379"/>
      <w:bookmarkStart w:id="380" w:name="_Toc184310301"/>
      <w:bookmarkEnd w:id="380"/>
      <w:bookmarkStart w:id="381" w:name="_Toc184314443"/>
      <w:bookmarkEnd w:id="381"/>
      <w:bookmarkStart w:id="382" w:name="_Toc184313273"/>
      <w:bookmarkEnd w:id="382"/>
      <w:bookmarkStart w:id="383" w:name="_Toc184314446"/>
      <w:bookmarkEnd w:id="383"/>
      <w:bookmarkStart w:id="384" w:name="_Toc184314475"/>
      <w:bookmarkEnd w:id="384"/>
      <w:bookmarkStart w:id="385" w:name="_Toc184312083"/>
      <w:bookmarkEnd w:id="385"/>
      <w:bookmarkStart w:id="386" w:name="_Toc184308065"/>
      <w:bookmarkEnd w:id="386"/>
      <w:bookmarkStart w:id="387" w:name="_Toc184312088"/>
      <w:bookmarkEnd w:id="387"/>
      <w:bookmarkStart w:id="388" w:name="_Toc184310291"/>
      <w:bookmarkEnd w:id="388"/>
      <w:bookmarkStart w:id="389" w:name="_Toc184314473"/>
      <w:bookmarkEnd w:id="389"/>
      <w:bookmarkStart w:id="390" w:name="_Toc184310341"/>
      <w:bookmarkEnd w:id="390"/>
      <w:bookmarkStart w:id="391" w:name="_Toc184308057"/>
      <w:bookmarkEnd w:id="391"/>
      <w:bookmarkStart w:id="392" w:name="_Toc184312095"/>
      <w:bookmarkEnd w:id="392"/>
      <w:bookmarkStart w:id="393" w:name="_Toc184313259"/>
      <w:bookmarkEnd w:id="393"/>
      <w:bookmarkStart w:id="394" w:name="_Toc184310315"/>
      <w:bookmarkEnd w:id="394"/>
      <w:bookmarkStart w:id="395" w:name="_Toc184308039"/>
      <w:bookmarkEnd w:id="395"/>
      <w:bookmarkStart w:id="396" w:name="_Toc184310299"/>
      <w:bookmarkEnd w:id="396"/>
      <w:bookmarkStart w:id="397" w:name="_Toc184314450"/>
      <w:bookmarkEnd w:id="397"/>
      <w:bookmarkStart w:id="398" w:name="_Toc184314449"/>
      <w:bookmarkEnd w:id="398"/>
      <w:bookmarkStart w:id="399" w:name="_Toc184312067"/>
      <w:bookmarkEnd w:id="399"/>
      <w:bookmarkStart w:id="400" w:name="_Toc184312085"/>
      <w:bookmarkEnd w:id="400"/>
      <w:bookmarkStart w:id="401" w:name="_Toc184314428"/>
      <w:bookmarkEnd w:id="401"/>
      <w:bookmarkStart w:id="402" w:name="_Toc184313262"/>
      <w:bookmarkEnd w:id="402"/>
      <w:bookmarkStart w:id="403" w:name="_Toc184310289"/>
      <w:bookmarkEnd w:id="403"/>
      <w:bookmarkStart w:id="404" w:name="_Toc184313277"/>
      <w:bookmarkEnd w:id="404"/>
      <w:bookmarkStart w:id="405" w:name="_Toc184310297"/>
      <w:bookmarkEnd w:id="405"/>
      <w:bookmarkStart w:id="406" w:name="_Toc184314478"/>
      <w:bookmarkEnd w:id="406"/>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pStyle w:val="43"/>
        <w:rPr>
          <w:rFonts w:hint="eastAsia" w:ascii="宋体" w:hAnsi="宋体" w:eastAsia="宋体" w:cs="宋体"/>
          <w:color w:val="auto"/>
          <w:sz w:val="24"/>
          <w:szCs w:val="24"/>
          <w:highlight w:val="none"/>
        </w:rPr>
      </w:pPr>
    </w:p>
    <w:tbl>
      <w:tblPr>
        <w:tblStyle w:val="62"/>
        <w:tblpPr w:leftFromText="180" w:rightFromText="180" w:vertAnchor="text" w:horzAnchor="page" w:tblpX="933" w:tblpY="126"/>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721"/>
        <w:gridCol w:w="839"/>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43" w:type="pct"/>
            <w:vAlign w:val="center"/>
          </w:tcPr>
          <w:p>
            <w:pPr>
              <w:spacing w:line="360"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3464" w:type="pct"/>
            <w:vAlign w:val="center"/>
          </w:tcPr>
          <w:p>
            <w:pPr>
              <w:spacing w:line="360" w:lineRule="auto"/>
              <w:ind w:firstLine="1560" w:firstLineChars="650"/>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评标标准</w:t>
            </w:r>
          </w:p>
        </w:tc>
        <w:tc>
          <w:tcPr>
            <w:tcW w:w="432" w:type="pct"/>
            <w:vAlign w:val="center"/>
          </w:tcPr>
          <w:p>
            <w:pPr>
              <w:spacing w:line="36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权重</w:t>
            </w:r>
          </w:p>
        </w:tc>
        <w:tc>
          <w:tcPr>
            <w:tcW w:w="859" w:type="pct"/>
          </w:tcPr>
          <w:p>
            <w:pPr>
              <w:spacing w:line="240" w:lineRule="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r>
              <w:rPr>
                <w:rFonts w:hint="eastAsia" w:ascii="宋体" w:hAnsi="宋体" w:eastAsia="宋体" w:cs="宋体"/>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43" w:type="pct"/>
            <w:vMerge w:val="restart"/>
            <w:vAlign w:val="center"/>
          </w:tcPr>
          <w:p>
            <w:pPr>
              <w:spacing w:line="360" w:lineRule="auto"/>
              <w:jc w:val="both"/>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zh-CN"/>
              </w:rPr>
            </w:pPr>
            <w:r>
              <w:rPr>
                <w:rFonts w:hint="eastAsia"/>
                <w:color w:val="auto"/>
                <w:sz w:val="22"/>
                <w:highlight w:val="none"/>
                <w:lang w:eastAsia="zh-CN"/>
              </w:rPr>
              <w:t>供应商配送场地面积</w:t>
            </w:r>
            <w:r>
              <w:rPr>
                <w:rFonts w:hint="eastAsia"/>
                <w:color w:val="auto"/>
                <w:sz w:val="22"/>
                <w:highlight w:val="none"/>
                <w:vertAlign w:val="baseline"/>
                <w:lang w:val="en-US" w:eastAsia="zh-CN"/>
              </w:rPr>
              <w:t>1200</w:t>
            </w:r>
            <w:r>
              <w:rPr>
                <w:rFonts w:hint="eastAsia"/>
                <w:color w:val="auto"/>
                <w:sz w:val="22"/>
                <w:highlight w:val="none"/>
                <w:lang w:val="en-US" w:eastAsia="zh-CN"/>
              </w:rPr>
              <w:t>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以上的得3分,1000</w:t>
            </w:r>
            <w:r>
              <w:rPr>
                <w:rFonts w:hint="eastAsia"/>
                <w:color w:val="auto"/>
                <w:sz w:val="22"/>
                <w:highlight w:val="none"/>
                <w:lang w:val="en-US" w:eastAsia="zh-CN"/>
              </w:rPr>
              <w:t>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(不含）-</w:t>
            </w:r>
            <w:r>
              <w:rPr>
                <w:rFonts w:hint="eastAsia"/>
                <w:color w:val="auto"/>
                <w:sz w:val="22"/>
                <w:highlight w:val="none"/>
                <w:lang w:val="en-US" w:eastAsia="zh-CN"/>
              </w:rPr>
              <w:t>1200m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（含）的得2分，1000</w:t>
            </w:r>
            <w:r>
              <w:rPr>
                <w:rFonts w:hint="eastAsia"/>
                <w:color w:val="auto"/>
                <w:sz w:val="22"/>
                <w:highlight w:val="none"/>
                <w:lang w:val="en-US" w:eastAsia="zh-CN"/>
              </w:rPr>
              <w:t>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及以下的得1分。（提供产权证明或租赁合同，证明材料中须体现</w:t>
            </w:r>
            <w:r>
              <w:rPr>
                <w:rFonts w:hint="eastAsia"/>
                <w:color w:val="auto"/>
                <w:sz w:val="22"/>
                <w:highlight w:val="none"/>
                <w:lang w:eastAsia="zh-CN"/>
              </w:rPr>
              <w:t>场地</w:t>
            </w:r>
            <w:r>
              <w:rPr>
                <w:rFonts w:hint="eastAsia"/>
                <w:color w:val="auto"/>
                <w:sz w:val="22"/>
                <w:highlight w:val="none"/>
                <w:vertAlign w:val="baseline"/>
                <w:lang w:val="en-US" w:eastAsia="zh-CN"/>
              </w:rPr>
              <w:t>面积）</w:t>
            </w:r>
          </w:p>
        </w:tc>
        <w:tc>
          <w:tcPr>
            <w:tcW w:w="432" w:type="pct"/>
            <w:vAlign w:val="center"/>
          </w:tcPr>
          <w:p>
            <w:pPr>
              <w:spacing w:line="240" w:lineRule="auto"/>
              <w:jc w:val="left"/>
              <w:outlineLvl w:val="0"/>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0-3</w:t>
            </w:r>
          </w:p>
        </w:tc>
        <w:tc>
          <w:tcPr>
            <w:tcW w:w="859" w:type="pct"/>
            <w:vMerge w:val="restart"/>
            <w:vAlign w:val="center"/>
          </w:tcPr>
          <w:p>
            <w:pPr>
              <w:spacing w:line="240" w:lineRule="auto"/>
              <w:jc w:val="center"/>
              <w:outlineLvl w:val="0"/>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2"/>
                <w:szCs w:val="22"/>
                <w:highlight w:val="none"/>
                <w:lang w:eastAsia="zh-CN"/>
              </w:rPr>
              <w:t>企业综合实力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243" w:type="pct"/>
            <w:vMerge w:val="continue"/>
            <w:vAlign w:val="center"/>
          </w:tcPr>
          <w:p>
            <w:pPr>
              <w:spacing w:line="360" w:lineRule="auto"/>
              <w:jc w:val="both"/>
              <w:outlineLvl w:val="0"/>
              <w:rPr>
                <w:rFonts w:hint="eastAsia" w:ascii="宋体" w:hAnsi="宋体" w:eastAsia="宋体" w:cs="宋体"/>
                <w:color w:val="auto"/>
                <w:sz w:val="24"/>
                <w:szCs w:val="24"/>
                <w:highlight w:val="none"/>
              </w:rPr>
            </w:pP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color w:val="auto"/>
                <w:sz w:val="22"/>
                <w:highlight w:val="none"/>
                <w:lang w:eastAsia="zh-CN"/>
              </w:rPr>
              <w:t>供应商</w:t>
            </w:r>
            <w:r>
              <w:rPr>
                <w:rFonts w:hint="eastAsia"/>
                <w:color w:val="auto"/>
                <w:sz w:val="22"/>
                <w:highlight w:val="none"/>
                <w:lang w:val="en-US" w:eastAsia="zh-CN"/>
              </w:rPr>
              <w:t>配送场地配送中心发货准备区使用面积350m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以上的得2分，350</w:t>
            </w:r>
            <w:r>
              <w:rPr>
                <w:rFonts w:hint="eastAsia"/>
                <w:color w:val="auto"/>
                <w:sz w:val="22"/>
                <w:highlight w:val="none"/>
                <w:lang w:val="en-US" w:eastAsia="zh-CN"/>
              </w:rPr>
              <w:t>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及以下的得1分。其他功能库房：粮油仓库、干货调味、畜禽类分割车间、猪肉分割车间四个功能库房总面积达150</w:t>
            </w:r>
            <w:r>
              <w:rPr>
                <w:rFonts w:hint="eastAsia"/>
                <w:color w:val="auto"/>
                <w:sz w:val="22"/>
                <w:highlight w:val="none"/>
                <w:lang w:val="en-US" w:eastAsia="zh-CN"/>
              </w:rPr>
              <w:t>m</w:t>
            </w:r>
            <w:r>
              <w:rPr>
                <w:rFonts w:hint="eastAsia"/>
                <w:color w:val="auto"/>
                <w:sz w:val="22"/>
                <w:highlight w:val="none"/>
                <w:vertAlign w:val="superscript"/>
                <w:lang w:val="en-US" w:eastAsia="zh-CN"/>
              </w:rPr>
              <w:t>2</w:t>
            </w:r>
            <w:r>
              <w:rPr>
                <w:rFonts w:hint="eastAsia"/>
                <w:color w:val="auto"/>
                <w:sz w:val="22"/>
                <w:highlight w:val="none"/>
                <w:vertAlign w:val="baseline"/>
                <w:lang w:val="en-US" w:eastAsia="zh-CN"/>
              </w:rPr>
              <w:t>的得1分，面积不达标或功能库房少一间均不得分。（提供场地平面图或其他证明材料）</w:t>
            </w:r>
          </w:p>
        </w:tc>
        <w:tc>
          <w:tcPr>
            <w:tcW w:w="432" w:type="pct"/>
            <w:vAlign w:val="center"/>
          </w:tcPr>
          <w:p>
            <w:pPr>
              <w:spacing w:line="240" w:lineRule="auto"/>
              <w:jc w:val="left"/>
              <w:outlineLvl w:val="0"/>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0-3</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43" w:type="pct"/>
            <w:vMerge w:val="continue"/>
            <w:vAlign w:val="center"/>
          </w:tcPr>
          <w:p>
            <w:pPr>
              <w:spacing w:line="360" w:lineRule="auto"/>
              <w:jc w:val="both"/>
              <w:outlineLvl w:val="0"/>
              <w:rPr>
                <w:rFonts w:hint="eastAsia" w:ascii="宋体" w:hAnsi="宋体" w:eastAsia="宋体" w:cs="宋体"/>
                <w:color w:val="auto"/>
                <w:sz w:val="24"/>
                <w:szCs w:val="24"/>
                <w:highlight w:val="none"/>
              </w:rPr>
            </w:pP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zh-CN" w:eastAsia="zh-CN"/>
              </w:rPr>
            </w:pPr>
            <w:r>
              <w:rPr>
                <w:rFonts w:hint="eastAsia"/>
                <w:color w:val="auto"/>
                <w:sz w:val="22"/>
                <w:highlight w:val="none"/>
                <w:lang w:eastAsia="zh-CN"/>
              </w:rPr>
              <w:t>供应商</w:t>
            </w:r>
            <w:r>
              <w:rPr>
                <w:rFonts w:hint="eastAsia"/>
                <w:color w:val="auto"/>
                <w:sz w:val="22"/>
                <w:highlight w:val="none"/>
              </w:rPr>
              <w:t>具有</w:t>
            </w:r>
            <w:r>
              <w:rPr>
                <w:rFonts w:hint="eastAsia"/>
                <w:color w:val="auto"/>
                <w:sz w:val="22"/>
                <w:highlight w:val="none"/>
                <w:lang w:eastAsia="zh-CN"/>
              </w:rPr>
              <w:t>冷冻</w:t>
            </w:r>
            <w:r>
              <w:rPr>
                <w:rFonts w:hint="eastAsia"/>
                <w:color w:val="auto"/>
                <w:sz w:val="22"/>
                <w:highlight w:val="none"/>
              </w:rPr>
              <w:t>冷库</w:t>
            </w:r>
            <w:r>
              <w:rPr>
                <w:rFonts w:hint="eastAsia"/>
                <w:color w:val="auto"/>
                <w:sz w:val="22"/>
                <w:highlight w:val="none"/>
                <w:lang w:eastAsia="zh-CN"/>
              </w:rPr>
              <w:t>且容积达</w:t>
            </w:r>
            <w:r>
              <w:rPr>
                <w:rFonts w:hint="eastAsia"/>
                <w:color w:val="auto"/>
                <w:sz w:val="22"/>
                <w:highlight w:val="none"/>
                <w:lang w:val="en-US" w:eastAsia="zh-CN"/>
              </w:rPr>
              <w:t>100m</w:t>
            </w:r>
            <w:r>
              <w:rPr>
                <w:rFonts w:hint="eastAsia"/>
                <w:color w:val="auto"/>
                <w:sz w:val="22"/>
                <w:highlight w:val="none"/>
                <w:vertAlign w:val="superscript"/>
                <w:lang w:val="en-US" w:eastAsia="zh-CN"/>
              </w:rPr>
              <w:t>3</w:t>
            </w:r>
            <w:r>
              <w:rPr>
                <w:rFonts w:hint="eastAsia"/>
                <w:color w:val="auto"/>
                <w:sz w:val="22"/>
                <w:highlight w:val="none"/>
                <w:vertAlign w:val="baseline"/>
                <w:lang w:val="en-US" w:eastAsia="zh-CN"/>
              </w:rPr>
              <w:t>及以上</w:t>
            </w:r>
            <w:r>
              <w:rPr>
                <w:rFonts w:hint="eastAsia"/>
                <w:color w:val="auto"/>
                <w:sz w:val="22"/>
                <w:highlight w:val="none"/>
              </w:rPr>
              <w:t>的得</w:t>
            </w:r>
            <w:r>
              <w:rPr>
                <w:rFonts w:hint="eastAsia"/>
                <w:color w:val="auto"/>
                <w:sz w:val="22"/>
                <w:highlight w:val="none"/>
                <w:lang w:val="en-US" w:eastAsia="zh-CN"/>
              </w:rPr>
              <w:t>1</w:t>
            </w:r>
            <w:r>
              <w:rPr>
                <w:rFonts w:hint="eastAsia"/>
                <w:color w:val="auto"/>
                <w:sz w:val="22"/>
                <w:highlight w:val="none"/>
              </w:rPr>
              <w:t>分</w:t>
            </w:r>
            <w:r>
              <w:rPr>
                <w:rFonts w:hint="eastAsia"/>
                <w:color w:val="auto"/>
                <w:sz w:val="22"/>
                <w:highlight w:val="none"/>
                <w:lang w:eastAsia="zh-CN"/>
              </w:rPr>
              <w:t>，具有保鲜冷库且容积达</w:t>
            </w:r>
            <w:r>
              <w:rPr>
                <w:rFonts w:hint="eastAsia"/>
                <w:color w:val="auto"/>
                <w:sz w:val="22"/>
                <w:highlight w:val="none"/>
                <w:lang w:val="en-US" w:eastAsia="zh-CN"/>
              </w:rPr>
              <w:t>100m</w:t>
            </w:r>
            <w:r>
              <w:rPr>
                <w:rFonts w:hint="eastAsia"/>
                <w:color w:val="auto"/>
                <w:sz w:val="22"/>
                <w:highlight w:val="none"/>
                <w:vertAlign w:val="superscript"/>
                <w:lang w:val="en-US" w:eastAsia="zh-CN"/>
              </w:rPr>
              <w:t>3</w:t>
            </w:r>
            <w:r>
              <w:rPr>
                <w:rFonts w:hint="eastAsia"/>
                <w:color w:val="auto"/>
                <w:sz w:val="22"/>
                <w:highlight w:val="none"/>
                <w:vertAlign w:val="baseline"/>
                <w:lang w:val="en-US" w:eastAsia="zh-CN"/>
              </w:rPr>
              <w:t>及以上</w:t>
            </w:r>
            <w:r>
              <w:rPr>
                <w:rFonts w:hint="eastAsia"/>
                <w:color w:val="auto"/>
                <w:sz w:val="22"/>
                <w:highlight w:val="none"/>
                <w:lang w:eastAsia="zh-CN"/>
              </w:rPr>
              <w:t>的得</w:t>
            </w:r>
            <w:r>
              <w:rPr>
                <w:rFonts w:hint="eastAsia"/>
                <w:color w:val="auto"/>
                <w:sz w:val="22"/>
                <w:highlight w:val="none"/>
                <w:lang w:val="en-US" w:eastAsia="zh-CN"/>
              </w:rPr>
              <w:t>1分。</w:t>
            </w:r>
            <w:r>
              <w:rPr>
                <w:rFonts w:hint="eastAsia"/>
                <w:color w:val="auto"/>
                <w:sz w:val="22"/>
                <w:highlight w:val="none"/>
              </w:rPr>
              <w:t>（提供库内物品摆放图片或</w:t>
            </w:r>
            <w:r>
              <w:rPr>
                <w:rFonts w:hint="eastAsia"/>
                <w:color w:val="auto"/>
                <w:sz w:val="22"/>
                <w:highlight w:val="none"/>
                <w:lang w:eastAsia="zh-CN"/>
              </w:rPr>
              <w:t>其他证明材料，</w:t>
            </w:r>
            <w:r>
              <w:rPr>
                <w:rFonts w:hint="eastAsia"/>
                <w:color w:val="auto"/>
                <w:sz w:val="22"/>
                <w:highlight w:val="none"/>
                <w:lang w:val="en-US" w:eastAsia="zh-CN"/>
              </w:rPr>
              <w:t>未提供不得分</w:t>
            </w:r>
            <w:r>
              <w:rPr>
                <w:rFonts w:hint="eastAsia"/>
                <w:color w:val="auto"/>
                <w:sz w:val="22"/>
                <w:highlight w:val="none"/>
              </w:rPr>
              <w:t>）。</w:t>
            </w:r>
          </w:p>
        </w:tc>
        <w:tc>
          <w:tcPr>
            <w:tcW w:w="432" w:type="pct"/>
            <w:vAlign w:val="center"/>
          </w:tcPr>
          <w:p>
            <w:pPr>
              <w:spacing w:line="240" w:lineRule="auto"/>
              <w:jc w:val="left"/>
              <w:outlineLvl w:val="0"/>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0-2</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43" w:type="pct"/>
            <w:vMerge w:val="continue"/>
            <w:vAlign w:val="center"/>
          </w:tcPr>
          <w:p>
            <w:pPr>
              <w:spacing w:line="360" w:lineRule="auto"/>
              <w:jc w:val="both"/>
              <w:outlineLvl w:val="0"/>
              <w:rPr>
                <w:rFonts w:hint="eastAsia" w:ascii="宋体" w:hAnsi="宋体" w:eastAsia="宋体" w:cs="宋体"/>
                <w:color w:val="auto"/>
                <w:sz w:val="24"/>
                <w:szCs w:val="24"/>
                <w:highlight w:val="none"/>
                <w:lang w:val="en-US" w:eastAsia="zh-CN"/>
              </w:rPr>
            </w:pP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color w:val="auto"/>
                <w:sz w:val="22"/>
                <w:highlight w:val="none"/>
                <w:lang w:eastAsia="zh-CN"/>
              </w:rPr>
              <w:t>供应商</w:t>
            </w:r>
            <w:r>
              <w:rPr>
                <w:rFonts w:hint="eastAsia"/>
                <w:color w:val="auto"/>
                <w:sz w:val="22"/>
                <w:highlight w:val="none"/>
              </w:rPr>
              <w:t>自有厢式货车的每辆得</w:t>
            </w:r>
            <w:r>
              <w:rPr>
                <w:rFonts w:hint="eastAsia"/>
                <w:color w:val="auto"/>
                <w:sz w:val="22"/>
                <w:highlight w:val="none"/>
                <w:lang w:val="en-US" w:eastAsia="zh-CN"/>
              </w:rPr>
              <w:t>0.5</w:t>
            </w:r>
            <w:r>
              <w:rPr>
                <w:rFonts w:hint="eastAsia"/>
                <w:color w:val="auto"/>
                <w:sz w:val="22"/>
                <w:highlight w:val="none"/>
              </w:rPr>
              <w:t>分，最高得</w:t>
            </w:r>
            <w:r>
              <w:rPr>
                <w:rFonts w:hint="eastAsia"/>
                <w:color w:val="auto"/>
                <w:sz w:val="22"/>
                <w:highlight w:val="none"/>
                <w:lang w:val="en-US" w:eastAsia="zh-CN"/>
              </w:rPr>
              <w:t>2</w:t>
            </w:r>
            <w:r>
              <w:rPr>
                <w:rFonts w:hint="eastAsia"/>
                <w:color w:val="auto"/>
                <w:sz w:val="22"/>
                <w:highlight w:val="none"/>
              </w:rPr>
              <w:t>分</w:t>
            </w:r>
            <w:r>
              <w:rPr>
                <w:rFonts w:hint="eastAsia"/>
                <w:color w:val="auto"/>
                <w:sz w:val="22"/>
                <w:highlight w:val="none"/>
                <w:lang w:eastAsia="zh-CN"/>
              </w:rPr>
              <w:t>；供应商</w:t>
            </w:r>
            <w:r>
              <w:rPr>
                <w:rFonts w:hint="eastAsia"/>
                <w:color w:val="auto"/>
                <w:sz w:val="22"/>
                <w:highlight w:val="none"/>
              </w:rPr>
              <w:t>自有</w:t>
            </w:r>
            <w:r>
              <w:rPr>
                <w:rFonts w:hint="eastAsia"/>
                <w:color w:val="auto"/>
                <w:sz w:val="22"/>
                <w:highlight w:val="none"/>
                <w:lang w:eastAsia="zh-CN"/>
              </w:rPr>
              <w:t>冷藏专用厢式货车的</w:t>
            </w:r>
            <w:r>
              <w:rPr>
                <w:rFonts w:hint="eastAsia"/>
                <w:color w:val="auto"/>
                <w:sz w:val="22"/>
                <w:highlight w:val="none"/>
              </w:rPr>
              <w:t>每辆</w:t>
            </w:r>
            <w:r>
              <w:rPr>
                <w:rFonts w:hint="eastAsia"/>
                <w:color w:val="auto"/>
                <w:sz w:val="22"/>
                <w:highlight w:val="none"/>
                <w:lang w:eastAsia="zh-CN"/>
              </w:rPr>
              <w:t>得</w:t>
            </w:r>
            <w:r>
              <w:rPr>
                <w:rFonts w:hint="eastAsia"/>
                <w:color w:val="auto"/>
                <w:sz w:val="22"/>
                <w:highlight w:val="none"/>
                <w:lang w:val="en-US" w:eastAsia="zh-CN"/>
              </w:rPr>
              <w:t>0.5分,</w:t>
            </w:r>
            <w:r>
              <w:rPr>
                <w:rFonts w:hint="eastAsia"/>
                <w:color w:val="auto"/>
                <w:sz w:val="22"/>
                <w:highlight w:val="none"/>
              </w:rPr>
              <w:t>最高得</w:t>
            </w:r>
            <w:r>
              <w:rPr>
                <w:rFonts w:hint="eastAsia"/>
                <w:color w:val="auto"/>
                <w:sz w:val="22"/>
                <w:highlight w:val="none"/>
                <w:lang w:val="en-US" w:eastAsia="zh-CN"/>
              </w:rPr>
              <w:t>2</w:t>
            </w:r>
            <w:r>
              <w:rPr>
                <w:rFonts w:hint="eastAsia"/>
                <w:color w:val="auto"/>
                <w:sz w:val="22"/>
                <w:highlight w:val="none"/>
              </w:rPr>
              <w:t>分</w:t>
            </w:r>
            <w:r>
              <w:rPr>
                <w:rFonts w:hint="eastAsia"/>
                <w:color w:val="auto"/>
                <w:sz w:val="22"/>
                <w:highlight w:val="none"/>
                <w:lang w:val="en-US" w:eastAsia="zh-CN"/>
              </w:rPr>
              <w:t>。</w:t>
            </w:r>
            <w:r>
              <w:rPr>
                <w:rFonts w:hint="eastAsia"/>
                <w:color w:val="auto"/>
                <w:sz w:val="22"/>
                <w:highlight w:val="none"/>
              </w:rPr>
              <w:t>（提供行驶证和车辆保险单复印件</w:t>
            </w:r>
            <w:r>
              <w:rPr>
                <w:rFonts w:hint="eastAsia"/>
                <w:color w:val="auto"/>
                <w:sz w:val="22"/>
                <w:highlight w:val="none"/>
                <w:lang w:eastAsia="zh-CN"/>
              </w:rPr>
              <w:t>，</w:t>
            </w:r>
            <w:r>
              <w:rPr>
                <w:rFonts w:hint="eastAsia"/>
                <w:color w:val="auto"/>
                <w:sz w:val="22"/>
                <w:highlight w:val="none"/>
                <w:lang w:val="en-US" w:eastAsia="zh-CN"/>
              </w:rPr>
              <w:t>不提供不得分</w:t>
            </w:r>
            <w:r>
              <w:rPr>
                <w:rFonts w:hint="eastAsia"/>
                <w:color w:val="auto"/>
                <w:sz w:val="22"/>
                <w:highlight w:val="none"/>
              </w:rPr>
              <w:t>）</w:t>
            </w:r>
          </w:p>
        </w:tc>
        <w:tc>
          <w:tcPr>
            <w:tcW w:w="432" w:type="pct"/>
            <w:vAlign w:val="center"/>
          </w:tcPr>
          <w:p>
            <w:pPr>
              <w:spacing w:line="240" w:lineRule="auto"/>
              <w:jc w:val="left"/>
              <w:outlineLvl w:val="0"/>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0-4</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continue"/>
            <w:vAlign w:val="center"/>
          </w:tcPr>
          <w:p>
            <w:pPr>
              <w:spacing w:line="360" w:lineRule="auto"/>
              <w:jc w:val="both"/>
              <w:outlineLvl w:val="0"/>
              <w:rPr>
                <w:rFonts w:hint="eastAsia" w:ascii="宋体" w:hAnsi="宋体" w:eastAsia="宋体" w:cs="宋体"/>
                <w:color w:val="auto"/>
                <w:sz w:val="24"/>
                <w:szCs w:val="24"/>
                <w:highlight w:val="none"/>
                <w:lang w:val="en-US" w:eastAsia="zh-CN"/>
              </w:rPr>
            </w:pP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color w:val="auto"/>
                <w:sz w:val="22"/>
                <w:highlight w:val="none"/>
                <w:lang w:eastAsia="zh-CN"/>
              </w:rPr>
              <w:t>供应商</w:t>
            </w:r>
            <w:r>
              <w:rPr>
                <w:rFonts w:hint="eastAsia"/>
                <w:color w:val="auto"/>
                <w:sz w:val="22"/>
                <w:highlight w:val="none"/>
              </w:rPr>
              <w:t>自有</w:t>
            </w:r>
            <w:r>
              <w:rPr>
                <w:rFonts w:hint="eastAsia"/>
                <w:color w:val="auto"/>
                <w:sz w:val="22"/>
                <w:highlight w:val="none"/>
                <w:lang w:eastAsia="zh-CN"/>
              </w:rPr>
              <w:t>运输车全部安装有卫星定位和车厢监控的得</w:t>
            </w:r>
            <w:r>
              <w:rPr>
                <w:rFonts w:hint="eastAsia"/>
                <w:color w:val="auto"/>
                <w:sz w:val="22"/>
                <w:highlight w:val="none"/>
                <w:lang w:val="en-US" w:eastAsia="zh-CN"/>
              </w:rPr>
              <w:t>2分，否则不得分。（提供设备采购发票或其他证明材料）</w:t>
            </w:r>
          </w:p>
        </w:tc>
        <w:tc>
          <w:tcPr>
            <w:tcW w:w="432" w:type="pct"/>
            <w:vAlign w:val="center"/>
          </w:tcPr>
          <w:p>
            <w:pPr>
              <w:spacing w:line="240" w:lineRule="auto"/>
              <w:jc w:val="left"/>
              <w:outlineLvl w:val="0"/>
              <w:rPr>
                <w:rFonts w:hint="default" w:ascii="宋体" w:hAnsi="宋体" w:eastAsia="宋体" w:cs="宋体"/>
                <w:color w:val="auto"/>
                <w:spacing w:val="-11"/>
                <w:sz w:val="24"/>
                <w:szCs w:val="24"/>
                <w:highlight w:val="none"/>
                <w:lang w:val="en-US" w:eastAsia="zh-CN"/>
              </w:rPr>
            </w:pPr>
            <w:r>
              <w:rPr>
                <w:rFonts w:hint="eastAsia" w:ascii="宋体" w:hAnsi="宋体" w:cs="宋体"/>
                <w:color w:val="auto"/>
                <w:spacing w:val="-11"/>
                <w:sz w:val="24"/>
                <w:szCs w:val="24"/>
                <w:highlight w:val="none"/>
                <w:lang w:val="en-US" w:eastAsia="zh-CN"/>
              </w:rPr>
              <w:t>0-2</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43" w:type="pc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en-US" w:bidi="ar-SA"/>
              </w:rPr>
            </w:pPr>
            <w:r>
              <w:rPr>
                <w:rFonts w:hint="default" w:ascii="Calibri" w:hAnsi="Calibri" w:eastAsia="宋体" w:cs="Times New Roman"/>
                <w:color w:val="auto"/>
                <w:sz w:val="22"/>
                <w:highlight w:val="none"/>
                <w:lang w:val="en-US" w:eastAsia="zh-CN"/>
              </w:rPr>
              <w:t>投标供应商具有质量管理体系认证证书的得1分；具有职业健康安全体系认证证书的得1分；具有环境管理体系认证证书的得1分；具有食品安全管理体系认证证书的得1分；具有HACCP管理体系认证的得1分。证明材料：</w:t>
            </w:r>
            <w:r>
              <w:rPr>
                <w:rFonts w:hint="eastAsia" w:ascii="Calibri" w:hAnsi="Calibri" w:eastAsia="宋体" w:cs="Times New Roman"/>
                <w:color w:val="auto"/>
                <w:sz w:val="22"/>
                <w:highlight w:val="none"/>
                <w:lang w:val="en-US" w:eastAsia="zh-CN"/>
              </w:rPr>
              <w:t>提供</w:t>
            </w:r>
            <w:r>
              <w:rPr>
                <w:rFonts w:hint="default" w:ascii="Calibri" w:hAnsi="Calibri" w:eastAsia="宋体" w:cs="Times New Roman"/>
                <w:color w:val="auto"/>
                <w:sz w:val="22"/>
                <w:highlight w:val="none"/>
                <w:lang w:val="en-US" w:eastAsia="zh-CN"/>
              </w:rPr>
              <w:t>有效的证书复印件加盖供应商公章。</w:t>
            </w:r>
          </w:p>
        </w:tc>
        <w:tc>
          <w:tcPr>
            <w:tcW w:w="432" w:type="pct"/>
            <w:vAlign w:val="center"/>
          </w:tcPr>
          <w:p>
            <w:pPr>
              <w:spacing w:line="240" w:lineRule="auto"/>
              <w:jc w:val="left"/>
              <w:outlineLvl w:val="0"/>
              <w:rPr>
                <w:rFonts w:hint="eastAsia" w:ascii="宋体" w:hAnsi="宋体" w:eastAsia="宋体" w:cs="宋体"/>
                <w:color w:val="auto"/>
                <w:spacing w:val="-11"/>
                <w:sz w:val="24"/>
                <w:szCs w:val="24"/>
                <w:highlight w:val="none"/>
                <w:lang w:val="en-US" w:eastAsia="zh-CN"/>
              </w:rPr>
            </w:pPr>
            <w:r>
              <w:rPr>
                <w:rFonts w:hint="eastAsia" w:ascii="宋体" w:hAnsi="宋体" w:eastAsia="宋体" w:cs="宋体"/>
                <w:color w:val="auto"/>
                <w:sz w:val="22"/>
                <w:szCs w:val="22"/>
                <w:highlight w:val="none"/>
                <w:lang w:val="en-US" w:eastAsia="zh-CN"/>
              </w:rPr>
              <w:t>0-5</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lang w:eastAsia="zh-CN"/>
              </w:rPr>
              <w:t>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243" w:type="pc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ascii="Calibri" w:hAnsi="Calibri" w:eastAsia="宋体" w:cs="Times New Roman"/>
                <w:color w:val="auto"/>
                <w:sz w:val="22"/>
                <w:highlight w:val="none"/>
                <w:lang w:val="en-US" w:eastAsia="zh-CN"/>
              </w:rPr>
              <w:t>投标供应商自2019年1月1日以来具有类似项目业绩的，每个业绩得1分，最多得3分。证明材料：提供合同和业务往来税务发票复印件并加盖供应商公章。</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en-US" w:eastAsia="zh-CN"/>
              </w:rPr>
              <w:t>0-3</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2"/>
                <w:szCs w:val="22"/>
                <w:highlight w:val="none"/>
                <w:lang w:eastAsia="zh-CN"/>
              </w:rPr>
              <w:t>企业业绩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43" w:type="pc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3464" w:type="pct"/>
            <w:vAlign w:val="center"/>
          </w:tcPr>
          <w:p>
            <w:pPr>
              <w:spacing w:line="240" w:lineRule="auto"/>
              <w:jc w:val="left"/>
              <w:outlineLvl w:val="0"/>
              <w:rPr>
                <w:rFonts w:hint="eastAsia" w:ascii="宋体" w:hAnsi="宋体" w:eastAsia="宋体" w:cs="宋体"/>
                <w:color w:val="auto"/>
                <w:sz w:val="24"/>
                <w:szCs w:val="24"/>
                <w:highlight w:val="none"/>
                <w:lang w:val="en-US" w:eastAsia="en-US"/>
              </w:rPr>
            </w:pPr>
            <w:r>
              <w:rPr>
                <w:rFonts w:hint="eastAsia" w:ascii="Calibri" w:hAnsi="Calibri" w:eastAsia="宋体" w:cs="Times New Roman"/>
                <w:color w:val="auto"/>
                <w:sz w:val="22"/>
                <w:highlight w:val="none"/>
              </w:rPr>
              <w:t>供应商对采购服务项目总体实施方案</w:t>
            </w:r>
            <w:r>
              <w:rPr>
                <w:rFonts w:hint="eastAsia" w:ascii="Calibri" w:hAnsi="Calibri" w:eastAsia="宋体" w:cs="Times New Roman"/>
                <w:color w:val="auto"/>
                <w:sz w:val="22"/>
                <w:highlight w:val="none"/>
                <w:lang w:eastAsia="zh-CN"/>
              </w:rPr>
              <w:t>（包括</w:t>
            </w:r>
            <w:r>
              <w:rPr>
                <w:rFonts w:hint="eastAsia" w:ascii="Calibri" w:hAnsi="Calibri" w:eastAsia="宋体" w:cs="Times New Roman"/>
                <w:color w:val="auto"/>
                <w:sz w:val="22"/>
                <w:highlight w:val="none"/>
              </w:rPr>
              <w:t>包括总体部署、供货措施、运输</w:t>
            </w:r>
            <w:r>
              <w:rPr>
                <w:rFonts w:hint="eastAsia" w:ascii="Calibri" w:hAnsi="Calibri" w:eastAsia="宋体" w:cs="Times New Roman"/>
                <w:color w:val="auto"/>
                <w:sz w:val="22"/>
                <w:highlight w:val="none"/>
                <w:lang w:eastAsia="zh-CN"/>
              </w:rPr>
              <w:t>服务</w:t>
            </w:r>
            <w:r>
              <w:rPr>
                <w:rFonts w:hint="eastAsia" w:ascii="Calibri" w:hAnsi="Calibri" w:eastAsia="宋体" w:cs="Times New Roman"/>
                <w:color w:val="auto"/>
                <w:sz w:val="22"/>
                <w:highlight w:val="none"/>
              </w:rPr>
              <w:t>、现场管理计划</w:t>
            </w:r>
            <w:r>
              <w:rPr>
                <w:rFonts w:hint="eastAsia" w:ascii="Calibri" w:hAnsi="Calibri" w:eastAsia="宋体" w:cs="Times New Roman"/>
                <w:color w:val="auto"/>
                <w:sz w:val="22"/>
                <w:highlight w:val="none"/>
                <w:lang w:eastAsia="zh-CN"/>
              </w:rPr>
              <w:t>等）</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2"/>
                <w:szCs w:val="22"/>
                <w:highlight w:val="none"/>
                <w:lang w:val="en-US" w:eastAsia="zh-CN"/>
              </w:rPr>
              <w:t>0-5</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总体实施方案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en-US" w:bidi="ar-SA"/>
              </w:rPr>
            </w:pPr>
            <w:r>
              <w:rPr>
                <w:rFonts w:hint="eastAsia" w:ascii="Calibri" w:hAnsi="Calibri" w:eastAsia="宋体" w:cs="Times New Roman"/>
                <w:color w:val="auto"/>
                <w:kern w:val="2"/>
                <w:sz w:val="22"/>
                <w:szCs w:val="24"/>
                <w:highlight w:val="none"/>
                <w:lang w:val="en-US" w:eastAsia="zh-CN" w:bidi="ar-SA"/>
              </w:rPr>
              <w:t>根据</w:t>
            </w:r>
            <w:r>
              <w:rPr>
                <w:rFonts w:hint="eastAsia" w:ascii="Calibri" w:hAnsi="Calibri" w:eastAsia="宋体" w:cs="Times New Roman"/>
                <w:color w:val="auto"/>
                <w:sz w:val="22"/>
                <w:highlight w:val="none"/>
              </w:rPr>
              <w:t>供应商</w:t>
            </w:r>
            <w:r>
              <w:rPr>
                <w:rFonts w:hint="eastAsia" w:ascii="Calibri" w:hAnsi="Calibri" w:eastAsia="宋体" w:cs="Times New Roman"/>
                <w:color w:val="auto"/>
                <w:sz w:val="22"/>
                <w:highlight w:val="none"/>
                <w:lang w:eastAsia="zh-CN"/>
              </w:rPr>
              <w:t>食材采购配送过程中卫生、食材新鲜度的保证措施等方面配送管理的科学性、合理性打分。</w:t>
            </w:r>
          </w:p>
        </w:tc>
        <w:tc>
          <w:tcPr>
            <w:tcW w:w="432" w:type="pct"/>
            <w:vAlign w:val="center"/>
          </w:tcPr>
          <w:p>
            <w:pPr>
              <w:spacing w:line="4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2"/>
                <w:szCs w:val="22"/>
                <w:highlight w:val="none"/>
                <w:lang w:val="en-US" w:eastAsia="zh-CN" w:bidi="ar-SA"/>
              </w:rPr>
              <w:t>0-5</w:t>
            </w:r>
          </w:p>
        </w:tc>
        <w:tc>
          <w:tcPr>
            <w:tcW w:w="859" w:type="pc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lang w:eastAsia="zh-CN"/>
              </w:rPr>
              <w:t>配送管理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43" w:type="pct"/>
            <w:vMerge w:val="restart"/>
            <w:vAlign w:val="center"/>
          </w:tcPr>
          <w:p>
            <w:pPr>
              <w:spacing w:line="360" w:lineRule="auto"/>
              <w:jc w:val="both"/>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lang w:eastAsia="zh-CN"/>
              </w:rPr>
              <w:t>根据</w:t>
            </w:r>
            <w:r>
              <w:rPr>
                <w:rFonts w:hint="eastAsia" w:ascii="Calibri" w:hAnsi="Calibri" w:eastAsia="宋体" w:cs="Times New Roman"/>
                <w:color w:val="auto"/>
                <w:sz w:val="22"/>
                <w:highlight w:val="none"/>
              </w:rPr>
              <w:t>供应商</w:t>
            </w:r>
            <w:r>
              <w:rPr>
                <w:rFonts w:hint="eastAsia" w:ascii="Calibri" w:hAnsi="Calibri" w:eastAsia="宋体" w:cs="Times New Roman"/>
                <w:color w:val="auto"/>
                <w:sz w:val="22"/>
                <w:highlight w:val="none"/>
                <w:lang w:val="zh-CN"/>
              </w:rPr>
              <w:t>建立的内部管理制度进行打分（包括但不限于财务制度、食品安全检验检测制度、食品安全承诺制度、食品留样管理制度、</w:t>
            </w:r>
            <w:r>
              <w:rPr>
                <w:rFonts w:hint="eastAsia" w:ascii="Calibri" w:hAnsi="Calibri" w:eastAsia="宋体" w:cs="Times New Roman"/>
                <w:color w:val="auto"/>
                <w:sz w:val="22"/>
                <w:highlight w:val="none"/>
              </w:rPr>
              <w:t>问题</w:t>
            </w:r>
            <w:r>
              <w:rPr>
                <w:rFonts w:hint="eastAsia" w:ascii="Calibri" w:hAnsi="Calibri" w:eastAsia="宋体" w:cs="Times New Roman"/>
                <w:color w:val="auto"/>
                <w:sz w:val="22"/>
                <w:highlight w:val="none"/>
                <w:lang w:val="zh-CN"/>
              </w:rPr>
              <w:t>产品召回制度、食品安全培训制度、食品安全管理制度等）。</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0-5</w:t>
            </w:r>
          </w:p>
        </w:tc>
        <w:tc>
          <w:tcPr>
            <w:tcW w:w="859" w:type="pct"/>
            <w:vMerge w:val="restart"/>
            <w:vAlign w:val="center"/>
          </w:tcPr>
          <w:p>
            <w:pPr>
              <w:spacing w:line="24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lang w:val="zh-CN" w:eastAsia="zh-CN"/>
              </w:rPr>
              <w:t>食品质量安全控制建设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 w:type="pct"/>
            <w:vMerge w:val="continue"/>
            <w:vAlign w:val="center"/>
          </w:tcPr>
          <w:p>
            <w:pPr>
              <w:jc w:val="both"/>
              <w:rPr>
                <w:rFonts w:hint="eastAsia" w:ascii="宋体" w:hAnsi="宋体" w:eastAsia="宋体" w:cs="宋体"/>
                <w:color w:val="auto"/>
                <w:sz w:val="24"/>
                <w:szCs w:val="24"/>
                <w:highlight w:val="none"/>
                <w:lang w:val="en-US" w:eastAsia="zh-CN"/>
              </w:rPr>
            </w:pP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lang w:eastAsia="zh-CN"/>
              </w:rPr>
              <w:t>根据</w:t>
            </w:r>
            <w:r>
              <w:rPr>
                <w:rFonts w:hint="eastAsia" w:ascii="Calibri" w:hAnsi="Calibri" w:eastAsia="宋体" w:cs="Times New Roman"/>
                <w:color w:val="auto"/>
                <w:sz w:val="22"/>
                <w:highlight w:val="none"/>
                <w:lang w:val="zh-CN"/>
              </w:rPr>
              <w:t>供应商单位</w:t>
            </w:r>
            <w:r>
              <w:rPr>
                <w:rFonts w:hint="eastAsia" w:ascii="Calibri" w:hAnsi="Calibri" w:eastAsia="宋体" w:cs="Times New Roman"/>
                <w:color w:val="auto"/>
                <w:sz w:val="22"/>
                <w:highlight w:val="none"/>
                <w:lang w:val="zh-CN" w:eastAsia="zh-CN"/>
              </w:rPr>
              <w:t>提供自主的</w:t>
            </w:r>
            <w:r>
              <w:rPr>
                <w:rFonts w:hint="eastAsia" w:ascii="Calibri" w:hAnsi="Calibri" w:eastAsia="宋体" w:cs="Times New Roman"/>
                <w:color w:val="auto"/>
                <w:sz w:val="22"/>
                <w:highlight w:val="none"/>
                <w:lang w:val="zh-CN"/>
              </w:rPr>
              <w:t>采购系统，有食品安全追溯系统，信息化手段先进进行打分</w:t>
            </w:r>
            <w:r>
              <w:rPr>
                <w:rFonts w:hint="eastAsia" w:ascii="Calibri" w:hAnsi="Calibri" w:eastAsia="宋体" w:cs="Times New Roman"/>
                <w:color w:val="auto"/>
                <w:sz w:val="22"/>
                <w:highlight w:val="none"/>
                <w:lang w:val="en-US" w:eastAsia="zh-CN"/>
              </w:rPr>
              <w:t>。</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0-4</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 w:type="pct"/>
            <w:vMerge w:val="continue"/>
            <w:vAlign w:val="center"/>
          </w:tcPr>
          <w:p>
            <w:pPr>
              <w:jc w:val="both"/>
              <w:rPr>
                <w:rFonts w:hint="eastAsia" w:ascii="宋体" w:hAnsi="宋体" w:eastAsia="宋体" w:cs="宋体"/>
                <w:color w:val="auto"/>
                <w:sz w:val="24"/>
                <w:szCs w:val="24"/>
                <w:highlight w:val="none"/>
                <w:lang w:val="en-US" w:eastAsia="zh-CN"/>
              </w:rPr>
            </w:pP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en-US" w:bidi="ar-SA"/>
              </w:rPr>
            </w:pPr>
            <w:r>
              <w:rPr>
                <w:rFonts w:hint="eastAsia" w:ascii="Calibri" w:hAnsi="Calibri" w:eastAsia="宋体" w:cs="Times New Roman"/>
                <w:color w:val="auto"/>
                <w:sz w:val="22"/>
                <w:highlight w:val="none"/>
                <w:lang w:eastAsia="zh-CN"/>
              </w:rPr>
              <w:t>根据</w:t>
            </w:r>
            <w:r>
              <w:rPr>
                <w:rFonts w:hint="eastAsia" w:ascii="Calibri" w:hAnsi="Calibri" w:eastAsia="宋体" w:cs="Times New Roman"/>
                <w:color w:val="auto"/>
                <w:sz w:val="22"/>
                <w:highlight w:val="none"/>
                <w:lang w:val="zh-CN"/>
              </w:rPr>
              <w:t>供应商提供的单独的留样室及留样冰箱等专用留样设备，能满足48小时的留样服务需求，留样记录齐全，酌情打分。</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0-3</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 w:type="pct"/>
            <w:vMerge w:val="continue"/>
            <w:vAlign w:val="center"/>
          </w:tcPr>
          <w:p>
            <w:pPr>
              <w:jc w:val="both"/>
              <w:rPr>
                <w:rFonts w:hint="eastAsia" w:ascii="宋体" w:hAnsi="宋体" w:eastAsia="宋体" w:cs="宋体"/>
                <w:color w:val="auto"/>
                <w:sz w:val="24"/>
                <w:szCs w:val="24"/>
                <w:highlight w:val="none"/>
                <w:lang w:val="en-US" w:eastAsia="zh-CN"/>
              </w:rPr>
            </w:pP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en-US" w:bidi="ar-SA"/>
              </w:rPr>
            </w:pPr>
            <w:r>
              <w:rPr>
                <w:rFonts w:hint="eastAsia" w:ascii="Calibri" w:hAnsi="Calibri" w:eastAsia="宋体" w:cs="Times New Roman"/>
                <w:color w:val="auto"/>
                <w:sz w:val="22"/>
                <w:highlight w:val="none"/>
                <w:lang w:eastAsia="zh-CN"/>
              </w:rPr>
              <w:t>根据</w:t>
            </w:r>
            <w:r>
              <w:rPr>
                <w:rFonts w:hint="eastAsia" w:ascii="Calibri" w:hAnsi="Calibri" w:eastAsia="宋体" w:cs="Times New Roman"/>
                <w:color w:val="auto"/>
                <w:sz w:val="22"/>
                <w:highlight w:val="none"/>
                <w:lang w:val="zh-CN"/>
              </w:rPr>
              <w:t>供应商提供的独立的检测室及配套设施，能开展多种项目检测，检测操作规程及检测记录齐全情况进行打分。</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0-3</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3" w:type="pct"/>
            <w:vMerge w:val="continue"/>
            <w:vAlign w:val="center"/>
          </w:tcPr>
          <w:p>
            <w:pPr>
              <w:jc w:val="both"/>
              <w:rPr>
                <w:rFonts w:hint="eastAsia" w:ascii="宋体" w:hAnsi="宋体" w:eastAsia="宋体" w:cs="宋体"/>
                <w:color w:val="auto"/>
                <w:sz w:val="24"/>
                <w:szCs w:val="24"/>
                <w:highlight w:val="none"/>
                <w:lang w:val="en-US" w:eastAsia="zh-CN"/>
              </w:rPr>
            </w:pP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lang w:eastAsia="zh-CN"/>
              </w:rPr>
              <w:t>根据</w:t>
            </w:r>
            <w:r>
              <w:rPr>
                <w:rFonts w:hint="eastAsia" w:ascii="Calibri" w:hAnsi="Calibri" w:eastAsia="宋体" w:cs="Times New Roman"/>
                <w:color w:val="auto"/>
                <w:sz w:val="22"/>
                <w:highlight w:val="none"/>
                <w:lang w:val="zh-CN"/>
              </w:rPr>
              <w:t>供应商提供的专业检测设备设施配置齐全情况进行打分。</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0-3</w:t>
            </w:r>
          </w:p>
        </w:tc>
        <w:tc>
          <w:tcPr>
            <w:tcW w:w="859" w:type="pct"/>
            <w:vMerge w:val="continue"/>
            <w:vAlign w:val="center"/>
          </w:tcPr>
          <w:p>
            <w:pPr>
              <w:spacing w:line="240" w:lineRule="auto"/>
              <w:jc w:val="center"/>
              <w:outlineLvl w:val="0"/>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3" w:type="pct"/>
            <w:vAlign w:val="center"/>
          </w:tcPr>
          <w:p>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sz w:val="22"/>
                <w:highlight w:val="none"/>
                <w:lang w:eastAsia="zh-CN"/>
              </w:rPr>
            </w:pPr>
            <w:r>
              <w:rPr>
                <w:rFonts w:hint="eastAsia" w:ascii="Calibri" w:hAnsi="Calibri" w:eastAsia="宋体" w:cs="Times New Roman"/>
                <w:color w:val="auto"/>
                <w:sz w:val="22"/>
                <w:highlight w:val="none"/>
                <w:lang w:eastAsia="zh-CN"/>
              </w:rPr>
              <w:t>根据拟投入本项目的人员配置（通过人员及团队的综合实力，经验丰富程度等方面）打分。</w:t>
            </w:r>
          </w:p>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lang w:eastAsia="zh-CN"/>
              </w:rPr>
              <w:t>须提供拟派人员劳动合同、社保证明、健康证。</w:t>
            </w:r>
          </w:p>
        </w:tc>
        <w:tc>
          <w:tcPr>
            <w:tcW w:w="432" w:type="pct"/>
            <w:vAlign w:val="center"/>
          </w:tcPr>
          <w:p>
            <w:pPr>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0-5</w:t>
            </w:r>
          </w:p>
        </w:tc>
        <w:tc>
          <w:tcPr>
            <w:tcW w:w="859" w:type="pct"/>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43" w:type="pct"/>
            <w:vAlign w:val="center"/>
          </w:tcPr>
          <w:p>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lang w:eastAsia="zh-CN"/>
              </w:rPr>
              <w:t>关于临时突发性特殊采购、急件采购等应急实施方案及相应解决措施的科学性、合理性。</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0-5</w:t>
            </w:r>
          </w:p>
        </w:tc>
        <w:tc>
          <w:tcPr>
            <w:tcW w:w="859"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应急实施方案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43" w:type="pct"/>
            <w:vMerge w:val="restart"/>
            <w:vAlign w:val="center"/>
          </w:tcPr>
          <w:p>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rPr>
              <w:t>根据</w:t>
            </w:r>
            <w:r>
              <w:rPr>
                <w:rFonts w:hint="eastAsia" w:ascii="Calibri" w:hAnsi="Calibri" w:eastAsia="宋体" w:cs="Times New Roman"/>
                <w:color w:val="auto"/>
                <w:sz w:val="22"/>
                <w:highlight w:val="none"/>
                <w:lang w:val="zh-CN"/>
              </w:rPr>
              <w:t>供应商</w:t>
            </w:r>
            <w:r>
              <w:rPr>
                <w:rFonts w:hint="eastAsia" w:ascii="Calibri" w:hAnsi="Calibri" w:eastAsia="宋体" w:cs="Times New Roman"/>
                <w:color w:val="auto"/>
                <w:sz w:val="22"/>
                <w:highlight w:val="none"/>
              </w:rPr>
              <w:t>提供的服务质量保证措施进行打分</w:t>
            </w:r>
            <w:r>
              <w:rPr>
                <w:rFonts w:hint="eastAsia" w:ascii="Calibri" w:hAnsi="Calibri" w:eastAsia="宋体" w:cs="Times New Roman"/>
                <w:color w:val="auto"/>
                <w:sz w:val="22"/>
                <w:highlight w:val="none"/>
                <w:lang w:eastAsia="zh-CN"/>
              </w:rPr>
              <w:t>。</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0-5</w:t>
            </w:r>
          </w:p>
        </w:tc>
        <w:tc>
          <w:tcPr>
            <w:tcW w:w="859" w:type="pct"/>
            <w:vMerge w:val="restart"/>
            <w:vAlign w:val="center"/>
          </w:tcPr>
          <w:p>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43" w:type="pct"/>
            <w:vMerge w:val="continue"/>
            <w:vAlign w:val="center"/>
          </w:tcPr>
          <w:p>
            <w:pPr>
              <w:spacing w:line="360" w:lineRule="auto"/>
              <w:outlineLvl w:val="0"/>
              <w:rPr>
                <w:rFonts w:hint="eastAsia" w:ascii="宋体" w:hAnsi="宋体" w:eastAsia="宋体" w:cs="宋体"/>
                <w:color w:val="auto"/>
                <w:sz w:val="24"/>
                <w:szCs w:val="24"/>
                <w:highlight w:val="none"/>
                <w:lang w:val="en-US" w:eastAsia="zh-CN"/>
              </w:rPr>
            </w:pPr>
          </w:p>
        </w:tc>
        <w:tc>
          <w:tcPr>
            <w:tcW w:w="3464" w:type="pct"/>
            <w:vAlign w:val="center"/>
          </w:tcPr>
          <w:p>
            <w:pPr>
              <w:keepNext w:val="0"/>
              <w:keepLines w:val="0"/>
              <w:pageBreakBefore w:val="0"/>
              <w:widowControl w:val="0"/>
              <w:kinsoku/>
              <w:wordWrap/>
              <w:overflowPunct/>
              <w:topLinePunct w:val="0"/>
              <w:bidi w:val="0"/>
              <w:spacing w:line="400" w:lineRule="exact"/>
              <w:jc w:val="left"/>
              <w:textAlignment w:val="auto"/>
              <w:rPr>
                <w:rFonts w:hint="eastAsia" w:ascii="Calibri" w:hAnsi="Calibri" w:eastAsia="宋体" w:cs="Times New Roman"/>
                <w:color w:val="auto"/>
                <w:kern w:val="2"/>
                <w:sz w:val="22"/>
                <w:szCs w:val="24"/>
                <w:highlight w:val="none"/>
                <w:lang w:val="en-US" w:eastAsia="zh-CN" w:bidi="ar-SA"/>
              </w:rPr>
            </w:pPr>
            <w:r>
              <w:rPr>
                <w:rFonts w:hint="eastAsia" w:ascii="Calibri" w:hAnsi="Calibri" w:eastAsia="宋体" w:cs="Times New Roman"/>
                <w:color w:val="auto"/>
                <w:sz w:val="22"/>
                <w:highlight w:val="none"/>
              </w:rPr>
              <w:t>根据</w:t>
            </w:r>
            <w:r>
              <w:rPr>
                <w:rFonts w:hint="eastAsia" w:ascii="Calibri" w:hAnsi="Calibri" w:eastAsia="宋体" w:cs="Times New Roman"/>
                <w:color w:val="auto"/>
                <w:sz w:val="22"/>
                <w:highlight w:val="none"/>
                <w:lang w:val="zh-CN"/>
              </w:rPr>
              <w:t>供应商</w:t>
            </w:r>
            <w:r>
              <w:rPr>
                <w:rFonts w:hint="eastAsia" w:ascii="Calibri" w:hAnsi="Calibri" w:eastAsia="宋体" w:cs="Times New Roman"/>
                <w:color w:val="auto"/>
                <w:sz w:val="22"/>
                <w:highlight w:val="none"/>
              </w:rPr>
              <w:t>提供的售后服务</w:t>
            </w:r>
            <w:r>
              <w:rPr>
                <w:rFonts w:hint="eastAsia" w:ascii="Calibri" w:hAnsi="Calibri" w:eastAsia="宋体" w:cs="Times New Roman"/>
                <w:color w:val="auto"/>
                <w:sz w:val="22"/>
                <w:highlight w:val="none"/>
                <w:lang w:eastAsia="zh-CN"/>
              </w:rPr>
              <w:t>、优惠条件</w:t>
            </w:r>
            <w:r>
              <w:rPr>
                <w:rFonts w:hint="eastAsia" w:ascii="Calibri" w:hAnsi="Calibri" w:eastAsia="宋体" w:cs="Times New Roman"/>
                <w:color w:val="auto"/>
                <w:sz w:val="22"/>
                <w:highlight w:val="none"/>
              </w:rPr>
              <w:t>及特色服务进行打分。</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0-5</w:t>
            </w:r>
          </w:p>
        </w:tc>
        <w:tc>
          <w:tcPr>
            <w:tcW w:w="859" w:type="pct"/>
            <w:vMerge w:val="continue"/>
            <w:vAlign w:val="center"/>
          </w:tcPr>
          <w:p>
            <w:pPr>
              <w:spacing w:line="360" w:lineRule="auto"/>
              <w:jc w:val="center"/>
              <w:outlineLvl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43" w:type="pct"/>
            <w:vAlign w:val="center"/>
          </w:tcPr>
          <w:p>
            <w:pPr>
              <w:spacing w:line="360" w:lineRule="auto"/>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3464" w:type="pct"/>
            <w:vAlign w:val="center"/>
          </w:tcPr>
          <w:p>
            <w:pPr>
              <w:keepNext w:val="0"/>
              <w:keepLines w:val="0"/>
              <w:pageBreakBefore w:val="0"/>
              <w:widowControl w:val="0"/>
              <w:kinsoku/>
              <w:wordWrap/>
              <w:overflowPunct/>
              <w:topLinePunct w:val="0"/>
              <w:bidi w:val="0"/>
              <w:spacing w:line="400" w:lineRule="exact"/>
              <w:ind w:firstLine="440" w:firstLineChars="200"/>
              <w:jc w:val="left"/>
              <w:textAlignment w:val="auto"/>
              <w:rPr>
                <w:rFonts w:hint="eastAsia" w:ascii="Calibri" w:hAnsi="Calibri" w:eastAsia="宋体" w:cs="Times New Roman"/>
                <w:color w:val="auto"/>
                <w:sz w:val="22"/>
                <w:highlight w:val="none"/>
              </w:rPr>
            </w:pPr>
            <w:r>
              <w:rPr>
                <w:rFonts w:hint="eastAsia" w:ascii="Calibri" w:hAnsi="Calibri" w:eastAsia="宋体" w:cs="Times New Roman"/>
                <w:color w:val="auto"/>
                <w:sz w:val="22"/>
                <w:highlight w:val="none"/>
              </w:rPr>
              <w:t>报价评分按照折扣率进行评审（政采云平台内填报折扣率），以有效的最低折扣率作为基准折扣率，其报价得分为满分。</w:t>
            </w:r>
          </w:p>
          <w:p>
            <w:pPr>
              <w:keepNext w:val="0"/>
              <w:keepLines w:val="0"/>
              <w:pageBreakBefore w:val="0"/>
              <w:widowControl w:val="0"/>
              <w:kinsoku/>
              <w:wordWrap/>
              <w:overflowPunct/>
              <w:topLinePunct w:val="0"/>
              <w:bidi w:val="0"/>
              <w:spacing w:line="400" w:lineRule="exact"/>
              <w:ind w:firstLine="440" w:firstLineChars="200"/>
              <w:jc w:val="left"/>
              <w:textAlignment w:val="auto"/>
              <w:rPr>
                <w:rFonts w:hint="eastAsia" w:ascii="Calibri" w:hAnsi="Calibri" w:eastAsia="宋体" w:cs="Times New Roman"/>
                <w:color w:val="auto"/>
                <w:sz w:val="22"/>
                <w:highlight w:val="none"/>
              </w:rPr>
            </w:pPr>
            <w:r>
              <w:rPr>
                <w:rFonts w:hint="eastAsia" w:ascii="Calibri" w:hAnsi="Calibri" w:eastAsia="宋体" w:cs="Times New Roman"/>
                <w:color w:val="auto"/>
                <w:sz w:val="22"/>
                <w:highlight w:val="none"/>
              </w:rPr>
              <w:t>每项价格权值分别为粮油类为5分；蔬菜类为8分；冷冻品类为6分；调味品类为4分；其他类(包括水产类、禽肉类、干货类、豆制品类、禽蛋类、鲜猪肉类等) 为7分。合计为30分。</w:t>
            </w:r>
          </w:p>
          <w:p>
            <w:pPr>
              <w:keepNext w:val="0"/>
              <w:keepLines w:val="0"/>
              <w:pageBreakBefore w:val="0"/>
              <w:widowControl w:val="0"/>
              <w:kinsoku/>
              <w:wordWrap/>
              <w:overflowPunct/>
              <w:topLinePunct w:val="0"/>
              <w:bidi w:val="0"/>
              <w:spacing w:line="400" w:lineRule="exact"/>
              <w:ind w:firstLine="440" w:firstLineChars="200"/>
              <w:jc w:val="left"/>
              <w:textAlignment w:val="auto"/>
              <w:rPr>
                <w:rFonts w:hint="eastAsia" w:ascii="Calibri" w:hAnsi="Calibri" w:eastAsia="宋体" w:cs="Times New Roman"/>
                <w:color w:val="auto"/>
                <w:sz w:val="22"/>
                <w:highlight w:val="none"/>
              </w:rPr>
            </w:pPr>
            <w:r>
              <w:rPr>
                <w:rFonts w:hint="eastAsia" w:ascii="Calibri" w:hAnsi="Calibri" w:eastAsia="宋体" w:cs="Times New Roman"/>
                <w:color w:val="auto"/>
                <w:sz w:val="22"/>
                <w:highlight w:val="none"/>
              </w:rPr>
              <w:t>报价评分：各投标人的投标报价分统一按照[报价得分=基准折扣率/投标折扣率*价格权值%*100]的计算公式计算。分值保留到小数点后第二位，第三位四舍五入。</w:t>
            </w:r>
          </w:p>
          <w:p>
            <w:pPr>
              <w:keepNext w:val="0"/>
              <w:keepLines w:val="0"/>
              <w:pageBreakBefore w:val="0"/>
              <w:widowControl w:val="0"/>
              <w:kinsoku/>
              <w:wordWrap/>
              <w:overflowPunct/>
              <w:topLinePunct w:val="0"/>
              <w:bidi w:val="0"/>
              <w:spacing w:line="400" w:lineRule="exact"/>
              <w:ind w:firstLine="440" w:firstLineChars="200"/>
              <w:jc w:val="left"/>
              <w:textAlignment w:val="auto"/>
              <w:rPr>
                <w:rFonts w:hint="eastAsia" w:ascii="Calibri" w:hAnsi="Calibri" w:eastAsia="宋体" w:cs="Times New Roman"/>
                <w:color w:val="auto"/>
                <w:sz w:val="22"/>
                <w:highlight w:val="none"/>
              </w:rPr>
            </w:pPr>
            <w:r>
              <w:rPr>
                <w:rFonts w:hint="eastAsia" w:ascii="Calibri" w:hAnsi="Calibri" w:eastAsia="宋体" w:cs="Times New Roman"/>
                <w:color w:val="auto"/>
                <w:sz w:val="22"/>
                <w:highlight w:val="none"/>
              </w:rPr>
              <w:t>因落实政府采购政策需要进行价格调整的，以调整后的价格计算评标基准价和投标报价。</w:t>
            </w:r>
          </w:p>
        </w:tc>
        <w:tc>
          <w:tcPr>
            <w:tcW w:w="432" w:type="pct"/>
            <w:vAlign w:val="center"/>
          </w:tcPr>
          <w:p>
            <w:pPr>
              <w:pStyle w:val="23"/>
              <w:keepNext w:val="0"/>
              <w:keepLines w:val="0"/>
              <w:pageBreakBefore w:val="0"/>
              <w:widowControl w:val="0"/>
              <w:kinsoku/>
              <w:wordWrap/>
              <w:overflowPunct/>
              <w:topLinePunct w:val="0"/>
              <w:bidi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0-30</w:t>
            </w:r>
          </w:p>
        </w:tc>
        <w:tc>
          <w:tcPr>
            <w:tcW w:w="859" w:type="pct"/>
            <w:vAlign w:val="center"/>
          </w:tcPr>
          <w:p>
            <w:pP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bl>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w:t>
      </w: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一、评标方法</w:t>
      </w:r>
    </w:p>
    <w:p>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二、评标标准</w:t>
      </w:r>
    </w:p>
    <w:p>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评标标准：</w:t>
      </w:r>
      <w:r>
        <w:rPr>
          <w:rFonts w:hint="eastAsia" w:ascii="宋体" w:hAnsi="宋体" w:eastAsia="宋体" w:cs="宋体"/>
          <w:color w:val="auto"/>
          <w:kern w:val="0"/>
          <w:sz w:val="24"/>
          <w:szCs w:val="24"/>
          <w:highlight w:val="none"/>
        </w:rPr>
        <w:t>见评标办法前附表。</w:t>
      </w:r>
    </w:p>
    <w:p>
      <w:pPr>
        <w:spacing w:line="360" w:lineRule="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三、评标程序</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3.2 比较与评价。</w:t>
      </w:r>
      <w:r>
        <w:rPr>
          <w:rFonts w:hint="eastAsia" w:ascii="宋体" w:hAnsi="宋体" w:eastAsia="宋体" w:cs="宋体"/>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3.3汇总商务技术得分。</w:t>
      </w:r>
      <w:r>
        <w:rPr>
          <w:rFonts w:hint="eastAsia" w:ascii="宋体" w:hAnsi="宋体" w:eastAsia="宋体" w:cs="宋体"/>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3.4报价评审。</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3.4.1投标文件报价出现前后不一致的，按照下列规定修正：</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3.4.1.1投标文件中开标一览表(报价表)内容与投标文件中相应内容不一致的，以开标一览表(报价表)为准;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3.4.1.2大写金额和小写金额不一致的，以大写金额为准;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3.4.1.3单价金额小数点或者百分比有明显错位的，以开标一览表的总价为准，并修改单价;</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3.4.1.4总价金额与按单价汇总金额不一致的，以单价金额计算结果为准。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3.4.2投标文件出现不是唯一的、有选择性投标报价的，投标无效。</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3.4.3投标报价超过招标文件中规定的预算金额或者</w:t>
      </w:r>
      <w:r>
        <w:rPr>
          <w:rFonts w:hint="eastAsia" w:ascii="宋体" w:hAnsi="宋体" w:cs="宋体"/>
          <w:color w:val="auto"/>
          <w:kern w:val="0"/>
          <w:sz w:val="24"/>
          <w:szCs w:val="24"/>
          <w:highlight w:val="none"/>
          <w:lang w:eastAsia="zh-CN"/>
        </w:rPr>
        <w:t>不满足投标</w:t>
      </w:r>
      <w:r>
        <w:rPr>
          <w:rFonts w:hint="eastAsia" w:ascii="宋体" w:hAnsi="宋体" w:eastAsia="宋体" w:cs="宋体"/>
          <w:color w:val="auto"/>
          <w:kern w:val="0"/>
          <w:sz w:val="24"/>
          <w:szCs w:val="24"/>
          <w:highlight w:val="none"/>
        </w:rPr>
        <w:t>限价的，投标无效。</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3.5排序与推荐。</w:t>
      </w:r>
      <w:r>
        <w:rPr>
          <w:rFonts w:hint="eastAsia" w:ascii="宋体" w:hAnsi="宋体" w:eastAsia="宋体" w:cs="宋体"/>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3.6编写评标报告。</w:t>
      </w:r>
      <w:r>
        <w:rPr>
          <w:rFonts w:hint="eastAsia" w:ascii="宋体" w:hAnsi="宋体" w:eastAsia="宋体" w:cs="宋体"/>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四、评标中的其他事项</w:t>
      </w:r>
    </w:p>
    <w:p>
      <w:pPr>
        <w:pStyle w:val="128"/>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4.1投标人澄清、说明或者补正。</w:t>
      </w:r>
      <w:r>
        <w:rPr>
          <w:rFonts w:hint="eastAsia" w:ascii="宋体" w:hAnsi="宋体" w:eastAsia="宋体" w:cs="宋体"/>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4.2投标无效。</w:t>
      </w:r>
      <w:r>
        <w:rPr>
          <w:rFonts w:hint="eastAsia" w:ascii="宋体" w:hAnsi="宋体" w:eastAsia="宋体" w:cs="宋体"/>
          <w:color w:val="auto"/>
          <w:sz w:val="24"/>
          <w:szCs w:val="24"/>
          <w:highlight w:val="none"/>
        </w:rPr>
        <w:t>有下列情况之一的，投标无效：</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4.2.7投标报价超过招标文件中规定的预算金额或者</w:t>
      </w:r>
      <w:r>
        <w:rPr>
          <w:rFonts w:hint="eastAsia" w:ascii="宋体" w:hAnsi="宋体" w:cs="宋体"/>
          <w:color w:val="auto"/>
          <w:kern w:val="0"/>
          <w:sz w:val="24"/>
          <w:szCs w:val="24"/>
          <w:highlight w:val="none"/>
          <w:lang w:eastAsia="zh-CN"/>
        </w:rPr>
        <w:t>不满足投标</w:t>
      </w:r>
      <w:r>
        <w:rPr>
          <w:rFonts w:hint="eastAsia" w:ascii="宋体" w:hAnsi="宋体" w:eastAsia="宋体" w:cs="宋体"/>
          <w:color w:val="auto"/>
          <w:kern w:val="0"/>
          <w:sz w:val="24"/>
          <w:szCs w:val="24"/>
          <w:highlight w:val="none"/>
        </w:rPr>
        <w:t>限价</w:t>
      </w:r>
      <w:r>
        <w:rPr>
          <w:rFonts w:hint="eastAsia" w:ascii="宋体" w:hAnsi="宋体" w:cs="宋体"/>
          <w:color w:val="auto"/>
          <w:kern w:val="0"/>
          <w:sz w:val="24"/>
          <w:szCs w:val="24"/>
          <w:highlight w:val="none"/>
          <w:lang w:eastAsia="zh-CN"/>
        </w:rPr>
        <w:t>要求</w:t>
      </w:r>
      <w:r>
        <w:rPr>
          <w:rFonts w:hint="eastAsia" w:ascii="宋体" w:hAnsi="宋体" w:eastAsia="宋体" w:cs="宋体"/>
          <w:color w:val="auto"/>
          <w:kern w:val="0"/>
          <w:sz w:val="24"/>
          <w:szCs w:val="24"/>
          <w:highlight w:val="none"/>
        </w:rPr>
        <w:t>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4.2.12投标人仅提交备份投标文件，没有在电子交易平台传输递交投标文件的，投标无效；</w:t>
      </w:r>
    </w:p>
    <w:p>
      <w:pPr>
        <w:pStyle w:val="5"/>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4.2.14法律、法规、规章（适用本市的）及省级以上规范性文件（适用本市的）规定的其他无效情形。</w:t>
      </w:r>
    </w:p>
    <w:p>
      <w:pPr>
        <w:pStyle w:val="25"/>
        <w:snapToGrid w:val="0"/>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5.废标。</w:t>
      </w:r>
      <w:r>
        <w:rPr>
          <w:rFonts w:hint="eastAsia" w:ascii="宋体" w:hAnsi="宋体" w:eastAsia="宋体" w:cs="宋体"/>
          <w:color w:val="auto"/>
          <w:sz w:val="24"/>
          <w:szCs w:val="24"/>
          <w:highlight w:val="none"/>
        </w:rPr>
        <w:t>根据《中华人民共和国政府采购法》第三十六条之规定，在采购中，出现下列情形之一的，应予废标：</w:t>
      </w:r>
    </w:p>
    <w:p>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5.1符合专业条件的供应商或者对招标文件作实质响应的供应商不足3家的；</w:t>
      </w:r>
    </w:p>
    <w:p>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5.3投标人的报价均超过了采购预算，采购人不能支付的；</w:t>
      </w:r>
    </w:p>
    <w:p>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5.4因重大变故，采购任务取消的。</w:t>
      </w:r>
    </w:p>
    <w:p>
      <w:pPr>
        <w:pStyle w:val="25"/>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废标后，采购机构应当将废标理由通知所有投标人。</w:t>
      </w:r>
    </w:p>
    <w:p>
      <w:pPr>
        <w:pStyle w:val="25"/>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6.修改招标文件，重新组织采购活动。</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590" w:firstLineChars="245"/>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7.重新开展采购。</w:t>
      </w:r>
      <w:r>
        <w:rPr>
          <w:rFonts w:hint="eastAsia" w:ascii="宋体" w:hAnsi="宋体" w:eastAsia="宋体" w:cs="宋体"/>
          <w:color w:val="auto"/>
          <w:sz w:val="24"/>
          <w:szCs w:val="24"/>
          <w:highlight w:val="none"/>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7.1未确定中标或者中标人的，终止本次政府采购活动，重新开展政府采购活动。</w:t>
      </w:r>
    </w:p>
    <w:p>
      <w:pPr>
        <w:pStyle w:val="25"/>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7.4政府采购合同已经履行，给采购人、供应商造成损失的，由责任人承担赔偿责任。</w:t>
      </w:r>
    </w:p>
    <w:p>
      <w:pPr>
        <w:pStyle w:val="25"/>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26"/>
      <w:bookmarkStart w:id="407" w:name="第五部分"/>
      <w:bookmarkStart w:id="408" w:name="_Toc86217003"/>
    </w:p>
    <w:p>
      <w:pPr>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br w:type="page"/>
      </w:r>
    </w:p>
    <w:p>
      <w:pPr>
        <w:spacing w:line="360" w:lineRule="auto"/>
        <w:ind w:left="720" w:leftChars="343" w:firstLine="1084" w:firstLineChars="300"/>
        <w:outlineLvl w:val="0"/>
        <w:rPr>
          <w:rFonts w:hint="eastAsia" w:ascii="宋体" w:hAnsi="宋体" w:eastAsia="宋体" w:cs="宋体"/>
          <w:b/>
          <w:color w:val="auto"/>
          <w:sz w:val="36"/>
          <w:szCs w:val="36"/>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jc w:val="center"/>
        <w:rPr>
          <w:rFonts w:hint="eastAsia" w:ascii="宋体" w:hAnsi="宋体" w:eastAsia="宋体" w:cs="宋体"/>
          <w:b/>
          <w:color w:val="auto"/>
          <w:sz w:val="28"/>
          <w:szCs w:val="28"/>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采购单位（甲方）：</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供应商（乙方）：</w:t>
      </w:r>
      <w:r>
        <w:rPr>
          <w:rFonts w:hint="eastAsia" w:ascii="宋体" w:hAnsi="宋体" w:eastAsia="宋体" w:cs="宋体"/>
          <w:color w:val="auto"/>
          <w:kern w:val="0"/>
          <w:sz w:val="24"/>
          <w:szCs w:val="24"/>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为进一步加快杭州市临安区中医院食堂物资配送服务项目工作，引导、规范食品供应企业的诚信经营，降低采购成本，确保食品质量安全，甲乙双方在平等自愿、协商一致的基础上，达成如下协议：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一、配送任务：乙方负责甲方指定食堂的食品原材料配送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rPr>
        <w:t>二、配送时间：</w:t>
      </w:r>
      <w:r>
        <w:rPr>
          <w:rFonts w:hint="eastAsia" w:ascii="宋体" w:hAnsi="宋体" w:eastAsia="宋体" w:cs="宋体"/>
          <w:color w:val="auto"/>
          <w:kern w:val="0"/>
          <w:sz w:val="24"/>
          <w:szCs w:val="24"/>
          <w:highlight w:val="none"/>
          <w:lang w:eastAsia="zh-CN"/>
        </w:rPr>
        <w:t>合同签订之日起</w:t>
      </w:r>
      <w:r>
        <w:rPr>
          <w:rFonts w:hint="eastAsia" w:ascii="宋体" w:hAnsi="宋体" w:eastAsia="宋体" w:cs="宋体"/>
          <w:color w:val="auto"/>
          <w:kern w:val="0"/>
          <w:sz w:val="24"/>
          <w:szCs w:val="24"/>
          <w:highlight w:val="none"/>
          <w:lang w:val="en-US" w:eastAsia="zh-CN"/>
        </w:rPr>
        <w:t>1年。</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三、配送种类：</w:t>
      </w:r>
      <w:r>
        <w:rPr>
          <w:rFonts w:hint="eastAsia" w:ascii="宋体" w:hAnsi="宋体" w:cs="宋体"/>
          <w:color w:val="auto"/>
          <w:sz w:val="24"/>
          <w:highlight w:val="none"/>
        </w:rPr>
        <w:t>粮油类、新鲜蔬菜（含净菜）、冷冻</w:t>
      </w:r>
      <w:r>
        <w:rPr>
          <w:rFonts w:hint="eastAsia" w:ascii="宋体" w:hAnsi="宋体" w:cs="宋体"/>
          <w:color w:val="auto"/>
          <w:sz w:val="24"/>
          <w:highlight w:val="none"/>
          <w:lang w:val="en-US" w:eastAsia="zh-CN"/>
        </w:rPr>
        <w:t>食</w:t>
      </w:r>
      <w:r>
        <w:rPr>
          <w:rFonts w:hint="eastAsia" w:ascii="宋体" w:hAnsi="宋体" w:cs="宋体"/>
          <w:color w:val="auto"/>
          <w:sz w:val="24"/>
          <w:highlight w:val="none"/>
        </w:rPr>
        <w:t>品、调味品、其他类（</w:t>
      </w:r>
      <w:r>
        <w:rPr>
          <w:rFonts w:hint="eastAsia" w:ascii="宋体" w:hAnsi="宋体" w:cs="宋体"/>
          <w:color w:val="auto"/>
          <w:sz w:val="24"/>
          <w:highlight w:val="none"/>
          <w:lang w:val="en-US" w:eastAsia="zh-CN"/>
        </w:rPr>
        <w:t>新鲜</w:t>
      </w:r>
      <w:r>
        <w:rPr>
          <w:rFonts w:hint="eastAsia" w:ascii="宋体" w:hAnsi="宋体" w:cs="宋体"/>
          <w:color w:val="auto"/>
          <w:sz w:val="24"/>
          <w:highlight w:val="none"/>
        </w:rPr>
        <w:t>水产、</w:t>
      </w:r>
      <w:r>
        <w:rPr>
          <w:rFonts w:hint="eastAsia" w:ascii="宋体" w:hAnsi="宋体" w:cs="宋体"/>
          <w:color w:val="auto"/>
          <w:sz w:val="24"/>
          <w:highlight w:val="none"/>
          <w:lang w:val="en-US" w:eastAsia="zh-CN"/>
        </w:rPr>
        <w:t>新鲜</w:t>
      </w:r>
      <w:r>
        <w:rPr>
          <w:rFonts w:hint="eastAsia" w:ascii="宋体" w:hAnsi="宋体" w:cs="宋体"/>
          <w:color w:val="auto"/>
          <w:sz w:val="24"/>
          <w:highlight w:val="none"/>
        </w:rPr>
        <w:t>畜禽肉及副产品、干货、豆制品、</w:t>
      </w:r>
      <w:r>
        <w:rPr>
          <w:rFonts w:hint="eastAsia" w:ascii="宋体" w:hAnsi="宋体" w:cs="宋体"/>
          <w:color w:val="auto"/>
          <w:sz w:val="24"/>
          <w:highlight w:val="none"/>
          <w:lang w:val="en-US" w:eastAsia="zh-CN"/>
        </w:rPr>
        <w:t>新鲜</w:t>
      </w:r>
      <w:r>
        <w:rPr>
          <w:rFonts w:hint="eastAsia" w:ascii="宋体" w:hAnsi="宋体" w:cs="宋体"/>
          <w:color w:val="auto"/>
          <w:sz w:val="24"/>
          <w:highlight w:val="none"/>
        </w:rPr>
        <w:t>禽蛋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新鲜</w:t>
      </w:r>
      <w:r>
        <w:rPr>
          <w:rFonts w:hint="eastAsia" w:ascii="宋体" w:hAnsi="宋体" w:cs="宋体"/>
          <w:color w:val="auto"/>
          <w:sz w:val="24"/>
          <w:highlight w:val="none"/>
        </w:rPr>
        <w:t>水果、点心饮品等）共五大类主副食品原材料的供货、粗加工（如需）及配送服务</w:t>
      </w:r>
      <w:r>
        <w:rPr>
          <w:rFonts w:hint="eastAsia" w:ascii="宋体" w:hAnsi="宋体" w:eastAsia="宋体" w:cs="宋体"/>
          <w:color w:val="auto"/>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四、定价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．根据招标确定的定价方式，由定价小组集体确定配送食品原材料的价格。</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．配送价格应包含乙方所有税费、成本、利润、运输、装卸、各类劳保、保险等一切费用。</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中标后配送的原材料同一品种按（1-下浮率）×零售单价结算。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五、下订单订货</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．甲方每周三下午填报下周采购计划，将采购计划通知乙方，订单内容包括名称、种类、规格、数量、运送时间、送达地点、订单联系人等具体要求。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．乙方接到甲方订单后，及时确认，原则上供货率应达到</w:t>
      </w:r>
      <w:r>
        <w:rPr>
          <w:rFonts w:hint="eastAsia" w:ascii="宋体" w:hAnsi="宋体" w:eastAsia="宋体" w:cs="宋体"/>
          <w:color w:val="auto"/>
          <w:kern w:val="0"/>
          <w:sz w:val="24"/>
          <w:szCs w:val="24"/>
          <w:highlight w:val="none"/>
        </w:rPr>
        <w:t>100%</w:t>
      </w:r>
      <w:r>
        <w:rPr>
          <w:rFonts w:hint="eastAsia" w:ascii="宋体" w:hAnsi="宋体" w:eastAsia="宋体" w:cs="宋体"/>
          <w:color w:val="auto"/>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六、交货</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．乙方每天</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zh-CN"/>
        </w:rPr>
        <w:t>（约定时间）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lang w:val="zh-CN"/>
        </w:rPr>
        <w:t>将订单内所有食品送到甲方指定的地点并配送完毕，乙方提供《送货清单》一式两份，作结算凭证。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．所有品种分类过磅，最终交易重量以双方确认的过磅数为准。考虑到叶菜类品种的特殊性，要求乙方实际供应除叶菜类外的品种及数量与甲方订单要求相差不能超过</w:t>
      </w: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val="zh-CN"/>
        </w:rPr>
        <w:t>％。各品种数量超出规定的部分由乙方带回，不纳入结算，短缺的部份由乙方补足。</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七、验收标准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净菜率：乙方提供的所有货品必须是经过粗加工挑选的货品，可食用合格率必须达到</w:t>
      </w:r>
      <w:r>
        <w:rPr>
          <w:rFonts w:hint="eastAsia" w:ascii="宋体" w:hAnsi="宋体" w:eastAsia="宋体" w:cs="宋体"/>
          <w:color w:val="auto"/>
          <w:kern w:val="0"/>
          <w:sz w:val="24"/>
          <w:szCs w:val="24"/>
          <w:highlight w:val="none"/>
        </w:rPr>
        <w:t>97</w:t>
      </w:r>
      <w:r>
        <w:rPr>
          <w:rFonts w:hint="eastAsia" w:ascii="宋体" w:hAnsi="宋体" w:eastAsia="宋体" w:cs="宋体"/>
          <w:color w:val="auto"/>
          <w:kern w:val="0"/>
          <w:sz w:val="24"/>
          <w:szCs w:val="24"/>
          <w:highlight w:val="none"/>
          <w:lang w:val="zh-CN"/>
        </w:rPr>
        <w:t>％以上。</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．严格管理配送食品质量。蔬菜等专项类应采取自检、委检、抽检相结合的商品质量管理制度。所供商品须取得有效的检测报告和食品检验合格证</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，必须通过乙方的验收，做到无销售“三无商品”、有害有毒、过期、霉烂变质、假冒伪劣等不合格商品行为。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．乙方每天提供所供蔬菜的农药残留检测报告、猪肉检疫检验合格证（分销凭证）。</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八、履约保证金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w:t>
      </w:r>
      <w:r>
        <w:rPr>
          <w:rFonts w:hint="eastAsia" w:ascii="宋体" w:hAnsi="宋体" w:cs="宋体"/>
          <w:color w:val="auto"/>
          <w:sz w:val="24"/>
          <w:szCs w:val="24"/>
          <w:highlight w:val="none"/>
        </w:rPr>
        <w:t>合同签订后7个工作日内，</w:t>
      </w:r>
      <w:r>
        <w:rPr>
          <w:rFonts w:hint="eastAsia" w:ascii="宋体" w:hAnsi="宋体" w:eastAsia="宋体" w:cs="宋体"/>
          <w:color w:val="auto"/>
          <w:kern w:val="0"/>
          <w:sz w:val="24"/>
          <w:szCs w:val="24"/>
          <w:highlight w:val="none"/>
          <w:lang w:val="zh-CN"/>
        </w:rPr>
        <w:t>乙方向甲方交纳履约保证金</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zh-CN"/>
        </w:rPr>
        <w:t>万元整（</w:t>
      </w:r>
      <w:r>
        <w:rPr>
          <w:rFonts w:hint="eastAsia" w:ascii="宋体" w:hAnsi="宋体" w:cs="宋体"/>
          <w:color w:val="auto"/>
          <w:sz w:val="24"/>
          <w:szCs w:val="24"/>
          <w:highlight w:val="none"/>
        </w:rPr>
        <w:t>采用保函等形式</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．合同期满后供应商正常履约的，在</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个工作日内无息退还。</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九、付款方式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每月凭结算单和验收单结算一次（节假日顺延），乙方需提供与货款等额的正规发票。</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十、运输要求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．所用配送车辆符合相关法律法规规定。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．乙方负责运输、装卸全过程，费用由乙方承担。</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．在配送运输中要确保安全，凭食品配送专用车辆标志进入医院，在医院运输要遵循医院规定（确定时间和路线），确保安全前提下方可运输及装卸，如在配送中发生安全事故，中标方承担一切责任。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十一、处罚与终止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乙方有发生食品安全问题、医院交通安全问题及违反有关廉政规定的，一经查实，终止乙方当年合同、没收履约保证金、取消乙方今后投标资格，并追究有关法律责任。（具体按照有关承诺书来执行）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根据医院征订，未在当天规定时间配送到，扣除违约金人民币100元，然后由医院决定补送，还是取消该品种的当天配送；根据医院征订，单个或多个品种出现缺斤短两现象，扣除当天违约金人民币200元，若不影响当天用餐则按实际重量结算，否则及时补送；出现以次代好，更换品牌型号，扣除当天违约金人民币300元，然后由医院决定补送，还是取消该品种的当天配送。</w:t>
      </w:r>
    </w:p>
    <w:p>
      <w:pPr>
        <w:keepNext w:val="0"/>
        <w:keepLines w:val="0"/>
        <w:pageBreakBefore w:val="0"/>
        <w:widowControl w:val="0"/>
        <w:kinsoku/>
        <w:wordWrap/>
        <w:overflowPunct/>
        <w:topLinePunct w:val="0"/>
        <w:bidi w:val="0"/>
        <w:snapToGrid/>
        <w:spacing w:line="440" w:lineRule="exact"/>
        <w:ind w:firstLine="48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3．每次扣违约金由医院和配送商签字确定，每季度统一结算一次将违约扣款拨入医院账户。</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有医院人员投诉或主管部门抽查，发现乙方未按要求提供票证、相关检测凭证的，一经查实，乙方暂停供货并进行整改，第二次发现取消配送合同。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因乙方原因终止当期合同的，扣除相应的履约保证金。</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合同规定的供货服务期满，供货自然终止。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2"/>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zh-CN"/>
        </w:rPr>
        <w:t>十二、双方权利义务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w:t>
      </w:r>
      <w:r>
        <w:rPr>
          <w:rFonts w:hint="eastAsia" w:ascii="宋体" w:hAnsi="宋体" w:eastAsia="宋体" w:cs="宋体"/>
          <w:b/>
          <w:bCs/>
          <w:color w:val="auto"/>
          <w:kern w:val="0"/>
          <w:sz w:val="24"/>
          <w:szCs w:val="24"/>
          <w:highlight w:val="none"/>
          <w:lang w:val="zh-CN"/>
        </w:rPr>
        <w:t>甲方权利义务</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）甲方按合同要求凭乙方所在单位的财务统一发票，以支票（汇票或转账）的方式，按约定的财务结算周期内支付货款；</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）甲方在乙方商品供货过程中给予积极配合；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甲方要按照需求提前通知乙方配送量</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）甲方有权对配送物品进行索证，并对配送物品进行检测。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）甲方若发现乙方配送的物资存在问题，应第一时间查明原因，与乙方取得联系，及时处理。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val="zh-CN"/>
        </w:rPr>
        <w:t>乙方权利义务</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）乙方必须向甲方单位提交有效证件，合同期内发生资质证件材料更改等事项应及时通知并将变更材料送达甲方单位。按规定投保食品安全责任险。</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）乙方必须根据要求按时、按量、按质供货至学校要求送达的地方，所供商品须取得有效的检测报告和食品检验合格证</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，必须通过甲方的验收。</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zh-CN"/>
        </w:rPr>
        <w:t>）乙方具有独立承担民事责任的能力；具有良好的商业信誉和健全的财务会计制度；具有履行合同所必需的相关条件；有依法缴纳税收和社会保障资金的良好记录；在经营活动中没有重大违法记录；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zh-CN"/>
        </w:rPr>
        <w:t>）乙方要建立供货服务回访制度，定期征询甲方单位对食品供货的意见和建议；</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zh-CN"/>
        </w:rPr>
        <w:t>）乙方送货车辆及专职人员必须达到卫生部门的要求，进入甲方所在院区内，严格遵守院内各项规章制度，若有违规，责任自负；</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）乙方在商品配送的过程中遇到不可抗力因素时，必须在第一时间利用电话等方式通知甲方，并采取相应补救措施满足甲方所提出的合理要求；</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val="zh-CN"/>
        </w:rPr>
        <w:t>）乙方提供给甲方的产品，食品质量安全必须符合国家食品卫生等有关部门的标准，并提供有关证件和检测报告。如乙方提供的产品被甲方服务对象投诉属实，由乙方承担一切责任，并赔偿甲方的相应损失。如乙方被政府有关部门或媒体曝光违法经营行为，甲方有权取消本合同，甲方同时保留并追究乙方相应的责任；</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val="zh-CN"/>
        </w:rPr>
        <w:t>）甲方在使用乙方商品的过程中，若发生食品质量安全、卫生、服务等方面的问题，乙方必须在第一时间内赶赴现场与甲方有关人员分析原因，积极处理；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（9）乙方履行进货查验义务，建立索证索票台账。</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十三、争端的解决</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1．凡与本合同有关的一切争议，甲乙双方应首先通过友好协商解决，如经协商后仍不能达成协议时，任何一方可以向法院提起诉讼。</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2．本合同的诉讼法院为杭州市临安区人民法院。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3．在法院审理期间，除提交法院审理的事项外，合同其他部分仍应继续履行。</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十四、本协议执行期内，各方均不得随意变更或解除协议。协议有未尽事宜，须经各方共同协商做出补充规定。补充规定与本协议具有同等效力。</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十五、合同的生效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1．本合同一式六份，</w:t>
      </w:r>
      <w:r>
        <w:rPr>
          <w:rFonts w:ascii="宋体" w:hAnsi="宋体"/>
          <w:bCs/>
          <w:color w:val="auto"/>
          <w:sz w:val="24"/>
          <w:highlight w:val="none"/>
        </w:rPr>
        <w:t>甲方执</w:t>
      </w:r>
      <w:r>
        <w:rPr>
          <w:rFonts w:hint="eastAsia" w:ascii="宋体" w:hAnsi="宋体"/>
          <w:bCs/>
          <w:color w:val="auto"/>
          <w:sz w:val="24"/>
          <w:highlight w:val="none"/>
        </w:rPr>
        <w:t>三</w:t>
      </w:r>
      <w:r>
        <w:rPr>
          <w:rFonts w:ascii="宋体" w:hAnsi="宋体"/>
          <w:bCs/>
          <w:color w:val="auto"/>
          <w:sz w:val="24"/>
          <w:highlight w:val="none"/>
        </w:rPr>
        <w:t>份、乙方执</w:t>
      </w:r>
      <w:r>
        <w:rPr>
          <w:rFonts w:hint="eastAsia" w:ascii="宋体" w:hAnsi="宋体"/>
          <w:bCs/>
          <w:color w:val="auto"/>
          <w:sz w:val="24"/>
          <w:highlight w:val="none"/>
        </w:rPr>
        <w:t>三</w:t>
      </w:r>
      <w:r>
        <w:rPr>
          <w:rFonts w:ascii="宋体" w:hAnsi="宋体"/>
          <w:bCs/>
          <w:color w:val="auto"/>
          <w:sz w:val="24"/>
          <w:highlight w:val="none"/>
        </w:rPr>
        <w:t>份，</w:t>
      </w:r>
      <w:r>
        <w:rPr>
          <w:rFonts w:hint="eastAsia" w:ascii="宋体" w:hAnsi="宋体" w:eastAsia="宋体" w:cs="宋体"/>
          <w:color w:val="auto"/>
          <w:kern w:val="0"/>
          <w:sz w:val="24"/>
          <w:szCs w:val="24"/>
          <w:highlight w:val="none"/>
          <w:lang w:val="zh-CN"/>
        </w:rPr>
        <w:t>经甲乙双方法定代表人或其委托人签字并加盖双方公章后生效。</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75"/>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2．相关招标文件、投标文件、承诺书、补充协议等作为合同附件与本合同具有同等法律效力。如附件中的条款与本合同发生抵触时，以本合同为准。</w:t>
      </w: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b/>
          <w:snapToGrid w:val="0"/>
          <w:color w:val="auto"/>
          <w:kern w:val="0"/>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b/>
          <w:snapToGrid w:val="0"/>
          <w:color w:val="auto"/>
          <w:kern w:val="0"/>
          <w:sz w:val="24"/>
          <w:szCs w:val="24"/>
          <w:highlight w:val="none"/>
        </w:rPr>
        <w:t>注：本合同作为示范文本，具体以采购人与中标供应商所签定正式合同为准。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甲</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方</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乙</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方</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地</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址</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地</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址</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法定代表人</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法定代表人</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签订地点：</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签订地点：</w:t>
      </w:r>
      <w:r>
        <w:rPr>
          <w:rFonts w:hint="eastAsia" w:ascii="宋体" w:hAnsi="宋体" w:eastAsia="宋体" w:cs="宋体"/>
          <w:color w:val="auto"/>
          <w:kern w:val="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textAlignment w:val="auto"/>
        <w:rPr>
          <w:rFonts w:hint="eastAsia" w:ascii="宋体" w:hAnsi="宋体" w:eastAsia="宋体" w:cs="宋体"/>
          <w:color w:val="auto"/>
          <w:kern w:val="0"/>
          <w:sz w:val="24"/>
          <w:szCs w:val="24"/>
          <w:highlight w:val="none"/>
          <w:lang w:val="zh-CN"/>
        </w:rPr>
      </w:pPr>
    </w:p>
    <w:p>
      <w:pPr>
        <w:spacing w:line="440" w:lineRule="exact"/>
        <w:rPr>
          <w:rFonts w:hint="eastAsia" w:hAnsi="宋体"/>
          <w:color w:val="auto"/>
          <w:sz w:val="24"/>
          <w:highlight w:val="none"/>
        </w:rPr>
      </w:pPr>
    </w:p>
    <w:p>
      <w:pPr>
        <w:rPr>
          <w:rFonts w:ascii="仿宋" w:hAnsi="仿宋" w:eastAsia="仿宋"/>
          <w:color w:val="auto"/>
          <w:sz w:val="24"/>
          <w:highlight w:val="none"/>
        </w:rPr>
      </w:pPr>
      <w:r>
        <w:rPr>
          <w:rFonts w:ascii="仿宋" w:hAnsi="仿宋" w:eastAsia="仿宋"/>
          <w:color w:val="auto"/>
          <w:sz w:val="24"/>
          <w:highlight w:val="none"/>
        </w:rPr>
        <w:br w:type="page"/>
      </w:r>
    </w:p>
    <w:p>
      <w:pPr>
        <w:pStyle w:val="43"/>
        <w:rPr>
          <w:color w:val="auto"/>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07"/>
      <w:r>
        <w:rPr>
          <w:rFonts w:ascii="仿宋" w:hAnsi="仿宋" w:eastAsia="仿宋" w:cs="仿宋_GB2312"/>
          <w:b/>
          <w:color w:val="auto"/>
          <w:sz w:val="36"/>
          <w:szCs w:val="20"/>
          <w:highlight w:val="none"/>
        </w:rPr>
        <w:t xml:space="preserve"> </w:t>
      </w:r>
      <w:bookmarkEnd w:id="408"/>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2"/>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2"/>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p>
    <w:p>
      <w:pPr>
        <w:pStyle w:val="2"/>
        <w:rPr>
          <w:color w:val="auto"/>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pStyle w:val="2"/>
        <w:rPr>
          <w:rFonts w:ascii="仿宋_GB2312" w:hAnsi="仿宋" w:eastAsia="仿宋_GB2312" w:cs="仿宋_GB2312"/>
          <w:b/>
          <w:color w:val="auto"/>
          <w:kern w:val="0"/>
          <w:sz w:val="32"/>
          <w:szCs w:val="32"/>
          <w:highlight w:val="none"/>
          <w:lang w:val="zh-CN"/>
        </w:rPr>
      </w:pPr>
    </w:p>
    <w:p>
      <w:pP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pStyle w:val="2"/>
        <w:rPr>
          <w:color w:val="auto"/>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ascii="仿宋_GB2312" w:hAnsi="仿宋" w:eastAsia="仿宋_GB2312" w:cs="仿宋_GB2312"/>
          <w:b/>
          <w:color w:val="auto"/>
          <w:kern w:val="0"/>
          <w:sz w:val="24"/>
          <w:highlight w:val="none"/>
          <w:lang w:val="zh-CN"/>
        </w:rPr>
        <w:t>3%的扣除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vAlign w:val="top"/>
          </w:tcPr>
          <w:p>
            <w:pPr>
              <w:spacing w:line="360" w:lineRule="auto"/>
              <w:rPr>
                <w:rFonts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olor w:val="auto"/>
                <w:sz w:val="24"/>
                <w:highlight w:val="none"/>
              </w:rPr>
              <w:t>不存在如下情形：</w:t>
            </w:r>
            <w:r>
              <w:rPr>
                <w:rFonts w:hint="eastAsia" w:ascii="仿宋_GB2312" w:hAnsi="仿宋" w:eastAsia="仿宋_GB2312" w:cs="仿宋_GB2312"/>
                <w:color w:val="auto"/>
                <w:sz w:val="24"/>
                <w:highlight w:val="none"/>
              </w:rPr>
              <w:t>投标文件未按照招标文件要求签署、盖章。</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vAlign w:val="top"/>
          </w:tcPr>
          <w:p>
            <w:pPr>
              <w:spacing w:line="360" w:lineRule="auto"/>
              <w:rPr>
                <w:rFonts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rPr>
              <w:t>不存在如下情形：采购人拟采购的产品属于政府强制采购的节能产品品目清单范围的，投标人未按招标文件要求提供国家确定的认证机构出具的、处于有效期之内的节能产品认证证书。</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vAlign w:val="top"/>
          </w:tcPr>
          <w:p>
            <w:pPr>
              <w:spacing w:line="360" w:lineRule="auto"/>
              <w:rPr>
                <w:rFonts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olor w:val="auto"/>
                <w:sz w:val="24"/>
                <w:highlight w:val="none"/>
              </w:rPr>
              <w:t>不存在如下情形：投标文件中承诺的投标有效期少于招标文件中载明的投标有效期。</w:t>
            </w:r>
          </w:p>
        </w:tc>
        <w:tc>
          <w:tcPr>
            <w:tcW w:w="2551" w:type="dxa"/>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vAlign w:val="top"/>
          </w:tcPr>
          <w:p>
            <w:pPr>
              <w:spacing w:line="360" w:lineRule="auto"/>
              <w:rPr>
                <w:rFonts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highlight w:val="none"/>
              </w:rPr>
              <w:t>不存在如下情形：投标文件不满足招标文件的其它实质性要求。</w:t>
            </w:r>
          </w:p>
        </w:tc>
        <w:tc>
          <w:tcPr>
            <w:tcW w:w="2551" w:type="dxa"/>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pStyle w:val="43"/>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3"/>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3"/>
        <w:rPr>
          <w:rFonts w:hint="eastAsia" w:ascii="仿宋_GB2312" w:hAnsi="仿宋" w:eastAsia="仿宋_GB2312" w:cs="仿宋_GB2312"/>
          <w:b/>
          <w:color w:val="auto"/>
          <w:sz w:val="24"/>
          <w:highlight w:val="none"/>
        </w:rPr>
      </w:pPr>
    </w:p>
    <w:p>
      <w:pPr>
        <w:rPr>
          <w:rFonts w:hint="eastAsia" w:ascii="仿宋_GB2312" w:hAnsi="仿宋" w:eastAsia="仿宋_GB2312" w:cs="仿宋_GB2312"/>
          <w:b/>
          <w:color w:val="auto"/>
          <w:sz w:val="24"/>
          <w:highlight w:val="none"/>
        </w:rPr>
      </w:pPr>
    </w:p>
    <w:p>
      <w:pPr>
        <w:pStyle w:val="43"/>
        <w:rPr>
          <w:rFonts w:hint="eastAsia" w:ascii="仿宋_GB2312" w:hAnsi="仿宋" w:eastAsia="仿宋_GB2312" w:cs="仿宋_GB2312"/>
          <w:b/>
          <w:color w:val="auto"/>
          <w:sz w:val="24"/>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tcPr>
          <w:p>
            <w:pPr>
              <w:jc w:val="center"/>
              <w:rPr>
                <w:rFonts w:ascii="仿宋_GB2312" w:hAnsi="仿宋" w:eastAsia="仿宋_GB2312" w:cs="仿宋_GB2312"/>
                <w:b/>
                <w:color w:val="auto"/>
                <w:kern w:val="0"/>
                <w:sz w:val="32"/>
                <w:szCs w:val="32"/>
                <w:highlight w:val="none"/>
              </w:rPr>
            </w:pPr>
          </w:p>
        </w:tc>
        <w:tc>
          <w:tcPr>
            <w:tcW w:w="3546" w:type="dxa"/>
          </w:tcPr>
          <w:p>
            <w:pPr>
              <w:jc w:val="center"/>
              <w:rPr>
                <w:rFonts w:ascii="仿宋_GB2312" w:hAnsi="仿宋" w:eastAsia="仿宋_GB2312" w:cs="仿宋_GB2312"/>
                <w:b/>
                <w:color w:val="auto"/>
                <w:kern w:val="0"/>
                <w:sz w:val="32"/>
                <w:szCs w:val="32"/>
                <w:highlight w:val="none"/>
              </w:rPr>
            </w:pPr>
          </w:p>
        </w:tc>
        <w:tc>
          <w:tcPr>
            <w:tcW w:w="1276" w:type="dxa"/>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br w:type="page"/>
      </w:r>
    </w:p>
    <w:p>
      <w:pPr>
        <w:pStyle w:val="43"/>
        <w:rPr>
          <w:color w:val="auto"/>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4"/>
          <w:highlight w:val="none"/>
          <w:lang w:val="zh-CN"/>
        </w:rPr>
        <w:t>按你方招标文件要求，我们，本投标文件签字方，谨此向你方发出要约如下：如你方接受本投标，我方承诺按照如下投标(开标)一览表的价格完成</w:t>
      </w:r>
      <w:r>
        <w:rPr>
          <w:rFonts w:hint="eastAsia" w:ascii="仿宋_GB2312" w:hAnsi="仿宋" w:eastAsia="仿宋_GB2312" w:cs="仿宋_GB2312"/>
          <w:color w:val="auto"/>
          <w:sz w:val="24"/>
          <w:szCs w:val="24"/>
          <w:highlight w:val="none"/>
          <w:u w:val="single"/>
          <w:lang w:val="en-US" w:eastAsia="zh-CN"/>
        </w:rPr>
        <w:t xml:space="preserve">      （</w:t>
      </w:r>
      <w:r>
        <w:rPr>
          <w:rFonts w:hint="eastAsia" w:ascii="仿宋_GB2312" w:hAnsi="仿宋" w:eastAsia="仿宋_GB2312" w:cs="仿宋_GB2312"/>
          <w:color w:val="auto"/>
          <w:sz w:val="24"/>
          <w:szCs w:val="24"/>
          <w:highlight w:val="none"/>
          <w:u w:val="single"/>
          <w:lang w:eastAsia="zh-CN"/>
        </w:rPr>
        <w:t>项目名称）</w:t>
      </w:r>
      <w:r>
        <w:rPr>
          <w:rFonts w:hint="eastAsia" w:ascii="仿宋_GB2312" w:hAnsi="仿宋" w:eastAsia="仿宋_GB2312" w:cs="仿宋_GB2312"/>
          <w:color w:val="auto"/>
          <w:kern w:val="0"/>
          <w:sz w:val="24"/>
          <w:szCs w:val="24"/>
          <w:highlight w:val="none"/>
          <w:lang w:val="zh-CN"/>
        </w:rPr>
        <w:t>【招标编号：</w:t>
      </w:r>
      <w:r>
        <w:rPr>
          <w:rFonts w:hint="eastAsia" w:ascii="仿宋_GB2312" w:hAnsi="仿宋" w:eastAsia="仿宋_GB2312" w:cs="仿宋_GB2312"/>
          <w:color w:val="auto"/>
          <w:sz w:val="24"/>
          <w:szCs w:val="24"/>
          <w:highlight w:val="none"/>
          <w:u w:val="single"/>
          <w:lang w:val="en-US" w:eastAsia="zh-CN"/>
        </w:rPr>
        <w:t xml:space="preserve">     </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szCs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2507"/>
        <w:gridCol w:w="2383"/>
        <w:gridCol w:w="2758"/>
        <w:gridCol w:w="16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45" w:hRule="exact"/>
          <w:jc w:val="center"/>
        </w:trPr>
        <w:tc>
          <w:tcPr>
            <w:tcW w:w="135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lang w:bidi="ar"/>
              </w:rPr>
              <w:t>项目名称</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24"/>
                <w:highlight w:val="none"/>
              </w:rPr>
            </w:pPr>
            <w:r>
              <w:rPr>
                <w:rFonts w:hint="eastAsia" w:ascii="宋体" w:hAnsi="宋体" w:cs="宋体"/>
                <w:bCs/>
                <w:color w:val="auto"/>
                <w:sz w:val="24"/>
                <w:highlight w:val="none"/>
                <w:lang w:eastAsia="zh-CN" w:bidi="ar"/>
              </w:rPr>
              <w:t>下浮率</w:t>
            </w:r>
            <w:r>
              <w:rPr>
                <w:rFonts w:hint="eastAsia" w:ascii="宋体" w:hAnsi="宋体" w:cs="宋体"/>
                <w:bCs/>
                <w:color w:val="auto"/>
                <w:sz w:val="24"/>
                <w:highlight w:val="none"/>
                <w:lang w:bidi="ar"/>
              </w:rPr>
              <w:t>（</w:t>
            </w:r>
            <w:r>
              <w:rPr>
                <w:rFonts w:hint="eastAsia" w:ascii="宋体" w:hAnsi="宋体" w:cs="宋体"/>
                <w:bCs/>
                <w:color w:val="auto"/>
                <w:sz w:val="24"/>
                <w:highlight w:val="none"/>
                <w:lang w:val="en-US" w:eastAsia="zh-CN" w:bidi="ar"/>
              </w:rPr>
              <w:t>%</w:t>
            </w:r>
            <w:r>
              <w:rPr>
                <w:rFonts w:hint="eastAsia" w:ascii="宋体" w:hAnsi="宋体" w:cs="宋体"/>
                <w:bCs/>
                <w:color w:val="auto"/>
                <w:sz w:val="24"/>
                <w:highlight w:val="none"/>
                <w:lang w:bidi="ar"/>
              </w:rPr>
              <w:t>）</w:t>
            </w:r>
          </w:p>
        </w:tc>
        <w:tc>
          <w:tcPr>
            <w:tcW w:w="14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换算后折扣率</w:t>
            </w:r>
          </w:p>
          <w:p>
            <w:pPr>
              <w:snapToGrid w:val="0"/>
              <w:jc w:val="center"/>
              <w:rPr>
                <w:rFonts w:hint="default" w:ascii="宋体" w:hAnsi="宋体" w:eastAsia="宋体" w:cs="宋体"/>
                <w:bCs/>
                <w:color w:val="auto"/>
                <w:sz w:val="24"/>
                <w:highlight w:val="none"/>
                <w:lang w:val="en-US" w:eastAsia="zh-CN"/>
              </w:rPr>
            </w:pPr>
            <w:r>
              <w:rPr>
                <w:rFonts w:hint="eastAsia" w:ascii="宋体" w:hAnsi="宋体" w:cs="宋体"/>
                <w:b/>
                <w:bCs w:val="0"/>
                <w:color w:val="auto"/>
                <w:sz w:val="24"/>
                <w:highlight w:val="none"/>
                <w:lang w:val="en-US" w:eastAsia="zh-CN"/>
              </w:rPr>
              <w:t>（即1-下浮率，%）</w:t>
            </w:r>
          </w:p>
        </w:tc>
        <w:tc>
          <w:tcPr>
            <w:tcW w:w="88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24"/>
                <w:highlight w:val="none"/>
                <w:lang w:bidi="ar"/>
              </w:rPr>
            </w:pPr>
            <w:r>
              <w:rPr>
                <w:rFonts w:hint="eastAsia" w:ascii="宋体" w:hAnsi="宋体" w:cs="宋体"/>
                <w:bCs/>
                <w:color w:val="auto"/>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jc w:val="center"/>
        </w:trPr>
        <w:tc>
          <w:tcPr>
            <w:tcW w:w="135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粮油类</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14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jc w:val="center"/>
        </w:trPr>
        <w:tc>
          <w:tcPr>
            <w:tcW w:w="135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蔬菜类</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14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jc w:val="center"/>
        </w:trPr>
        <w:tc>
          <w:tcPr>
            <w:tcW w:w="135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冷冻品类</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14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jc w:val="center"/>
        </w:trPr>
        <w:tc>
          <w:tcPr>
            <w:tcW w:w="135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调味品类</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14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1" w:hRule="atLeast"/>
          <w:jc w:val="center"/>
        </w:trPr>
        <w:tc>
          <w:tcPr>
            <w:tcW w:w="135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Cs/>
                <w:color w:val="auto"/>
                <w:sz w:val="24"/>
                <w:highlight w:val="none"/>
                <w:lang w:bidi="ar"/>
              </w:rPr>
            </w:pPr>
            <w:r>
              <w:rPr>
                <w:rFonts w:hint="eastAsia" w:ascii="宋体" w:hAnsi="宋体" w:eastAsia="宋体" w:cs="宋体"/>
                <w:bCs/>
                <w:color w:val="auto"/>
                <w:sz w:val="24"/>
                <w:highlight w:val="none"/>
                <w:lang w:bidi="ar"/>
              </w:rPr>
              <w:t>其它类</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1485"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Cs/>
                <w:color w:val="auto"/>
                <w:sz w:val="1"/>
                <w:highlight w:val="none"/>
              </w:rPr>
            </w:pPr>
          </w:p>
        </w:tc>
      </w:tr>
    </w:tbl>
    <w:p>
      <w:pPr>
        <w:shd w:val="clear" w:color="auto" w:fill="FFFFFF"/>
        <w:snapToGrid w:val="0"/>
        <w:spacing w:line="400" w:lineRule="exact"/>
        <w:rPr>
          <w:rFonts w:hint="eastAsia" w:ascii="宋体" w:hAnsi="宋体" w:cs="宋体"/>
          <w:color w:val="auto"/>
          <w:sz w:val="24"/>
          <w:highlight w:val="none"/>
          <w:shd w:val="clear" w:color="auto" w:fill="FFFFFF"/>
          <w:lang w:bidi="ar"/>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1、此表报价单不得涂改，请按规定要求填报。</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w:t>
      </w:r>
      <w:r>
        <w:rPr>
          <w:rFonts w:hint="eastAsia" w:ascii="仿宋_GB2312" w:hAnsi="仿宋" w:eastAsia="仿宋_GB2312" w:cs="仿宋_GB2312"/>
          <w:b/>
          <w:bCs/>
          <w:color w:val="auto"/>
          <w:kern w:val="0"/>
          <w:sz w:val="24"/>
          <w:highlight w:val="none"/>
          <w:lang w:val="zh-CN"/>
        </w:rPr>
        <w:t>投标人在政采云平台内填报价格时，按“换算后折扣率”进行填报。</w:t>
      </w:r>
    </w:p>
    <w:p>
      <w:pPr>
        <w:snapToGrid w:val="0"/>
        <w:spacing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3</w:t>
      </w:r>
      <w:r>
        <w:rPr>
          <w:rFonts w:ascii="仿宋_GB2312" w:hAnsi="仿宋" w:eastAsia="仿宋_GB2312" w:cs="仿宋_GB2312"/>
          <w:color w:val="auto"/>
          <w:kern w:val="0"/>
          <w:sz w:val="24"/>
          <w:szCs w:val="22"/>
          <w:highlight w:val="none"/>
          <w:lang w:val="zh-CN"/>
        </w:rPr>
        <w:t>、</w:t>
      </w:r>
      <w:r>
        <w:rPr>
          <w:rFonts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0"/>
          <w:sz w:val="24"/>
          <w:highlight w:val="none"/>
          <w:lang w:val="en-US" w:eastAsia="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690"/>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1906" w:h="16838"/>
          <w:pgMar w:top="1247" w:right="1418" w:bottom="1276" w:left="1418" w:header="851" w:footer="992" w:gutter="0"/>
          <w:cols w:space="720" w:num="1"/>
          <w:titlePg/>
          <w:docGrid w:linePitch="312" w:charSpace="0"/>
        </w:sectPr>
      </w:pPr>
    </w:p>
    <w:p>
      <w:pPr>
        <w:rPr>
          <w:b/>
          <w:color w:val="auto"/>
          <w:sz w:val="36"/>
          <w:szCs w:val="36"/>
          <w:highlight w:val="none"/>
          <w:shd w:val="clear" w:color="auto" w:fill="FFFFFF"/>
        </w:rPr>
      </w:pPr>
    </w:p>
    <w:p>
      <w:pPr>
        <w:pStyle w:val="690"/>
        <w:keepNext w:val="0"/>
        <w:pageBreakBefore w:val="0"/>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lang w:eastAsia="zh-CN"/>
        </w:rPr>
        <w:t>二</w:t>
      </w:r>
      <w:r>
        <w:rPr>
          <w:rFonts w:hint="eastAsia" w:ascii="仿宋_GB2312" w:hAnsi="仿宋" w:eastAsia="仿宋_GB2312" w:cs="仿宋_GB2312"/>
          <w:color w:val="auto"/>
          <w:kern w:val="2"/>
          <w:sz w:val="32"/>
          <w:szCs w:val="32"/>
          <w:highlight w:val="none"/>
        </w:rPr>
        <w:t>、</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pStyle w:val="690"/>
        <w:keepNext w:val="0"/>
        <w:pageBreakBefore w:val="0"/>
        <w:tabs>
          <w:tab w:val="clear" w:pos="720"/>
        </w:tabs>
        <w:snapToGrid w:val="0"/>
        <w:spacing w:before="120" w:after="120"/>
        <w:ind w:firstLine="643"/>
        <w:outlineLvl w:val="9"/>
        <w:rPr>
          <w:rFonts w:ascii="仿宋_GB2312" w:hAnsi="宋体" w:eastAsia="仿宋_GB2312"/>
          <w:b w:val="0"/>
          <w:color w:val="auto"/>
          <w:sz w:val="32"/>
          <w:szCs w:val="32"/>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5"/>
        <w:numPr>
          <w:ilvl w:val="255"/>
          <w:numId w:val="0"/>
        </w:numPr>
        <w:ind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4"/>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09" w:name="_Toc465665161"/>
      <w:r>
        <w:rPr>
          <w:rFonts w:hint="eastAsia" w:ascii="仿宋_GB2312" w:hAnsi="仿宋" w:eastAsia="仿宋_GB2312"/>
          <w:color w:val="auto"/>
          <w:highlight w:val="none"/>
        </w:rPr>
        <w:t>附件</w:t>
      </w:r>
      <w:bookmarkEnd w:id="409"/>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10" w:name="OLE_LINK13"/>
      <w:bookmarkStart w:id="411" w:name="OLE_LINK14"/>
      <w:r>
        <w:rPr>
          <w:rFonts w:hint="eastAsia" w:ascii="仿宋_GB2312" w:hAnsi="仿宋" w:eastAsia="仿宋_GB2312"/>
          <w:b/>
          <w:color w:val="auto"/>
          <w:spacing w:val="6"/>
          <w:sz w:val="32"/>
          <w:szCs w:val="32"/>
          <w:highlight w:val="none"/>
        </w:rPr>
        <w:t>残疾人福利性单位声明函</w:t>
      </w:r>
    </w:p>
    <w:bookmarkEnd w:id="410"/>
    <w:bookmarkEnd w:id="411"/>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rPr>
          <w:rFonts w:hint="eastAsia"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pStyle w:val="43"/>
        <w:rPr>
          <w:rFonts w:hint="eastAsia"/>
          <w:color w:val="auto"/>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color w:val="auto"/>
          <w:highlight w:val="none"/>
          <w:lang w:val="en-US"/>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color w:val="auto"/>
          <w:highlight w:val="none"/>
        </w:rPr>
      </w:pPr>
      <w:r>
        <w:rPr>
          <w:color w:val="auto"/>
          <w:highlight w:val="none"/>
        </w:rPr>
        <w:br w:type="page"/>
      </w:r>
    </w:p>
    <w:p>
      <w:pPr>
        <w:jc w:val="center"/>
        <w:rPr>
          <w:rFonts w:hint="eastAsia" w:ascii="仿宋" w:hAnsi="仿宋" w:eastAsia="仿宋" w:cs="仿宋"/>
          <w:color w:val="auto"/>
          <w:sz w:val="44"/>
          <w:szCs w:val="44"/>
          <w:highlight w:val="none"/>
        </w:rPr>
      </w:pPr>
      <w:r>
        <w:rPr>
          <w:rFonts w:hint="eastAsia" w:ascii="仿宋" w:hAnsi="仿宋" w:eastAsia="仿宋" w:cs="仿宋"/>
          <w:b/>
          <w:bCs/>
          <w:color w:val="auto"/>
          <w:sz w:val="40"/>
          <w:szCs w:val="40"/>
          <w:highlight w:val="none"/>
        </w:rPr>
        <w:t>政府采购融资畅通工程金融机构联系信息表</w:t>
      </w:r>
    </w:p>
    <w:p>
      <w:pPr>
        <w:rPr>
          <w:rFonts w:hint="eastAsia" w:ascii="仿宋" w:hAnsi="仿宋" w:eastAsia="仿宋" w:cs="仿宋"/>
          <w:color w:val="auto"/>
          <w:sz w:val="44"/>
          <w:szCs w:val="44"/>
          <w:highlight w:val="none"/>
        </w:rPr>
      </w:pPr>
    </w:p>
    <w:tbl>
      <w:tblPr>
        <w:tblStyle w:val="62"/>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金融机构各称</w:t>
            </w:r>
          </w:p>
        </w:tc>
        <w:tc>
          <w:tcPr>
            <w:tcW w:w="142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2444"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775"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南</w:t>
            </w:r>
            <w:r>
              <w:rPr>
                <w:rFonts w:hint="eastAsia" w:ascii="仿宋" w:hAnsi="仿宋" w:eastAsia="仿宋" w:cs="仿宋"/>
                <w:color w:val="auto"/>
                <w:sz w:val="28"/>
                <w:szCs w:val="28"/>
                <w:highlight w:val="none"/>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13868003773</w:t>
            </w:r>
          </w:p>
        </w:tc>
        <w:tc>
          <w:tcPr>
            <w:tcW w:w="2775" w:type="dxa"/>
            <w:tcBorders>
              <w:bottom w:val="single" w:color="auto" w:sz="4" w:space="0"/>
            </w:tcBorders>
            <w:vAlign w:val="center"/>
          </w:tcPr>
          <w:p>
            <w:pPr>
              <w:pStyle w:val="58"/>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沈</w:t>
            </w:r>
            <w:r>
              <w:rPr>
                <w:rFonts w:hint="eastAsia" w:ascii="仿宋" w:hAnsi="仿宋" w:eastAsia="仿宋" w:cs="仿宋"/>
                <w:color w:val="auto"/>
                <w:sz w:val="28"/>
                <w:szCs w:val="28"/>
                <w:highlight w:val="none"/>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61092936</w:t>
            </w:r>
          </w:p>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石镜街777号</w:t>
            </w:r>
          </w:p>
        </w:tc>
      </w:tr>
    </w:tbl>
    <w:p>
      <w:pPr>
        <w:pStyle w:val="961"/>
        <w:numPr>
          <w:ilvl w:val="0"/>
          <w:numId w:val="0"/>
        </w:numPr>
        <w:jc w:val="both"/>
        <w:rPr>
          <w:rFonts w:hint="eastAsia" w:ascii="仿宋" w:hAnsi="仿宋" w:eastAsia="仿宋" w:cs="仿宋"/>
          <w:b/>
          <w:color w:val="auto"/>
          <w:sz w:val="36"/>
          <w:szCs w:val="36"/>
          <w:highlight w:val="none"/>
        </w:rPr>
      </w:pPr>
    </w:p>
    <w:p>
      <w:pPr>
        <w:pStyle w:val="961"/>
        <w:numPr>
          <w:ilvl w:val="0"/>
          <w:numId w:val="0"/>
        </w:numPr>
        <w:jc w:val="both"/>
        <w:rPr>
          <w:rFonts w:hint="eastAsia" w:ascii="仿宋" w:hAnsi="仿宋" w:eastAsia="仿宋" w:cs="仿宋"/>
          <w:b/>
          <w:color w:val="auto"/>
          <w:sz w:val="36"/>
          <w:szCs w:val="36"/>
          <w:highlight w:val="none"/>
        </w:rPr>
      </w:pPr>
    </w:p>
    <w:p>
      <w:pPr>
        <w:pStyle w:val="961"/>
        <w:numPr>
          <w:ilvl w:val="0"/>
          <w:numId w:val="0"/>
        </w:numPr>
        <w:jc w:val="both"/>
        <w:rPr>
          <w:rFonts w:hint="eastAsia" w:ascii="仿宋" w:hAnsi="仿宋" w:eastAsia="仿宋" w:cs="仿宋"/>
          <w:b/>
          <w:color w:val="auto"/>
          <w:sz w:val="36"/>
          <w:szCs w:val="36"/>
          <w:highlight w:val="none"/>
        </w:rPr>
      </w:pPr>
    </w:p>
    <w:p>
      <w:pPr>
        <w:pStyle w:val="3"/>
        <w:rPr>
          <w:rFonts w:hint="eastAsia" w:ascii="仿宋" w:hAnsi="仿宋" w:eastAsia="仿宋" w:cs="仿宋"/>
          <w:b/>
          <w:bCs/>
          <w:color w:val="auto"/>
          <w:sz w:val="24"/>
          <w:highlight w:val="none"/>
        </w:rPr>
      </w:pPr>
    </w:p>
    <w:p>
      <w:pPr>
        <w:pStyle w:val="2"/>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2" w:name="_Toc164085800"/>
    <w:bookmarkStart w:id="413" w:name="_Toc36110187"/>
    <w:bookmarkStart w:id="414" w:name="_Toc131845147"/>
    <w:bookmarkStart w:id="415" w:name="_Toc91899912"/>
    <w:r>
      <w:rPr>
        <w:rFonts w:hint="eastAsia" w:ascii="仿宋_GB2312" w:eastAsia="仿宋_GB2312"/>
        <w:kern w:val="0"/>
        <w:szCs w:val="21"/>
      </w:rPr>
      <w:t xml:space="preserve"> 页</w:t>
    </w:r>
    <w:bookmarkEnd w:id="412"/>
    <w:bookmarkEnd w:id="413"/>
    <w:bookmarkEnd w:id="414"/>
    <w:bookmarkEnd w:id="4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FBD8DC"/>
    <w:multiLevelType w:val="singleLevel"/>
    <w:tmpl w:val="38FBD8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0C56"/>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B74F43"/>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D305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7F04EA"/>
    <w:rsid w:val="19932372"/>
    <w:rsid w:val="19A20DD5"/>
    <w:rsid w:val="19AE03F1"/>
    <w:rsid w:val="1A071A03"/>
    <w:rsid w:val="1A1F16AE"/>
    <w:rsid w:val="1A3B5C77"/>
    <w:rsid w:val="1A984BAD"/>
    <w:rsid w:val="1AB8156B"/>
    <w:rsid w:val="1AB8220E"/>
    <w:rsid w:val="1AE4166C"/>
    <w:rsid w:val="1AF06CFB"/>
    <w:rsid w:val="1AF11B8D"/>
    <w:rsid w:val="1B11359C"/>
    <w:rsid w:val="1B2A271F"/>
    <w:rsid w:val="1B530544"/>
    <w:rsid w:val="1B713184"/>
    <w:rsid w:val="1BA209CF"/>
    <w:rsid w:val="1BB4777D"/>
    <w:rsid w:val="1BD75AB8"/>
    <w:rsid w:val="1C0459C2"/>
    <w:rsid w:val="1C1B3B4A"/>
    <w:rsid w:val="1C88086E"/>
    <w:rsid w:val="1C911524"/>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C73E09"/>
    <w:rsid w:val="211116EB"/>
    <w:rsid w:val="216133FC"/>
    <w:rsid w:val="21D56769"/>
    <w:rsid w:val="21E52EF3"/>
    <w:rsid w:val="21FB5D7B"/>
    <w:rsid w:val="220B1C3D"/>
    <w:rsid w:val="221D1D20"/>
    <w:rsid w:val="22334A87"/>
    <w:rsid w:val="228F4E54"/>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4FD67FA"/>
    <w:rsid w:val="258B00E2"/>
    <w:rsid w:val="25A917A6"/>
    <w:rsid w:val="25BE27CC"/>
    <w:rsid w:val="25F74A5C"/>
    <w:rsid w:val="2628662C"/>
    <w:rsid w:val="262D45DE"/>
    <w:rsid w:val="264F7A3F"/>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B353EA"/>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00C64"/>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70693"/>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770CB7"/>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D2F9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3B7311"/>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7615A"/>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3F3026"/>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18"/>
    <w:qFormat/>
    <w:uiPriority w:val="0"/>
    <w:pPr>
      <w:ind w:firstLine="420"/>
    </w:pPr>
    <w:rPr>
      <w:rFonts w:hAnsi="Calibri" w:cs="Times New Roman"/>
      <w:snapToGrid/>
      <w:szCs w:val="20"/>
    </w:rPr>
  </w:style>
  <w:style w:type="paragraph" w:styleId="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1"/>
    <w:qFormat/>
    <w:uiPriority w:val="0"/>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70</Pages>
  <Words>6061</Words>
  <Characters>34550</Characters>
  <Lines>287</Lines>
  <Paragraphs>81</Paragraphs>
  <TotalTime>10</TotalTime>
  <ScaleCrop>false</ScaleCrop>
  <LinksUpToDate>false</LinksUpToDate>
  <CharactersWithSpaces>40530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杭州西成建设管理有限公司</cp:lastModifiedBy>
  <cp:lastPrinted>2021-12-27T03:06:00Z</cp:lastPrinted>
  <dcterms:modified xsi:type="dcterms:W3CDTF">2022-02-25T07:59:46Z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DA889617DD7E4F74897CD7408F6F3F8A</vt:lpwstr>
  </property>
</Properties>
</file>