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highlight w:val="none"/>
          <w:shd w:val="clear" w:color="auto" w:fill="auto"/>
          <w:lang w:eastAsia="zh-CN"/>
        </w:rPr>
      </w:pPr>
      <w:r>
        <w:rPr>
          <w:rFonts w:hint="eastAsia" w:ascii="宋体" w:hAnsi="宋体" w:cs="宋体"/>
          <w:b/>
          <w:bCs/>
          <w:color w:val="auto"/>
          <w:sz w:val="44"/>
          <w:szCs w:val="44"/>
          <w:highlight w:val="none"/>
          <w:shd w:val="clear" w:color="auto" w:fill="auto"/>
          <w:lang w:eastAsia="zh-CN"/>
        </w:rPr>
        <w:t>杭州市临安区第一人民医院电子病历五级改造项目</w:t>
      </w:r>
    </w:p>
    <w:p>
      <w:pPr>
        <w:pStyle w:val="11"/>
        <w:rPr>
          <w:rFonts w:hint="eastAsia" w:ascii="宋体" w:hAnsi="宋体" w:eastAsia="宋体" w:cs="宋体"/>
          <w:b/>
          <w:color w:val="auto"/>
          <w:spacing w:val="40"/>
          <w:sz w:val="44"/>
          <w:szCs w:val="44"/>
          <w:highlight w:val="none"/>
          <w:shd w:val="clear" w:color="auto" w:fill="auto"/>
          <w:lang w:eastAsia="zh-CN"/>
        </w:rPr>
      </w:pPr>
    </w:p>
    <w:p>
      <w:pPr>
        <w:pStyle w:val="11"/>
        <w:rPr>
          <w:rFonts w:hint="eastAsia" w:ascii="宋体" w:hAnsi="宋体" w:eastAsia="宋体" w:cs="宋体"/>
          <w:b/>
          <w:color w:val="auto"/>
          <w:spacing w:val="40"/>
          <w:sz w:val="44"/>
          <w:szCs w:val="44"/>
          <w:highlight w:val="none"/>
          <w:shd w:val="clear" w:color="auto" w:fill="auto"/>
          <w:lang w:eastAsia="zh-CN"/>
        </w:rPr>
      </w:pPr>
    </w:p>
    <w:p>
      <w:pPr>
        <w:spacing w:line="480" w:lineRule="auto"/>
        <w:jc w:val="center"/>
        <w:rPr>
          <w:rFonts w:hint="eastAsia" w:ascii="宋体" w:hAnsi="宋体" w:eastAsia="宋体" w:cs="宋体"/>
          <w:b/>
          <w:bCs/>
          <w:color w:val="auto"/>
          <w:sz w:val="44"/>
          <w:szCs w:val="44"/>
          <w:highlight w:val="none"/>
          <w:shd w:val="clear" w:color="auto" w:fill="auto"/>
        </w:rPr>
      </w:pPr>
      <w:r>
        <w:rPr>
          <w:rFonts w:hint="eastAsia" w:ascii="宋体" w:hAnsi="宋体" w:eastAsia="宋体" w:cs="宋体"/>
          <w:b/>
          <w:bCs/>
          <w:color w:val="auto"/>
          <w:sz w:val="44"/>
          <w:szCs w:val="44"/>
          <w:highlight w:val="none"/>
          <w:shd w:val="clear" w:color="auto" w:fill="auto"/>
          <w:lang w:eastAsia="zh-CN"/>
        </w:rPr>
        <w:t>公开</w:t>
      </w:r>
      <w:r>
        <w:rPr>
          <w:rFonts w:hint="eastAsia" w:ascii="宋体" w:hAnsi="宋体" w:eastAsia="宋体" w:cs="宋体"/>
          <w:b/>
          <w:bCs/>
          <w:color w:val="auto"/>
          <w:sz w:val="44"/>
          <w:szCs w:val="44"/>
          <w:highlight w:val="none"/>
          <w:shd w:val="clear" w:color="auto" w:fill="auto"/>
        </w:rPr>
        <w:t>招标文件</w:t>
      </w:r>
    </w:p>
    <w:p>
      <w:pPr>
        <w:spacing w:before="240" w:beforeLines="100" w:line="240" w:lineRule="atLeast"/>
        <w:ind w:right="-108"/>
        <w:jc w:val="center"/>
        <w:rPr>
          <w:rFonts w:hint="eastAsia" w:ascii="宋体" w:hAnsi="宋体" w:eastAsia="宋体" w:cs="宋体"/>
          <w:color w:val="auto"/>
          <w:sz w:val="36"/>
          <w:szCs w:val="36"/>
          <w:highlight w:val="none"/>
          <w:shd w:val="clear" w:color="auto" w:fill="auto"/>
        </w:rPr>
      </w:pPr>
    </w:p>
    <w:p>
      <w:pPr>
        <w:spacing w:before="240" w:beforeLines="100" w:line="240" w:lineRule="atLeast"/>
        <w:ind w:right="-108"/>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（项目编号：ZSZB-20</w:t>
      </w:r>
      <w:r>
        <w:rPr>
          <w:rFonts w:hint="eastAsia" w:ascii="宋体" w:hAnsi="宋体" w:eastAsia="宋体" w:cs="宋体"/>
          <w:color w:val="auto"/>
          <w:sz w:val="30"/>
          <w:szCs w:val="30"/>
          <w:highlight w:val="none"/>
          <w:shd w:val="clear" w:color="auto" w:fill="auto"/>
          <w:lang w:val="en-US" w:eastAsia="zh-CN"/>
        </w:rPr>
        <w:t>21</w:t>
      </w:r>
      <w:r>
        <w:rPr>
          <w:rFonts w:hint="eastAsia" w:ascii="宋体" w:hAnsi="宋体" w:eastAsia="宋体" w:cs="宋体"/>
          <w:color w:val="auto"/>
          <w:sz w:val="30"/>
          <w:szCs w:val="30"/>
          <w:highlight w:val="none"/>
          <w:shd w:val="clear" w:color="auto" w:fill="auto"/>
        </w:rPr>
        <w:t>-</w:t>
      </w:r>
      <w:r>
        <w:rPr>
          <w:rFonts w:hint="eastAsia" w:ascii="宋体" w:hAnsi="宋体" w:cs="宋体"/>
          <w:color w:val="auto"/>
          <w:sz w:val="30"/>
          <w:szCs w:val="30"/>
          <w:highlight w:val="none"/>
          <w:shd w:val="clear" w:color="auto" w:fill="auto"/>
          <w:lang w:val="en-US" w:eastAsia="zh-CN"/>
        </w:rPr>
        <w:t>130</w:t>
      </w:r>
      <w:r>
        <w:rPr>
          <w:rFonts w:hint="eastAsia" w:ascii="宋体" w:hAnsi="宋体" w:eastAsia="宋体" w:cs="宋体"/>
          <w:color w:val="auto"/>
          <w:sz w:val="30"/>
          <w:szCs w:val="30"/>
          <w:highlight w:val="none"/>
          <w:shd w:val="clear" w:color="auto" w:fill="auto"/>
        </w:rPr>
        <w:t>）</w:t>
      </w:r>
    </w:p>
    <w:p>
      <w:pPr>
        <w:spacing w:after="100" w:afterAutospacing="1" w:line="800" w:lineRule="exact"/>
        <w:ind w:right="-108"/>
        <w:jc w:val="center"/>
        <w:rPr>
          <w:rFonts w:hint="eastAsia" w:ascii="宋体" w:hAnsi="宋体" w:eastAsia="宋体" w:cs="宋体"/>
          <w:color w:val="auto"/>
          <w:spacing w:val="40"/>
          <w:sz w:val="24"/>
          <w:highlight w:val="none"/>
          <w:shd w:val="clear" w:color="auto" w:fill="auto"/>
        </w:rPr>
      </w:pPr>
    </w:p>
    <w:p>
      <w:pPr>
        <w:pStyle w:val="11"/>
        <w:ind w:firstLine="320"/>
        <w:rPr>
          <w:rFonts w:hint="eastAsia" w:ascii="宋体" w:hAnsi="宋体" w:eastAsia="宋体" w:cs="宋体"/>
          <w:color w:val="auto"/>
          <w:spacing w:val="40"/>
          <w:sz w:val="24"/>
          <w:highlight w:val="none"/>
          <w:shd w:val="clear" w:color="auto" w:fill="auto"/>
        </w:rPr>
      </w:pPr>
    </w:p>
    <w:p>
      <w:pPr>
        <w:pStyle w:val="11"/>
        <w:ind w:firstLine="320"/>
        <w:rPr>
          <w:rFonts w:hint="eastAsia" w:ascii="宋体" w:hAnsi="宋体" w:eastAsia="宋体" w:cs="宋体"/>
          <w:color w:val="auto"/>
          <w:spacing w:val="40"/>
          <w:sz w:val="24"/>
          <w:highlight w:val="none"/>
          <w:shd w:val="clear" w:color="auto" w:fill="auto"/>
        </w:rPr>
      </w:pPr>
    </w:p>
    <w:p>
      <w:pPr>
        <w:pStyle w:val="11"/>
        <w:ind w:firstLine="320"/>
        <w:rPr>
          <w:rFonts w:hint="eastAsia" w:ascii="宋体" w:hAnsi="宋体" w:eastAsia="宋体" w:cs="宋体"/>
          <w:color w:val="auto"/>
          <w:spacing w:val="40"/>
          <w:sz w:val="24"/>
          <w:highlight w:val="none"/>
          <w:shd w:val="clear" w:color="auto" w:fill="auto"/>
        </w:rPr>
      </w:pPr>
    </w:p>
    <w:p>
      <w:pPr>
        <w:pStyle w:val="11"/>
        <w:ind w:firstLine="320"/>
        <w:rPr>
          <w:rFonts w:hint="eastAsia" w:ascii="宋体" w:hAnsi="宋体" w:eastAsia="宋体" w:cs="宋体"/>
          <w:color w:val="auto"/>
          <w:spacing w:val="40"/>
          <w:sz w:val="24"/>
          <w:highlight w:val="none"/>
          <w:shd w:val="clear" w:color="auto" w:fill="auto"/>
        </w:rPr>
      </w:pPr>
    </w:p>
    <w:p>
      <w:pPr>
        <w:spacing w:after="100" w:afterAutospacing="1" w:line="800" w:lineRule="exact"/>
        <w:ind w:right="-108"/>
        <w:jc w:val="both"/>
        <w:rPr>
          <w:rFonts w:hint="eastAsia" w:ascii="宋体" w:hAnsi="宋体" w:eastAsia="宋体" w:cs="宋体"/>
          <w:color w:val="auto"/>
          <w:spacing w:val="40"/>
          <w:sz w:val="24"/>
          <w:highlight w:val="none"/>
          <w:shd w:val="clear" w:color="auto" w:fill="auto"/>
        </w:rPr>
      </w:pPr>
    </w:p>
    <w:p>
      <w:pPr>
        <w:pStyle w:val="11"/>
        <w:rPr>
          <w:rFonts w:hint="eastAsia" w:ascii="宋体" w:hAnsi="宋体" w:eastAsia="宋体" w:cs="宋体"/>
          <w:color w:val="auto"/>
          <w:highlight w:val="none"/>
          <w:shd w:val="clear" w:color="auto" w:fill="auto"/>
        </w:rPr>
      </w:pPr>
    </w:p>
    <w:p>
      <w:pPr>
        <w:spacing w:after="100" w:afterAutospacing="1" w:line="800" w:lineRule="exact"/>
        <w:ind w:right="-108"/>
        <w:rPr>
          <w:rFonts w:hint="eastAsia" w:ascii="宋体" w:hAnsi="宋体" w:eastAsia="宋体" w:cs="宋体"/>
          <w:color w:val="auto"/>
          <w:spacing w:val="40"/>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宋体" w:hAnsi="宋体" w:eastAsia="宋体" w:cs="宋体"/>
          <w:color w:val="auto"/>
          <w:spacing w:val="-11"/>
          <w:sz w:val="32"/>
          <w:szCs w:val="32"/>
          <w:highlight w:val="none"/>
          <w:u w:val="single"/>
          <w:shd w:val="clear" w:color="auto" w:fill="auto"/>
          <w:lang w:eastAsia="zh-CN"/>
        </w:rPr>
      </w:pPr>
      <w:r>
        <w:rPr>
          <w:rFonts w:hint="eastAsia" w:ascii="宋体" w:hAnsi="宋体" w:eastAsia="宋体" w:cs="宋体"/>
          <w:color w:val="auto"/>
          <w:spacing w:val="-11"/>
          <w:sz w:val="32"/>
          <w:szCs w:val="32"/>
          <w:highlight w:val="none"/>
          <w:shd w:val="clear" w:color="auto" w:fill="auto"/>
        </w:rPr>
        <w:t>采购单位：</w:t>
      </w:r>
      <w:r>
        <w:rPr>
          <w:rFonts w:hint="eastAsia" w:ascii="宋体" w:hAnsi="宋体" w:cs="宋体"/>
          <w:color w:val="auto"/>
          <w:spacing w:val="-11"/>
          <w:sz w:val="32"/>
          <w:szCs w:val="32"/>
          <w:highlight w:val="none"/>
          <w:shd w:val="clear" w:color="auto" w:fill="auto"/>
          <w:lang w:eastAsia="zh-CN"/>
        </w:rPr>
        <w:t>杭州市临安区第一人民医院</w:t>
      </w: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采购机构：浙江中审工程咨询有限公司</w:t>
      </w: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宋体" w:hAnsi="宋体" w:eastAsia="宋体" w:cs="宋体"/>
          <w:b/>
          <w:color w:val="auto"/>
          <w:highlight w:val="none"/>
          <w:shd w:val="clear" w:color="auto" w:fill="auto"/>
        </w:rPr>
      </w:pPr>
      <w:r>
        <w:rPr>
          <w:rFonts w:hint="eastAsia" w:ascii="宋体" w:hAnsi="宋体" w:eastAsia="宋体" w:cs="宋体"/>
          <w:color w:val="auto"/>
          <w:sz w:val="32"/>
          <w:szCs w:val="32"/>
          <w:highlight w:val="none"/>
          <w:shd w:val="clear" w:color="auto" w:fill="auto"/>
        </w:rPr>
        <w:t>备案单位：杭州市临安区政府采购办公室</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评标方法及评分标准</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numPr>
          <w:ilvl w:val="0"/>
          <w:numId w:val="0"/>
        </w:numPr>
        <w:ind w:left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受</w:t>
      </w: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的委托，经采购单位负责人同意，临安区政府采购办批准，</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sz w:val="24"/>
          <w:highlight w:val="none"/>
        </w:rPr>
        <w:t>（以下简称“采购机构”），就以下</w:t>
      </w:r>
      <w:r>
        <w:rPr>
          <w:rFonts w:hint="eastAsia" w:ascii="宋体" w:hAnsi="宋体" w:cs="宋体"/>
          <w:color w:val="auto"/>
          <w:sz w:val="24"/>
          <w:highlight w:val="none"/>
          <w:lang w:eastAsia="zh-CN"/>
        </w:rPr>
        <w:t>杭州市临安区第一人民医院电子病历五级改造项目</w:t>
      </w:r>
      <w:r>
        <w:rPr>
          <w:rFonts w:hint="eastAsia" w:ascii="宋体" w:hAnsi="宋体" w:eastAsia="宋体" w:cs="宋体"/>
          <w:color w:val="auto"/>
          <w:sz w:val="24"/>
          <w:highlight w:val="none"/>
        </w:rPr>
        <w:t>进行公开采购，</w:t>
      </w:r>
      <w:r>
        <w:rPr>
          <w:rFonts w:hint="eastAsia" w:ascii="宋体" w:hAnsi="宋体" w:eastAsia="宋体" w:cs="宋体"/>
          <w:color w:val="auto"/>
          <w:sz w:val="24"/>
          <w:highlight w:val="none"/>
          <w:lang w:eastAsia="zh-CN"/>
        </w:rPr>
        <w:t>欢迎</w:t>
      </w:r>
      <w:r>
        <w:rPr>
          <w:rFonts w:hint="eastAsia" w:ascii="宋体" w:hAnsi="宋体" w:eastAsia="宋体" w:cs="宋体"/>
          <w:color w:val="auto"/>
          <w:sz w:val="24"/>
          <w:highlight w:val="none"/>
        </w:rPr>
        <w:t>符合条件的供应商参加投标。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项目编号：ZSZB-2021-</w:t>
      </w:r>
      <w:r>
        <w:rPr>
          <w:rFonts w:hint="eastAsia" w:ascii="宋体" w:hAnsi="宋体" w:cs="宋体"/>
          <w:b/>
          <w:color w:val="auto"/>
          <w:sz w:val="24"/>
          <w:highlight w:val="none"/>
          <w:lang w:val="en-US" w:eastAsia="zh-CN"/>
        </w:rPr>
        <w:t>130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杭州市临安区第一人民医院电子病历五级改造项目</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3900000</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3900000</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简要规格描述：详见</w:t>
      </w:r>
      <w:r>
        <w:rPr>
          <w:rFonts w:hint="eastAsia" w:ascii="宋体" w:hAnsi="宋体" w:eastAsia="宋体" w:cs="宋体"/>
          <w:bCs/>
          <w:color w:val="auto"/>
          <w:sz w:val="24"/>
          <w:highlight w:val="none"/>
          <w:lang w:eastAsia="zh-CN"/>
        </w:rPr>
        <w:t>公开招标</w:t>
      </w:r>
      <w:r>
        <w:rPr>
          <w:rFonts w:hint="eastAsia" w:ascii="宋体" w:hAnsi="宋体" w:eastAsia="宋体" w:cs="宋体"/>
          <w:bCs/>
          <w:color w:val="auto"/>
          <w:sz w:val="24"/>
          <w:highlight w:val="none"/>
        </w:rPr>
        <w:t xml:space="preserve">文件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合同履行期限：</w:t>
      </w:r>
      <w:r>
        <w:rPr>
          <w:rFonts w:hint="eastAsia" w:ascii="宋体" w:hAnsi="宋体" w:cs="宋体"/>
          <w:bCs/>
          <w:color w:val="auto"/>
          <w:sz w:val="24"/>
          <w:highlight w:val="none"/>
          <w:lang w:eastAsia="zh-CN"/>
        </w:rPr>
        <w:t>自</w:t>
      </w:r>
      <w:r>
        <w:rPr>
          <w:rFonts w:hint="eastAsia" w:ascii="宋体" w:hAnsi="宋体" w:eastAsia="宋体" w:cs="宋体"/>
          <w:bCs/>
          <w:color w:val="auto"/>
          <w:sz w:val="24"/>
          <w:highlight w:val="none"/>
        </w:rPr>
        <w:t>合同签订之日起</w:t>
      </w:r>
      <w:r>
        <w:rPr>
          <w:rFonts w:hint="eastAsia" w:ascii="宋体" w:hAnsi="宋体" w:cs="宋体"/>
          <w:bCs/>
          <w:color w:val="auto"/>
          <w:sz w:val="24"/>
          <w:highlight w:val="none"/>
          <w:lang w:val="en-US" w:eastAsia="zh-CN"/>
        </w:rPr>
        <w:t>1年</w:t>
      </w:r>
      <w:r>
        <w:rPr>
          <w:rFonts w:hint="eastAsia" w:ascii="宋体" w:hAnsi="宋体" w:eastAsia="宋体" w:cs="宋体"/>
          <w:bCs/>
          <w:color w:val="auto"/>
          <w:sz w:val="24"/>
          <w:highlight w:val="none"/>
        </w:rPr>
        <w:t>。</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详见第三部分采购需求。</w:t>
      </w:r>
    </w:p>
    <w:p>
      <w:pPr>
        <w:pStyle w:val="27"/>
        <w:spacing w:before="0"/>
        <w:ind w:firstLineChars="0"/>
        <w:outlineLvl w:val="2"/>
        <w:rPr>
          <w:rFonts w:hint="eastAsia" w:ascii="宋体" w:hAnsi="宋体" w:eastAsia="宋体" w:cs="宋体"/>
          <w:b/>
          <w:color w:val="auto"/>
          <w:highlight w:val="none"/>
        </w:rPr>
      </w:pPr>
      <w:r>
        <w:rPr>
          <w:rFonts w:hint="eastAsia" w:ascii="宋体" w:hAnsi="宋体" w:eastAsia="宋体" w:cs="宋体"/>
          <w:b/>
          <w:color w:val="auto"/>
          <w:highlight w:val="none"/>
        </w:rPr>
        <w:t>本项目不接受联合体投标。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2.落实政府采购政策需满足的资格要求：无；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开标时间</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线上获取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浙江政府采购网（http://zfcg.czt.zj.gov.cn）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2021年</w:t>
      </w:r>
      <w:r>
        <w:rPr>
          <w:rFonts w:hint="eastAsia" w:ascii="宋体" w:hAnsi="宋体" w:cs="宋体"/>
          <w:color w:val="auto"/>
          <w:sz w:val="24"/>
          <w:highlight w:val="none"/>
          <w:u w:val="single"/>
          <w:lang w:val="en-US" w:eastAsia="zh-CN"/>
        </w:rPr>
        <w:t xml:space="preserve"> 11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4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9 </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30 </w:t>
      </w:r>
      <w:r>
        <w:rPr>
          <w:rFonts w:hint="eastAsia" w:ascii="宋体" w:hAnsi="宋体" w:eastAsia="宋体" w:cs="宋体"/>
          <w:bCs/>
          <w:color w:val="auto"/>
          <w:sz w:val="24"/>
          <w:highlight w:val="none"/>
          <w:u w:val="single"/>
        </w:rPr>
        <w:t>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政府采购云平台（www.zcygov.cn）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2021年</w:t>
      </w:r>
      <w:r>
        <w:rPr>
          <w:rFonts w:hint="eastAsia" w:ascii="宋体" w:hAnsi="宋体" w:cs="宋体"/>
          <w:color w:val="auto"/>
          <w:sz w:val="24"/>
          <w:highlight w:val="none"/>
          <w:u w:val="single"/>
          <w:lang w:val="en-US" w:eastAsia="zh-CN"/>
        </w:rPr>
        <w:t xml:space="preserve"> 11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4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9 </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30 </w:t>
      </w:r>
      <w:r>
        <w:rPr>
          <w:rFonts w:hint="eastAsia" w:ascii="宋体" w:hAnsi="宋体" w:eastAsia="宋体" w:cs="宋体"/>
          <w:bCs/>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w:t>
      </w:r>
      <w:r>
        <w:rPr>
          <w:rFonts w:hint="eastAsia" w:ascii="宋体" w:hAnsi="宋体" w:eastAsia="宋体" w:cs="宋体"/>
          <w:color w:val="auto"/>
          <w:sz w:val="24"/>
          <w:highlight w:val="none"/>
        </w:rPr>
        <w:t xml:space="preserve">在政府采购云平台（www.zcygov.cn）上开启投标文件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需要落实的政府采购政策：包括保护环境、节约能源、促进中小企业发展等。详见招标文件的第二部分总则。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3.电子招投标的说明：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1）电子招投标：本项目以数据电文形式，依托“政府采购云平台（www.zcygov.cn）”进行招投标活动，不接受纸质投标文件。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6）对未按上述方式获取招标文件的供应商对该文件提出的质疑，采购人或采购代理机构将不予处理；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7）不提供招标文件纸质版。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杭州市临安区第一人民医院</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地址：杭州市临安区衣锦街548号</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cs="Arial"/>
          <w:kern w:val="2"/>
          <w:sz w:val="24"/>
          <w:szCs w:val="24"/>
          <w:highlight w:val="none"/>
          <w:lang w:val="en-US" w:eastAsia="zh-CN" w:bidi="ar-SA"/>
        </w:rPr>
        <w:t>吴树仁</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w:t>
      </w:r>
      <w:r>
        <w:rPr>
          <w:rFonts w:hint="eastAsia" w:ascii="宋体" w:hAnsi="宋体" w:eastAsia="宋体" w:cs="宋体"/>
          <w:color w:val="auto"/>
          <w:sz w:val="24"/>
          <w:highlight w:val="none"/>
          <w:lang w:val="en-US" w:eastAsia="zh-CN"/>
        </w:rPr>
        <w:t>0571-58622673</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任乐怡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0571-58622673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浙江中审工程咨询有限公司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址：杭州市临安区</w:t>
      </w:r>
      <w:r>
        <w:rPr>
          <w:rFonts w:hint="eastAsia" w:ascii="宋体" w:hAnsi="宋体" w:eastAsia="宋体" w:cs="宋体"/>
          <w:color w:val="auto"/>
          <w:sz w:val="24"/>
          <w:highlight w:val="none"/>
          <w:lang w:eastAsia="zh-CN"/>
        </w:rPr>
        <w:t>钱王街</w:t>
      </w:r>
      <w:r>
        <w:rPr>
          <w:rFonts w:hint="eastAsia" w:ascii="宋体" w:hAnsi="宋体" w:eastAsia="宋体" w:cs="宋体"/>
          <w:color w:val="auto"/>
          <w:sz w:val="24"/>
          <w:highlight w:val="none"/>
          <w:lang w:val="en-US" w:eastAsia="zh-CN"/>
        </w:rPr>
        <w:t>855号华兴集团三楼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61088882</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w:t>
      </w:r>
      <w:r>
        <w:rPr>
          <w:rFonts w:hint="eastAsia" w:ascii="宋体" w:hAnsi="宋体" w:eastAsia="宋体" w:cs="宋体"/>
          <w:color w:val="auto"/>
          <w:sz w:val="24"/>
          <w:highlight w:val="none"/>
          <w:lang w:eastAsia="zh-CN"/>
        </w:rPr>
        <w:t>陈晓菲</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项目联系方式：0571-</w:t>
      </w:r>
      <w:r>
        <w:rPr>
          <w:rFonts w:hint="eastAsia" w:ascii="宋体" w:hAnsi="宋体" w:eastAsia="宋体" w:cs="宋体"/>
          <w:color w:val="auto"/>
          <w:sz w:val="24"/>
          <w:highlight w:val="none"/>
          <w:lang w:val="en-US" w:eastAsia="zh-CN"/>
        </w:rPr>
        <w:t>61088882</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童莉莉</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质疑联系方式：0571-23616016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称：杭州市临安区财政局政府采购监督管理科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val="en-US" w:eastAsia="zh-CN"/>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真：0571-63722886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：喻伟建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监督投诉电话：0571-61073953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outlineLvl w:val="0"/>
        <w:rPr>
          <w:rFonts w:hint="eastAsia" w:ascii="宋体" w:hAnsi="宋体" w:eastAsia="宋体" w:cs="宋体"/>
          <w:b/>
          <w:color w:val="auto"/>
          <w:sz w:val="36"/>
          <w:szCs w:val="20"/>
          <w:highlight w:val="none"/>
        </w:rPr>
      </w:pPr>
    </w:p>
    <w:p>
      <w:pPr>
        <w:pStyle w:val="4"/>
        <w:numPr>
          <w:ilvl w:val="0"/>
          <w:numId w:val="0"/>
        </w:numPr>
        <w:ind w:left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numPr>
          <w:ilvl w:val="0"/>
          <w:numId w:val="0"/>
        </w:numPr>
        <w:ind w:leftChars="0"/>
        <w:rPr>
          <w:rFonts w:hint="eastAsia"/>
          <w:color w:val="auto"/>
          <w:highlight w:val="none"/>
        </w:rPr>
      </w:pPr>
    </w:p>
    <w:p>
      <w:pPr>
        <w:pStyle w:val="4"/>
        <w:numPr>
          <w:ilvl w:val="0"/>
          <w:numId w:val="0"/>
        </w:numPr>
        <w:ind w:leftChars="0"/>
        <w:rPr>
          <w:rFonts w:hint="eastAsia"/>
          <w:color w:val="auto"/>
          <w:highlight w:val="none"/>
        </w:rPr>
      </w:pPr>
    </w:p>
    <w:p>
      <w:pPr>
        <w:pStyle w:val="11"/>
        <w:rPr>
          <w:rFonts w:hint="eastAsia" w:ascii="宋体" w:hAnsi="宋体" w:eastAsia="宋体" w:cs="宋体"/>
          <w:color w:val="auto"/>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有关本项目所需的</w:t>
            </w:r>
            <w:r>
              <w:rPr>
                <w:rFonts w:hint="eastAsia" w:ascii="宋体" w:hAnsi="宋体" w:eastAsia="宋体" w:cs="宋体"/>
                <w:color w:val="auto"/>
                <w:sz w:val="24"/>
                <w:highlight w:val="none"/>
              </w:rPr>
              <w:t>人工成本费用、维修费用、物耗费用、能耗费用、管理酬金、税费</w:t>
            </w:r>
            <w:r>
              <w:rPr>
                <w:rFonts w:hint="eastAsia" w:ascii="宋体" w:hAnsi="宋体" w:eastAsia="宋体" w:cs="宋体"/>
                <w:color w:val="auto"/>
                <w:kern w:val="0"/>
                <w:sz w:val="24"/>
                <w:highlight w:val="none"/>
                <w:lang w:val="zh-CN"/>
              </w:rPr>
              <w:t>等所有费用均计入报价。</w:t>
            </w:r>
            <w:r>
              <w:rPr>
                <w:rFonts w:hint="eastAsia" w:ascii="宋体" w:hAnsi="宋体" w:eastAsia="宋体" w:cs="宋体"/>
                <w:color w:val="auto"/>
                <w:sz w:val="24"/>
                <w:highlight w:val="none"/>
              </w:rPr>
              <w:t>《投标（开标）一览表》是报价的唯一载体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▲投标报价高于本项目采购预算或者最高限价的;</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color w:val="auto"/>
                <w:sz w:val="24"/>
                <w:szCs w:val="21"/>
                <w:highlight w:val="none"/>
              </w:rPr>
              <w:t>;</w:t>
            </w:r>
          </w:p>
          <w:p>
            <w:pPr>
              <w:spacing w:line="360" w:lineRule="auto"/>
              <w:rPr>
                <w:rFonts w:hint="eastAsia" w:ascii="宋体" w:hAnsi="宋体" w:eastAsia="宋体" w:cs="宋体"/>
                <w:color w:val="auto"/>
                <w:sz w:val="24"/>
                <w:szCs w:val="21"/>
                <w:highlight w:val="none"/>
              </w:rPr>
            </w:pPr>
            <w:r>
              <w:rPr>
                <w:rFonts w:hint="eastAsia" w:ascii="宋体" w:hAnsi="宋体" w:eastAsia="宋体" w:cs="宋体"/>
                <w:b/>
                <w:color w:val="auto"/>
                <w:sz w:val="24"/>
                <w:highlight w:val="none"/>
              </w:rPr>
              <w:t>▲《投标（开标）一览表》填写不完整或字迹不能辨认或有漏项的；</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kern w:val="0"/>
                <w:sz w:val="24"/>
                <w:highlight w:val="none"/>
              </w:rPr>
              <w:t>▲</w:t>
            </w:r>
            <w:r>
              <w:rPr>
                <w:rFonts w:hint="eastAsia" w:ascii="宋体" w:hAnsi="宋体" w:eastAsia="宋体" w:cs="宋体"/>
                <w:b/>
                <w:color w:val="auto"/>
                <w:sz w:val="24"/>
                <w:highlight w:val="none"/>
                <w:lang w:eastAsia="zh-CN"/>
              </w:rPr>
              <w:t>本项目不得转包或分包。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（2）资信证明文件：根据招标文件第四部分具体评标标准提供。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采购单位不集中安排潜在投标人勘踏现场，请各潜在投标人自行查看现场。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Cs/>
                <w:color w:val="auto"/>
                <w:kern w:val="0"/>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13"/>
              <w:jc w:val="left"/>
              <w:rPr>
                <w:rFonts w:hint="eastAsia" w:ascii="宋体" w:hAnsi="宋体" w:eastAsia="宋体" w:cs="宋体"/>
                <w:b/>
                <w:snapToGrid/>
                <w:color w:val="auto"/>
                <w:kern w:val="0"/>
                <w:sz w:val="24"/>
                <w:szCs w:val="20"/>
                <w:highlight w:val="none"/>
                <w:lang w:val="zh-CN"/>
              </w:rPr>
            </w:pPr>
            <w:r>
              <w:rPr>
                <w:rFonts w:hint="eastAsia" w:ascii="宋体" w:hAnsi="宋体" w:eastAsia="宋体" w:cs="宋体"/>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szCs w:val="20"/>
                <w:highlight w:val="none"/>
                <w:lang w:val="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采购标的：</w:t>
            </w:r>
            <w:r>
              <w:rPr>
                <w:rFonts w:hint="eastAsia" w:ascii="宋体" w:hAnsi="宋体" w:eastAsia="宋体" w:cs="宋体"/>
                <w:color w:val="auto"/>
                <w:sz w:val="24"/>
                <w:highlight w:val="none"/>
                <w:u w:val="single"/>
              </w:rPr>
              <w:t>详见采购需求明细清单</w:t>
            </w: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u w:val="single"/>
              </w:rPr>
              <w:t>其他未列明行业。</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小微企业有关政策</w:t>
            </w:r>
          </w:p>
          <w:p>
            <w:pPr>
              <w:snapToGrid w:val="0"/>
              <w:spacing w:line="360" w:lineRule="auto"/>
              <w:jc w:val="center"/>
              <w:rPr>
                <w:rFonts w:hint="eastAsia" w:ascii="宋体" w:hAnsi="宋体" w:eastAsia="宋体" w:cs="宋体"/>
                <w:b/>
                <w:color w:val="auto"/>
                <w:sz w:val="24"/>
                <w:highlight w:val="none"/>
              </w:rPr>
            </w:pP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根据财库〔2011〕181号和《关于优化营商环境进一步加强政府采购监督管理工作的通知》杭财采监〔2020〕7号的相关规定，在评审时对小型和微型企业的投标报价给予10%的扣除，用扣除后的价格参与评审。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9"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en-US" w:eastAsia="zh-CN"/>
              </w:rPr>
              <w:t>9</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宋体" w:hAnsi="宋体" w:eastAsia="宋体" w:cs="宋体"/>
                <w:color w:val="auto"/>
                <w:sz w:val="24"/>
                <w:highlight w:val="none"/>
              </w:rPr>
            </w:pPr>
            <w:r>
              <w:rPr>
                <w:rFonts w:hint="eastAsia" w:ascii="宋体" w:hAnsi="宋体" w:eastAsia="宋体" w:cs="宋体"/>
                <w:snapToGrid w:val="0"/>
                <w:color w:val="auto"/>
                <w:sz w:val="24"/>
                <w:szCs w:val="21"/>
                <w:highlight w:val="none"/>
              </w:rPr>
              <w:t>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en-US" w:eastAsia="zh-CN"/>
              </w:rPr>
              <w:t>10</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i w:val="0"/>
                <w:iCs w:val="0"/>
                <w:color w:val="auto"/>
                <w:sz w:val="24"/>
                <w:highlight w:val="none"/>
              </w:rPr>
              <w:t>投标文件的份数</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13"/>
              <w:keepNext w:val="0"/>
              <w:keepLines w:val="0"/>
              <w:pageBreakBefore w:val="0"/>
              <w:widowControl w:val="0"/>
              <w:kinsoku/>
              <w:wordWrap/>
              <w:overflowPunct/>
              <w:topLinePunct w:val="0"/>
              <w:autoSpaceDE/>
              <w:autoSpaceDN/>
              <w:bidi w:val="0"/>
              <w:adjustRightInd w:val="0"/>
              <w:snapToGrid w:val="0"/>
              <w:spacing w:before="120" w:after="120" w:line="28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本项目实行电子投标。</w:t>
            </w:r>
          </w:p>
          <w:p>
            <w:pPr>
              <w:pStyle w:val="13"/>
              <w:keepNext w:val="0"/>
              <w:keepLines w:val="0"/>
              <w:pageBreakBefore w:val="0"/>
              <w:widowControl w:val="0"/>
              <w:kinsoku/>
              <w:wordWrap/>
              <w:overflowPunct/>
              <w:topLinePunct w:val="0"/>
              <w:autoSpaceDE/>
              <w:autoSpaceDN/>
              <w:bidi w:val="0"/>
              <w:adjustRightInd w:val="0"/>
              <w:snapToGrid w:val="0"/>
              <w:spacing w:before="120" w:after="120" w:line="280" w:lineRule="exact"/>
              <w:ind w:firstLine="360" w:firstLineChars="15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供应商应准备电子投标文件参与投标：</w:t>
            </w:r>
          </w:p>
          <w:p>
            <w:pPr>
              <w:pStyle w:val="13"/>
              <w:keepNext w:val="0"/>
              <w:keepLines w:val="0"/>
              <w:pageBreakBefore w:val="0"/>
              <w:widowControl w:val="0"/>
              <w:numPr>
                <w:ilvl w:val="0"/>
                <w:numId w:val="3"/>
              </w:numPr>
              <w:kinsoku/>
              <w:wordWrap/>
              <w:overflowPunct/>
              <w:topLinePunct w:val="0"/>
              <w:autoSpaceDE/>
              <w:autoSpaceDN/>
              <w:bidi w:val="0"/>
              <w:adjustRightInd w:val="0"/>
              <w:snapToGrid w:val="0"/>
              <w:spacing w:before="120" w:after="120" w:line="280" w:lineRule="exac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电子投标文件，按政采云平台项目采购-电子招投标操作指南及本招标文件要求递交。</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▲未传输递交电子投标文件的，投标无效。</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▲未在系统解密时间内完成解密的，视为投标人自行放弃投标，投标无效。</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宋体" w:hAnsi="宋体" w:eastAsia="宋体" w:cs="宋体"/>
                <w:snapToGrid w:val="0"/>
                <w:color w:val="auto"/>
                <w:sz w:val="24"/>
                <w:szCs w:val="21"/>
                <w:highlight w:val="none"/>
              </w:rPr>
            </w:pPr>
            <w:r>
              <w:rPr>
                <w:rFonts w:hint="eastAsia" w:ascii="宋体" w:hAnsi="宋体" w:eastAsia="宋体" w:cs="宋体"/>
                <w:b/>
                <w:i w:val="0"/>
                <w:iCs w:val="0"/>
                <w:color w:val="auto"/>
                <w:sz w:val="24"/>
                <w:highlight w:val="none"/>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采购机构代理费用</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
                <w:i w:val="0"/>
                <w:iCs w:val="0"/>
                <w:color w:val="auto"/>
                <w:sz w:val="24"/>
                <w:highlight w:val="none"/>
              </w:rPr>
            </w:pPr>
            <w:r>
              <w:rPr>
                <w:rFonts w:hint="eastAsia" w:ascii="宋体" w:hAnsi="宋体" w:cs="宋体"/>
                <w:i w:val="0"/>
                <w:iCs w:val="0"/>
                <w:color w:val="auto"/>
                <w:sz w:val="24"/>
                <w:highlight w:val="none"/>
                <w:lang w:val="en-US" w:eastAsia="zh-CN"/>
              </w:rPr>
              <w:t>4000</w:t>
            </w:r>
            <w:r>
              <w:rPr>
                <w:rFonts w:hint="eastAsia" w:ascii="宋体" w:hAnsi="宋体" w:cs="宋体"/>
                <w:i w:val="0"/>
                <w:iCs w:val="0"/>
                <w:color w:val="auto"/>
                <w:sz w:val="24"/>
                <w:highlight w:val="none"/>
                <w:lang w:val="en-US" w:eastAsia="zh-CN"/>
              </w:rPr>
              <w:t>元，</w:t>
            </w:r>
            <w:r>
              <w:rPr>
                <w:rFonts w:hint="eastAsia" w:ascii="宋体" w:hAnsi="宋体" w:eastAsia="宋体" w:cs="宋体"/>
                <w:i w:val="0"/>
                <w:iCs w:val="0"/>
                <w:color w:val="auto"/>
                <w:sz w:val="24"/>
                <w:highlight w:val="none"/>
                <w:lang w:eastAsia="zh-CN"/>
              </w:rPr>
              <w:t>由中标单位支付，在领取中标通知书前付清。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12</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20" w:lineRule="exac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成交候选人</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sz w:val="24"/>
                <w:highlight w:val="none"/>
                <w:lang w:eastAsia="zh-CN"/>
              </w:rPr>
              <w:t>数量：</w:t>
            </w:r>
            <w:r>
              <w:rPr>
                <w:rFonts w:hint="eastAsia" w:ascii="宋体" w:hAnsi="宋体" w:cs="宋体"/>
                <w:i w:val="0"/>
                <w:iCs w:val="0"/>
                <w:color w:val="auto"/>
                <w:sz w:val="24"/>
                <w:highlight w:val="none"/>
                <w:lang w:eastAsia="zh-CN"/>
              </w:rPr>
              <w:t>本项目中标候选人为</w:t>
            </w:r>
            <w:r>
              <w:rPr>
                <w:rFonts w:hint="eastAsia" w:ascii="宋体" w:hAnsi="宋体" w:cs="宋体"/>
                <w:i w:val="0"/>
                <w:iCs w:val="0"/>
                <w:color w:val="auto"/>
                <w:sz w:val="24"/>
                <w:highlight w:val="none"/>
                <w:lang w:val="en-US" w:eastAsia="zh-CN"/>
              </w:rPr>
              <w:t>1</w:t>
            </w:r>
            <w:r>
              <w:rPr>
                <w:rFonts w:hint="eastAsia" w:ascii="宋体" w:hAnsi="宋体" w:eastAsia="宋体" w:cs="宋体"/>
                <w:i w:val="0"/>
                <w:iCs w:val="0"/>
                <w:color w:val="auto"/>
                <w:sz w:val="24"/>
                <w:highlight w:val="none"/>
                <w:lang w:eastAsia="zh-CN"/>
              </w:rPr>
              <w:t>家</w:t>
            </w:r>
            <w:r>
              <w:rPr>
                <w:rFonts w:hint="eastAsia" w:ascii="宋体" w:hAnsi="宋体" w:cs="宋体"/>
                <w:i w:val="0"/>
                <w:i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280" w:lineRule="exact"/>
              <w:jc w:val="left"/>
              <w:textAlignment w:val="auto"/>
              <w:rPr>
                <w:rFonts w:hint="eastAsia" w:ascii="宋体" w:hAnsi="宋体" w:eastAsia="宋体" w:cs="宋体"/>
                <w:i w:val="0"/>
                <w:iCs w:val="0"/>
                <w:color w:val="auto"/>
                <w:sz w:val="24"/>
                <w:highlight w:val="none"/>
                <w:lang w:eastAsia="zh-CN"/>
              </w:rPr>
            </w:pPr>
            <w:r>
              <w:rPr>
                <w:rFonts w:hint="eastAsia" w:ascii="宋体" w:hAnsi="宋体" w:eastAsia="宋体" w:cs="宋体"/>
                <w:color w:val="auto"/>
                <w:sz w:val="24"/>
                <w:szCs w:val="24"/>
                <w:highlight w:val="none"/>
                <w:lang w:eastAsia="zh-CN"/>
              </w:rPr>
              <w:t>如</w:t>
            </w:r>
            <w:r>
              <w:rPr>
                <w:rFonts w:hint="eastAsia" w:ascii="宋体" w:hAnsi="宋体" w:eastAsia="宋体" w:cs="宋体"/>
                <w:i w:val="0"/>
                <w:iCs w:val="0"/>
                <w:color w:val="auto"/>
                <w:sz w:val="24"/>
                <w:highlight w:val="none"/>
                <w:lang w:eastAsia="zh-CN"/>
              </w:rPr>
              <w:t>综合评分得分相同的，按照最后报价由低到高的顺序推荐。综合评分得分且最后报价相同的，按照技术指标优劣顺序推荐</w:t>
            </w:r>
            <w:r>
              <w:rPr>
                <w:rFonts w:hint="eastAsia" w:ascii="宋体" w:hAnsi="宋体" w:eastAsia="宋体" w:cs="宋体"/>
                <w:i w:val="0"/>
                <w:iCs w:val="0"/>
                <w:color w:val="auto"/>
                <w:sz w:val="24"/>
                <w:highlight w:val="none"/>
                <w:lang w:val="zh-TW" w:eastAsia="zh-TW"/>
              </w:rPr>
              <w:t>。报价和技术指标均相同的，采取随机抽取的方式确定。</w:t>
            </w:r>
          </w:p>
        </w:tc>
      </w:tr>
    </w:tbl>
    <w:p>
      <w:pPr>
        <w:adjustRightInd/>
        <w:spacing w:line="360" w:lineRule="auto"/>
        <w:jc w:val="both"/>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节能环保要求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w:t>
      </w:r>
      <w:r>
        <w:rPr>
          <w:rFonts w:hint="eastAsia" w:ascii="宋体" w:hAnsi="宋体" w:eastAsia="宋体" w:cs="宋体"/>
          <w:color w:val="auto"/>
          <w:kern w:val="0"/>
          <w:sz w:val="24"/>
          <w:highlight w:val="none"/>
        </w:rPr>
        <w:t>中小企业扶持政策</w:t>
      </w:r>
      <w:r>
        <w:rPr>
          <w:rFonts w:hint="eastAsia" w:ascii="宋体" w:hAnsi="宋体" w:eastAsia="宋体" w:cs="宋体"/>
          <w:color w:val="auto"/>
          <w:sz w:val="24"/>
          <w:highlight w:val="none"/>
        </w:rPr>
        <w:t>的投标人应按照招标文件格式要求提供《中小企业声明函》。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3.4企业信用融资：凡已在浙江政府采购网网上注册入库，并取得临安区政府采购合同的中小企业供应商，均可申请政府采购信用融资，联系方式见附表（政府采购融资畅通工程金融机构联系信息表）。</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人与采购机构签订的《采购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采购委托协议》的规定：对采购文件中特定资格条件、采购需求、评分办法提出的质疑，原则上由采购人负责答复；对采购文件中其他内容提出的质疑，原则上由采购机构负责答复。</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质疑期限为各采购程序环节结束之日起计算。对同一采购程序环节的质疑，供应商须一次性提出。根据采购人与采购机构签订的《采购委托协议》的规定：对采购过程中有关现场考察或开标前答疑会事项提出的质疑，原则上由采购人负责答复；对采购过程中其它事项提出的质疑，原则上由采购机构负责答复。</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（3）对采购结果提出质疑的，质疑期限自采购结果公告期限届满之日起计算。对采购结果提出质疑的，采购机构负责答复。</w:t>
      </w:r>
    </w:p>
    <w:p>
      <w:pPr>
        <w:pStyle w:val="13"/>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28"/>
        <w:snapToGrid w:val="0"/>
        <w:spacing w:after="240" w:afterAutospacing="0" w:line="360" w:lineRule="auto"/>
        <w:contextualSpacing/>
        <w:rPr>
          <w:rFonts w:hint="eastAsia" w:ascii="宋体" w:hAnsi="宋体" w:eastAsia="宋体" w:cs="宋体"/>
          <w:snapToGrid w:val="0"/>
          <w:color w:val="auto"/>
          <w:kern w:val="2"/>
          <w:szCs w:val="21"/>
          <w:highlight w:val="none"/>
        </w:rPr>
      </w:pPr>
      <w:r>
        <w:rPr>
          <w:rFonts w:hint="eastAsia" w:ascii="宋体" w:hAnsi="宋体" w:eastAsia="宋体" w:cs="宋体"/>
          <w:snapToGrid w:val="0"/>
          <w:color w:val="auto"/>
          <w:kern w:val="2"/>
          <w:szCs w:val="21"/>
          <w:highlight w:val="none"/>
        </w:rPr>
        <w:t>　　</w:t>
      </w:r>
      <w:r>
        <w:rPr>
          <w:rFonts w:hint="eastAsia" w:ascii="宋体" w:hAnsi="宋体" w:eastAsia="宋体" w:cs="宋体"/>
          <w:color w:val="auto"/>
          <w:highlight w:val="none"/>
          <w:lang w:val="zh-CN"/>
        </w:rPr>
        <w:t>4.2.3.1</w:t>
      </w:r>
      <w:r>
        <w:rPr>
          <w:rFonts w:hint="eastAsia" w:ascii="宋体" w:hAnsi="宋体" w:eastAsia="宋体" w:cs="宋体"/>
          <w:snapToGrid w:val="0"/>
          <w:color w:val="auto"/>
          <w:kern w:val="2"/>
          <w:szCs w:val="21"/>
          <w:highlight w:val="none"/>
        </w:rPr>
        <w:t>供应商的姓名或者名称、地址、邮编、联系人及联系电话；</w:t>
      </w:r>
    </w:p>
    <w:p>
      <w:pPr>
        <w:pStyle w:val="28"/>
        <w:snapToGrid w:val="0"/>
        <w:spacing w:after="240" w:afterAutospacing="0" w:line="360" w:lineRule="auto"/>
        <w:contextualSpacing/>
        <w:rPr>
          <w:rFonts w:hint="eastAsia" w:ascii="宋体" w:hAnsi="宋体" w:eastAsia="宋体" w:cs="宋体"/>
          <w:snapToGrid w:val="0"/>
          <w:color w:val="auto"/>
          <w:kern w:val="2"/>
          <w:szCs w:val="21"/>
          <w:highlight w:val="none"/>
        </w:rPr>
      </w:pPr>
      <w:r>
        <w:rPr>
          <w:rFonts w:hint="eastAsia" w:ascii="宋体" w:hAnsi="宋体" w:eastAsia="宋体" w:cs="宋体"/>
          <w:snapToGrid w:val="0"/>
          <w:color w:val="auto"/>
          <w:kern w:val="2"/>
          <w:szCs w:val="21"/>
          <w:highlight w:val="none"/>
        </w:rPr>
        <w:t>　　</w:t>
      </w:r>
      <w:r>
        <w:rPr>
          <w:rFonts w:hint="eastAsia" w:ascii="宋体" w:hAnsi="宋体" w:eastAsia="宋体" w:cs="宋体"/>
          <w:color w:val="auto"/>
          <w:highlight w:val="none"/>
          <w:lang w:val="zh-CN"/>
        </w:rPr>
        <w:t>4.2.3.2</w:t>
      </w:r>
      <w:r>
        <w:rPr>
          <w:rFonts w:hint="eastAsia" w:ascii="宋体" w:hAnsi="宋体" w:eastAsia="宋体" w:cs="宋体"/>
          <w:snapToGrid w:val="0"/>
          <w:color w:val="auto"/>
          <w:kern w:val="2"/>
          <w:szCs w:val="21"/>
          <w:highlight w:val="none"/>
        </w:rPr>
        <w:t>质疑项目的名称、编号；</w:t>
      </w:r>
    </w:p>
    <w:p>
      <w:pPr>
        <w:pStyle w:val="28"/>
        <w:snapToGrid w:val="0"/>
        <w:spacing w:after="240" w:afterAutospacing="0" w:line="360" w:lineRule="auto"/>
        <w:contextualSpacing/>
        <w:rPr>
          <w:rFonts w:hint="eastAsia" w:ascii="宋体" w:hAnsi="宋体" w:eastAsia="宋体" w:cs="宋体"/>
          <w:snapToGrid w:val="0"/>
          <w:color w:val="auto"/>
          <w:kern w:val="2"/>
          <w:szCs w:val="21"/>
          <w:highlight w:val="none"/>
        </w:rPr>
      </w:pPr>
      <w:r>
        <w:rPr>
          <w:rFonts w:hint="eastAsia" w:ascii="宋体" w:hAnsi="宋体" w:eastAsia="宋体" w:cs="宋体"/>
          <w:snapToGrid w:val="0"/>
          <w:color w:val="auto"/>
          <w:kern w:val="2"/>
          <w:szCs w:val="21"/>
          <w:highlight w:val="none"/>
        </w:rPr>
        <w:t>　　</w:t>
      </w:r>
      <w:r>
        <w:rPr>
          <w:rFonts w:hint="eastAsia" w:ascii="宋体" w:hAnsi="宋体" w:eastAsia="宋体" w:cs="宋体"/>
          <w:color w:val="auto"/>
          <w:highlight w:val="none"/>
          <w:lang w:val="zh-CN"/>
        </w:rPr>
        <w:t>4.2.3.3</w:t>
      </w:r>
      <w:r>
        <w:rPr>
          <w:rFonts w:hint="eastAsia" w:ascii="宋体" w:hAnsi="宋体" w:eastAsia="宋体" w:cs="宋体"/>
          <w:snapToGrid w:val="0"/>
          <w:color w:val="auto"/>
          <w:kern w:val="2"/>
          <w:szCs w:val="21"/>
          <w:highlight w:val="none"/>
        </w:rPr>
        <w:t>具体、明确的质疑事项和与质疑事项相关的请求；</w:t>
      </w:r>
    </w:p>
    <w:p>
      <w:pPr>
        <w:pStyle w:val="28"/>
        <w:snapToGrid w:val="0"/>
        <w:spacing w:after="240" w:afterAutospacing="0" w:line="360" w:lineRule="auto"/>
        <w:contextualSpacing/>
        <w:rPr>
          <w:rFonts w:hint="eastAsia" w:ascii="宋体" w:hAnsi="宋体" w:eastAsia="宋体" w:cs="宋体"/>
          <w:snapToGrid w:val="0"/>
          <w:color w:val="auto"/>
          <w:kern w:val="2"/>
          <w:szCs w:val="21"/>
          <w:highlight w:val="none"/>
        </w:rPr>
      </w:pPr>
      <w:r>
        <w:rPr>
          <w:rFonts w:hint="eastAsia" w:ascii="宋体" w:hAnsi="宋体" w:eastAsia="宋体" w:cs="宋体"/>
          <w:snapToGrid w:val="0"/>
          <w:color w:val="auto"/>
          <w:kern w:val="2"/>
          <w:szCs w:val="21"/>
          <w:highlight w:val="none"/>
        </w:rPr>
        <w:t>　　</w:t>
      </w:r>
      <w:r>
        <w:rPr>
          <w:rFonts w:hint="eastAsia" w:ascii="宋体" w:hAnsi="宋体" w:eastAsia="宋体" w:cs="宋体"/>
          <w:color w:val="auto"/>
          <w:highlight w:val="none"/>
          <w:lang w:val="zh-CN"/>
        </w:rPr>
        <w:t>4.2.3.4</w:t>
      </w:r>
      <w:r>
        <w:rPr>
          <w:rFonts w:hint="eastAsia" w:ascii="宋体" w:hAnsi="宋体" w:eastAsia="宋体" w:cs="宋体"/>
          <w:snapToGrid w:val="0"/>
          <w:color w:val="auto"/>
          <w:kern w:val="2"/>
          <w:szCs w:val="21"/>
          <w:highlight w:val="none"/>
        </w:rPr>
        <w:t>事实依据；</w:t>
      </w:r>
    </w:p>
    <w:p>
      <w:pPr>
        <w:pStyle w:val="28"/>
        <w:snapToGrid w:val="0"/>
        <w:spacing w:after="240" w:afterAutospacing="0" w:line="360" w:lineRule="auto"/>
        <w:contextualSpacing/>
        <w:rPr>
          <w:rFonts w:hint="eastAsia" w:ascii="宋体" w:hAnsi="宋体" w:eastAsia="宋体" w:cs="宋体"/>
          <w:snapToGrid w:val="0"/>
          <w:color w:val="auto"/>
          <w:kern w:val="2"/>
          <w:szCs w:val="21"/>
          <w:highlight w:val="none"/>
        </w:rPr>
      </w:pPr>
      <w:r>
        <w:rPr>
          <w:rFonts w:hint="eastAsia" w:ascii="宋体" w:hAnsi="宋体" w:eastAsia="宋体" w:cs="宋体"/>
          <w:snapToGrid w:val="0"/>
          <w:color w:val="auto"/>
          <w:kern w:val="2"/>
          <w:szCs w:val="21"/>
          <w:highlight w:val="none"/>
        </w:rPr>
        <w:t>　　</w:t>
      </w:r>
      <w:r>
        <w:rPr>
          <w:rFonts w:hint="eastAsia" w:ascii="宋体" w:hAnsi="宋体" w:eastAsia="宋体" w:cs="宋体"/>
          <w:color w:val="auto"/>
          <w:highlight w:val="none"/>
          <w:lang w:val="zh-CN"/>
        </w:rPr>
        <w:t>4.2.3.5</w:t>
      </w:r>
      <w:r>
        <w:rPr>
          <w:rFonts w:hint="eastAsia" w:ascii="宋体" w:hAnsi="宋体" w:eastAsia="宋体" w:cs="宋体"/>
          <w:snapToGrid w:val="0"/>
          <w:color w:val="auto"/>
          <w:kern w:val="2"/>
          <w:szCs w:val="21"/>
          <w:highlight w:val="none"/>
        </w:rPr>
        <w:t>必要的法律依据；</w:t>
      </w:r>
    </w:p>
    <w:p>
      <w:pPr>
        <w:pStyle w:val="28"/>
        <w:snapToGrid w:val="0"/>
        <w:spacing w:after="240" w:afterAutospacing="0" w:line="360" w:lineRule="auto"/>
        <w:ind w:firstLine="480"/>
        <w:contextualSpacing/>
        <w:rPr>
          <w:rFonts w:hint="eastAsia" w:ascii="宋体" w:hAnsi="宋体" w:eastAsia="宋体" w:cs="宋体"/>
          <w:snapToGrid w:val="0"/>
          <w:color w:val="auto"/>
          <w:kern w:val="2"/>
          <w:szCs w:val="21"/>
          <w:highlight w:val="none"/>
        </w:rPr>
      </w:pPr>
      <w:r>
        <w:rPr>
          <w:rFonts w:hint="eastAsia" w:ascii="宋体" w:hAnsi="宋体" w:eastAsia="宋体" w:cs="宋体"/>
          <w:color w:val="auto"/>
          <w:highlight w:val="none"/>
          <w:lang w:val="zh-CN"/>
        </w:rPr>
        <w:t>4.2.3.6</w:t>
      </w:r>
      <w:r>
        <w:rPr>
          <w:rFonts w:hint="eastAsia" w:ascii="宋体" w:hAnsi="宋体" w:eastAsia="宋体" w:cs="宋体"/>
          <w:snapToGrid w:val="0"/>
          <w:color w:val="auto"/>
          <w:kern w:val="2"/>
          <w:szCs w:val="21"/>
          <w:highlight w:val="none"/>
        </w:rPr>
        <w:t>提出质疑的日期。</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28"/>
        <w:snapToGrid w:val="0"/>
        <w:spacing w:after="240" w:afterAutospacing="0" w:line="360" w:lineRule="auto"/>
        <w:ind w:firstLine="48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28"/>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adjustRightInd/>
        <w:spacing w:line="360" w:lineRule="auto"/>
        <w:jc w:val="center"/>
        <w:outlineLvl w:val="0"/>
        <w:rPr>
          <w:rFonts w:hint="eastAsia" w:ascii="宋体" w:hAnsi="宋体" w:eastAsia="宋体" w:cs="宋体"/>
          <w:b/>
          <w:color w:val="auto"/>
          <w:sz w:val="32"/>
          <w:szCs w:val="20"/>
          <w:highlight w:val="none"/>
        </w:rPr>
      </w:pPr>
      <w:bookmarkStart w:id="0" w:name="_Toc91899879"/>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w:t>
      </w:r>
      <w:bookmarkEnd w:id="0"/>
      <w:r>
        <w:rPr>
          <w:rFonts w:hint="eastAsia" w:ascii="宋体" w:hAnsi="宋体" w:eastAsia="宋体" w:cs="宋体"/>
          <w:b/>
          <w:color w:val="auto"/>
          <w:sz w:val="32"/>
          <w:szCs w:val="20"/>
          <w:highlight w:val="none"/>
        </w:rPr>
        <w:t>的构成、澄清、修改</w:t>
      </w:r>
    </w:p>
    <w:p>
      <w:pPr>
        <w:pStyle w:val="13"/>
        <w:spacing w:line="360" w:lineRule="auto"/>
        <w:rPr>
          <w:rFonts w:hint="eastAsia" w:ascii="宋体" w:hAnsi="宋体" w:eastAsia="宋体" w:cs="宋体"/>
          <w:b/>
          <w:color w:val="auto"/>
          <w:sz w:val="24"/>
          <w:szCs w:val="24"/>
          <w:highlight w:val="none"/>
        </w:rPr>
      </w:pPr>
      <w:bookmarkStart w:id="1" w:name="_Toc91899880"/>
      <w:bookmarkStart w:id="2" w:name="_Hlt74730307"/>
      <w:r>
        <w:rPr>
          <w:rFonts w:hint="eastAsia" w:ascii="宋体" w:hAnsi="宋体" w:eastAsia="宋体" w:cs="宋体"/>
          <w:b/>
          <w:color w:val="auto"/>
          <w:sz w:val="24"/>
          <w:szCs w:val="24"/>
          <w:highlight w:val="none"/>
        </w:rPr>
        <w:t>5.招标文件的构成</w:t>
      </w:r>
      <w:bookmarkEnd w:id="1"/>
    </w:p>
    <w:bookmarkEnd w:id="2"/>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招标公告</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投标人须知</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采购需求</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评标方法及评分标准</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拟签订的合同文本</w:t>
      </w:r>
    </w:p>
    <w:p>
      <w:pPr>
        <w:pStyle w:val="1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1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szCs w:val="21"/>
          <w:highlight w:val="none"/>
        </w:rPr>
        <w:t>投标文件未按招标文件的澄清、修改的内容编制，又不符合实质性要求的，投标无效。</w:t>
      </w:r>
    </w:p>
    <w:p>
      <w:pPr>
        <w:adjustRightInd/>
        <w:spacing w:line="360" w:lineRule="auto"/>
        <w:jc w:val="center"/>
        <w:outlineLvl w:val="0"/>
        <w:rPr>
          <w:rFonts w:hint="eastAsia" w:ascii="宋体" w:hAnsi="宋体" w:eastAsia="宋体" w:cs="宋体"/>
          <w:b/>
          <w:color w:val="auto"/>
          <w:sz w:val="30"/>
          <w:szCs w:val="20"/>
          <w:highlight w:val="none"/>
        </w:rPr>
      </w:pPr>
      <w:bookmarkStart w:id="3" w:name="_Toc91899884"/>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bookmarkEnd w:id="3"/>
    </w:p>
    <w:p>
      <w:pPr>
        <w:pStyle w:val="13"/>
        <w:spacing w:line="360" w:lineRule="auto"/>
        <w:rPr>
          <w:rFonts w:hint="eastAsia" w:ascii="宋体" w:hAnsi="宋体" w:eastAsia="宋体" w:cs="宋体"/>
          <w:b/>
          <w:color w:val="auto"/>
          <w:sz w:val="24"/>
          <w:szCs w:val="24"/>
          <w:highlight w:val="none"/>
        </w:rPr>
      </w:pPr>
      <w:bookmarkStart w:id="4" w:name="_Toc86216991"/>
      <w:bookmarkStart w:id="5" w:name="_Toc91899892"/>
      <w:r>
        <w:rPr>
          <w:rFonts w:hint="eastAsia" w:ascii="宋体" w:hAnsi="宋体" w:eastAsia="宋体" w:cs="宋体"/>
          <w:b/>
          <w:color w:val="auto"/>
          <w:sz w:val="24"/>
          <w:szCs w:val="24"/>
          <w:highlight w:val="none"/>
        </w:rPr>
        <w:t>7.招标文件的获取</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1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13"/>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不组织</w:t>
      </w:r>
      <w:r>
        <w:rPr>
          <w:rFonts w:hint="eastAsia" w:ascii="宋体" w:hAnsi="宋体" w:eastAsia="宋体" w:cs="宋体"/>
          <w:b/>
          <w:color w:val="auto"/>
          <w:sz w:val="24"/>
          <w:szCs w:val="24"/>
          <w:highlight w:val="none"/>
          <w:lang w:eastAsia="zh-CN"/>
        </w:rPr>
        <w:t>。</w:t>
      </w:r>
    </w:p>
    <w:p>
      <w:pPr>
        <w:pStyle w:val="1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本项目不需要交纳投标保证金。</w:t>
      </w:r>
    </w:p>
    <w:p>
      <w:pPr>
        <w:pStyle w:val="1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1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投标文件应当包括以下主要内容：</w:t>
      </w:r>
      <w:r>
        <w:rPr>
          <w:rFonts w:hint="eastAsia" w:ascii="宋体" w:hAnsi="宋体" w:eastAsia="宋体" w:cs="宋体"/>
          <w:b/>
          <w:color w:val="auto"/>
          <w:sz w:val="24"/>
          <w:szCs w:val="24"/>
          <w:highlight w:val="none"/>
        </w:rPr>
        <w:t>资格文件、报价文件、商务技术文件</w:t>
      </w:r>
      <w:r>
        <w:rPr>
          <w:rFonts w:hint="eastAsia" w:ascii="宋体" w:hAnsi="宋体" w:eastAsia="宋体" w:cs="宋体"/>
          <w:color w:val="auto"/>
          <w:sz w:val="24"/>
          <w:szCs w:val="24"/>
          <w:highlight w:val="none"/>
        </w:rPr>
        <w:t>。投标文件应当对招标文件提出的要求和条件作出明确响应。</w:t>
      </w:r>
    </w:p>
    <w:p>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应包括以下内容（均需使用电子签名）：</w:t>
      </w:r>
      <w:r>
        <w:rPr>
          <w:rFonts w:hint="eastAsia" w:ascii="宋体" w:hAnsi="宋体" w:eastAsia="宋体" w:cs="宋体"/>
          <w:color w:val="auto"/>
          <w:kern w:val="0"/>
          <w:sz w:val="24"/>
          <w:highlight w:val="none"/>
        </w:rPr>
        <w:t>证明其符合《中华人民共和国政府采购法》规定的供应商基本条件和采购项目对供应商的特定条件</w:t>
      </w:r>
      <w:r>
        <w:rPr>
          <w:rFonts w:hint="eastAsia" w:ascii="宋体" w:hAnsi="宋体" w:eastAsia="宋体" w:cs="宋体"/>
          <w:color w:val="auto"/>
          <w:sz w:val="24"/>
          <w:highlight w:val="none"/>
        </w:rPr>
        <w:t>（如果项目要求）</w:t>
      </w:r>
      <w:r>
        <w:rPr>
          <w:rFonts w:hint="eastAsia" w:ascii="宋体" w:hAnsi="宋体" w:eastAsia="宋体" w:cs="宋体"/>
          <w:color w:val="auto"/>
          <w:kern w:val="0"/>
          <w:sz w:val="24"/>
          <w:highlight w:val="none"/>
        </w:rPr>
        <w:t>的有关资格证明文件。</w:t>
      </w:r>
      <w:r>
        <w:rPr>
          <w:rFonts w:hint="eastAsia" w:ascii="宋体" w:hAnsi="宋体" w:eastAsia="宋体" w:cs="宋体"/>
          <w:b/>
          <w:color w:val="auto"/>
          <w:kern w:val="0"/>
          <w:sz w:val="24"/>
          <w:highlight w:val="none"/>
        </w:rPr>
        <w:t>（以联合体形式进行政府采购的，参加联合体的供应商均应当提供）</w:t>
      </w:r>
    </w:p>
    <w:p>
      <w:pPr>
        <w:pStyle w:val="13"/>
        <w:spacing w:line="360" w:lineRule="auto"/>
        <w:ind w:firstLine="480" w:firstLineChars="200"/>
        <w:rPr>
          <w:rFonts w:hint="eastAsia" w:ascii="宋体" w:hAnsi="宋体" w:eastAsia="宋体" w:cs="宋体"/>
          <w:color w:val="auto"/>
          <w:sz w:val="24"/>
          <w:highlight w:val="none"/>
        </w:rPr>
      </w:pPr>
      <w:bookmarkStart w:id="6" w:name="_Hlt68403820"/>
      <w:bookmarkEnd w:id="6"/>
      <w:bookmarkStart w:id="7" w:name="_Hlt68073093"/>
      <w:bookmarkEnd w:id="7"/>
      <w:bookmarkStart w:id="8" w:name="_Hlt68072998"/>
      <w:bookmarkEnd w:id="8"/>
      <w:r>
        <w:rPr>
          <w:rFonts w:hint="eastAsia" w:ascii="宋体" w:hAnsi="宋体" w:eastAsia="宋体" w:cs="宋体"/>
          <w:color w:val="auto"/>
          <w:sz w:val="24"/>
          <w:highlight w:val="none"/>
        </w:rPr>
        <w:t>11.1.1</w:t>
      </w:r>
      <w:r>
        <w:rPr>
          <w:rFonts w:hint="eastAsia" w:ascii="宋体" w:hAnsi="宋体" w:eastAsia="宋体" w:cs="宋体"/>
          <w:color w:val="auto"/>
          <w:sz w:val="24"/>
          <w:szCs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宋体" w:hAnsi="宋体" w:eastAsia="宋体" w:cs="宋体"/>
          <w:color w:val="auto"/>
          <w:sz w:val="24"/>
          <w:highlight w:val="none"/>
        </w:rPr>
        <w:t>营业执照复印件；</w:t>
      </w:r>
      <w:r>
        <w:rPr>
          <w:rFonts w:hint="eastAsia" w:ascii="宋体" w:hAnsi="宋体" w:eastAsia="宋体" w:cs="宋体"/>
          <w:b/>
          <w:color w:val="auto"/>
          <w:kern w:val="0"/>
          <w:sz w:val="24"/>
          <w:highlight w:val="none"/>
        </w:rPr>
        <w:t>（以联合体形式进行政府采购的，参加联合体的供应商均应当提供）；</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11.1.2授权书（如法定代表人直接参加投标并对相应文件签字的，只需提供其身份证复印件正反面；如以联合体形式参加政府采购活动的，按招标文件有关格式范例提供联合体投标授权书）；▲</w:t>
      </w:r>
      <w:r>
        <w:rPr>
          <w:rFonts w:hint="eastAsia" w:ascii="宋体" w:hAnsi="宋体" w:eastAsia="宋体" w:cs="宋体"/>
          <w:b/>
          <w:color w:val="auto"/>
          <w:sz w:val="24"/>
          <w:highlight w:val="none"/>
        </w:rPr>
        <w:t>投标文件中法人授权书所载内容与本项目内容有异的，投标无效；</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11.1.3法定代表人及其授权代表的身份证（复印件）；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11.1.4上一年度资产负债表等财务报表资料文件 (或其它</w:t>
      </w:r>
      <w:r>
        <w:rPr>
          <w:rFonts w:hint="eastAsia" w:ascii="宋体" w:hAnsi="宋体" w:eastAsia="宋体" w:cs="宋体"/>
          <w:color w:val="auto"/>
          <w:kern w:val="0"/>
          <w:sz w:val="24"/>
          <w:highlight w:val="none"/>
        </w:rPr>
        <w:t>财务状况报告，</w:t>
      </w:r>
      <w:r>
        <w:rPr>
          <w:rFonts w:hint="eastAsia" w:ascii="宋体" w:hAnsi="宋体" w:eastAsia="宋体" w:cs="宋体"/>
          <w:color w:val="auto"/>
          <w:sz w:val="24"/>
          <w:highlight w:val="none"/>
        </w:rPr>
        <w:t>新成立的公司，必须提供情况说明)；</w:t>
      </w:r>
    </w:p>
    <w:p>
      <w:pPr>
        <w:pStyle w:val="1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11.1.5具有履行合同所必需的设备和专业技术能力的承诺函；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11.1.6参加政府采购活动前三年内，在经营活动中没有重大违法记录的声明；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11.1.7</w:t>
      </w:r>
      <w:r>
        <w:rPr>
          <w:rFonts w:hint="eastAsia" w:ascii="宋体" w:hAnsi="宋体" w:eastAsia="宋体" w:cs="宋体"/>
          <w:color w:val="auto"/>
          <w:sz w:val="24"/>
          <w:szCs w:val="20"/>
          <w:highlight w:val="none"/>
        </w:rPr>
        <w:t>具有良好商业信誉的特别声明；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11.1.8符合特定资格条件（如果项目要求）的有关证明材料（复印件）；</w:t>
      </w:r>
    </w:p>
    <w:p>
      <w:pPr>
        <w:pStyle w:val="11"/>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11.1.9以联合体形式投标的，提供联合体协议；本项目不接受联合体投标或者投标人不以联合体形式投标的，则不需要提供。</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 xml:space="preserve">11.2 </w:t>
      </w:r>
      <w:r>
        <w:rPr>
          <w:rFonts w:hint="eastAsia" w:ascii="宋体" w:hAnsi="宋体" w:eastAsia="宋体" w:cs="宋体"/>
          <w:color w:val="auto"/>
          <w:sz w:val="24"/>
          <w:highlight w:val="none"/>
        </w:rPr>
        <w:t>投标人的</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应包括以下内容（均需使用电子签名）：</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kern w:val="0"/>
          <w:sz w:val="24"/>
          <w:highlight w:val="none"/>
        </w:rPr>
        <w:t>投标响应函</w:t>
      </w:r>
      <w:r>
        <w:rPr>
          <w:rFonts w:hint="eastAsia" w:ascii="宋体" w:hAnsi="宋体" w:eastAsia="宋体" w:cs="宋体"/>
          <w:color w:val="auto"/>
          <w:sz w:val="24"/>
          <w:highlight w:val="none"/>
        </w:rPr>
        <w:t>；</w:t>
      </w:r>
    </w:p>
    <w:p>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11.2.2投标(开标)一览表；</w:t>
      </w:r>
    </w:p>
    <w:p>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11.2.3中小企业声明函。</w:t>
      </w:r>
    </w:p>
    <w:p>
      <w:pPr>
        <w:pStyle w:val="13"/>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rPr>
        <w:t>11.3  投标人的</w:t>
      </w:r>
      <w:r>
        <w:rPr>
          <w:rFonts w:hint="eastAsia" w:ascii="宋体" w:hAnsi="宋体" w:eastAsia="宋体" w:cs="宋体"/>
          <w:b/>
          <w:color w:val="auto"/>
          <w:sz w:val="24"/>
          <w:szCs w:val="24"/>
          <w:highlight w:val="none"/>
        </w:rPr>
        <w:t>商务技术</w:t>
      </w:r>
      <w:r>
        <w:rPr>
          <w:rFonts w:hint="eastAsia" w:ascii="宋体" w:hAnsi="宋体" w:eastAsia="宋体" w:cs="宋体"/>
          <w:b/>
          <w:color w:val="auto"/>
          <w:kern w:val="0"/>
          <w:sz w:val="24"/>
          <w:szCs w:val="24"/>
          <w:highlight w:val="none"/>
          <w:lang w:val="zh-CN"/>
        </w:rPr>
        <w:t>文件应</w:t>
      </w:r>
      <w:r>
        <w:rPr>
          <w:rFonts w:hint="eastAsia" w:ascii="宋体" w:hAnsi="宋体" w:eastAsia="宋体" w:cs="宋体"/>
          <w:color w:val="auto"/>
          <w:kern w:val="0"/>
          <w:sz w:val="24"/>
          <w:szCs w:val="24"/>
          <w:highlight w:val="none"/>
          <w:lang w:val="zh-CN"/>
        </w:rPr>
        <w:t>包括以下内容</w:t>
      </w:r>
      <w:r>
        <w:rPr>
          <w:rFonts w:hint="eastAsia" w:ascii="宋体" w:hAnsi="宋体" w:eastAsia="宋体" w:cs="宋体"/>
          <w:color w:val="auto"/>
          <w:sz w:val="24"/>
          <w:szCs w:val="24"/>
          <w:highlight w:val="none"/>
        </w:rPr>
        <w:t>（均需使用电子签名）</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lang w:val="zh-CN"/>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1资信文件：</w:t>
      </w:r>
      <w:r>
        <w:rPr>
          <w:rFonts w:hint="eastAsia" w:ascii="宋体" w:hAnsi="宋体" w:eastAsia="宋体" w:cs="宋体"/>
          <w:color w:val="auto"/>
          <w:kern w:val="0"/>
          <w:sz w:val="24"/>
          <w:szCs w:val="20"/>
          <w:highlight w:val="none"/>
        </w:rPr>
        <w:t>见投标须知前附表所述；</w:t>
      </w:r>
    </w:p>
    <w:p>
      <w:pPr>
        <w:pStyle w:val="27"/>
        <w:snapToGrid w:val="0"/>
        <w:spacing w:before="0"/>
        <w:ind w:firstLine="480"/>
        <w:rPr>
          <w:rFonts w:hint="eastAsia" w:ascii="宋体" w:hAnsi="宋体" w:eastAsia="宋体" w:cs="宋体"/>
          <w:color w:val="auto"/>
          <w:kern w:val="0"/>
          <w:highlight w:val="none"/>
          <w:lang w:val="zh-CN"/>
        </w:rPr>
      </w:pPr>
      <w:r>
        <w:rPr>
          <w:rFonts w:hint="eastAsia" w:ascii="宋体" w:hAnsi="宋体" w:eastAsia="宋体" w:cs="宋体"/>
          <w:color w:val="auto"/>
          <w:highlight w:val="none"/>
          <w:lang w:val="zh-CN"/>
        </w:rPr>
        <w:t>11.3.</w:t>
      </w:r>
      <w:r>
        <w:rPr>
          <w:rFonts w:hint="eastAsia" w:ascii="宋体" w:hAnsi="宋体" w:eastAsia="宋体" w:cs="宋体"/>
          <w:color w:val="auto"/>
          <w:highlight w:val="none"/>
        </w:rPr>
        <w:t>2</w:t>
      </w:r>
      <w:r>
        <w:rPr>
          <w:rFonts w:hint="eastAsia" w:ascii="宋体" w:hAnsi="宋体" w:eastAsia="宋体" w:cs="宋体"/>
          <w:color w:val="auto"/>
          <w:kern w:val="0"/>
          <w:highlight w:val="none"/>
        </w:rPr>
        <w:t>投标人的主要业绩证明材料即</w:t>
      </w:r>
      <w:r>
        <w:rPr>
          <w:rFonts w:hint="eastAsia" w:ascii="宋体" w:hAnsi="宋体" w:eastAsia="宋体" w:cs="宋体"/>
          <w:color w:val="auto"/>
          <w:highlight w:val="none"/>
          <w:lang w:val="zh-CN"/>
        </w:rPr>
        <w:t>合同</w:t>
      </w:r>
      <w:r>
        <w:rPr>
          <w:rFonts w:hint="eastAsia" w:ascii="宋体" w:hAnsi="宋体" w:eastAsia="宋体" w:cs="宋体"/>
          <w:color w:val="auto"/>
          <w:highlight w:val="none"/>
        </w:rPr>
        <w:t>和用户验收报告（如需要）</w:t>
      </w:r>
      <w:r>
        <w:rPr>
          <w:rFonts w:hint="eastAsia" w:ascii="宋体" w:hAnsi="宋体" w:eastAsia="宋体" w:cs="宋体"/>
          <w:color w:val="auto"/>
          <w:szCs w:val="24"/>
          <w:highlight w:val="none"/>
        </w:rPr>
        <w:t>（</w:t>
      </w:r>
      <w:r>
        <w:rPr>
          <w:rFonts w:hint="eastAsia" w:ascii="宋体" w:hAnsi="宋体" w:eastAsia="宋体" w:cs="宋体"/>
          <w:color w:val="auto"/>
          <w:highlight w:val="none"/>
        </w:rPr>
        <w:t>联合体投标的，联合体各方</w:t>
      </w:r>
      <w:r>
        <w:rPr>
          <w:rFonts w:hint="eastAsia" w:ascii="宋体" w:hAnsi="宋体" w:eastAsia="宋体" w:cs="宋体"/>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宋体" w:hAnsi="宋体" w:eastAsia="宋体" w:cs="宋体"/>
          <w:color w:val="auto"/>
          <w:szCs w:val="24"/>
          <w:highlight w:val="none"/>
        </w:rPr>
        <w:t>)</w:t>
      </w:r>
      <w:r>
        <w:rPr>
          <w:rFonts w:hint="eastAsia" w:ascii="宋体" w:hAnsi="宋体" w:eastAsia="宋体" w:cs="宋体"/>
          <w:color w:val="auto"/>
          <w:kern w:val="0"/>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lang w:val="zh-CN"/>
        </w:rPr>
        <w:t>投标人认为需要的其他商务文件或说明；</w:t>
      </w:r>
      <w:r>
        <w:rPr>
          <w:rFonts w:hint="eastAsia" w:ascii="宋体" w:hAnsi="宋体" w:eastAsia="宋体" w:cs="宋体"/>
          <w:color w:val="auto"/>
          <w:sz w:val="24"/>
          <w:highlight w:val="none"/>
        </w:rPr>
        <w:t xml:space="preserve"> </w:t>
      </w:r>
    </w:p>
    <w:p>
      <w:pPr>
        <w:pStyle w:val="13"/>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投标人应提供针对项目的完整技术解决方案；</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13"/>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本项目如需采购政府强制采购的节能产品的或投标人提供的产品是环境标志产品，投标人按格式提供节能产品、环境标志产品认证证书复印件；</w:t>
      </w:r>
    </w:p>
    <w:p>
      <w:pPr>
        <w:pStyle w:val="13"/>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5投标人在投标文件技术偏离说明表中，</w:t>
      </w:r>
      <w:r>
        <w:rPr>
          <w:rFonts w:hint="eastAsia" w:ascii="宋体" w:hAnsi="宋体" w:eastAsia="宋体" w:cs="宋体"/>
          <w:color w:val="auto"/>
          <w:kern w:val="0"/>
          <w:sz w:val="24"/>
          <w:highlight w:val="none"/>
          <w:lang w:val="zh-CN"/>
        </w:rPr>
        <w:t>应对</w:t>
      </w:r>
      <w:r>
        <w:rPr>
          <w:rFonts w:hint="eastAsia" w:ascii="宋体" w:hAnsi="宋体" w:eastAsia="宋体" w:cs="宋体"/>
          <w:color w:val="auto"/>
          <w:sz w:val="24"/>
          <w:highlight w:val="none"/>
        </w:rPr>
        <w:t>采购需求</w:t>
      </w:r>
      <w:r>
        <w:rPr>
          <w:rFonts w:hint="eastAsia" w:ascii="宋体" w:hAnsi="宋体" w:eastAsia="宋体" w:cs="宋体"/>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.6</w:t>
      </w:r>
      <w:r>
        <w:rPr>
          <w:rFonts w:hint="eastAsia" w:ascii="宋体" w:hAnsi="宋体" w:eastAsia="宋体" w:cs="宋体"/>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7</w:t>
      </w:r>
      <w:r>
        <w:rPr>
          <w:rFonts w:hint="eastAsia" w:ascii="宋体" w:hAnsi="宋体" w:eastAsia="宋体" w:cs="宋体"/>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9</w:t>
      </w:r>
      <w:r>
        <w:rPr>
          <w:rFonts w:hint="eastAsia" w:ascii="宋体" w:hAnsi="宋体" w:eastAsia="宋体" w:cs="宋体"/>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11</w:t>
      </w:r>
      <w:r>
        <w:rPr>
          <w:rFonts w:hint="eastAsia" w:ascii="宋体" w:hAnsi="宋体" w:eastAsia="宋体" w:cs="宋体"/>
          <w:color w:val="auto"/>
          <w:kern w:val="0"/>
          <w:sz w:val="24"/>
          <w:highlight w:val="none"/>
          <w:lang w:val="zh-CN"/>
        </w:rPr>
        <w:t>培训计划；（如果有）</w:t>
      </w:r>
    </w:p>
    <w:p>
      <w:pPr>
        <w:tabs>
          <w:tab w:val="left" w:pos="0"/>
          <w:tab w:val="left" w:pos="840"/>
        </w:tabs>
        <w:autoSpaceDE w:val="0"/>
        <w:autoSpaceDN w:val="0"/>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11.3.12验收计划；</w:t>
      </w:r>
    </w:p>
    <w:p>
      <w:pPr>
        <w:tabs>
          <w:tab w:val="left" w:pos="0"/>
          <w:tab w:val="left" w:pos="840"/>
        </w:tabs>
        <w:autoSpaceDE w:val="0"/>
        <w:autoSpaceDN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11.3.</w:t>
      </w: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投标人认为需要的其他技术文件或说明；</w:t>
      </w:r>
    </w:p>
    <w:p>
      <w:pPr>
        <w:tabs>
          <w:tab w:val="left" w:pos="0"/>
        </w:tabs>
        <w:autoSpaceDE w:val="0"/>
        <w:autoSpaceDN w:val="0"/>
        <w:spacing w:line="360" w:lineRule="auto"/>
        <w:ind w:firstLine="360" w:firstLineChars="15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11.3.</w:t>
      </w: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关于对招标文件商务、合同中有关条款的拒绝声明。（如果有）</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▲投标文件组成漏项，内容不全或内容字迹模糊辨认不清的，投标无效；</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27"/>
        <w:snapToGrid w:val="0"/>
        <w:spacing w:before="0"/>
        <w:ind w:firstLine="0" w:firstLineChars="0"/>
        <w:outlineLvl w:val="0"/>
        <w:rPr>
          <w:rFonts w:hint="eastAsia" w:ascii="宋体" w:hAnsi="宋体" w:eastAsia="宋体" w:cs="宋体"/>
          <w:b/>
          <w:color w:val="auto"/>
          <w:szCs w:val="24"/>
          <w:highlight w:val="none"/>
        </w:rPr>
      </w:pPr>
      <w:bookmarkStart w:id="9" w:name="_Toc91899887"/>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color w:val="auto"/>
          <w:sz w:val="24"/>
          <w:highlight w:val="none"/>
        </w:rPr>
        <w:t>▲投标文件未按规定的格式编制的，投标无效。</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27"/>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27"/>
        <w:snapToGrid w:val="0"/>
        <w:spacing w:before="0"/>
        <w:ind w:firstLine="480"/>
        <w:rPr>
          <w:rFonts w:hint="eastAsia" w:ascii="宋体" w:hAnsi="宋体" w:eastAsia="宋体" w:cs="宋体"/>
          <w:color w:val="auto"/>
          <w:szCs w:val="24"/>
          <w:highlight w:val="none"/>
        </w:rPr>
      </w:pPr>
      <w:r>
        <w:rPr>
          <w:rFonts w:hint="eastAsia" w:ascii="宋体" w:hAnsi="宋体" w:eastAsia="宋体" w:cs="宋体"/>
          <w:bCs/>
          <w:color w:val="auto"/>
          <w:highlight w:val="none"/>
        </w:rPr>
        <w:t>13.2</w:t>
      </w:r>
      <w:r>
        <w:rPr>
          <w:rFonts w:hint="eastAsia" w:ascii="宋体" w:hAnsi="宋体" w:eastAsia="宋体" w:cs="宋体"/>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2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27"/>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7"/>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1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13"/>
        <w:spacing w:line="360" w:lineRule="auto"/>
        <w:ind w:firstLine="360" w:firstLineChars="15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不提供。</w:t>
      </w:r>
    </w:p>
    <w:bookmarkEnd w:id="4"/>
    <w:bookmarkEnd w:id="5"/>
    <w:p>
      <w:pPr>
        <w:pStyle w:val="2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2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27"/>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26"/>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7"/>
        <w:spacing w:before="0"/>
        <w:ind w:firstLine="1928" w:firstLineChars="600"/>
        <w:rPr>
          <w:rFonts w:hint="eastAsia" w:ascii="宋体" w:hAnsi="宋体" w:eastAsia="宋体" w:cs="宋体"/>
          <w:b/>
          <w:color w:val="auto"/>
          <w:sz w:val="32"/>
          <w:highlight w:val="none"/>
        </w:rPr>
      </w:pPr>
    </w:p>
    <w:p>
      <w:pPr>
        <w:pStyle w:val="27"/>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9"/>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9"/>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18.2开标时，电子交易平台按开标时间自动提取所有投标文件。采购机构依托电子交</w:t>
      </w:r>
      <w:r>
        <w:rPr>
          <w:rFonts w:hint="eastAsia" w:ascii="宋体" w:hAnsi="宋体" w:eastAsia="宋体" w:cs="宋体"/>
          <w:color w:val="auto"/>
          <w:sz w:val="24"/>
          <w:szCs w:val="22"/>
          <w:highlight w:val="none"/>
        </w:rPr>
        <w:t>易平台发起开始解密指令，投标人按照平台提示和招标文件的规定在半小时内完成在线解密</w:t>
      </w:r>
      <w:r>
        <w:rPr>
          <w:rFonts w:hint="eastAsia" w:ascii="宋体" w:hAnsi="宋体" w:eastAsia="宋体" w:cs="宋体"/>
          <w:color w:val="auto"/>
          <w:sz w:val="24"/>
          <w:szCs w:val="22"/>
          <w:highlight w:val="none"/>
          <w:lang w:eastAsia="zh-CN"/>
        </w:rPr>
        <w:t>（投标人未在规定时间内解密的，视作解密失败，不再进入后续评审）</w:t>
      </w:r>
      <w:r>
        <w:rPr>
          <w:rFonts w:hint="eastAsia" w:ascii="宋体" w:hAnsi="宋体" w:eastAsia="宋体" w:cs="宋体"/>
          <w:color w:val="auto"/>
          <w:sz w:val="24"/>
          <w:szCs w:val="22"/>
          <w:highlight w:val="none"/>
        </w:rPr>
        <w:t>。</w:t>
      </w:r>
    </w:p>
    <w:p>
      <w:pPr>
        <w:pStyle w:val="29"/>
        <w:spacing w:before="0" w:line="360" w:lineRule="auto"/>
        <w:ind w:left="0" w:firstLine="0"/>
        <w:contextualSpacing/>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19、资格审查</w:t>
      </w:r>
    </w:p>
    <w:p>
      <w:pPr>
        <w:pStyle w:val="29"/>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19.1开标后，采购人或采购机构将依法对投标人的资格进行审查。</w:t>
      </w:r>
    </w:p>
    <w:p>
      <w:pPr>
        <w:pStyle w:val="2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19.2采购人或采购</w:t>
      </w:r>
      <w:r>
        <w:rPr>
          <w:rFonts w:hint="eastAsia" w:ascii="宋体" w:hAnsi="宋体" w:eastAsia="宋体" w:cs="宋体"/>
          <w:color w:val="auto"/>
          <w:sz w:val="24"/>
          <w:highlight w:val="none"/>
        </w:rPr>
        <w:t>机构依据法律法规和招标文件的规定，对投标人的基本资格条件、特定资格条件进行审查。</w:t>
      </w:r>
    </w:p>
    <w:p>
      <w:pPr>
        <w:pStyle w:val="27"/>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27"/>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27"/>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27"/>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2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20.2信用信息查询记录和证据留存的具体方式：现场查询的投标人的信用记录、查询结果将与采购文件一起存档。</w:t>
      </w:r>
    </w:p>
    <w:p>
      <w:pPr>
        <w:pStyle w:val="27"/>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7"/>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27"/>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10" w:name="_Toc91899902"/>
      <w:r>
        <w:rPr>
          <w:rFonts w:hint="eastAsia" w:ascii="宋体" w:hAnsi="宋体" w:eastAsia="宋体" w:cs="宋体"/>
          <w:b/>
          <w:color w:val="auto"/>
          <w:sz w:val="36"/>
          <w:szCs w:val="36"/>
          <w:highlight w:val="none"/>
        </w:rPr>
        <w:t>五、评标</w:t>
      </w:r>
      <w:bookmarkEnd w:id="10"/>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详见招标文件第四部分“评标方法及评分标准”</w:t>
      </w:r>
    </w:p>
    <w:p>
      <w:pPr>
        <w:pStyle w:val="26"/>
        <w:rPr>
          <w:rFonts w:hint="eastAsia" w:ascii="宋体" w:hAnsi="宋体" w:eastAsia="宋体" w:cs="宋体"/>
          <w:b/>
          <w:color w:val="auto"/>
          <w:highlight w:val="none"/>
        </w:rPr>
      </w:pPr>
    </w:p>
    <w:p>
      <w:pPr>
        <w:pStyle w:val="26"/>
        <w:rPr>
          <w:rFonts w:hint="eastAsia" w:ascii="宋体" w:hAnsi="宋体" w:eastAsia="宋体" w:cs="宋体"/>
          <w:b/>
          <w:color w:val="auto"/>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pPr>
        <w:pStyle w:val="27"/>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27"/>
        <w:snapToGrid w:val="0"/>
        <w:spacing w:before="0"/>
        <w:ind w:firstLine="0" w:firstLineChars="0"/>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23.中标通知与中标结果公告</w:t>
      </w:r>
    </w:p>
    <w:p>
      <w:pPr>
        <w:pStyle w:val="2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pStyle w:val="27"/>
        <w:snapToGrid w:val="0"/>
        <w:spacing w:before="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Style w:val="26"/>
        <w:rPr>
          <w:rFonts w:hint="eastAsia" w:ascii="宋体" w:hAnsi="宋体" w:eastAsia="宋体" w:cs="宋体"/>
          <w:color w:val="auto"/>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ascii="宋体" w:hAnsi="宋体" w:eastAsia="宋体" w:cs="宋体"/>
          <w:color w:val="auto"/>
          <w:highlight w:val="none"/>
        </w:rPr>
        <w:t>合同主要条款详见第五部分拟签订的合同文本。</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pPr>
        <w:widowControl/>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27"/>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6"/>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2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电子交易活动的中止</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2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27"/>
        <w:snapToGrid w:val="0"/>
        <w:spacing w:before="0"/>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pStyle w:val="26"/>
        <w:rPr>
          <w:rFonts w:hint="eastAsia" w:ascii="宋体" w:hAnsi="宋体" w:eastAsia="宋体" w:cs="宋体"/>
          <w:color w:val="auto"/>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keepNext w:val="0"/>
        <w:keepLines w:val="0"/>
        <w:pageBreakBefore w:val="0"/>
        <w:numPr>
          <w:ilvl w:val="0"/>
          <w:numId w:val="5"/>
        </w:numPr>
        <w:kinsoku/>
        <w:wordWrap/>
        <w:overflowPunct/>
        <w:topLinePunct w:val="0"/>
        <w:autoSpaceDE/>
        <w:autoSpaceDN/>
        <w:bidi w:val="0"/>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pPr>
        <w:pStyle w:val="4"/>
        <w:spacing w:before="156"/>
        <w:jc w:val="center"/>
        <w:rPr>
          <w:sz w:val="32"/>
          <w:szCs w:val="32"/>
        </w:rPr>
      </w:pPr>
      <w:r>
        <w:rPr>
          <w:rFonts w:hint="eastAsia"/>
          <w:sz w:val="32"/>
          <w:szCs w:val="32"/>
        </w:rPr>
        <w:t>系统总体要求</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软件平台：</w:t>
      </w:r>
    </w:p>
    <w:p>
      <w:pPr>
        <w:numPr>
          <w:ilvl w:val="1"/>
          <w:numId w:val="7"/>
        </w:numPr>
        <w:spacing w:line="360" w:lineRule="auto"/>
        <w:ind w:left="0" w:firstLine="480" w:firstLineChars="200"/>
        <w:rPr>
          <w:rFonts w:ascii="宋体" w:hAnsi="宋体" w:eastAsia="宋体"/>
          <w:sz w:val="24"/>
          <w:szCs w:val="24"/>
        </w:rPr>
      </w:pPr>
      <w:r>
        <w:rPr>
          <w:rFonts w:hint="eastAsia" w:ascii="宋体" w:hAnsi="宋体"/>
          <w:sz w:val="24"/>
          <w:szCs w:val="24"/>
        </w:rPr>
        <w:t>技术结构：采用前端、应用服务层及数据服务层的三层架构，支持在局域网运行医院信息系统，并支持与医保等外部系统进行对接。</w:t>
      </w:r>
    </w:p>
    <w:p>
      <w:pPr>
        <w:numPr>
          <w:ilvl w:val="1"/>
          <w:numId w:val="7"/>
        </w:numPr>
        <w:spacing w:line="360" w:lineRule="auto"/>
        <w:ind w:left="0" w:firstLine="480" w:firstLineChars="200"/>
        <w:rPr>
          <w:rFonts w:ascii="宋体" w:hAnsi="宋体"/>
          <w:sz w:val="24"/>
          <w:szCs w:val="24"/>
        </w:rPr>
      </w:pPr>
      <w:r>
        <w:rPr>
          <w:rFonts w:hint="eastAsia" w:ascii="宋体" w:hAnsi="宋体"/>
          <w:sz w:val="24"/>
          <w:szCs w:val="24"/>
        </w:rPr>
        <w:t>操作系统：数据库层与应用服务层为WINDOWS SERVER 2012及以上；客户端为WINDOWS XP、WINDOWS7、WINDOWS8、WINDOWS10等多种版本的主流操作系统；移动端采用安卓或苹果IOS平台。</w:t>
      </w:r>
    </w:p>
    <w:p>
      <w:pPr>
        <w:numPr>
          <w:ilvl w:val="1"/>
          <w:numId w:val="7"/>
        </w:numPr>
        <w:spacing w:line="360" w:lineRule="auto"/>
        <w:ind w:left="0" w:firstLine="480" w:firstLineChars="200"/>
        <w:rPr>
          <w:rFonts w:ascii="宋体" w:hAnsi="宋体"/>
          <w:sz w:val="24"/>
          <w:szCs w:val="24"/>
        </w:rPr>
      </w:pPr>
      <w:r>
        <w:rPr>
          <w:rFonts w:hint="eastAsia" w:ascii="宋体" w:hAnsi="宋体"/>
          <w:sz w:val="24"/>
          <w:szCs w:val="24"/>
        </w:rPr>
        <w:t>数据库软件：采用大型关系型数据库，如MS SQL SERVER2012及以上数据库或Oracle 10g数据库等。</w:t>
      </w:r>
    </w:p>
    <w:p>
      <w:pPr>
        <w:numPr>
          <w:ilvl w:val="1"/>
          <w:numId w:val="7"/>
        </w:numPr>
        <w:spacing w:line="360" w:lineRule="auto"/>
        <w:ind w:left="0" w:firstLine="480" w:firstLineChars="200"/>
        <w:rPr>
          <w:rFonts w:ascii="宋体" w:hAnsi="宋体"/>
          <w:sz w:val="24"/>
          <w:szCs w:val="24"/>
        </w:rPr>
      </w:pPr>
      <w:r>
        <w:rPr>
          <w:rFonts w:hint="eastAsia" w:ascii="宋体" w:hAnsi="宋体"/>
          <w:sz w:val="24"/>
          <w:szCs w:val="24"/>
        </w:rPr>
        <w:t>前端开发工具：采用面向对象的编程语言。</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先进性</w:t>
      </w:r>
    </w:p>
    <w:p>
      <w:pPr>
        <w:spacing w:line="360" w:lineRule="auto"/>
        <w:ind w:firstLine="420"/>
        <w:rPr>
          <w:rFonts w:ascii="宋体" w:hAnsi="宋体" w:eastAsia="宋体"/>
          <w:sz w:val="24"/>
          <w:szCs w:val="24"/>
        </w:rPr>
      </w:pPr>
      <w:r>
        <w:rPr>
          <w:rFonts w:hint="eastAsia" w:ascii="宋体" w:hAnsi="宋体"/>
          <w:sz w:val="24"/>
          <w:szCs w:val="24"/>
        </w:rPr>
        <w:t>本项目所采用的技术需要适度超前，选择具有技术领先优势，又有成功案例的技术方案，以保证建成项目使用周期长，性能指标高，在一定时期内具有技术上的先进性。</w:t>
      </w:r>
    </w:p>
    <w:p>
      <w:pPr>
        <w:spacing w:line="360" w:lineRule="auto"/>
        <w:ind w:firstLine="420"/>
        <w:rPr>
          <w:rFonts w:ascii="宋体" w:hAnsi="宋体"/>
          <w:sz w:val="24"/>
          <w:szCs w:val="24"/>
        </w:rPr>
      </w:pPr>
      <w:r>
        <w:rPr>
          <w:rFonts w:hint="eastAsia" w:ascii="宋体" w:hAnsi="宋体"/>
          <w:sz w:val="24"/>
          <w:szCs w:val="24"/>
        </w:rPr>
        <w:t>在应用系统的设计上，借鉴医院以往各类信息化项目的经验与教训，同时注重参考行业最佳实践；在技术上，采用行业上领先且成熟的技术，使得设计更加合理、更为先进。充分考虑现阶段医院信息化的特点，在注重系统实用性的前提下，尽可能采用先进的计算机软、硬件环境；在软件的开发思想上，严格按照软件工程的标准和最新的面向服务（SOA）的理念进行设计，保证系统的先进性。</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成熟性</w:t>
      </w:r>
    </w:p>
    <w:p>
      <w:pPr>
        <w:spacing w:line="360" w:lineRule="auto"/>
        <w:ind w:firstLine="420"/>
        <w:rPr>
          <w:rFonts w:ascii="宋体" w:hAnsi="宋体" w:eastAsia="宋体"/>
          <w:sz w:val="24"/>
          <w:szCs w:val="24"/>
        </w:rPr>
      </w:pPr>
      <w:r>
        <w:rPr>
          <w:rFonts w:hint="eastAsia" w:ascii="宋体" w:hAnsi="宋体"/>
          <w:sz w:val="24"/>
          <w:szCs w:val="24"/>
        </w:rPr>
        <w:t>本项目需要采用被实践证明为成熟和实用的技术和设备，纳入医院整体临床业务策略加以规划利用，满足医院当前和今后一段时间的临床业务需求；确保性能稳定，界面直观，具有易理解、易调试、易维护、易扩展、易复用的特点，最大限度地满足医院当前临床业务以及未来发展的需要，确保耐久实用。</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开放性</w:t>
      </w:r>
    </w:p>
    <w:p>
      <w:pPr>
        <w:spacing w:line="360" w:lineRule="auto"/>
        <w:ind w:firstLine="420"/>
        <w:rPr>
          <w:rFonts w:ascii="宋体" w:hAnsi="宋体" w:eastAsia="宋体"/>
          <w:sz w:val="24"/>
          <w:szCs w:val="24"/>
        </w:rPr>
      </w:pPr>
      <w:r>
        <w:rPr>
          <w:rFonts w:hint="eastAsia" w:ascii="宋体" w:hAnsi="宋体"/>
          <w:sz w:val="24"/>
          <w:szCs w:val="24"/>
        </w:rPr>
        <w:t>系统采用开放性设计，在数据通信协议、数据标准、数据库系统、应用界面开发、接口设计等方面采用开放性设计，支持XML、SOAP、WebService、LDAP等当前受到普遍支持的开放标准，这样一方面保证系统能够与其他平台的应用系统、数据库等相互交换数据并进行应用级的互操作和互连性，另一方面也便于将来改造、扩容和升级。</w:t>
      </w:r>
    </w:p>
    <w:p>
      <w:pPr>
        <w:spacing w:line="360" w:lineRule="auto"/>
        <w:ind w:firstLine="420"/>
        <w:rPr>
          <w:rFonts w:ascii="宋体" w:hAnsi="宋体"/>
          <w:sz w:val="24"/>
          <w:szCs w:val="24"/>
        </w:rPr>
      </w:pPr>
      <w:r>
        <w:rPr>
          <w:rFonts w:hint="eastAsia" w:ascii="宋体" w:hAnsi="宋体"/>
          <w:sz w:val="24"/>
          <w:szCs w:val="24"/>
        </w:rPr>
        <w:t>系统应能方便地扩展，可随着业务需求的变化而扩充；系统的配置也能相应地改变和延展，已实现业务上需要的新功能。</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安全性</w:t>
      </w:r>
    </w:p>
    <w:p>
      <w:pPr>
        <w:pStyle w:val="43"/>
        <w:spacing w:after="156" w:line="360" w:lineRule="auto"/>
        <w:ind w:firstLine="480"/>
        <w:rPr>
          <w:rFonts w:ascii="宋体" w:hAnsi="宋体"/>
          <w:sz w:val="24"/>
          <w:szCs w:val="24"/>
        </w:rPr>
      </w:pPr>
      <w:r>
        <w:rPr>
          <w:rFonts w:hint="eastAsia" w:ascii="宋体" w:hAnsi="宋体"/>
          <w:sz w:val="24"/>
          <w:szCs w:val="24"/>
        </w:rPr>
        <w:t>使用的信息安全产品和技术方案在设计和实现的全过程中，必须有具体的措施来充分保证其安全性，以确保系统数据处理的一致性，保证业务和数据不被非法侵用和修改伪造，保证数据不因意外情况丢失和损坏，提供多种安全检查审计手段。</w:t>
      </w:r>
    </w:p>
    <w:p>
      <w:pPr>
        <w:pStyle w:val="43"/>
        <w:spacing w:after="156" w:line="360" w:lineRule="auto"/>
        <w:ind w:firstLine="480"/>
        <w:rPr>
          <w:rFonts w:ascii="宋体" w:hAnsi="宋体"/>
          <w:sz w:val="24"/>
          <w:szCs w:val="24"/>
        </w:rPr>
      </w:pPr>
      <w:r>
        <w:rPr>
          <w:rFonts w:hint="eastAsia" w:ascii="宋体" w:hAnsi="宋体"/>
          <w:sz w:val="24"/>
          <w:szCs w:val="24"/>
        </w:rPr>
        <w:t>依托系统的相关安全设置以及应用系统的安全性，实现整个系统的安全性。确保系统不被非授权用户侵入，数据不丢失，传输时数据不被非法获取、篡改，确认对使用者、发送和接收者的身份等。</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可靠性</w:t>
      </w:r>
    </w:p>
    <w:p>
      <w:pPr>
        <w:pStyle w:val="43"/>
        <w:spacing w:after="156" w:line="360" w:lineRule="auto"/>
        <w:ind w:firstLine="480"/>
        <w:rPr>
          <w:rFonts w:ascii="宋体" w:hAnsi="宋体"/>
          <w:sz w:val="24"/>
          <w:szCs w:val="24"/>
        </w:rPr>
      </w:pPr>
      <w:r>
        <w:rPr>
          <w:rFonts w:hint="eastAsia" w:ascii="宋体" w:hAnsi="宋体"/>
          <w:sz w:val="24"/>
          <w:szCs w:val="24"/>
        </w:rPr>
        <w:t>系统在设计时将充分考虑系统对可靠性的要求，可采用多种高可靠、高可用性技术以使系统能够保证高可靠性，尤其是保证关键业务的连续不间断运作和对非正常情况的可靠处理。同时，对项目实施过程实行严格的技术管理和设备的冗余配置，保证系统运行的可靠性。</w:t>
      </w:r>
    </w:p>
    <w:p>
      <w:pPr>
        <w:pStyle w:val="17"/>
        <w:widowControl w:val="0"/>
        <w:numPr>
          <w:ilvl w:val="0"/>
          <w:numId w:val="6"/>
        </w:numPr>
        <w:adjustRightInd w:val="0"/>
        <w:spacing w:before="156" w:beforeAutospacing="0" w:after="156" w:afterAutospacing="0" w:line="360" w:lineRule="auto"/>
        <w:ind w:left="567" w:firstLine="420"/>
        <w:rPr>
          <w:rFonts w:eastAsia="宋体"/>
          <w:b/>
          <w:bCs/>
          <w:kern w:val="2"/>
        </w:rPr>
      </w:pPr>
      <w:r>
        <w:rPr>
          <w:rFonts w:hint="eastAsia" w:eastAsia="宋体"/>
          <w:b/>
          <w:bCs/>
          <w:kern w:val="2"/>
        </w:rPr>
        <w:t>标准化</w:t>
      </w:r>
    </w:p>
    <w:p>
      <w:pPr>
        <w:spacing w:line="360" w:lineRule="auto"/>
        <w:ind w:firstLine="420"/>
        <w:rPr>
          <w:rFonts w:ascii="宋体" w:hAnsi="宋体" w:eastAsia="宋体"/>
          <w:sz w:val="24"/>
          <w:szCs w:val="24"/>
        </w:rPr>
      </w:pPr>
      <w:r>
        <w:rPr>
          <w:rFonts w:hint="eastAsia" w:ascii="宋体" w:hAnsi="宋体"/>
          <w:sz w:val="24"/>
          <w:szCs w:val="24"/>
        </w:rPr>
        <w:t>标准化、规范化是系统开发和建设的前提条件和必要保障，也是与其他系统兼容和进一步扩充的根本保证。在系统的建设、运行管理、维护的全过程中，应当遵循相应的国家标准和行业标准，同时制定医院自己的相关规范。在操作上，有标准可遵循的一定要遵循标准如：SNOMED、DICOM3.0、HL7、IHE等。系统建设选用的标准必须满足业务功能的实现。需要与其他系统进行数据交换的数据必须符合国家和地方行政部门正式颁布的数据交换要求。</w:t>
      </w:r>
    </w:p>
    <w:p>
      <w:pPr>
        <w:pStyle w:val="4"/>
        <w:spacing w:before="156"/>
        <w:jc w:val="center"/>
        <w:rPr>
          <w:sz w:val="32"/>
          <w:szCs w:val="32"/>
        </w:rPr>
      </w:pPr>
      <w:r>
        <w:rPr>
          <w:rFonts w:hint="eastAsia"/>
          <w:sz w:val="32"/>
          <w:szCs w:val="32"/>
        </w:rPr>
        <w:t>建设清单</w:t>
      </w:r>
    </w:p>
    <w:tbl>
      <w:tblPr>
        <w:tblStyle w:val="1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680"/>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000000" w:fill="A6A6A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680" w:type="dxa"/>
            <w:shd w:val="clear" w:color="000000" w:fill="A6A6A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w:t>
            </w:r>
          </w:p>
        </w:tc>
        <w:tc>
          <w:tcPr>
            <w:tcW w:w="4115" w:type="dxa"/>
            <w:shd w:val="clear" w:color="000000" w:fill="A6A6A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系统模块名称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麻醉医生工作站</w:t>
            </w: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术前麻醉访视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术中麻醉管理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麻醉医生交接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术中医嘱管理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术后麻醉管理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术后复苏管理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仪器采集服务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统计报表查询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系统配置管理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术中主任监控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麻醉质控管理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手术室护士站工作站</w:t>
            </w: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医嘱审核执行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手术护理文书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手术麻醉计费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手术室汇总领药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护理部敏感指标管理</w:t>
            </w: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数据补录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指标统计分析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康复管理系统</w:t>
            </w: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治疗项目管理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患者康复信息共享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智能决策统计分析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康复出院指导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治疗预约管理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治疗方案推荐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康复团队会议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高压氧管理信息系统</w:t>
            </w: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预约管理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签到管理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高压氧舱管理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汇总查询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系统设置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门诊应急管理</w:t>
            </w: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单机挂号收费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单机数据回传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财务账目核对处理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门诊病历质控</w:t>
            </w: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质控评分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病历质量查询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2680" w:type="dxa"/>
            <w:vMerge w:val="restart"/>
            <w:shd w:val="clear" w:color="auto" w:fill="auto"/>
            <w:noWrap/>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血库信息管理系统</w:t>
            </w: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血袋库位管理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医生站申请及审核管理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电子申请单接受及调阅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护士领血单管理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备血消息提醒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用血安全管理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输血不良反应记录及反馈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2680" w:type="dxa"/>
            <w:vMerge w:val="continue"/>
            <w:vAlign w:val="center"/>
          </w:tcPr>
          <w:p>
            <w:pPr>
              <w:widowControl/>
              <w:spacing w:line="360" w:lineRule="auto"/>
              <w:jc w:val="left"/>
              <w:rPr>
                <w:rFonts w:ascii="宋体" w:hAnsi="宋体" w:eastAsia="宋体" w:cs="宋体"/>
                <w:color w:val="0000FF"/>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用血计划管理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2680" w:type="dxa"/>
            <w:vMerge w:val="restart"/>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电子病历五级评审相关内容</w:t>
            </w: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临床数据中心升级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FF"/>
                <w:kern w:val="0"/>
                <w:szCs w:val="21"/>
              </w:rPr>
            </w:pPr>
            <w:r>
              <w:rPr>
                <w:rFonts w:hint="eastAsia" w:ascii="宋体" w:hAnsi="宋体" w:eastAsia="宋体" w:cs="宋体"/>
                <w:color w:val="0000FF"/>
                <w:kern w:val="0"/>
                <w:szCs w:val="21"/>
              </w:rPr>
              <w:t>闭环管理升级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数据质量评估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0" w:type="dxa"/>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2680" w:type="dxa"/>
            <w:vMerge w:val="continue"/>
            <w:vAlign w:val="center"/>
          </w:tcPr>
          <w:p>
            <w:pPr>
              <w:widowControl/>
              <w:spacing w:line="360" w:lineRule="auto"/>
              <w:jc w:val="left"/>
              <w:rPr>
                <w:rFonts w:ascii="宋体" w:hAnsi="宋体" w:eastAsia="宋体" w:cs="宋体"/>
                <w:color w:val="000000"/>
                <w:kern w:val="0"/>
                <w:szCs w:val="21"/>
              </w:rPr>
            </w:pPr>
          </w:p>
        </w:tc>
        <w:tc>
          <w:tcPr>
            <w:tcW w:w="4115" w:type="dxa"/>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评审服务</w:t>
            </w:r>
          </w:p>
        </w:tc>
      </w:tr>
    </w:tbl>
    <w:p>
      <w:pPr>
        <w:spacing w:line="360" w:lineRule="auto"/>
      </w:pPr>
    </w:p>
    <w:p>
      <w:pPr>
        <w:pStyle w:val="4"/>
        <w:spacing w:before="156"/>
        <w:jc w:val="center"/>
        <w:rPr>
          <w:sz w:val="32"/>
          <w:szCs w:val="32"/>
        </w:rPr>
      </w:pPr>
      <w:r>
        <w:rPr>
          <w:rFonts w:hint="eastAsia"/>
          <w:sz w:val="32"/>
          <w:szCs w:val="32"/>
        </w:rPr>
        <w:t>产品功能概述</w:t>
      </w:r>
    </w:p>
    <w:p>
      <w:pPr>
        <w:pStyle w:val="5"/>
      </w:pPr>
      <w:r>
        <w:rPr>
          <w:rFonts w:hint="eastAsia"/>
        </w:rPr>
        <w:t>麻醉医生工作站</w:t>
      </w:r>
    </w:p>
    <w:p>
      <w:pPr>
        <w:pStyle w:val="6"/>
      </w:pPr>
      <w:r>
        <w:rPr>
          <w:rFonts w:hint="eastAsia"/>
        </w:rPr>
        <w:t>术前麻醉访视</w:t>
      </w:r>
    </w:p>
    <w:p>
      <w:pPr>
        <w:numPr>
          <w:ilvl w:val="0"/>
          <w:numId w:val="8"/>
        </w:numPr>
        <w:spacing w:line="360" w:lineRule="auto"/>
        <w:rPr>
          <w:sz w:val="24"/>
          <w:szCs w:val="28"/>
        </w:rPr>
      </w:pPr>
      <w:r>
        <w:rPr>
          <w:rFonts w:hint="eastAsia" w:ascii="宋体" w:hAnsi="宋体"/>
          <w:sz w:val="24"/>
          <w:szCs w:val="28"/>
        </w:rPr>
        <w:t>支持查看患者基本就诊信息，手术申请和安排信息。</w:t>
      </w:r>
    </w:p>
    <w:p>
      <w:pPr>
        <w:numPr>
          <w:ilvl w:val="0"/>
          <w:numId w:val="8"/>
        </w:numPr>
        <w:spacing w:line="360" w:lineRule="auto"/>
        <w:rPr>
          <w:sz w:val="24"/>
          <w:szCs w:val="28"/>
        </w:rPr>
      </w:pPr>
      <w:r>
        <w:rPr>
          <w:rFonts w:hint="eastAsia" w:ascii="宋体" w:hAnsi="宋体"/>
          <w:sz w:val="24"/>
          <w:szCs w:val="28"/>
        </w:rPr>
        <w:t>支持麻醉术前访视与麻醉评估，提供术前麻醉访视及评估表单，麻醉知情同意书以及涉及麻醉自费用药或耗材等麻醉相关文书。</w:t>
      </w:r>
    </w:p>
    <w:p>
      <w:pPr>
        <w:numPr>
          <w:ilvl w:val="0"/>
          <w:numId w:val="8"/>
        </w:numPr>
        <w:spacing w:line="360" w:lineRule="auto"/>
        <w:rPr>
          <w:sz w:val="24"/>
          <w:szCs w:val="28"/>
        </w:rPr>
      </w:pPr>
      <w:r>
        <w:rPr>
          <w:rFonts w:hint="eastAsia" w:ascii="宋体" w:hAnsi="宋体"/>
          <w:sz w:val="24"/>
          <w:szCs w:val="28"/>
        </w:rPr>
        <w:t>支持麻醉计划文书，辅助麻醉医生通过系统查看患者病情、病史，便于拟定患者麻醉计划。</w:t>
      </w:r>
    </w:p>
    <w:p>
      <w:pPr>
        <w:numPr>
          <w:ilvl w:val="0"/>
          <w:numId w:val="8"/>
        </w:numPr>
        <w:spacing w:line="360" w:lineRule="auto"/>
        <w:rPr>
          <w:sz w:val="24"/>
          <w:szCs w:val="28"/>
        </w:rPr>
      </w:pPr>
      <w:r>
        <w:rPr>
          <w:rFonts w:hint="eastAsia" w:ascii="宋体" w:hAnsi="宋体"/>
          <w:sz w:val="24"/>
          <w:szCs w:val="28"/>
        </w:rPr>
        <w:t>支持与医院信息系统（如患者</w:t>
      </w:r>
      <w:r>
        <w:rPr>
          <w:rFonts w:hint="eastAsia" w:cs="Calibri"/>
          <w:sz w:val="24"/>
          <w:szCs w:val="28"/>
        </w:rPr>
        <w:t>360</w:t>
      </w:r>
      <w:r>
        <w:rPr>
          <w:rFonts w:hint="eastAsia" w:ascii="宋体" w:hAnsi="宋体"/>
          <w:sz w:val="24"/>
          <w:szCs w:val="28"/>
        </w:rPr>
        <w:t>视图）集成，查看患者的电子病历信息、检查检验信息、影像报告、医嘱信息等。</w:t>
      </w:r>
    </w:p>
    <w:p>
      <w:pPr>
        <w:pStyle w:val="6"/>
      </w:pPr>
      <w:r>
        <w:rPr>
          <w:rFonts w:hint="eastAsia"/>
        </w:rPr>
        <w:t>术中麻醉管理</w:t>
      </w:r>
    </w:p>
    <w:p>
      <w:pPr>
        <w:numPr>
          <w:ilvl w:val="0"/>
          <w:numId w:val="8"/>
        </w:numPr>
        <w:spacing w:line="360" w:lineRule="auto"/>
        <w:rPr>
          <w:sz w:val="24"/>
          <w:szCs w:val="28"/>
        </w:rPr>
      </w:pPr>
      <w:r>
        <w:rPr>
          <w:rFonts w:hint="eastAsia" w:ascii="宋体" w:hAnsi="宋体"/>
          <w:sz w:val="24"/>
          <w:szCs w:val="28"/>
        </w:rPr>
        <w:t>支持图形化展示各手术间当天的手术排台情况，一览各个手术状态。</w:t>
      </w:r>
    </w:p>
    <w:p>
      <w:pPr>
        <w:numPr>
          <w:ilvl w:val="0"/>
          <w:numId w:val="8"/>
        </w:numPr>
        <w:spacing w:line="360" w:lineRule="auto"/>
        <w:rPr>
          <w:sz w:val="24"/>
          <w:szCs w:val="28"/>
        </w:rPr>
      </w:pPr>
      <w:r>
        <w:rPr>
          <w:rFonts w:hint="eastAsia" w:ascii="宋体" w:hAnsi="宋体"/>
          <w:sz w:val="24"/>
          <w:szCs w:val="28"/>
        </w:rPr>
        <w:t>支持给接台手术的主刀医生发送提醒，消息支持对接短信平台或院内医生端</w:t>
      </w:r>
      <w:r>
        <w:rPr>
          <w:rFonts w:hint="eastAsia" w:cs="Calibri"/>
          <w:sz w:val="24"/>
          <w:szCs w:val="28"/>
        </w:rPr>
        <w:t>APP</w:t>
      </w:r>
      <w:r>
        <w:rPr>
          <w:rFonts w:hint="eastAsia" w:ascii="宋体" w:hAnsi="宋体"/>
          <w:sz w:val="24"/>
          <w:szCs w:val="28"/>
        </w:rPr>
        <w:t>。</w:t>
      </w:r>
    </w:p>
    <w:p>
      <w:pPr>
        <w:numPr>
          <w:ilvl w:val="0"/>
          <w:numId w:val="8"/>
        </w:numPr>
        <w:spacing w:line="360" w:lineRule="auto"/>
        <w:rPr>
          <w:sz w:val="24"/>
          <w:szCs w:val="28"/>
        </w:rPr>
      </w:pPr>
      <w:r>
        <w:rPr>
          <w:rFonts w:hint="eastAsia" w:ascii="宋体" w:hAnsi="宋体"/>
          <w:sz w:val="24"/>
          <w:szCs w:val="28"/>
        </w:rPr>
        <w:t>支持麻醉记录单，自动将采集到的监护仪、麻醉机生命体征参数记录在麻醉单上。</w:t>
      </w:r>
    </w:p>
    <w:p>
      <w:pPr>
        <w:numPr>
          <w:ilvl w:val="0"/>
          <w:numId w:val="8"/>
        </w:numPr>
        <w:spacing w:line="360" w:lineRule="auto"/>
        <w:rPr>
          <w:sz w:val="24"/>
          <w:szCs w:val="28"/>
        </w:rPr>
      </w:pPr>
      <w:r>
        <w:rPr>
          <w:rFonts w:hint="eastAsia" w:ascii="宋体" w:hAnsi="宋体"/>
          <w:sz w:val="24"/>
          <w:szCs w:val="28"/>
        </w:rPr>
        <w:t>支持对术中患者的体征数据进行实时监测，指标异常时进行报警。</w:t>
      </w:r>
    </w:p>
    <w:p>
      <w:pPr>
        <w:numPr>
          <w:ilvl w:val="0"/>
          <w:numId w:val="8"/>
        </w:numPr>
        <w:spacing w:line="360" w:lineRule="auto"/>
        <w:rPr>
          <w:sz w:val="24"/>
          <w:szCs w:val="28"/>
        </w:rPr>
      </w:pPr>
      <w:r>
        <w:rPr>
          <w:rFonts w:hint="eastAsia" w:ascii="宋体" w:hAnsi="宋体"/>
          <w:sz w:val="24"/>
          <w:szCs w:val="28"/>
        </w:rPr>
        <w:t>支持自动记取对应的时间作为事件发生时间（或持续事件的起始时间），自动匹配该事件对应的剂量、途径、持续情况。</w:t>
      </w:r>
    </w:p>
    <w:p>
      <w:pPr>
        <w:numPr>
          <w:ilvl w:val="0"/>
          <w:numId w:val="8"/>
        </w:numPr>
        <w:spacing w:line="360" w:lineRule="auto"/>
        <w:rPr>
          <w:sz w:val="24"/>
          <w:szCs w:val="28"/>
        </w:rPr>
      </w:pPr>
      <w:r>
        <w:rPr>
          <w:rFonts w:hint="eastAsia" w:ascii="宋体" w:hAnsi="宋体"/>
          <w:sz w:val="24"/>
          <w:szCs w:val="28"/>
        </w:rPr>
        <w:t>支持将术中麻醉操作以数字序号方式标记在治疗序号区域对应时间点，对应麻醉备注区域事件详情。</w:t>
      </w:r>
    </w:p>
    <w:p>
      <w:pPr>
        <w:numPr>
          <w:ilvl w:val="0"/>
          <w:numId w:val="8"/>
        </w:numPr>
        <w:spacing w:line="360" w:lineRule="auto"/>
        <w:rPr>
          <w:sz w:val="24"/>
          <w:szCs w:val="28"/>
        </w:rPr>
      </w:pPr>
      <w:r>
        <w:rPr>
          <w:rFonts w:hint="eastAsia" w:ascii="宋体" w:hAnsi="宋体"/>
          <w:sz w:val="24"/>
          <w:szCs w:val="28"/>
        </w:rPr>
        <w:t>支持用户对受到干扰的误差生命体征数据进行修正。</w:t>
      </w:r>
    </w:p>
    <w:p>
      <w:pPr>
        <w:numPr>
          <w:ilvl w:val="0"/>
          <w:numId w:val="8"/>
        </w:numPr>
        <w:spacing w:line="360" w:lineRule="auto"/>
        <w:rPr>
          <w:sz w:val="24"/>
          <w:szCs w:val="28"/>
        </w:rPr>
      </w:pPr>
      <w:r>
        <w:rPr>
          <w:rFonts w:hint="eastAsia" w:ascii="宋体" w:hAnsi="宋体"/>
          <w:sz w:val="24"/>
          <w:szCs w:val="28"/>
        </w:rPr>
        <w:t>支持实现术中出入量汇总自动计算。</w:t>
      </w:r>
    </w:p>
    <w:p>
      <w:pPr>
        <w:numPr>
          <w:ilvl w:val="0"/>
          <w:numId w:val="8"/>
        </w:numPr>
        <w:spacing w:line="360" w:lineRule="auto"/>
        <w:rPr>
          <w:sz w:val="24"/>
          <w:szCs w:val="28"/>
        </w:rPr>
      </w:pPr>
      <w:r>
        <w:rPr>
          <w:rFonts w:hint="eastAsia" w:ascii="宋体" w:hAnsi="宋体"/>
          <w:sz w:val="24"/>
          <w:szCs w:val="28"/>
        </w:rPr>
        <w:t>支持转出手术时，可选择转出至病房、</w:t>
      </w:r>
      <w:r>
        <w:rPr>
          <w:rFonts w:hint="eastAsia" w:cs="Calibri"/>
          <w:sz w:val="24"/>
          <w:szCs w:val="28"/>
        </w:rPr>
        <w:t>PACU</w:t>
      </w:r>
      <w:r>
        <w:rPr>
          <w:rFonts w:hint="eastAsia" w:ascii="宋体" w:hAnsi="宋体"/>
          <w:sz w:val="24"/>
          <w:szCs w:val="28"/>
        </w:rPr>
        <w:t>、</w:t>
      </w:r>
      <w:r>
        <w:rPr>
          <w:rFonts w:hint="eastAsia" w:cs="Calibri"/>
          <w:sz w:val="24"/>
          <w:szCs w:val="28"/>
        </w:rPr>
        <w:t>ICU</w:t>
      </w:r>
      <w:r>
        <w:rPr>
          <w:rFonts w:hint="eastAsia" w:ascii="宋体" w:hAnsi="宋体"/>
          <w:sz w:val="24"/>
          <w:szCs w:val="28"/>
        </w:rPr>
        <w:t>。</w:t>
      </w:r>
    </w:p>
    <w:p>
      <w:pPr>
        <w:numPr>
          <w:ilvl w:val="0"/>
          <w:numId w:val="8"/>
        </w:numPr>
        <w:spacing w:line="360" w:lineRule="auto"/>
        <w:rPr>
          <w:sz w:val="24"/>
          <w:szCs w:val="28"/>
        </w:rPr>
      </w:pPr>
      <w:r>
        <w:rPr>
          <w:rFonts w:hint="eastAsia" w:ascii="宋体" w:hAnsi="宋体"/>
          <w:sz w:val="24"/>
          <w:szCs w:val="28"/>
        </w:rPr>
        <w:t>支持械清点单，记录术中手术器械名称和数量，并可记录核对后的器械数量。</w:t>
      </w:r>
    </w:p>
    <w:p>
      <w:pPr>
        <w:numPr>
          <w:ilvl w:val="0"/>
          <w:numId w:val="8"/>
        </w:numPr>
        <w:spacing w:line="360" w:lineRule="auto"/>
        <w:rPr>
          <w:sz w:val="24"/>
          <w:szCs w:val="28"/>
        </w:rPr>
      </w:pPr>
      <w:r>
        <w:rPr>
          <w:rFonts w:hint="eastAsia" w:ascii="宋体" w:hAnsi="宋体"/>
          <w:sz w:val="24"/>
          <w:szCs w:val="28"/>
        </w:rPr>
        <w:t>支持麻醉记录单生命体征间隔可自定义</w:t>
      </w:r>
      <w:r>
        <w:rPr>
          <w:rFonts w:hint="eastAsia" w:cs="Calibri"/>
          <w:sz w:val="24"/>
          <w:szCs w:val="28"/>
        </w:rPr>
        <w:t>1</w:t>
      </w:r>
      <w:r>
        <w:rPr>
          <w:rFonts w:hint="eastAsia" w:ascii="宋体" w:hAnsi="宋体"/>
          <w:sz w:val="24"/>
          <w:szCs w:val="28"/>
        </w:rPr>
        <w:t>分钟，</w:t>
      </w:r>
      <w:r>
        <w:rPr>
          <w:rFonts w:hint="eastAsia" w:cs="Calibri"/>
          <w:sz w:val="24"/>
          <w:szCs w:val="28"/>
        </w:rPr>
        <w:t>2</w:t>
      </w:r>
      <w:r>
        <w:rPr>
          <w:rFonts w:hint="eastAsia" w:ascii="宋体" w:hAnsi="宋体"/>
          <w:sz w:val="24"/>
          <w:szCs w:val="28"/>
        </w:rPr>
        <w:t>分钟，</w:t>
      </w:r>
      <w:r>
        <w:rPr>
          <w:rFonts w:hint="eastAsia" w:cs="Calibri"/>
          <w:sz w:val="24"/>
          <w:szCs w:val="28"/>
        </w:rPr>
        <w:t>5</w:t>
      </w:r>
      <w:r>
        <w:rPr>
          <w:rFonts w:hint="eastAsia" w:ascii="宋体" w:hAnsi="宋体"/>
          <w:sz w:val="24"/>
          <w:szCs w:val="28"/>
        </w:rPr>
        <w:t>分钟。</w:t>
      </w:r>
    </w:p>
    <w:p>
      <w:pPr>
        <w:numPr>
          <w:ilvl w:val="0"/>
          <w:numId w:val="8"/>
        </w:numPr>
        <w:spacing w:line="360" w:lineRule="auto"/>
        <w:rPr>
          <w:sz w:val="24"/>
          <w:szCs w:val="28"/>
        </w:rPr>
      </w:pPr>
      <w:r>
        <w:rPr>
          <w:rFonts w:hint="eastAsia" w:ascii="宋体" w:hAnsi="宋体"/>
          <w:sz w:val="24"/>
          <w:szCs w:val="28"/>
        </w:rPr>
        <w:t>支持术中抢救模式切换，对病情危重患者提供一键抢救功能，抢救模式下自动</w:t>
      </w:r>
      <w:r>
        <w:rPr>
          <w:rFonts w:hint="eastAsia" w:cs="Calibri"/>
          <w:sz w:val="24"/>
          <w:szCs w:val="28"/>
        </w:rPr>
        <w:t>30s</w:t>
      </w:r>
      <w:r>
        <w:rPr>
          <w:rFonts w:hint="eastAsia" w:ascii="宋体" w:hAnsi="宋体"/>
          <w:sz w:val="24"/>
          <w:szCs w:val="28"/>
        </w:rPr>
        <w:t>间隔呈现。</w:t>
      </w:r>
    </w:p>
    <w:p>
      <w:pPr>
        <w:numPr>
          <w:ilvl w:val="0"/>
          <w:numId w:val="8"/>
        </w:numPr>
        <w:spacing w:line="360" w:lineRule="auto"/>
        <w:rPr>
          <w:sz w:val="24"/>
          <w:szCs w:val="28"/>
        </w:rPr>
      </w:pPr>
      <w:r>
        <w:rPr>
          <w:rFonts w:hint="eastAsia" w:ascii="宋体" w:hAnsi="宋体"/>
          <w:sz w:val="24"/>
          <w:szCs w:val="28"/>
        </w:rPr>
        <w:t>支持术中针对用药、事件录入，录入支持设置模板并通过模板进行录入。</w:t>
      </w:r>
    </w:p>
    <w:p>
      <w:pPr>
        <w:numPr>
          <w:ilvl w:val="0"/>
          <w:numId w:val="8"/>
        </w:numPr>
        <w:spacing w:line="360" w:lineRule="auto"/>
        <w:rPr>
          <w:sz w:val="24"/>
          <w:szCs w:val="28"/>
        </w:rPr>
      </w:pPr>
      <w:r>
        <w:rPr>
          <w:rFonts w:hint="eastAsia" w:ascii="宋体" w:hAnsi="宋体"/>
          <w:sz w:val="24"/>
          <w:szCs w:val="28"/>
        </w:rPr>
        <w:t>支持如</w:t>
      </w:r>
      <w:r>
        <w:rPr>
          <w:rFonts w:hint="eastAsia" w:cs="Calibri"/>
          <w:sz w:val="24"/>
          <w:szCs w:val="28"/>
        </w:rPr>
        <w:t>Apache II</w:t>
      </w:r>
      <w:r>
        <w:rPr>
          <w:rFonts w:hint="eastAsia" w:ascii="宋体" w:hAnsi="宋体"/>
          <w:sz w:val="24"/>
          <w:szCs w:val="28"/>
        </w:rPr>
        <w:t>评分、</w:t>
      </w:r>
      <w:r>
        <w:rPr>
          <w:rFonts w:hint="eastAsia" w:cs="Calibri"/>
          <w:sz w:val="24"/>
          <w:szCs w:val="28"/>
        </w:rPr>
        <w:t>TISS</w:t>
      </w:r>
      <w:r>
        <w:rPr>
          <w:rFonts w:hint="eastAsia" w:ascii="宋体" w:hAnsi="宋体"/>
          <w:sz w:val="24"/>
          <w:szCs w:val="28"/>
        </w:rPr>
        <w:t>评分、</w:t>
      </w:r>
      <w:r>
        <w:rPr>
          <w:rFonts w:hint="eastAsia" w:cs="Calibri"/>
          <w:sz w:val="24"/>
          <w:szCs w:val="28"/>
        </w:rPr>
        <w:t>PRAS</w:t>
      </w:r>
      <w:r>
        <w:rPr>
          <w:rFonts w:hint="eastAsia" w:ascii="宋体" w:hAnsi="宋体"/>
          <w:sz w:val="24"/>
          <w:szCs w:val="28"/>
        </w:rPr>
        <w:t>麻醉恢复评分至少一种自动风险评分。</w:t>
      </w:r>
    </w:p>
    <w:p>
      <w:pPr>
        <w:numPr>
          <w:ilvl w:val="0"/>
          <w:numId w:val="8"/>
        </w:numPr>
        <w:spacing w:line="360" w:lineRule="auto"/>
        <w:rPr>
          <w:sz w:val="24"/>
          <w:szCs w:val="28"/>
        </w:rPr>
      </w:pPr>
      <w:r>
        <w:rPr>
          <w:rFonts w:hint="eastAsia" w:ascii="宋体" w:hAnsi="宋体"/>
          <w:sz w:val="24"/>
          <w:szCs w:val="28"/>
        </w:rPr>
        <w:t>支持血气分析仪（手术室如配备）的数据自动采集与管理。</w:t>
      </w:r>
    </w:p>
    <w:p>
      <w:pPr>
        <w:pStyle w:val="6"/>
      </w:pPr>
      <w:r>
        <w:rPr>
          <w:rFonts w:hint="eastAsia"/>
        </w:rPr>
        <w:t>麻醉医生交接</w:t>
      </w:r>
    </w:p>
    <w:p>
      <w:pPr>
        <w:numPr>
          <w:ilvl w:val="0"/>
          <w:numId w:val="8"/>
        </w:numPr>
        <w:spacing w:line="360" w:lineRule="auto"/>
        <w:rPr>
          <w:sz w:val="24"/>
          <w:szCs w:val="28"/>
        </w:rPr>
      </w:pPr>
      <w:r>
        <w:rPr>
          <w:rFonts w:hint="eastAsia" w:ascii="宋体" w:hAnsi="宋体"/>
          <w:sz w:val="24"/>
          <w:szCs w:val="28"/>
        </w:rPr>
        <w:t>支持麻醉医生交接班记录，包括麻醉医生、交班时间。</w:t>
      </w:r>
    </w:p>
    <w:p>
      <w:pPr>
        <w:pStyle w:val="6"/>
      </w:pPr>
      <w:r>
        <w:rPr>
          <w:rFonts w:hint="eastAsia"/>
        </w:rPr>
        <w:t>术中医嘱管理</w:t>
      </w:r>
    </w:p>
    <w:p>
      <w:pPr>
        <w:numPr>
          <w:ilvl w:val="0"/>
          <w:numId w:val="8"/>
        </w:numPr>
        <w:spacing w:line="360" w:lineRule="auto"/>
        <w:rPr>
          <w:sz w:val="24"/>
          <w:szCs w:val="28"/>
        </w:rPr>
      </w:pPr>
      <w:r>
        <w:rPr>
          <w:rFonts w:hint="eastAsia" w:ascii="宋体" w:hAnsi="宋体"/>
          <w:sz w:val="24"/>
          <w:szCs w:val="28"/>
        </w:rPr>
        <w:t>支持术中医嘱的开立；</w:t>
      </w:r>
      <w:r>
        <w:rPr>
          <w:rFonts w:hint="eastAsia"/>
          <w:sz w:val="24"/>
          <w:szCs w:val="28"/>
        </w:rPr>
        <w:t xml:space="preserve">   </w:t>
      </w:r>
    </w:p>
    <w:p>
      <w:pPr>
        <w:numPr>
          <w:ilvl w:val="0"/>
          <w:numId w:val="8"/>
        </w:numPr>
        <w:spacing w:line="360" w:lineRule="auto"/>
        <w:rPr>
          <w:sz w:val="24"/>
          <w:szCs w:val="28"/>
        </w:rPr>
      </w:pPr>
      <w:r>
        <w:rPr>
          <w:rFonts w:hint="eastAsia" w:ascii="宋体" w:hAnsi="宋体"/>
          <w:sz w:val="24"/>
          <w:szCs w:val="28"/>
        </w:rPr>
        <w:t>支持麻醉记录单中术中用药记录导入术中医嘱清单；</w:t>
      </w:r>
    </w:p>
    <w:p>
      <w:pPr>
        <w:numPr>
          <w:ilvl w:val="0"/>
          <w:numId w:val="8"/>
        </w:numPr>
        <w:spacing w:line="360" w:lineRule="auto"/>
        <w:rPr>
          <w:sz w:val="24"/>
          <w:szCs w:val="28"/>
        </w:rPr>
      </w:pPr>
      <w:r>
        <w:rPr>
          <w:rFonts w:hint="eastAsia" w:ascii="宋体" w:hAnsi="宋体"/>
          <w:sz w:val="24"/>
          <w:szCs w:val="28"/>
        </w:rPr>
        <w:t>支持术中医嘱与医生站医嘱互通；</w:t>
      </w:r>
    </w:p>
    <w:p>
      <w:pPr>
        <w:spacing w:line="360" w:lineRule="auto"/>
        <w:rPr>
          <w:sz w:val="24"/>
          <w:szCs w:val="28"/>
        </w:rPr>
      </w:pPr>
      <w:r>
        <w:rPr>
          <w:rFonts w:hint="eastAsia"/>
          <w:sz w:val="24"/>
          <w:szCs w:val="28"/>
        </w:rPr>
        <w:t xml:space="preserve">   </w:t>
      </w:r>
      <w:r>
        <w:rPr>
          <w:rFonts w:hint="eastAsia" w:ascii="宋体" w:hAnsi="宋体"/>
          <w:sz w:val="24"/>
          <w:szCs w:val="28"/>
        </w:rPr>
        <w:t>要求提供与住院医生站医嘱互通的截图证明。</w:t>
      </w:r>
    </w:p>
    <w:p>
      <w:pPr>
        <w:numPr>
          <w:ilvl w:val="0"/>
          <w:numId w:val="8"/>
        </w:numPr>
        <w:spacing w:line="360" w:lineRule="auto"/>
        <w:rPr>
          <w:sz w:val="24"/>
          <w:szCs w:val="28"/>
        </w:rPr>
      </w:pPr>
      <w:r>
        <w:rPr>
          <w:rFonts w:hint="eastAsia" w:ascii="宋体" w:hAnsi="宋体"/>
          <w:sz w:val="24"/>
          <w:szCs w:val="28"/>
        </w:rPr>
        <w:t>支持成套医嘱的维护和录入成套医嘱。</w:t>
      </w:r>
    </w:p>
    <w:p>
      <w:pPr>
        <w:pStyle w:val="6"/>
      </w:pPr>
      <w:r>
        <w:rPr>
          <w:rFonts w:hint="eastAsia"/>
        </w:rPr>
        <w:t>术后麻醉管理</w:t>
      </w:r>
    </w:p>
    <w:p>
      <w:pPr>
        <w:numPr>
          <w:ilvl w:val="0"/>
          <w:numId w:val="8"/>
        </w:numPr>
        <w:spacing w:line="360" w:lineRule="auto"/>
        <w:rPr>
          <w:sz w:val="24"/>
          <w:szCs w:val="28"/>
        </w:rPr>
      </w:pPr>
      <w:r>
        <w:rPr>
          <w:rFonts w:hint="eastAsia" w:ascii="宋体" w:hAnsi="宋体"/>
          <w:sz w:val="24"/>
          <w:szCs w:val="28"/>
        </w:rPr>
        <w:t>支持术后镇痛记录单及随访单，记录患者术后镇痛效果及随访信息。</w:t>
      </w:r>
    </w:p>
    <w:p>
      <w:pPr>
        <w:numPr>
          <w:ilvl w:val="0"/>
          <w:numId w:val="8"/>
        </w:numPr>
        <w:spacing w:line="360" w:lineRule="auto"/>
        <w:rPr>
          <w:sz w:val="24"/>
          <w:szCs w:val="28"/>
        </w:rPr>
      </w:pPr>
      <w:r>
        <w:rPr>
          <w:rFonts w:hint="eastAsia" w:ascii="宋体" w:hAnsi="宋体"/>
          <w:sz w:val="24"/>
          <w:szCs w:val="28"/>
        </w:rPr>
        <w:t>支持麻醉总结记录单，记录对患者的麻醉过程、麻醉效果进行总结。</w:t>
      </w:r>
    </w:p>
    <w:p>
      <w:pPr>
        <w:pStyle w:val="6"/>
      </w:pPr>
      <w:r>
        <w:rPr>
          <w:rFonts w:hint="eastAsia"/>
        </w:rPr>
        <w:t>术后复苏管理</w:t>
      </w:r>
    </w:p>
    <w:p>
      <w:pPr>
        <w:numPr>
          <w:ilvl w:val="0"/>
          <w:numId w:val="8"/>
        </w:numPr>
        <w:spacing w:line="360" w:lineRule="auto"/>
        <w:rPr>
          <w:sz w:val="24"/>
          <w:szCs w:val="28"/>
        </w:rPr>
      </w:pPr>
      <w:r>
        <w:rPr>
          <w:rFonts w:hint="eastAsia" w:ascii="宋体" w:hAnsi="宋体"/>
          <w:sz w:val="24"/>
          <w:szCs w:val="28"/>
        </w:rPr>
        <w:t>支持对要进行复苏的患者提前对复苏室床位进行预约，支持在手术中查看当前苏醒室床位使用情况。</w:t>
      </w:r>
    </w:p>
    <w:p>
      <w:pPr>
        <w:numPr>
          <w:ilvl w:val="0"/>
          <w:numId w:val="8"/>
        </w:numPr>
        <w:spacing w:line="360" w:lineRule="auto"/>
        <w:rPr>
          <w:sz w:val="24"/>
          <w:szCs w:val="28"/>
        </w:rPr>
      </w:pPr>
      <w:r>
        <w:rPr>
          <w:rFonts w:hint="eastAsia" w:ascii="宋体" w:hAnsi="宋体"/>
          <w:sz w:val="24"/>
          <w:szCs w:val="28"/>
        </w:rPr>
        <w:t>支持图形化展示复苏室的床位及患者信息。</w:t>
      </w:r>
    </w:p>
    <w:p>
      <w:pPr>
        <w:numPr>
          <w:ilvl w:val="0"/>
          <w:numId w:val="8"/>
        </w:numPr>
        <w:spacing w:line="360" w:lineRule="auto"/>
        <w:rPr>
          <w:sz w:val="24"/>
          <w:szCs w:val="28"/>
        </w:rPr>
      </w:pPr>
      <w:r>
        <w:rPr>
          <w:rFonts w:hint="eastAsia" w:ascii="宋体" w:hAnsi="宋体"/>
          <w:sz w:val="24"/>
          <w:szCs w:val="28"/>
        </w:rPr>
        <w:t>支持查看即将出手术间进入复苏室的患者及其床位预约信息。</w:t>
      </w:r>
    </w:p>
    <w:p>
      <w:pPr>
        <w:numPr>
          <w:ilvl w:val="0"/>
          <w:numId w:val="8"/>
        </w:numPr>
        <w:spacing w:line="360" w:lineRule="auto"/>
        <w:rPr>
          <w:sz w:val="24"/>
          <w:szCs w:val="28"/>
        </w:rPr>
      </w:pPr>
      <w:r>
        <w:rPr>
          <w:rFonts w:hint="eastAsia" w:ascii="宋体" w:hAnsi="宋体"/>
          <w:sz w:val="24"/>
          <w:szCs w:val="28"/>
        </w:rPr>
        <w:t>支持选择指定复苏床位对复苏患者进行转入，记录进入</w:t>
      </w:r>
      <w:r>
        <w:rPr>
          <w:rFonts w:hint="eastAsia" w:cs="Calibri"/>
          <w:sz w:val="24"/>
          <w:szCs w:val="28"/>
        </w:rPr>
        <w:t>PACU</w:t>
      </w:r>
      <w:r>
        <w:rPr>
          <w:rFonts w:hint="eastAsia" w:ascii="宋体" w:hAnsi="宋体"/>
          <w:sz w:val="24"/>
          <w:szCs w:val="28"/>
        </w:rPr>
        <w:t>时间。</w:t>
      </w:r>
    </w:p>
    <w:p>
      <w:pPr>
        <w:numPr>
          <w:ilvl w:val="0"/>
          <w:numId w:val="8"/>
        </w:numPr>
        <w:spacing w:line="360" w:lineRule="auto"/>
        <w:rPr>
          <w:sz w:val="24"/>
          <w:szCs w:val="28"/>
        </w:rPr>
      </w:pPr>
      <w:r>
        <w:rPr>
          <w:rFonts w:hint="eastAsia" w:ascii="宋体" w:hAnsi="宋体"/>
          <w:sz w:val="24"/>
          <w:szCs w:val="28"/>
        </w:rPr>
        <w:t>支持记录术后复苏过程中的麻醉用药、事件、生命体征、患者入室情况、出室情况，并自动生成独立的术后复苏记录单。</w:t>
      </w:r>
    </w:p>
    <w:p>
      <w:pPr>
        <w:numPr>
          <w:ilvl w:val="0"/>
          <w:numId w:val="8"/>
        </w:numPr>
        <w:spacing w:line="360" w:lineRule="auto"/>
        <w:rPr>
          <w:sz w:val="24"/>
          <w:szCs w:val="28"/>
        </w:rPr>
      </w:pPr>
      <w:r>
        <w:rPr>
          <w:rFonts w:hint="eastAsia" w:ascii="宋体" w:hAnsi="宋体"/>
          <w:sz w:val="24"/>
          <w:szCs w:val="28"/>
        </w:rPr>
        <w:t>支持麻醉复苏（</w:t>
      </w:r>
      <w:r>
        <w:rPr>
          <w:rFonts w:hint="eastAsia" w:cs="Calibri"/>
          <w:sz w:val="24"/>
          <w:szCs w:val="28"/>
        </w:rPr>
        <w:t>Steward</w:t>
      </w:r>
      <w:r>
        <w:rPr>
          <w:rFonts w:hint="eastAsia" w:ascii="宋体" w:hAnsi="宋体"/>
          <w:sz w:val="24"/>
          <w:szCs w:val="28"/>
        </w:rPr>
        <w:t>苏醒评分）评分评估患者清醒程度。</w:t>
      </w:r>
    </w:p>
    <w:p>
      <w:pPr>
        <w:numPr>
          <w:ilvl w:val="0"/>
          <w:numId w:val="8"/>
        </w:numPr>
        <w:spacing w:line="360" w:lineRule="auto"/>
        <w:rPr>
          <w:sz w:val="24"/>
          <w:szCs w:val="28"/>
        </w:rPr>
      </w:pPr>
      <w:r>
        <w:rPr>
          <w:rFonts w:hint="eastAsia" w:ascii="宋体" w:hAnsi="宋体"/>
          <w:sz w:val="24"/>
          <w:szCs w:val="28"/>
        </w:rPr>
        <w:t>支持自动采集患者苏醒过程中的生命体征趋势并自动绘制在复苏记录单上。</w:t>
      </w:r>
    </w:p>
    <w:p>
      <w:pPr>
        <w:numPr>
          <w:ilvl w:val="0"/>
          <w:numId w:val="8"/>
        </w:numPr>
        <w:spacing w:line="360" w:lineRule="auto"/>
        <w:rPr>
          <w:sz w:val="24"/>
          <w:szCs w:val="28"/>
        </w:rPr>
      </w:pPr>
      <w:r>
        <w:rPr>
          <w:rFonts w:hint="eastAsia" w:ascii="宋体" w:hAnsi="宋体"/>
          <w:sz w:val="24"/>
          <w:szCs w:val="28"/>
        </w:rPr>
        <w:t>支持复苏记录单延续术中麻醉记录单的模式。</w:t>
      </w:r>
    </w:p>
    <w:p>
      <w:pPr>
        <w:numPr>
          <w:ilvl w:val="0"/>
          <w:numId w:val="8"/>
        </w:numPr>
        <w:spacing w:line="360" w:lineRule="auto"/>
        <w:rPr>
          <w:sz w:val="24"/>
          <w:szCs w:val="28"/>
        </w:rPr>
      </w:pPr>
      <w:r>
        <w:rPr>
          <w:rFonts w:hint="eastAsia" w:ascii="宋体" w:hAnsi="宋体"/>
          <w:sz w:val="24"/>
          <w:szCs w:val="28"/>
        </w:rPr>
        <w:t>支持复苏室麻醉医师可在复苏室查阅患者麻醉记录单。</w:t>
      </w:r>
    </w:p>
    <w:p>
      <w:pPr>
        <w:pStyle w:val="6"/>
      </w:pPr>
      <w:r>
        <w:rPr>
          <w:rFonts w:hint="eastAsia"/>
        </w:rPr>
        <w:t>仪器采集服务</w:t>
      </w:r>
    </w:p>
    <w:p>
      <w:pPr>
        <w:numPr>
          <w:ilvl w:val="0"/>
          <w:numId w:val="8"/>
        </w:numPr>
        <w:spacing w:line="360" w:lineRule="auto"/>
        <w:rPr>
          <w:sz w:val="24"/>
          <w:szCs w:val="28"/>
        </w:rPr>
      </w:pPr>
      <w:r>
        <w:rPr>
          <w:rFonts w:hint="eastAsia" w:ascii="宋体" w:hAnsi="宋体"/>
          <w:sz w:val="24"/>
          <w:szCs w:val="28"/>
        </w:rPr>
        <w:t>支持硬件设备接口，与各品牌监护仪、麻醉剂、呼吸机等手术室硬件设备的服务对接与实时数据采集。</w:t>
      </w:r>
    </w:p>
    <w:p>
      <w:pPr>
        <w:numPr>
          <w:ilvl w:val="0"/>
          <w:numId w:val="8"/>
        </w:numPr>
        <w:spacing w:line="360" w:lineRule="auto"/>
        <w:rPr>
          <w:sz w:val="24"/>
          <w:szCs w:val="28"/>
        </w:rPr>
      </w:pPr>
      <w:r>
        <w:rPr>
          <w:rFonts w:hint="eastAsia" w:ascii="宋体" w:hAnsi="宋体"/>
          <w:sz w:val="24"/>
          <w:szCs w:val="28"/>
        </w:rPr>
        <w:t>支持院内信息系统对接，包括：医院信息系统、实验室信息管理系统、医学影像存档与通讯系统、电子病历系统</w:t>
      </w:r>
    </w:p>
    <w:p>
      <w:pPr>
        <w:pStyle w:val="6"/>
      </w:pPr>
      <w:r>
        <w:rPr>
          <w:rFonts w:hint="eastAsia"/>
        </w:rPr>
        <w:t>统计报表查询</w:t>
      </w:r>
    </w:p>
    <w:p>
      <w:pPr>
        <w:numPr>
          <w:ilvl w:val="0"/>
          <w:numId w:val="8"/>
        </w:numPr>
        <w:spacing w:line="360" w:lineRule="auto"/>
        <w:rPr>
          <w:sz w:val="24"/>
          <w:szCs w:val="28"/>
        </w:rPr>
      </w:pPr>
      <w:r>
        <w:rPr>
          <w:rFonts w:hint="eastAsia" w:ascii="宋体" w:hAnsi="宋体"/>
          <w:sz w:val="24"/>
          <w:szCs w:val="28"/>
        </w:rPr>
        <w:t>支持麻醉科室管理指标和三级医院评审麻醉考核指标统计。</w:t>
      </w:r>
    </w:p>
    <w:p>
      <w:pPr>
        <w:numPr>
          <w:ilvl w:val="0"/>
          <w:numId w:val="8"/>
        </w:numPr>
        <w:spacing w:line="360" w:lineRule="auto"/>
        <w:rPr>
          <w:sz w:val="24"/>
          <w:szCs w:val="28"/>
        </w:rPr>
      </w:pPr>
      <w:r>
        <w:rPr>
          <w:rFonts w:hint="eastAsia" w:ascii="宋体" w:hAnsi="宋体"/>
          <w:sz w:val="24"/>
          <w:szCs w:val="28"/>
        </w:rPr>
        <w:t>支持手术完成数量统计，能够按照总数、各科室、各主刀医生进行统计。</w:t>
      </w:r>
    </w:p>
    <w:p>
      <w:pPr>
        <w:numPr>
          <w:ilvl w:val="0"/>
          <w:numId w:val="8"/>
        </w:numPr>
        <w:spacing w:line="360" w:lineRule="auto"/>
        <w:rPr>
          <w:sz w:val="24"/>
          <w:szCs w:val="28"/>
        </w:rPr>
      </w:pPr>
      <w:r>
        <w:rPr>
          <w:rFonts w:hint="eastAsia" w:ascii="宋体" w:hAnsi="宋体"/>
          <w:sz w:val="24"/>
          <w:szCs w:val="28"/>
        </w:rPr>
        <w:t>支持麻醉医生、手术室护士工作量的统计。</w:t>
      </w:r>
    </w:p>
    <w:p>
      <w:pPr>
        <w:numPr>
          <w:ilvl w:val="0"/>
          <w:numId w:val="8"/>
        </w:numPr>
        <w:spacing w:line="360" w:lineRule="auto"/>
        <w:rPr>
          <w:sz w:val="24"/>
          <w:szCs w:val="28"/>
        </w:rPr>
      </w:pPr>
      <w:r>
        <w:rPr>
          <w:rFonts w:hint="eastAsia" w:ascii="宋体" w:hAnsi="宋体"/>
          <w:sz w:val="24"/>
          <w:szCs w:val="28"/>
        </w:rPr>
        <w:t>支持患者各个年龄段分布统计、离室去向统计。</w:t>
      </w:r>
    </w:p>
    <w:p>
      <w:pPr>
        <w:numPr>
          <w:ilvl w:val="0"/>
          <w:numId w:val="8"/>
        </w:numPr>
        <w:spacing w:line="360" w:lineRule="auto"/>
        <w:rPr>
          <w:sz w:val="24"/>
          <w:szCs w:val="28"/>
        </w:rPr>
      </w:pPr>
      <w:r>
        <w:rPr>
          <w:rFonts w:hint="eastAsia" w:ascii="宋体" w:hAnsi="宋体"/>
          <w:sz w:val="24"/>
          <w:szCs w:val="28"/>
        </w:rPr>
        <w:t>支持术后镇痛治疗患者统计。</w:t>
      </w:r>
    </w:p>
    <w:p>
      <w:pPr>
        <w:numPr>
          <w:ilvl w:val="0"/>
          <w:numId w:val="8"/>
        </w:numPr>
        <w:spacing w:line="360" w:lineRule="auto"/>
        <w:rPr>
          <w:sz w:val="24"/>
          <w:szCs w:val="28"/>
        </w:rPr>
      </w:pPr>
      <w:r>
        <w:rPr>
          <w:rFonts w:hint="eastAsia" w:ascii="宋体" w:hAnsi="宋体"/>
          <w:sz w:val="24"/>
          <w:szCs w:val="28"/>
        </w:rPr>
        <w:t>支持首台手术开台时间、时间段统计。</w:t>
      </w:r>
    </w:p>
    <w:p>
      <w:pPr>
        <w:numPr>
          <w:ilvl w:val="0"/>
          <w:numId w:val="8"/>
        </w:numPr>
        <w:spacing w:line="360" w:lineRule="auto"/>
        <w:rPr>
          <w:sz w:val="24"/>
          <w:szCs w:val="28"/>
        </w:rPr>
      </w:pPr>
      <w:r>
        <w:rPr>
          <w:rFonts w:hint="eastAsia" w:ascii="宋体" w:hAnsi="宋体"/>
          <w:sz w:val="24"/>
          <w:szCs w:val="28"/>
        </w:rPr>
        <w:t>支持手术间利用率统计。</w:t>
      </w:r>
    </w:p>
    <w:p>
      <w:pPr>
        <w:pStyle w:val="6"/>
      </w:pPr>
      <w:r>
        <w:rPr>
          <w:rFonts w:hint="eastAsia"/>
        </w:rPr>
        <w:t>系统配置管理</w:t>
      </w:r>
    </w:p>
    <w:p>
      <w:pPr>
        <w:numPr>
          <w:ilvl w:val="0"/>
          <w:numId w:val="8"/>
        </w:numPr>
        <w:spacing w:line="360" w:lineRule="auto"/>
        <w:rPr>
          <w:sz w:val="24"/>
          <w:szCs w:val="28"/>
        </w:rPr>
      </w:pPr>
      <w:r>
        <w:rPr>
          <w:rFonts w:hint="eastAsia" w:ascii="宋体" w:hAnsi="宋体"/>
          <w:sz w:val="24"/>
          <w:szCs w:val="28"/>
        </w:rPr>
        <w:t>支持麻醉术前访视记录、麻醉评估、手术护理记录、术后麻醉总结文书模版配置。</w:t>
      </w:r>
    </w:p>
    <w:p>
      <w:pPr>
        <w:numPr>
          <w:ilvl w:val="0"/>
          <w:numId w:val="8"/>
        </w:numPr>
        <w:spacing w:line="360" w:lineRule="auto"/>
        <w:rPr>
          <w:sz w:val="24"/>
          <w:szCs w:val="28"/>
        </w:rPr>
      </w:pPr>
      <w:r>
        <w:rPr>
          <w:rFonts w:hint="eastAsia" w:ascii="宋体" w:hAnsi="宋体"/>
          <w:sz w:val="24"/>
          <w:szCs w:val="28"/>
        </w:rPr>
        <w:t>支持用户角色及使用权限配置。</w:t>
      </w:r>
    </w:p>
    <w:p>
      <w:pPr>
        <w:numPr>
          <w:ilvl w:val="0"/>
          <w:numId w:val="8"/>
        </w:numPr>
        <w:spacing w:line="360" w:lineRule="auto"/>
        <w:rPr>
          <w:sz w:val="24"/>
          <w:szCs w:val="28"/>
        </w:rPr>
      </w:pPr>
      <w:r>
        <w:rPr>
          <w:rFonts w:hint="eastAsia" w:ascii="宋体" w:hAnsi="宋体"/>
          <w:sz w:val="24"/>
          <w:szCs w:val="28"/>
        </w:rPr>
        <w:t>支持字典数据、设备信息、收费项目基础数据同步或配置。</w:t>
      </w:r>
    </w:p>
    <w:p>
      <w:pPr>
        <w:pStyle w:val="6"/>
      </w:pPr>
      <w:r>
        <w:rPr>
          <w:rFonts w:hint="eastAsia"/>
        </w:rPr>
        <w:t>术中主任监控</w:t>
      </w:r>
    </w:p>
    <w:p>
      <w:pPr>
        <w:numPr>
          <w:ilvl w:val="0"/>
          <w:numId w:val="8"/>
        </w:numPr>
        <w:spacing w:line="360" w:lineRule="auto"/>
        <w:rPr>
          <w:sz w:val="24"/>
          <w:szCs w:val="28"/>
        </w:rPr>
      </w:pPr>
      <w:r>
        <w:rPr>
          <w:rFonts w:hint="eastAsia" w:ascii="宋体" w:hAnsi="宋体"/>
          <w:sz w:val="24"/>
          <w:szCs w:val="28"/>
        </w:rPr>
        <w:t>支持对当前正在进行中的全部手术进行统一监控，患者生命体征数据的实时监控，对异常值进行提醒。</w:t>
      </w:r>
    </w:p>
    <w:p>
      <w:pPr>
        <w:numPr>
          <w:ilvl w:val="0"/>
          <w:numId w:val="8"/>
        </w:numPr>
        <w:spacing w:line="360" w:lineRule="auto"/>
        <w:rPr>
          <w:sz w:val="24"/>
          <w:szCs w:val="28"/>
        </w:rPr>
      </w:pPr>
      <w:r>
        <w:rPr>
          <w:rFonts w:hint="eastAsia" w:ascii="宋体" w:hAnsi="宋体"/>
          <w:sz w:val="24"/>
          <w:szCs w:val="28"/>
        </w:rPr>
        <w:t>支持查看所有正在进行中的手术患者的麻醉记录以及其它围术期相关文书、检查检验、医嘱信息。</w:t>
      </w:r>
    </w:p>
    <w:p>
      <w:pPr>
        <w:pStyle w:val="6"/>
      </w:pPr>
      <w:r>
        <w:rPr>
          <w:rFonts w:hint="eastAsia"/>
        </w:rPr>
        <w:t>手术信息公告</w:t>
      </w:r>
    </w:p>
    <w:p>
      <w:pPr>
        <w:numPr>
          <w:ilvl w:val="0"/>
          <w:numId w:val="8"/>
        </w:numPr>
        <w:spacing w:line="360" w:lineRule="auto"/>
        <w:rPr>
          <w:sz w:val="24"/>
          <w:szCs w:val="28"/>
        </w:rPr>
      </w:pPr>
      <w:r>
        <w:rPr>
          <w:rFonts w:hint="eastAsia" w:ascii="宋体" w:hAnsi="宋体"/>
          <w:sz w:val="24"/>
          <w:szCs w:val="28"/>
        </w:rPr>
        <w:t>支持家属等候区展示当前手术室内正在进行的每台手术的手术进程信息，支持对患者姓名等信息进行隐私处理。</w:t>
      </w:r>
    </w:p>
    <w:p>
      <w:pPr>
        <w:numPr>
          <w:ilvl w:val="0"/>
          <w:numId w:val="8"/>
        </w:numPr>
        <w:spacing w:line="360" w:lineRule="auto"/>
        <w:rPr>
          <w:sz w:val="24"/>
          <w:szCs w:val="28"/>
        </w:rPr>
      </w:pPr>
      <w:r>
        <w:rPr>
          <w:rFonts w:hint="eastAsia" w:ascii="宋体" w:hAnsi="宋体"/>
          <w:sz w:val="24"/>
          <w:szCs w:val="28"/>
        </w:rPr>
        <w:t>支持手术室内屏幕展示当天手术安排及人员排班信息。</w:t>
      </w:r>
    </w:p>
    <w:p>
      <w:pPr>
        <w:pStyle w:val="6"/>
      </w:pPr>
      <w:r>
        <w:rPr>
          <w:rFonts w:hint="eastAsia"/>
        </w:rPr>
        <w:t>麻醉质控管理</w:t>
      </w:r>
    </w:p>
    <w:p>
      <w:pPr>
        <w:pStyle w:val="7"/>
        <w:spacing w:before="156"/>
      </w:pPr>
      <w:r>
        <w:rPr>
          <w:rFonts w:hint="eastAsia"/>
        </w:rPr>
        <w:t>麻醉17项质控指标统计</w:t>
      </w:r>
    </w:p>
    <w:p>
      <w:pPr>
        <w:numPr>
          <w:ilvl w:val="0"/>
          <w:numId w:val="9"/>
        </w:numPr>
        <w:spacing w:line="360" w:lineRule="auto"/>
        <w:rPr>
          <w:sz w:val="24"/>
          <w:szCs w:val="28"/>
        </w:rPr>
      </w:pPr>
      <w:r>
        <w:rPr>
          <w:rFonts w:hint="eastAsia" w:ascii="宋体" w:hAnsi="宋体"/>
          <w:sz w:val="24"/>
          <w:szCs w:val="28"/>
        </w:rPr>
        <w:t>提供符合《麻醉专业医疗质量控制指标》的麻醉质控文书。</w:t>
      </w:r>
    </w:p>
    <w:p>
      <w:pPr>
        <w:numPr>
          <w:ilvl w:val="0"/>
          <w:numId w:val="9"/>
        </w:numPr>
        <w:spacing w:line="360" w:lineRule="auto"/>
        <w:rPr>
          <w:sz w:val="24"/>
          <w:szCs w:val="28"/>
        </w:rPr>
      </w:pPr>
      <w:r>
        <w:rPr>
          <w:rFonts w:hint="eastAsia" w:ascii="宋体" w:hAnsi="宋体"/>
          <w:sz w:val="24"/>
          <w:szCs w:val="28"/>
        </w:rPr>
        <w:t>支持对麻醉质控要求</w:t>
      </w:r>
      <w:r>
        <w:rPr>
          <w:rFonts w:hint="eastAsia" w:cs="Calibri"/>
          <w:sz w:val="24"/>
          <w:szCs w:val="28"/>
        </w:rPr>
        <w:t>17</w:t>
      </w:r>
      <w:r>
        <w:rPr>
          <w:rFonts w:hint="eastAsia" w:ascii="宋体" w:hAnsi="宋体"/>
          <w:sz w:val="24"/>
          <w:szCs w:val="28"/>
        </w:rPr>
        <w:t>项质控指标统计：</w:t>
      </w:r>
      <w:r>
        <w:rPr>
          <w:rFonts w:hint="eastAsia" w:cs="Calibri"/>
          <w:sz w:val="24"/>
          <w:szCs w:val="28"/>
        </w:rPr>
        <w:t>1</w:t>
      </w:r>
      <w:r>
        <w:rPr>
          <w:rFonts w:hint="eastAsia" w:ascii="宋体" w:hAnsi="宋体"/>
          <w:sz w:val="24"/>
          <w:szCs w:val="28"/>
        </w:rPr>
        <w:t>）麻醉科医患比、</w:t>
      </w:r>
      <w:r>
        <w:rPr>
          <w:rFonts w:hint="eastAsia" w:cs="Calibri"/>
          <w:sz w:val="24"/>
          <w:szCs w:val="28"/>
        </w:rPr>
        <w:t>2</w:t>
      </w:r>
      <w:r>
        <w:rPr>
          <w:rFonts w:hint="eastAsia" w:ascii="宋体" w:hAnsi="宋体"/>
          <w:sz w:val="24"/>
          <w:szCs w:val="28"/>
        </w:rPr>
        <w:t>）各</w:t>
      </w:r>
      <w:r>
        <w:rPr>
          <w:rFonts w:hint="eastAsia" w:cs="Calibri"/>
          <w:sz w:val="24"/>
          <w:szCs w:val="28"/>
        </w:rPr>
        <w:t>ASA</w:t>
      </w:r>
      <w:r>
        <w:rPr>
          <w:rFonts w:hint="eastAsia" w:ascii="宋体" w:hAnsi="宋体"/>
          <w:sz w:val="24"/>
          <w:szCs w:val="28"/>
        </w:rPr>
        <w:t>分级麻醉患者比例、</w:t>
      </w:r>
      <w:r>
        <w:rPr>
          <w:rFonts w:hint="eastAsia" w:cs="Calibri"/>
          <w:sz w:val="24"/>
          <w:szCs w:val="28"/>
        </w:rPr>
        <w:t>3</w:t>
      </w:r>
      <w:r>
        <w:rPr>
          <w:rFonts w:hint="eastAsia" w:ascii="宋体" w:hAnsi="宋体"/>
          <w:sz w:val="24"/>
          <w:szCs w:val="28"/>
        </w:rPr>
        <w:t>）急诊非择期麻醉比例、</w:t>
      </w:r>
      <w:r>
        <w:rPr>
          <w:rFonts w:hint="eastAsia" w:cs="Calibri"/>
          <w:sz w:val="24"/>
          <w:szCs w:val="28"/>
        </w:rPr>
        <w:t>4</w:t>
      </w:r>
      <w:r>
        <w:rPr>
          <w:rFonts w:hint="eastAsia" w:ascii="宋体" w:hAnsi="宋体"/>
          <w:sz w:val="24"/>
          <w:szCs w:val="28"/>
        </w:rPr>
        <w:t>）各类麻醉方式比例、</w:t>
      </w:r>
      <w:r>
        <w:rPr>
          <w:rFonts w:hint="eastAsia" w:cs="Calibri"/>
          <w:sz w:val="24"/>
          <w:szCs w:val="28"/>
        </w:rPr>
        <w:t>5</w:t>
      </w:r>
      <w:r>
        <w:rPr>
          <w:rFonts w:hint="eastAsia" w:ascii="宋体" w:hAnsi="宋体"/>
          <w:sz w:val="24"/>
          <w:szCs w:val="28"/>
        </w:rPr>
        <w:t>）麻醉开始后手术取消率、</w:t>
      </w:r>
      <w:r>
        <w:rPr>
          <w:rFonts w:hint="eastAsia" w:cs="Calibri"/>
          <w:sz w:val="24"/>
          <w:szCs w:val="28"/>
        </w:rPr>
        <w:t>6</w:t>
      </w:r>
      <w:r>
        <w:rPr>
          <w:rFonts w:hint="eastAsia" w:ascii="宋体" w:hAnsi="宋体"/>
          <w:sz w:val="24"/>
          <w:szCs w:val="28"/>
        </w:rPr>
        <w:t>）麻醉后检测治疗室（</w:t>
      </w:r>
      <w:r>
        <w:rPr>
          <w:rFonts w:hint="eastAsia" w:cs="Calibri"/>
          <w:sz w:val="24"/>
          <w:szCs w:val="28"/>
        </w:rPr>
        <w:t>PACU</w:t>
      </w:r>
      <w:r>
        <w:rPr>
          <w:rFonts w:hint="eastAsia" w:ascii="宋体" w:hAnsi="宋体"/>
          <w:sz w:val="24"/>
          <w:szCs w:val="28"/>
        </w:rPr>
        <w:t>）转出延迟率、</w:t>
      </w:r>
      <w:r>
        <w:rPr>
          <w:rFonts w:hint="eastAsia" w:cs="Calibri"/>
          <w:sz w:val="24"/>
          <w:szCs w:val="28"/>
        </w:rPr>
        <w:t>7</w:t>
      </w:r>
      <w:r>
        <w:rPr>
          <w:rFonts w:hint="eastAsia" w:ascii="宋体" w:hAnsi="宋体"/>
          <w:sz w:val="24"/>
          <w:szCs w:val="28"/>
        </w:rPr>
        <w:t>）</w:t>
      </w:r>
      <w:r>
        <w:rPr>
          <w:rFonts w:hint="eastAsia" w:cs="Calibri"/>
          <w:sz w:val="24"/>
          <w:szCs w:val="28"/>
        </w:rPr>
        <w:t>PACU</w:t>
      </w:r>
      <w:r>
        <w:rPr>
          <w:rFonts w:hint="eastAsia" w:ascii="宋体" w:hAnsi="宋体"/>
          <w:sz w:val="24"/>
          <w:szCs w:val="28"/>
        </w:rPr>
        <w:t>入室低体温率、</w:t>
      </w:r>
      <w:r>
        <w:rPr>
          <w:rFonts w:hint="eastAsia" w:cs="Calibri"/>
          <w:sz w:val="24"/>
          <w:szCs w:val="28"/>
        </w:rPr>
        <w:t>8</w:t>
      </w:r>
      <w:r>
        <w:rPr>
          <w:rFonts w:hint="eastAsia" w:ascii="宋体" w:hAnsi="宋体"/>
          <w:sz w:val="24"/>
          <w:szCs w:val="28"/>
        </w:rPr>
        <w:t>）非计划转入</w:t>
      </w:r>
      <w:r>
        <w:rPr>
          <w:rFonts w:hint="eastAsia" w:cs="Calibri"/>
          <w:sz w:val="24"/>
          <w:szCs w:val="28"/>
        </w:rPr>
        <w:t>ICU</w:t>
      </w:r>
      <w:r>
        <w:rPr>
          <w:rFonts w:hint="eastAsia" w:ascii="宋体" w:hAnsi="宋体"/>
          <w:sz w:val="24"/>
          <w:szCs w:val="28"/>
        </w:rPr>
        <w:t>率、</w:t>
      </w:r>
      <w:r>
        <w:rPr>
          <w:rFonts w:hint="eastAsia" w:cs="Calibri"/>
          <w:sz w:val="24"/>
          <w:szCs w:val="28"/>
        </w:rPr>
        <w:t>9</w:t>
      </w:r>
      <w:r>
        <w:rPr>
          <w:rFonts w:hint="eastAsia" w:ascii="宋体" w:hAnsi="宋体"/>
          <w:sz w:val="24"/>
          <w:szCs w:val="28"/>
        </w:rPr>
        <w:t>）非计划二次气管插管率、</w:t>
      </w:r>
      <w:r>
        <w:rPr>
          <w:rFonts w:hint="eastAsia" w:cs="Calibri"/>
          <w:sz w:val="24"/>
          <w:szCs w:val="28"/>
        </w:rPr>
        <w:t>10</w:t>
      </w:r>
      <w:r>
        <w:rPr>
          <w:rFonts w:hint="eastAsia" w:ascii="宋体" w:hAnsi="宋体"/>
          <w:sz w:val="24"/>
          <w:szCs w:val="28"/>
        </w:rPr>
        <w:t>）麻醉开始后</w:t>
      </w:r>
      <w:r>
        <w:rPr>
          <w:rFonts w:hint="eastAsia" w:cs="Calibri"/>
          <w:sz w:val="24"/>
          <w:szCs w:val="28"/>
        </w:rPr>
        <w:t>24</w:t>
      </w:r>
      <w:r>
        <w:rPr>
          <w:rFonts w:hint="eastAsia" w:ascii="宋体" w:hAnsi="宋体"/>
          <w:sz w:val="24"/>
          <w:szCs w:val="28"/>
        </w:rPr>
        <w:t>小时内死亡率、</w:t>
      </w:r>
      <w:r>
        <w:rPr>
          <w:rFonts w:hint="eastAsia" w:cs="Calibri"/>
          <w:sz w:val="24"/>
          <w:szCs w:val="28"/>
        </w:rPr>
        <w:t>11</w:t>
      </w:r>
      <w:r>
        <w:rPr>
          <w:rFonts w:hint="eastAsia" w:ascii="宋体" w:hAnsi="宋体"/>
          <w:sz w:val="24"/>
          <w:szCs w:val="28"/>
        </w:rPr>
        <w:t>）麻醉开始后</w:t>
      </w:r>
      <w:r>
        <w:rPr>
          <w:rFonts w:hint="eastAsia" w:cs="Calibri"/>
          <w:sz w:val="24"/>
          <w:szCs w:val="28"/>
        </w:rPr>
        <w:t>24</w:t>
      </w:r>
      <w:r>
        <w:rPr>
          <w:rFonts w:hint="eastAsia" w:ascii="宋体" w:hAnsi="宋体"/>
          <w:sz w:val="24"/>
          <w:szCs w:val="28"/>
        </w:rPr>
        <w:t>小时内心跳骤停率、</w:t>
      </w:r>
      <w:r>
        <w:rPr>
          <w:rFonts w:hint="eastAsia" w:cs="Calibri"/>
          <w:sz w:val="24"/>
          <w:szCs w:val="28"/>
        </w:rPr>
        <w:t>12</w:t>
      </w:r>
      <w:r>
        <w:rPr>
          <w:rFonts w:hint="eastAsia" w:ascii="宋体" w:hAnsi="宋体"/>
          <w:sz w:val="24"/>
          <w:szCs w:val="28"/>
        </w:rPr>
        <w:t>）术中自体血输注率、</w:t>
      </w:r>
      <w:r>
        <w:rPr>
          <w:rFonts w:hint="eastAsia" w:cs="Calibri"/>
          <w:sz w:val="24"/>
          <w:szCs w:val="28"/>
        </w:rPr>
        <w:t>13</w:t>
      </w:r>
      <w:r>
        <w:rPr>
          <w:rFonts w:hint="eastAsia" w:ascii="宋体" w:hAnsi="宋体"/>
          <w:sz w:val="24"/>
          <w:szCs w:val="28"/>
        </w:rPr>
        <w:t>）麻醉期间严重过敏反应发生率、</w:t>
      </w:r>
      <w:r>
        <w:rPr>
          <w:rFonts w:hint="eastAsia" w:cs="Calibri"/>
          <w:sz w:val="24"/>
          <w:szCs w:val="28"/>
        </w:rPr>
        <w:t>14</w:t>
      </w:r>
      <w:r>
        <w:rPr>
          <w:rFonts w:hint="eastAsia" w:ascii="宋体" w:hAnsi="宋体"/>
          <w:sz w:val="24"/>
          <w:szCs w:val="28"/>
        </w:rPr>
        <w:t>）椎管内麻醉后严重神经并发症发生率、</w:t>
      </w:r>
      <w:r>
        <w:rPr>
          <w:rFonts w:hint="eastAsia" w:cs="Calibri"/>
          <w:sz w:val="24"/>
          <w:szCs w:val="28"/>
        </w:rPr>
        <w:t>15</w:t>
      </w:r>
      <w:r>
        <w:rPr>
          <w:rFonts w:hint="eastAsia" w:ascii="宋体" w:hAnsi="宋体"/>
          <w:sz w:val="24"/>
          <w:szCs w:val="28"/>
        </w:rPr>
        <w:t>）中心静脉穿刺严重并发症发生率、</w:t>
      </w:r>
      <w:r>
        <w:rPr>
          <w:rFonts w:hint="eastAsia" w:cs="Calibri"/>
          <w:sz w:val="24"/>
          <w:szCs w:val="28"/>
        </w:rPr>
        <w:t>16</w:t>
      </w:r>
      <w:r>
        <w:rPr>
          <w:rFonts w:hint="eastAsia" w:ascii="宋体" w:hAnsi="宋体"/>
          <w:sz w:val="24"/>
          <w:szCs w:val="28"/>
        </w:rPr>
        <w:t>）全麻气管插管后声音嘶哑发生率、</w:t>
      </w:r>
      <w:r>
        <w:rPr>
          <w:rFonts w:hint="eastAsia" w:cs="Calibri"/>
          <w:sz w:val="24"/>
          <w:szCs w:val="28"/>
        </w:rPr>
        <w:t>17</w:t>
      </w:r>
      <w:r>
        <w:rPr>
          <w:rFonts w:hint="eastAsia" w:ascii="宋体" w:hAnsi="宋体"/>
          <w:sz w:val="24"/>
          <w:szCs w:val="28"/>
        </w:rPr>
        <w:t>）麻醉后新发昏迷发生率。</w:t>
      </w:r>
    </w:p>
    <w:p>
      <w:pPr>
        <w:numPr>
          <w:ilvl w:val="0"/>
          <w:numId w:val="9"/>
        </w:numPr>
        <w:spacing w:line="360" w:lineRule="auto"/>
        <w:rPr>
          <w:sz w:val="24"/>
          <w:szCs w:val="28"/>
        </w:rPr>
      </w:pPr>
      <w:r>
        <w:rPr>
          <w:rFonts w:hint="eastAsia" w:ascii="宋体" w:hAnsi="宋体"/>
          <w:sz w:val="24"/>
          <w:szCs w:val="28"/>
        </w:rPr>
        <w:t>支持对</w:t>
      </w:r>
      <w:r>
        <w:rPr>
          <w:rFonts w:hint="eastAsia" w:cs="Calibri"/>
          <w:sz w:val="24"/>
          <w:szCs w:val="28"/>
        </w:rPr>
        <w:t>17</w:t>
      </w:r>
      <w:r>
        <w:rPr>
          <w:rFonts w:hint="eastAsia" w:ascii="宋体" w:hAnsi="宋体"/>
          <w:sz w:val="24"/>
          <w:szCs w:val="28"/>
        </w:rPr>
        <w:t>项指标生成汇总统计表，支持出导出、打印。</w:t>
      </w:r>
    </w:p>
    <w:p>
      <w:pPr>
        <w:pStyle w:val="7"/>
        <w:spacing w:before="156"/>
      </w:pPr>
      <w:r>
        <w:rPr>
          <w:rFonts w:hint="eastAsia" w:ascii="宋体" w:hAnsi="宋体"/>
        </w:rPr>
        <w:t>麻醉质控上报</w:t>
      </w:r>
    </w:p>
    <w:p>
      <w:pPr>
        <w:numPr>
          <w:ilvl w:val="0"/>
          <w:numId w:val="10"/>
        </w:numPr>
        <w:spacing w:line="360" w:lineRule="auto"/>
        <w:rPr>
          <w:sz w:val="24"/>
          <w:szCs w:val="28"/>
        </w:rPr>
      </w:pPr>
      <w:r>
        <w:rPr>
          <w:rFonts w:hint="eastAsia" w:ascii="宋体" w:hAnsi="宋体"/>
          <w:sz w:val="24"/>
          <w:szCs w:val="28"/>
        </w:rPr>
        <w:t>支持通过数据对接对麻醉质控指标进行上报。</w:t>
      </w:r>
    </w:p>
    <w:p>
      <w:pPr>
        <w:pStyle w:val="5"/>
      </w:pPr>
      <w:r>
        <w:rPr>
          <w:rFonts w:hint="eastAsia"/>
        </w:rPr>
        <w:t>手术室护士工作站</w:t>
      </w:r>
    </w:p>
    <w:p>
      <w:pPr>
        <w:pStyle w:val="6"/>
      </w:pPr>
      <w:r>
        <w:rPr>
          <w:rFonts w:hint="eastAsia"/>
        </w:rPr>
        <w:t>手术安排</w:t>
      </w:r>
    </w:p>
    <w:p>
      <w:pPr>
        <w:numPr>
          <w:ilvl w:val="0"/>
          <w:numId w:val="11"/>
        </w:numPr>
        <w:spacing w:line="360" w:lineRule="auto"/>
        <w:rPr>
          <w:sz w:val="24"/>
          <w:szCs w:val="28"/>
        </w:rPr>
      </w:pPr>
      <w:r>
        <w:rPr>
          <w:rFonts w:hint="eastAsia" w:ascii="宋体" w:hAnsi="宋体"/>
          <w:sz w:val="24"/>
          <w:szCs w:val="28"/>
        </w:rPr>
        <w:t>支持接收住院医生站、急诊渠道的手术申请单并进行手术类别标识。</w:t>
      </w:r>
    </w:p>
    <w:p>
      <w:pPr>
        <w:numPr>
          <w:ilvl w:val="0"/>
          <w:numId w:val="11"/>
        </w:numPr>
        <w:spacing w:line="360" w:lineRule="auto"/>
        <w:rPr>
          <w:sz w:val="24"/>
          <w:szCs w:val="28"/>
        </w:rPr>
      </w:pPr>
      <w:r>
        <w:rPr>
          <w:rFonts w:hint="eastAsia" w:ascii="宋体" w:hAnsi="宋体"/>
          <w:sz w:val="24"/>
          <w:szCs w:val="28"/>
        </w:rPr>
        <w:t>支持以图形化拖拽的方式对手术申请、麻醉医生及护士进行台次安排和人员分配，支持手术的时间安排与预估时长。</w:t>
      </w:r>
    </w:p>
    <w:p>
      <w:pPr>
        <w:numPr>
          <w:ilvl w:val="0"/>
          <w:numId w:val="11"/>
        </w:numPr>
        <w:spacing w:line="360" w:lineRule="auto"/>
        <w:rPr>
          <w:sz w:val="24"/>
          <w:szCs w:val="28"/>
        </w:rPr>
      </w:pPr>
      <w:r>
        <w:rPr>
          <w:rFonts w:hint="eastAsia" w:ascii="宋体" w:hAnsi="宋体"/>
          <w:sz w:val="24"/>
          <w:szCs w:val="28"/>
        </w:rPr>
        <w:t>支持以列表方式进行手术安排及人员分配，列表支持批量操作。</w:t>
      </w:r>
    </w:p>
    <w:p>
      <w:pPr>
        <w:numPr>
          <w:ilvl w:val="0"/>
          <w:numId w:val="11"/>
        </w:numPr>
        <w:spacing w:line="360" w:lineRule="auto"/>
        <w:rPr>
          <w:sz w:val="24"/>
          <w:szCs w:val="28"/>
        </w:rPr>
      </w:pPr>
      <w:r>
        <w:rPr>
          <w:rFonts w:hint="eastAsia" w:ascii="宋体" w:hAnsi="宋体"/>
          <w:sz w:val="24"/>
          <w:szCs w:val="28"/>
        </w:rPr>
        <w:t>支持手术安排表的导出和打印。</w:t>
      </w:r>
    </w:p>
    <w:p>
      <w:pPr>
        <w:numPr>
          <w:ilvl w:val="0"/>
          <w:numId w:val="11"/>
        </w:numPr>
        <w:spacing w:line="360" w:lineRule="auto"/>
        <w:rPr>
          <w:sz w:val="24"/>
          <w:szCs w:val="28"/>
        </w:rPr>
      </w:pPr>
      <w:r>
        <w:rPr>
          <w:rFonts w:hint="eastAsia" w:ascii="宋体" w:hAnsi="宋体"/>
          <w:sz w:val="24"/>
          <w:szCs w:val="28"/>
        </w:rPr>
        <w:t>支持手术取消并记录手术停台和取消原因。</w:t>
      </w:r>
    </w:p>
    <w:p>
      <w:pPr>
        <w:numPr>
          <w:ilvl w:val="0"/>
          <w:numId w:val="11"/>
        </w:numPr>
        <w:spacing w:line="360" w:lineRule="auto"/>
        <w:rPr>
          <w:sz w:val="24"/>
          <w:szCs w:val="28"/>
        </w:rPr>
      </w:pPr>
      <w:r>
        <w:rPr>
          <w:rFonts w:hint="eastAsia" w:ascii="宋体" w:hAnsi="宋体"/>
          <w:sz w:val="24"/>
          <w:szCs w:val="28"/>
        </w:rPr>
        <w:t>支持给主刀医生、麻醉医生推送手术安排通知消息，消息推送支持对接短信平台及院内医生端</w:t>
      </w:r>
      <w:r>
        <w:rPr>
          <w:rFonts w:hint="eastAsia" w:cs="Calibri"/>
          <w:sz w:val="24"/>
          <w:szCs w:val="28"/>
        </w:rPr>
        <w:t>APP</w:t>
      </w:r>
      <w:r>
        <w:rPr>
          <w:rFonts w:hint="eastAsia" w:ascii="宋体" w:hAnsi="宋体"/>
          <w:sz w:val="24"/>
          <w:szCs w:val="28"/>
        </w:rPr>
        <w:t>。</w:t>
      </w:r>
    </w:p>
    <w:p>
      <w:pPr>
        <w:pStyle w:val="6"/>
      </w:pPr>
      <w:r>
        <w:rPr>
          <w:rFonts w:hint="eastAsia"/>
        </w:rPr>
        <w:t>医嘱审核执行</w:t>
      </w:r>
    </w:p>
    <w:p>
      <w:pPr>
        <w:numPr>
          <w:ilvl w:val="0"/>
          <w:numId w:val="12"/>
        </w:numPr>
        <w:spacing w:line="360" w:lineRule="auto"/>
        <w:rPr>
          <w:sz w:val="24"/>
          <w:szCs w:val="28"/>
        </w:rPr>
      </w:pPr>
      <w:r>
        <w:rPr>
          <w:rFonts w:hint="eastAsia" w:ascii="宋体" w:hAnsi="宋体"/>
          <w:sz w:val="24"/>
          <w:szCs w:val="28"/>
        </w:rPr>
        <w:t>支持术中医嘱的审核与执行。</w:t>
      </w:r>
    </w:p>
    <w:p>
      <w:pPr>
        <w:numPr>
          <w:ilvl w:val="0"/>
          <w:numId w:val="12"/>
        </w:numPr>
        <w:spacing w:line="360" w:lineRule="auto"/>
        <w:rPr>
          <w:sz w:val="24"/>
          <w:szCs w:val="28"/>
        </w:rPr>
      </w:pPr>
      <w:r>
        <w:rPr>
          <w:rFonts w:hint="eastAsia" w:ascii="宋体" w:hAnsi="宋体"/>
          <w:sz w:val="24"/>
          <w:szCs w:val="28"/>
        </w:rPr>
        <w:t>支持术中医嘱执行后自动关联手术费项目进行</w:t>
      </w:r>
      <w:r>
        <w:rPr>
          <w:rFonts w:hint="eastAsia" w:cs="Calibri"/>
          <w:sz w:val="24"/>
          <w:szCs w:val="28"/>
        </w:rPr>
        <w:t>HIS</w:t>
      </w:r>
      <w:r>
        <w:rPr>
          <w:rFonts w:hint="eastAsia" w:ascii="宋体" w:hAnsi="宋体"/>
          <w:sz w:val="24"/>
          <w:szCs w:val="28"/>
        </w:rPr>
        <w:t>计费。</w:t>
      </w:r>
    </w:p>
    <w:p>
      <w:pPr>
        <w:pStyle w:val="6"/>
      </w:pPr>
      <w:r>
        <w:rPr>
          <w:rFonts w:hint="eastAsia"/>
        </w:rPr>
        <w:t>手术护理文书</w:t>
      </w:r>
    </w:p>
    <w:p>
      <w:pPr>
        <w:numPr>
          <w:ilvl w:val="0"/>
          <w:numId w:val="13"/>
        </w:numPr>
        <w:spacing w:line="360" w:lineRule="auto"/>
        <w:rPr>
          <w:sz w:val="24"/>
          <w:szCs w:val="28"/>
        </w:rPr>
      </w:pPr>
      <w:r>
        <w:rPr>
          <w:rFonts w:hint="eastAsia" w:ascii="宋体" w:hAnsi="宋体"/>
          <w:sz w:val="24"/>
          <w:szCs w:val="28"/>
        </w:rPr>
        <w:t>支持手术护理记录单，支持同步麻醉单上相关信息，并记录患者手术过程中的护理信息。</w:t>
      </w:r>
    </w:p>
    <w:p>
      <w:pPr>
        <w:numPr>
          <w:ilvl w:val="0"/>
          <w:numId w:val="13"/>
        </w:numPr>
        <w:spacing w:line="360" w:lineRule="auto"/>
        <w:rPr>
          <w:sz w:val="24"/>
          <w:szCs w:val="28"/>
        </w:rPr>
      </w:pPr>
      <w:r>
        <w:rPr>
          <w:rFonts w:hint="eastAsia" w:ascii="宋体" w:hAnsi="宋体"/>
          <w:sz w:val="24"/>
          <w:szCs w:val="28"/>
        </w:rPr>
        <w:t>支持器械清点，提供关前、关后、手术结束三个时间点的物品清点功能。</w:t>
      </w:r>
    </w:p>
    <w:p>
      <w:pPr>
        <w:numPr>
          <w:ilvl w:val="0"/>
          <w:numId w:val="13"/>
        </w:numPr>
        <w:spacing w:line="360" w:lineRule="auto"/>
        <w:rPr>
          <w:sz w:val="24"/>
          <w:szCs w:val="28"/>
        </w:rPr>
      </w:pPr>
      <w:r>
        <w:rPr>
          <w:rFonts w:hint="eastAsia" w:ascii="宋体" w:hAnsi="宋体"/>
          <w:sz w:val="24"/>
          <w:szCs w:val="28"/>
        </w:rPr>
        <w:t>支持三方安全核查，支持卫生部标准手术安全核查单格式，在麻醉实施前、手术开始前和手术结束后对手术相关信息进行主刀医生、手术室护士、麻醉医生三方确认。</w:t>
      </w:r>
    </w:p>
    <w:p>
      <w:pPr>
        <w:pStyle w:val="6"/>
      </w:pPr>
      <w:r>
        <w:rPr>
          <w:rFonts w:hint="eastAsia"/>
        </w:rPr>
        <w:t>手术麻醉计费</w:t>
      </w:r>
    </w:p>
    <w:p>
      <w:pPr>
        <w:numPr>
          <w:ilvl w:val="0"/>
          <w:numId w:val="14"/>
        </w:numPr>
        <w:spacing w:line="360" w:lineRule="auto"/>
        <w:rPr>
          <w:sz w:val="24"/>
          <w:szCs w:val="28"/>
        </w:rPr>
      </w:pPr>
      <w:r>
        <w:rPr>
          <w:rFonts w:hint="eastAsia" w:ascii="宋体" w:hAnsi="宋体"/>
          <w:sz w:val="24"/>
          <w:szCs w:val="28"/>
        </w:rPr>
        <w:t>支持手术相关费用，包括各类收费项目，药品费用以及耗材费用明细的录入及查询。</w:t>
      </w:r>
    </w:p>
    <w:p>
      <w:pPr>
        <w:numPr>
          <w:ilvl w:val="0"/>
          <w:numId w:val="14"/>
        </w:numPr>
        <w:spacing w:line="360" w:lineRule="auto"/>
        <w:rPr>
          <w:sz w:val="24"/>
          <w:szCs w:val="28"/>
        </w:rPr>
      </w:pPr>
      <w:r>
        <w:rPr>
          <w:rFonts w:hint="eastAsia" w:ascii="宋体" w:hAnsi="宋体"/>
          <w:sz w:val="24"/>
          <w:szCs w:val="28"/>
        </w:rPr>
        <w:t>支持麻醉相关费用，包括各类收费项目，药品费用医技耗材费用明细的录入及查询。</w:t>
      </w:r>
    </w:p>
    <w:p>
      <w:pPr>
        <w:numPr>
          <w:ilvl w:val="0"/>
          <w:numId w:val="14"/>
        </w:numPr>
        <w:spacing w:line="360" w:lineRule="auto"/>
        <w:rPr>
          <w:sz w:val="24"/>
          <w:szCs w:val="28"/>
        </w:rPr>
      </w:pPr>
      <w:r>
        <w:rPr>
          <w:rFonts w:hint="eastAsia" w:ascii="宋体" w:hAnsi="宋体"/>
          <w:sz w:val="24"/>
          <w:szCs w:val="28"/>
        </w:rPr>
        <w:t>支持与</w:t>
      </w:r>
      <w:r>
        <w:rPr>
          <w:rFonts w:hint="eastAsia" w:cs="Calibri"/>
          <w:sz w:val="24"/>
          <w:szCs w:val="28"/>
        </w:rPr>
        <w:t>HIS</w:t>
      </w:r>
      <w:r>
        <w:rPr>
          <w:rFonts w:hint="eastAsia" w:ascii="宋体" w:hAnsi="宋体"/>
          <w:sz w:val="24"/>
          <w:szCs w:val="28"/>
        </w:rPr>
        <w:t>对接实现术中医嘱关联的收费项目自动计费、医技确费以及高值耗材耗材的扫码识别。</w:t>
      </w:r>
    </w:p>
    <w:p>
      <w:pPr>
        <w:numPr>
          <w:ilvl w:val="0"/>
          <w:numId w:val="14"/>
        </w:numPr>
        <w:spacing w:line="360" w:lineRule="auto"/>
        <w:rPr>
          <w:sz w:val="24"/>
          <w:szCs w:val="28"/>
        </w:rPr>
      </w:pPr>
      <w:r>
        <w:rPr>
          <w:rFonts w:hint="eastAsia" w:ascii="宋体" w:hAnsi="宋体"/>
          <w:sz w:val="24"/>
          <w:szCs w:val="28"/>
        </w:rPr>
        <w:t>支持手术麻醉协定方或收费项目组套的维护与套用。</w:t>
      </w:r>
    </w:p>
    <w:p>
      <w:pPr>
        <w:numPr>
          <w:ilvl w:val="0"/>
          <w:numId w:val="14"/>
        </w:numPr>
        <w:spacing w:line="360" w:lineRule="auto"/>
        <w:rPr>
          <w:sz w:val="24"/>
          <w:szCs w:val="28"/>
        </w:rPr>
      </w:pPr>
      <w:r>
        <w:rPr>
          <w:rFonts w:hint="eastAsia" w:ascii="宋体" w:hAnsi="宋体"/>
          <w:sz w:val="24"/>
          <w:szCs w:val="28"/>
        </w:rPr>
        <w:t>支持手术、麻醉费用录入后的修正与审核。</w:t>
      </w:r>
    </w:p>
    <w:p>
      <w:pPr>
        <w:pStyle w:val="6"/>
      </w:pPr>
      <w:r>
        <w:rPr>
          <w:rFonts w:hint="eastAsia"/>
        </w:rPr>
        <w:t>手术室汇总领药</w:t>
      </w:r>
    </w:p>
    <w:p>
      <w:pPr>
        <w:numPr>
          <w:ilvl w:val="0"/>
          <w:numId w:val="15"/>
        </w:numPr>
        <w:spacing w:line="360" w:lineRule="auto"/>
        <w:rPr>
          <w:sz w:val="24"/>
          <w:szCs w:val="28"/>
        </w:rPr>
      </w:pPr>
      <w:r>
        <w:rPr>
          <w:rFonts w:hint="eastAsia" w:ascii="宋体" w:hAnsi="宋体"/>
          <w:sz w:val="24"/>
          <w:szCs w:val="28"/>
        </w:rPr>
        <w:t>支持手术室备用药品目录、额定库存数量与预警库存数量设置。</w:t>
      </w:r>
    </w:p>
    <w:p>
      <w:pPr>
        <w:numPr>
          <w:ilvl w:val="0"/>
          <w:numId w:val="15"/>
        </w:numPr>
        <w:spacing w:line="360" w:lineRule="auto"/>
        <w:rPr>
          <w:sz w:val="24"/>
          <w:szCs w:val="28"/>
        </w:rPr>
      </w:pPr>
      <w:r>
        <w:rPr>
          <w:rFonts w:hint="eastAsia" w:ascii="宋体" w:hAnsi="宋体"/>
          <w:sz w:val="24"/>
          <w:szCs w:val="28"/>
        </w:rPr>
        <w:t>▲支持术中医嘱执行后自动扣减手术室备用药品的库存，并定期生成汇总请领单，实现自动通知药房发药以补充备用药品。</w:t>
      </w:r>
    </w:p>
    <w:p>
      <w:pPr>
        <w:numPr>
          <w:ilvl w:val="0"/>
          <w:numId w:val="15"/>
        </w:numPr>
        <w:spacing w:line="360" w:lineRule="auto"/>
        <w:rPr>
          <w:sz w:val="24"/>
          <w:szCs w:val="28"/>
        </w:rPr>
      </w:pPr>
      <w:r>
        <w:rPr>
          <w:rFonts w:hint="eastAsia" w:ascii="宋体" w:hAnsi="宋体"/>
          <w:sz w:val="24"/>
          <w:szCs w:val="28"/>
        </w:rPr>
        <w:t>支持手术室领药记录查询。</w:t>
      </w:r>
    </w:p>
    <w:p>
      <w:pPr>
        <w:pStyle w:val="5"/>
      </w:pPr>
      <w:r>
        <w:rPr>
          <w:rFonts w:hint="eastAsia"/>
        </w:rPr>
        <w:t>护理敏感指标管理</w:t>
      </w:r>
    </w:p>
    <w:p>
      <w:pPr>
        <w:pStyle w:val="6"/>
      </w:pPr>
      <w:r>
        <w:rPr>
          <w:rFonts w:hint="eastAsia"/>
        </w:rPr>
        <w:t>数据管理</w:t>
      </w:r>
    </w:p>
    <w:p>
      <w:pPr>
        <w:numPr>
          <w:ilvl w:val="0"/>
          <w:numId w:val="15"/>
        </w:numPr>
        <w:spacing w:line="360" w:lineRule="auto"/>
        <w:rPr>
          <w:rFonts w:ascii="宋体" w:hAnsi="宋体"/>
          <w:sz w:val="24"/>
          <w:szCs w:val="28"/>
        </w:rPr>
      </w:pPr>
      <w:r>
        <w:rPr>
          <w:rFonts w:hint="eastAsia" w:ascii="宋体" w:hAnsi="宋体"/>
          <w:sz w:val="24"/>
          <w:szCs w:val="28"/>
        </w:rPr>
        <w:t>支持国家规定14项护理敏感质量指标统计，包括：床护比、护患比、每住院患者24小时平均护理时数、非计划拔管率、导尿管相关尿路感染发生率、呼吸机相关肺炎发生率、中心血管导管相关血流感染发生率、住院患者身体约束率、住院患者跌倒发生率、住院患者跌倒伤害率、住院患者院内压力性损伤发生率、住院患者压力性损伤现患率、不同级别护士配置、护士离职率。</w:t>
      </w:r>
    </w:p>
    <w:p>
      <w:pPr>
        <w:numPr>
          <w:ilvl w:val="0"/>
          <w:numId w:val="15"/>
        </w:numPr>
        <w:spacing w:line="360" w:lineRule="auto"/>
        <w:rPr>
          <w:rFonts w:ascii="宋体" w:hAnsi="宋体"/>
          <w:sz w:val="24"/>
          <w:szCs w:val="28"/>
        </w:rPr>
      </w:pPr>
      <w:r>
        <w:rPr>
          <w:rFonts w:hint="eastAsia" w:ascii="宋体" w:hAnsi="宋体"/>
          <w:sz w:val="24"/>
          <w:szCs w:val="28"/>
        </w:rPr>
        <w:t>支持查看各指标含义、变量值、建议取值和计算公式；</w:t>
      </w:r>
    </w:p>
    <w:p>
      <w:pPr>
        <w:numPr>
          <w:ilvl w:val="0"/>
          <w:numId w:val="15"/>
        </w:numPr>
        <w:spacing w:line="360" w:lineRule="auto"/>
        <w:rPr>
          <w:rFonts w:ascii="宋体" w:hAnsi="宋体"/>
          <w:sz w:val="24"/>
          <w:szCs w:val="28"/>
        </w:rPr>
      </w:pPr>
      <w:r>
        <w:rPr>
          <w:rFonts w:hint="eastAsia" w:ascii="宋体" w:hAnsi="宋体"/>
          <w:sz w:val="24"/>
          <w:szCs w:val="28"/>
        </w:rPr>
        <w:t>支持导出指标数据并与国家上报平台进行对接；</w:t>
      </w:r>
    </w:p>
    <w:p>
      <w:pPr>
        <w:numPr>
          <w:ilvl w:val="0"/>
          <w:numId w:val="15"/>
        </w:numPr>
        <w:spacing w:line="360" w:lineRule="auto"/>
        <w:rPr>
          <w:rFonts w:ascii="宋体" w:hAnsi="宋体"/>
          <w:sz w:val="24"/>
          <w:szCs w:val="28"/>
        </w:rPr>
      </w:pPr>
      <w:r>
        <w:rPr>
          <w:rFonts w:hint="eastAsia" w:ascii="宋体" w:hAnsi="宋体"/>
          <w:sz w:val="24"/>
          <w:szCs w:val="28"/>
        </w:rPr>
        <w:t>支持查询指标对应变量上报状态及上报数据；</w:t>
      </w:r>
    </w:p>
    <w:p>
      <w:pPr>
        <w:numPr>
          <w:ilvl w:val="0"/>
          <w:numId w:val="15"/>
        </w:numPr>
        <w:spacing w:line="360" w:lineRule="auto"/>
        <w:rPr>
          <w:rFonts w:ascii="宋体" w:hAnsi="宋体"/>
          <w:sz w:val="24"/>
          <w:szCs w:val="28"/>
        </w:rPr>
      </w:pPr>
      <w:r>
        <w:rPr>
          <w:rFonts w:hint="eastAsia" w:ascii="宋体" w:hAnsi="宋体"/>
          <w:sz w:val="24"/>
          <w:szCs w:val="28"/>
        </w:rPr>
        <w:t>支持全院按季度数据汇总查看，并导出。</w:t>
      </w:r>
    </w:p>
    <w:p>
      <w:pPr>
        <w:pStyle w:val="6"/>
      </w:pPr>
      <w:r>
        <w:rPr>
          <w:rFonts w:hint="eastAsia"/>
        </w:rPr>
        <w:t>数据补录</w:t>
      </w:r>
    </w:p>
    <w:p>
      <w:pPr>
        <w:numPr>
          <w:ilvl w:val="0"/>
          <w:numId w:val="15"/>
        </w:numPr>
        <w:spacing w:line="360" w:lineRule="auto"/>
        <w:rPr>
          <w:rFonts w:ascii="宋体" w:hAnsi="宋体"/>
          <w:sz w:val="24"/>
          <w:szCs w:val="28"/>
        </w:rPr>
      </w:pPr>
      <w:r>
        <w:rPr>
          <w:rFonts w:hint="eastAsia" w:ascii="宋体" w:hAnsi="宋体"/>
          <w:sz w:val="24"/>
          <w:szCs w:val="28"/>
        </w:rPr>
        <w:t>支持全院、病区和ICU数据填写，按月填写数据填报内容，与《国家护理质量数据平台》填报要求保持一致；</w:t>
      </w:r>
    </w:p>
    <w:p>
      <w:pPr>
        <w:numPr>
          <w:ilvl w:val="0"/>
          <w:numId w:val="15"/>
        </w:numPr>
        <w:spacing w:line="360" w:lineRule="auto"/>
        <w:rPr>
          <w:rFonts w:ascii="宋体" w:hAnsi="宋体"/>
          <w:sz w:val="24"/>
          <w:szCs w:val="28"/>
        </w:rPr>
      </w:pPr>
      <w:r>
        <w:rPr>
          <w:rFonts w:hint="eastAsia" w:ascii="宋体" w:hAnsi="宋体"/>
          <w:sz w:val="24"/>
          <w:szCs w:val="28"/>
        </w:rPr>
        <w:t>支持自动抓取数据填报内容；</w:t>
      </w:r>
    </w:p>
    <w:p>
      <w:pPr>
        <w:numPr>
          <w:ilvl w:val="0"/>
          <w:numId w:val="15"/>
        </w:numPr>
        <w:spacing w:line="360" w:lineRule="auto"/>
        <w:rPr>
          <w:rFonts w:ascii="宋体" w:hAnsi="宋体"/>
          <w:sz w:val="24"/>
          <w:szCs w:val="28"/>
        </w:rPr>
      </w:pPr>
      <w:r>
        <w:rPr>
          <w:rFonts w:hint="eastAsia" w:ascii="宋体" w:hAnsi="宋体"/>
          <w:sz w:val="24"/>
          <w:szCs w:val="28"/>
        </w:rPr>
        <w:t>支持人工补录，开放部分或者全部变量补录功能；</w:t>
      </w:r>
    </w:p>
    <w:p>
      <w:pPr>
        <w:numPr>
          <w:ilvl w:val="0"/>
          <w:numId w:val="15"/>
        </w:numPr>
        <w:spacing w:line="360" w:lineRule="auto"/>
        <w:rPr>
          <w:rFonts w:ascii="宋体" w:hAnsi="宋体"/>
          <w:sz w:val="24"/>
          <w:szCs w:val="28"/>
        </w:rPr>
      </w:pPr>
      <w:r>
        <w:rPr>
          <w:rFonts w:hint="eastAsia" w:ascii="宋体" w:hAnsi="宋体"/>
          <w:sz w:val="24"/>
          <w:szCs w:val="28"/>
        </w:rPr>
        <w:t>▲支持变量数据明细下钻，可具体查看患者信息、护士信息、不良事件相关过程发生信息；</w:t>
      </w:r>
    </w:p>
    <w:p>
      <w:pPr>
        <w:spacing w:line="360" w:lineRule="auto"/>
        <w:ind w:left="420"/>
        <w:rPr>
          <w:rFonts w:ascii="宋体" w:hAnsi="宋体"/>
          <w:sz w:val="24"/>
          <w:szCs w:val="28"/>
        </w:rPr>
      </w:pPr>
      <w:r>
        <w:rPr>
          <w:rFonts w:hint="eastAsia" w:ascii="宋体" w:hAnsi="宋体"/>
          <w:sz w:val="24"/>
          <w:szCs w:val="28"/>
        </w:rPr>
        <w:t>要求提供变量数据明细下钻界面截图证明。</w:t>
      </w:r>
    </w:p>
    <w:p>
      <w:pPr>
        <w:numPr>
          <w:ilvl w:val="0"/>
          <w:numId w:val="15"/>
        </w:numPr>
        <w:spacing w:line="360" w:lineRule="auto"/>
        <w:rPr>
          <w:rFonts w:ascii="宋体" w:hAnsi="宋体"/>
          <w:sz w:val="24"/>
          <w:szCs w:val="28"/>
        </w:rPr>
      </w:pPr>
      <w:r>
        <w:rPr>
          <w:rFonts w:hint="eastAsia" w:ascii="宋体" w:hAnsi="宋体"/>
          <w:sz w:val="24"/>
          <w:szCs w:val="28"/>
        </w:rPr>
        <w:t>支持数据填写逻辑规则判断；</w:t>
      </w:r>
    </w:p>
    <w:p>
      <w:pPr>
        <w:numPr>
          <w:ilvl w:val="0"/>
          <w:numId w:val="15"/>
        </w:numPr>
        <w:spacing w:line="360" w:lineRule="auto"/>
        <w:rPr>
          <w:rFonts w:ascii="宋体" w:hAnsi="宋体"/>
          <w:sz w:val="24"/>
          <w:szCs w:val="28"/>
        </w:rPr>
      </w:pPr>
      <w:r>
        <w:rPr>
          <w:rFonts w:hint="eastAsia" w:ascii="宋体" w:hAnsi="宋体"/>
          <w:sz w:val="24"/>
          <w:szCs w:val="28"/>
        </w:rPr>
        <w:t>支持提交截止时间提醒；</w:t>
      </w:r>
    </w:p>
    <w:p>
      <w:pPr>
        <w:numPr>
          <w:ilvl w:val="0"/>
          <w:numId w:val="15"/>
        </w:numPr>
        <w:spacing w:line="360" w:lineRule="auto"/>
        <w:rPr>
          <w:rFonts w:ascii="宋体" w:hAnsi="宋体"/>
          <w:sz w:val="24"/>
          <w:szCs w:val="28"/>
        </w:rPr>
      </w:pPr>
      <w:r>
        <w:rPr>
          <w:rFonts w:hint="eastAsia" w:ascii="宋体" w:hAnsi="宋体"/>
          <w:sz w:val="24"/>
          <w:szCs w:val="28"/>
        </w:rPr>
        <w:t>支持病区提交情况提醒；</w:t>
      </w:r>
    </w:p>
    <w:p>
      <w:pPr>
        <w:numPr>
          <w:ilvl w:val="0"/>
          <w:numId w:val="15"/>
        </w:numPr>
        <w:spacing w:line="360" w:lineRule="auto"/>
        <w:rPr>
          <w:rFonts w:ascii="宋体" w:hAnsi="宋体"/>
          <w:sz w:val="24"/>
          <w:szCs w:val="28"/>
        </w:rPr>
      </w:pPr>
      <w:r>
        <w:rPr>
          <w:rFonts w:hint="eastAsia" w:ascii="宋体" w:hAnsi="宋体"/>
          <w:sz w:val="24"/>
          <w:szCs w:val="28"/>
        </w:rPr>
        <w:t>支持查看数据填报变量字段解释说明。</w:t>
      </w:r>
    </w:p>
    <w:p>
      <w:pPr>
        <w:pStyle w:val="6"/>
      </w:pPr>
      <w:r>
        <w:rPr>
          <w:rFonts w:hint="eastAsia"/>
        </w:rPr>
        <w:t>指标统计分析</w:t>
      </w:r>
    </w:p>
    <w:p>
      <w:pPr>
        <w:numPr>
          <w:ilvl w:val="0"/>
          <w:numId w:val="15"/>
        </w:numPr>
        <w:spacing w:line="360" w:lineRule="auto"/>
        <w:rPr>
          <w:rFonts w:ascii="宋体" w:hAnsi="宋体"/>
          <w:sz w:val="24"/>
          <w:szCs w:val="28"/>
        </w:rPr>
      </w:pPr>
      <w:r>
        <w:rPr>
          <w:rFonts w:hint="eastAsia" w:ascii="宋体" w:hAnsi="宋体"/>
          <w:sz w:val="24"/>
          <w:szCs w:val="28"/>
        </w:rPr>
        <w:t>支持查看每个大类指标下子指标情况；</w:t>
      </w:r>
    </w:p>
    <w:p>
      <w:pPr>
        <w:numPr>
          <w:ilvl w:val="0"/>
          <w:numId w:val="15"/>
        </w:numPr>
        <w:spacing w:line="360" w:lineRule="auto"/>
        <w:rPr>
          <w:rFonts w:ascii="宋体" w:hAnsi="宋体"/>
          <w:sz w:val="24"/>
          <w:szCs w:val="28"/>
        </w:rPr>
      </w:pPr>
      <w:r>
        <w:rPr>
          <w:rFonts w:hint="eastAsia" w:ascii="宋体" w:hAnsi="宋体"/>
          <w:sz w:val="24"/>
          <w:szCs w:val="28"/>
        </w:rPr>
        <w:t>支持查看指标说明和指标公式；</w:t>
      </w:r>
    </w:p>
    <w:p>
      <w:pPr>
        <w:numPr>
          <w:ilvl w:val="0"/>
          <w:numId w:val="15"/>
        </w:numPr>
        <w:spacing w:line="360" w:lineRule="auto"/>
        <w:rPr>
          <w:rFonts w:ascii="宋体" w:hAnsi="宋体"/>
          <w:sz w:val="24"/>
          <w:szCs w:val="28"/>
        </w:rPr>
      </w:pPr>
      <w:r>
        <w:rPr>
          <w:rFonts w:hint="eastAsia" w:ascii="宋体" w:hAnsi="宋体"/>
          <w:sz w:val="24"/>
          <w:szCs w:val="28"/>
        </w:rPr>
        <w:t>支持导出指标结果；</w:t>
      </w:r>
    </w:p>
    <w:p>
      <w:pPr>
        <w:numPr>
          <w:ilvl w:val="0"/>
          <w:numId w:val="15"/>
        </w:numPr>
        <w:spacing w:line="360" w:lineRule="auto"/>
        <w:rPr>
          <w:rFonts w:ascii="宋体" w:hAnsi="宋体"/>
          <w:sz w:val="24"/>
          <w:szCs w:val="28"/>
        </w:rPr>
      </w:pPr>
      <w:r>
        <w:rPr>
          <w:rFonts w:hint="eastAsia" w:ascii="宋体" w:hAnsi="宋体"/>
          <w:sz w:val="24"/>
          <w:szCs w:val="28"/>
        </w:rPr>
        <w:t>支持指标目标值对比；</w:t>
      </w:r>
    </w:p>
    <w:p>
      <w:pPr>
        <w:numPr>
          <w:ilvl w:val="0"/>
          <w:numId w:val="15"/>
        </w:numPr>
        <w:spacing w:line="360" w:lineRule="auto"/>
        <w:rPr>
          <w:rFonts w:ascii="宋体" w:hAnsi="宋体"/>
          <w:sz w:val="24"/>
          <w:szCs w:val="28"/>
        </w:rPr>
      </w:pPr>
      <w:r>
        <w:rPr>
          <w:rFonts w:hint="eastAsia" w:ascii="宋体" w:hAnsi="宋体"/>
          <w:sz w:val="24"/>
          <w:szCs w:val="28"/>
        </w:rPr>
        <w:t>支持多条件组合查询。</w:t>
      </w:r>
    </w:p>
    <w:p>
      <w:pPr>
        <w:pStyle w:val="5"/>
      </w:pPr>
      <w:r>
        <w:rPr>
          <w:rFonts w:hint="eastAsia"/>
        </w:rPr>
        <w:t>康复管理系统</w:t>
      </w:r>
    </w:p>
    <w:p>
      <w:pPr>
        <w:pStyle w:val="6"/>
      </w:pPr>
      <w:r>
        <w:rPr>
          <w:rFonts w:hint="eastAsia"/>
        </w:rPr>
        <w:t>康复申请单</w:t>
      </w:r>
    </w:p>
    <w:p>
      <w:pPr>
        <w:numPr>
          <w:ilvl w:val="0"/>
          <w:numId w:val="8"/>
        </w:numPr>
        <w:spacing w:line="360" w:lineRule="auto"/>
        <w:rPr>
          <w:rFonts w:ascii="宋体" w:hAnsi="宋体"/>
          <w:sz w:val="24"/>
          <w:szCs w:val="28"/>
        </w:rPr>
      </w:pPr>
      <w:r>
        <w:rPr>
          <w:rFonts w:hint="eastAsia" w:ascii="宋体" w:hAnsi="宋体"/>
          <w:sz w:val="24"/>
          <w:szCs w:val="28"/>
        </w:rPr>
        <w:t xml:space="preserve">支持从全院统一的字典中选择治疗项目，下达申请的同时生成必要的电子处方，并能将康复治疗申请传送给相关科室，并可生成收费信息。 </w:t>
      </w:r>
    </w:p>
    <w:p>
      <w:pPr>
        <w:numPr>
          <w:ilvl w:val="0"/>
          <w:numId w:val="8"/>
        </w:numPr>
        <w:spacing w:line="360" w:lineRule="auto"/>
        <w:rPr>
          <w:rFonts w:ascii="宋体" w:hAnsi="宋体"/>
          <w:sz w:val="24"/>
          <w:szCs w:val="28"/>
        </w:rPr>
      </w:pPr>
      <w:r>
        <w:rPr>
          <w:rFonts w:hint="eastAsia" w:ascii="宋体" w:hAnsi="宋体"/>
          <w:sz w:val="24"/>
          <w:szCs w:val="28"/>
        </w:rPr>
        <w:t>支持下达康复治疗申请时能查询适应症、作用、注意事项，支持获取电子病历中的主诉、现病史，支持直接获取病人诊断，无需重复录入。</w:t>
      </w:r>
    </w:p>
    <w:p>
      <w:pPr>
        <w:numPr>
          <w:ilvl w:val="0"/>
          <w:numId w:val="8"/>
        </w:numPr>
        <w:spacing w:line="360" w:lineRule="auto"/>
        <w:rPr>
          <w:rFonts w:ascii="宋体" w:hAnsi="宋体"/>
          <w:sz w:val="24"/>
          <w:szCs w:val="28"/>
        </w:rPr>
      </w:pPr>
      <w:r>
        <w:rPr>
          <w:rFonts w:hint="eastAsia" w:ascii="宋体" w:hAnsi="宋体"/>
          <w:sz w:val="24"/>
          <w:szCs w:val="28"/>
        </w:rPr>
        <w:t>支持申请单备注信息、项目注意事项、申请单注意事项信息录入。</w:t>
      </w:r>
    </w:p>
    <w:p>
      <w:pPr>
        <w:numPr>
          <w:ilvl w:val="0"/>
          <w:numId w:val="8"/>
        </w:numPr>
        <w:spacing w:line="360" w:lineRule="auto"/>
        <w:rPr>
          <w:rFonts w:ascii="宋体" w:hAnsi="宋体"/>
          <w:sz w:val="24"/>
          <w:szCs w:val="28"/>
        </w:rPr>
      </w:pPr>
      <w:r>
        <w:rPr>
          <w:rFonts w:hint="eastAsia" w:ascii="宋体" w:hAnsi="宋体"/>
          <w:sz w:val="24"/>
          <w:szCs w:val="28"/>
        </w:rPr>
        <w:t xml:space="preserve">支持治疗申请数据记录统一管理，支持生成HTML格式申请单，供治疗科室调阅原始开单信息，支持编辑为原纸质申请单格式，支持治疗申请单打印、补打印，方便医院各种流程。 </w:t>
      </w:r>
    </w:p>
    <w:p>
      <w:pPr>
        <w:numPr>
          <w:ilvl w:val="0"/>
          <w:numId w:val="8"/>
        </w:numPr>
        <w:spacing w:line="360" w:lineRule="auto"/>
        <w:rPr>
          <w:rFonts w:ascii="宋体" w:hAnsi="宋体"/>
          <w:sz w:val="24"/>
          <w:szCs w:val="28"/>
        </w:rPr>
      </w:pPr>
      <w:r>
        <w:rPr>
          <w:rFonts w:hint="eastAsia" w:ascii="宋体" w:hAnsi="宋体"/>
          <w:sz w:val="24"/>
          <w:szCs w:val="28"/>
        </w:rPr>
        <w:t>支持下达康复治疗申请处方时调阅临床医疗记录、检查检验报告。</w:t>
      </w:r>
    </w:p>
    <w:p>
      <w:pPr>
        <w:numPr>
          <w:ilvl w:val="0"/>
          <w:numId w:val="8"/>
        </w:numPr>
        <w:spacing w:line="360" w:lineRule="auto"/>
        <w:rPr>
          <w:rFonts w:ascii="宋体" w:hAnsi="宋体"/>
          <w:sz w:val="24"/>
          <w:szCs w:val="28"/>
        </w:rPr>
      </w:pPr>
      <w:r>
        <w:rPr>
          <w:rFonts w:hint="eastAsia" w:ascii="宋体" w:hAnsi="宋体"/>
          <w:sz w:val="24"/>
          <w:szCs w:val="28"/>
        </w:rPr>
        <w:t>支持康复申请单开立时进行规则校验，支持校验规则自定义。</w:t>
      </w:r>
    </w:p>
    <w:p>
      <w:pPr>
        <w:numPr>
          <w:ilvl w:val="0"/>
          <w:numId w:val="8"/>
        </w:numPr>
        <w:spacing w:line="360" w:lineRule="auto"/>
        <w:rPr>
          <w:rFonts w:ascii="宋体" w:hAnsi="宋体"/>
          <w:sz w:val="24"/>
          <w:szCs w:val="28"/>
        </w:rPr>
      </w:pPr>
      <w:r>
        <w:rPr>
          <w:rFonts w:hint="eastAsia" w:ascii="宋体" w:hAnsi="宋体"/>
          <w:sz w:val="24"/>
          <w:szCs w:val="28"/>
        </w:rPr>
        <w:t>支持治疗申请单数据提供接口，供全院查询。</w:t>
      </w:r>
    </w:p>
    <w:p>
      <w:pPr>
        <w:numPr>
          <w:ilvl w:val="0"/>
          <w:numId w:val="8"/>
        </w:numPr>
        <w:spacing w:line="360" w:lineRule="auto"/>
        <w:rPr>
          <w:rFonts w:ascii="宋体" w:hAnsi="宋体"/>
          <w:sz w:val="24"/>
          <w:szCs w:val="28"/>
        </w:rPr>
      </w:pPr>
      <w:r>
        <w:rPr>
          <w:rFonts w:hint="eastAsia" w:ascii="宋体" w:hAnsi="宋体"/>
          <w:sz w:val="24"/>
          <w:szCs w:val="28"/>
        </w:rPr>
        <w:t>支持在治疗项目中根据检验结果对评估方案自动提出建议，对高风险治疗提供警示。</w:t>
      </w:r>
    </w:p>
    <w:p>
      <w:pPr>
        <w:pStyle w:val="6"/>
      </w:pPr>
      <w:r>
        <w:rPr>
          <w:rFonts w:hint="eastAsia"/>
        </w:rPr>
        <w:t>康复电子病历</w:t>
      </w:r>
    </w:p>
    <w:p>
      <w:pPr>
        <w:pStyle w:val="7"/>
        <w:spacing w:before="156"/>
      </w:pPr>
      <w:r>
        <w:rPr>
          <w:rFonts w:hint="eastAsia"/>
        </w:rPr>
        <w:t>患者康复病历</w:t>
      </w:r>
    </w:p>
    <w:p>
      <w:pPr>
        <w:numPr>
          <w:ilvl w:val="0"/>
          <w:numId w:val="8"/>
        </w:numPr>
        <w:spacing w:line="360" w:lineRule="auto"/>
        <w:rPr>
          <w:rFonts w:ascii="宋体" w:hAnsi="宋体"/>
          <w:sz w:val="24"/>
          <w:szCs w:val="28"/>
        </w:rPr>
      </w:pPr>
      <w:r>
        <w:rPr>
          <w:rFonts w:hint="eastAsia" w:ascii="宋体" w:hAnsi="宋体"/>
          <w:sz w:val="24"/>
          <w:szCs w:val="28"/>
        </w:rPr>
        <w:t>支持康复电子病历以文字、图表、影像数据记录康复病人的医疗就诊档案。</w:t>
      </w:r>
    </w:p>
    <w:p>
      <w:pPr>
        <w:numPr>
          <w:ilvl w:val="0"/>
          <w:numId w:val="8"/>
        </w:numPr>
        <w:spacing w:line="360" w:lineRule="auto"/>
        <w:rPr>
          <w:rFonts w:ascii="宋体" w:hAnsi="宋体"/>
          <w:sz w:val="24"/>
          <w:szCs w:val="28"/>
        </w:rPr>
      </w:pPr>
      <w:r>
        <w:rPr>
          <w:rFonts w:hint="eastAsia" w:ascii="宋体" w:hAnsi="宋体"/>
          <w:sz w:val="24"/>
          <w:szCs w:val="28"/>
        </w:rPr>
        <w:t>支持提供符合康复卫生政策规范要求的康复电子病历模板。</w:t>
      </w:r>
    </w:p>
    <w:p>
      <w:pPr>
        <w:numPr>
          <w:ilvl w:val="0"/>
          <w:numId w:val="8"/>
        </w:numPr>
        <w:spacing w:line="360" w:lineRule="auto"/>
        <w:rPr>
          <w:rFonts w:ascii="宋体" w:hAnsi="宋体"/>
          <w:sz w:val="24"/>
          <w:szCs w:val="28"/>
        </w:rPr>
      </w:pPr>
      <w:r>
        <w:rPr>
          <w:rFonts w:hint="eastAsia" w:ascii="宋体" w:hAnsi="宋体"/>
          <w:sz w:val="24"/>
          <w:szCs w:val="28"/>
        </w:rPr>
        <w:t>提供不少于900份康复电子病历模板。</w:t>
      </w:r>
    </w:p>
    <w:p>
      <w:pPr>
        <w:spacing w:line="360" w:lineRule="auto"/>
        <w:ind w:left="420"/>
        <w:rPr>
          <w:rFonts w:ascii="宋体" w:hAnsi="宋体"/>
          <w:sz w:val="24"/>
          <w:szCs w:val="28"/>
        </w:rPr>
      </w:pPr>
      <w:r>
        <w:rPr>
          <w:rFonts w:hint="eastAsia" w:ascii="宋体" w:hAnsi="宋体"/>
          <w:sz w:val="24"/>
          <w:szCs w:val="28"/>
        </w:rPr>
        <w:t>要求提供不少于900份康复电子病历模板截图证明。</w:t>
      </w:r>
    </w:p>
    <w:p>
      <w:pPr>
        <w:numPr>
          <w:ilvl w:val="0"/>
          <w:numId w:val="8"/>
        </w:numPr>
        <w:spacing w:line="360" w:lineRule="auto"/>
        <w:rPr>
          <w:rFonts w:ascii="宋体" w:hAnsi="宋体"/>
          <w:sz w:val="24"/>
          <w:szCs w:val="28"/>
        </w:rPr>
      </w:pPr>
      <w:r>
        <w:rPr>
          <w:rFonts w:hint="eastAsia" w:ascii="宋体" w:hAnsi="宋体"/>
          <w:sz w:val="24"/>
          <w:szCs w:val="28"/>
        </w:rPr>
        <w:t>支持统计分析、预警、三级质量评定事前控制手段，对电子病历实时监控。</w:t>
      </w:r>
    </w:p>
    <w:p>
      <w:pPr>
        <w:numPr>
          <w:ilvl w:val="0"/>
          <w:numId w:val="8"/>
        </w:numPr>
        <w:spacing w:line="360" w:lineRule="auto"/>
        <w:rPr>
          <w:rFonts w:ascii="宋体" w:hAnsi="宋体"/>
          <w:sz w:val="24"/>
          <w:szCs w:val="28"/>
        </w:rPr>
      </w:pPr>
      <w:r>
        <w:rPr>
          <w:rFonts w:hint="eastAsia" w:ascii="宋体" w:hAnsi="宋体"/>
          <w:sz w:val="24"/>
          <w:szCs w:val="28"/>
        </w:rPr>
        <w:t>支持智能提醒，包括首次病程记录、查房记录。</w:t>
      </w:r>
    </w:p>
    <w:p>
      <w:pPr>
        <w:pStyle w:val="7"/>
        <w:spacing w:before="156"/>
      </w:pPr>
      <w:r>
        <w:rPr>
          <w:rFonts w:hint="eastAsia"/>
        </w:rPr>
        <w:t>历史康复病历的查询与引用</w:t>
      </w:r>
    </w:p>
    <w:p>
      <w:pPr>
        <w:numPr>
          <w:ilvl w:val="0"/>
          <w:numId w:val="8"/>
        </w:numPr>
        <w:spacing w:line="360" w:lineRule="auto"/>
        <w:rPr>
          <w:rFonts w:ascii="宋体" w:hAnsi="宋体"/>
          <w:sz w:val="24"/>
          <w:szCs w:val="28"/>
        </w:rPr>
      </w:pPr>
      <w:r>
        <w:rPr>
          <w:rFonts w:hint="eastAsia" w:ascii="宋体" w:hAnsi="宋体"/>
          <w:sz w:val="24"/>
          <w:szCs w:val="28"/>
        </w:rPr>
        <w:t>支持对同一患者的历次就诊病历进行查询。</w:t>
      </w:r>
    </w:p>
    <w:p>
      <w:pPr>
        <w:numPr>
          <w:ilvl w:val="0"/>
          <w:numId w:val="8"/>
        </w:numPr>
        <w:spacing w:line="360" w:lineRule="auto"/>
        <w:rPr>
          <w:rFonts w:ascii="宋体" w:hAnsi="宋体"/>
          <w:sz w:val="24"/>
          <w:szCs w:val="28"/>
        </w:rPr>
      </w:pPr>
      <w:r>
        <w:rPr>
          <w:rFonts w:hint="eastAsia" w:ascii="宋体" w:hAnsi="宋体"/>
          <w:sz w:val="24"/>
          <w:szCs w:val="28"/>
        </w:rPr>
        <w:t>支持对历史病历进行段落引用。</w:t>
      </w:r>
    </w:p>
    <w:p>
      <w:pPr>
        <w:pStyle w:val="7"/>
        <w:spacing w:before="156"/>
      </w:pPr>
      <w:r>
        <w:rPr>
          <w:rFonts w:hint="eastAsia"/>
        </w:rPr>
        <w:t>康复病历打印</w:t>
      </w:r>
    </w:p>
    <w:p>
      <w:pPr>
        <w:numPr>
          <w:ilvl w:val="0"/>
          <w:numId w:val="8"/>
        </w:numPr>
        <w:spacing w:line="360" w:lineRule="auto"/>
        <w:rPr>
          <w:rFonts w:ascii="宋体" w:hAnsi="宋体"/>
          <w:sz w:val="24"/>
          <w:szCs w:val="28"/>
        </w:rPr>
      </w:pPr>
      <w:r>
        <w:rPr>
          <w:rFonts w:hint="eastAsia" w:ascii="宋体" w:hAnsi="宋体"/>
          <w:sz w:val="24"/>
          <w:szCs w:val="28"/>
        </w:rPr>
        <w:t>支持自定义病历打印模板，包括普通病历、特殊格式病历以及套打病历模板。</w:t>
      </w:r>
    </w:p>
    <w:p>
      <w:pPr>
        <w:numPr>
          <w:ilvl w:val="0"/>
          <w:numId w:val="8"/>
        </w:numPr>
        <w:spacing w:line="360" w:lineRule="auto"/>
        <w:rPr>
          <w:rFonts w:ascii="宋体" w:hAnsi="宋体"/>
          <w:sz w:val="24"/>
          <w:szCs w:val="28"/>
        </w:rPr>
      </w:pPr>
      <w:r>
        <w:rPr>
          <w:rFonts w:hint="eastAsia" w:ascii="宋体" w:hAnsi="宋体"/>
          <w:sz w:val="24"/>
          <w:szCs w:val="28"/>
        </w:rPr>
        <w:t>支持病程记录类文书连续打印，自动记录续打位置进行病程续打，续打时无需用户干预。</w:t>
      </w:r>
    </w:p>
    <w:p>
      <w:pPr>
        <w:pStyle w:val="6"/>
      </w:pPr>
      <w:r>
        <w:rPr>
          <w:rFonts w:hint="eastAsia"/>
        </w:rPr>
        <w:t>治疗项目管理</w:t>
      </w:r>
    </w:p>
    <w:p>
      <w:pPr>
        <w:numPr>
          <w:ilvl w:val="0"/>
          <w:numId w:val="8"/>
        </w:numPr>
        <w:spacing w:line="360" w:lineRule="auto"/>
        <w:rPr>
          <w:rFonts w:ascii="宋体" w:hAnsi="宋体"/>
          <w:color w:val="000000"/>
          <w:sz w:val="24"/>
          <w:szCs w:val="24"/>
        </w:rPr>
      </w:pPr>
      <w:r>
        <w:rPr>
          <w:rFonts w:hint="eastAsia" w:ascii="宋体" w:hAnsi="宋体"/>
          <w:sz w:val="24"/>
          <w:szCs w:val="28"/>
        </w:rPr>
        <w:t>实现治疗师针对患者进行治疗管理功能，同时提供相关报表给管理者，统计治疗师工作量、设备使用率等数据。</w:t>
      </w:r>
    </w:p>
    <w:p>
      <w:pPr>
        <w:pStyle w:val="7"/>
        <w:spacing w:before="156"/>
      </w:pPr>
      <w:r>
        <w:rPr>
          <w:rFonts w:hint="eastAsia"/>
        </w:rPr>
        <w:t>治疗确费</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支持记录患者在康复科就诊确费记录，通过对接医院的HIS系统，实现实时计费。</w:t>
      </w:r>
    </w:p>
    <w:p>
      <w:pPr>
        <w:pStyle w:val="7"/>
        <w:spacing w:before="156"/>
      </w:pPr>
      <w:r>
        <w:rPr>
          <w:rFonts w:hint="eastAsia"/>
        </w:rPr>
        <w:t>治疗记录</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支持对患者治疗项目进行记录，包含治疗方法、治疗部位、治疗反应、频次、剂量、剂量单位、注意事项、时间、治疗医生。</w:t>
      </w:r>
    </w:p>
    <w:p>
      <w:pPr>
        <w:pStyle w:val="7"/>
        <w:spacing w:before="156"/>
      </w:pPr>
      <w:r>
        <w:rPr>
          <w:rFonts w:hint="eastAsia"/>
        </w:rPr>
        <w:t>治疗小结</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支持对既定治疗方案阶段性进行小结，对小结内容进行添加、删除、修改。</w:t>
      </w:r>
    </w:p>
    <w:p>
      <w:pPr>
        <w:pStyle w:val="7"/>
        <w:spacing w:before="156"/>
      </w:pPr>
      <w:r>
        <w:rPr>
          <w:rFonts w:hint="eastAsia"/>
        </w:rPr>
        <w:t>治疗记录查询</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支持查询历史治疗记录，包含患者治疗项目的治疗方法、治疗部位、治疗反应、频次、剂量、剂量单位、注意事项、时间、治疗医生。</w:t>
      </w:r>
    </w:p>
    <w:p>
      <w:pPr>
        <w:pStyle w:val="6"/>
      </w:pPr>
      <w:r>
        <w:rPr>
          <w:rFonts w:hint="eastAsia"/>
        </w:rPr>
        <w:t>康复文书</w:t>
      </w:r>
    </w:p>
    <w:p>
      <w:pPr>
        <w:pStyle w:val="7"/>
        <w:spacing w:before="156"/>
      </w:pPr>
      <w:r>
        <w:rPr>
          <w:rFonts w:hint="eastAsia"/>
        </w:rPr>
        <w:t>康复文书模板库</w:t>
      </w:r>
    </w:p>
    <w:p>
      <w:pPr>
        <w:numPr>
          <w:ilvl w:val="0"/>
          <w:numId w:val="8"/>
        </w:numPr>
        <w:spacing w:line="360" w:lineRule="auto"/>
        <w:rPr>
          <w:rFonts w:ascii="宋体" w:hAnsi="宋体"/>
          <w:sz w:val="24"/>
          <w:szCs w:val="28"/>
        </w:rPr>
      </w:pPr>
      <w:r>
        <w:rPr>
          <w:rFonts w:hint="eastAsia" w:ascii="宋体" w:hAnsi="宋体"/>
          <w:sz w:val="24"/>
          <w:szCs w:val="28"/>
        </w:rPr>
        <w:t>支持按照病种、康复类别选择康复文书模板。</w:t>
      </w:r>
    </w:p>
    <w:p>
      <w:pPr>
        <w:numPr>
          <w:ilvl w:val="0"/>
          <w:numId w:val="8"/>
        </w:numPr>
        <w:spacing w:line="360" w:lineRule="auto"/>
        <w:rPr>
          <w:rFonts w:ascii="宋体" w:hAnsi="宋体"/>
          <w:sz w:val="24"/>
          <w:szCs w:val="28"/>
        </w:rPr>
      </w:pPr>
      <w:r>
        <w:rPr>
          <w:rFonts w:hint="eastAsia" w:ascii="宋体" w:hAnsi="宋体"/>
          <w:sz w:val="24"/>
          <w:szCs w:val="28"/>
        </w:rPr>
        <w:t>支持医院自定义康复文书模板。</w:t>
      </w:r>
    </w:p>
    <w:p>
      <w:pPr>
        <w:pStyle w:val="7"/>
        <w:spacing w:before="156"/>
      </w:pPr>
      <w:r>
        <w:rPr>
          <w:rFonts w:hint="eastAsia"/>
        </w:rPr>
        <w:t>历史康复文书查询与引用</w:t>
      </w:r>
    </w:p>
    <w:p>
      <w:pPr>
        <w:numPr>
          <w:ilvl w:val="0"/>
          <w:numId w:val="8"/>
        </w:numPr>
        <w:spacing w:line="360" w:lineRule="auto"/>
        <w:rPr>
          <w:rFonts w:ascii="宋体" w:hAnsi="宋体"/>
          <w:sz w:val="24"/>
          <w:szCs w:val="28"/>
        </w:rPr>
      </w:pPr>
      <w:r>
        <w:rPr>
          <w:rFonts w:hint="eastAsia" w:ascii="宋体" w:hAnsi="宋体"/>
          <w:sz w:val="24"/>
          <w:szCs w:val="28"/>
        </w:rPr>
        <w:t>支持通过时间、姓名查询病人历史康复文书。</w:t>
      </w:r>
    </w:p>
    <w:p>
      <w:pPr>
        <w:numPr>
          <w:ilvl w:val="0"/>
          <w:numId w:val="8"/>
        </w:numPr>
        <w:spacing w:line="360" w:lineRule="auto"/>
        <w:rPr>
          <w:rFonts w:ascii="宋体" w:hAnsi="宋体"/>
          <w:sz w:val="24"/>
          <w:szCs w:val="28"/>
        </w:rPr>
      </w:pPr>
      <w:r>
        <w:rPr>
          <w:rFonts w:hint="eastAsia" w:ascii="宋体" w:hAnsi="宋体"/>
          <w:sz w:val="24"/>
          <w:szCs w:val="28"/>
        </w:rPr>
        <w:t>支持引用历史康复文书模板和康复文书内容。</w:t>
      </w:r>
    </w:p>
    <w:p>
      <w:pPr>
        <w:pStyle w:val="7"/>
        <w:spacing w:before="156"/>
      </w:pPr>
      <w:r>
        <w:rPr>
          <w:rFonts w:hint="eastAsia"/>
        </w:rPr>
        <w:t>康复文书打印</w:t>
      </w:r>
    </w:p>
    <w:p>
      <w:pPr>
        <w:pStyle w:val="43"/>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支持病人康复文书查询与打印。</w:t>
      </w:r>
    </w:p>
    <w:p>
      <w:pPr>
        <w:pStyle w:val="6"/>
      </w:pPr>
      <w:r>
        <w:rPr>
          <w:rFonts w:hint="eastAsia"/>
        </w:rPr>
        <w:t>患者康复信息共享</w:t>
      </w:r>
    </w:p>
    <w:p>
      <w:pPr>
        <w:numPr>
          <w:ilvl w:val="0"/>
          <w:numId w:val="8"/>
        </w:numPr>
        <w:spacing w:line="360" w:lineRule="auto"/>
        <w:rPr>
          <w:rFonts w:ascii="宋体" w:hAnsi="宋体"/>
          <w:sz w:val="24"/>
          <w:szCs w:val="28"/>
        </w:rPr>
      </w:pPr>
      <w:r>
        <w:rPr>
          <w:rFonts w:hint="eastAsia" w:ascii="宋体" w:hAnsi="宋体"/>
          <w:sz w:val="24"/>
          <w:szCs w:val="28"/>
        </w:rPr>
        <w:t>支持对病人在院过程查询。</w:t>
      </w:r>
    </w:p>
    <w:p>
      <w:pPr>
        <w:numPr>
          <w:ilvl w:val="0"/>
          <w:numId w:val="8"/>
        </w:numPr>
        <w:spacing w:line="360" w:lineRule="auto"/>
        <w:rPr>
          <w:rFonts w:ascii="宋体" w:hAnsi="宋体"/>
          <w:sz w:val="24"/>
          <w:szCs w:val="28"/>
        </w:rPr>
      </w:pPr>
      <w:r>
        <w:rPr>
          <w:rFonts w:hint="eastAsia" w:ascii="宋体" w:hAnsi="宋体"/>
          <w:sz w:val="24"/>
          <w:szCs w:val="28"/>
        </w:rPr>
        <w:t>支持通过时间轴的方式展示患者治疗全过程。</w:t>
      </w:r>
    </w:p>
    <w:p>
      <w:pPr>
        <w:numPr>
          <w:ilvl w:val="0"/>
          <w:numId w:val="8"/>
        </w:numPr>
        <w:spacing w:line="360" w:lineRule="auto"/>
        <w:rPr>
          <w:rFonts w:ascii="宋体" w:hAnsi="宋体"/>
          <w:sz w:val="24"/>
          <w:szCs w:val="28"/>
        </w:rPr>
      </w:pPr>
      <w:r>
        <w:rPr>
          <w:rFonts w:hint="eastAsia" w:ascii="宋体" w:hAnsi="宋体"/>
          <w:sz w:val="24"/>
          <w:szCs w:val="28"/>
        </w:rPr>
        <w:t>支持治疗周期时间轴关联患者信息、治疗信息、康复文书信息。</w:t>
      </w:r>
    </w:p>
    <w:p>
      <w:pPr>
        <w:numPr>
          <w:ilvl w:val="0"/>
          <w:numId w:val="8"/>
        </w:numPr>
        <w:spacing w:line="360" w:lineRule="auto"/>
        <w:rPr>
          <w:rFonts w:ascii="宋体" w:hAnsi="宋体"/>
          <w:sz w:val="24"/>
          <w:szCs w:val="28"/>
        </w:rPr>
      </w:pPr>
      <w:r>
        <w:rPr>
          <w:rFonts w:hint="eastAsia" w:ascii="宋体" w:hAnsi="宋体"/>
          <w:sz w:val="24"/>
          <w:szCs w:val="28"/>
        </w:rPr>
        <w:t>支持查看患者医嘱信息、患者电子病历信息、患者医技报告信息。</w:t>
      </w:r>
    </w:p>
    <w:p>
      <w:pPr>
        <w:pStyle w:val="6"/>
      </w:pPr>
      <w:r>
        <w:rPr>
          <w:rFonts w:hint="eastAsia"/>
        </w:rPr>
        <w:t>智能决策统计分析</w:t>
      </w:r>
    </w:p>
    <w:p>
      <w:pPr>
        <w:spacing w:line="360" w:lineRule="auto"/>
        <w:ind w:firstLine="480"/>
        <w:rPr>
          <w:rFonts w:ascii="宋体" w:hAnsi="宋体"/>
          <w:sz w:val="24"/>
          <w:szCs w:val="24"/>
        </w:rPr>
      </w:pPr>
      <w:r>
        <w:rPr>
          <w:rFonts w:hint="eastAsia" w:ascii="宋体" w:hAnsi="宋体"/>
          <w:sz w:val="24"/>
          <w:szCs w:val="24"/>
        </w:rPr>
        <w:t>为科室主任及院方提供及时精准的管理分析数据，为科室决策提供数据支撑，要求如下：</w:t>
      </w:r>
    </w:p>
    <w:p>
      <w:pPr>
        <w:numPr>
          <w:ilvl w:val="0"/>
          <w:numId w:val="8"/>
        </w:numPr>
        <w:spacing w:line="360" w:lineRule="auto"/>
        <w:rPr>
          <w:rFonts w:ascii="宋体" w:hAnsi="宋体"/>
          <w:sz w:val="24"/>
          <w:szCs w:val="28"/>
        </w:rPr>
      </w:pPr>
      <w:r>
        <w:rPr>
          <w:rFonts w:hint="eastAsia" w:ascii="宋体" w:hAnsi="宋体"/>
          <w:sz w:val="24"/>
          <w:szCs w:val="28"/>
        </w:rPr>
        <w:t>支持各治疗区病人来源科室统计、收入统计、病种统计。</w:t>
      </w:r>
    </w:p>
    <w:p>
      <w:pPr>
        <w:numPr>
          <w:ilvl w:val="0"/>
          <w:numId w:val="8"/>
        </w:numPr>
        <w:spacing w:line="360" w:lineRule="auto"/>
        <w:rPr>
          <w:rFonts w:ascii="宋体" w:hAnsi="宋体"/>
          <w:sz w:val="24"/>
          <w:szCs w:val="28"/>
        </w:rPr>
      </w:pPr>
      <w:r>
        <w:rPr>
          <w:rFonts w:hint="eastAsia" w:ascii="宋体" w:hAnsi="宋体"/>
          <w:sz w:val="24"/>
          <w:szCs w:val="28"/>
        </w:rPr>
        <w:t>支持治疗区内各个治疗师工作量统计、治疗项目分类统计。</w:t>
      </w:r>
    </w:p>
    <w:p>
      <w:pPr>
        <w:numPr>
          <w:ilvl w:val="0"/>
          <w:numId w:val="8"/>
        </w:numPr>
        <w:spacing w:line="360" w:lineRule="auto"/>
        <w:rPr>
          <w:rFonts w:ascii="宋体" w:hAnsi="宋体"/>
          <w:sz w:val="24"/>
          <w:szCs w:val="28"/>
        </w:rPr>
      </w:pPr>
      <w:r>
        <w:rPr>
          <w:rFonts w:hint="eastAsia" w:ascii="宋体" w:hAnsi="宋体"/>
          <w:sz w:val="24"/>
          <w:szCs w:val="28"/>
        </w:rPr>
        <w:t>支持统计设备的排班率、使用率，可形成日报、周报、月报，支持自定义报表。</w:t>
      </w:r>
    </w:p>
    <w:p>
      <w:pPr>
        <w:pStyle w:val="6"/>
      </w:pPr>
      <w:r>
        <w:rPr>
          <w:rFonts w:hint="eastAsia"/>
        </w:rPr>
        <w:t>康复评定</w:t>
      </w:r>
    </w:p>
    <w:p>
      <w:pPr>
        <w:pStyle w:val="7"/>
        <w:spacing w:before="156"/>
      </w:pPr>
      <w:r>
        <w:rPr>
          <w:rFonts w:hint="eastAsia"/>
        </w:rPr>
        <w:t>评定模板管理</w:t>
      </w:r>
    </w:p>
    <w:p>
      <w:pPr>
        <w:numPr>
          <w:ilvl w:val="0"/>
          <w:numId w:val="8"/>
        </w:numPr>
        <w:spacing w:line="360" w:lineRule="auto"/>
        <w:rPr>
          <w:rFonts w:ascii="宋体" w:hAnsi="宋体"/>
          <w:sz w:val="24"/>
          <w:szCs w:val="28"/>
        </w:rPr>
      </w:pPr>
      <w:r>
        <w:rPr>
          <w:rFonts w:hint="eastAsia" w:ascii="宋体" w:hAnsi="宋体"/>
          <w:sz w:val="24"/>
          <w:szCs w:val="28"/>
        </w:rPr>
        <w:t>支持制定评定方案，门诊/住院医生根据病患病理表现，初步评定、制定评定方案。</w:t>
      </w:r>
    </w:p>
    <w:p>
      <w:pPr>
        <w:numPr>
          <w:ilvl w:val="0"/>
          <w:numId w:val="8"/>
        </w:numPr>
        <w:spacing w:line="360" w:lineRule="auto"/>
        <w:rPr>
          <w:rFonts w:ascii="宋体" w:hAnsi="宋体"/>
          <w:sz w:val="24"/>
          <w:szCs w:val="28"/>
        </w:rPr>
      </w:pPr>
      <w:r>
        <w:rPr>
          <w:rFonts w:hint="eastAsia" w:ascii="宋体" w:hAnsi="宋体"/>
          <w:sz w:val="24"/>
          <w:szCs w:val="28"/>
        </w:rPr>
        <w:t>支持执行评定项目，根据对应病征、评定量表维度，检查判断患者功能障碍情况。</w:t>
      </w:r>
    </w:p>
    <w:p>
      <w:pPr>
        <w:numPr>
          <w:ilvl w:val="0"/>
          <w:numId w:val="8"/>
        </w:numPr>
        <w:spacing w:line="360" w:lineRule="auto"/>
        <w:rPr>
          <w:rFonts w:ascii="宋体" w:hAnsi="宋体"/>
          <w:sz w:val="24"/>
          <w:szCs w:val="28"/>
        </w:rPr>
      </w:pPr>
      <w:r>
        <w:rPr>
          <w:rFonts w:hint="eastAsia" w:ascii="宋体" w:hAnsi="宋体"/>
          <w:sz w:val="24"/>
          <w:szCs w:val="28"/>
        </w:rPr>
        <w:t>支持记录患者功能性障碍的性质、部位、范围、程度。</w:t>
      </w:r>
    </w:p>
    <w:p>
      <w:pPr>
        <w:numPr>
          <w:ilvl w:val="0"/>
          <w:numId w:val="8"/>
        </w:numPr>
        <w:spacing w:line="360" w:lineRule="auto"/>
        <w:rPr>
          <w:rFonts w:ascii="宋体" w:hAnsi="宋体"/>
          <w:sz w:val="24"/>
          <w:szCs w:val="28"/>
        </w:rPr>
      </w:pPr>
      <w:r>
        <w:rPr>
          <w:rFonts w:hint="eastAsia" w:ascii="宋体" w:hAnsi="宋体"/>
          <w:sz w:val="24"/>
          <w:szCs w:val="28"/>
        </w:rPr>
        <w:t>支持评定报告生成，支持根据国际ICF标准体系进行评定分值计算。</w:t>
      </w:r>
    </w:p>
    <w:p>
      <w:pPr>
        <w:numPr>
          <w:ilvl w:val="0"/>
          <w:numId w:val="8"/>
        </w:numPr>
        <w:spacing w:line="360" w:lineRule="auto"/>
        <w:rPr>
          <w:rFonts w:ascii="宋体" w:hAnsi="宋体"/>
          <w:sz w:val="24"/>
          <w:szCs w:val="28"/>
        </w:rPr>
      </w:pPr>
      <w:r>
        <w:rPr>
          <w:rFonts w:hint="eastAsia" w:ascii="宋体" w:hAnsi="宋体"/>
          <w:sz w:val="24"/>
          <w:szCs w:val="28"/>
        </w:rPr>
        <w:t>支持评定报告管理，包含新增、修改、删除、审核。</w:t>
      </w:r>
    </w:p>
    <w:p>
      <w:pPr>
        <w:numPr>
          <w:ilvl w:val="0"/>
          <w:numId w:val="8"/>
        </w:numPr>
        <w:spacing w:line="360" w:lineRule="auto"/>
        <w:rPr>
          <w:rFonts w:ascii="宋体" w:hAnsi="宋体"/>
          <w:sz w:val="24"/>
          <w:szCs w:val="28"/>
        </w:rPr>
      </w:pPr>
      <w:r>
        <w:rPr>
          <w:rFonts w:hint="eastAsia" w:ascii="宋体" w:hAnsi="宋体"/>
          <w:sz w:val="24"/>
          <w:szCs w:val="28"/>
        </w:rPr>
        <w:t>支持历史评定项目查询，支持历史评定报告查询、打印。</w:t>
      </w:r>
    </w:p>
    <w:p>
      <w:pPr>
        <w:numPr>
          <w:ilvl w:val="0"/>
          <w:numId w:val="8"/>
        </w:numPr>
        <w:spacing w:line="360" w:lineRule="auto"/>
        <w:rPr>
          <w:rFonts w:ascii="宋体" w:hAnsi="宋体"/>
          <w:sz w:val="24"/>
          <w:szCs w:val="28"/>
        </w:rPr>
      </w:pPr>
      <w:r>
        <w:rPr>
          <w:rFonts w:hint="eastAsia" w:ascii="宋体" w:hAnsi="宋体"/>
          <w:sz w:val="24"/>
          <w:szCs w:val="28"/>
        </w:rPr>
        <w:t>支持评定报告质控管理，支持上级治疗师对评定结果进行质控管理、制定康复治疗计划。</w:t>
      </w:r>
    </w:p>
    <w:p>
      <w:pPr>
        <w:numPr>
          <w:ilvl w:val="0"/>
          <w:numId w:val="8"/>
        </w:numPr>
        <w:spacing w:line="360" w:lineRule="auto"/>
        <w:rPr>
          <w:rFonts w:ascii="宋体" w:hAnsi="宋体"/>
          <w:sz w:val="24"/>
          <w:szCs w:val="28"/>
        </w:rPr>
      </w:pPr>
      <w:r>
        <w:rPr>
          <w:rFonts w:hint="eastAsia" w:ascii="宋体" w:hAnsi="宋体"/>
          <w:sz w:val="24"/>
          <w:szCs w:val="28"/>
        </w:rPr>
        <w:t>支持统计康复疗效数据，支持本次评定数据与历史评定数据对比，通过评定维度进行康复效果评价。</w:t>
      </w:r>
    </w:p>
    <w:p>
      <w:pPr>
        <w:pStyle w:val="7"/>
        <w:spacing w:before="156"/>
      </w:pPr>
      <w:r>
        <w:rPr>
          <w:rFonts w:hint="eastAsia"/>
        </w:rPr>
        <w:t>评定录入与审阅</w:t>
      </w:r>
    </w:p>
    <w:p>
      <w:pPr>
        <w:numPr>
          <w:ilvl w:val="0"/>
          <w:numId w:val="8"/>
        </w:numPr>
        <w:spacing w:line="360" w:lineRule="auto"/>
        <w:rPr>
          <w:rFonts w:ascii="宋体" w:hAnsi="宋体"/>
          <w:sz w:val="24"/>
          <w:szCs w:val="28"/>
        </w:rPr>
      </w:pPr>
      <w:r>
        <w:rPr>
          <w:rFonts w:hint="eastAsia" w:ascii="宋体" w:hAnsi="宋体"/>
          <w:sz w:val="24"/>
          <w:szCs w:val="28"/>
        </w:rPr>
        <w:t>支持量化康复评定量表的分值录入、修改。</w:t>
      </w:r>
    </w:p>
    <w:p>
      <w:pPr>
        <w:numPr>
          <w:ilvl w:val="0"/>
          <w:numId w:val="8"/>
        </w:numPr>
        <w:spacing w:line="360" w:lineRule="auto"/>
        <w:rPr>
          <w:rFonts w:ascii="宋体" w:hAnsi="宋体"/>
          <w:sz w:val="24"/>
          <w:szCs w:val="28"/>
        </w:rPr>
      </w:pPr>
      <w:r>
        <w:rPr>
          <w:rFonts w:hint="eastAsia" w:ascii="宋体" w:hAnsi="宋体"/>
          <w:sz w:val="24"/>
          <w:szCs w:val="28"/>
        </w:rPr>
        <w:t>支持非量化康复评定量表的文字录入、修改。</w:t>
      </w:r>
    </w:p>
    <w:p>
      <w:pPr>
        <w:numPr>
          <w:ilvl w:val="0"/>
          <w:numId w:val="8"/>
        </w:numPr>
        <w:spacing w:line="360" w:lineRule="auto"/>
        <w:rPr>
          <w:rFonts w:ascii="宋体" w:hAnsi="宋体"/>
          <w:sz w:val="24"/>
          <w:szCs w:val="28"/>
        </w:rPr>
      </w:pPr>
      <w:r>
        <w:rPr>
          <w:rFonts w:hint="eastAsia" w:ascii="宋体" w:hAnsi="宋体"/>
          <w:sz w:val="24"/>
          <w:szCs w:val="28"/>
        </w:rPr>
        <w:t>支持康复评定结果审核，已审阅评定支持撤销审阅、重新填写，支持审核权限配置。</w:t>
      </w:r>
    </w:p>
    <w:p>
      <w:pPr>
        <w:pStyle w:val="7"/>
        <w:spacing w:before="156"/>
      </w:pPr>
      <w:r>
        <w:rPr>
          <w:rFonts w:hint="eastAsia"/>
        </w:rPr>
        <w:t>康复计划引用评定结果</w:t>
      </w:r>
    </w:p>
    <w:p>
      <w:pPr>
        <w:pStyle w:val="43"/>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支持医生开立康复计划，支持康复治疗师按照康复计划记录评定结果。</w:t>
      </w:r>
    </w:p>
    <w:p>
      <w:pPr>
        <w:pStyle w:val="7"/>
        <w:spacing w:before="156"/>
      </w:pPr>
      <w:r>
        <w:rPr>
          <w:rFonts w:hint="eastAsia"/>
        </w:rPr>
        <w:t>量表知识库</w:t>
      </w:r>
    </w:p>
    <w:p>
      <w:pPr>
        <w:numPr>
          <w:ilvl w:val="0"/>
          <w:numId w:val="8"/>
        </w:numPr>
        <w:spacing w:line="360" w:lineRule="auto"/>
        <w:rPr>
          <w:rFonts w:ascii="宋体" w:hAnsi="宋体"/>
          <w:sz w:val="24"/>
          <w:szCs w:val="28"/>
        </w:rPr>
      </w:pPr>
      <w:r>
        <w:rPr>
          <w:rFonts w:hint="eastAsia" w:ascii="宋体" w:hAnsi="宋体"/>
          <w:sz w:val="24"/>
          <w:szCs w:val="28"/>
        </w:rPr>
        <w:t>提供符合国际ICF标准的不少于300份评定量表。</w:t>
      </w:r>
    </w:p>
    <w:p>
      <w:pPr>
        <w:pStyle w:val="43"/>
        <w:snapToGrid w:val="0"/>
        <w:spacing w:line="360" w:lineRule="auto"/>
        <w:ind w:firstLine="0" w:firstLineChars="0"/>
        <w:rPr>
          <w:rFonts w:ascii="宋体" w:hAnsi="宋体"/>
          <w:color w:val="000000"/>
          <w:sz w:val="24"/>
          <w:szCs w:val="24"/>
        </w:rPr>
      </w:pPr>
      <w:r>
        <w:rPr>
          <w:rFonts w:hint="eastAsia" w:ascii="宋体" w:hAnsi="宋体"/>
          <w:color w:val="000000"/>
          <w:sz w:val="24"/>
          <w:szCs w:val="24"/>
        </w:rPr>
        <w:t>要求提供包含临床痉挛评定、西方失语症评定量表截图证明。</w:t>
      </w:r>
    </w:p>
    <w:p>
      <w:pPr>
        <w:pStyle w:val="7"/>
        <w:spacing w:before="156"/>
      </w:pPr>
      <w:r>
        <w:rPr>
          <w:rFonts w:hint="eastAsia"/>
        </w:rPr>
        <w:t>医生查看评定结果</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支持医生查看病人所有康复评定结果。</w:t>
      </w:r>
    </w:p>
    <w:p>
      <w:pPr>
        <w:pStyle w:val="6"/>
      </w:pPr>
      <w:r>
        <w:rPr>
          <w:rFonts w:hint="eastAsia"/>
        </w:rPr>
        <w:t>康复大屏</w:t>
      </w:r>
    </w:p>
    <w:p>
      <w:pPr>
        <w:numPr>
          <w:ilvl w:val="0"/>
          <w:numId w:val="8"/>
        </w:numPr>
        <w:spacing w:line="360" w:lineRule="auto"/>
        <w:rPr>
          <w:rFonts w:ascii="宋体" w:hAnsi="宋体"/>
          <w:sz w:val="24"/>
          <w:szCs w:val="28"/>
        </w:rPr>
      </w:pPr>
      <w:r>
        <w:rPr>
          <w:rFonts w:hint="eastAsia" w:ascii="宋体" w:hAnsi="宋体"/>
          <w:sz w:val="24"/>
          <w:szCs w:val="28"/>
        </w:rPr>
        <w:t>支持按时间段展示预约治疗患者信息，包含治疗师、治疗时间、患者信息。支持治疗排队的到时提醒。</w:t>
      </w:r>
    </w:p>
    <w:p>
      <w:pPr>
        <w:numPr>
          <w:ilvl w:val="0"/>
          <w:numId w:val="8"/>
        </w:numPr>
        <w:spacing w:line="360" w:lineRule="auto"/>
        <w:rPr>
          <w:rFonts w:ascii="宋体" w:hAnsi="宋体"/>
          <w:sz w:val="24"/>
          <w:szCs w:val="28"/>
        </w:rPr>
      </w:pPr>
      <w:r>
        <w:rPr>
          <w:rFonts w:hint="eastAsia" w:ascii="宋体" w:hAnsi="宋体"/>
          <w:sz w:val="24"/>
          <w:szCs w:val="28"/>
        </w:rPr>
        <w:t>支持按治疗项目展示当日排程，包含治疗时间段、治疗项目、患者信息。</w:t>
      </w:r>
    </w:p>
    <w:p>
      <w:pPr>
        <w:numPr>
          <w:ilvl w:val="0"/>
          <w:numId w:val="8"/>
        </w:numPr>
        <w:spacing w:line="360" w:lineRule="auto"/>
        <w:rPr>
          <w:rFonts w:ascii="宋体" w:hAnsi="宋体"/>
          <w:sz w:val="24"/>
          <w:szCs w:val="28"/>
        </w:rPr>
      </w:pPr>
      <w:r>
        <w:rPr>
          <w:rFonts w:hint="eastAsia" w:ascii="宋体" w:hAnsi="宋体"/>
          <w:sz w:val="24"/>
          <w:szCs w:val="28"/>
        </w:rPr>
        <w:t>支持按患者展示当日排程，包含患者信息、时间段、治疗项目信息。</w:t>
      </w:r>
    </w:p>
    <w:p>
      <w:pPr>
        <w:numPr>
          <w:ilvl w:val="0"/>
          <w:numId w:val="8"/>
        </w:numPr>
        <w:spacing w:line="360" w:lineRule="auto"/>
        <w:rPr>
          <w:rFonts w:ascii="宋体" w:hAnsi="宋体"/>
          <w:sz w:val="24"/>
          <w:szCs w:val="28"/>
        </w:rPr>
      </w:pPr>
      <w:r>
        <w:rPr>
          <w:rFonts w:hint="eastAsia" w:ascii="宋体" w:hAnsi="宋体"/>
          <w:sz w:val="24"/>
          <w:szCs w:val="28"/>
        </w:rPr>
        <w:t>支持按设备展示当日排程，包含患者信息、时间段、设备信息。</w:t>
      </w:r>
    </w:p>
    <w:p>
      <w:pPr>
        <w:numPr>
          <w:ilvl w:val="0"/>
          <w:numId w:val="8"/>
        </w:numPr>
        <w:spacing w:line="360" w:lineRule="auto"/>
        <w:rPr>
          <w:rFonts w:ascii="宋体" w:hAnsi="宋体"/>
          <w:sz w:val="24"/>
          <w:szCs w:val="28"/>
        </w:rPr>
      </w:pPr>
      <w:r>
        <w:rPr>
          <w:rFonts w:hint="eastAsia" w:ascii="宋体" w:hAnsi="宋体"/>
          <w:sz w:val="24"/>
          <w:szCs w:val="28"/>
        </w:rPr>
        <w:t>支持展示当日新入院患者列表信息。</w:t>
      </w:r>
    </w:p>
    <w:p>
      <w:pPr>
        <w:pStyle w:val="6"/>
      </w:pPr>
      <w:r>
        <w:rPr>
          <w:rFonts w:hint="eastAsia"/>
        </w:rPr>
        <w:t>康复出院指导</w:t>
      </w:r>
    </w:p>
    <w:p>
      <w:pPr>
        <w:numPr>
          <w:ilvl w:val="0"/>
          <w:numId w:val="8"/>
        </w:numPr>
        <w:spacing w:line="360" w:lineRule="auto"/>
        <w:rPr>
          <w:rFonts w:ascii="宋体" w:hAnsi="宋体"/>
          <w:sz w:val="24"/>
          <w:szCs w:val="28"/>
        </w:rPr>
      </w:pPr>
      <w:r>
        <w:rPr>
          <w:rFonts w:hint="eastAsia" w:ascii="宋体" w:hAnsi="宋体"/>
          <w:sz w:val="24"/>
          <w:szCs w:val="28"/>
        </w:rPr>
        <w:t>支持根据患者诊断、病种，提供针对性的出院指导方案，包含中医康复出院指导方案、西医出院指导方案。</w:t>
      </w:r>
    </w:p>
    <w:p>
      <w:pPr>
        <w:numPr>
          <w:ilvl w:val="0"/>
          <w:numId w:val="8"/>
        </w:numPr>
        <w:spacing w:line="360" w:lineRule="auto"/>
        <w:rPr>
          <w:rFonts w:ascii="宋体" w:hAnsi="宋体"/>
          <w:sz w:val="24"/>
          <w:szCs w:val="28"/>
        </w:rPr>
      </w:pPr>
      <w:r>
        <w:rPr>
          <w:rFonts w:hint="eastAsia" w:ascii="宋体" w:hAnsi="宋体"/>
          <w:sz w:val="24"/>
          <w:szCs w:val="28"/>
        </w:rPr>
        <w:t>支持出院指导方案自定义。</w:t>
      </w:r>
    </w:p>
    <w:p>
      <w:pPr>
        <w:pStyle w:val="6"/>
      </w:pPr>
      <w:r>
        <w:rPr>
          <w:rFonts w:hint="eastAsia"/>
        </w:rPr>
        <w:t>治疗预约管理</w:t>
      </w:r>
    </w:p>
    <w:p>
      <w:pPr>
        <w:numPr>
          <w:ilvl w:val="0"/>
          <w:numId w:val="8"/>
        </w:numPr>
        <w:spacing w:line="360" w:lineRule="auto"/>
        <w:rPr>
          <w:rFonts w:ascii="宋体" w:hAnsi="宋体"/>
          <w:sz w:val="24"/>
          <w:szCs w:val="28"/>
        </w:rPr>
      </w:pPr>
      <w:r>
        <w:rPr>
          <w:rFonts w:hint="eastAsia" w:ascii="宋体" w:hAnsi="宋体"/>
          <w:sz w:val="24"/>
          <w:szCs w:val="28"/>
        </w:rPr>
        <w:t>支持提供治疗师排班管理、治疗预约管理。</w:t>
      </w:r>
    </w:p>
    <w:p>
      <w:pPr>
        <w:numPr>
          <w:ilvl w:val="0"/>
          <w:numId w:val="8"/>
        </w:numPr>
        <w:spacing w:line="360" w:lineRule="auto"/>
        <w:rPr>
          <w:rFonts w:ascii="宋体" w:hAnsi="宋体"/>
          <w:sz w:val="24"/>
          <w:szCs w:val="28"/>
        </w:rPr>
      </w:pPr>
      <w:r>
        <w:rPr>
          <w:rFonts w:hint="eastAsia" w:ascii="宋体" w:hAnsi="宋体"/>
          <w:sz w:val="24"/>
          <w:szCs w:val="28"/>
        </w:rPr>
        <w:t>支持按时间段、治疗师、治疗设备、治疗科室维度进行排班。</w:t>
      </w:r>
    </w:p>
    <w:p>
      <w:pPr>
        <w:numPr>
          <w:ilvl w:val="0"/>
          <w:numId w:val="8"/>
        </w:numPr>
        <w:spacing w:line="360" w:lineRule="auto"/>
        <w:rPr>
          <w:rFonts w:ascii="宋体" w:hAnsi="宋体"/>
          <w:sz w:val="24"/>
          <w:szCs w:val="28"/>
        </w:rPr>
      </w:pPr>
      <w:r>
        <w:rPr>
          <w:rFonts w:hint="eastAsia" w:ascii="宋体" w:hAnsi="宋体"/>
          <w:sz w:val="24"/>
          <w:szCs w:val="28"/>
        </w:rPr>
        <w:t>支持自动排班，按原任务人优先规则、任务工作量最少优先规则进行智能排班与预约。</w:t>
      </w:r>
    </w:p>
    <w:p>
      <w:pPr>
        <w:pStyle w:val="7"/>
        <w:spacing w:before="156"/>
      </w:pPr>
      <w:r>
        <w:rPr>
          <w:rFonts w:hint="eastAsia"/>
        </w:rPr>
        <w:t>排班管理</w:t>
      </w:r>
    </w:p>
    <w:p>
      <w:pPr>
        <w:numPr>
          <w:ilvl w:val="0"/>
          <w:numId w:val="8"/>
        </w:numPr>
        <w:spacing w:line="360" w:lineRule="auto"/>
        <w:rPr>
          <w:rFonts w:ascii="宋体" w:hAnsi="宋体"/>
          <w:sz w:val="24"/>
          <w:szCs w:val="28"/>
        </w:rPr>
      </w:pPr>
      <w:r>
        <w:rPr>
          <w:rFonts w:hint="eastAsia" w:ascii="宋体" w:hAnsi="宋体"/>
          <w:sz w:val="24"/>
          <w:szCs w:val="28"/>
        </w:rPr>
        <w:t>支持治疗师排班规则维护，按照治疗师代码、治疗师名称、运行周期、治疗分类、作业人数进行自动排班。</w:t>
      </w:r>
    </w:p>
    <w:p>
      <w:pPr>
        <w:numPr>
          <w:ilvl w:val="0"/>
          <w:numId w:val="8"/>
        </w:numPr>
        <w:spacing w:line="360" w:lineRule="auto"/>
        <w:rPr>
          <w:rFonts w:ascii="宋体" w:hAnsi="宋体"/>
          <w:sz w:val="24"/>
          <w:szCs w:val="28"/>
        </w:rPr>
      </w:pPr>
      <w:r>
        <w:rPr>
          <w:rFonts w:hint="eastAsia" w:ascii="宋体" w:hAnsi="宋体"/>
          <w:sz w:val="24"/>
          <w:szCs w:val="28"/>
        </w:rPr>
        <w:t>支持按科室、设备类别进行排班。</w:t>
      </w:r>
    </w:p>
    <w:p>
      <w:pPr>
        <w:numPr>
          <w:ilvl w:val="0"/>
          <w:numId w:val="8"/>
        </w:numPr>
        <w:spacing w:line="360" w:lineRule="auto"/>
        <w:rPr>
          <w:rFonts w:ascii="宋体" w:hAnsi="宋体"/>
          <w:sz w:val="24"/>
          <w:szCs w:val="28"/>
        </w:rPr>
      </w:pPr>
      <w:r>
        <w:rPr>
          <w:rFonts w:hint="eastAsia" w:ascii="宋体" w:hAnsi="宋体"/>
          <w:sz w:val="24"/>
          <w:szCs w:val="28"/>
        </w:rPr>
        <w:t>支持新增、修改、删除排班记录。</w:t>
      </w:r>
    </w:p>
    <w:p>
      <w:pPr>
        <w:numPr>
          <w:ilvl w:val="0"/>
          <w:numId w:val="8"/>
        </w:numPr>
        <w:spacing w:line="360" w:lineRule="auto"/>
        <w:rPr>
          <w:rFonts w:ascii="宋体" w:hAnsi="宋体"/>
          <w:sz w:val="24"/>
          <w:szCs w:val="28"/>
        </w:rPr>
      </w:pPr>
      <w:r>
        <w:rPr>
          <w:rFonts w:hint="eastAsia" w:ascii="宋体" w:hAnsi="宋体"/>
          <w:sz w:val="24"/>
          <w:szCs w:val="28"/>
        </w:rPr>
        <w:t>支持查询排班记录，支持停诊、取消停诊排班记录。</w:t>
      </w:r>
    </w:p>
    <w:p>
      <w:pPr>
        <w:pStyle w:val="7"/>
        <w:spacing w:before="156"/>
      </w:pPr>
      <w:r>
        <w:rPr>
          <w:rFonts w:hint="eastAsia"/>
        </w:rPr>
        <w:t>治疗预约</w:t>
      </w:r>
    </w:p>
    <w:p>
      <w:pPr>
        <w:numPr>
          <w:ilvl w:val="0"/>
          <w:numId w:val="8"/>
        </w:numPr>
        <w:spacing w:line="360" w:lineRule="auto"/>
        <w:rPr>
          <w:rFonts w:ascii="宋体" w:hAnsi="宋体"/>
          <w:sz w:val="24"/>
          <w:szCs w:val="28"/>
        </w:rPr>
      </w:pPr>
      <w:r>
        <w:rPr>
          <w:rFonts w:hint="eastAsia" w:ascii="宋体" w:hAnsi="宋体"/>
          <w:sz w:val="24"/>
          <w:szCs w:val="28"/>
        </w:rPr>
        <w:t>支持治疗师长将治疗任务分配至具体治疗师。</w:t>
      </w:r>
    </w:p>
    <w:p>
      <w:pPr>
        <w:numPr>
          <w:ilvl w:val="0"/>
          <w:numId w:val="8"/>
        </w:numPr>
        <w:spacing w:line="360" w:lineRule="auto"/>
        <w:rPr>
          <w:rFonts w:ascii="宋体" w:hAnsi="宋体"/>
          <w:sz w:val="24"/>
          <w:szCs w:val="28"/>
        </w:rPr>
      </w:pPr>
      <w:r>
        <w:rPr>
          <w:rFonts w:hint="eastAsia" w:ascii="宋体" w:hAnsi="宋体"/>
          <w:sz w:val="24"/>
          <w:szCs w:val="28"/>
        </w:rPr>
        <w:t>支持治疗师对已分配任务的患者，进行治疗项目进行预约。</w:t>
      </w:r>
    </w:p>
    <w:p>
      <w:pPr>
        <w:numPr>
          <w:ilvl w:val="0"/>
          <w:numId w:val="8"/>
        </w:numPr>
        <w:spacing w:line="360" w:lineRule="auto"/>
        <w:rPr>
          <w:rFonts w:ascii="宋体" w:hAnsi="宋体"/>
          <w:sz w:val="24"/>
          <w:szCs w:val="28"/>
        </w:rPr>
      </w:pPr>
      <w:r>
        <w:rPr>
          <w:rFonts w:hint="eastAsia" w:ascii="宋体" w:hAnsi="宋体"/>
          <w:sz w:val="24"/>
          <w:szCs w:val="28"/>
        </w:rPr>
        <w:t>支持治疗师预约康复设备，包含设备以及预约时间段，预约设备支持提供长期预约、临时预约两种模式。</w:t>
      </w:r>
    </w:p>
    <w:p>
      <w:pPr>
        <w:numPr>
          <w:ilvl w:val="0"/>
          <w:numId w:val="8"/>
        </w:numPr>
        <w:spacing w:line="360" w:lineRule="auto"/>
        <w:rPr>
          <w:rFonts w:ascii="宋体" w:hAnsi="宋体"/>
          <w:sz w:val="24"/>
          <w:szCs w:val="28"/>
        </w:rPr>
      </w:pPr>
      <w:r>
        <w:rPr>
          <w:rFonts w:hint="eastAsia" w:ascii="宋体" w:hAnsi="宋体"/>
          <w:sz w:val="24"/>
          <w:szCs w:val="28"/>
        </w:rPr>
        <w:t>支持护士台预约，支持对病人的治疗项目进行预约和取消预约，对预约信息进行打印。</w:t>
      </w:r>
    </w:p>
    <w:p>
      <w:pPr>
        <w:numPr>
          <w:ilvl w:val="0"/>
          <w:numId w:val="8"/>
        </w:numPr>
        <w:spacing w:line="360" w:lineRule="auto"/>
        <w:rPr>
          <w:rFonts w:ascii="宋体" w:hAnsi="宋体"/>
          <w:sz w:val="24"/>
          <w:szCs w:val="28"/>
        </w:rPr>
      </w:pPr>
      <w:r>
        <w:rPr>
          <w:rFonts w:hint="eastAsia" w:ascii="宋体" w:hAnsi="宋体"/>
          <w:sz w:val="24"/>
          <w:szCs w:val="28"/>
        </w:rPr>
        <w:t>支持患者信息查询，可查看已预约、未预约患者的基本信息。</w:t>
      </w:r>
    </w:p>
    <w:p>
      <w:pPr>
        <w:pStyle w:val="7"/>
        <w:spacing w:before="156"/>
      </w:pPr>
      <w:r>
        <w:rPr>
          <w:rFonts w:hint="eastAsia"/>
        </w:rPr>
        <w:t>排程查询</w:t>
      </w:r>
    </w:p>
    <w:p>
      <w:pPr>
        <w:pStyle w:val="43"/>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支持对当前治疗师的排程情况进行查询，包括排班情况，病人预约情况。</w:t>
      </w:r>
    </w:p>
    <w:p>
      <w:pPr>
        <w:pStyle w:val="7"/>
        <w:spacing w:before="156"/>
      </w:pPr>
      <w:r>
        <w:rPr>
          <w:rFonts w:hint="eastAsia"/>
        </w:rPr>
        <w:t>患者签到</w:t>
      </w:r>
    </w:p>
    <w:p>
      <w:pPr>
        <w:numPr>
          <w:ilvl w:val="0"/>
          <w:numId w:val="8"/>
        </w:numPr>
        <w:spacing w:line="360" w:lineRule="auto"/>
        <w:rPr>
          <w:rFonts w:ascii="宋体" w:hAnsi="宋体"/>
          <w:sz w:val="24"/>
          <w:szCs w:val="28"/>
        </w:rPr>
      </w:pPr>
      <w:r>
        <w:rPr>
          <w:rFonts w:hint="eastAsia" w:ascii="宋体" w:hAnsi="宋体"/>
          <w:sz w:val="24"/>
          <w:szCs w:val="28"/>
        </w:rPr>
        <w:t>支持康复治疗签到。</w:t>
      </w:r>
    </w:p>
    <w:p>
      <w:pPr>
        <w:numPr>
          <w:ilvl w:val="0"/>
          <w:numId w:val="8"/>
        </w:numPr>
        <w:spacing w:line="360" w:lineRule="auto"/>
        <w:rPr>
          <w:rFonts w:ascii="宋体" w:hAnsi="宋体"/>
          <w:sz w:val="24"/>
          <w:szCs w:val="28"/>
        </w:rPr>
      </w:pPr>
      <w:r>
        <w:rPr>
          <w:rFonts w:hint="eastAsia" w:ascii="宋体" w:hAnsi="宋体"/>
          <w:sz w:val="24"/>
          <w:szCs w:val="28"/>
        </w:rPr>
        <w:t>支持查看患者历史治疗项目、剩余治疗项目。</w:t>
      </w:r>
    </w:p>
    <w:p>
      <w:pPr>
        <w:pStyle w:val="7"/>
        <w:spacing w:before="156"/>
      </w:pPr>
      <w:r>
        <w:rPr>
          <w:rFonts w:hint="eastAsia"/>
        </w:rPr>
        <w:t>停诊换班管理</w:t>
      </w:r>
    </w:p>
    <w:p>
      <w:pPr>
        <w:numPr>
          <w:ilvl w:val="0"/>
          <w:numId w:val="8"/>
        </w:numPr>
        <w:spacing w:line="360" w:lineRule="auto"/>
        <w:rPr>
          <w:rFonts w:ascii="宋体" w:hAnsi="宋体"/>
          <w:sz w:val="24"/>
          <w:szCs w:val="28"/>
        </w:rPr>
      </w:pPr>
      <w:r>
        <w:rPr>
          <w:rFonts w:hint="eastAsia" w:ascii="宋体" w:hAnsi="宋体"/>
          <w:sz w:val="24"/>
          <w:szCs w:val="28"/>
        </w:rPr>
        <w:t>支持对已排班治疗师进行可视化停诊换班操作，支持直接拖动操作。</w:t>
      </w:r>
    </w:p>
    <w:p>
      <w:pPr>
        <w:numPr>
          <w:ilvl w:val="0"/>
          <w:numId w:val="8"/>
        </w:numPr>
        <w:spacing w:line="360" w:lineRule="auto"/>
        <w:rPr>
          <w:rFonts w:ascii="宋体" w:hAnsi="宋体"/>
          <w:sz w:val="24"/>
          <w:szCs w:val="28"/>
        </w:rPr>
      </w:pPr>
      <w:r>
        <w:rPr>
          <w:rFonts w:hint="eastAsia" w:ascii="宋体" w:hAnsi="宋体"/>
          <w:sz w:val="24"/>
          <w:szCs w:val="28"/>
        </w:rPr>
        <w:t>支持治疗师预约信息展示，实时展示所有治疗师预约情况。</w:t>
      </w:r>
    </w:p>
    <w:p>
      <w:pPr>
        <w:numPr>
          <w:ilvl w:val="0"/>
          <w:numId w:val="8"/>
        </w:numPr>
        <w:spacing w:line="360" w:lineRule="auto"/>
        <w:rPr>
          <w:rFonts w:ascii="宋体" w:hAnsi="宋体"/>
          <w:sz w:val="24"/>
          <w:szCs w:val="28"/>
        </w:rPr>
      </w:pPr>
      <w:r>
        <w:rPr>
          <w:rFonts w:hint="eastAsia" w:ascii="宋体" w:hAnsi="宋体"/>
          <w:sz w:val="24"/>
          <w:szCs w:val="28"/>
        </w:rPr>
        <w:t>支持停诊换班，支持对需要停诊的治疗师重新分配病人操作。</w:t>
      </w:r>
    </w:p>
    <w:p>
      <w:pPr>
        <w:pStyle w:val="6"/>
      </w:pPr>
      <w:r>
        <w:rPr>
          <w:rFonts w:hint="eastAsia"/>
        </w:rPr>
        <w:t>康复设备管理</w:t>
      </w:r>
    </w:p>
    <w:p>
      <w:pPr>
        <w:pStyle w:val="7"/>
        <w:spacing w:before="156"/>
      </w:pPr>
      <w:r>
        <w:rPr>
          <w:rFonts w:hint="eastAsia"/>
        </w:rPr>
        <w:t>设备管理</w:t>
      </w:r>
    </w:p>
    <w:p>
      <w:pPr>
        <w:pStyle w:val="43"/>
        <w:snapToGrid w:val="0"/>
        <w:spacing w:line="360" w:lineRule="auto"/>
        <w:ind w:firstLine="480"/>
        <w:rPr>
          <w:rFonts w:ascii="宋体" w:hAnsi="宋体"/>
          <w:color w:val="000000"/>
          <w:sz w:val="24"/>
          <w:szCs w:val="24"/>
        </w:rPr>
      </w:pPr>
      <w:r>
        <w:rPr>
          <w:rFonts w:hint="eastAsia" w:ascii="宋体" w:hAnsi="宋体"/>
          <w:color w:val="000000"/>
          <w:sz w:val="24"/>
          <w:szCs w:val="24"/>
        </w:rPr>
        <w:t>支持康复设备登记、维护，用于医院日常康复设备的维护工作。</w:t>
      </w:r>
    </w:p>
    <w:p>
      <w:pPr>
        <w:pStyle w:val="7"/>
        <w:spacing w:before="156"/>
      </w:pPr>
      <w:r>
        <w:rPr>
          <w:rFonts w:hint="eastAsia"/>
        </w:rPr>
        <w:t>设备对接</w:t>
      </w:r>
    </w:p>
    <w:p>
      <w:pPr>
        <w:numPr>
          <w:ilvl w:val="0"/>
          <w:numId w:val="8"/>
        </w:numPr>
        <w:spacing w:line="360" w:lineRule="auto"/>
        <w:rPr>
          <w:rFonts w:ascii="宋体" w:hAnsi="宋体"/>
          <w:sz w:val="24"/>
          <w:szCs w:val="28"/>
        </w:rPr>
      </w:pPr>
      <w:r>
        <w:rPr>
          <w:rFonts w:hint="eastAsia" w:ascii="宋体" w:hAnsi="宋体"/>
          <w:sz w:val="24"/>
          <w:szCs w:val="28"/>
        </w:rPr>
        <w:t>支持对接康复设备接口，用于康复设备数据提取，包含康复训练、评定数据。</w:t>
      </w:r>
    </w:p>
    <w:p>
      <w:pPr>
        <w:numPr>
          <w:ilvl w:val="0"/>
          <w:numId w:val="8"/>
        </w:numPr>
        <w:spacing w:line="360" w:lineRule="auto"/>
        <w:rPr>
          <w:rFonts w:ascii="宋体" w:hAnsi="宋体"/>
          <w:sz w:val="24"/>
          <w:szCs w:val="28"/>
        </w:rPr>
      </w:pPr>
      <w:r>
        <w:rPr>
          <w:rFonts w:hint="eastAsia" w:ascii="宋体" w:hAnsi="宋体"/>
          <w:sz w:val="24"/>
          <w:szCs w:val="28"/>
        </w:rPr>
        <w:t>支持设备数据同步至患者病历，用于后期数据分析。</w:t>
      </w:r>
    </w:p>
    <w:p>
      <w:pPr>
        <w:pStyle w:val="6"/>
      </w:pPr>
      <w:r>
        <w:rPr>
          <w:rFonts w:hint="eastAsia"/>
        </w:rPr>
        <w:t>康复知识库</w:t>
      </w:r>
    </w:p>
    <w:p>
      <w:pPr>
        <w:spacing w:line="360" w:lineRule="auto"/>
        <w:ind w:firstLine="480"/>
        <w:rPr>
          <w:rFonts w:ascii="宋体" w:hAnsi="宋体"/>
          <w:sz w:val="24"/>
          <w:szCs w:val="24"/>
        </w:rPr>
      </w:pPr>
      <w:r>
        <w:rPr>
          <w:rFonts w:hint="eastAsia" w:ascii="宋体" w:hAnsi="宋体"/>
          <w:sz w:val="24"/>
          <w:szCs w:val="24"/>
        </w:rPr>
        <w:t>康复专家知识库需能够对医院的医生、评定师、治疗师等人员，提供相关的病种分析和治疗的技术理论支持。要求如下：</w:t>
      </w:r>
    </w:p>
    <w:p>
      <w:pPr>
        <w:numPr>
          <w:ilvl w:val="0"/>
          <w:numId w:val="8"/>
        </w:numPr>
        <w:spacing w:line="360" w:lineRule="auto"/>
        <w:rPr>
          <w:rFonts w:ascii="宋体" w:hAnsi="宋体"/>
          <w:sz w:val="24"/>
          <w:szCs w:val="28"/>
        </w:rPr>
      </w:pPr>
      <w:r>
        <w:rPr>
          <w:rFonts w:hint="eastAsia" w:ascii="宋体" w:hAnsi="宋体"/>
          <w:sz w:val="24"/>
          <w:szCs w:val="28"/>
        </w:rPr>
        <w:t>支持根据患者诊断、病种信息推荐康复治疗方案、康复评定方案、患者用药信息。</w:t>
      </w:r>
    </w:p>
    <w:p>
      <w:pPr>
        <w:numPr>
          <w:ilvl w:val="0"/>
          <w:numId w:val="8"/>
        </w:numPr>
        <w:spacing w:line="360" w:lineRule="auto"/>
        <w:rPr>
          <w:rFonts w:ascii="宋体" w:hAnsi="宋体"/>
          <w:sz w:val="24"/>
          <w:szCs w:val="28"/>
        </w:rPr>
      </w:pPr>
      <w:r>
        <w:rPr>
          <w:rFonts w:hint="eastAsia" w:ascii="宋体" w:hAnsi="宋体"/>
          <w:sz w:val="24"/>
          <w:szCs w:val="28"/>
        </w:rPr>
        <w:t>支持康复示教上传音频、视频资料。</w:t>
      </w:r>
    </w:p>
    <w:p>
      <w:pPr>
        <w:numPr>
          <w:ilvl w:val="0"/>
          <w:numId w:val="8"/>
        </w:numPr>
        <w:spacing w:line="360" w:lineRule="auto"/>
        <w:rPr>
          <w:rFonts w:ascii="宋体" w:hAnsi="宋体"/>
          <w:sz w:val="24"/>
          <w:szCs w:val="28"/>
        </w:rPr>
      </w:pPr>
      <w:r>
        <w:rPr>
          <w:rFonts w:hint="eastAsia" w:ascii="宋体" w:hAnsi="宋体"/>
          <w:sz w:val="24"/>
          <w:szCs w:val="28"/>
        </w:rPr>
        <w:t>支持文档资料共享，供科室人员共享。</w:t>
      </w:r>
    </w:p>
    <w:p>
      <w:pPr>
        <w:numPr>
          <w:ilvl w:val="0"/>
          <w:numId w:val="8"/>
        </w:numPr>
        <w:spacing w:line="360" w:lineRule="auto"/>
        <w:rPr>
          <w:rFonts w:ascii="宋体" w:hAnsi="宋体"/>
          <w:sz w:val="24"/>
          <w:szCs w:val="28"/>
        </w:rPr>
      </w:pPr>
      <w:r>
        <w:rPr>
          <w:rFonts w:hint="eastAsia" w:ascii="宋体" w:hAnsi="宋体"/>
          <w:sz w:val="24"/>
          <w:szCs w:val="28"/>
        </w:rPr>
        <w:t>支持中医模块根据中医特色，展示子午流注射法相关方案。</w:t>
      </w:r>
    </w:p>
    <w:p>
      <w:pPr>
        <w:pStyle w:val="6"/>
      </w:pPr>
      <w:r>
        <w:rPr>
          <w:rFonts w:hint="eastAsia"/>
        </w:rPr>
        <w:t>治疗方案推荐</w:t>
      </w:r>
    </w:p>
    <w:p>
      <w:pPr>
        <w:numPr>
          <w:ilvl w:val="0"/>
          <w:numId w:val="8"/>
        </w:numPr>
        <w:spacing w:line="360" w:lineRule="auto"/>
        <w:rPr>
          <w:rFonts w:ascii="宋体" w:hAnsi="宋体"/>
          <w:sz w:val="24"/>
          <w:szCs w:val="28"/>
        </w:rPr>
      </w:pPr>
      <w:r>
        <w:rPr>
          <w:rFonts w:hint="eastAsia" w:ascii="宋体" w:hAnsi="宋体"/>
          <w:sz w:val="24"/>
          <w:szCs w:val="28"/>
        </w:rPr>
        <w:t>支持根据患者治疗情况推荐治疗方案，支持医生审核、修改治疗方案。</w:t>
      </w:r>
    </w:p>
    <w:p>
      <w:pPr>
        <w:numPr>
          <w:ilvl w:val="0"/>
          <w:numId w:val="8"/>
        </w:numPr>
        <w:spacing w:line="360" w:lineRule="auto"/>
        <w:rPr>
          <w:rFonts w:ascii="宋体" w:hAnsi="宋体"/>
          <w:sz w:val="24"/>
          <w:szCs w:val="28"/>
        </w:rPr>
      </w:pPr>
      <w:r>
        <w:rPr>
          <w:rFonts w:hint="eastAsia" w:ascii="宋体" w:hAnsi="宋体"/>
          <w:sz w:val="24"/>
          <w:szCs w:val="28"/>
        </w:rPr>
        <w:t>支持治疗师引用历史方案。</w:t>
      </w:r>
    </w:p>
    <w:p>
      <w:pPr>
        <w:numPr>
          <w:ilvl w:val="0"/>
          <w:numId w:val="8"/>
        </w:numPr>
        <w:spacing w:line="360" w:lineRule="auto"/>
        <w:rPr>
          <w:rFonts w:ascii="宋体" w:hAnsi="宋体"/>
          <w:sz w:val="24"/>
          <w:szCs w:val="28"/>
        </w:rPr>
      </w:pPr>
      <w:r>
        <w:rPr>
          <w:rFonts w:hint="eastAsia" w:ascii="宋体" w:hAnsi="宋体"/>
          <w:sz w:val="24"/>
          <w:szCs w:val="28"/>
        </w:rPr>
        <w:t>支持治疗师快速引用方案套餐，如：脑卒中初期训练方案。</w:t>
      </w:r>
    </w:p>
    <w:p>
      <w:pPr>
        <w:numPr>
          <w:ilvl w:val="0"/>
          <w:numId w:val="8"/>
        </w:numPr>
        <w:spacing w:line="360" w:lineRule="auto"/>
        <w:rPr>
          <w:rFonts w:ascii="宋体" w:hAnsi="宋体"/>
          <w:sz w:val="24"/>
          <w:szCs w:val="28"/>
        </w:rPr>
      </w:pPr>
      <w:r>
        <w:rPr>
          <w:rFonts w:hint="eastAsia" w:ascii="宋体" w:hAnsi="宋体"/>
          <w:sz w:val="24"/>
          <w:szCs w:val="28"/>
        </w:rPr>
        <w:t>支持治疗师保存为自定义套餐方案。</w:t>
      </w:r>
    </w:p>
    <w:p>
      <w:pPr>
        <w:pStyle w:val="6"/>
      </w:pPr>
      <w:r>
        <w:rPr>
          <w:rFonts w:hint="eastAsia"/>
        </w:rPr>
        <w:t>康复团队会议</w:t>
      </w:r>
    </w:p>
    <w:p>
      <w:pPr>
        <w:spacing w:line="360" w:lineRule="auto"/>
        <w:ind w:firstLine="480"/>
        <w:rPr>
          <w:rFonts w:ascii="宋体" w:hAnsi="宋体"/>
          <w:sz w:val="24"/>
          <w:szCs w:val="24"/>
        </w:rPr>
      </w:pPr>
      <w:r>
        <w:rPr>
          <w:rFonts w:hint="eastAsia" w:ascii="宋体" w:hAnsi="宋体"/>
          <w:sz w:val="24"/>
          <w:szCs w:val="24"/>
        </w:rPr>
        <w:t>康复医学的基本工作形式是团队工作方式，由康复医师、康复治疗师、护士等各专业人员组成康复治疗组，以小组的形式为患者进行康复治疗。</w:t>
      </w:r>
    </w:p>
    <w:p>
      <w:pPr>
        <w:numPr>
          <w:ilvl w:val="0"/>
          <w:numId w:val="8"/>
        </w:numPr>
        <w:spacing w:line="360" w:lineRule="auto"/>
        <w:rPr>
          <w:rFonts w:ascii="宋体" w:hAnsi="宋体"/>
          <w:sz w:val="24"/>
          <w:szCs w:val="28"/>
        </w:rPr>
      </w:pPr>
      <w:r>
        <w:rPr>
          <w:rFonts w:hint="eastAsia" w:ascii="宋体" w:hAnsi="宋体"/>
          <w:sz w:val="24"/>
          <w:szCs w:val="28"/>
        </w:rPr>
        <w:t>支持发起、接受团队会议申请。</w:t>
      </w:r>
    </w:p>
    <w:p>
      <w:pPr>
        <w:numPr>
          <w:ilvl w:val="0"/>
          <w:numId w:val="8"/>
        </w:numPr>
        <w:spacing w:line="360" w:lineRule="auto"/>
        <w:rPr>
          <w:rFonts w:ascii="宋体" w:hAnsi="宋体"/>
          <w:sz w:val="24"/>
          <w:szCs w:val="28"/>
        </w:rPr>
      </w:pPr>
      <w:r>
        <w:rPr>
          <w:rFonts w:hint="eastAsia" w:ascii="宋体" w:hAnsi="宋体"/>
          <w:sz w:val="24"/>
          <w:szCs w:val="28"/>
        </w:rPr>
        <w:t>支持自动导入团队会议议题，如关于患者团队会议讨论。</w:t>
      </w:r>
    </w:p>
    <w:p>
      <w:pPr>
        <w:pStyle w:val="5"/>
      </w:pPr>
      <w:r>
        <w:rPr>
          <w:rFonts w:hint="eastAsia"/>
        </w:rPr>
        <w:t>高压氧信息系统</w:t>
      </w:r>
    </w:p>
    <w:p>
      <w:pPr>
        <w:pStyle w:val="6"/>
        <w:rPr>
          <w:sz w:val="30"/>
          <w:szCs w:val="30"/>
        </w:rPr>
      </w:pPr>
      <w:r>
        <w:rPr>
          <w:rFonts w:hint="eastAsia"/>
        </w:rPr>
        <w:t>患者管理</w:t>
      </w:r>
    </w:p>
    <w:p>
      <w:pPr>
        <w:pStyle w:val="7"/>
        <w:spacing w:before="156"/>
      </w:pPr>
      <w:r>
        <w:rPr>
          <w:rFonts w:hint="eastAsia"/>
        </w:rPr>
        <w:t>患者综合管理</w:t>
      </w:r>
    </w:p>
    <w:p>
      <w:pPr>
        <w:numPr>
          <w:ilvl w:val="0"/>
          <w:numId w:val="8"/>
        </w:numPr>
        <w:spacing w:line="360" w:lineRule="auto"/>
        <w:rPr>
          <w:rFonts w:ascii="宋体" w:hAnsi="宋体"/>
          <w:sz w:val="24"/>
          <w:szCs w:val="28"/>
        </w:rPr>
      </w:pPr>
      <w:r>
        <w:rPr>
          <w:rFonts w:hint="eastAsia" w:ascii="宋体" w:hAnsi="宋体"/>
          <w:sz w:val="24"/>
          <w:szCs w:val="28"/>
        </w:rPr>
        <w:t>支持添加、编辑、删除患者；</w:t>
      </w:r>
    </w:p>
    <w:p>
      <w:pPr>
        <w:numPr>
          <w:ilvl w:val="0"/>
          <w:numId w:val="8"/>
        </w:numPr>
        <w:spacing w:line="360" w:lineRule="auto"/>
        <w:rPr>
          <w:rFonts w:ascii="宋体" w:hAnsi="宋体"/>
          <w:sz w:val="24"/>
          <w:szCs w:val="28"/>
        </w:rPr>
      </w:pPr>
      <w:r>
        <w:rPr>
          <w:rFonts w:hint="eastAsia" w:ascii="宋体" w:hAnsi="宋体"/>
          <w:sz w:val="24"/>
          <w:szCs w:val="28"/>
        </w:rPr>
        <w:t>支持查看高压氧全部患者（住院&amp;门诊）信息，包括：患者姓名、年龄、诊断、治疗次数、治疗号、传染治疗信息；</w:t>
      </w:r>
    </w:p>
    <w:p>
      <w:pPr>
        <w:numPr>
          <w:ilvl w:val="0"/>
          <w:numId w:val="8"/>
        </w:numPr>
        <w:spacing w:line="360" w:lineRule="auto"/>
        <w:rPr>
          <w:rFonts w:ascii="宋体" w:hAnsi="宋体"/>
          <w:sz w:val="24"/>
          <w:szCs w:val="28"/>
        </w:rPr>
      </w:pPr>
      <w:r>
        <w:rPr>
          <w:rFonts w:hint="eastAsia" w:ascii="宋体" w:hAnsi="宋体"/>
          <w:sz w:val="24"/>
          <w:szCs w:val="28"/>
        </w:rPr>
        <w:t>支持查看高压氧患者治疗记录，包括：治疗日期、加压时间、稳压吸氧时间、减压时间、治疗时长、吸氧方式、设备、治疗评价、项目信息；</w:t>
      </w:r>
    </w:p>
    <w:p>
      <w:pPr>
        <w:numPr>
          <w:ilvl w:val="0"/>
          <w:numId w:val="8"/>
        </w:numPr>
        <w:spacing w:line="360" w:lineRule="auto"/>
        <w:rPr>
          <w:rFonts w:ascii="宋体" w:hAnsi="宋体"/>
          <w:sz w:val="24"/>
          <w:szCs w:val="28"/>
        </w:rPr>
      </w:pPr>
      <w:r>
        <w:rPr>
          <w:rFonts w:hint="eastAsia" w:ascii="宋体" w:hAnsi="宋体"/>
          <w:sz w:val="24"/>
          <w:szCs w:val="28"/>
        </w:rPr>
        <w:t>支持查看高压氧患者评估记录，包括：评估表、评估日期、评估明细信息；</w:t>
      </w:r>
    </w:p>
    <w:p>
      <w:pPr>
        <w:numPr>
          <w:ilvl w:val="0"/>
          <w:numId w:val="8"/>
        </w:numPr>
        <w:spacing w:line="360" w:lineRule="auto"/>
        <w:rPr>
          <w:rFonts w:ascii="宋体" w:hAnsi="宋体"/>
          <w:sz w:val="24"/>
          <w:szCs w:val="28"/>
        </w:rPr>
      </w:pPr>
      <w:r>
        <w:rPr>
          <w:rFonts w:hint="eastAsia" w:ascii="宋体" w:hAnsi="宋体"/>
          <w:sz w:val="24"/>
          <w:szCs w:val="28"/>
        </w:rPr>
        <w:t>支持查看高压氧患者历次就诊信息，包括：病历、医嘱、处方、检查、检验、临床诊断、体征记录信息；</w:t>
      </w:r>
    </w:p>
    <w:p>
      <w:pPr>
        <w:numPr>
          <w:ilvl w:val="0"/>
          <w:numId w:val="8"/>
        </w:numPr>
        <w:spacing w:line="360" w:lineRule="auto"/>
        <w:rPr>
          <w:rFonts w:ascii="宋体" w:hAnsi="宋体"/>
          <w:sz w:val="24"/>
          <w:szCs w:val="28"/>
        </w:rPr>
      </w:pPr>
      <w:r>
        <w:rPr>
          <w:rFonts w:hint="eastAsia" w:ascii="宋体" w:hAnsi="宋体"/>
          <w:sz w:val="24"/>
          <w:szCs w:val="28"/>
        </w:rPr>
        <w:t>支持根据医嘱时间、开方医生、患者预约/签到状态、吸氧方式、氧舱设备、患者门诊/住院类型、患者姓名条件查询患者数据。</w:t>
      </w:r>
    </w:p>
    <w:p>
      <w:pPr>
        <w:pStyle w:val="7"/>
        <w:spacing w:before="156"/>
        <w:rPr>
          <w:sz w:val="28"/>
        </w:rPr>
      </w:pPr>
      <w:r>
        <w:rPr>
          <w:rFonts w:hint="eastAsia"/>
        </w:rPr>
        <w:t>待办事项</w:t>
      </w:r>
    </w:p>
    <w:p>
      <w:pPr>
        <w:numPr>
          <w:ilvl w:val="0"/>
          <w:numId w:val="8"/>
        </w:numPr>
        <w:spacing w:line="360" w:lineRule="auto"/>
        <w:rPr>
          <w:rFonts w:ascii="宋体" w:hAnsi="宋体"/>
          <w:sz w:val="24"/>
          <w:szCs w:val="28"/>
        </w:rPr>
      </w:pPr>
      <w:r>
        <w:rPr>
          <w:rFonts w:hint="eastAsia" w:ascii="宋体" w:hAnsi="宋体"/>
          <w:sz w:val="24"/>
          <w:szCs w:val="28"/>
        </w:rPr>
        <w:t>支持查看高压氧患者诊断、治疗方案、评估、病历、病程、同意书；</w:t>
      </w:r>
    </w:p>
    <w:p>
      <w:pPr>
        <w:numPr>
          <w:ilvl w:val="0"/>
          <w:numId w:val="8"/>
        </w:numPr>
        <w:spacing w:line="360" w:lineRule="auto"/>
        <w:rPr>
          <w:rFonts w:ascii="宋体" w:hAnsi="宋体"/>
          <w:sz w:val="24"/>
          <w:szCs w:val="28"/>
        </w:rPr>
      </w:pPr>
      <w:r>
        <w:rPr>
          <w:rFonts w:hint="eastAsia" w:ascii="宋体" w:hAnsi="宋体"/>
          <w:sz w:val="24"/>
          <w:szCs w:val="28"/>
        </w:rPr>
        <w:t>支持新增、删除患者的高压氧科诊断数据，包括：诊断分类、诊断名称；</w:t>
      </w:r>
    </w:p>
    <w:p>
      <w:pPr>
        <w:numPr>
          <w:ilvl w:val="0"/>
          <w:numId w:val="8"/>
        </w:numPr>
        <w:spacing w:line="360" w:lineRule="auto"/>
        <w:rPr>
          <w:rFonts w:ascii="宋体" w:hAnsi="宋体"/>
          <w:sz w:val="24"/>
          <w:szCs w:val="28"/>
        </w:rPr>
      </w:pPr>
      <w:r>
        <w:rPr>
          <w:rFonts w:hint="eastAsia" w:ascii="宋体" w:hAnsi="宋体"/>
          <w:sz w:val="24"/>
          <w:szCs w:val="28"/>
        </w:rPr>
        <w:t>支持同步医院信息系统患者的诊断数据，包括:诊断分类、诊断名称；</w:t>
      </w:r>
    </w:p>
    <w:p>
      <w:pPr>
        <w:numPr>
          <w:ilvl w:val="0"/>
          <w:numId w:val="8"/>
        </w:numPr>
        <w:spacing w:line="360" w:lineRule="auto"/>
        <w:rPr>
          <w:rFonts w:ascii="宋体" w:hAnsi="宋体"/>
          <w:sz w:val="24"/>
          <w:szCs w:val="28"/>
        </w:rPr>
      </w:pPr>
      <w:r>
        <w:rPr>
          <w:rFonts w:hint="eastAsia" w:ascii="宋体" w:hAnsi="宋体"/>
          <w:sz w:val="24"/>
          <w:szCs w:val="28"/>
        </w:rPr>
        <w:t>支持添加、删除治疗方案，治疗方案内容包括：吸氧方式、座位类别、氧舱设备、治疗频次信息；支持查看、引用历史治疗方案；支持打印、预览治疗方案；</w:t>
      </w:r>
    </w:p>
    <w:p>
      <w:pPr>
        <w:numPr>
          <w:ilvl w:val="0"/>
          <w:numId w:val="8"/>
        </w:numPr>
        <w:spacing w:line="360" w:lineRule="auto"/>
        <w:rPr>
          <w:rFonts w:ascii="宋体" w:hAnsi="宋体"/>
          <w:sz w:val="24"/>
          <w:szCs w:val="28"/>
        </w:rPr>
      </w:pPr>
      <w:r>
        <w:rPr>
          <w:rFonts w:hint="eastAsia" w:ascii="宋体" w:hAnsi="宋体"/>
          <w:sz w:val="24"/>
          <w:szCs w:val="28"/>
        </w:rPr>
        <w:t>支持添加、删除评估，评估范围包括：体格检查、治疗前评估、治疗后评估；支持查看历史评估数据；支持打印预览评估；支持保存模板、引用模板；</w:t>
      </w:r>
    </w:p>
    <w:p>
      <w:pPr>
        <w:numPr>
          <w:ilvl w:val="0"/>
          <w:numId w:val="8"/>
        </w:numPr>
        <w:spacing w:line="360" w:lineRule="auto"/>
        <w:rPr>
          <w:rFonts w:ascii="宋体" w:hAnsi="宋体"/>
          <w:sz w:val="24"/>
          <w:szCs w:val="28"/>
        </w:rPr>
      </w:pPr>
      <w:r>
        <w:rPr>
          <w:rFonts w:hint="eastAsia" w:ascii="宋体" w:hAnsi="宋体"/>
          <w:sz w:val="24"/>
          <w:szCs w:val="28"/>
        </w:rPr>
        <w:t>支持添加、删除病历，病历内容包含主诉、现病史、既往史、用药信息；支持查看、引用历史病历数据；支持打印、预览；</w:t>
      </w:r>
    </w:p>
    <w:p>
      <w:pPr>
        <w:numPr>
          <w:ilvl w:val="0"/>
          <w:numId w:val="8"/>
        </w:numPr>
        <w:spacing w:line="360" w:lineRule="auto"/>
        <w:rPr>
          <w:rFonts w:ascii="宋体" w:hAnsi="宋体"/>
          <w:sz w:val="24"/>
          <w:szCs w:val="28"/>
        </w:rPr>
      </w:pPr>
      <w:r>
        <w:rPr>
          <w:rFonts w:hint="eastAsia" w:ascii="宋体" w:hAnsi="宋体"/>
          <w:sz w:val="24"/>
          <w:szCs w:val="28"/>
        </w:rPr>
        <w:t>支持添加、删除病程记录，病程记录包括：记录内容、签字医生信息；支持查看历史病程记录数据，支持保存为模板、引用模板；</w:t>
      </w:r>
    </w:p>
    <w:p>
      <w:pPr>
        <w:numPr>
          <w:ilvl w:val="0"/>
          <w:numId w:val="8"/>
        </w:numPr>
        <w:spacing w:line="360" w:lineRule="auto"/>
        <w:rPr>
          <w:rFonts w:ascii="宋体" w:hAnsi="宋体"/>
          <w:sz w:val="24"/>
          <w:szCs w:val="28"/>
        </w:rPr>
      </w:pPr>
      <w:r>
        <w:rPr>
          <w:rFonts w:hint="eastAsia" w:ascii="宋体" w:hAnsi="宋体"/>
          <w:sz w:val="24"/>
          <w:szCs w:val="28"/>
        </w:rPr>
        <w:t>支持添加、删除同意书，添加同意书支持提供上传图片、模板维护两种方式，支持查看历史同意书数据；</w:t>
      </w:r>
    </w:p>
    <w:p>
      <w:pPr>
        <w:numPr>
          <w:ilvl w:val="0"/>
          <w:numId w:val="8"/>
        </w:numPr>
        <w:spacing w:line="360" w:lineRule="auto"/>
        <w:rPr>
          <w:rFonts w:ascii="宋体" w:hAnsi="宋体"/>
          <w:sz w:val="24"/>
          <w:szCs w:val="28"/>
        </w:rPr>
      </w:pPr>
      <w:r>
        <w:rPr>
          <w:rFonts w:hint="eastAsia" w:ascii="宋体" w:hAnsi="宋体"/>
          <w:sz w:val="24"/>
          <w:szCs w:val="28"/>
        </w:rPr>
        <w:t>支持添加、删除抢救记录和出入舱记录，支持查看、引用历史维护记录数据。</w:t>
      </w:r>
    </w:p>
    <w:p>
      <w:pPr>
        <w:numPr>
          <w:ilvl w:val="0"/>
          <w:numId w:val="8"/>
        </w:numPr>
        <w:spacing w:line="360" w:lineRule="auto"/>
        <w:rPr>
          <w:rFonts w:ascii="宋体" w:hAnsi="宋体"/>
          <w:sz w:val="24"/>
          <w:szCs w:val="28"/>
        </w:rPr>
      </w:pPr>
      <w:r>
        <w:rPr>
          <w:rFonts w:hint="eastAsia" w:ascii="宋体" w:hAnsi="宋体"/>
          <w:sz w:val="24"/>
          <w:szCs w:val="28"/>
        </w:rPr>
        <w:t>支持评估单、病历、病程内容进行模板配置；</w:t>
      </w:r>
    </w:p>
    <w:p>
      <w:pPr>
        <w:pStyle w:val="7"/>
        <w:spacing w:before="156"/>
      </w:pPr>
      <w:r>
        <w:rPr>
          <w:rFonts w:hint="eastAsia"/>
        </w:rPr>
        <w:t>重要提醒</w:t>
      </w:r>
    </w:p>
    <w:p>
      <w:pPr>
        <w:numPr>
          <w:ilvl w:val="0"/>
          <w:numId w:val="8"/>
        </w:numPr>
        <w:spacing w:line="360" w:lineRule="auto"/>
        <w:rPr>
          <w:rFonts w:ascii="宋体" w:hAnsi="宋体"/>
          <w:sz w:val="24"/>
          <w:szCs w:val="28"/>
        </w:rPr>
      </w:pPr>
      <w:r>
        <w:rPr>
          <w:rFonts w:hint="eastAsia" w:ascii="宋体" w:hAnsi="宋体"/>
          <w:sz w:val="24"/>
          <w:szCs w:val="28"/>
        </w:rPr>
        <w:t>支持查看高压氧患者的重要提醒数据；</w:t>
      </w:r>
    </w:p>
    <w:p>
      <w:pPr>
        <w:numPr>
          <w:ilvl w:val="0"/>
          <w:numId w:val="8"/>
        </w:numPr>
        <w:spacing w:line="360" w:lineRule="auto"/>
        <w:rPr>
          <w:rFonts w:ascii="宋体" w:hAnsi="宋体"/>
          <w:sz w:val="24"/>
          <w:szCs w:val="28"/>
        </w:rPr>
      </w:pPr>
      <w:r>
        <w:rPr>
          <w:rFonts w:hint="eastAsia" w:ascii="宋体" w:hAnsi="宋体"/>
          <w:sz w:val="24"/>
          <w:szCs w:val="28"/>
        </w:rPr>
        <w:t>支持医生针对患者补充提醒内容；</w:t>
      </w:r>
    </w:p>
    <w:p>
      <w:pPr>
        <w:numPr>
          <w:ilvl w:val="0"/>
          <w:numId w:val="8"/>
        </w:numPr>
        <w:spacing w:line="360" w:lineRule="auto"/>
        <w:rPr>
          <w:rFonts w:ascii="宋体" w:hAnsi="宋体"/>
          <w:sz w:val="24"/>
          <w:szCs w:val="28"/>
        </w:rPr>
      </w:pPr>
      <w:r>
        <w:rPr>
          <w:rFonts w:hint="eastAsia" w:ascii="宋体" w:hAnsi="宋体"/>
          <w:sz w:val="24"/>
          <w:szCs w:val="28"/>
        </w:rPr>
        <w:t>支持医生将提醒内容置为已读状态；</w:t>
      </w:r>
    </w:p>
    <w:p>
      <w:pPr>
        <w:pStyle w:val="7"/>
        <w:spacing w:before="156"/>
      </w:pPr>
      <w:r>
        <w:rPr>
          <w:rFonts w:hint="eastAsia"/>
        </w:rPr>
        <w:t>患者统计</w:t>
      </w:r>
    </w:p>
    <w:p>
      <w:pPr>
        <w:numPr>
          <w:ilvl w:val="0"/>
          <w:numId w:val="8"/>
        </w:numPr>
        <w:spacing w:line="360" w:lineRule="auto"/>
        <w:rPr>
          <w:rFonts w:ascii="宋体" w:hAnsi="宋体"/>
          <w:sz w:val="24"/>
          <w:szCs w:val="28"/>
        </w:rPr>
      </w:pPr>
      <w:r>
        <w:rPr>
          <w:rFonts w:hint="eastAsia" w:ascii="宋体" w:hAnsi="宋体"/>
          <w:sz w:val="24"/>
          <w:szCs w:val="28"/>
        </w:rPr>
        <w:t>支持统计患者高压氧治疗次数；</w:t>
      </w:r>
    </w:p>
    <w:p>
      <w:pPr>
        <w:pStyle w:val="6"/>
      </w:pPr>
      <w:r>
        <w:rPr>
          <w:rFonts w:hint="eastAsia"/>
        </w:rPr>
        <w:t>预约管理</w:t>
      </w:r>
    </w:p>
    <w:p>
      <w:pPr>
        <w:pStyle w:val="7"/>
        <w:spacing w:before="156"/>
      </w:pPr>
      <w:r>
        <w:rPr>
          <w:rFonts w:hint="eastAsia"/>
        </w:rPr>
        <w:t>预约管理</w:t>
      </w:r>
    </w:p>
    <w:p>
      <w:pPr>
        <w:numPr>
          <w:ilvl w:val="0"/>
          <w:numId w:val="8"/>
        </w:numPr>
        <w:spacing w:line="360" w:lineRule="auto"/>
        <w:rPr>
          <w:rFonts w:ascii="宋体" w:hAnsi="宋体"/>
          <w:sz w:val="24"/>
          <w:szCs w:val="28"/>
        </w:rPr>
      </w:pPr>
      <w:r>
        <w:rPr>
          <w:rFonts w:hint="eastAsia" w:ascii="宋体" w:hAnsi="宋体"/>
          <w:sz w:val="24"/>
          <w:szCs w:val="28"/>
        </w:rPr>
        <w:t>支持查看住院、门诊中有高压氧项目的患者信息，包括姓名、性别、开方医生；</w:t>
      </w:r>
    </w:p>
    <w:p>
      <w:pPr>
        <w:numPr>
          <w:ilvl w:val="0"/>
          <w:numId w:val="8"/>
        </w:numPr>
        <w:spacing w:line="360" w:lineRule="auto"/>
        <w:rPr>
          <w:rFonts w:ascii="宋体" w:hAnsi="宋体"/>
          <w:sz w:val="24"/>
          <w:szCs w:val="28"/>
        </w:rPr>
      </w:pPr>
      <w:r>
        <w:rPr>
          <w:rFonts w:hint="eastAsia" w:ascii="宋体" w:hAnsi="宋体"/>
          <w:sz w:val="24"/>
          <w:szCs w:val="28"/>
        </w:rPr>
        <w:t>支持根据座位类别、预约状态、患者类型、预约日期、患者姓名查询患者；</w:t>
      </w:r>
    </w:p>
    <w:p>
      <w:pPr>
        <w:numPr>
          <w:ilvl w:val="0"/>
          <w:numId w:val="8"/>
        </w:numPr>
        <w:spacing w:line="360" w:lineRule="auto"/>
        <w:rPr>
          <w:rFonts w:ascii="宋体" w:hAnsi="宋体"/>
          <w:sz w:val="24"/>
          <w:szCs w:val="28"/>
        </w:rPr>
      </w:pPr>
      <w:r>
        <w:rPr>
          <w:rFonts w:hint="eastAsia" w:ascii="宋体" w:hAnsi="宋体"/>
          <w:sz w:val="24"/>
          <w:szCs w:val="28"/>
        </w:rPr>
        <w:t>支持按照日期查看设备及班次下的座位预约情况；</w:t>
      </w:r>
    </w:p>
    <w:p>
      <w:pPr>
        <w:numPr>
          <w:ilvl w:val="0"/>
          <w:numId w:val="8"/>
        </w:numPr>
        <w:spacing w:line="360" w:lineRule="auto"/>
        <w:rPr>
          <w:rFonts w:ascii="宋体" w:hAnsi="宋体"/>
          <w:sz w:val="24"/>
          <w:szCs w:val="28"/>
        </w:rPr>
      </w:pPr>
      <w:r>
        <w:rPr>
          <w:rFonts w:hint="eastAsia" w:ascii="宋体" w:hAnsi="宋体"/>
          <w:sz w:val="24"/>
          <w:szCs w:val="28"/>
        </w:rPr>
        <w:t>支持选择待预约患者进行设备座位占座预约，支持取消预约；</w:t>
      </w:r>
    </w:p>
    <w:p>
      <w:pPr>
        <w:numPr>
          <w:ilvl w:val="0"/>
          <w:numId w:val="8"/>
        </w:numPr>
        <w:spacing w:line="360" w:lineRule="auto"/>
        <w:rPr>
          <w:rFonts w:ascii="宋体" w:hAnsi="宋体"/>
          <w:sz w:val="24"/>
          <w:szCs w:val="28"/>
        </w:rPr>
      </w:pPr>
      <w:r>
        <w:rPr>
          <w:rFonts w:hint="eastAsia" w:ascii="宋体" w:hAnsi="宋体"/>
          <w:sz w:val="24"/>
          <w:szCs w:val="28"/>
        </w:rPr>
        <w:t>支持选择待预约患者一键预约；</w:t>
      </w:r>
    </w:p>
    <w:p>
      <w:pPr>
        <w:numPr>
          <w:ilvl w:val="0"/>
          <w:numId w:val="8"/>
        </w:numPr>
        <w:spacing w:line="360" w:lineRule="auto"/>
        <w:rPr>
          <w:rFonts w:ascii="宋体" w:hAnsi="宋体"/>
          <w:sz w:val="24"/>
          <w:szCs w:val="28"/>
        </w:rPr>
      </w:pPr>
      <w:r>
        <w:rPr>
          <w:rFonts w:hint="eastAsia" w:ascii="宋体" w:hAnsi="宋体"/>
          <w:sz w:val="24"/>
          <w:szCs w:val="28"/>
        </w:rPr>
        <w:t>支持长期住院患者自动预约设备座位；</w:t>
      </w:r>
    </w:p>
    <w:p>
      <w:pPr>
        <w:numPr>
          <w:ilvl w:val="0"/>
          <w:numId w:val="8"/>
        </w:numPr>
        <w:spacing w:line="360" w:lineRule="auto"/>
        <w:rPr>
          <w:rFonts w:ascii="宋体" w:hAnsi="宋体"/>
          <w:sz w:val="24"/>
          <w:szCs w:val="28"/>
        </w:rPr>
      </w:pPr>
      <w:r>
        <w:rPr>
          <w:rFonts w:hint="eastAsia" w:ascii="宋体" w:hAnsi="宋体"/>
          <w:sz w:val="24"/>
          <w:szCs w:val="28"/>
        </w:rPr>
        <w:t>支持选择患者打印预约信息；</w:t>
      </w:r>
    </w:p>
    <w:p>
      <w:pPr>
        <w:pStyle w:val="7"/>
        <w:spacing w:before="156"/>
        <w:rPr>
          <w:sz w:val="28"/>
        </w:rPr>
      </w:pPr>
      <w:r>
        <w:rPr>
          <w:rFonts w:hint="eastAsia"/>
        </w:rPr>
        <w:t>预约查询</w:t>
      </w:r>
      <w:r>
        <w:rPr>
          <w:rFonts w:hint="eastAsia"/>
        </w:rPr>
        <w:tab/>
      </w:r>
    </w:p>
    <w:p>
      <w:pPr>
        <w:numPr>
          <w:ilvl w:val="0"/>
          <w:numId w:val="8"/>
        </w:numPr>
        <w:spacing w:line="360" w:lineRule="auto"/>
        <w:rPr>
          <w:rFonts w:ascii="宋体" w:hAnsi="宋体"/>
          <w:sz w:val="24"/>
          <w:szCs w:val="28"/>
        </w:rPr>
      </w:pPr>
      <w:r>
        <w:rPr>
          <w:rFonts w:hint="eastAsia" w:ascii="宋体" w:hAnsi="宋体"/>
          <w:sz w:val="24"/>
          <w:szCs w:val="28"/>
        </w:rPr>
        <w:t>支持根据预约日期、预约班次、病区查询预约患者信息；</w:t>
      </w:r>
    </w:p>
    <w:p>
      <w:pPr>
        <w:numPr>
          <w:ilvl w:val="0"/>
          <w:numId w:val="8"/>
        </w:numPr>
        <w:spacing w:line="360" w:lineRule="auto"/>
        <w:rPr>
          <w:rFonts w:ascii="宋体" w:hAnsi="宋体"/>
          <w:sz w:val="24"/>
          <w:szCs w:val="28"/>
        </w:rPr>
      </w:pPr>
      <w:r>
        <w:rPr>
          <w:rFonts w:hint="eastAsia" w:ascii="宋体" w:hAnsi="宋体"/>
          <w:sz w:val="24"/>
          <w:szCs w:val="28"/>
        </w:rPr>
        <w:t>支持查看预约患者的姓名、床位号、病区名称、性别、病历号、预约氧舱、座位类别、预约班次信息；</w:t>
      </w:r>
    </w:p>
    <w:p>
      <w:pPr>
        <w:numPr>
          <w:ilvl w:val="0"/>
          <w:numId w:val="8"/>
        </w:numPr>
        <w:spacing w:line="360" w:lineRule="auto"/>
        <w:rPr>
          <w:rFonts w:ascii="宋体" w:hAnsi="宋体"/>
          <w:sz w:val="24"/>
          <w:szCs w:val="28"/>
        </w:rPr>
      </w:pPr>
      <w:r>
        <w:rPr>
          <w:rFonts w:hint="eastAsia" w:ascii="宋体" w:hAnsi="宋体"/>
          <w:sz w:val="24"/>
          <w:szCs w:val="28"/>
        </w:rPr>
        <w:t>支持选择患者请假、取消请假操作，请假支持设置请假原因；</w:t>
      </w:r>
    </w:p>
    <w:p>
      <w:pPr>
        <w:numPr>
          <w:ilvl w:val="0"/>
          <w:numId w:val="8"/>
        </w:numPr>
        <w:spacing w:line="360" w:lineRule="auto"/>
        <w:rPr>
          <w:rFonts w:ascii="宋体" w:hAnsi="宋体"/>
          <w:sz w:val="24"/>
          <w:szCs w:val="28"/>
        </w:rPr>
      </w:pPr>
      <w:r>
        <w:rPr>
          <w:rFonts w:hint="eastAsia" w:ascii="宋体" w:hAnsi="宋体"/>
          <w:sz w:val="24"/>
          <w:szCs w:val="28"/>
        </w:rPr>
        <w:t>支持按日期打印当日预约患者信息；</w:t>
      </w:r>
    </w:p>
    <w:p>
      <w:pPr>
        <w:pStyle w:val="6"/>
        <w:rPr>
          <w:rFonts w:ascii="Calibri Light" w:hAnsi="Calibri Light"/>
          <w:sz w:val="30"/>
          <w:szCs w:val="30"/>
        </w:rPr>
      </w:pPr>
      <w:r>
        <w:rPr>
          <w:rFonts w:hint="eastAsia"/>
        </w:rPr>
        <w:t>签到管理</w:t>
      </w:r>
    </w:p>
    <w:p>
      <w:pPr>
        <w:numPr>
          <w:ilvl w:val="0"/>
          <w:numId w:val="8"/>
        </w:numPr>
        <w:spacing w:line="360" w:lineRule="auto"/>
        <w:rPr>
          <w:rFonts w:ascii="宋体" w:hAnsi="宋体"/>
          <w:sz w:val="24"/>
          <w:szCs w:val="28"/>
        </w:rPr>
      </w:pPr>
      <w:r>
        <w:rPr>
          <w:rFonts w:hint="eastAsia" w:ascii="宋体" w:hAnsi="宋体"/>
          <w:sz w:val="24"/>
          <w:szCs w:val="28"/>
        </w:rPr>
        <w:t>支持查看当日已预约的全部患者信息，包括：患者姓名、年龄、诊断、治疗号、治疗次数、签到状态；</w:t>
      </w:r>
    </w:p>
    <w:p>
      <w:pPr>
        <w:numPr>
          <w:ilvl w:val="0"/>
          <w:numId w:val="8"/>
        </w:numPr>
        <w:spacing w:line="360" w:lineRule="auto"/>
        <w:rPr>
          <w:rFonts w:ascii="宋体" w:hAnsi="宋体"/>
          <w:sz w:val="24"/>
          <w:szCs w:val="28"/>
        </w:rPr>
      </w:pPr>
      <w:r>
        <w:rPr>
          <w:rFonts w:hint="eastAsia" w:ascii="宋体" w:hAnsi="宋体"/>
          <w:sz w:val="24"/>
          <w:szCs w:val="28"/>
        </w:rPr>
        <w:t>支持根据日期、班次、设备、患者姓名、签到状态查询患者；</w:t>
      </w:r>
    </w:p>
    <w:p>
      <w:pPr>
        <w:numPr>
          <w:ilvl w:val="0"/>
          <w:numId w:val="8"/>
        </w:numPr>
        <w:spacing w:line="360" w:lineRule="auto"/>
        <w:rPr>
          <w:rFonts w:ascii="宋体" w:hAnsi="宋体"/>
          <w:sz w:val="24"/>
          <w:szCs w:val="28"/>
        </w:rPr>
      </w:pPr>
      <w:r>
        <w:rPr>
          <w:rFonts w:hint="eastAsia" w:ascii="宋体" w:hAnsi="宋体"/>
          <w:sz w:val="24"/>
          <w:szCs w:val="28"/>
        </w:rPr>
        <w:t>支持查看患者的体征信息，包括：患者体征、治疗方案、医嘱、特殊医嘱、医生小结；患者体征支持输入入科方式、体温、血压、脉搏信息；</w:t>
      </w:r>
    </w:p>
    <w:p>
      <w:pPr>
        <w:numPr>
          <w:ilvl w:val="0"/>
          <w:numId w:val="8"/>
        </w:numPr>
        <w:spacing w:line="360" w:lineRule="auto"/>
        <w:rPr>
          <w:rFonts w:ascii="宋体" w:hAnsi="宋体"/>
          <w:sz w:val="24"/>
          <w:szCs w:val="28"/>
        </w:rPr>
      </w:pPr>
      <w:r>
        <w:rPr>
          <w:rFonts w:hint="eastAsia" w:ascii="宋体" w:hAnsi="宋体"/>
          <w:sz w:val="24"/>
          <w:szCs w:val="28"/>
        </w:rPr>
        <w:t>支持患者签到；</w:t>
      </w:r>
    </w:p>
    <w:p>
      <w:pPr>
        <w:pStyle w:val="6"/>
        <w:rPr>
          <w:rFonts w:ascii="Calibri Light" w:hAnsi="Calibri Light"/>
          <w:sz w:val="30"/>
          <w:szCs w:val="30"/>
        </w:rPr>
      </w:pPr>
      <w:r>
        <w:rPr>
          <w:rFonts w:hint="eastAsia"/>
        </w:rPr>
        <w:t>高压氧舱管理</w:t>
      </w:r>
    </w:p>
    <w:p>
      <w:pPr>
        <w:pStyle w:val="7"/>
        <w:spacing w:before="156"/>
      </w:pPr>
      <w:r>
        <w:rPr>
          <w:rFonts w:hint="eastAsia"/>
        </w:rPr>
        <w:t>氧舱运行</w:t>
      </w:r>
    </w:p>
    <w:p>
      <w:pPr>
        <w:numPr>
          <w:ilvl w:val="0"/>
          <w:numId w:val="8"/>
        </w:numPr>
        <w:spacing w:line="360" w:lineRule="auto"/>
        <w:rPr>
          <w:rFonts w:ascii="宋体" w:hAnsi="宋体"/>
          <w:sz w:val="24"/>
          <w:szCs w:val="28"/>
        </w:rPr>
      </w:pPr>
      <w:r>
        <w:rPr>
          <w:rFonts w:hint="eastAsia" w:ascii="宋体" w:hAnsi="宋体"/>
          <w:sz w:val="24"/>
          <w:szCs w:val="28"/>
        </w:rPr>
        <w:t>支持根据日期、班次、设备查看设备运行情况，支持查看历史设备运行情况；</w:t>
      </w:r>
    </w:p>
    <w:p>
      <w:pPr>
        <w:numPr>
          <w:ilvl w:val="0"/>
          <w:numId w:val="8"/>
        </w:numPr>
        <w:spacing w:line="360" w:lineRule="auto"/>
        <w:rPr>
          <w:rFonts w:ascii="宋体" w:hAnsi="宋体"/>
          <w:sz w:val="24"/>
          <w:szCs w:val="28"/>
        </w:rPr>
      </w:pPr>
      <w:r>
        <w:rPr>
          <w:rFonts w:hint="eastAsia" w:ascii="宋体" w:hAnsi="宋体"/>
          <w:sz w:val="24"/>
          <w:szCs w:val="28"/>
        </w:rPr>
        <w:t>支持查看设备的运行状态、班次、座位、预约患者；</w:t>
      </w:r>
    </w:p>
    <w:p>
      <w:pPr>
        <w:numPr>
          <w:ilvl w:val="0"/>
          <w:numId w:val="8"/>
        </w:numPr>
        <w:spacing w:line="360" w:lineRule="auto"/>
        <w:rPr>
          <w:rFonts w:ascii="宋体" w:hAnsi="宋体"/>
          <w:sz w:val="24"/>
          <w:szCs w:val="28"/>
        </w:rPr>
      </w:pPr>
      <w:r>
        <w:rPr>
          <w:rFonts w:hint="eastAsia" w:ascii="宋体" w:hAnsi="宋体"/>
          <w:sz w:val="24"/>
          <w:szCs w:val="28"/>
        </w:rPr>
        <w:t>支持氧舱批量运行、填写氧舱记录、重置氧舱记录，设备支持添加、删除患者；</w:t>
      </w:r>
    </w:p>
    <w:p>
      <w:pPr>
        <w:numPr>
          <w:ilvl w:val="0"/>
          <w:numId w:val="8"/>
        </w:numPr>
        <w:spacing w:line="360" w:lineRule="auto"/>
        <w:rPr>
          <w:rFonts w:ascii="宋体" w:hAnsi="宋体"/>
          <w:sz w:val="24"/>
          <w:szCs w:val="28"/>
        </w:rPr>
      </w:pPr>
      <w:r>
        <w:rPr>
          <w:rFonts w:hint="eastAsia" w:ascii="宋体" w:hAnsi="宋体"/>
          <w:sz w:val="24"/>
          <w:szCs w:val="28"/>
        </w:rPr>
        <w:t>支持设置氧舱运行时间；</w:t>
      </w:r>
    </w:p>
    <w:p>
      <w:pPr>
        <w:numPr>
          <w:ilvl w:val="0"/>
          <w:numId w:val="8"/>
        </w:numPr>
        <w:spacing w:line="360" w:lineRule="auto"/>
        <w:rPr>
          <w:rFonts w:ascii="宋体" w:hAnsi="宋体"/>
          <w:sz w:val="24"/>
          <w:szCs w:val="28"/>
        </w:rPr>
      </w:pPr>
      <w:r>
        <w:rPr>
          <w:rFonts w:hint="eastAsia" w:ascii="宋体" w:hAnsi="宋体"/>
          <w:sz w:val="24"/>
          <w:szCs w:val="28"/>
        </w:rPr>
        <w:t>氧舱记录</w:t>
      </w:r>
    </w:p>
    <w:p>
      <w:pPr>
        <w:numPr>
          <w:ilvl w:val="0"/>
          <w:numId w:val="8"/>
        </w:numPr>
        <w:spacing w:line="360" w:lineRule="auto"/>
        <w:rPr>
          <w:rFonts w:ascii="宋体" w:hAnsi="宋体"/>
          <w:sz w:val="24"/>
          <w:szCs w:val="28"/>
        </w:rPr>
      </w:pPr>
      <w:r>
        <w:rPr>
          <w:rFonts w:hint="eastAsia" w:ascii="宋体" w:hAnsi="宋体"/>
          <w:sz w:val="24"/>
          <w:szCs w:val="28"/>
        </w:rPr>
        <w:t>支持添加和编辑氧舱设备记录单、设备检查记录单；</w:t>
      </w:r>
    </w:p>
    <w:p>
      <w:pPr>
        <w:numPr>
          <w:ilvl w:val="0"/>
          <w:numId w:val="8"/>
        </w:numPr>
        <w:spacing w:line="360" w:lineRule="auto"/>
        <w:rPr>
          <w:rFonts w:ascii="宋体" w:hAnsi="宋体"/>
          <w:sz w:val="24"/>
          <w:szCs w:val="28"/>
        </w:rPr>
      </w:pPr>
      <w:r>
        <w:rPr>
          <w:rFonts w:hint="eastAsia" w:ascii="宋体" w:hAnsi="宋体"/>
          <w:sz w:val="24"/>
          <w:szCs w:val="28"/>
        </w:rPr>
        <w:t>支持氧舱设备记录单提供治疗舱、安全教育和安全检查、心里护理、参数记录、过渡舱、操作台关闭、特殊情况信息录入；</w:t>
      </w:r>
    </w:p>
    <w:p>
      <w:pPr>
        <w:numPr>
          <w:ilvl w:val="0"/>
          <w:numId w:val="8"/>
        </w:numPr>
        <w:spacing w:line="360" w:lineRule="auto"/>
        <w:rPr>
          <w:rFonts w:ascii="宋体" w:hAnsi="宋体"/>
          <w:sz w:val="24"/>
          <w:szCs w:val="28"/>
        </w:rPr>
      </w:pPr>
      <w:r>
        <w:rPr>
          <w:rFonts w:hint="eastAsia" w:ascii="宋体" w:hAnsi="宋体"/>
          <w:sz w:val="24"/>
          <w:szCs w:val="28"/>
        </w:rPr>
        <w:t>支持设备检查记录单提供设备仪器、值班医生、值班护士信息录入；</w:t>
      </w:r>
    </w:p>
    <w:p>
      <w:pPr>
        <w:pStyle w:val="7"/>
        <w:spacing w:before="156"/>
        <w:rPr>
          <w:sz w:val="28"/>
        </w:rPr>
      </w:pPr>
      <w:r>
        <w:rPr>
          <w:rFonts w:hint="eastAsia"/>
        </w:rPr>
        <w:t>患者治疗记录</w:t>
      </w:r>
    </w:p>
    <w:p>
      <w:pPr>
        <w:numPr>
          <w:ilvl w:val="0"/>
          <w:numId w:val="8"/>
        </w:numPr>
        <w:spacing w:line="360" w:lineRule="auto"/>
        <w:rPr>
          <w:rFonts w:ascii="宋体" w:hAnsi="宋体"/>
          <w:sz w:val="24"/>
          <w:szCs w:val="28"/>
        </w:rPr>
      </w:pPr>
      <w:r>
        <w:rPr>
          <w:rFonts w:hint="eastAsia" w:ascii="宋体" w:hAnsi="宋体"/>
          <w:sz w:val="24"/>
          <w:szCs w:val="28"/>
        </w:rPr>
        <w:t>支持添加患者治疗记录单，包含治疗日期、治疗时长、氧舱湿度、吸氧方式；</w:t>
      </w:r>
    </w:p>
    <w:p>
      <w:pPr>
        <w:numPr>
          <w:ilvl w:val="0"/>
          <w:numId w:val="8"/>
        </w:numPr>
        <w:spacing w:line="360" w:lineRule="auto"/>
        <w:rPr>
          <w:rFonts w:ascii="宋体" w:hAnsi="宋体"/>
          <w:sz w:val="24"/>
          <w:szCs w:val="28"/>
        </w:rPr>
      </w:pPr>
      <w:r>
        <w:rPr>
          <w:rFonts w:hint="eastAsia" w:ascii="宋体" w:hAnsi="宋体"/>
          <w:sz w:val="24"/>
          <w:szCs w:val="28"/>
        </w:rPr>
        <w:t>支持录入治疗评价、端点以及建议</w:t>
      </w:r>
    </w:p>
    <w:p>
      <w:pPr>
        <w:numPr>
          <w:ilvl w:val="0"/>
          <w:numId w:val="8"/>
        </w:numPr>
        <w:spacing w:line="360" w:lineRule="auto"/>
        <w:rPr>
          <w:rFonts w:ascii="宋体" w:hAnsi="宋体"/>
          <w:sz w:val="24"/>
          <w:szCs w:val="28"/>
        </w:rPr>
      </w:pPr>
      <w:r>
        <w:rPr>
          <w:rFonts w:hint="eastAsia" w:ascii="宋体" w:hAnsi="宋体"/>
          <w:sz w:val="24"/>
          <w:szCs w:val="28"/>
        </w:rPr>
        <w:t>支持查看患者治疗方案，包含吸氧方式、座位类别、氧舱设备、治疗频次；</w:t>
      </w:r>
    </w:p>
    <w:p>
      <w:pPr>
        <w:numPr>
          <w:ilvl w:val="0"/>
          <w:numId w:val="8"/>
        </w:numPr>
        <w:spacing w:line="360" w:lineRule="auto"/>
        <w:rPr>
          <w:rFonts w:ascii="宋体" w:hAnsi="宋体"/>
          <w:sz w:val="24"/>
          <w:szCs w:val="28"/>
        </w:rPr>
      </w:pPr>
      <w:r>
        <w:rPr>
          <w:rFonts w:hint="eastAsia" w:ascii="宋体" w:hAnsi="宋体"/>
          <w:sz w:val="24"/>
          <w:szCs w:val="28"/>
        </w:rPr>
        <w:t>支持打印患者治疗记录；</w:t>
      </w:r>
    </w:p>
    <w:p>
      <w:pPr>
        <w:pStyle w:val="6"/>
      </w:pPr>
      <w:r>
        <w:rPr>
          <w:rFonts w:hint="eastAsia"/>
        </w:rPr>
        <w:t>汇总查询</w:t>
      </w:r>
    </w:p>
    <w:p>
      <w:pPr>
        <w:numPr>
          <w:ilvl w:val="0"/>
          <w:numId w:val="8"/>
        </w:numPr>
        <w:spacing w:line="360" w:lineRule="auto"/>
        <w:rPr>
          <w:rFonts w:ascii="宋体" w:hAnsi="宋体"/>
          <w:sz w:val="24"/>
          <w:szCs w:val="28"/>
        </w:rPr>
      </w:pPr>
      <w:r>
        <w:rPr>
          <w:rFonts w:hint="eastAsia" w:ascii="宋体" w:hAnsi="宋体"/>
          <w:sz w:val="24"/>
          <w:szCs w:val="28"/>
        </w:rPr>
        <w:t>支持设置统计日期区间，统计治疗师的工作量，包括：治疗师姓名、治疗师标识、人次；</w:t>
      </w:r>
    </w:p>
    <w:p>
      <w:pPr>
        <w:numPr>
          <w:ilvl w:val="0"/>
          <w:numId w:val="8"/>
        </w:numPr>
        <w:spacing w:line="360" w:lineRule="auto"/>
        <w:rPr>
          <w:rFonts w:ascii="宋体" w:hAnsi="宋体"/>
          <w:sz w:val="24"/>
          <w:szCs w:val="28"/>
        </w:rPr>
      </w:pPr>
      <w:r>
        <w:rPr>
          <w:rFonts w:hint="eastAsia" w:ascii="宋体" w:hAnsi="宋体"/>
          <w:sz w:val="24"/>
          <w:szCs w:val="28"/>
        </w:rPr>
        <w:t>支持设置统计日期区间，统计设备的工作量，包括：氧舱设备名称、氧舱设备编码、人次；</w:t>
      </w:r>
    </w:p>
    <w:p>
      <w:pPr>
        <w:numPr>
          <w:ilvl w:val="0"/>
          <w:numId w:val="8"/>
        </w:numPr>
        <w:spacing w:line="360" w:lineRule="auto"/>
        <w:rPr>
          <w:rFonts w:ascii="宋体" w:hAnsi="宋体"/>
          <w:sz w:val="24"/>
          <w:szCs w:val="28"/>
        </w:rPr>
      </w:pPr>
      <w:r>
        <w:rPr>
          <w:rFonts w:hint="eastAsia" w:ascii="宋体" w:hAnsi="宋体"/>
          <w:sz w:val="24"/>
          <w:szCs w:val="28"/>
        </w:rPr>
        <w:t>支持根据日期区间、患者类型（住院/门诊）、治疗记录书写状态、患者姓名条件，查询患者的治疗记录单，治疗记录单内容包括：患者治疗项目、治疗师、治疗日期、治疗评价；</w:t>
      </w:r>
    </w:p>
    <w:p>
      <w:pPr>
        <w:numPr>
          <w:ilvl w:val="0"/>
          <w:numId w:val="8"/>
        </w:numPr>
        <w:spacing w:line="360" w:lineRule="auto"/>
        <w:rPr>
          <w:rFonts w:ascii="宋体" w:hAnsi="宋体"/>
          <w:sz w:val="24"/>
          <w:szCs w:val="28"/>
        </w:rPr>
      </w:pPr>
      <w:r>
        <w:rPr>
          <w:rFonts w:hint="eastAsia" w:ascii="宋体" w:hAnsi="宋体"/>
          <w:sz w:val="24"/>
          <w:szCs w:val="28"/>
        </w:rPr>
        <w:t>支持根据日期区间、患者类型（住院/门诊）、评估书写状态、患者姓名条件，查询患者的评估单，评估单内容：包括评估科室、评估类别、评估状态、治疗师、评估日期；</w:t>
      </w:r>
    </w:p>
    <w:p>
      <w:pPr>
        <w:pStyle w:val="6"/>
        <w:rPr>
          <w:rFonts w:ascii="Calibri Light" w:hAnsi="Calibri Light"/>
          <w:sz w:val="30"/>
          <w:szCs w:val="30"/>
        </w:rPr>
      </w:pPr>
      <w:r>
        <w:rPr>
          <w:rFonts w:hint="eastAsia"/>
        </w:rPr>
        <w:t>系统设置</w:t>
      </w:r>
    </w:p>
    <w:p>
      <w:pPr>
        <w:numPr>
          <w:ilvl w:val="0"/>
          <w:numId w:val="8"/>
        </w:numPr>
        <w:spacing w:line="360" w:lineRule="auto"/>
        <w:rPr>
          <w:rFonts w:ascii="宋体" w:hAnsi="宋体"/>
          <w:sz w:val="24"/>
          <w:szCs w:val="28"/>
        </w:rPr>
      </w:pPr>
      <w:r>
        <w:rPr>
          <w:rFonts w:hint="eastAsia" w:ascii="宋体" w:hAnsi="宋体"/>
          <w:sz w:val="24"/>
          <w:szCs w:val="28"/>
        </w:rPr>
        <w:t>支持添加、编辑、启用/停用医护人员账号，账号信息包括：工号、姓名、手机号、科室名称、职称名称；</w:t>
      </w:r>
    </w:p>
    <w:p>
      <w:pPr>
        <w:numPr>
          <w:ilvl w:val="0"/>
          <w:numId w:val="8"/>
        </w:numPr>
        <w:spacing w:line="360" w:lineRule="auto"/>
        <w:rPr>
          <w:rFonts w:ascii="宋体" w:hAnsi="宋体"/>
          <w:sz w:val="24"/>
          <w:szCs w:val="28"/>
        </w:rPr>
      </w:pPr>
      <w:r>
        <w:rPr>
          <w:rFonts w:hint="eastAsia" w:ascii="宋体" w:hAnsi="宋体"/>
          <w:sz w:val="24"/>
          <w:szCs w:val="28"/>
        </w:rPr>
        <w:t>支持维护系统医护人员的角色权限，如系统管理员权限、医生角色、护士角色；</w:t>
      </w:r>
    </w:p>
    <w:p>
      <w:pPr>
        <w:numPr>
          <w:ilvl w:val="0"/>
          <w:numId w:val="8"/>
        </w:numPr>
        <w:spacing w:line="360" w:lineRule="auto"/>
        <w:rPr>
          <w:rFonts w:ascii="宋体" w:hAnsi="宋体"/>
          <w:sz w:val="24"/>
          <w:szCs w:val="28"/>
        </w:rPr>
      </w:pPr>
      <w:r>
        <w:rPr>
          <w:rFonts w:hint="eastAsia" w:ascii="宋体" w:hAnsi="宋体"/>
          <w:sz w:val="24"/>
          <w:szCs w:val="28"/>
        </w:rPr>
        <w:t>支持添加、删除、编辑系统角色权限，支持配置系统模块访问权限；</w:t>
      </w:r>
    </w:p>
    <w:p>
      <w:pPr>
        <w:numPr>
          <w:ilvl w:val="0"/>
          <w:numId w:val="8"/>
        </w:numPr>
        <w:spacing w:line="360" w:lineRule="auto"/>
        <w:rPr>
          <w:rFonts w:ascii="宋体" w:hAnsi="宋体"/>
          <w:sz w:val="24"/>
          <w:szCs w:val="28"/>
        </w:rPr>
      </w:pPr>
      <w:r>
        <w:rPr>
          <w:rFonts w:hint="eastAsia" w:ascii="宋体" w:hAnsi="宋体"/>
          <w:sz w:val="24"/>
          <w:szCs w:val="28"/>
        </w:rPr>
        <w:t>支持添加、删除、编辑高压氧设备，支持启用/停用设备，支持维护高压氧设备座位号；</w:t>
      </w:r>
    </w:p>
    <w:p>
      <w:pPr>
        <w:numPr>
          <w:ilvl w:val="0"/>
          <w:numId w:val="8"/>
        </w:numPr>
        <w:spacing w:line="360" w:lineRule="auto"/>
        <w:rPr>
          <w:rFonts w:ascii="宋体" w:hAnsi="宋体"/>
          <w:sz w:val="24"/>
          <w:szCs w:val="28"/>
        </w:rPr>
      </w:pPr>
      <w:r>
        <w:rPr>
          <w:rFonts w:hint="eastAsia" w:ascii="宋体" w:hAnsi="宋体"/>
          <w:sz w:val="24"/>
          <w:szCs w:val="28"/>
        </w:rPr>
        <w:t>支持维护高压氧设备座位类别，支持添加、删除、以及编辑座位类别；</w:t>
      </w:r>
    </w:p>
    <w:p>
      <w:pPr>
        <w:numPr>
          <w:ilvl w:val="0"/>
          <w:numId w:val="8"/>
        </w:numPr>
        <w:spacing w:line="360" w:lineRule="auto"/>
        <w:rPr>
          <w:rFonts w:ascii="宋体" w:hAnsi="宋体"/>
          <w:sz w:val="24"/>
          <w:szCs w:val="28"/>
        </w:rPr>
      </w:pPr>
      <w:r>
        <w:rPr>
          <w:rFonts w:hint="eastAsia" w:ascii="宋体" w:hAnsi="宋体"/>
          <w:sz w:val="24"/>
          <w:szCs w:val="28"/>
        </w:rPr>
        <w:t>支持维护（添加、删除、编辑）系统项目对应座位类别关系；</w:t>
      </w:r>
    </w:p>
    <w:p>
      <w:pPr>
        <w:numPr>
          <w:ilvl w:val="0"/>
          <w:numId w:val="8"/>
        </w:numPr>
        <w:spacing w:line="360" w:lineRule="auto"/>
        <w:rPr>
          <w:rFonts w:ascii="宋体" w:hAnsi="宋体"/>
          <w:sz w:val="24"/>
          <w:szCs w:val="28"/>
        </w:rPr>
      </w:pPr>
      <w:r>
        <w:rPr>
          <w:rFonts w:hint="eastAsia" w:ascii="宋体" w:hAnsi="宋体"/>
          <w:sz w:val="24"/>
          <w:szCs w:val="28"/>
        </w:rPr>
        <w:t>支持维护系统吸氧方式；</w:t>
      </w:r>
    </w:p>
    <w:p>
      <w:pPr>
        <w:numPr>
          <w:ilvl w:val="0"/>
          <w:numId w:val="8"/>
        </w:numPr>
        <w:spacing w:line="360" w:lineRule="auto"/>
        <w:rPr>
          <w:rFonts w:ascii="宋体" w:hAnsi="宋体"/>
          <w:sz w:val="24"/>
          <w:szCs w:val="28"/>
        </w:rPr>
      </w:pPr>
      <w:r>
        <w:rPr>
          <w:rFonts w:hint="eastAsia" w:ascii="宋体" w:hAnsi="宋体"/>
          <w:sz w:val="24"/>
          <w:szCs w:val="28"/>
        </w:rPr>
        <w:t>支持添加、删除、编辑班次信息，包括：班次、班次时间，支持启用/停用操作；</w:t>
      </w:r>
    </w:p>
    <w:p>
      <w:pPr>
        <w:numPr>
          <w:ilvl w:val="0"/>
          <w:numId w:val="8"/>
        </w:numPr>
        <w:spacing w:line="360" w:lineRule="auto"/>
        <w:rPr>
          <w:rFonts w:ascii="宋体" w:hAnsi="宋体"/>
          <w:sz w:val="24"/>
          <w:szCs w:val="28"/>
        </w:rPr>
      </w:pPr>
      <w:r>
        <w:rPr>
          <w:rFonts w:hint="eastAsia" w:ascii="宋体" w:hAnsi="宋体"/>
          <w:sz w:val="24"/>
          <w:szCs w:val="28"/>
        </w:rPr>
        <w:t>支持高压氧设备排班操作。</w:t>
      </w:r>
    </w:p>
    <w:p>
      <w:pPr>
        <w:pStyle w:val="5"/>
      </w:pPr>
      <w:r>
        <w:rPr>
          <w:rFonts w:hint="eastAsia"/>
        </w:rPr>
        <w:t>门急诊应急管理系统</w:t>
      </w:r>
    </w:p>
    <w:p>
      <w:pPr>
        <w:pStyle w:val="6"/>
      </w:pPr>
      <w:r>
        <w:t>应急系统基础平台</w:t>
      </w:r>
    </w:p>
    <w:p>
      <w:pPr>
        <w:pStyle w:val="44"/>
        <w:numPr>
          <w:ilvl w:val="0"/>
          <w:numId w:val="16"/>
        </w:numPr>
        <w:snapToGrid w:val="0"/>
        <w:spacing w:before="156" w:after="156"/>
        <w:ind w:firstLineChars="0"/>
        <w:rPr>
          <w:rFonts w:ascii="Times New Roman" w:hAnsi="Times New Roman"/>
          <w:sz w:val="24"/>
          <w:szCs w:val="24"/>
        </w:rPr>
      </w:pPr>
      <w:r>
        <w:rPr>
          <w:rFonts w:ascii="宋体" w:hAnsi="宋体"/>
          <w:sz w:val="24"/>
          <w:szCs w:val="24"/>
        </w:rPr>
        <w:t>支持定时或手动从主服务器上下载相关字典，如收费项目、药品信息、科室信息、医生信息。</w:t>
      </w:r>
    </w:p>
    <w:p>
      <w:pPr>
        <w:pStyle w:val="44"/>
        <w:numPr>
          <w:ilvl w:val="0"/>
          <w:numId w:val="16"/>
        </w:numPr>
        <w:snapToGrid w:val="0"/>
        <w:spacing w:before="156" w:after="156"/>
        <w:ind w:firstLineChars="0"/>
        <w:rPr>
          <w:rFonts w:ascii="Times New Roman" w:hAnsi="Times New Roman"/>
          <w:sz w:val="24"/>
          <w:szCs w:val="24"/>
        </w:rPr>
      </w:pPr>
      <w:r>
        <w:rPr>
          <w:rFonts w:ascii="宋体" w:hAnsi="宋体"/>
          <w:sz w:val="24"/>
          <w:szCs w:val="24"/>
        </w:rPr>
        <w:t>支持患者信息同步</w:t>
      </w:r>
    </w:p>
    <w:p>
      <w:pPr>
        <w:pStyle w:val="44"/>
        <w:numPr>
          <w:ilvl w:val="0"/>
          <w:numId w:val="16"/>
        </w:numPr>
        <w:snapToGrid w:val="0"/>
        <w:spacing w:before="156" w:after="156"/>
        <w:ind w:firstLineChars="0"/>
        <w:rPr>
          <w:rFonts w:ascii="Times New Roman" w:hAnsi="Times New Roman"/>
          <w:sz w:val="24"/>
          <w:szCs w:val="24"/>
        </w:rPr>
      </w:pPr>
      <w:r>
        <w:rPr>
          <w:rFonts w:ascii="宋体" w:hAnsi="宋体"/>
          <w:sz w:val="24"/>
          <w:szCs w:val="24"/>
        </w:rPr>
        <w:t>支持应急系统岗位权限单独设置。</w:t>
      </w:r>
    </w:p>
    <w:p>
      <w:pPr>
        <w:pStyle w:val="6"/>
        <w:rPr>
          <w:rFonts w:ascii="Times New Roman" w:hAnsi="Times New Roman"/>
          <w:sz w:val="30"/>
          <w:szCs w:val="30"/>
        </w:rPr>
      </w:pPr>
      <w:r>
        <w:t>单机挂号收费</w:t>
      </w:r>
    </w:p>
    <w:p>
      <w:pPr>
        <w:pStyle w:val="44"/>
        <w:numPr>
          <w:ilvl w:val="0"/>
          <w:numId w:val="16"/>
        </w:numPr>
        <w:snapToGrid w:val="0"/>
        <w:spacing w:before="156" w:after="156"/>
        <w:ind w:firstLineChars="0"/>
        <w:rPr>
          <w:rFonts w:ascii="宋体" w:hAnsi="宋体"/>
          <w:sz w:val="24"/>
          <w:szCs w:val="24"/>
        </w:rPr>
      </w:pPr>
      <w:r>
        <w:rPr>
          <w:rFonts w:ascii="宋体" w:hAnsi="宋体"/>
          <w:sz w:val="24"/>
          <w:szCs w:val="24"/>
        </w:rPr>
        <w:t>支持当系统的主服务器或全院的网络出现异常时，为非医保病人进行正常现金业务挂号登记、划价、收费。</w:t>
      </w:r>
    </w:p>
    <w:p>
      <w:pPr>
        <w:pStyle w:val="6"/>
        <w:rPr>
          <w:rFonts w:ascii="Times New Roman" w:hAnsi="Times New Roman"/>
          <w:sz w:val="30"/>
          <w:szCs w:val="30"/>
        </w:rPr>
      </w:pPr>
      <w:r>
        <w:t>单机数据回传</w:t>
      </w:r>
    </w:p>
    <w:p>
      <w:pPr>
        <w:pStyle w:val="44"/>
        <w:numPr>
          <w:ilvl w:val="0"/>
          <w:numId w:val="17"/>
        </w:numPr>
        <w:snapToGrid w:val="0"/>
        <w:spacing w:before="156" w:after="156"/>
        <w:ind w:firstLineChars="0"/>
        <w:rPr>
          <w:rFonts w:ascii="Times New Roman" w:hAnsi="Times New Roman"/>
          <w:sz w:val="24"/>
          <w:szCs w:val="24"/>
        </w:rPr>
      </w:pPr>
      <w:r>
        <w:rPr>
          <w:rFonts w:ascii="宋体" w:hAnsi="宋体"/>
          <w:sz w:val="24"/>
          <w:szCs w:val="24"/>
        </w:rPr>
        <w:t>支持门急诊应急系统数据回迁到主数据库，在回迁数据前进行数据校验。</w:t>
      </w:r>
    </w:p>
    <w:p>
      <w:pPr>
        <w:pStyle w:val="44"/>
        <w:numPr>
          <w:ilvl w:val="0"/>
          <w:numId w:val="17"/>
        </w:numPr>
        <w:snapToGrid w:val="0"/>
        <w:spacing w:before="156" w:after="156"/>
        <w:ind w:firstLineChars="0"/>
        <w:rPr>
          <w:rFonts w:ascii="Times New Roman" w:hAnsi="Times New Roman"/>
          <w:sz w:val="24"/>
          <w:szCs w:val="24"/>
        </w:rPr>
      </w:pPr>
      <w:r>
        <w:rPr>
          <w:rFonts w:ascii="宋体" w:hAnsi="宋体"/>
          <w:sz w:val="24"/>
          <w:szCs w:val="24"/>
        </w:rPr>
        <w:t>支持数据导回到正式库后，药品自动发放并扣库存。</w:t>
      </w:r>
    </w:p>
    <w:p>
      <w:pPr>
        <w:pStyle w:val="6"/>
        <w:rPr>
          <w:rFonts w:ascii="Times New Roman" w:hAnsi="Times New Roman"/>
          <w:sz w:val="30"/>
          <w:szCs w:val="30"/>
        </w:rPr>
      </w:pPr>
      <w:r>
        <w:t>财务账目核对处理</w:t>
      </w:r>
    </w:p>
    <w:p>
      <w:pPr>
        <w:spacing w:line="360" w:lineRule="auto"/>
        <w:ind w:firstLine="480"/>
      </w:pPr>
      <w:r>
        <w:rPr>
          <w:rFonts w:ascii="宋体" w:hAnsi="宋体"/>
          <w:color w:val="000000"/>
          <w:sz w:val="24"/>
          <w:szCs w:val="24"/>
        </w:rPr>
        <w:t>支持单机</w:t>
      </w:r>
      <w:r>
        <w:rPr>
          <w:rFonts w:ascii="宋体" w:hAnsi="宋体"/>
          <w:kern w:val="0"/>
          <w:sz w:val="24"/>
          <w:szCs w:val="24"/>
        </w:rPr>
        <w:t>挂号、</w:t>
      </w:r>
      <w:r>
        <w:rPr>
          <w:rFonts w:ascii="宋体" w:hAnsi="宋体"/>
          <w:color w:val="000000"/>
          <w:sz w:val="24"/>
          <w:szCs w:val="24"/>
        </w:rPr>
        <w:t>划价收费、报表统计，数据可汇总到正式库的门诊收费系统中。</w:t>
      </w:r>
    </w:p>
    <w:p>
      <w:pPr>
        <w:pStyle w:val="5"/>
      </w:pPr>
      <w:r>
        <w:rPr>
          <w:rFonts w:hint="eastAsia"/>
        </w:rPr>
        <w:t>门诊病历质控</w:t>
      </w:r>
    </w:p>
    <w:p>
      <w:pPr>
        <w:pStyle w:val="6"/>
      </w:pPr>
      <w:r>
        <w:rPr>
          <w:rFonts w:hint="eastAsia"/>
        </w:rPr>
        <w:t>质控管理</w:t>
      </w:r>
    </w:p>
    <w:p>
      <w:pPr>
        <w:numPr>
          <w:ilvl w:val="0"/>
          <w:numId w:val="18"/>
        </w:numPr>
        <w:spacing w:line="360" w:lineRule="auto"/>
        <w:rPr>
          <w:sz w:val="24"/>
          <w:szCs w:val="24"/>
        </w:rPr>
      </w:pPr>
      <w:r>
        <w:rPr>
          <w:rFonts w:hint="eastAsia" w:ascii="宋体" w:hAnsi="宋体"/>
          <w:sz w:val="24"/>
          <w:szCs w:val="24"/>
        </w:rPr>
        <w:t>支持上级医生对病历进行阅改；</w:t>
      </w:r>
    </w:p>
    <w:p>
      <w:pPr>
        <w:numPr>
          <w:ilvl w:val="0"/>
          <w:numId w:val="18"/>
        </w:numPr>
        <w:spacing w:line="360" w:lineRule="auto"/>
        <w:rPr>
          <w:sz w:val="24"/>
          <w:szCs w:val="24"/>
        </w:rPr>
      </w:pPr>
      <w:r>
        <w:rPr>
          <w:rFonts w:hint="eastAsia" w:ascii="宋体" w:hAnsi="宋体"/>
          <w:sz w:val="24"/>
          <w:szCs w:val="24"/>
        </w:rPr>
        <w:t>支持对病历修改记录保存历次操作痕迹；</w:t>
      </w:r>
    </w:p>
    <w:p>
      <w:pPr>
        <w:numPr>
          <w:ilvl w:val="0"/>
          <w:numId w:val="18"/>
        </w:numPr>
        <w:spacing w:line="360" w:lineRule="auto"/>
        <w:rPr>
          <w:sz w:val="24"/>
          <w:szCs w:val="24"/>
        </w:rPr>
      </w:pPr>
      <w:r>
        <w:rPr>
          <w:rFonts w:hint="eastAsia" w:ascii="宋体" w:hAnsi="宋体"/>
          <w:sz w:val="24"/>
          <w:szCs w:val="24"/>
        </w:rPr>
        <w:t>支持性别信息自动过滤，当病历中出现与性别信息相悖的信息时，支持自动提醒和过滤功能；</w:t>
      </w:r>
    </w:p>
    <w:p>
      <w:pPr>
        <w:numPr>
          <w:ilvl w:val="0"/>
          <w:numId w:val="18"/>
        </w:numPr>
        <w:spacing w:line="360" w:lineRule="auto"/>
        <w:rPr>
          <w:sz w:val="24"/>
          <w:szCs w:val="24"/>
        </w:rPr>
      </w:pPr>
      <w:r>
        <w:rPr>
          <w:rFonts w:hint="eastAsia" w:ascii="宋体" w:hAnsi="宋体"/>
          <w:sz w:val="24"/>
          <w:szCs w:val="24"/>
        </w:rPr>
        <w:t>支持按评分项目自定义维护质控评分的大项，包括初诊病历、复诊病历、一般患者信息；</w:t>
      </w:r>
    </w:p>
    <w:p>
      <w:pPr>
        <w:numPr>
          <w:ilvl w:val="0"/>
          <w:numId w:val="19"/>
        </w:numPr>
        <w:spacing w:line="360" w:lineRule="auto"/>
        <w:rPr>
          <w:sz w:val="24"/>
          <w:szCs w:val="24"/>
        </w:rPr>
      </w:pPr>
      <w:r>
        <w:rPr>
          <w:rFonts w:hint="eastAsia" w:ascii="宋体" w:hAnsi="宋体"/>
          <w:sz w:val="24"/>
          <w:szCs w:val="24"/>
        </w:rPr>
        <w:t>支持按评分大项维护评分小项功能；</w:t>
      </w:r>
    </w:p>
    <w:p>
      <w:pPr>
        <w:numPr>
          <w:ilvl w:val="0"/>
          <w:numId w:val="19"/>
        </w:numPr>
        <w:spacing w:line="360" w:lineRule="auto"/>
        <w:rPr>
          <w:sz w:val="24"/>
          <w:szCs w:val="24"/>
        </w:rPr>
      </w:pPr>
      <w:r>
        <w:rPr>
          <w:rFonts w:hint="eastAsia" w:ascii="宋体" w:hAnsi="宋体"/>
          <w:sz w:val="24"/>
          <w:szCs w:val="24"/>
        </w:rPr>
        <w:t>支持维护评分小项对应的评分项功能。</w:t>
      </w:r>
    </w:p>
    <w:p>
      <w:pPr>
        <w:pStyle w:val="6"/>
      </w:pPr>
      <w:r>
        <w:rPr>
          <w:rFonts w:hint="eastAsia"/>
        </w:rPr>
        <w:t>质控评分</w:t>
      </w:r>
    </w:p>
    <w:p>
      <w:pPr>
        <w:numPr>
          <w:ilvl w:val="0"/>
          <w:numId w:val="20"/>
        </w:numPr>
        <w:spacing w:line="360" w:lineRule="auto"/>
        <w:rPr>
          <w:sz w:val="24"/>
          <w:szCs w:val="24"/>
        </w:rPr>
      </w:pPr>
      <w:r>
        <w:rPr>
          <w:rFonts w:hint="eastAsia" w:ascii="宋体" w:hAnsi="宋体"/>
          <w:sz w:val="24"/>
          <w:szCs w:val="24"/>
        </w:rPr>
        <w:t>支持对当前患者的门诊病历进行质控抽查评分；</w:t>
      </w:r>
    </w:p>
    <w:p>
      <w:pPr>
        <w:numPr>
          <w:ilvl w:val="0"/>
          <w:numId w:val="20"/>
        </w:numPr>
        <w:spacing w:line="360" w:lineRule="auto"/>
        <w:rPr>
          <w:sz w:val="24"/>
          <w:szCs w:val="24"/>
        </w:rPr>
      </w:pPr>
      <w:r>
        <w:rPr>
          <w:rFonts w:hint="eastAsia" w:ascii="宋体" w:hAnsi="宋体"/>
          <w:sz w:val="24"/>
          <w:szCs w:val="24"/>
        </w:rPr>
        <w:t>支持病历质控等级率查询统计功能；</w:t>
      </w:r>
    </w:p>
    <w:p>
      <w:pPr>
        <w:numPr>
          <w:ilvl w:val="0"/>
          <w:numId w:val="19"/>
        </w:numPr>
        <w:spacing w:line="360" w:lineRule="auto"/>
        <w:rPr>
          <w:sz w:val="24"/>
          <w:szCs w:val="24"/>
        </w:rPr>
      </w:pPr>
      <w:r>
        <w:rPr>
          <w:rFonts w:hint="eastAsia" w:ascii="宋体" w:hAnsi="宋体"/>
          <w:color w:val="000000"/>
          <w:sz w:val="24"/>
          <w:szCs w:val="24"/>
        </w:rPr>
        <w:t>▲</w:t>
      </w:r>
      <w:r>
        <w:rPr>
          <w:rFonts w:hint="eastAsia" w:ascii="宋体" w:hAnsi="宋体"/>
          <w:sz w:val="24"/>
          <w:szCs w:val="24"/>
        </w:rPr>
        <w:t>支持根据不同专科病历、诊断，选择差别化的质量控制项目，进行病历质控功能；</w:t>
      </w:r>
    </w:p>
    <w:p>
      <w:pPr>
        <w:spacing w:line="360" w:lineRule="auto"/>
        <w:rPr>
          <w:sz w:val="24"/>
          <w:szCs w:val="24"/>
        </w:rPr>
      </w:pPr>
      <w:r>
        <w:rPr>
          <w:rFonts w:hint="eastAsia" w:ascii="宋体" w:hAnsi="宋体"/>
          <w:sz w:val="24"/>
          <w:szCs w:val="24"/>
        </w:rPr>
        <w:t>要求提供根据不同专科病历、诊断，选择差别化的质量控制项目的截图证明。</w:t>
      </w:r>
    </w:p>
    <w:p>
      <w:pPr>
        <w:pStyle w:val="6"/>
      </w:pPr>
      <w:r>
        <w:rPr>
          <w:rFonts w:hint="eastAsia"/>
        </w:rPr>
        <w:t>病历质量查询</w:t>
      </w:r>
    </w:p>
    <w:p>
      <w:pPr>
        <w:numPr>
          <w:ilvl w:val="0"/>
          <w:numId w:val="21"/>
        </w:numPr>
        <w:spacing w:line="360" w:lineRule="auto"/>
        <w:rPr>
          <w:sz w:val="24"/>
          <w:szCs w:val="24"/>
        </w:rPr>
      </w:pPr>
      <w:r>
        <w:rPr>
          <w:rFonts w:hint="eastAsia" w:ascii="宋体" w:hAnsi="宋体"/>
          <w:sz w:val="24"/>
          <w:szCs w:val="24"/>
        </w:rPr>
        <w:t>支持按挂号日期、病人卡号、患者姓名、门诊号、就诊科室、就诊医生、病历状态查询病历评分结果；</w:t>
      </w:r>
    </w:p>
    <w:p>
      <w:pPr>
        <w:numPr>
          <w:ilvl w:val="0"/>
          <w:numId w:val="21"/>
        </w:numPr>
        <w:spacing w:line="360" w:lineRule="auto"/>
        <w:rPr>
          <w:sz w:val="24"/>
          <w:szCs w:val="24"/>
        </w:rPr>
      </w:pPr>
      <w:r>
        <w:rPr>
          <w:rFonts w:hint="eastAsia" w:ascii="宋体" w:hAnsi="宋体"/>
          <w:sz w:val="24"/>
          <w:szCs w:val="24"/>
        </w:rPr>
        <w:t>支持评分结果查看。</w:t>
      </w:r>
    </w:p>
    <w:p>
      <w:pPr>
        <w:pStyle w:val="5"/>
      </w:pPr>
      <w:r>
        <w:rPr>
          <w:rFonts w:hint="eastAsia"/>
        </w:rPr>
        <w:t>血库信息管理系统</w:t>
      </w:r>
    </w:p>
    <w:p>
      <w:pPr>
        <w:pStyle w:val="6"/>
      </w:pPr>
      <w:r>
        <w:rPr>
          <w:rFonts w:hint="eastAsia"/>
        </w:rPr>
        <w:t>血袋库位管理</w:t>
      </w:r>
    </w:p>
    <w:p>
      <w:pPr>
        <w:numPr>
          <w:ilvl w:val="0"/>
          <w:numId w:val="22"/>
        </w:numPr>
        <w:spacing w:line="360" w:lineRule="auto"/>
        <w:rPr>
          <w:rFonts w:ascii="Times New Roman" w:hAnsi="Times New Roman"/>
          <w:sz w:val="24"/>
          <w:szCs w:val="24"/>
        </w:rPr>
      </w:pPr>
      <w:r>
        <w:rPr>
          <w:rFonts w:hint="eastAsia" w:ascii="宋体" w:hAnsi="宋体"/>
          <w:sz w:val="24"/>
          <w:szCs w:val="24"/>
        </w:rPr>
        <w:t>支持血袋库位查询，包括在库状态选择查询、成份大小类查询、血液成份查询、血袋来源查询、血袋库位查询、血型查询；</w:t>
      </w:r>
    </w:p>
    <w:p>
      <w:pPr>
        <w:numPr>
          <w:ilvl w:val="0"/>
          <w:numId w:val="22"/>
        </w:numPr>
        <w:spacing w:line="360" w:lineRule="auto"/>
        <w:rPr>
          <w:rFonts w:ascii="Times New Roman" w:hAnsi="Times New Roman"/>
          <w:sz w:val="24"/>
          <w:szCs w:val="24"/>
        </w:rPr>
      </w:pPr>
      <w:r>
        <w:rPr>
          <w:rFonts w:ascii="Times New Roman" w:hAnsi="Times New Roman"/>
        </w:rPr>
        <w:t>▲</w:t>
      </w:r>
      <w:r>
        <w:rPr>
          <w:rFonts w:ascii="宋体" w:hAnsi="宋体"/>
          <w:sz w:val="24"/>
          <w:szCs w:val="24"/>
        </w:rPr>
        <w:t>支持血袋库位</w:t>
      </w:r>
      <w:r>
        <w:rPr>
          <w:rFonts w:hint="eastAsia" w:ascii="宋体" w:hAnsi="宋体"/>
          <w:sz w:val="24"/>
          <w:szCs w:val="24"/>
        </w:rPr>
        <w:t>智能</w:t>
      </w:r>
      <w:r>
        <w:rPr>
          <w:rFonts w:ascii="宋体" w:hAnsi="宋体"/>
          <w:sz w:val="24"/>
          <w:szCs w:val="24"/>
        </w:rPr>
        <w:t>管理</w:t>
      </w:r>
      <w:r>
        <w:rPr>
          <w:rFonts w:hint="eastAsia" w:ascii="宋体" w:hAnsi="宋体"/>
          <w:sz w:val="24"/>
          <w:szCs w:val="24"/>
        </w:rPr>
        <w:t>，支持血袋自动分配库位，支持库位存储量信息显示，包括库位代码、库位名称、当前数量、空位数量；</w:t>
      </w:r>
    </w:p>
    <w:p>
      <w:pPr>
        <w:spacing w:line="360" w:lineRule="auto"/>
        <w:ind w:left="420"/>
        <w:rPr>
          <w:rFonts w:ascii="Times New Roman" w:hAnsi="Times New Roman"/>
          <w:sz w:val="24"/>
          <w:szCs w:val="24"/>
        </w:rPr>
      </w:pPr>
      <w:r>
        <w:rPr>
          <w:rFonts w:ascii="宋体" w:hAnsi="宋体"/>
          <w:sz w:val="24"/>
          <w:szCs w:val="24"/>
        </w:rPr>
        <w:t>要求提供血袋库位</w:t>
      </w:r>
      <w:r>
        <w:rPr>
          <w:rFonts w:hint="eastAsia" w:ascii="宋体" w:hAnsi="宋体"/>
          <w:sz w:val="24"/>
          <w:szCs w:val="24"/>
        </w:rPr>
        <w:t>智能</w:t>
      </w:r>
      <w:r>
        <w:rPr>
          <w:rFonts w:ascii="宋体" w:hAnsi="宋体"/>
          <w:sz w:val="24"/>
          <w:szCs w:val="24"/>
        </w:rPr>
        <w:t>管理</w:t>
      </w:r>
      <w:r>
        <w:rPr>
          <w:rFonts w:hint="eastAsia" w:ascii="宋体" w:hAnsi="宋体"/>
          <w:sz w:val="24"/>
          <w:szCs w:val="24"/>
        </w:rPr>
        <w:t>界面截图证明，包括血袋自动分配库位，库位存储量信息显示，包括库位代码、库位名称、当前数量、空位数量。</w:t>
      </w:r>
    </w:p>
    <w:p>
      <w:pPr>
        <w:pStyle w:val="6"/>
      </w:pPr>
      <w:r>
        <w:rPr>
          <w:rFonts w:ascii="宋体" w:hAnsi="宋体"/>
        </w:rPr>
        <w:t>医生站申请及审核管理</w:t>
      </w:r>
    </w:p>
    <w:p>
      <w:pPr>
        <w:numPr>
          <w:ilvl w:val="0"/>
          <w:numId w:val="23"/>
        </w:numPr>
        <w:spacing w:line="360" w:lineRule="auto"/>
        <w:rPr>
          <w:rFonts w:ascii="宋体" w:hAnsi="宋体"/>
          <w:b/>
          <w:bCs/>
          <w:sz w:val="24"/>
          <w:szCs w:val="24"/>
        </w:rPr>
      </w:pPr>
      <w:r>
        <w:rPr>
          <w:rFonts w:hint="eastAsia" w:ascii="宋体" w:hAnsi="宋体"/>
          <w:b/>
          <w:bCs/>
          <w:sz w:val="24"/>
          <w:szCs w:val="24"/>
        </w:rPr>
        <w:t>开具输血申请单</w:t>
      </w:r>
    </w:p>
    <w:p>
      <w:pPr>
        <w:numPr>
          <w:ilvl w:val="0"/>
          <w:numId w:val="24"/>
        </w:numPr>
        <w:spacing w:line="360" w:lineRule="auto"/>
        <w:rPr>
          <w:rFonts w:ascii="Times New Roman" w:hAnsi="Times New Roman"/>
          <w:color w:val="000000"/>
          <w:sz w:val="24"/>
          <w:szCs w:val="24"/>
        </w:rPr>
      </w:pPr>
      <w:r>
        <w:rPr>
          <w:rFonts w:ascii="宋体" w:hAnsi="宋体"/>
          <w:color w:val="000000"/>
          <w:sz w:val="24"/>
          <w:szCs w:val="24"/>
        </w:rPr>
        <w:t>临床</w:t>
      </w:r>
      <w:r>
        <w:rPr>
          <w:rFonts w:ascii="宋体" w:hAnsi="宋体"/>
          <w:sz w:val="24"/>
          <w:szCs w:val="24"/>
        </w:rPr>
        <w:t>医生</w:t>
      </w:r>
      <w:r>
        <w:rPr>
          <w:rFonts w:ascii="宋体" w:hAnsi="宋体"/>
          <w:color w:val="000000"/>
          <w:sz w:val="24"/>
          <w:szCs w:val="24"/>
        </w:rPr>
        <w:t>开单时，系统支持识别该患者是否签署知情同意书，对没有签署知情同意书患者，系统将智能提示</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ascii="Times New Roman" w:hAnsi="Times New Roman"/>
        </w:rPr>
        <w:t>▲</w:t>
      </w:r>
      <w:r>
        <w:rPr>
          <w:rFonts w:ascii="宋体" w:hAnsi="宋体"/>
          <w:color w:val="000000"/>
          <w:sz w:val="24"/>
          <w:szCs w:val="24"/>
        </w:rPr>
        <w:t>支持</w:t>
      </w:r>
      <w:r>
        <w:rPr>
          <w:rFonts w:hint="eastAsia" w:ascii="宋体" w:hAnsi="宋体"/>
          <w:color w:val="000000"/>
          <w:sz w:val="24"/>
          <w:szCs w:val="24"/>
        </w:rPr>
        <w:t>输入</w:t>
      </w:r>
      <w:r>
        <w:rPr>
          <w:rFonts w:ascii="宋体" w:hAnsi="宋体"/>
          <w:color w:val="000000"/>
          <w:sz w:val="24"/>
          <w:szCs w:val="24"/>
        </w:rPr>
        <w:t>受血者身高</w:t>
      </w:r>
      <w:r>
        <w:rPr>
          <w:rFonts w:hint="eastAsia" w:ascii="宋体" w:hAnsi="宋体"/>
          <w:color w:val="000000"/>
          <w:sz w:val="24"/>
          <w:szCs w:val="24"/>
        </w:rPr>
        <w:t>、</w:t>
      </w:r>
      <w:r>
        <w:rPr>
          <w:rFonts w:ascii="宋体" w:hAnsi="宋体"/>
          <w:color w:val="000000"/>
          <w:sz w:val="24"/>
          <w:szCs w:val="24"/>
        </w:rPr>
        <w:t>体重</w:t>
      </w:r>
      <w:r>
        <w:rPr>
          <w:rFonts w:hint="eastAsia" w:ascii="宋体" w:hAnsi="宋体"/>
          <w:color w:val="000000"/>
          <w:sz w:val="24"/>
          <w:szCs w:val="24"/>
        </w:rPr>
        <w:t>、</w:t>
      </w:r>
      <w:r>
        <w:rPr>
          <w:rFonts w:hint="eastAsia" w:ascii="Times New Roman" w:hAnsi="Times New Roman"/>
          <w:color w:val="000000"/>
          <w:sz w:val="24"/>
          <w:szCs w:val="24"/>
        </w:rPr>
        <w:t>HGB</w:t>
      </w:r>
      <w:r>
        <w:rPr>
          <w:rFonts w:hint="eastAsia" w:ascii="宋体" w:hAnsi="宋体"/>
          <w:color w:val="000000"/>
          <w:sz w:val="24"/>
          <w:szCs w:val="24"/>
        </w:rPr>
        <w:t>测定值、</w:t>
      </w:r>
      <w:r>
        <w:rPr>
          <w:rFonts w:hint="eastAsia" w:ascii="Times New Roman" w:hAnsi="Times New Roman"/>
          <w:color w:val="000000"/>
          <w:sz w:val="24"/>
          <w:szCs w:val="24"/>
        </w:rPr>
        <w:t>HGB</w:t>
      </w:r>
      <w:r>
        <w:rPr>
          <w:rFonts w:hint="eastAsia" w:ascii="宋体" w:hAnsi="宋体"/>
          <w:color w:val="000000"/>
          <w:sz w:val="24"/>
          <w:szCs w:val="24"/>
        </w:rPr>
        <w:t>期望值系统自动计算给出建议输血量值；</w:t>
      </w:r>
    </w:p>
    <w:p>
      <w:pPr>
        <w:pStyle w:val="45"/>
        <w:spacing w:before="46" w:after="93"/>
        <w:ind w:firstLine="480"/>
        <w:rPr>
          <w:rFonts w:ascii="Times New Roman" w:hAnsi="Times New Roman"/>
          <w:color w:val="000000"/>
        </w:rPr>
      </w:pPr>
      <w:r>
        <w:rPr>
          <w:rFonts w:hint="eastAsia" w:hAnsi="宋体"/>
        </w:rPr>
        <w:t>要求提供根据</w:t>
      </w:r>
      <w:r>
        <w:rPr>
          <w:rFonts w:hint="eastAsia" w:hAnsi="宋体"/>
          <w:color w:val="000000"/>
        </w:rPr>
        <w:t>输入</w:t>
      </w:r>
      <w:r>
        <w:rPr>
          <w:rFonts w:hAnsi="宋体"/>
          <w:color w:val="000000"/>
        </w:rPr>
        <w:t>受血者身高</w:t>
      </w:r>
      <w:r>
        <w:rPr>
          <w:rFonts w:hint="eastAsia" w:hAnsi="宋体"/>
          <w:color w:val="000000"/>
        </w:rPr>
        <w:t>、</w:t>
      </w:r>
      <w:r>
        <w:rPr>
          <w:rFonts w:hAnsi="宋体"/>
          <w:color w:val="000000"/>
        </w:rPr>
        <w:t>体重</w:t>
      </w:r>
      <w:r>
        <w:rPr>
          <w:rFonts w:hint="eastAsia" w:hAnsi="宋体"/>
          <w:color w:val="000000"/>
        </w:rPr>
        <w:t>、</w:t>
      </w:r>
      <w:r>
        <w:rPr>
          <w:rFonts w:hint="eastAsia" w:ascii="Times New Roman" w:hAnsi="Times New Roman"/>
          <w:color w:val="000000"/>
        </w:rPr>
        <w:t>HGB</w:t>
      </w:r>
      <w:r>
        <w:rPr>
          <w:rFonts w:hint="eastAsia" w:hAnsi="宋体"/>
          <w:color w:val="000000"/>
        </w:rPr>
        <w:t>测定值、</w:t>
      </w:r>
      <w:r>
        <w:rPr>
          <w:rFonts w:hint="eastAsia" w:ascii="Times New Roman" w:hAnsi="Times New Roman"/>
          <w:color w:val="000000"/>
        </w:rPr>
        <w:t>HGB</w:t>
      </w:r>
      <w:r>
        <w:rPr>
          <w:rFonts w:hint="eastAsia" w:hAnsi="宋体"/>
          <w:color w:val="000000"/>
        </w:rPr>
        <w:t>期望值系统自动给出建议输血量值界面截图证明。</w:t>
      </w:r>
    </w:p>
    <w:p>
      <w:pPr>
        <w:numPr>
          <w:ilvl w:val="0"/>
          <w:numId w:val="24"/>
        </w:numPr>
        <w:spacing w:line="360" w:lineRule="auto"/>
        <w:rPr>
          <w:rFonts w:ascii="Times New Roman" w:hAnsi="Times New Roman"/>
          <w:color w:val="000000"/>
          <w:sz w:val="24"/>
          <w:szCs w:val="24"/>
        </w:rPr>
      </w:pPr>
      <w:r>
        <w:rPr>
          <w:rFonts w:ascii="Times New Roman" w:hAnsi="Times New Roman"/>
        </w:rPr>
        <w:t>▲</w:t>
      </w:r>
      <w:r>
        <w:rPr>
          <w:rFonts w:ascii="宋体" w:hAnsi="宋体"/>
          <w:color w:val="000000"/>
          <w:sz w:val="24"/>
          <w:szCs w:val="24"/>
        </w:rPr>
        <w:t>支持</w:t>
      </w:r>
      <w:r>
        <w:rPr>
          <w:rFonts w:hint="eastAsia" w:ascii="宋体" w:hAnsi="宋体"/>
          <w:color w:val="000000"/>
          <w:sz w:val="24"/>
          <w:szCs w:val="24"/>
        </w:rPr>
        <w:t>输入</w:t>
      </w:r>
      <w:r>
        <w:rPr>
          <w:rFonts w:ascii="宋体" w:hAnsi="宋体"/>
          <w:color w:val="000000"/>
          <w:sz w:val="24"/>
          <w:szCs w:val="24"/>
        </w:rPr>
        <w:t>受血者身高</w:t>
      </w:r>
      <w:r>
        <w:rPr>
          <w:rFonts w:hint="eastAsia" w:ascii="宋体" w:hAnsi="宋体"/>
          <w:color w:val="000000"/>
          <w:sz w:val="24"/>
          <w:szCs w:val="24"/>
        </w:rPr>
        <w:t>、</w:t>
      </w:r>
      <w:r>
        <w:rPr>
          <w:rFonts w:ascii="宋体" w:hAnsi="宋体"/>
          <w:color w:val="000000"/>
          <w:sz w:val="24"/>
          <w:szCs w:val="24"/>
        </w:rPr>
        <w:t>体重</w:t>
      </w:r>
      <w:r>
        <w:rPr>
          <w:rFonts w:hint="eastAsia" w:ascii="宋体" w:hAnsi="宋体"/>
          <w:color w:val="000000"/>
          <w:sz w:val="24"/>
          <w:szCs w:val="24"/>
        </w:rPr>
        <w:t>、</w:t>
      </w:r>
      <w:r>
        <w:rPr>
          <w:rFonts w:hint="eastAsia" w:ascii="Times New Roman" w:hAnsi="Times New Roman"/>
          <w:color w:val="000000"/>
          <w:sz w:val="24"/>
          <w:szCs w:val="24"/>
        </w:rPr>
        <w:t>PLT</w:t>
      </w:r>
      <w:r>
        <w:rPr>
          <w:rFonts w:hint="eastAsia" w:ascii="宋体" w:hAnsi="宋体"/>
          <w:color w:val="000000"/>
          <w:sz w:val="24"/>
          <w:szCs w:val="24"/>
        </w:rPr>
        <w:t>测定值、</w:t>
      </w:r>
      <w:r>
        <w:rPr>
          <w:rFonts w:hint="eastAsia" w:ascii="Times New Roman" w:hAnsi="Times New Roman"/>
          <w:color w:val="000000"/>
          <w:sz w:val="24"/>
          <w:szCs w:val="24"/>
        </w:rPr>
        <w:t>PLT</w:t>
      </w:r>
      <w:r>
        <w:rPr>
          <w:rFonts w:hint="eastAsia" w:ascii="宋体" w:hAnsi="宋体"/>
          <w:color w:val="000000"/>
          <w:sz w:val="24"/>
          <w:szCs w:val="24"/>
        </w:rPr>
        <w:t>期望值系统自动计算给出建议输血量值；</w:t>
      </w:r>
    </w:p>
    <w:p>
      <w:pPr>
        <w:pStyle w:val="45"/>
        <w:spacing w:before="46" w:after="93"/>
        <w:ind w:firstLine="480"/>
        <w:rPr>
          <w:rFonts w:ascii="Times New Roman" w:hAnsi="Times New Roman"/>
          <w:color w:val="000000"/>
        </w:rPr>
      </w:pPr>
      <w:r>
        <w:rPr>
          <w:rFonts w:hint="eastAsia" w:hAnsi="宋体"/>
        </w:rPr>
        <w:t>要求提供根据</w:t>
      </w:r>
      <w:r>
        <w:rPr>
          <w:rFonts w:hint="eastAsia" w:hAnsi="宋体"/>
          <w:color w:val="000000"/>
        </w:rPr>
        <w:t>输入</w:t>
      </w:r>
      <w:r>
        <w:rPr>
          <w:rFonts w:hAnsi="宋体"/>
          <w:color w:val="000000"/>
        </w:rPr>
        <w:t>受血者身高</w:t>
      </w:r>
      <w:r>
        <w:rPr>
          <w:rFonts w:hint="eastAsia" w:hAnsi="宋体"/>
          <w:color w:val="000000"/>
        </w:rPr>
        <w:t>、</w:t>
      </w:r>
      <w:r>
        <w:rPr>
          <w:rFonts w:hAnsi="宋体"/>
          <w:color w:val="000000"/>
        </w:rPr>
        <w:t>体重</w:t>
      </w:r>
      <w:r>
        <w:rPr>
          <w:rFonts w:hint="eastAsia" w:hAnsi="宋体"/>
          <w:color w:val="000000"/>
        </w:rPr>
        <w:t>、</w:t>
      </w:r>
      <w:r>
        <w:rPr>
          <w:rFonts w:hint="eastAsia" w:ascii="Times New Roman" w:hAnsi="Times New Roman"/>
          <w:color w:val="000000"/>
        </w:rPr>
        <w:t>PLT</w:t>
      </w:r>
      <w:r>
        <w:rPr>
          <w:rFonts w:hint="eastAsia" w:hAnsi="宋体"/>
          <w:color w:val="000000"/>
        </w:rPr>
        <w:t>测定值、</w:t>
      </w:r>
      <w:r>
        <w:rPr>
          <w:rFonts w:hint="eastAsia" w:ascii="Times New Roman" w:hAnsi="Times New Roman"/>
          <w:color w:val="000000"/>
        </w:rPr>
        <w:t>PLT</w:t>
      </w:r>
      <w:r>
        <w:rPr>
          <w:rFonts w:hint="eastAsia" w:hAnsi="宋体"/>
          <w:color w:val="000000"/>
        </w:rPr>
        <w:t>期望值系统自动给出建议输血量值界面截图证明。</w:t>
      </w:r>
    </w:p>
    <w:p>
      <w:pPr>
        <w:numPr>
          <w:ilvl w:val="0"/>
          <w:numId w:val="24"/>
        </w:numPr>
        <w:spacing w:line="360" w:lineRule="auto"/>
        <w:rPr>
          <w:rFonts w:ascii="Times New Roman" w:hAnsi="Times New Roman"/>
          <w:sz w:val="24"/>
          <w:szCs w:val="24"/>
        </w:rPr>
      </w:pPr>
      <w:r>
        <w:rPr>
          <w:rFonts w:ascii="Times New Roman" w:hAnsi="Times New Roman"/>
        </w:rPr>
        <w:t>▲</w:t>
      </w:r>
      <w:r>
        <w:rPr>
          <w:rFonts w:ascii="宋体" w:hAnsi="宋体"/>
          <w:sz w:val="24"/>
          <w:szCs w:val="24"/>
        </w:rPr>
        <w:t>支持用血信息功能显示</w:t>
      </w:r>
      <w:r>
        <w:rPr>
          <w:rFonts w:hint="eastAsia" w:ascii="宋体" w:hAnsi="宋体"/>
          <w:sz w:val="24"/>
          <w:szCs w:val="24"/>
        </w:rPr>
        <w:t>，</w:t>
      </w:r>
      <w:r>
        <w:rPr>
          <w:rFonts w:ascii="宋体" w:hAnsi="宋体"/>
          <w:sz w:val="24"/>
          <w:szCs w:val="24"/>
        </w:rPr>
        <w:t>包括用血时间</w:t>
      </w:r>
      <w:r>
        <w:rPr>
          <w:rFonts w:hint="eastAsia" w:ascii="宋体" w:hAnsi="宋体"/>
          <w:sz w:val="24"/>
          <w:szCs w:val="24"/>
        </w:rPr>
        <w:t>、</w:t>
      </w:r>
      <w:r>
        <w:rPr>
          <w:rFonts w:ascii="宋体" w:hAnsi="宋体"/>
          <w:sz w:val="24"/>
          <w:szCs w:val="24"/>
        </w:rPr>
        <w:t>输血目的</w:t>
      </w:r>
      <w:r>
        <w:rPr>
          <w:rFonts w:hint="eastAsia" w:ascii="宋体" w:hAnsi="宋体"/>
          <w:sz w:val="24"/>
          <w:szCs w:val="24"/>
        </w:rPr>
        <w:t>、</w:t>
      </w:r>
      <w:r>
        <w:rPr>
          <w:rFonts w:ascii="宋体" w:hAnsi="宋体"/>
          <w:sz w:val="24"/>
          <w:szCs w:val="24"/>
        </w:rPr>
        <w:t>输血性质</w:t>
      </w:r>
      <w:r>
        <w:rPr>
          <w:rFonts w:hint="eastAsia" w:ascii="宋体" w:hAnsi="宋体"/>
          <w:sz w:val="24"/>
          <w:szCs w:val="24"/>
        </w:rPr>
        <w:t>、</w:t>
      </w:r>
      <w:r>
        <w:rPr>
          <w:rFonts w:ascii="宋体" w:hAnsi="宋体"/>
          <w:sz w:val="24"/>
          <w:szCs w:val="24"/>
        </w:rPr>
        <w:t>是否手术</w:t>
      </w:r>
      <w:r>
        <w:rPr>
          <w:rFonts w:hint="eastAsia" w:ascii="宋体" w:hAnsi="宋体"/>
          <w:sz w:val="24"/>
          <w:szCs w:val="24"/>
        </w:rPr>
        <w:t>、手术名称、</w:t>
      </w:r>
      <w:r>
        <w:rPr>
          <w:rFonts w:ascii="宋体" w:hAnsi="宋体"/>
          <w:sz w:val="24"/>
          <w:szCs w:val="24"/>
        </w:rPr>
        <w:t>手术等级</w:t>
      </w:r>
      <w:r>
        <w:rPr>
          <w:rFonts w:hint="eastAsia" w:ascii="宋体" w:hAnsi="宋体"/>
          <w:sz w:val="24"/>
          <w:szCs w:val="24"/>
        </w:rPr>
        <w:t>、</w:t>
      </w:r>
      <w:r>
        <w:rPr>
          <w:rFonts w:ascii="宋体" w:hAnsi="宋体"/>
          <w:sz w:val="24"/>
          <w:szCs w:val="24"/>
        </w:rPr>
        <w:t>用血地点</w:t>
      </w:r>
      <w:r>
        <w:rPr>
          <w:rFonts w:hint="eastAsia" w:ascii="宋体" w:hAnsi="宋体"/>
          <w:sz w:val="24"/>
          <w:szCs w:val="24"/>
        </w:rPr>
        <w:t>。</w:t>
      </w:r>
    </w:p>
    <w:p>
      <w:pPr>
        <w:pStyle w:val="45"/>
        <w:spacing w:before="46" w:after="93"/>
        <w:ind w:firstLine="480"/>
        <w:rPr>
          <w:rFonts w:ascii="Times New Roman" w:hAnsi="Times New Roman"/>
          <w:color w:val="000000"/>
        </w:rPr>
      </w:pPr>
      <w:r>
        <w:rPr>
          <w:rFonts w:hAnsi="宋体"/>
          <w:color w:val="000000"/>
        </w:rPr>
        <w:t>要求提供用血信息功能显示界面截图证明</w:t>
      </w:r>
      <w:r>
        <w:rPr>
          <w:rFonts w:hint="eastAsia" w:hAnsi="宋体"/>
          <w:color w:val="000000"/>
        </w:rPr>
        <w:t>，</w:t>
      </w:r>
      <w:r>
        <w:rPr>
          <w:rFonts w:hAnsi="宋体"/>
          <w:color w:val="000000"/>
        </w:rPr>
        <w:t>包括用血时间</w:t>
      </w:r>
      <w:r>
        <w:rPr>
          <w:rFonts w:hint="eastAsia" w:hAnsi="宋体"/>
          <w:color w:val="000000"/>
        </w:rPr>
        <w:t>、</w:t>
      </w:r>
      <w:r>
        <w:rPr>
          <w:rFonts w:hAnsi="宋体"/>
          <w:color w:val="000000"/>
        </w:rPr>
        <w:t>输血目的</w:t>
      </w:r>
      <w:r>
        <w:rPr>
          <w:rFonts w:hint="eastAsia" w:hAnsi="宋体"/>
          <w:color w:val="000000"/>
        </w:rPr>
        <w:t>、</w:t>
      </w:r>
      <w:r>
        <w:rPr>
          <w:rFonts w:hAnsi="宋体"/>
          <w:color w:val="000000"/>
        </w:rPr>
        <w:t>输血性质</w:t>
      </w:r>
      <w:r>
        <w:rPr>
          <w:rFonts w:hint="eastAsia" w:hAnsi="宋体"/>
          <w:color w:val="000000"/>
        </w:rPr>
        <w:t>、</w:t>
      </w:r>
      <w:r>
        <w:rPr>
          <w:rFonts w:hAnsi="宋体"/>
          <w:color w:val="000000"/>
        </w:rPr>
        <w:t>是否手术</w:t>
      </w:r>
      <w:r>
        <w:rPr>
          <w:rFonts w:hint="eastAsia" w:hAnsi="宋体"/>
          <w:color w:val="000000"/>
        </w:rPr>
        <w:t>、手术名称、</w:t>
      </w:r>
      <w:r>
        <w:rPr>
          <w:rFonts w:hAnsi="宋体"/>
          <w:color w:val="000000"/>
        </w:rPr>
        <w:t>手术等级</w:t>
      </w:r>
      <w:r>
        <w:rPr>
          <w:rFonts w:hint="eastAsia" w:hAnsi="宋体"/>
          <w:color w:val="000000"/>
        </w:rPr>
        <w:t>、</w:t>
      </w:r>
      <w:r>
        <w:rPr>
          <w:rFonts w:hAnsi="宋体"/>
          <w:color w:val="000000"/>
        </w:rPr>
        <w:t>用血地点</w:t>
      </w:r>
      <w:r>
        <w:rPr>
          <w:rFonts w:hint="eastAsia" w:hAnsi="宋体"/>
          <w:color w:val="000000"/>
        </w:rPr>
        <w:t>。</w:t>
      </w:r>
    </w:p>
    <w:p>
      <w:pPr>
        <w:numPr>
          <w:ilvl w:val="0"/>
          <w:numId w:val="24"/>
        </w:numPr>
        <w:spacing w:line="360" w:lineRule="auto"/>
        <w:rPr>
          <w:rFonts w:ascii="Times New Roman" w:hAnsi="Times New Roman"/>
          <w:color w:val="000000"/>
          <w:sz w:val="24"/>
          <w:szCs w:val="24"/>
        </w:rPr>
      </w:pPr>
      <w:r>
        <w:rPr>
          <w:rFonts w:ascii="Times New Roman" w:hAnsi="Times New Roman"/>
        </w:rPr>
        <w:t>▲</w:t>
      </w:r>
      <w:r>
        <w:rPr>
          <w:rFonts w:ascii="宋体" w:hAnsi="宋体"/>
          <w:color w:val="000000"/>
          <w:sz w:val="24"/>
          <w:szCs w:val="24"/>
        </w:rPr>
        <w:t>支持输血前检查</w:t>
      </w:r>
      <w:r>
        <w:rPr>
          <w:rFonts w:hint="eastAsia" w:ascii="宋体" w:hAnsi="宋体"/>
          <w:color w:val="000000"/>
          <w:sz w:val="24"/>
          <w:szCs w:val="24"/>
        </w:rPr>
        <w:t>项目结果显示、关注项目检查结果显示、输血指征显示；</w:t>
      </w:r>
    </w:p>
    <w:p>
      <w:pPr>
        <w:spacing w:line="360" w:lineRule="auto"/>
        <w:ind w:left="420"/>
        <w:rPr>
          <w:rFonts w:ascii="Times New Roman" w:hAnsi="Times New Roman"/>
          <w:color w:val="000000"/>
          <w:sz w:val="24"/>
          <w:szCs w:val="24"/>
        </w:rPr>
      </w:pPr>
      <w:r>
        <w:rPr>
          <w:rFonts w:ascii="宋体" w:hAnsi="宋体"/>
          <w:color w:val="000000"/>
          <w:sz w:val="24"/>
          <w:szCs w:val="24"/>
        </w:rPr>
        <w:t>要求提供输血前检查</w:t>
      </w:r>
      <w:r>
        <w:rPr>
          <w:rFonts w:hint="eastAsia" w:ascii="宋体" w:hAnsi="宋体"/>
          <w:color w:val="000000"/>
          <w:sz w:val="24"/>
          <w:szCs w:val="24"/>
        </w:rPr>
        <w:t>项目结果显示、关注项目检查结果显示、输血指征显示界面截图证明。</w:t>
      </w:r>
    </w:p>
    <w:p>
      <w:pPr>
        <w:numPr>
          <w:ilvl w:val="0"/>
          <w:numId w:val="24"/>
        </w:numPr>
        <w:spacing w:line="360" w:lineRule="auto"/>
        <w:rPr>
          <w:rFonts w:ascii="Times New Roman" w:hAnsi="Times New Roman"/>
          <w:color w:val="000000"/>
          <w:sz w:val="24"/>
          <w:szCs w:val="24"/>
        </w:rPr>
      </w:pPr>
      <w:r>
        <w:rPr>
          <w:rFonts w:ascii="宋体" w:hAnsi="宋体"/>
          <w:color w:val="000000"/>
          <w:sz w:val="24"/>
          <w:szCs w:val="24"/>
        </w:rPr>
        <w:t>支持不同输血性质分类选择</w:t>
      </w:r>
      <w:r>
        <w:rPr>
          <w:rFonts w:hint="eastAsia" w:ascii="宋体" w:hAnsi="宋体"/>
          <w:color w:val="000000"/>
          <w:sz w:val="24"/>
          <w:szCs w:val="24"/>
        </w:rPr>
        <w:t>，</w:t>
      </w:r>
      <w:r>
        <w:rPr>
          <w:rFonts w:ascii="宋体" w:hAnsi="宋体"/>
          <w:color w:val="000000"/>
          <w:sz w:val="24"/>
          <w:szCs w:val="24"/>
        </w:rPr>
        <w:t>包括常规用血和紧急用血</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ascii="宋体" w:hAnsi="宋体"/>
          <w:color w:val="000000"/>
          <w:sz w:val="24"/>
          <w:szCs w:val="24"/>
        </w:rPr>
        <w:t>支持输血成份</w:t>
      </w:r>
      <w:r>
        <w:rPr>
          <w:rFonts w:hint="eastAsia" w:ascii="宋体" w:hAnsi="宋体"/>
          <w:color w:val="000000"/>
          <w:sz w:val="24"/>
          <w:szCs w:val="24"/>
        </w:rPr>
        <w:t>、</w:t>
      </w:r>
      <w:r>
        <w:rPr>
          <w:rFonts w:ascii="宋体" w:hAnsi="宋体"/>
          <w:color w:val="000000"/>
          <w:sz w:val="24"/>
          <w:szCs w:val="24"/>
        </w:rPr>
        <w:t>输血量选择</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ascii="Times New Roman" w:hAnsi="Times New Roman"/>
        </w:rPr>
        <w:t>▲</w:t>
      </w:r>
      <w:r>
        <w:rPr>
          <w:rFonts w:ascii="宋体" w:hAnsi="宋体"/>
          <w:color w:val="000000"/>
          <w:sz w:val="24"/>
          <w:szCs w:val="24"/>
        </w:rPr>
        <w:t>支持受血者临床诊断结果与单病种关联显示</w:t>
      </w:r>
      <w:r>
        <w:rPr>
          <w:rFonts w:hint="eastAsia" w:ascii="宋体" w:hAnsi="宋体"/>
          <w:color w:val="000000"/>
          <w:sz w:val="24"/>
          <w:szCs w:val="24"/>
        </w:rPr>
        <w:t>；</w:t>
      </w:r>
    </w:p>
    <w:p>
      <w:pPr>
        <w:spacing w:line="360" w:lineRule="auto"/>
        <w:ind w:left="420"/>
        <w:rPr>
          <w:rFonts w:ascii="Times New Roman" w:hAnsi="Times New Roman"/>
          <w:color w:val="000000"/>
          <w:sz w:val="24"/>
          <w:szCs w:val="24"/>
        </w:rPr>
      </w:pPr>
      <w:r>
        <w:rPr>
          <w:rFonts w:ascii="宋体" w:hAnsi="宋体"/>
          <w:color w:val="000000"/>
          <w:sz w:val="24"/>
          <w:szCs w:val="24"/>
        </w:rPr>
        <w:t>要求提供受血者临床诊断结果与单病种关联显示界面截图证明</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ascii="宋体" w:hAnsi="宋体"/>
          <w:color w:val="000000"/>
          <w:sz w:val="24"/>
          <w:szCs w:val="24"/>
        </w:rPr>
        <w:t>支持受血者基础信息显示</w:t>
      </w:r>
      <w:r>
        <w:rPr>
          <w:rFonts w:hint="eastAsia" w:ascii="宋体" w:hAnsi="宋体"/>
          <w:color w:val="000000"/>
          <w:sz w:val="24"/>
          <w:szCs w:val="24"/>
        </w:rPr>
        <w:t>、</w:t>
      </w:r>
      <w:r>
        <w:rPr>
          <w:rFonts w:ascii="宋体" w:hAnsi="宋体"/>
          <w:color w:val="000000"/>
          <w:sz w:val="24"/>
          <w:szCs w:val="24"/>
        </w:rPr>
        <w:t>既往史显示</w:t>
      </w:r>
      <w:r>
        <w:rPr>
          <w:rFonts w:hint="eastAsia" w:ascii="宋体" w:hAnsi="宋体"/>
          <w:color w:val="000000"/>
          <w:sz w:val="24"/>
          <w:szCs w:val="24"/>
        </w:rPr>
        <w:t>、</w:t>
      </w:r>
      <w:r>
        <w:rPr>
          <w:rFonts w:ascii="宋体" w:hAnsi="宋体"/>
          <w:color w:val="000000"/>
          <w:sz w:val="24"/>
          <w:szCs w:val="24"/>
        </w:rPr>
        <w:t>用血信息显示</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ascii="宋体" w:hAnsi="宋体"/>
          <w:color w:val="000000"/>
          <w:sz w:val="24"/>
          <w:szCs w:val="24"/>
        </w:rPr>
        <w:t>支持受血者输血历史记录显示</w:t>
      </w:r>
      <w:r>
        <w:rPr>
          <w:rFonts w:hint="eastAsia" w:ascii="宋体" w:hAnsi="宋体"/>
          <w:color w:val="000000"/>
          <w:sz w:val="24"/>
          <w:szCs w:val="24"/>
        </w:rPr>
        <w:t>，</w:t>
      </w:r>
      <w:r>
        <w:rPr>
          <w:rFonts w:ascii="宋体" w:hAnsi="宋体"/>
          <w:color w:val="000000"/>
          <w:sz w:val="24"/>
          <w:szCs w:val="24"/>
        </w:rPr>
        <w:t>包括申请时间</w:t>
      </w:r>
      <w:r>
        <w:rPr>
          <w:rFonts w:hint="eastAsia" w:ascii="宋体" w:hAnsi="宋体"/>
          <w:color w:val="000000"/>
          <w:sz w:val="24"/>
          <w:szCs w:val="24"/>
        </w:rPr>
        <w:t>、</w:t>
      </w:r>
      <w:r>
        <w:rPr>
          <w:rFonts w:ascii="宋体" w:hAnsi="宋体"/>
          <w:color w:val="000000"/>
          <w:sz w:val="24"/>
          <w:szCs w:val="24"/>
        </w:rPr>
        <w:t>经治医生</w:t>
      </w:r>
      <w:r>
        <w:rPr>
          <w:rFonts w:hint="eastAsia" w:ascii="宋体" w:hAnsi="宋体"/>
          <w:color w:val="000000"/>
          <w:sz w:val="24"/>
          <w:szCs w:val="24"/>
        </w:rPr>
        <w:t>、输血成分、</w:t>
      </w:r>
      <w:r>
        <w:rPr>
          <w:rFonts w:ascii="宋体" w:hAnsi="宋体"/>
          <w:color w:val="000000"/>
          <w:sz w:val="24"/>
          <w:szCs w:val="24"/>
        </w:rPr>
        <w:t>输血量</w:t>
      </w:r>
      <w:r>
        <w:rPr>
          <w:rFonts w:hint="eastAsia" w:ascii="宋体" w:hAnsi="宋体"/>
          <w:color w:val="000000"/>
          <w:sz w:val="24"/>
          <w:szCs w:val="24"/>
        </w:rPr>
        <w:t>；</w:t>
      </w:r>
    </w:p>
    <w:p>
      <w:pPr>
        <w:numPr>
          <w:ilvl w:val="0"/>
          <w:numId w:val="24"/>
        </w:numPr>
        <w:spacing w:line="360" w:lineRule="auto"/>
        <w:rPr>
          <w:rFonts w:ascii="Times New Roman" w:hAnsi="Times New Roman"/>
          <w:color w:val="000000"/>
          <w:sz w:val="24"/>
          <w:szCs w:val="24"/>
        </w:rPr>
      </w:pPr>
      <w:r>
        <w:rPr>
          <w:rFonts w:hint="eastAsia" w:ascii="宋体" w:hAnsi="宋体"/>
          <w:color w:val="000000"/>
          <w:sz w:val="24"/>
          <w:szCs w:val="24"/>
        </w:rPr>
        <w:t>▲支持建立单病种知识库，可定义每个病种的输血量计算公式、不合理输血指征、对应的临床诊断；</w:t>
      </w:r>
    </w:p>
    <w:p>
      <w:pPr>
        <w:spacing w:line="360" w:lineRule="auto"/>
        <w:ind w:left="420"/>
        <w:rPr>
          <w:rFonts w:ascii="Times New Roman" w:hAnsi="Times New Roman"/>
          <w:color w:val="000000"/>
          <w:sz w:val="24"/>
          <w:szCs w:val="24"/>
        </w:rPr>
      </w:pPr>
      <w:r>
        <w:rPr>
          <w:rFonts w:hint="eastAsia" w:ascii="宋体" w:hAnsi="宋体"/>
          <w:color w:val="000000"/>
          <w:sz w:val="24"/>
          <w:szCs w:val="24"/>
        </w:rPr>
        <w:t>要求提供显示关联的单病种知识库、不合理输血指征、对应的临床诊断界面截图证明。</w:t>
      </w:r>
    </w:p>
    <w:p>
      <w:pPr>
        <w:numPr>
          <w:ilvl w:val="0"/>
          <w:numId w:val="23"/>
        </w:numPr>
        <w:spacing w:line="360" w:lineRule="auto"/>
        <w:rPr>
          <w:rFonts w:ascii="宋体" w:hAnsi="宋体"/>
          <w:b/>
          <w:bCs/>
          <w:sz w:val="24"/>
          <w:szCs w:val="24"/>
        </w:rPr>
      </w:pPr>
      <w:r>
        <w:rPr>
          <w:rFonts w:hint="eastAsia" w:ascii="宋体" w:hAnsi="宋体"/>
          <w:b/>
          <w:bCs/>
          <w:sz w:val="24"/>
          <w:szCs w:val="24"/>
        </w:rPr>
        <w:t>输血申请单审核</w:t>
      </w:r>
    </w:p>
    <w:p>
      <w:pPr>
        <w:numPr>
          <w:ilvl w:val="0"/>
          <w:numId w:val="24"/>
        </w:numPr>
        <w:spacing w:line="360" w:lineRule="auto"/>
        <w:rPr>
          <w:rFonts w:ascii="Times New Roman" w:hAnsi="Times New Roman"/>
          <w:sz w:val="24"/>
          <w:szCs w:val="24"/>
        </w:rPr>
      </w:pPr>
      <w:r>
        <w:rPr>
          <w:rFonts w:ascii="宋体" w:hAnsi="宋体"/>
          <w:sz w:val="24"/>
          <w:szCs w:val="24"/>
        </w:rPr>
        <w:t>支持审核申请单填写是否规范；申请内容是否合理，库存是否充足</w:t>
      </w:r>
      <w:r>
        <w:rPr>
          <w:rFonts w:hint="eastAsia" w:ascii="宋体" w:hAnsi="宋体"/>
          <w:sz w:val="24"/>
          <w:szCs w:val="24"/>
        </w:rPr>
        <w:t>。</w:t>
      </w:r>
      <w:r>
        <w:rPr>
          <w:rFonts w:ascii="宋体" w:hAnsi="宋体"/>
          <w:sz w:val="24"/>
          <w:szCs w:val="24"/>
        </w:rPr>
        <w:t>审核不通过可通过消息回报临床</w:t>
      </w:r>
      <w:r>
        <w:rPr>
          <w:rFonts w:hint="eastAsia" w:ascii="宋体" w:hAnsi="宋体"/>
          <w:sz w:val="24"/>
          <w:szCs w:val="24"/>
        </w:rPr>
        <w:t>；</w:t>
      </w:r>
    </w:p>
    <w:p>
      <w:pPr>
        <w:numPr>
          <w:ilvl w:val="0"/>
          <w:numId w:val="24"/>
        </w:numPr>
        <w:spacing w:line="360" w:lineRule="auto"/>
        <w:rPr>
          <w:rFonts w:ascii="Times New Roman" w:hAnsi="Times New Roman"/>
          <w:sz w:val="24"/>
          <w:szCs w:val="24"/>
        </w:rPr>
      </w:pPr>
      <w:r>
        <w:rPr>
          <w:rFonts w:ascii="宋体" w:hAnsi="宋体"/>
          <w:sz w:val="24"/>
          <w:szCs w:val="24"/>
        </w:rPr>
        <w:t>支持三级审核制管理</w:t>
      </w:r>
      <w:r>
        <w:rPr>
          <w:rFonts w:hint="eastAsia" w:ascii="宋体" w:hAnsi="宋体"/>
          <w:sz w:val="24"/>
          <w:szCs w:val="24"/>
        </w:rPr>
        <w:t>，根据用血量不同支持专业医师审核、科室主任审核、医务科室审核；</w:t>
      </w:r>
    </w:p>
    <w:p>
      <w:pPr>
        <w:numPr>
          <w:ilvl w:val="0"/>
          <w:numId w:val="24"/>
        </w:numPr>
        <w:spacing w:line="360" w:lineRule="auto"/>
        <w:rPr>
          <w:rFonts w:ascii="Times New Roman" w:hAnsi="Times New Roman"/>
          <w:sz w:val="24"/>
          <w:szCs w:val="24"/>
        </w:rPr>
      </w:pPr>
      <w:r>
        <w:rPr>
          <w:rFonts w:ascii="Times New Roman" w:hAnsi="Times New Roman"/>
        </w:rPr>
        <w:t>▲</w:t>
      </w:r>
      <w:r>
        <w:rPr>
          <w:rFonts w:ascii="宋体" w:hAnsi="宋体"/>
          <w:sz w:val="24"/>
          <w:szCs w:val="24"/>
        </w:rPr>
        <w:t>支持不同级别审核状态显示</w:t>
      </w:r>
      <w:r>
        <w:rPr>
          <w:rFonts w:hint="eastAsia" w:ascii="宋体" w:hAnsi="宋体"/>
          <w:sz w:val="24"/>
          <w:szCs w:val="24"/>
        </w:rPr>
        <w:t>，</w:t>
      </w:r>
      <w:r>
        <w:rPr>
          <w:rFonts w:ascii="宋体" w:hAnsi="宋体"/>
          <w:sz w:val="24"/>
          <w:szCs w:val="24"/>
        </w:rPr>
        <w:t>根据输血量的不同显示不同审核级别</w:t>
      </w:r>
      <w:r>
        <w:rPr>
          <w:rFonts w:hint="eastAsia" w:ascii="宋体" w:hAnsi="宋体"/>
          <w:sz w:val="24"/>
          <w:szCs w:val="24"/>
        </w:rPr>
        <w:t>，</w:t>
      </w:r>
      <w:r>
        <w:rPr>
          <w:rFonts w:ascii="宋体" w:hAnsi="宋体"/>
          <w:sz w:val="24"/>
          <w:szCs w:val="24"/>
        </w:rPr>
        <w:t>及对应的审核状态</w:t>
      </w:r>
      <w:r>
        <w:rPr>
          <w:rFonts w:hint="eastAsia" w:ascii="宋体" w:hAnsi="宋体"/>
          <w:sz w:val="24"/>
          <w:szCs w:val="24"/>
        </w:rPr>
        <w:t>；</w:t>
      </w:r>
    </w:p>
    <w:p>
      <w:pPr>
        <w:spacing w:line="360" w:lineRule="auto"/>
        <w:ind w:left="420"/>
        <w:rPr>
          <w:rFonts w:ascii="Times New Roman" w:hAnsi="Times New Roman"/>
          <w:sz w:val="24"/>
          <w:szCs w:val="24"/>
        </w:rPr>
      </w:pPr>
      <w:r>
        <w:rPr>
          <w:rFonts w:hint="eastAsia" w:ascii="宋体" w:hAnsi="宋体"/>
          <w:sz w:val="24"/>
          <w:szCs w:val="24"/>
        </w:rPr>
        <w:t>要求提供</w:t>
      </w:r>
      <w:r>
        <w:rPr>
          <w:rFonts w:ascii="宋体" w:hAnsi="宋体"/>
          <w:sz w:val="24"/>
          <w:szCs w:val="24"/>
        </w:rPr>
        <w:t>根据输血量的不同显示不同审核级别</w:t>
      </w:r>
      <w:r>
        <w:rPr>
          <w:rFonts w:hint="eastAsia" w:ascii="宋体" w:hAnsi="宋体"/>
          <w:sz w:val="24"/>
          <w:szCs w:val="24"/>
        </w:rPr>
        <w:t>，</w:t>
      </w:r>
      <w:r>
        <w:rPr>
          <w:rFonts w:ascii="宋体" w:hAnsi="宋体"/>
          <w:sz w:val="24"/>
          <w:szCs w:val="24"/>
        </w:rPr>
        <w:t>及对应的审核状态界面截图证明</w:t>
      </w:r>
      <w:r>
        <w:rPr>
          <w:rFonts w:hint="eastAsia" w:ascii="宋体" w:hAnsi="宋体"/>
          <w:sz w:val="24"/>
          <w:szCs w:val="24"/>
        </w:rPr>
        <w:t>。</w:t>
      </w:r>
    </w:p>
    <w:p>
      <w:pPr>
        <w:pStyle w:val="6"/>
        <w:rPr>
          <w:rFonts w:ascii="Times New Roman" w:hAnsi="Times New Roman"/>
          <w:sz w:val="24"/>
          <w:szCs w:val="24"/>
        </w:rPr>
      </w:pPr>
      <w:r>
        <w:t>电子申请单接收及调阅</w:t>
      </w:r>
    </w:p>
    <w:p>
      <w:pPr>
        <w:spacing w:line="360" w:lineRule="auto"/>
        <w:ind w:firstLine="480" w:firstLineChars="200"/>
        <w:rPr>
          <w:rFonts w:ascii="Times New Roman" w:hAnsi="Times New Roman"/>
          <w:sz w:val="24"/>
          <w:szCs w:val="24"/>
        </w:rPr>
      </w:pPr>
      <w:r>
        <w:rPr>
          <w:rFonts w:ascii="宋体" w:hAnsi="宋体"/>
          <w:sz w:val="24"/>
          <w:szCs w:val="24"/>
        </w:rPr>
        <w:t>支持接收及调阅从医生站发来的电子申请单</w:t>
      </w:r>
      <w:r>
        <w:rPr>
          <w:rFonts w:hint="eastAsia" w:ascii="宋体" w:hAnsi="宋体"/>
          <w:sz w:val="24"/>
          <w:szCs w:val="24"/>
        </w:rPr>
        <w:t>。</w:t>
      </w:r>
    </w:p>
    <w:p>
      <w:pPr>
        <w:pStyle w:val="6"/>
        <w:rPr>
          <w:rFonts w:ascii="Times New Roman" w:hAnsi="Times New Roman"/>
          <w:sz w:val="24"/>
          <w:szCs w:val="24"/>
        </w:rPr>
      </w:pPr>
      <w:r>
        <w:t>护士领血单管理</w:t>
      </w:r>
    </w:p>
    <w:p>
      <w:pPr>
        <w:spacing w:line="360" w:lineRule="auto"/>
        <w:ind w:firstLine="480" w:firstLineChars="200"/>
        <w:rPr>
          <w:rFonts w:ascii="Times New Roman" w:hAnsi="Times New Roman"/>
          <w:sz w:val="24"/>
          <w:szCs w:val="24"/>
        </w:rPr>
      </w:pPr>
      <w:r>
        <w:rPr>
          <w:rFonts w:ascii="宋体" w:hAnsi="宋体"/>
          <w:sz w:val="24"/>
          <w:szCs w:val="24"/>
        </w:rPr>
        <w:t>支持包括血制品采集、条码绑定、领血单打印、标本运送</w:t>
      </w:r>
      <w:r>
        <w:rPr>
          <w:rFonts w:hint="eastAsia" w:ascii="宋体" w:hAnsi="宋体"/>
          <w:sz w:val="24"/>
          <w:szCs w:val="24"/>
        </w:rPr>
        <w:t>、</w:t>
      </w:r>
      <w:r>
        <w:rPr>
          <w:rFonts w:ascii="宋体" w:hAnsi="宋体"/>
          <w:sz w:val="24"/>
          <w:szCs w:val="24"/>
        </w:rPr>
        <w:t>领血确认</w:t>
      </w:r>
      <w:r>
        <w:rPr>
          <w:rFonts w:hint="eastAsia" w:ascii="宋体" w:hAnsi="宋体"/>
          <w:sz w:val="24"/>
          <w:szCs w:val="24"/>
        </w:rPr>
        <w:t>。</w:t>
      </w:r>
    </w:p>
    <w:p>
      <w:pPr>
        <w:pStyle w:val="6"/>
        <w:rPr>
          <w:rFonts w:ascii="Times New Roman" w:hAnsi="Times New Roman"/>
          <w:sz w:val="24"/>
          <w:szCs w:val="24"/>
        </w:rPr>
      </w:pPr>
      <w:r>
        <w:t>备血消息提醒</w:t>
      </w:r>
    </w:p>
    <w:p>
      <w:pPr>
        <w:numPr>
          <w:ilvl w:val="0"/>
          <w:numId w:val="24"/>
        </w:numPr>
        <w:spacing w:line="360" w:lineRule="auto"/>
        <w:rPr>
          <w:rFonts w:ascii="Times New Roman" w:hAnsi="Times New Roman"/>
          <w:sz w:val="24"/>
          <w:szCs w:val="24"/>
        </w:rPr>
      </w:pPr>
      <w:r>
        <w:rPr>
          <w:rFonts w:hint="eastAsia" w:ascii="宋体" w:hAnsi="宋体"/>
          <w:sz w:val="24"/>
          <w:szCs w:val="24"/>
        </w:rPr>
        <w:t>支持备血确认及到血确认，通过消息弹窗，进行到血数量确认，包括申请的项目、申请数量、已到血数量；</w:t>
      </w:r>
    </w:p>
    <w:p>
      <w:pPr>
        <w:pStyle w:val="6"/>
        <w:rPr>
          <w:rFonts w:ascii="Times New Roman" w:hAnsi="Times New Roman"/>
          <w:sz w:val="24"/>
          <w:szCs w:val="24"/>
        </w:rPr>
      </w:pPr>
      <w:r>
        <w:t>用血安全管理（条码校验）</w:t>
      </w:r>
    </w:p>
    <w:p>
      <w:pPr>
        <w:spacing w:line="360" w:lineRule="auto"/>
        <w:ind w:firstLine="480"/>
        <w:rPr>
          <w:rFonts w:ascii="Times New Roman" w:hAnsi="Times New Roman"/>
          <w:color w:val="000000"/>
          <w:sz w:val="24"/>
          <w:szCs w:val="24"/>
        </w:rPr>
      </w:pPr>
      <w:r>
        <w:rPr>
          <w:rFonts w:ascii="宋体" w:hAnsi="宋体"/>
          <w:color w:val="000000"/>
          <w:sz w:val="24"/>
          <w:szCs w:val="24"/>
        </w:rPr>
        <w:t>输血科在接收护士送来的申请单和血液标本时，同时扫描持有的纸质申请单条码和血液标本条码，保证申请单与标本是属于同一个病人；在输血科领血时，支持扫描领血单条码和申请单条码，确保领血和发血是属于同一个人。</w:t>
      </w:r>
    </w:p>
    <w:p>
      <w:pPr>
        <w:numPr>
          <w:ilvl w:val="0"/>
          <w:numId w:val="24"/>
        </w:numPr>
        <w:spacing w:line="360" w:lineRule="auto"/>
        <w:rPr>
          <w:rFonts w:ascii="Times New Roman" w:hAnsi="Times New Roman"/>
          <w:sz w:val="24"/>
          <w:szCs w:val="24"/>
        </w:rPr>
      </w:pPr>
      <w:r>
        <w:rPr>
          <w:rFonts w:ascii="宋体" w:hAnsi="宋体"/>
          <w:sz w:val="24"/>
          <w:szCs w:val="24"/>
        </w:rPr>
        <w:t>支持手术室输血前信息核对及记录</w:t>
      </w:r>
      <w:r>
        <w:rPr>
          <w:rFonts w:hint="eastAsia" w:ascii="宋体" w:hAnsi="宋体"/>
          <w:sz w:val="24"/>
          <w:szCs w:val="24"/>
        </w:rPr>
        <w:t>；</w:t>
      </w:r>
    </w:p>
    <w:p>
      <w:pPr>
        <w:numPr>
          <w:ilvl w:val="0"/>
          <w:numId w:val="24"/>
        </w:numPr>
        <w:spacing w:line="360" w:lineRule="auto"/>
        <w:rPr>
          <w:rFonts w:ascii="Times New Roman" w:hAnsi="Times New Roman"/>
          <w:sz w:val="24"/>
          <w:szCs w:val="24"/>
        </w:rPr>
      </w:pPr>
      <w:r>
        <w:rPr>
          <w:rFonts w:ascii="宋体" w:hAnsi="宋体"/>
          <w:sz w:val="24"/>
          <w:szCs w:val="24"/>
        </w:rPr>
        <w:t>支持用血后疗效评价，自动获取患者输血前后各项生命体征及检测指标，并对结果进行分析评价</w:t>
      </w:r>
      <w:r>
        <w:rPr>
          <w:rFonts w:hint="eastAsia" w:ascii="宋体" w:hAnsi="宋体"/>
          <w:sz w:val="24"/>
          <w:szCs w:val="24"/>
        </w:rPr>
        <w:t>；</w:t>
      </w:r>
    </w:p>
    <w:p>
      <w:pPr>
        <w:numPr>
          <w:ilvl w:val="0"/>
          <w:numId w:val="24"/>
        </w:numPr>
        <w:spacing w:line="360" w:lineRule="auto"/>
        <w:rPr>
          <w:rFonts w:ascii="Times New Roman" w:hAnsi="Times New Roman"/>
          <w:sz w:val="24"/>
          <w:szCs w:val="24"/>
        </w:rPr>
      </w:pPr>
      <w:r>
        <w:rPr>
          <w:rFonts w:ascii="宋体" w:hAnsi="宋体"/>
          <w:sz w:val="24"/>
          <w:szCs w:val="24"/>
        </w:rPr>
        <w:t>支持记录确认患者输血中出现的不良反应，并通过系统之间的无缝集成，将患者不良反应信息通过网络上传至电子病历系统和输血科管理系统</w:t>
      </w:r>
      <w:r>
        <w:rPr>
          <w:rFonts w:hint="eastAsia" w:ascii="宋体" w:hAnsi="宋体"/>
          <w:sz w:val="24"/>
          <w:szCs w:val="24"/>
        </w:rPr>
        <w:t>，</w:t>
      </w:r>
      <w:r>
        <w:rPr>
          <w:rFonts w:ascii="宋体" w:hAnsi="宋体"/>
          <w:sz w:val="24"/>
          <w:szCs w:val="24"/>
        </w:rPr>
        <w:t>实现临床和输血科实时的信息交互，支持对不良反应进行统计。</w:t>
      </w:r>
    </w:p>
    <w:p>
      <w:pPr>
        <w:pStyle w:val="6"/>
        <w:rPr>
          <w:rFonts w:ascii="Times New Roman" w:hAnsi="Times New Roman"/>
          <w:sz w:val="24"/>
          <w:szCs w:val="24"/>
        </w:rPr>
      </w:pPr>
      <w:r>
        <w:t>输血不良反应记录及反馈</w:t>
      </w:r>
    </w:p>
    <w:p>
      <w:pPr>
        <w:numPr>
          <w:ilvl w:val="0"/>
          <w:numId w:val="24"/>
        </w:numPr>
        <w:spacing w:line="360" w:lineRule="auto"/>
        <w:rPr>
          <w:rFonts w:ascii="Times New Roman" w:hAnsi="Times New Roman"/>
          <w:sz w:val="24"/>
          <w:szCs w:val="24"/>
        </w:rPr>
      </w:pPr>
      <w:r>
        <w:rPr>
          <w:rFonts w:ascii="宋体" w:hAnsi="宋体"/>
          <w:sz w:val="24"/>
          <w:szCs w:val="24"/>
        </w:rPr>
        <w:t>支持记录确认患者输血中出现的不良反应。并将患者不良反应信息通过网络上传至电子病历系统和输血科管理系统</w:t>
      </w:r>
      <w:r>
        <w:rPr>
          <w:rFonts w:hint="eastAsia" w:ascii="宋体" w:hAnsi="宋体"/>
          <w:sz w:val="24"/>
          <w:szCs w:val="24"/>
        </w:rPr>
        <w:t>；</w:t>
      </w:r>
    </w:p>
    <w:p>
      <w:pPr>
        <w:numPr>
          <w:ilvl w:val="0"/>
          <w:numId w:val="24"/>
        </w:numPr>
        <w:spacing w:line="360" w:lineRule="auto"/>
        <w:rPr>
          <w:rFonts w:ascii="Times New Roman" w:hAnsi="Times New Roman"/>
          <w:sz w:val="24"/>
          <w:szCs w:val="24"/>
        </w:rPr>
      </w:pPr>
      <w:r>
        <w:rPr>
          <w:rFonts w:ascii="宋体" w:hAnsi="宋体"/>
          <w:sz w:val="24"/>
          <w:szCs w:val="24"/>
        </w:rPr>
        <w:t>支持对不良反应进行统计</w:t>
      </w:r>
      <w:r>
        <w:rPr>
          <w:rFonts w:hint="eastAsia" w:ascii="宋体" w:hAnsi="宋体"/>
          <w:sz w:val="24"/>
          <w:szCs w:val="24"/>
        </w:rPr>
        <w:t>；</w:t>
      </w:r>
    </w:p>
    <w:p>
      <w:pPr>
        <w:numPr>
          <w:ilvl w:val="0"/>
          <w:numId w:val="24"/>
        </w:numPr>
        <w:spacing w:line="360" w:lineRule="auto"/>
        <w:rPr>
          <w:rFonts w:ascii="Times New Roman" w:hAnsi="Times New Roman"/>
          <w:sz w:val="24"/>
          <w:szCs w:val="24"/>
        </w:rPr>
      </w:pPr>
      <w:r>
        <w:rPr>
          <w:rFonts w:ascii="宋体" w:hAnsi="宋体"/>
          <w:sz w:val="24"/>
          <w:szCs w:val="24"/>
        </w:rPr>
        <w:t>支持</w:t>
      </w:r>
      <w:r>
        <w:rPr>
          <w:rFonts w:ascii="Times New Roman" w:hAnsi="Times New Roman"/>
          <w:sz w:val="24"/>
          <w:szCs w:val="24"/>
        </w:rPr>
        <w:t>PDA</w:t>
      </w:r>
      <w:r>
        <w:rPr>
          <w:rFonts w:ascii="宋体" w:hAnsi="宋体"/>
          <w:sz w:val="24"/>
          <w:szCs w:val="24"/>
        </w:rPr>
        <w:t>设备对输血不良反应记录的录入及反馈。</w:t>
      </w:r>
    </w:p>
    <w:p>
      <w:pPr>
        <w:pStyle w:val="6"/>
        <w:rPr>
          <w:rFonts w:ascii="Times New Roman" w:hAnsi="Times New Roman"/>
          <w:sz w:val="24"/>
          <w:szCs w:val="24"/>
        </w:rPr>
      </w:pPr>
      <w:r>
        <w:t>用血计划管理</w:t>
      </w:r>
    </w:p>
    <w:p>
      <w:pPr>
        <w:numPr>
          <w:ilvl w:val="0"/>
          <w:numId w:val="24"/>
        </w:numPr>
        <w:spacing w:line="360" w:lineRule="auto"/>
        <w:rPr>
          <w:rFonts w:ascii="Times New Roman" w:hAnsi="Times New Roman"/>
          <w:sz w:val="24"/>
          <w:szCs w:val="24"/>
        </w:rPr>
      </w:pPr>
      <w:r>
        <w:rPr>
          <w:rFonts w:ascii="宋体" w:hAnsi="宋体"/>
          <w:sz w:val="24"/>
          <w:szCs w:val="24"/>
        </w:rPr>
        <w:t>支持每个病区或科室按血液成分类型制定年度用血计划；</w:t>
      </w:r>
    </w:p>
    <w:p>
      <w:pPr>
        <w:numPr>
          <w:ilvl w:val="0"/>
          <w:numId w:val="24"/>
        </w:numPr>
        <w:spacing w:line="360" w:lineRule="auto"/>
        <w:rPr>
          <w:rFonts w:ascii="Times New Roman" w:hAnsi="Times New Roman"/>
          <w:sz w:val="24"/>
          <w:szCs w:val="24"/>
        </w:rPr>
      </w:pPr>
      <w:r>
        <w:rPr>
          <w:rFonts w:ascii="宋体" w:hAnsi="宋体"/>
          <w:sz w:val="24"/>
          <w:szCs w:val="24"/>
        </w:rPr>
        <w:t>支持输血科依据各病区或科室用血计划制定每个月份各类型血液制品的采购量和备血库存量。</w:t>
      </w:r>
    </w:p>
    <w:p>
      <w:pPr>
        <w:pStyle w:val="5"/>
      </w:pPr>
      <w:r>
        <w:rPr>
          <w:rFonts w:hint="eastAsia"/>
        </w:rPr>
        <w:t>电子病历五级评审相关内容</w:t>
      </w:r>
    </w:p>
    <w:p>
      <w:pPr>
        <w:pStyle w:val="6"/>
      </w:pPr>
      <w:r>
        <w:rPr>
          <w:rFonts w:hint="eastAsia"/>
        </w:rPr>
        <w:t>临床数据中心升级</w:t>
      </w:r>
    </w:p>
    <w:p>
      <w:pPr>
        <w:pStyle w:val="46"/>
        <w:spacing w:before="156" w:after="156" w:line="360" w:lineRule="auto"/>
        <w:ind w:firstLine="480" w:firstLineChars="200"/>
        <w:rPr>
          <w:rFonts w:ascii="Times New Roman" w:hAnsi="Times New Roman" w:eastAsia="宋体"/>
          <w:sz w:val="24"/>
          <w:szCs w:val="24"/>
        </w:rPr>
      </w:pPr>
      <w:r>
        <w:rPr>
          <w:rFonts w:ascii="宋体" w:hAnsi="宋体" w:eastAsia="宋体"/>
          <w:sz w:val="24"/>
          <w:szCs w:val="24"/>
        </w:rPr>
        <w:t>临床数据中心</w:t>
      </w:r>
      <w:r>
        <w:rPr>
          <w:rFonts w:hint="eastAsia" w:ascii="宋体" w:hAnsi="宋体" w:eastAsia="宋体"/>
          <w:sz w:val="24"/>
          <w:szCs w:val="24"/>
        </w:rPr>
        <w:t>升级</w:t>
      </w:r>
      <w:r>
        <w:rPr>
          <w:rFonts w:ascii="宋体" w:hAnsi="宋体" w:eastAsia="宋体"/>
          <w:sz w:val="24"/>
          <w:szCs w:val="24"/>
        </w:rPr>
        <w:t>范围包含以下内容：通用报告、配发血信息、血型鉴定、重症监护、电生理报告、病理报告、住院中医处方、药房发药信息、治疗预约信息、图像索引信息</w:t>
      </w:r>
      <w:r>
        <w:rPr>
          <w:rFonts w:hint="eastAsia" w:ascii="宋体" w:hAnsi="宋体" w:eastAsia="宋体"/>
          <w:sz w:val="24"/>
          <w:szCs w:val="24"/>
        </w:rPr>
        <w:t>、纸质病历翻拍存储</w:t>
      </w:r>
      <w:r>
        <w:rPr>
          <w:rFonts w:ascii="宋体" w:hAnsi="宋体" w:eastAsia="宋体"/>
          <w:sz w:val="24"/>
          <w:szCs w:val="24"/>
        </w:rPr>
        <w:t>。根据卫生部《基于电子病历的医院信息平台建设技术解决方案（</w:t>
      </w:r>
      <w:r>
        <w:rPr>
          <w:rFonts w:ascii="Times New Roman" w:hAnsi="Times New Roman" w:eastAsia="宋体"/>
          <w:sz w:val="24"/>
          <w:szCs w:val="24"/>
        </w:rPr>
        <w:t>2011</w:t>
      </w:r>
      <w:r>
        <w:rPr>
          <w:rFonts w:ascii="宋体" w:hAnsi="宋体" w:eastAsia="宋体"/>
          <w:sz w:val="24"/>
          <w:szCs w:val="24"/>
        </w:rPr>
        <w:t>）》建设要求结合临床实际建设需求进行临床数据的集成，主要数据集成内容有：</w:t>
      </w:r>
    </w:p>
    <w:p>
      <w:pPr>
        <w:numPr>
          <w:ilvl w:val="0"/>
          <w:numId w:val="24"/>
        </w:numPr>
        <w:spacing w:line="360" w:lineRule="auto"/>
        <w:rPr>
          <w:rFonts w:ascii="宋体" w:hAnsi="宋体"/>
          <w:sz w:val="24"/>
          <w:szCs w:val="24"/>
        </w:rPr>
      </w:pPr>
      <w:r>
        <w:rPr>
          <w:rFonts w:ascii="宋体" w:hAnsi="宋体"/>
          <w:sz w:val="24"/>
          <w:szCs w:val="24"/>
        </w:rPr>
        <w:t>通用报告：支持对门急诊、住院患者的检查报告（检查所见、检查所得、检查结论）进行数据集成。</w:t>
      </w:r>
    </w:p>
    <w:p>
      <w:pPr>
        <w:numPr>
          <w:ilvl w:val="0"/>
          <w:numId w:val="24"/>
        </w:numPr>
        <w:spacing w:line="360" w:lineRule="auto"/>
        <w:rPr>
          <w:rFonts w:ascii="宋体" w:hAnsi="宋体"/>
          <w:sz w:val="24"/>
          <w:szCs w:val="24"/>
        </w:rPr>
      </w:pPr>
      <w:r>
        <w:rPr>
          <w:rFonts w:ascii="宋体" w:hAnsi="宋体"/>
          <w:sz w:val="24"/>
          <w:szCs w:val="24"/>
        </w:rPr>
        <w:t>配发血信息：对住院患者的配血记录信息、发血记录信息、血制品信息进行数据集成。</w:t>
      </w:r>
    </w:p>
    <w:p>
      <w:pPr>
        <w:numPr>
          <w:ilvl w:val="0"/>
          <w:numId w:val="24"/>
        </w:numPr>
        <w:spacing w:line="360" w:lineRule="auto"/>
        <w:rPr>
          <w:rFonts w:ascii="宋体" w:hAnsi="宋体"/>
          <w:sz w:val="24"/>
          <w:szCs w:val="24"/>
        </w:rPr>
      </w:pPr>
      <w:r>
        <w:rPr>
          <w:rFonts w:ascii="宋体" w:hAnsi="宋体"/>
          <w:sz w:val="24"/>
          <w:szCs w:val="24"/>
        </w:rPr>
        <w:t>血型鉴定：对门急诊、住院患者的血型检测信息进行数据集成。</w:t>
      </w:r>
    </w:p>
    <w:p>
      <w:pPr>
        <w:numPr>
          <w:ilvl w:val="0"/>
          <w:numId w:val="24"/>
        </w:numPr>
        <w:spacing w:line="360" w:lineRule="auto"/>
        <w:rPr>
          <w:rFonts w:ascii="宋体" w:hAnsi="宋体"/>
          <w:sz w:val="24"/>
          <w:szCs w:val="24"/>
        </w:rPr>
      </w:pPr>
      <w:r>
        <w:rPr>
          <w:rFonts w:ascii="宋体" w:hAnsi="宋体"/>
          <w:sz w:val="24"/>
          <w:szCs w:val="24"/>
        </w:rPr>
        <w:t>重症监护信息：患者住院的重症监护系统产生的单据（ICU护理记录单、急救中心重症记录单、新生儿特级护理记录单）主题进行数据集成。</w:t>
      </w:r>
    </w:p>
    <w:p>
      <w:pPr>
        <w:spacing w:line="360" w:lineRule="auto"/>
        <w:ind w:left="420"/>
        <w:rPr>
          <w:rFonts w:ascii="宋体" w:hAnsi="宋体"/>
          <w:sz w:val="24"/>
          <w:szCs w:val="24"/>
        </w:rPr>
      </w:pPr>
      <w:r>
        <w:rPr>
          <w:rFonts w:hint="eastAsia" w:ascii="宋体" w:hAnsi="宋体"/>
          <w:sz w:val="24"/>
          <w:szCs w:val="24"/>
        </w:rPr>
        <w:t>集成医院ICU系统产生的业务数据，接入范围包括ICU重症病人的基础信息、ICU体征信息。</w:t>
      </w:r>
    </w:p>
    <w:p>
      <w:pPr>
        <w:numPr>
          <w:ilvl w:val="0"/>
          <w:numId w:val="24"/>
        </w:numPr>
        <w:spacing w:line="360" w:lineRule="auto"/>
        <w:rPr>
          <w:rFonts w:ascii="宋体" w:hAnsi="宋体"/>
          <w:sz w:val="24"/>
          <w:szCs w:val="24"/>
        </w:rPr>
      </w:pPr>
      <w:r>
        <w:rPr>
          <w:rFonts w:ascii="宋体" w:hAnsi="宋体"/>
          <w:sz w:val="24"/>
          <w:szCs w:val="24"/>
        </w:rPr>
        <w:t>电生理报告：对门急诊、住院患者的电生理检查报告（心电图、脑电图、肌电图、视网膜电图、听觉诱发电位）进行数据集成。</w:t>
      </w:r>
    </w:p>
    <w:p>
      <w:pPr>
        <w:numPr>
          <w:ilvl w:val="0"/>
          <w:numId w:val="24"/>
        </w:numPr>
        <w:spacing w:line="360" w:lineRule="auto"/>
        <w:rPr>
          <w:rFonts w:ascii="宋体" w:hAnsi="宋体"/>
          <w:sz w:val="24"/>
          <w:szCs w:val="24"/>
        </w:rPr>
      </w:pPr>
      <w:r>
        <w:rPr>
          <w:rFonts w:ascii="宋体" w:hAnsi="宋体"/>
          <w:sz w:val="24"/>
          <w:szCs w:val="24"/>
        </w:rPr>
        <w:t>病理报告：对住院患者的病理检查报告(检查所见、病理诊断）进行数据集成。</w:t>
      </w:r>
    </w:p>
    <w:p>
      <w:pPr>
        <w:numPr>
          <w:ilvl w:val="0"/>
          <w:numId w:val="24"/>
        </w:numPr>
        <w:spacing w:line="360" w:lineRule="auto"/>
        <w:rPr>
          <w:rFonts w:ascii="宋体" w:hAnsi="宋体"/>
          <w:sz w:val="24"/>
          <w:szCs w:val="24"/>
        </w:rPr>
      </w:pPr>
      <w:r>
        <w:rPr>
          <w:rFonts w:ascii="宋体" w:hAnsi="宋体"/>
          <w:sz w:val="24"/>
          <w:szCs w:val="24"/>
        </w:rPr>
        <w:t>住院中药处方：根据中医中药处方特点，对中药处方进行数据集成。</w:t>
      </w:r>
    </w:p>
    <w:p>
      <w:pPr>
        <w:numPr>
          <w:ilvl w:val="0"/>
          <w:numId w:val="24"/>
        </w:numPr>
        <w:spacing w:line="360" w:lineRule="auto"/>
        <w:rPr>
          <w:rFonts w:ascii="宋体" w:hAnsi="宋体"/>
          <w:sz w:val="24"/>
          <w:szCs w:val="24"/>
        </w:rPr>
      </w:pPr>
      <w:r>
        <w:rPr>
          <w:rFonts w:ascii="宋体" w:hAnsi="宋体"/>
          <w:sz w:val="24"/>
          <w:szCs w:val="24"/>
        </w:rPr>
        <w:t>药房发药信息：对门急诊、住院患者的发药信息进行数据集成。</w:t>
      </w:r>
    </w:p>
    <w:p>
      <w:pPr>
        <w:numPr>
          <w:ilvl w:val="0"/>
          <w:numId w:val="24"/>
        </w:numPr>
        <w:spacing w:line="360" w:lineRule="auto"/>
        <w:rPr>
          <w:rFonts w:ascii="宋体" w:hAnsi="宋体"/>
          <w:sz w:val="24"/>
          <w:szCs w:val="24"/>
        </w:rPr>
      </w:pPr>
      <w:r>
        <w:rPr>
          <w:rFonts w:ascii="宋体" w:hAnsi="宋体"/>
          <w:sz w:val="24"/>
          <w:szCs w:val="24"/>
        </w:rPr>
        <w:t>治疗预约信息：对治疗预约信息进行数据集成。</w:t>
      </w:r>
    </w:p>
    <w:p>
      <w:pPr>
        <w:numPr>
          <w:ilvl w:val="0"/>
          <w:numId w:val="24"/>
        </w:numPr>
        <w:spacing w:line="360" w:lineRule="auto"/>
        <w:rPr>
          <w:rFonts w:ascii="宋体" w:hAnsi="宋体"/>
          <w:sz w:val="24"/>
          <w:szCs w:val="24"/>
        </w:rPr>
      </w:pPr>
      <w:r>
        <w:rPr>
          <w:rFonts w:ascii="宋体" w:hAnsi="宋体"/>
          <w:sz w:val="24"/>
          <w:szCs w:val="24"/>
        </w:rPr>
        <w:t>图像索引信息：对图像索引信息进行数据集成。</w:t>
      </w:r>
    </w:p>
    <w:p>
      <w:pPr>
        <w:numPr>
          <w:ilvl w:val="0"/>
          <w:numId w:val="24"/>
        </w:numPr>
        <w:spacing w:line="360" w:lineRule="auto"/>
        <w:rPr>
          <w:rFonts w:ascii="宋体" w:hAnsi="宋体"/>
          <w:sz w:val="24"/>
          <w:szCs w:val="24"/>
        </w:rPr>
      </w:pPr>
      <w:r>
        <w:rPr>
          <w:rFonts w:ascii="宋体" w:hAnsi="宋体"/>
          <w:sz w:val="24"/>
          <w:szCs w:val="24"/>
        </w:rPr>
        <w:t>纸质文档翻拍存储</w:t>
      </w:r>
      <w:r>
        <w:rPr>
          <w:rFonts w:hint="eastAsia" w:ascii="宋体" w:hAnsi="宋体"/>
          <w:sz w:val="24"/>
          <w:szCs w:val="24"/>
        </w:rPr>
        <w:t>：</w:t>
      </w:r>
      <w:r>
        <w:rPr>
          <w:rFonts w:ascii="宋体" w:hAnsi="宋体"/>
          <w:sz w:val="24"/>
          <w:szCs w:val="24"/>
        </w:rPr>
        <w:t>根据医院项目中结果数据建设范围，实现医疗活动中产生的检查报告、检验报告、护理文书、门诊病历、住院病历、预检留观病历、医嘱单纸质文档的翻拍后纸质文档的共享管理。</w:t>
      </w:r>
    </w:p>
    <w:p>
      <w:pPr>
        <w:adjustRightInd w:val="0"/>
        <w:spacing w:after="156" w:afterLines="50" w:line="360" w:lineRule="auto"/>
        <w:ind w:left="420"/>
        <w:rPr>
          <w:rFonts w:ascii="Times New Roman" w:hAnsi="Times New Roman"/>
          <w:sz w:val="24"/>
          <w:szCs w:val="24"/>
        </w:rPr>
      </w:pPr>
      <w:r>
        <w:rPr>
          <w:rFonts w:ascii="宋体" w:hAnsi="宋体"/>
          <w:sz w:val="24"/>
          <w:szCs w:val="24"/>
        </w:rPr>
        <w:t>支持生成统一</w:t>
      </w:r>
      <w:r>
        <w:rPr>
          <w:rFonts w:ascii="Times New Roman" w:hAnsi="Times New Roman"/>
          <w:sz w:val="24"/>
          <w:szCs w:val="24"/>
        </w:rPr>
        <w:t>PDF</w:t>
      </w:r>
      <w:r>
        <w:rPr>
          <w:rFonts w:ascii="宋体" w:hAnsi="宋体"/>
          <w:sz w:val="24"/>
          <w:szCs w:val="24"/>
        </w:rPr>
        <w:t>标准文档接口，各业务系统根据标准接口生成文档内容；</w:t>
      </w:r>
    </w:p>
    <w:p>
      <w:pPr>
        <w:adjustRightInd w:val="0"/>
        <w:spacing w:after="156" w:afterLines="50" w:line="360" w:lineRule="auto"/>
        <w:ind w:left="420"/>
        <w:rPr>
          <w:rFonts w:ascii="Times New Roman" w:hAnsi="Times New Roman"/>
          <w:sz w:val="24"/>
          <w:szCs w:val="24"/>
        </w:rPr>
      </w:pPr>
      <w:r>
        <w:rPr>
          <w:rFonts w:hint="eastAsia" w:ascii="宋体" w:hAnsi="宋体"/>
          <w:sz w:val="24"/>
          <w:szCs w:val="24"/>
        </w:rPr>
        <w:t>支</w:t>
      </w:r>
      <w:r>
        <w:rPr>
          <w:rFonts w:ascii="宋体" w:hAnsi="宋体"/>
          <w:sz w:val="24"/>
          <w:szCs w:val="24"/>
        </w:rPr>
        <w:t>持统一的文档共享方式。</w:t>
      </w:r>
    </w:p>
    <w:p>
      <w:pPr>
        <w:pStyle w:val="6"/>
      </w:pPr>
      <w:r>
        <w:rPr>
          <w:rFonts w:hint="eastAsia"/>
        </w:rPr>
        <w:t>闭环管理升级</w:t>
      </w:r>
    </w:p>
    <w:p>
      <w:pPr>
        <w:pStyle w:val="7"/>
        <w:spacing w:before="156"/>
      </w:pPr>
      <w:r>
        <w:t>输血医嘱闭环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支持患者输血医嘱在各个医疗服务点上的人员、时间和状态的集中采集，节点包含</w:t>
      </w:r>
      <w:r>
        <w:rPr>
          <w:rFonts w:ascii="Times New Roman" w:hAnsi="Times New Roman"/>
          <w:sz w:val="24"/>
          <w:szCs w:val="24"/>
        </w:rPr>
        <w:t xml:space="preserve"> </w:t>
      </w:r>
      <w:r>
        <w:rPr>
          <w:rFonts w:ascii="宋体" w:hAnsi="宋体"/>
          <w:sz w:val="24"/>
          <w:szCs w:val="24"/>
        </w:rPr>
        <w:t>：输血前评估、备血申请、输血申请、上级医生审核、上级医生审核不通过、科主任审核、科主任审核不通过、医务科审核、医务科审核不通过、医嘱审核、医嘱作废、医嘱执行、标本采集、标本转运运送、标本签收、交叉配血、血型复检、发血、领血确认、接收血袋、输血前核对、输血开始、巡视、输血结束、空血袋回收、备血完成、护士上报输血不良反应、职能部门处理、归档。</w:t>
      </w:r>
    </w:p>
    <w:p>
      <w:pPr>
        <w:pStyle w:val="7"/>
        <w:spacing w:before="156"/>
      </w:pPr>
      <w:r>
        <w:t>门诊常规检验标本闭环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支持患者门诊常规检验标本在各个医疗服务点上的人员、时间和状态的集中采集，节点包含</w:t>
      </w:r>
      <w:r>
        <w:rPr>
          <w:rFonts w:ascii="Times New Roman" w:hAnsi="Times New Roman"/>
          <w:sz w:val="24"/>
          <w:szCs w:val="24"/>
        </w:rPr>
        <w:t xml:space="preserve"> </w:t>
      </w:r>
      <w:r>
        <w:rPr>
          <w:rFonts w:ascii="宋体" w:hAnsi="宋体"/>
          <w:sz w:val="24"/>
          <w:szCs w:val="24"/>
        </w:rPr>
        <w:t>：检验申请开立、缴费、试管条码打印、标本采集、标本运送、标本签收、标本撤销、标本拒收、标本入库、取消入库、上机检测、初始报告、报告审核、报告撤销、报告发布。</w:t>
      </w:r>
    </w:p>
    <w:p>
      <w:pPr>
        <w:pStyle w:val="7"/>
        <w:spacing w:before="156"/>
      </w:pPr>
      <w:r>
        <w:t>住院常规检验标本闭环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支持患者住院常规检验标本在各个医疗服务点上的人员、时间和状态的集中采集，节点包含</w:t>
      </w:r>
      <w:r>
        <w:rPr>
          <w:rFonts w:ascii="Times New Roman" w:hAnsi="Times New Roman"/>
          <w:sz w:val="24"/>
          <w:szCs w:val="24"/>
        </w:rPr>
        <w:t xml:space="preserve"> </w:t>
      </w:r>
      <w:r>
        <w:rPr>
          <w:rFonts w:ascii="宋体" w:hAnsi="宋体"/>
          <w:sz w:val="24"/>
          <w:szCs w:val="24"/>
        </w:rPr>
        <w:t>：检验申请开立、检验申请撤回、医嘱审核、医嘱作废、医嘱执行、试管条码打印、标本采集、标本运送、标本签收、标本入库、上机检测、初始报告、报告审核、报告撤销、报告发布。</w:t>
      </w:r>
    </w:p>
    <w:p>
      <w:pPr>
        <w:pStyle w:val="7"/>
        <w:spacing w:before="156"/>
      </w:pPr>
      <w:r>
        <w:t>住院检验危急值闭环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支持患者门诊检验危急值在各个医疗服务点上的人员、时间和状态的集中采集，节点包含</w:t>
      </w:r>
      <w:r>
        <w:rPr>
          <w:rFonts w:ascii="Times New Roman" w:hAnsi="Times New Roman"/>
          <w:sz w:val="24"/>
          <w:szCs w:val="24"/>
        </w:rPr>
        <w:t xml:space="preserve"> </w:t>
      </w:r>
      <w:r>
        <w:rPr>
          <w:rFonts w:ascii="宋体" w:hAnsi="宋体"/>
          <w:sz w:val="24"/>
          <w:szCs w:val="24"/>
        </w:rPr>
        <w:t>：危急值生成、危急值复核、危急值发布、护士接收、通知医生、医生接收、医生处理危急值、危急值处理反馈、危急值超时通知、危急值医技确认。</w:t>
      </w:r>
    </w:p>
    <w:p>
      <w:pPr>
        <w:pStyle w:val="7"/>
        <w:spacing w:before="156"/>
      </w:pPr>
      <w:r>
        <w:t>门诊检验危急值闭环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支持患者住院检验危急值在各个医疗服务点上的人员、时间和状态的集中采集，节点包含</w:t>
      </w:r>
      <w:r>
        <w:rPr>
          <w:rFonts w:ascii="Times New Roman" w:hAnsi="Times New Roman"/>
          <w:sz w:val="24"/>
          <w:szCs w:val="24"/>
        </w:rPr>
        <w:t xml:space="preserve"> </w:t>
      </w:r>
      <w:r>
        <w:rPr>
          <w:rFonts w:ascii="宋体" w:hAnsi="宋体"/>
          <w:sz w:val="24"/>
          <w:szCs w:val="24"/>
        </w:rPr>
        <w:t>：危急值生成、危急值复核、危急值发布医生接收、医生处理危急值、危急值处理反馈、危急值医技确认。</w:t>
      </w:r>
    </w:p>
    <w:p>
      <w:pPr>
        <w:pStyle w:val="7"/>
        <w:spacing w:before="156"/>
      </w:pPr>
      <w:r>
        <w:t>住院患者追踪闭环</w:t>
      </w:r>
    </w:p>
    <w:p>
      <w:pPr>
        <w:adjustRightInd w:val="0"/>
        <w:spacing w:after="156" w:afterLines="50" w:line="360" w:lineRule="auto"/>
        <w:ind w:firstLine="480" w:firstLineChars="200"/>
        <w:rPr>
          <w:rFonts w:ascii="Times New Roman" w:hAnsi="Times New Roman"/>
          <w:sz w:val="24"/>
          <w:szCs w:val="24"/>
        </w:rPr>
      </w:pPr>
      <w:r>
        <w:rPr>
          <w:rFonts w:ascii="宋体" w:hAnsi="宋体"/>
          <w:sz w:val="24"/>
          <w:szCs w:val="24"/>
        </w:rPr>
        <w:t>支持患者本次在医院就诊的物理位置和时间的集中采集，节点包含</w:t>
      </w:r>
      <w:r>
        <w:rPr>
          <w:rFonts w:ascii="Times New Roman" w:hAnsi="Times New Roman"/>
          <w:sz w:val="24"/>
          <w:szCs w:val="24"/>
        </w:rPr>
        <w:t xml:space="preserve"> </w:t>
      </w:r>
      <w:r>
        <w:rPr>
          <w:rFonts w:ascii="宋体" w:hAnsi="宋体"/>
          <w:sz w:val="24"/>
          <w:szCs w:val="24"/>
        </w:rPr>
        <w:t>：入院、入区、转出病区、转入病区、入手术室、麻醉开始、麻醉取消、手术开始、手术取消、手术结束、入复苏室、出复苏室、出手术室、检查签到、检查结束、患者出区、患者出院节点。</w:t>
      </w:r>
    </w:p>
    <w:p>
      <w:pPr>
        <w:pStyle w:val="6"/>
      </w:pPr>
      <w:r>
        <w:rPr>
          <w:rFonts w:hint="eastAsia"/>
        </w:rPr>
        <w:t>数据质量评估</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数据质量评估管理系统支持电子病历系统应用水平质量评估方法，建立数据质量规则库实现数据质量的全面、及时、精准的监控，支持对接入平台的数据进行跟踪，对关键事件产生的状态进行分析，进而迅速的找到排错伏点，最终解决问题。</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要求具有以下四种评估方法：</w:t>
      </w:r>
    </w:p>
    <w:p>
      <w:pPr>
        <w:numPr>
          <w:ilvl w:val="0"/>
          <w:numId w:val="24"/>
        </w:numPr>
        <w:spacing w:line="360" w:lineRule="auto"/>
        <w:rPr>
          <w:rFonts w:ascii="宋体" w:hAnsi="宋体"/>
          <w:sz w:val="24"/>
          <w:szCs w:val="24"/>
        </w:rPr>
      </w:pPr>
      <w:r>
        <w:rPr>
          <w:rFonts w:hint="eastAsia" w:ascii="宋体" w:hAnsi="宋体"/>
          <w:sz w:val="24"/>
          <w:szCs w:val="24"/>
        </w:rPr>
        <w:t xml:space="preserve">支持数据一致性，通过可视化方式展现电子病历评价项中的关键数据项内容与字典数据内容的一致性。 </w:t>
      </w:r>
    </w:p>
    <w:p>
      <w:pPr>
        <w:numPr>
          <w:ilvl w:val="0"/>
          <w:numId w:val="24"/>
        </w:numPr>
        <w:spacing w:line="360" w:lineRule="auto"/>
        <w:rPr>
          <w:rFonts w:ascii="宋体" w:hAnsi="宋体"/>
          <w:sz w:val="24"/>
          <w:szCs w:val="24"/>
        </w:rPr>
      </w:pPr>
      <w:r>
        <w:rPr>
          <w:rFonts w:hint="eastAsia" w:ascii="宋体" w:hAnsi="宋体"/>
          <w:sz w:val="24"/>
          <w:szCs w:val="24"/>
        </w:rPr>
        <w:t>支持数据完整性，通过可视化方式展现电子病历评价项中的必填项数据、常用项数据的完整情况。</w:t>
      </w:r>
    </w:p>
    <w:p>
      <w:pPr>
        <w:numPr>
          <w:ilvl w:val="0"/>
          <w:numId w:val="24"/>
        </w:numPr>
        <w:spacing w:line="360" w:lineRule="auto"/>
        <w:rPr>
          <w:rFonts w:ascii="宋体" w:hAnsi="宋体"/>
          <w:sz w:val="24"/>
          <w:szCs w:val="24"/>
        </w:rPr>
      </w:pPr>
      <w:r>
        <w:rPr>
          <w:rFonts w:hint="eastAsia" w:ascii="宋体" w:hAnsi="宋体"/>
          <w:sz w:val="24"/>
          <w:szCs w:val="24"/>
        </w:rPr>
        <w:t xml:space="preserve">支持数据整合性项目在评价时，通过可视化方式展现电子病历评价项中的关键项数据与相关项目（或系统）对应项目可否对照或关联。 </w:t>
      </w:r>
    </w:p>
    <w:p>
      <w:pPr>
        <w:numPr>
          <w:ilvl w:val="0"/>
          <w:numId w:val="24"/>
        </w:numPr>
        <w:spacing w:line="360" w:lineRule="auto"/>
        <w:rPr>
          <w:rFonts w:ascii="宋体" w:hAnsi="宋体"/>
          <w:sz w:val="24"/>
          <w:szCs w:val="24"/>
        </w:rPr>
      </w:pPr>
      <w:r>
        <w:rPr>
          <w:rFonts w:hint="eastAsia" w:ascii="宋体" w:hAnsi="宋体"/>
          <w:sz w:val="24"/>
          <w:szCs w:val="24"/>
        </w:rPr>
        <w:t>支持数据及时性项目在评价时，通过可视化方式展现电子病历评价项中的逻辑合理性,按照医疗流程有先后顺序的各个记录中时间值是否符合先后顺序的逻辑关系。</w:t>
      </w:r>
    </w:p>
    <w:p>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可视化展现包含以下功能：</w:t>
      </w:r>
    </w:p>
    <w:p>
      <w:pPr>
        <w:numPr>
          <w:ilvl w:val="0"/>
          <w:numId w:val="24"/>
        </w:numPr>
        <w:spacing w:line="360" w:lineRule="auto"/>
        <w:rPr>
          <w:rFonts w:ascii="宋体" w:hAnsi="宋体"/>
          <w:sz w:val="24"/>
          <w:szCs w:val="24"/>
        </w:rPr>
      </w:pPr>
      <w:r>
        <w:rPr>
          <w:rFonts w:hint="eastAsia" w:ascii="宋体" w:hAnsi="宋体"/>
          <w:sz w:val="24"/>
          <w:szCs w:val="24"/>
        </w:rPr>
        <w:t>▲医院整体的数据质量情况，包括：质量指标统计总览、质量评分趋势、四大维度得分一周趋势。</w:t>
      </w:r>
    </w:p>
    <w:p>
      <w:pPr>
        <w:spacing w:line="360" w:lineRule="auto"/>
        <w:ind w:left="420"/>
        <w:rPr>
          <w:rFonts w:ascii="宋体" w:hAnsi="宋体"/>
          <w:sz w:val="24"/>
          <w:szCs w:val="24"/>
        </w:rPr>
      </w:pPr>
      <w:r>
        <w:rPr>
          <w:rFonts w:hint="eastAsia" w:ascii="宋体" w:hAnsi="宋体"/>
          <w:sz w:val="24"/>
          <w:szCs w:val="24"/>
        </w:rPr>
        <w:t>要求在评估总览界面提供完整性、一致性、整合性、一致性的得分和日、周评分趋势截图证明。</w:t>
      </w:r>
    </w:p>
    <w:p>
      <w:pPr>
        <w:numPr>
          <w:ilvl w:val="0"/>
          <w:numId w:val="24"/>
        </w:numPr>
        <w:spacing w:line="360" w:lineRule="auto"/>
        <w:rPr>
          <w:rFonts w:ascii="宋体" w:hAnsi="宋体"/>
          <w:sz w:val="24"/>
          <w:szCs w:val="24"/>
        </w:rPr>
      </w:pPr>
      <w:r>
        <w:rPr>
          <w:rFonts w:hint="eastAsia" w:ascii="宋体" w:hAnsi="宋体"/>
          <w:sz w:val="24"/>
          <w:szCs w:val="24"/>
        </w:rPr>
        <w:t>数据校验监控报告展现了医院的数据质量校验情况，从四个维护统计展现校验错误数据列表，并提供查看错误详情。校验错误报告主要展示校验流程中存在错误的详细信息。</w:t>
      </w:r>
    </w:p>
    <w:p>
      <w:pPr>
        <w:numPr>
          <w:ilvl w:val="0"/>
          <w:numId w:val="24"/>
        </w:numPr>
        <w:spacing w:line="360" w:lineRule="auto"/>
        <w:rPr>
          <w:rFonts w:ascii="宋体" w:hAnsi="宋体"/>
          <w:sz w:val="24"/>
          <w:szCs w:val="24"/>
        </w:rPr>
      </w:pPr>
      <w:r>
        <w:rPr>
          <w:rFonts w:hint="eastAsia" w:ascii="宋体" w:hAnsi="宋体"/>
          <w:sz w:val="24"/>
          <w:szCs w:val="24"/>
        </w:rPr>
        <w:t>支持自定义数据质量校验规则配置功能，为医院沉淀数据校验规则知识库，系统可以按照执行计划结合校验规则对数据进行自动化数据校验。</w:t>
      </w:r>
    </w:p>
    <w:p>
      <w:pPr>
        <w:pStyle w:val="6"/>
      </w:pPr>
      <w:r>
        <w:rPr>
          <w:rFonts w:hint="eastAsia"/>
        </w:rPr>
        <w:t>功能改造</w:t>
      </w:r>
    </w:p>
    <w:p>
      <w:pPr>
        <w:pStyle w:val="7"/>
        <w:spacing w:before="156"/>
      </w:pPr>
      <w:r>
        <w:rPr>
          <w:rFonts w:hint="eastAsia"/>
        </w:rPr>
        <w:t>危急方案管理</w:t>
      </w:r>
    </w:p>
    <w:p>
      <w:pPr>
        <w:pStyle w:val="44"/>
        <w:numPr>
          <w:ilvl w:val="0"/>
          <w:numId w:val="25"/>
        </w:numPr>
        <w:snapToGrid w:val="0"/>
        <w:ind w:left="840" w:firstLineChars="0"/>
        <w:rPr>
          <w:rFonts w:ascii="宋体" w:hAnsi="宋体"/>
          <w:color w:val="000000"/>
          <w:sz w:val="24"/>
          <w:szCs w:val="24"/>
        </w:rPr>
      </w:pPr>
      <w:r>
        <w:rPr>
          <w:rFonts w:hint="eastAsia" w:ascii="宋体" w:hAnsi="宋体"/>
          <w:color w:val="000000"/>
          <w:sz w:val="24"/>
          <w:szCs w:val="24"/>
        </w:rPr>
        <w:t>支持危急值处理套餐维护并引用。</w:t>
      </w:r>
    </w:p>
    <w:p>
      <w:pPr>
        <w:pStyle w:val="7"/>
        <w:spacing w:before="156"/>
      </w:pPr>
      <w:r>
        <w:rPr>
          <w:rFonts w:hint="eastAsia"/>
        </w:rPr>
        <w:t>智能病历模板推荐</w:t>
      </w:r>
    </w:p>
    <w:p>
      <w:pPr>
        <w:pStyle w:val="44"/>
        <w:numPr>
          <w:ilvl w:val="0"/>
          <w:numId w:val="25"/>
        </w:numPr>
        <w:snapToGrid w:val="0"/>
        <w:ind w:left="840" w:firstLineChars="0"/>
        <w:rPr>
          <w:rFonts w:ascii="宋体" w:hAnsi="宋体"/>
          <w:color w:val="000000"/>
          <w:sz w:val="24"/>
          <w:szCs w:val="24"/>
        </w:rPr>
      </w:pPr>
      <w:r>
        <w:rPr>
          <w:rFonts w:hint="eastAsia" w:ascii="宋体" w:hAnsi="宋体"/>
          <w:color w:val="000000"/>
          <w:sz w:val="24"/>
          <w:szCs w:val="24"/>
        </w:rPr>
        <w:t>病历内容书写时可以根据性别、诊断等自动选择模板。</w:t>
      </w:r>
    </w:p>
    <w:p>
      <w:pPr>
        <w:pStyle w:val="7"/>
        <w:spacing w:before="156"/>
      </w:pPr>
      <w:r>
        <w:rPr>
          <w:rFonts w:hint="eastAsia"/>
        </w:rPr>
        <w:t>过敏源管理</w:t>
      </w:r>
    </w:p>
    <w:p>
      <w:pPr>
        <w:pStyle w:val="44"/>
        <w:numPr>
          <w:ilvl w:val="0"/>
          <w:numId w:val="25"/>
        </w:numPr>
        <w:snapToGrid w:val="0"/>
        <w:ind w:left="840" w:firstLineChars="0"/>
        <w:rPr>
          <w:rFonts w:ascii="宋体" w:hAnsi="宋体"/>
          <w:color w:val="000000"/>
          <w:sz w:val="24"/>
          <w:szCs w:val="24"/>
        </w:rPr>
      </w:pPr>
      <w:r>
        <w:rPr>
          <w:rFonts w:hint="eastAsia" w:ascii="宋体" w:hAnsi="宋体"/>
          <w:color w:val="000000"/>
          <w:sz w:val="24"/>
          <w:szCs w:val="24"/>
        </w:rPr>
        <w:t>支持在门诊结构化电子病历中维护患者的其他过敏源。</w:t>
      </w:r>
    </w:p>
    <w:p>
      <w:pPr>
        <w:pStyle w:val="44"/>
        <w:numPr>
          <w:ilvl w:val="0"/>
          <w:numId w:val="25"/>
        </w:numPr>
        <w:snapToGrid w:val="0"/>
        <w:ind w:left="840" w:firstLineChars="0"/>
        <w:rPr>
          <w:rFonts w:ascii="宋体" w:hAnsi="宋体"/>
          <w:color w:val="000000"/>
          <w:sz w:val="24"/>
          <w:szCs w:val="24"/>
        </w:rPr>
      </w:pPr>
      <w:r>
        <w:rPr>
          <w:rFonts w:hint="eastAsia" w:ascii="宋体" w:hAnsi="宋体"/>
          <w:color w:val="000000"/>
          <w:sz w:val="24"/>
          <w:szCs w:val="24"/>
        </w:rPr>
        <w:t>支持门诊处方录入时获取病历中维护的其他过敏源。</w:t>
      </w:r>
    </w:p>
    <w:p>
      <w:pPr>
        <w:pStyle w:val="6"/>
      </w:pPr>
      <w:r>
        <w:rPr>
          <w:rFonts w:hint="eastAsia"/>
        </w:rPr>
        <w:t>评审服务</w:t>
      </w:r>
    </w:p>
    <w:p>
      <w:pPr>
        <w:pStyle w:val="44"/>
        <w:numPr>
          <w:ilvl w:val="0"/>
          <w:numId w:val="26"/>
        </w:numPr>
        <w:snapToGrid w:val="0"/>
        <w:spacing w:before="156" w:after="156"/>
        <w:ind w:left="840" w:firstLineChars="0"/>
        <w:rPr>
          <w:rFonts w:ascii="宋体" w:hAnsi="宋体"/>
          <w:color w:val="000000"/>
          <w:sz w:val="24"/>
          <w:szCs w:val="24"/>
        </w:rPr>
      </w:pPr>
      <w:r>
        <w:rPr>
          <w:rFonts w:hint="eastAsia" w:ascii="宋体" w:hAnsi="宋体"/>
          <w:color w:val="000000"/>
          <w:sz w:val="24"/>
          <w:szCs w:val="24"/>
        </w:rPr>
        <w:t>应用推广，提高应用率</w:t>
      </w:r>
    </w:p>
    <w:p>
      <w:pPr>
        <w:spacing w:after="156" w:afterLines="50" w:line="360" w:lineRule="auto"/>
        <w:ind w:firstLine="480" w:firstLineChars="200"/>
        <w:rPr>
          <w:rFonts w:ascii="Times New Roman" w:hAnsi="Times New Roman"/>
          <w:color w:val="000000"/>
          <w:sz w:val="24"/>
          <w:szCs w:val="24"/>
        </w:rPr>
      </w:pPr>
      <w:r>
        <w:rPr>
          <w:rFonts w:hint="eastAsia" w:ascii="宋体" w:hAnsi="宋体"/>
          <w:color w:val="000000"/>
          <w:sz w:val="24"/>
          <w:szCs w:val="24"/>
        </w:rPr>
        <w:t>满足评审所需要的应用数要求，配合医院推广业务系统使用；如指定推广计划，提供推广应用案例和方法，尤其是病历质控、康复治疗、药房处方点评等的使用。</w:t>
      </w:r>
    </w:p>
    <w:p>
      <w:pPr>
        <w:pStyle w:val="44"/>
        <w:numPr>
          <w:ilvl w:val="0"/>
          <w:numId w:val="26"/>
        </w:numPr>
        <w:snapToGrid w:val="0"/>
        <w:spacing w:before="156" w:after="156"/>
        <w:ind w:left="840" w:firstLineChars="0"/>
        <w:rPr>
          <w:rFonts w:ascii="宋体" w:hAnsi="宋体"/>
          <w:color w:val="000000"/>
          <w:sz w:val="24"/>
          <w:szCs w:val="24"/>
        </w:rPr>
      </w:pPr>
      <w:r>
        <w:rPr>
          <w:rFonts w:hint="eastAsia" w:ascii="宋体" w:hAnsi="宋体"/>
          <w:color w:val="000000"/>
          <w:sz w:val="24"/>
          <w:szCs w:val="24"/>
        </w:rPr>
        <w:t>核查数据，提高数据质量</w:t>
      </w:r>
    </w:p>
    <w:p>
      <w:pPr>
        <w:spacing w:after="156" w:afterLines="50" w:line="360" w:lineRule="auto"/>
        <w:ind w:firstLine="480" w:firstLineChars="200"/>
        <w:rPr>
          <w:rFonts w:ascii="Times New Roman" w:hAnsi="Times New Roman"/>
          <w:color w:val="000000"/>
          <w:sz w:val="24"/>
          <w:szCs w:val="24"/>
        </w:rPr>
      </w:pPr>
      <w:r>
        <w:rPr>
          <w:rFonts w:hint="eastAsia" w:ascii="宋体" w:hAnsi="宋体"/>
          <w:color w:val="000000"/>
          <w:sz w:val="24"/>
          <w:szCs w:val="24"/>
        </w:rPr>
        <w:t>满足评审要求的数据及时性、完整性、整合性、一致性。对不同的界面数据一致性进行核查，如闭环展示数据与业务系统数据是否一致。临床调阅的检查检验报告是否显示了审核医生。</w:t>
      </w:r>
    </w:p>
    <w:p>
      <w:pPr>
        <w:pStyle w:val="44"/>
        <w:numPr>
          <w:ilvl w:val="0"/>
          <w:numId w:val="26"/>
        </w:numPr>
        <w:snapToGrid w:val="0"/>
        <w:spacing w:before="156" w:after="156"/>
        <w:ind w:left="840" w:firstLineChars="0"/>
        <w:rPr>
          <w:rFonts w:ascii="宋体" w:hAnsi="宋体"/>
          <w:color w:val="000000"/>
          <w:sz w:val="24"/>
          <w:szCs w:val="24"/>
        </w:rPr>
      </w:pPr>
      <w:r>
        <w:rPr>
          <w:rFonts w:hint="eastAsia" w:ascii="宋体" w:hAnsi="宋体"/>
          <w:color w:val="000000"/>
          <w:sz w:val="24"/>
          <w:szCs w:val="24"/>
        </w:rPr>
        <w:t>流程再造，满足评审要求</w:t>
      </w:r>
    </w:p>
    <w:p>
      <w:pPr>
        <w:spacing w:after="156" w:afterLines="50" w:line="360" w:lineRule="auto"/>
        <w:ind w:firstLine="480" w:firstLineChars="200"/>
        <w:rPr>
          <w:rFonts w:ascii="Times New Roman" w:hAnsi="Times New Roman"/>
          <w:color w:val="000000"/>
          <w:sz w:val="24"/>
          <w:szCs w:val="24"/>
        </w:rPr>
      </w:pPr>
      <w:r>
        <w:rPr>
          <w:rFonts w:hint="eastAsia" w:ascii="宋体" w:hAnsi="宋体"/>
          <w:color w:val="000000"/>
          <w:sz w:val="24"/>
          <w:szCs w:val="24"/>
        </w:rPr>
        <w:t>对于医院的临床流程进行再造，例如闭环管理流程再造。</w:t>
      </w:r>
    </w:p>
    <w:p>
      <w:pPr>
        <w:pStyle w:val="44"/>
        <w:numPr>
          <w:ilvl w:val="0"/>
          <w:numId w:val="26"/>
        </w:numPr>
        <w:snapToGrid w:val="0"/>
        <w:spacing w:before="156" w:after="156"/>
        <w:ind w:left="840" w:firstLineChars="0"/>
        <w:rPr>
          <w:rFonts w:ascii="宋体" w:hAnsi="宋体"/>
          <w:color w:val="000000"/>
          <w:sz w:val="24"/>
          <w:szCs w:val="24"/>
        </w:rPr>
      </w:pPr>
      <w:r>
        <w:rPr>
          <w:rFonts w:hint="eastAsia" w:ascii="宋体" w:hAnsi="宋体"/>
          <w:color w:val="000000"/>
          <w:sz w:val="24"/>
          <w:szCs w:val="24"/>
        </w:rPr>
        <w:t>资料准备，提供评审咨询</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协助医院准备电子病历评审所需相关资料（申报材料、汇报PPT等），根据以往评审经验提供相关评审咨询服务。</w:t>
      </w:r>
    </w:p>
    <w:p>
      <w:pPr>
        <w:pStyle w:val="4"/>
        <w:spacing w:before="156"/>
        <w:jc w:val="center"/>
        <w:rPr>
          <w:sz w:val="32"/>
          <w:szCs w:val="32"/>
        </w:rPr>
      </w:pPr>
      <w:r>
        <w:rPr>
          <w:rFonts w:hint="eastAsia"/>
          <w:sz w:val="32"/>
          <w:szCs w:val="32"/>
        </w:rPr>
        <w:t>商务要求</w:t>
      </w:r>
    </w:p>
    <w:p>
      <w:pPr>
        <w:pStyle w:val="5"/>
        <w:numPr>
          <w:ilvl w:val="1"/>
          <w:numId w:val="27"/>
        </w:numPr>
      </w:pPr>
      <w:r>
        <w:rPr>
          <w:rFonts w:hint="eastAsia"/>
        </w:rPr>
        <w:t>项目工期要求</w:t>
      </w:r>
    </w:p>
    <w:p>
      <w:pPr>
        <w:spacing w:line="360" w:lineRule="auto"/>
        <w:ind w:firstLine="480" w:firstLineChars="200"/>
        <w:jc w:val="left"/>
        <w:rPr>
          <w:rFonts w:ascii="宋体" w:hAnsi="宋体"/>
          <w:sz w:val="24"/>
          <w:szCs w:val="24"/>
        </w:rPr>
      </w:pPr>
      <w:r>
        <w:rPr>
          <w:rFonts w:hint="eastAsia" w:ascii="宋体" w:hAnsi="宋体"/>
          <w:sz w:val="24"/>
          <w:szCs w:val="24"/>
        </w:rPr>
        <w:t>1、安装地点：杭州市临安区第一人民医院。</w:t>
      </w:r>
    </w:p>
    <w:p>
      <w:pPr>
        <w:spacing w:line="360" w:lineRule="auto"/>
        <w:ind w:firstLine="480" w:firstLineChars="200"/>
        <w:jc w:val="left"/>
        <w:rPr>
          <w:rFonts w:ascii="宋体" w:hAnsi="宋体"/>
          <w:sz w:val="24"/>
          <w:szCs w:val="24"/>
        </w:rPr>
      </w:pPr>
      <w:r>
        <w:rPr>
          <w:rFonts w:hint="eastAsia" w:ascii="宋体" w:hAnsi="宋体"/>
          <w:sz w:val="24"/>
          <w:szCs w:val="24"/>
        </w:rPr>
        <w:t>2、建设工期：</w:t>
      </w:r>
      <w:r>
        <w:rPr>
          <w:rFonts w:hint="eastAsia" w:ascii="宋体" w:hAnsi="宋体"/>
          <w:sz w:val="24"/>
          <w:szCs w:val="24"/>
          <w:highlight w:val="none"/>
        </w:rPr>
        <w:t>合同签订</w:t>
      </w:r>
      <w:r>
        <w:rPr>
          <w:rFonts w:hint="eastAsia" w:ascii="宋体" w:hAnsi="宋体"/>
          <w:sz w:val="24"/>
          <w:szCs w:val="24"/>
          <w:highlight w:val="none"/>
          <w:lang w:val="en-US" w:eastAsia="zh-CN"/>
        </w:rPr>
        <w:t>1年</w:t>
      </w:r>
      <w:r>
        <w:rPr>
          <w:rFonts w:hint="eastAsia" w:ascii="宋体" w:hAnsi="宋体"/>
          <w:sz w:val="24"/>
          <w:szCs w:val="24"/>
          <w:highlight w:val="none"/>
        </w:rPr>
        <w:t>内建设完成</w:t>
      </w:r>
      <w:r>
        <w:rPr>
          <w:rFonts w:hint="eastAsia" w:ascii="宋体" w:hAnsi="宋体"/>
          <w:color w:val="000000"/>
          <w:sz w:val="24"/>
          <w:szCs w:val="24"/>
          <w:highlight w:val="none"/>
        </w:rPr>
        <w:t>（具体建设工期以采购人和中标人在合同谈判中双方商定的内容为准）</w:t>
      </w:r>
      <w:r>
        <w:rPr>
          <w:rFonts w:hint="eastAsia" w:ascii="宋体" w:hAnsi="宋体"/>
          <w:sz w:val="24"/>
          <w:szCs w:val="24"/>
          <w:highlight w:val="none"/>
        </w:rPr>
        <w:t>。投入</w:t>
      </w:r>
      <w:r>
        <w:rPr>
          <w:rFonts w:hint="eastAsia" w:ascii="宋体" w:hAnsi="宋体"/>
          <w:sz w:val="24"/>
          <w:szCs w:val="24"/>
        </w:rPr>
        <w:t>试运行后正常运行1个月及相关培训后组织验收。经验收合格，正式交付使用，进入维护期，建立完善的系统运维体系。</w:t>
      </w:r>
    </w:p>
    <w:p>
      <w:pPr>
        <w:spacing w:line="360" w:lineRule="auto"/>
        <w:ind w:firstLine="480" w:firstLineChars="200"/>
        <w:jc w:val="left"/>
        <w:rPr>
          <w:rFonts w:ascii="宋体" w:hAnsi="宋体"/>
          <w:sz w:val="24"/>
          <w:szCs w:val="24"/>
        </w:rPr>
      </w:pPr>
      <w:r>
        <w:rPr>
          <w:rFonts w:hint="eastAsia" w:ascii="宋体" w:hAnsi="宋体"/>
          <w:sz w:val="24"/>
          <w:szCs w:val="24"/>
        </w:rPr>
        <w:t>3、安装标准：符合我国国家有关技术规范要求和技术标准。</w:t>
      </w:r>
    </w:p>
    <w:p>
      <w:pPr>
        <w:spacing w:line="360" w:lineRule="auto"/>
        <w:ind w:firstLine="480" w:firstLineChars="200"/>
        <w:jc w:val="left"/>
        <w:rPr>
          <w:rFonts w:ascii="宋体" w:hAnsi="宋体"/>
          <w:sz w:val="24"/>
          <w:szCs w:val="24"/>
        </w:rPr>
      </w:pPr>
      <w:r>
        <w:rPr>
          <w:rFonts w:hint="eastAsia" w:ascii="宋体" w:hAnsi="宋体"/>
          <w:sz w:val="24"/>
          <w:szCs w:val="24"/>
        </w:rPr>
        <w:t>4、安装调试过程中发生的费用由中标单位负责。</w:t>
      </w:r>
    </w:p>
    <w:p>
      <w:pPr>
        <w:pStyle w:val="5"/>
        <w:numPr>
          <w:ilvl w:val="1"/>
          <w:numId w:val="27"/>
        </w:numPr>
      </w:pPr>
      <w:r>
        <w:rPr>
          <w:rFonts w:hint="eastAsia"/>
        </w:rPr>
        <w:t>质量保证要求</w:t>
      </w:r>
    </w:p>
    <w:p>
      <w:pPr>
        <w:spacing w:line="360" w:lineRule="auto"/>
        <w:ind w:firstLine="480" w:firstLineChars="200"/>
        <w:jc w:val="left"/>
        <w:rPr>
          <w:rFonts w:ascii="宋体" w:hAnsi="宋体"/>
          <w:sz w:val="24"/>
          <w:szCs w:val="24"/>
        </w:rPr>
      </w:pPr>
      <w:r>
        <w:rPr>
          <w:rFonts w:hint="eastAsia" w:ascii="宋体" w:hAnsi="宋体"/>
          <w:sz w:val="24"/>
          <w:szCs w:val="24"/>
        </w:rPr>
        <w:t>1、供应商须保证所提供产品符合国家有关规定。供应商须保证所提供产品具有合法的版权或使用权，本项目采购的产品，如在本项目范围内使用过程中出现版权或使用权纠纷，应由中标人负责，采购人不承担责任。</w:t>
      </w:r>
    </w:p>
    <w:p>
      <w:pPr>
        <w:spacing w:line="360" w:lineRule="auto"/>
        <w:ind w:firstLine="480" w:firstLineChars="200"/>
        <w:jc w:val="left"/>
        <w:rPr>
          <w:rFonts w:ascii="宋体" w:hAnsi="宋体"/>
          <w:sz w:val="24"/>
          <w:szCs w:val="24"/>
        </w:rPr>
      </w:pPr>
      <w:r>
        <w:rPr>
          <w:rFonts w:hint="eastAsia" w:ascii="宋体" w:hAnsi="宋体"/>
          <w:sz w:val="24"/>
          <w:szCs w:val="24"/>
        </w:rPr>
        <w:t>2、供应商必须保证解决项目所涉及的技术问题，如因技术原因无法满足采购人需求，由此产生的风险由供应商承担。</w:t>
      </w:r>
    </w:p>
    <w:p>
      <w:pPr>
        <w:pStyle w:val="5"/>
        <w:numPr>
          <w:ilvl w:val="1"/>
          <w:numId w:val="27"/>
        </w:numPr>
      </w:pPr>
      <w:r>
        <w:rPr>
          <w:rFonts w:hint="eastAsia"/>
        </w:rPr>
        <w:t>接口要求</w:t>
      </w:r>
    </w:p>
    <w:p>
      <w:pPr>
        <w:widowControl/>
        <w:spacing w:line="360" w:lineRule="auto"/>
        <w:ind w:firstLine="482" w:firstLineChars="200"/>
        <w:jc w:val="left"/>
        <w:rPr>
          <w:rFonts w:ascii="宋体" w:hAnsi="宋体" w:cs="Arial"/>
          <w:b/>
          <w:bCs/>
          <w:sz w:val="24"/>
          <w:szCs w:val="24"/>
        </w:rPr>
      </w:pPr>
      <w:r>
        <w:rPr>
          <w:rFonts w:hint="eastAsia" w:ascii="宋体" w:hAnsi="宋体"/>
          <w:b/>
          <w:bCs/>
          <w:kern w:val="0"/>
          <w:sz w:val="24"/>
          <w:szCs w:val="24"/>
        </w:rPr>
        <w:t>★</w:t>
      </w:r>
      <w:r>
        <w:rPr>
          <w:rFonts w:hint="eastAsia" w:ascii="宋体" w:hAnsi="宋体" w:cs="Arial"/>
          <w:b/>
          <w:bCs/>
          <w:sz w:val="24"/>
          <w:szCs w:val="24"/>
        </w:rPr>
        <w:t>投标人承诺投标价已包含以下接口费用，具体包括：</w:t>
      </w:r>
    </w:p>
    <w:p>
      <w:pPr>
        <w:adjustRightInd w:val="0"/>
        <w:spacing w:line="360" w:lineRule="auto"/>
        <w:ind w:firstLine="480" w:firstLineChars="200"/>
        <w:rPr>
          <w:rFonts w:ascii="宋体" w:hAnsi="宋体" w:cs="Times New Roman"/>
          <w:kern w:val="0"/>
          <w:sz w:val="24"/>
          <w:szCs w:val="24"/>
        </w:rPr>
      </w:pPr>
      <w:r>
        <w:rPr>
          <w:rFonts w:hint="eastAsia" w:ascii="宋体" w:hAnsi="宋体"/>
          <w:kern w:val="0"/>
          <w:sz w:val="24"/>
          <w:szCs w:val="24"/>
        </w:rPr>
        <w:t>与医院现有HIS系统、EMR系统和集成平台实现无缝对接，并保持数据互联互通，所产生的投标人接口费用。</w:t>
      </w:r>
    </w:p>
    <w:p>
      <w:pPr>
        <w:pStyle w:val="5"/>
        <w:numPr>
          <w:ilvl w:val="1"/>
          <w:numId w:val="27"/>
        </w:numPr>
      </w:pPr>
      <w:r>
        <w:rPr>
          <w:rFonts w:hint="eastAsia"/>
        </w:rPr>
        <w:t>技术服务</w:t>
      </w:r>
    </w:p>
    <w:p>
      <w:pPr>
        <w:spacing w:line="360" w:lineRule="auto"/>
        <w:ind w:firstLine="480" w:firstLineChars="200"/>
        <w:jc w:val="left"/>
        <w:rPr>
          <w:rFonts w:ascii="宋体" w:hAnsi="宋体"/>
          <w:sz w:val="24"/>
          <w:szCs w:val="24"/>
        </w:rPr>
      </w:pPr>
      <w:r>
        <w:rPr>
          <w:rFonts w:hint="eastAsia" w:ascii="宋体" w:hAnsi="宋体"/>
          <w:sz w:val="24"/>
          <w:szCs w:val="24"/>
        </w:rPr>
        <w:t>1、供应商应确保其技术建议以及所提供的设备的完整性、实用性，保证全部系统及时投入正常运行。否则若出现因供应商提供的设备不满足要求、不合理，或者其所提供的技术支持和服务不全面，而导致系统无法实现或不能完全实现的状况，供应商负全部责任。</w:t>
      </w:r>
    </w:p>
    <w:p>
      <w:pPr>
        <w:spacing w:line="360" w:lineRule="auto"/>
        <w:ind w:firstLine="480" w:firstLineChars="200"/>
        <w:jc w:val="left"/>
        <w:rPr>
          <w:rFonts w:ascii="宋体" w:hAnsi="宋体"/>
          <w:sz w:val="24"/>
          <w:szCs w:val="24"/>
        </w:rPr>
      </w:pPr>
      <w:r>
        <w:rPr>
          <w:rFonts w:hint="eastAsia" w:ascii="宋体" w:hAnsi="宋体"/>
          <w:sz w:val="24"/>
          <w:szCs w:val="24"/>
        </w:rPr>
        <w:t>2、特别提示：如招标文件中遗漏了必须具备的设备、配件或服务，请供应商在投标文件中指出，并提出解决方案供采购人、采购机构参考；中标人有义务保证采购人系统的完整性，如项目实施过程中因缺少设备、配件或服务导致采购人系统无法正常运行，中标人须承诺免费提供。</w:t>
      </w:r>
    </w:p>
    <w:p>
      <w:pPr>
        <w:pStyle w:val="5"/>
        <w:numPr>
          <w:ilvl w:val="1"/>
          <w:numId w:val="27"/>
        </w:numPr>
      </w:pPr>
      <w:r>
        <w:rPr>
          <w:rFonts w:hint="eastAsia"/>
        </w:rPr>
        <w:t>技术培训</w:t>
      </w:r>
    </w:p>
    <w:p>
      <w:pPr>
        <w:spacing w:line="360" w:lineRule="auto"/>
        <w:ind w:firstLine="480" w:firstLineChars="200"/>
        <w:jc w:val="left"/>
        <w:rPr>
          <w:rFonts w:ascii="宋体" w:hAnsi="宋体"/>
          <w:sz w:val="24"/>
          <w:szCs w:val="24"/>
        </w:rPr>
      </w:pPr>
      <w:r>
        <w:rPr>
          <w:rFonts w:hint="eastAsia" w:ascii="宋体" w:hAnsi="宋体"/>
          <w:sz w:val="24"/>
          <w:szCs w:val="24"/>
        </w:rPr>
        <w:t>中标人应免费为采购人提供系统的操作、使用及维护的技术培训服务。</w:t>
      </w:r>
    </w:p>
    <w:p>
      <w:pPr>
        <w:spacing w:line="360" w:lineRule="auto"/>
        <w:ind w:firstLine="480" w:firstLineChars="200"/>
        <w:jc w:val="left"/>
        <w:rPr>
          <w:rFonts w:ascii="宋体" w:hAnsi="宋体"/>
          <w:sz w:val="24"/>
          <w:szCs w:val="24"/>
        </w:rPr>
      </w:pPr>
      <w:r>
        <w:rPr>
          <w:rFonts w:hint="eastAsia" w:ascii="宋体" w:hAnsi="宋体"/>
          <w:sz w:val="24"/>
          <w:szCs w:val="24"/>
        </w:rPr>
        <w:t>培训目标：通过培训，使项目所涉及的系统管理员、设备使用人员和普通用户能全面了解整个系统，能顺利开展工作，确保整个系统安全可靠的运行，达到最大效益，也能促进系统使用人员增强维护和使用系统的技能，并具备一定的应用开发技术。</w:t>
      </w:r>
    </w:p>
    <w:p>
      <w:pPr>
        <w:spacing w:line="360" w:lineRule="auto"/>
        <w:ind w:firstLine="480" w:firstLineChars="200"/>
        <w:jc w:val="left"/>
        <w:rPr>
          <w:rFonts w:ascii="宋体" w:hAnsi="宋体"/>
          <w:sz w:val="24"/>
          <w:szCs w:val="24"/>
        </w:rPr>
      </w:pPr>
      <w:r>
        <w:rPr>
          <w:rFonts w:hint="eastAsia" w:ascii="宋体" w:hAnsi="宋体"/>
          <w:sz w:val="24"/>
          <w:szCs w:val="24"/>
        </w:rPr>
        <w:t>培训方式：授课+现场操作应用指导。</w:t>
      </w:r>
    </w:p>
    <w:p>
      <w:pPr>
        <w:spacing w:line="360" w:lineRule="auto"/>
        <w:ind w:firstLine="480" w:firstLineChars="200"/>
        <w:jc w:val="left"/>
        <w:rPr>
          <w:rFonts w:ascii="宋体" w:hAnsi="宋体"/>
          <w:sz w:val="24"/>
          <w:szCs w:val="24"/>
        </w:rPr>
      </w:pPr>
      <w:r>
        <w:rPr>
          <w:rFonts w:hint="eastAsia" w:ascii="宋体" w:hAnsi="宋体"/>
          <w:sz w:val="24"/>
          <w:szCs w:val="24"/>
        </w:rPr>
        <w:t>培训资料：向用户提供整个应用系统的技术说明、操作说明和相关的文档；提供多种培训课程和技术知识讲座资料；详细的培训计划安排表等。</w:t>
      </w:r>
    </w:p>
    <w:p>
      <w:pPr>
        <w:spacing w:line="360" w:lineRule="auto"/>
        <w:ind w:firstLine="480" w:firstLineChars="200"/>
        <w:jc w:val="left"/>
        <w:rPr>
          <w:rFonts w:ascii="宋体" w:hAnsi="宋体"/>
          <w:sz w:val="24"/>
          <w:szCs w:val="24"/>
        </w:rPr>
      </w:pPr>
      <w:r>
        <w:rPr>
          <w:rFonts w:hint="eastAsia" w:ascii="宋体" w:hAnsi="宋体"/>
          <w:sz w:val="24"/>
          <w:szCs w:val="24"/>
        </w:rPr>
        <w:t>供应商应在投标文件中提供详细的培训计划。</w:t>
      </w:r>
    </w:p>
    <w:p>
      <w:pPr>
        <w:spacing w:line="360" w:lineRule="auto"/>
        <w:ind w:firstLine="480" w:firstLineChars="200"/>
        <w:jc w:val="left"/>
        <w:rPr>
          <w:rFonts w:ascii="宋体" w:hAnsi="宋体"/>
          <w:sz w:val="24"/>
          <w:szCs w:val="24"/>
        </w:rPr>
      </w:pPr>
      <w:r>
        <w:rPr>
          <w:rFonts w:hint="eastAsia" w:ascii="宋体" w:hAnsi="宋体"/>
          <w:sz w:val="24"/>
          <w:szCs w:val="24"/>
        </w:rPr>
        <w:t>所有的培训费用必须计入投标总价。</w:t>
      </w:r>
    </w:p>
    <w:p>
      <w:pPr>
        <w:pStyle w:val="5"/>
        <w:numPr>
          <w:ilvl w:val="1"/>
          <w:numId w:val="27"/>
        </w:numPr>
      </w:pPr>
      <w:r>
        <w:rPr>
          <w:rFonts w:hint="eastAsia"/>
        </w:rPr>
        <w:t>项目验收</w:t>
      </w:r>
    </w:p>
    <w:p>
      <w:pPr>
        <w:spacing w:line="360" w:lineRule="auto"/>
        <w:ind w:firstLine="480" w:firstLineChars="200"/>
        <w:jc w:val="left"/>
        <w:rPr>
          <w:rFonts w:ascii="宋体" w:hAnsi="宋体"/>
          <w:sz w:val="24"/>
          <w:szCs w:val="24"/>
        </w:rPr>
      </w:pPr>
      <w:r>
        <w:rPr>
          <w:rFonts w:hint="eastAsia" w:ascii="宋体" w:hAnsi="宋体"/>
          <w:sz w:val="24"/>
          <w:szCs w:val="24"/>
        </w:rPr>
        <w:t>文档的提交应覆盖以下内容，电子文档是成果不可分割的部分。要求如下文档：</w:t>
      </w:r>
    </w:p>
    <w:p>
      <w:pPr>
        <w:spacing w:line="360" w:lineRule="auto"/>
        <w:ind w:firstLine="480" w:firstLineChars="200"/>
        <w:jc w:val="left"/>
        <w:rPr>
          <w:rFonts w:ascii="宋体" w:hAnsi="宋体"/>
          <w:sz w:val="24"/>
          <w:szCs w:val="24"/>
        </w:rPr>
      </w:pPr>
      <w:r>
        <w:rPr>
          <w:rFonts w:hint="eastAsia" w:ascii="宋体" w:hAnsi="宋体"/>
          <w:sz w:val="24"/>
          <w:szCs w:val="24"/>
        </w:rPr>
        <w:t>1、项目实施前：需求分析报告；施工方案、项目实施计划；</w:t>
      </w:r>
    </w:p>
    <w:p>
      <w:pPr>
        <w:spacing w:line="360" w:lineRule="auto"/>
        <w:ind w:firstLine="480" w:firstLineChars="200"/>
        <w:jc w:val="left"/>
        <w:rPr>
          <w:rFonts w:ascii="宋体" w:hAnsi="宋体"/>
          <w:sz w:val="24"/>
          <w:szCs w:val="24"/>
        </w:rPr>
      </w:pPr>
      <w:r>
        <w:rPr>
          <w:rFonts w:hint="eastAsia" w:ascii="宋体" w:hAnsi="宋体"/>
          <w:sz w:val="24"/>
          <w:szCs w:val="24"/>
        </w:rPr>
        <w:t>2、项目实施期间：项目实施工作单、故障诊断及排除记录、项目实施过程中衍生的其它相关资料；</w:t>
      </w:r>
    </w:p>
    <w:p>
      <w:pPr>
        <w:spacing w:line="360" w:lineRule="auto"/>
        <w:ind w:firstLine="480" w:firstLineChars="200"/>
        <w:jc w:val="left"/>
        <w:rPr>
          <w:rFonts w:ascii="宋体" w:hAnsi="宋体"/>
          <w:sz w:val="24"/>
          <w:szCs w:val="24"/>
        </w:rPr>
      </w:pPr>
      <w:r>
        <w:rPr>
          <w:rFonts w:hint="eastAsia" w:ascii="宋体" w:hAnsi="宋体"/>
          <w:sz w:val="24"/>
          <w:szCs w:val="24"/>
        </w:rPr>
        <w:t>3、项目实施后：系统试运行和自测报告、故障诊断与排除手册、工作总结报告；</w:t>
      </w:r>
    </w:p>
    <w:p>
      <w:pPr>
        <w:spacing w:line="360" w:lineRule="auto"/>
        <w:ind w:firstLine="480" w:firstLineChars="200"/>
        <w:jc w:val="left"/>
        <w:rPr>
          <w:rFonts w:ascii="宋体" w:hAnsi="宋体"/>
          <w:sz w:val="24"/>
          <w:szCs w:val="24"/>
        </w:rPr>
      </w:pPr>
      <w:r>
        <w:rPr>
          <w:rFonts w:hint="eastAsia" w:ascii="宋体" w:hAnsi="宋体"/>
          <w:sz w:val="24"/>
          <w:szCs w:val="24"/>
        </w:rPr>
        <w:t>4、培训期间：培训计划、用户使用手册、管理员使用手册；</w:t>
      </w:r>
    </w:p>
    <w:p>
      <w:pPr>
        <w:spacing w:line="360" w:lineRule="auto"/>
        <w:ind w:firstLine="480" w:firstLineChars="200"/>
        <w:jc w:val="left"/>
        <w:rPr>
          <w:rFonts w:ascii="宋体" w:hAnsi="宋体"/>
          <w:sz w:val="24"/>
          <w:szCs w:val="24"/>
        </w:rPr>
      </w:pPr>
      <w:r>
        <w:rPr>
          <w:rFonts w:hint="eastAsia" w:ascii="宋体" w:hAnsi="宋体"/>
          <w:sz w:val="24"/>
          <w:szCs w:val="24"/>
        </w:rPr>
        <w:t>5、其他需要提交的材料。</w:t>
      </w:r>
    </w:p>
    <w:p>
      <w:pPr>
        <w:pStyle w:val="5"/>
        <w:numPr>
          <w:ilvl w:val="1"/>
          <w:numId w:val="27"/>
        </w:numPr>
      </w:pPr>
      <w:r>
        <w:rPr>
          <w:rFonts w:hint="eastAsia"/>
        </w:rPr>
        <w:t>维保费用要求</w:t>
      </w:r>
    </w:p>
    <w:p>
      <w:pPr>
        <w:spacing w:line="360" w:lineRule="auto"/>
        <w:ind w:firstLine="480" w:firstLineChars="200"/>
        <w:jc w:val="left"/>
        <w:rPr>
          <w:rFonts w:hint="eastAsia" w:ascii="宋体" w:hAnsi="宋体" w:eastAsia="宋体" w:cs="宋体"/>
          <w:b/>
          <w:color w:val="auto"/>
          <w:sz w:val="36"/>
          <w:szCs w:val="36"/>
          <w:highlight w:val="none"/>
        </w:rPr>
      </w:pPr>
      <w:r>
        <w:rPr>
          <w:rFonts w:hint="eastAsia" w:ascii="宋体" w:hAnsi="宋体"/>
          <w:sz w:val="24"/>
          <w:szCs w:val="24"/>
        </w:rPr>
        <w:t>在项目终验完成后软件提供1年的免费维保服务。提供7×24小时技术支持服务。免费运行维护服务内，</w:t>
      </w:r>
      <w:bookmarkStart w:id="388" w:name="_GoBack"/>
      <w:r>
        <w:rPr>
          <w:rFonts w:hint="eastAsia" w:ascii="宋体" w:hAnsi="宋体"/>
          <w:sz w:val="24"/>
          <w:szCs w:val="24"/>
          <w:highlight w:val="none"/>
        </w:rPr>
        <w:t>对客户的反映的任何问题响应时限为2小时内，如需现场维护，响应服务3小时内，特</w:t>
      </w:r>
      <w:bookmarkEnd w:id="388"/>
      <w:r>
        <w:rPr>
          <w:rFonts w:hint="eastAsia" w:ascii="宋体" w:hAnsi="宋体"/>
          <w:sz w:val="24"/>
          <w:szCs w:val="24"/>
        </w:rPr>
        <w:t>殊情况在24小时内无法修复的，须提供备用方案，保证项目的稳定运行。</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1" w:name="_Toc184314464"/>
      <w:bookmarkEnd w:id="11"/>
      <w:bookmarkStart w:id="12" w:name="_Toc184314436"/>
      <w:bookmarkEnd w:id="12"/>
      <w:bookmarkStart w:id="13" w:name="_Toc184310311"/>
      <w:bookmarkEnd w:id="13"/>
      <w:bookmarkStart w:id="14" w:name="_Toc184314457"/>
      <w:bookmarkEnd w:id="14"/>
      <w:bookmarkStart w:id="15" w:name="_Toc184313271"/>
      <w:bookmarkEnd w:id="15"/>
      <w:bookmarkStart w:id="16" w:name="_Toc184314423"/>
      <w:bookmarkEnd w:id="16"/>
      <w:bookmarkStart w:id="17" w:name="_Toc184312105"/>
      <w:bookmarkEnd w:id="17"/>
      <w:bookmarkStart w:id="18" w:name="_Toc184308107"/>
      <w:bookmarkEnd w:id="18"/>
      <w:bookmarkStart w:id="19" w:name="_Toc184313250"/>
      <w:bookmarkEnd w:id="19"/>
      <w:bookmarkStart w:id="20" w:name="_Toc184313249"/>
      <w:bookmarkEnd w:id="20"/>
      <w:bookmarkStart w:id="21" w:name="_Toc184312119"/>
      <w:bookmarkEnd w:id="21"/>
      <w:bookmarkStart w:id="22" w:name="_Toc184310307"/>
      <w:bookmarkEnd w:id="22"/>
      <w:bookmarkStart w:id="23" w:name="_Toc184314460"/>
      <w:bookmarkEnd w:id="23"/>
      <w:bookmarkStart w:id="24" w:name="_Toc184310317"/>
      <w:bookmarkEnd w:id="24"/>
      <w:bookmarkStart w:id="25" w:name="_Toc184310313"/>
      <w:bookmarkEnd w:id="25"/>
      <w:bookmarkStart w:id="26" w:name="_Toc184314410"/>
      <w:bookmarkEnd w:id="26"/>
      <w:bookmarkStart w:id="27" w:name="_Toc184314426"/>
      <w:bookmarkEnd w:id="27"/>
      <w:bookmarkStart w:id="28" w:name="_Toc184310310"/>
      <w:bookmarkEnd w:id="28"/>
      <w:bookmarkStart w:id="29" w:name="_Toc184312076"/>
      <w:bookmarkEnd w:id="29"/>
      <w:bookmarkStart w:id="30" w:name="_Toc184310344"/>
      <w:bookmarkEnd w:id="30"/>
      <w:bookmarkStart w:id="31" w:name="_Toc184313262"/>
      <w:bookmarkEnd w:id="31"/>
      <w:bookmarkStart w:id="32" w:name="_Toc184314458"/>
      <w:bookmarkEnd w:id="32"/>
      <w:bookmarkStart w:id="33" w:name="_Toc184314411"/>
      <w:bookmarkEnd w:id="33"/>
      <w:bookmarkStart w:id="34" w:name="_Toc184308083"/>
      <w:bookmarkEnd w:id="34"/>
      <w:bookmarkStart w:id="35" w:name="_Toc184313309"/>
      <w:bookmarkEnd w:id="35"/>
      <w:bookmarkStart w:id="36" w:name="_Toc184308036"/>
      <w:bookmarkEnd w:id="36"/>
      <w:bookmarkStart w:id="37" w:name="_Toc184313277"/>
      <w:bookmarkEnd w:id="37"/>
      <w:bookmarkStart w:id="38" w:name="_Toc184314420"/>
      <w:bookmarkEnd w:id="38"/>
      <w:bookmarkStart w:id="39" w:name="_Toc184312079"/>
      <w:bookmarkEnd w:id="39"/>
      <w:bookmarkStart w:id="40" w:name="_Toc184312099"/>
      <w:bookmarkEnd w:id="40"/>
      <w:bookmarkStart w:id="41" w:name="_Toc184312126"/>
      <w:bookmarkEnd w:id="41"/>
      <w:bookmarkStart w:id="42" w:name="_Toc184314474"/>
      <w:bookmarkEnd w:id="42"/>
      <w:bookmarkStart w:id="43" w:name="_Toc184314425"/>
      <w:bookmarkEnd w:id="43"/>
      <w:bookmarkStart w:id="44" w:name="_Toc184310283"/>
      <w:bookmarkEnd w:id="44"/>
      <w:bookmarkStart w:id="45" w:name="_Toc184310327"/>
      <w:bookmarkEnd w:id="45"/>
      <w:bookmarkStart w:id="46" w:name="_Toc184312139"/>
      <w:bookmarkEnd w:id="46"/>
      <w:bookmarkStart w:id="47" w:name="_Toc184310303"/>
      <w:bookmarkEnd w:id="47"/>
      <w:bookmarkStart w:id="48" w:name="_Toc184308038"/>
      <w:bookmarkEnd w:id="48"/>
      <w:bookmarkStart w:id="49" w:name="_Toc184308086"/>
      <w:bookmarkEnd w:id="49"/>
      <w:bookmarkStart w:id="50" w:name="_Toc184312116"/>
      <w:bookmarkEnd w:id="50"/>
      <w:bookmarkStart w:id="51" w:name="_Toc184313261"/>
      <w:bookmarkEnd w:id="51"/>
      <w:bookmarkStart w:id="52" w:name="_Toc184314422"/>
      <w:bookmarkEnd w:id="52"/>
      <w:bookmarkStart w:id="53" w:name="_Toc184308084"/>
      <w:bookmarkEnd w:id="53"/>
      <w:bookmarkStart w:id="54" w:name="_Toc184310276"/>
      <w:bookmarkEnd w:id="54"/>
      <w:bookmarkStart w:id="55" w:name="_Toc184313239"/>
      <w:bookmarkEnd w:id="55"/>
      <w:bookmarkStart w:id="56" w:name="_Toc184314449"/>
      <w:bookmarkEnd w:id="56"/>
      <w:bookmarkStart w:id="57" w:name="_Toc184314462"/>
      <w:bookmarkEnd w:id="57"/>
      <w:bookmarkStart w:id="58" w:name="_Toc184314445"/>
      <w:bookmarkEnd w:id="58"/>
      <w:bookmarkStart w:id="59" w:name="_Toc184308088"/>
      <w:bookmarkEnd w:id="59"/>
      <w:bookmarkStart w:id="60" w:name="_Toc184310325"/>
      <w:bookmarkEnd w:id="60"/>
      <w:bookmarkStart w:id="61" w:name="_Toc184312109"/>
      <w:bookmarkEnd w:id="61"/>
      <w:bookmarkStart w:id="62" w:name="_Toc184314451"/>
      <w:bookmarkEnd w:id="62"/>
      <w:bookmarkStart w:id="63" w:name="_Toc184312071"/>
      <w:bookmarkEnd w:id="63"/>
      <w:bookmarkStart w:id="64" w:name="_Toc184313241"/>
      <w:bookmarkEnd w:id="64"/>
      <w:bookmarkStart w:id="65" w:name="_Toc184313293"/>
      <w:bookmarkEnd w:id="65"/>
      <w:bookmarkStart w:id="66" w:name="_Toc184310338"/>
      <w:bookmarkEnd w:id="66"/>
      <w:bookmarkStart w:id="67" w:name="_Toc184313252"/>
      <w:bookmarkEnd w:id="67"/>
      <w:bookmarkStart w:id="68" w:name="_Toc184314453"/>
      <w:bookmarkEnd w:id="68"/>
      <w:bookmarkStart w:id="69" w:name="_Toc184310284"/>
      <w:bookmarkEnd w:id="69"/>
      <w:bookmarkStart w:id="70" w:name="_Toc184310341"/>
      <w:bookmarkEnd w:id="70"/>
      <w:bookmarkStart w:id="71" w:name="_Toc184313238"/>
      <w:bookmarkEnd w:id="71"/>
      <w:bookmarkStart w:id="72" w:name="_Toc184310308"/>
      <w:bookmarkEnd w:id="72"/>
      <w:bookmarkStart w:id="73" w:name="_Toc184308039"/>
      <w:bookmarkEnd w:id="73"/>
      <w:bookmarkStart w:id="74" w:name="_Toc184314431"/>
      <w:bookmarkEnd w:id="74"/>
      <w:bookmarkStart w:id="75" w:name="_Toc184308078"/>
      <w:bookmarkEnd w:id="75"/>
      <w:bookmarkStart w:id="76" w:name="_Toc184312095"/>
      <w:bookmarkEnd w:id="76"/>
      <w:bookmarkStart w:id="77" w:name="_Toc184312131"/>
      <w:bookmarkEnd w:id="77"/>
      <w:bookmarkStart w:id="78" w:name="_Toc184310290"/>
      <w:bookmarkEnd w:id="78"/>
      <w:bookmarkStart w:id="79" w:name="_Toc184312115"/>
      <w:bookmarkEnd w:id="79"/>
      <w:bookmarkStart w:id="80" w:name="_Toc184310301"/>
      <w:bookmarkEnd w:id="80"/>
      <w:bookmarkStart w:id="81" w:name="_Toc184310304"/>
      <w:bookmarkEnd w:id="81"/>
      <w:bookmarkStart w:id="82" w:name="_Toc184308066"/>
      <w:bookmarkEnd w:id="82"/>
      <w:bookmarkStart w:id="83" w:name="_Toc184312132"/>
      <w:bookmarkEnd w:id="83"/>
      <w:bookmarkStart w:id="84" w:name="_Toc184313310"/>
      <w:bookmarkEnd w:id="84"/>
      <w:bookmarkStart w:id="85" w:name="_Toc184310295"/>
      <w:bookmarkEnd w:id="85"/>
      <w:bookmarkStart w:id="86" w:name="_Toc184310315"/>
      <w:bookmarkEnd w:id="86"/>
      <w:bookmarkStart w:id="87" w:name="_Toc184312122"/>
      <w:bookmarkEnd w:id="87"/>
      <w:bookmarkStart w:id="88" w:name="_Toc184308052"/>
      <w:bookmarkEnd w:id="88"/>
      <w:bookmarkStart w:id="89" w:name="_Toc184313269"/>
      <w:bookmarkEnd w:id="89"/>
      <w:bookmarkStart w:id="90" w:name="_Toc184313247"/>
      <w:bookmarkEnd w:id="90"/>
      <w:bookmarkStart w:id="91" w:name="_Toc184312121"/>
      <w:bookmarkEnd w:id="91"/>
      <w:bookmarkStart w:id="92" w:name="_Toc184313283"/>
      <w:bookmarkEnd w:id="92"/>
      <w:bookmarkStart w:id="93" w:name="_Toc184312102"/>
      <w:bookmarkEnd w:id="93"/>
      <w:bookmarkStart w:id="94" w:name="_Toc184312068"/>
      <w:bookmarkEnd w:id="94"/>
      <w:bookmarkStart w:id="95" w:name="_Toc184314419"/>
      <w:bookmarkEnd w:id="95"/>
      <w:bookmarkStart w:id="96" w:name="_Toc184313281"/>
      <w:bookmarkEnd w:id="96"/>
      <w:bookmarkStart w:id="97" w:name="_Toc184314438"/>
      <w:bookmarkEnd w:id="97"/>
      <w:bookmarkStart w:id="98" w:name="_Toc184308102"/>
      <w:bookmarkEnd w:id="98"/>
      <w:bookmarkStart w:id="99" w:name="_Toc184314442"/>
      <w:bookmarkEnd w:id="99"/>
      <w:bookmarkStart w:id="100" w:name="_Toc184313279"/>
      <w:bookmarkEnd w:id="100"/>
      <w:bookmarkStart w:id="101" w:name="_Toc184313274"/>
      <w:bookmarkEnd w:id="101"/>
      <w:bookmarkStart w:id="102" w:name="_Toc184310343"/>
      <w:bookmarkEnd w:id="102"/>
      <w:bookmarkStart w:id="103" w:name="_Toc184312078"/>
      <w:bookmarkEnd w:id="103"/>
      <w:bookmarkStart w:id="104" w:name="_Toc184312098"/>
      <w:bookmarkEnd w:id="104"/>
      <w:bookmarkStart w:id="105" w:name="_Toc184312097"/>
      <w:bookmarkEnd w:id="105"/>
      <w:bookmarkStart w:id="106" w:name="_Toc184312123"/>
      <w:bookmarkEnd w:id="106"/>
      <w:bookmarkStart w:id="107" w:name="_Toc184312081"/>
      <w:bookmarkEnd w:id="107"/>
      <w:bookmarkStart w:id="108" w:name="_Toc184314481"/>
      <w:bookmarkEnd w:id="108"/>
      <w:bookmarkStart w:id="109" w:name="_Toc184314421"/>
      <w:bookmarkEnd w:id="109"/>
      <w:bookmarkStart w:id="110" w:name="_Toc184312114"/>
      <w:bookmarkEnd w:id="110"/>
      <w:bookmarkStart w:id="111" w:name="_Toc184308063"/>
      <w:bookmarkEnd w:id="111"/>
      <w:bookmarkStart w:id="112" w:name="_Toc184312101"/>
      <w:bookmarkEnd w:id="112"/>
      <w:bookmarkStart w:id="113" w:name="_Toc184310326"/>
      <w:bookmarkEnd w:id="113"/>
      <w:bookmarkStart w:id="114" w:name="_Toc184310305"/>
      <w:bookmarkEnd w:id="114"/>
      <w:bookmarkStart w:id="115" w:name="_Toc184308074"/>
      <w:bookmarkEnd w:id="115"/>
      <w:bookmarkStart w:id="116" w:name="_Toc184314447"/>
      <w:bookmarkEnd w:id="116"/>
      <w:bookmarkStart w:id="117" w:name="_Toc184312083"/>
      <w:bookmarkEnd w:id="117"/>
      <w:bookmarkStart w:id="118" w:name="_Toc184310324"/>
      <w:bookmarkEnd w:id="118"/>
      <w:bookmarkStart w:id="119" w:name="_Toc184310328"/>
      <w:bookmarkEnd w:id="119"/>
      <w:bookmarkStart w:id="120" w:name="_Toc184312118"/>
      <w:bookmarkEnd w:id="120"/>
      <w:bookmarkStart w:id="121" w:name="_Toc184314433"/>
      <w:bookmarkEnd w:id="121"/>
      <w:bookmarkStart w:id="122" w:name="_Toc184308099"/>
      <w:bookmarkEnd w:id="122"/>
      <w:bookmarkStart w:id="123" w:name="_Toc184312087"/>
      <w:bookmarkEnd w:id="123"/>
      <w:bookmarkStart w:id="124" w:name="_Toc184313246"/>
      <w:bookmarkEnd w:id="124"/>
      <w:bookmarkStart w:id="125" w:name="_Toc184313295"/>
      <w:bookmarkEnd w:id="125"/>
      <w:bookmarkStart w:id="126" w:name="_Toc184313259"/>
      <w:bookmarkEnd w:id="126"/>
      <w:bookmarkStart w:id="127" w:name="_Toc184313257"/>
      <w:bookmarkEnd w:id="127"/>
      <w:bookmarkStart w:id="128" w:name="_Toc184310280"/>
      <w:bookmarkEnd w:id="128"/>
      <w:bookmarkStart w:id="129" w:name="_Toc184313300"/>
      <w:bookmarkEnd w:id="129"/>
      <w:bookmarkStart w:id="130" w:name="_Toc184310296"/>
      <w:bookmarkEnd w:id="130"/>
      <w:bookmarkStart w:id="131" w:name="_Toc184310334"/>
      <w:bookmarkEnd w:id="131"/>
      <w:bookmarkStart w:id="132" w:name="_Toc184314472"/>
      <w:bookmarkEnd w:id="132"/>
      <w:bookmarkStart w:id="133" w:name="_Toc184312111"/>
      <w:bookmarkEnd w:id="133"/>
      <w:bookmarkStart w:id="134" w:name="_Toc184313305"/>
      <w:bookmarkEnd w:id="134"/>
      <w:bookmarkStart w:id="135" w:name="_Toc184312133"/>
      <w:bookmarkEnd w:id="135"/>
      <w:bookmarkStart w:id="136" w:name="_Toc184313303"/>
      <w:bookmarkEnd w:id="136"/>
      <w:bookmarkStart w:id="137" w:name="_Toc184312077"/>
      <w:bookmarkEnd w:id="137"/>
      <w:bookmarkStart w:id="138" w:name="_Toc184314477"/>
      <w:bookmarkEnd w:id="138"/>
      <w:bookmarkStart w:id="139" w:name="_Toc184312129"/>
      <w:bookmarkEnd w:id="139"/>
      <w:bookmarkStart w:id="140" w:name="_Toc184313260"/>
      <w:bookmarkEnd w:id="140"/>
      <w:bookmarkStart w:id="141" w:name="_Toc184313255"/>
      <w:bookmarkEnd w:id="141"/>
      <w:bookmarkStart w:id="142" w:name="_Toc184314476"/>
      <w:bookmarkEnd w:id="142"/>
      <w:bookmarkStart w:id="143" w:name="_Toc184308080"/>
      <w:bookmarkEnd w:id="143"/>
      <w:bookmarkStart w:id="144" w:name="_Toc184312110"/>
      <w:bookmarkEnd w:id="144"/>
      <w:bookmarkStart w:id="145" w:name="_Toc184310332"/>
      <w:bookmarkEnd w:id="145"/>
      <w:bookmarkStart w:id="146" w:name="_Toc184312085"/>
      <w:bookmarkEnd w:id="146"/>
      <w:bookmarkStart w:id="147" w:name="_Toc184312094"/>
      <w:bookmarkEnd w:id="147"/>
      <w:bookmarkStart w:id="148" w:name="_Toc184310291"/>
      <w:bookmarkEnd w:id="148"/>
      <w:bookmarkStart w:id="149" w:name="_Toc184310340"/>
      <w:bookmarkEnd w:id="149"/>
      <w:bookmarkStart w:id="150" w:name="_Toc184314468"/>
      <w:bookmarkEnd w:id="150"/>
      <w:bookmarkStart w:id="151" w:name="_Toc184313304"/>
      <w:bookmarkEnd w:id="151"/>
      <w:bookmarkStart w:id="152" w:name="_Toc184308104"/>
      <w:bookmarkEnd w:id="152"/>
      <w:bookmarkStart w:id="153" w:name="_Toc184313284"/>
      <w:bookmarkEnd w:id="153"/>
      <w:bookmarkStart w:id="154" w:name="_Toc184312135"/>
      <w:bookmarkEnd w:id="154"/>
      <w:bookmarkStart w:id="155" w:name="_Toc184313258"/>
      <w:bookmarkEnd w:id="155"/>
      <w:bookmarkStart w:id="156" w:name="_Toc184308061"/>
      <w:bookmarkEnd w:id="156"/>
      <w:bookmarkStart w:id="157" w:name="_Toc184314412"/>
      <w:bookmarkEnd w:id="157"/>
      <w:bookmarkStart w:id="158" w:name="_Toc184314448"/>
      <w:bookmarkEnd w:id="158"/>
      <w:bookmarkStart w:id="159" w:name="_Toc184313242"/>
      <w:bookmarkEnd w:id="159"/>
      <w:bookmarkStart w:id="160" w:name="_Toc184308059"/>
      <w:bookmarkEnd w:id="160"/>
      <w:bookmarkStart w:id="161" w:name="_Toc184314424"/>
      <w:bookmarkEnd w:id="161"/>
      <w:bookmarkStart w:id="162" w:name="_Toc184314414"/>
      <w:bookmarkEnd w:id="162"/>
      <w:bookmarkStart w:id="163" w:name="_Toc184312073"/>
      <w:bookmarkEnd w:id="163"/>
      <w:bookmarkStart w:id="164" w:name="_Toc184314435"/>
      <w:bookmarkEnd w:id="164"/>
      <w:bookmarkStart w:id="165" w:name="_Toc184312069"/>
      <w:bookmarkEnd w:id="165"/>
      <w:bookmarkStart w:id="166" w:name="_Toc184312124"/>
      <w:bookmarkEnd w:id="166"/>
      <w:bookmarkStart w:id="167" w:name="_Toc184308056"/>
      <w:bookmarkEnd w:id="167"/>
      <w:bookmarkStart w:id="168" w:name="_Toc184308101"/>
      <w:bookmarkEnd w:id="168"/>
      <w:bookmarkStart w:id="169" w:name="_Toc184314428"/>
      <w:bookmarkEnd w:id="169"/>
      <w:bookmarkStart w:id="170" w:name="_Toc184310337"/>
      <w:bookmarkEnd w:id="170"/>
      <w:bookmarkStart w:id="171" w:name="_Toc184312072"/>
      <w:bookmarkEnd w:id="171"/>
      <w:bookmarkStart w:id="172" w:name="_Toc184314416"/>
      <w:bookmarkEnd w:id="172"/>
      <w:bookmarkStart w:id="173" w:name="_Toc184308055"/>
      <w:bookmarkEnd w:id="173"/>
      <w:bookmarkStart w:id="174" w:name="_Toc184313263"/>
      <w:bookmarkEnd w:id="174"/>
      <w:bookmarkStart w:id="175" w:name="_Toc184312106"/>
      <w:bookmarkEnd w:id="175"/>
      <w:bookmarkStart w:id="176" w:name="_Toc184308037"/>
      <w:bookmarkEnd w:id="176"/>
      <w:bookmarkStart w:id="177" w:name="_Toc184310293"/>
      <w:bookmarkEnd w:id="177"/>
      <w:bookmarkStart w:id="178" w:name="_Toc184310274"/>
      <w:bookmarkEnd w:id="178"/>
      <w:bookmarkStart w:id="179" w:name="_Toc184310330"/>
      <w:bookmarkEnd w:id="179"/>
      <w:bookmarkStart w:id="180" w:name="_Toc184314430"/>
      <w:bookmarkEnd w:id="180"/>
      <w:bookmarkStart w:id="181" w:name="_Toc184310289"/>
      <w:bookmarkEnd w:id="181"/>
      <w:bookmarkStart w:id="182" w:name="_Toc184313244"/>
      <w:bookmarkEnd w:id="182"/>
      <w:bookmarkStart w:id="183" w:name="_Toc184314434"/>
      <w:bookmarkEnd w:id="183"/>
      <w:bookmarkStart w:id="184" w:name="_Toc184314432"/>
      <w:bookmarkEnd w:id="184"/>
      <w:bookmarkStart w:id="185" w:name="_Toc184308096"/>
      <w:bookmarkEnd w:id="185"/>
      <w:bookmarkStart w:id="186" w:name="_Toc184308048"/>
      <w:bookmarkEnd w:id="186"/>
      <w:bookmarkStart w:id="187" w:name="_Toc184313285"/>
      <w:bookmarkEnd w:id="187"/>
      <w:bookmarkStart w:id="188" w:name="_Toc184310309"/>
      <w:bookmarkEnd w:id="188"/>
      <w:bookmarkStart w:id="189" w:name="_Toc184308095"/>
      <w:bookmarkEnd w:id="189"/>
      <w:bookmarkStart w:id="190" w:name="_Toc184310306"/>
      <w:bookmarkEnd w:id="190"/>
      <w:bookmarkStart w:id="191" w:name="_Toc184313265"/>
      <w:bookmarkEnd w:id="191"/>
      <w:bookmarkStart w:id="192" w:name="_Toc184313270"/>
      <w:bookmarkEnd w:id="192"/>
      <w:bookmarkStart w:id="193" w:name="_Toc184314440"/>
      <w:bookmarkEnd w:id="193"/>
      <w:bookmarkStart w:id="194" w:name="_Toc184312138"/>
      <w:bookmarkEnd w:id="194"/>
      <w:bookmarkStart w:id="195" w:name="_Toc184313272"/>
      <w:bookmarkEnd w:id="195"/>
      <w:bookmarkStart w:id="196" w:name="_Toc184310299"/>
      <w:bookmarkEnd w:id="196"/>
      <w:bookmarkStart w:id="197" w:name="_Toc184312093"/>
      <w:bookmarkEnd w:id="197"/>
      <w:bookmarkStart w:id="198" w:name="_Toc184312090"/>
      <w:bookmarkEnd w:id="198"/>
      <w:bookmarkStart w:id="199" w:name="_Toc184308069"/>
      <w:bookmarkEnd w:id="199"/>
      <w:bookmarkStart w:id="200" w:name="_Toc184313268"/>
      <w:bookmarkEnd w:id="200"/>
      <w:bookmarkStart w:id="201" w:name="_Toc184308079"/>
      <w:bookmarkEnd w:id="201"/>
      <w:bookmarkStart w:id="202" w:name="_Toc184313286"/>
      <w:bookmarkEnd w:id="202"/>
      <w:bookmarkStart w:id="203" w:name="_Toc184314441"/>
      <w:bookmarkEnd w:id="203"/>
      <w:bookmarkStart w:id="204" w:name="_Toc184314427"/>
      <w:bookmarkEnd w:id="204"/>
      <w:bookmarkStart w:id="205" w:name="_Toc184312137"/>
      <w:bookmarkEnd w:id="205"/>
      <w:bookmarkStart w:id="206" w:name="_Toc184313308"/>
      <w:bookmarkEnd w:id="206"/>
      <w:bookmarkStart w:id="207" w:name="_Toc184313264"/>
      <w:bookmarkEnd w:id="207"/>
      <w:bookmarkStart w:id="208" w:name="_Toc184312082"/>
      <w:bookmarkEnd w:id="208"/>
      <w:bookmarkStart w:id="209" w:name="_Toc184310300"/>
      <w:bookmarkEnd w:id="209"/>
      <w:bookmarkStart w:id="210" w:name="_Toc184314479"/>
      <w:bookmarkEnd w:id="210"/>
      <w:bookmarkStart w:id="211" w:name="_Toc184310319"/>
      <w:bookmarkEnd w:id="211"/>
      <w:bookmarkStart w:id="212" w:name="_Toc184308082"/>
      <w:bookmarkEnd w:id="212"/>
      <w:bookmarkStart w:id="213" w:name="_Toc184313248"/>
      <w:bookmarkEnd w:id="213"/>
      <w:bookmarkStart w:id="214" w:name="_Toc184312080"/>
      <w:bookmarkEnd w:id="214"/>
      <w:bookmarkStart w:id="215" w:name="_Toc184308067"/>
      <w:bookmarkEnd w:id="215"/>
      <w:bookmarkStart w:id="216" w:name="_Toc184313289"/>
      <w:bookmarkEnd w:id="216"/>
      <w:bookmarkStart w:id="217" w:name="_Toc184310272"/>
      <w:bookmarkEnd w:id="217"/>
      <w:bookmarkStart w:id="218" w:name="_Toc184312103"/>
      <w:bookmarkEnd w:id="218"/>
      <w:bookmarkStart w:id="219" w:name="_Toc184314469"/>
      <w:bookmarkEnd w:id="219"/>
      <w:bookmarkStart w:id="220" w:name="_Toc184314417"/>
      <w:bookmarkEnd w:id="220"/>
      <w:bookmarkStart w:id="221" w:name="_Toc184312096"/>
      <w:bookmarkEnd w:id="221"/>
      <w:bookmarkStart w:id="222" w:name="_Toc184314439"/>
      <w:bookmarkEnd w:id="222"/>
      <w:bookmarkStart w:id="223" w:name="_Toc184308058"/>
      <w:bookmarkEnd w:id="223"/>
      <w:bookmarkStart w:id="224" w:name="_Toc184308075"/>
      <w:bookmarkEnd w:id="224"/>
      <w:bookmarkStart w:id="225" w:name="_Toc184313297"/>
      <w:bookmarkEnd w:id="225"/>
      <w:bookmarkStart w:id="226" w:name="_Toc184308077"/>
      <w:bookmarkEnd w:id="226"/>
      <w:bookmarkStart w:id="227" w:name="_Toc184308087"/>
      <w:bookmarkEnd w:id="227"/>
      <w:bookmarkStart w:id="228" w:name="_Toc184314456"/>
      <w:bookmarkEnd w:id="228"/>
      <w:bookmarkStart w:id="229" w:name="_Toc184308051"/>
      <w:bookmarkEnd w:id="229"/>
      <w:bookmarkStart w:id="230" w:name="_Toc184313256"/>
      <w:bookmarkEnd w:id="230"/>
      <w:bookmarkStart w:id="231" w:name="_Toc184308091"/>
      <w:bookmarkEnd w:id="231"/>
      <w:bookmarkStart w:id="232" w:name="_Toc184313288"/>
      <w:bookmarkEnd w:id="232"/>
      <w:bookmarkStart w:id="233" w:name="_Toc184313282"/>
      <w:bookmarkEnd w:id="233"/>
      <w:bookmarkStart w:id="234" w:name="_Toc184308094"/>
      <w:bookmarkEnd w:id="234"/>
      <w:bookmarkStart w:id="235" w:name="_Toc184314461"/>
      <w:bookmarkEnd w:id="235"/>
      <w:bookmarkStart w:id="236" w:name="_Toc184308060"/>
      <w:bookmarkEnd w:id="236"/>
      <w:bookmarkStart w:id="237" w:name="_Toc184310297"/>
      <w:bookmarkEnd w:id="237"/>
      <w:bookmarkStart w:id="238" w:name="_Toc184310302"/>
      <w:bookmarkEnd w:id="238"/>
      <w:bookmarkStart w:id="239" w:name="_Toc184308108"/>
      <w:bookmarkEnd w:id="239"/>
      <w:bookmarkStart w:id="240" w:name="_Toc184308100"/>
      <w:bookmarkEnd w:id="240"/>
      <w:bookmarkStart w:id="241" w:name="_Toc184312100"/>
      <w:bookmarkEnd w:id="241"/>
      <w:bookmarkStart w:id="242" w:name="_Toc184312136"/>
      <w:bookmarkEnd w:id="242"/>
      <w:bookmarkStart w:id="243" w:name="_Toc184308071"/>
      <w:bookmarkEnd w:id="243"/>
      <w:bookmarkStart w:id="244" w:name="_Toc184314413"/>
      <w:bookmarkEnd w:id="244"/>
      <w:bookmarkStart w:id="245" w:name="_Toc184313296"/>
      <w:bookmarkEnd w:id="245"/>
      <w:bookmarkStart w:id="246" w:name="_Toc184312092"/>
      <w:bookmarkEnd w:id="246"/>
      <w:bookmarkStart w:id="247" w:name="_Toc184308068"/>
      <w:bookmarkEnd w:id="247"/>
      <w:bookmarkStart w:id="248" w:name="_Toc184313276"/>
      <w:bookmarkEnd w:id="248"/>
      <w:bookmarkStart w:id="249" w:name="_Toc184308085"/>
      <w:bookmarkEnd w:id="249"/>
      <w:bookmarkStart w:id="250" w:name="_Toc184312112"/>
      <w:bookmarkEnd w:id="250"/>
      <w:bookmarkStart w:id="251" w:name="_Toc184312104"/>
      <w:bookmarkEnd w:id="251"/>
      <w:bookmarkStart w:id="252" w:name="_Toc184314480"/>
      <w:bookmarkEnd w:id="252"/>
      <w:bookmarkStart w:id="253" w:name="_Toc184313306"/>
      <w:bookmarkEnd w:id="253"/>
      <w:bookmarkStart w:id="254" w:name="_Toc184310331"/>
      <w:bookmarkEnd w:id="254"/>
      <w:bookmarkStart w:id="255" w:name="_Toc184313302"/>
      <w:bookmarkEnd w:id="255"/>
      <w:bookmarkStart w:id="256" w:name="_Toc184312134"/>
      <w:bookmarkEnd w:id="256"/>
      <w:bookmarkStart w:id="257" w:name="_Toc184312067"/>
      <w:bookmarkEnd w:id="257"/>
      <w:bookmarkStart w:id="258" w:name="_Toc184314465"/>
      <w:bookmarkEnd w:id="258"/>
      <w:bookmarkStart w:id="259" w:name="_Toc184313280"/>
      <w:bookmarkEnd w:id="259"/>
      <w:bookmarkStart w:id="260" w:name="_Toc184312091"/>
      <w:bookmarkEnd w:id="260"/>
      <w:bookmarkStart w:id="261" w:name="_Toc184312113"/>
      <w:bookmarkEnd w:id="261"/>
      <w:bookmarkStart w:id="262" w:name="_Toc184308065"/>
      <w:bookmarkEnd w:id="262"/>
      <w:bookmarkStart w:id="263" w:name="_Toc184310288"/>
      <w:bookmarkEnd w:id="263"/>
      <w:bookmarkStart w:id="264" w:name="_Toc184308092"/>
      <w:bookmarkEnd w:id="264"/>
      <w:bookmarkStart w:id="265" w:name="_Toc184310278"/>
      <w:bookmarkEnd w:id="265"/>
      <w:bookmarkStart w:id="266" w:name="_Toc184312108"/>
      <w:bookmarkEnd w:id="266"/>
      <w:bookmarkStart w:id="267" w:name="_Toc184310323"/>
      <w:bookmarkEnd w:id="267"/>
      <w:bookmarkStart w:id="268" w:name="_Toc184313273"/>
      <w:bookmarkEnd w:id="268"/>
      <w:bookmarkStart w:id="269" w:name="_Toc184313251"/>
      <w:bookmarkEnd w:id="269"/>
      <w:bookmarkStart w:id="270" w:name="_Toc184313290"/>
      <w:bookmarkEnd w:id="270"/>
      <w:bookmarkStart w:id="271" w:name="_Toc184310275"/>
      <w:bookmarkEnd w:id="271"/>
      <w:bookmarkStart w:id="272" w:name="_Toc184310322"/>
      <w:bookmarkEnd w:id="272"/>
      <w:bookmarkStart w:id="273" w:name="_Toc184308049"/>
      <w:bookmarkEnd w:id="273"/>
      <w:bookmarkStart w:id="274" w:name="_Toc184313301"/>
      <w:bookmarkEnd w:id="274"/>
      <w:bookmarkStart w:id="275" w:name="_Toc184314478"/>
      <w:bookmarkEnd w:id="275"/>
      <w:bookmarkStart w:id="276" w:name="_Toc184314473"/>
      <w:bookmarkEnd w:id="276"/>
      <w:bookmarkStart w:id="277" w:name="_Toc184312084"/>
      <w:bookmarkEnd w:id="277"/>
      <w:bookmarkStart w:id="278" w:name="_Toc184308053"/>
      <w:bookmarkEnd w:id="278"/>
      <w:bookmarkStart w:id="279" w:name="_Toc184313254"/>
      <w:bookmarkEnd w:id="279"/>
      <w:bookmarkStart w:id="280" w:name="_Toc184308081"/>
      <w:bookmarkEnd w:id="280"/>
      <w:bookmarkStart w:id="281" w:name="_Toc184308050"/>
      <w:bookmarkEnd w:id="281"/>
      <w:bookmarkStart w:id="282" w:name="_Toc184308106"/>
      <w:bookmarkEnd w:id="282"/>
      <w:bookmarkStart w:id="283" w:name="_Toc184312117"/>
      <w:bookmarkEnd w:id="283"/>
      <w:bookmarkStart w:id="284" w:name="_Toc184314446"/>
      <w:bookmarkEnd w:id="284"/>
      <w:bookmarkStart w:id="285" w:name="_Toc184310279"/>
      <w:bookmarkEnd w:id="285"/>
      <w:bookmarkStart w:id="286" w:name="_Toc184312120"/>
      <w:bookmarkEnd w:id="286"/>
      <w:bookmarkStart w:id="287" w:name="_Toc184308062"/>
      <w:bookmarkEnd w:id="287"/>
      <w:bookmarkStart w:id="288" w:name="_Toc184314466"/>
      <w:bookmarkEnd w:id="288"/>
      <w:bookmarkStart w:id="289" w:name="_Toc184312075"/>
      <w:bookmarkEnd w:id="289"/>
      <w:bookmarkStart w:id="290" w:name="_Toc184314429"/>
      <w:bookmarkEnd w:id="290"/>
      <w:bookmarkStart w:id="291" w:name="_Toc184308054"/>
      <w:bookmarkEnd w:id="291"/>
      <w:bookmarkStart w:id="292" w:name="_Toc184314475"/>
      <w:bookmarkEnd w:id="292"/>
      <w:bookmarkStart w:id="293" w:name="_Toc184314415"/>
      <w:bookmarkEnd w:id="293"/>
      <w:bookmarkStart w:id="294" w:name="_Toc184313243"/>
      <w:bookmarkEnd w:id="294"/>
      <w:bookmarkStart w:id="295" w:name="_Toc184313287"/>
      <w:bookmarkEnd w:id="295"/>
      <w:bookmarkStart w:id="296" w:name="_Toc184314450"/>
      <w:bookmarkEnd w:id="296"/>
      <w:bookmarkStart w:id="297" w:name="_Toc184313299"/>
      <w:bookmarkEnd w:id="297"/>
      <w:bookmarkStart w:id="298" w:name="_Toc184314437"/>
      <w:bookmarkEnd w:id="298"/>
      <w:bookmarkStart w:id="299" w:name="_Toc184312128"/>
      <w:bookmarkEnd w:id="299"/>
      <w:bookmarkStart w:id="300" w:name="_Toc184314455"/>
      <w:bookmarkEnd w:id="300"/>
      <w:bookmarkStart w:id="301" w:name="_Toc184312074"/>
      <w:bookmarkEnd w:id="301"/>
      <w:bookmarkStart w:id="302" w:name="_Toc184313294"/>
      <w:bookmarkEnd w:id="302"/>
      <w:bookmarkStart w:id="303" w:name="_Toc184308064"/>
      <w:bookmarkEnd w:id="303"/>
      <w:bookmarkStart w:id="304" w:name="_Toc184312089"/>
      <w:bookmarkEnd w:id="304"/>
      <w:bookmarkStart w:id="305" w:name="_Toc184310298"/>
      <w:bookmarkEnd w:id="305"/>
      <w:bookmarkStart w:id="306" w:name="_Toc184313307"/>
      <w:bookmarkEnd w:id="306"/>
      <w:bookmarkStart w:id="307" w:name="_Toc184308089"/>
      <w:bookmarkEnd w:id="307"/>
      <w:bookmarkStart w:id="308" w:name="_Toc184313266"/>
      <w:bookmarkEnd w:id="308"/>
      <w:bookmarkStart w:id="309" w:name="_Toc184308043"/>
      <w:bookmarkEnd w:id="309"/>
      <w:bookmarkStart w:id="310" w:name="_Toc184308093"/>
      <w:bookmarkEnd w:id="310"/>
      <w:bookmarkStart w:id="311" w:name="_Toc184308070"/>
      <w:bookmarkEnd w:id="311"/>
      <w:bookmarkStart w:id="312" w:name="_Toc184310314"/>
      <w:bookmarkEnd w:id="312"/>
      <w:bookmarkStart w:id="313" w:name="_Toc184313267"/>
      <w:bookmarkEnd w:id="313"/>
      <w:bookmarkStart w:id="314" w:name="_Toc184313275"/>
      <w:bookmarkEnd w:id="314"/>
      <w:bookmarkStart w:id="315" w:name="_Toc184308041"/>
      <w:bookmarkEnd w:id="315"/>
      <w:bookmarkStart w:id="316" w:name="_Toc184310321"/>
      <w:bookmarkEnd w:id="316"/>
      <w:bookmarkStart w:id="317" w:name="_Toc184314463"/>
      <w:bookmarkEnd w:id="317"/>
      <w:bookmarkStart w:id="318" w:name="_Toc184314482"/>
      <w:bookmarkEnd w:id="318"/>
      <w:bookmarkStart w:id="319" w:name="_Toc184313253"/>
      <w:bookmarkEnd w:id="319"/>
      <w:bookmarkStart w:id="320" w:name="_Toc184310277"/>
      <w:bookmarkEnd w:id="320"/>
      <w:bookmarkStart w:id="321" w:name="_Toc184310292"/>
      <w:bookmarkEnd w:id="321"/>
      <w:bookmarkStart w:id="322" w:name="_Toc184314418"/>
      <w:bookmarkEnd w:id="322"/>
      <w:bookmarkStart w:id="323" w:name="_Toc184314452"/>
      <w:bookmarkEnd w:id="323"/>
      <w:bookmarkStart w:id="324" w:name="_Toc184312086"/>
      <w:bookmarkEnd w:id="324"/>
      <w:bookmarkStart w:id="325" w:name="_Toc184313245"/>
      <w:bookmarkEnd w:id="325"/>
      <w:bookmarkStart w:id="326" w:name="_Toc184308105"/>
      <w:bookmarkEnd w:id="326"/>
      <w:bookmarkStart w:id="327" w:name="_Toc184312088"/>
      <w:bookmarkEnd w:id="327"/>
      <w:bookmarkStart w:id="328" w:name="_Toc184313298"/>
      <w:bookmarkEnd w:id="328"/>
      <w:bookmarkStart w:id="329" w:name="_Toc184310294"/>
      <w:bookmarkEnd w:id="329"/>
      <w:bookmarkStart w:id="330" w:name="_Toc184308047"/>
      <w:bookmarkEnd w:id="330"/>
      <w:bookmarkStart w:id="331" w:name="_Toc184310329"/>
      <w:bookmarkEnd w:id="331"/>
      <w:bookmarkStart w:id="332" w:name="_Toc184308072"/>
      <w:bookmarkEnd w:id="332"/>
      <w:bookmarkStart w:id="333" w:name="_Toc184313292"/>
      <w:bookmarkEnd w:id="333"/>
      <w:bookmarkStart w:id="334" w:name="_Toc184310316"/>
      <w:bookmarkEnd w:id="334"/>
      <w:bookmarkStart w:id="335" w:name="_Toc184314459"/>
      <w:bookmarkEnd w:id="335"/>
      <w:bookmarkStart w:id="336" w:name="_Toc184310320"/>
      <w:bookmarkEnd w:id="336"/>
      <w:bookmarkStart w:id="337" w:name="_Toc184314467"/>
      <w:bookmarkEnd w:id="337"/>
      <w:bookmarkStart w:id="338" w:name="_Toc184308042"/>
      <w:bookmarkEnd w:id="338"/>
      <w:bookmarkStart w:id="339" w:name="_Toc184308057"/>
      <w:bookmarkEnd w:id="339"/>
      <w:bookmarkStart w:id="340" w:name="_Toc184313240"/>
      <w:bookmarkEnd w:id="340"/>
      <w:bookmarkStart w:id="341" w:name="_Toc184308044"/>
      <w:bookmarkEnd w:id="341"/>
      <w:bookmarkStart w:id="342" w:name="_Toc184313291"/>
      <w:bookmarkEnd w:id="342"/>
      <w:bookmarkStart w:id="343" w:name="_Toc184310273"/>
      <w:bookmarkEnd w:id="343"/>
      <w:bookmarkStart w:id="344" w:name="_Toc184308097"/>
      <w:bookmarkEnd w:id="344"/>
      <w:bookmarkStart w:id="345" w:name="_Toc184314454"/>
      <w:bookmarkEnd w:id="345"/>
      <w:bookmarkStart w:id="346" w:name="_Toc184314471"/>
      <w:bookmarkEnd w:id="346"/>
      <w:bookmarkStart w:id="347" w:name="_Toc184308073"/>
      <w:bookmarkEnd w:id="347"/>
      <w:bookmarkStart w:id="348" w:name="_Toc184310333"/>
      <w:bookmarkEnd w:id="348"/>
      <w:bookmarkStart w:id="349" w:name="_Toc184310342"/>
      <w:bookmarkEnd w:id="349"/>
      <w:bookmarkStart w:id="350" w:name="_Toc184312127"/>
      <w:bookmarkEnd w:id="350"/>
      <w:bookmarkStart w:id="351" w:name="_Toc184310339"/>
      <w:bookmarkEnd w:id="351"/>
      <w:bookmarkStart w:id="352" w:name="_Toc184314444"/>
      <w:bookmarkEnd w:id="352"/>
      <w:bookmarkStart w:id="353" w:name="_Toc184308098"/>
      <w:bookmarkEnd w:id="353"/>
      <w:bookmarkStart w:id="354" w:name="_Toc184308076"/>
      <w:bookmarkEnd w:id="354"/>
      <w:bookmarkStart w:id="355" w:name="_Toc184310281"/>
      <w:bookmarkEnd w:id="355"/>
      <w:bookmarkStart w:id="356" w:name="_Toc184308040"/>
      <w:bookmarkEnd w:id="356"/>
      <w:bookmarkStart w:id="357" w:name="_Toc184308103"/>
      <w:bookmarkEnd w:id="357"/>
      <w:bookmarkStart w:id="358" w:name="_Toc184310286"/>
      <w:bookmarkEnd w:id="358"/>
      <w:bookmarkStart w:id="359" w:name="_Toc184313278"/>
      <w:bookmarkEnd w:id="359"/>
      <w:bookmarkStart w:id="360" w:name="_Toc184310335"/>
      <w:bookmarkEnd w:id="360"/>
      <w:bookmarkStart w:id="361" w:name="_Toc184308045"/>
      <w:bookmarkEnd w:id="361"/>
      <w:bookmarkStart w:id="362" w:name="_Toc184312130"/>
      <w:bookmarkEnd w:id="362"/>
      <w:bookmarkStart w:id="363" w:name="_Toc184310282"/>
      <w:bookmarkEnd w:id="363"/>
      <w:bookmarkStart w:id="364" w:name="_Toc184312070"/>
      <w:bookmarkEnd w:id="364"/>
      <w:bookmarkStart w:id="365" w:name="_Toc184310285"/>
      <w:bookmarkEnd w:id="365"/>
      <w:bookmarkStart w:id="366" w:name="_Toc184314443"/>
      <w:bookmarkEnd w:id="366"/>
      <w:bookmarkStart w:id="367" w:name="_Toc184314470"/>
      <w:bookmarkEnd w:id="367"/>
      <w:bookmarkStart w:id="368" w:name="_Toc184308090"/>
      <w:bookmarkEnd w:id="368"/>
      <w:bookmarkStart w:id="369" w:name="_Toc184310318"/>
      <w:bookmarkEnd w:id="369"/>
      <w:bookmarkStart w:id="370" w:name="_Toc184310312"/>
      <w:bookmarkEnd w:id="370"/>
      <w:bookmarkStart w:id="371" w:name="_Toc184310336"/>
      <w:bookmarkEnd w:id="371"/>
      <w:bookmarkStart w:id="372" w:name="_Toc184310287"/>
      <w:bookmarkEnd w:id="372"/>
      <w:bookmarkStart w:id="373" w:name="_Toc184312125"/>
      <w:bookmarkEnd w:id="373"/>
      <w:bookmarkStart w:id="374" w:name="_Toc184308046"/>
      <w:bookmarkEnd w:id="374"/>
      <w:bookmarkStart w:id="375" w:name="_Toc184312107"/>
      <w:bookmarkEnd w:id="375"/>
      <w:r>
        <w:rPr>
          <w:rFonts w:hint="eastAsia" w:ascii="宋体" w:hAnsi="宋体" w:eastAsia="宋体" w:cs="宋体"/>
          <w:b/>
          <w:color w:val="auto"/>
          <w:sz w:val="36"/>
          <w:szCs w:val="36"/>
          <w:highlight w:val="none"/>
        </w:rPr>
        <w:t>评标方法及评分标准</w:t>
      </w:r>
    </w:p>
    <w:p>
      <w:pPr>
        <w:snapToGrid w:val="0"/>
        <w:spacing w:line="360" w:lineRule="auto"/>
        <w:jc w:val="center"/>
        <w:rPr>
          <w:rFonts w:hint="eastAsia" w:ascii="宋体" w:hAnsi="宋体" w:eastAsia="宋体" w:cs="宋体"/>
          <w:b/>
          <w:color w:val="auto"/>
          <w:sz w:val="32"/>
          <w:highlight w:val="none"/>
        </w:rPr>
      </w:pP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二、评标委员会的组成</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2.评标委员会的组成。</w:t>
      </w:r>
      <w:r>
        <w:rPr>
          <w:rFonts w:hint="eastAsia" w:ascii="宋体" w:hAnsi="宋体" w:eastAsia="宋体" w:cs="宋体"/>
          <w:color w:val="auto"/>
          <w:kern w:val="0"/>
          <w:sz w:val="24"/>
          <w:highlight w:val="none"/>
        </w:rPr>
        <w:t>评标委员会由采购人代表和评审专家组成，成员人数为5人以上单数，其中评审专家不少于成员总数的三分之二。</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b/>
          <w:color w:val="auto"/>
          <w:kern w:val="0"/>
          <w:highlight w:val="none"/>
        </w:rPr>
        <w:t>3.评</w:t>
      </w:r>
      <w:r>
        <w:rPr>
          <w:rFonts w:hint="eastAsia" w:ascii="宋体" w:hAnsi="宋体" w:eastAsia="宋体" w:cs="宋体"/>
          <w:b/>
          <w:color w:val="auto"/>
          <w:kern w:val="0"/>
          <w:szCs w:val="24"/>
          <w:highlight w:val="none"/>
        </w:rPr>
        <w:t>标委员会的组成人员的回避。</w:t>
      </w:r>
      <w:r>
        <w:rPr>
          <w:rFonts w:hint="eastAsia" w:ascii="宋体" w:hAnsi="宋体" w:eastAsia="宋体" w:cs="宋体"/>
          <w:color w:val="auto"/>
          <w:kern w:val="0"/>
          <w:highlight w:val="none"/>
        </w:rPr>
        <w:t>在政府采购活动中，评标委员会的组成人员与供应商有下列利害关系之一的，应当回避：</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3.1参加采购活动前3年内与供应商存在劳动关系；</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3.2参加采购活动前3年内担任供应商的董事、监事；</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3.3参加采购活动前3年内是供应商的控股股东或者实际控制人；</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3.4与供应商的法定代表人或者负责人有夫妻、直系血亲、三代以内旁系血亲或者近姻亲关系；</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3.5与供应商有其他可能影响政府采购活动公平、公正进行的关系。</w:t>
      </w:r>
    </w:p>
    <w:p>
      <w:pPr>
        <w:snapToGrid w:val="0"/>
        <w:spacing w:line="360" w:lineRule="auto"/>
        <w:jc w:val="center"/>
        <w:rPr>
          <w:rFonts w:hint="eastAsia" w:ascii="宋体" w:hAnsi="宋体" w:eastAsia="宋体" w:cs="宋体"/>
          <w:b/>
          <w:color w:val="auto"/>
          <w:sz w:val="32"/>
          <w:highlight w:val="none"/>
        </w:rPr>
      </w:pP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三、评标委员会的职责</w:t>
      </w:r>
    </w:p>
    <w:p>
      <w:pPr>
        <w:pStyle w:val="27"/>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4.评标委员会负责具体评标事务，并独立履行下列职责：</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4.1审查、评价投标文件是否符合招标文件的商务、技术等实质性要求；</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4.2要求投标人对投标文件有关事项作出澄清或者说明；</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4.3对投标文件进行比较和评价；</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4.4确定中标候选人名单，以及根据采购人委托直接确定中标人；</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4.5向采购人、采购机构或者有关部门报告评标中发现的违法行为；</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4.6法律、法规、规章、招标文件等规定的其它事项。</w:t>
      </w:r>
    </w:p>
    <w:p>
      <w:pPr>
        <w:pStyle w:val="27"/>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5.评标委员会及其成员不得有下列行为：</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5.1确定参与评标至评标结束前私自接触投标人；</w:t>
      </w:r>
    </w:p>
    <w:p>
      <w:pPr>
        <w:pStyle w:val="27"/>
        <w:spacing w:before="0"/>
        <w:ind w:firstLine="481"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5.2接受投标人提出的与投标文件不一致的澄清或者说明，《政府采购货物和服务招标投标管理办法》（财政部令第87号）第五十一条规定的情形除外；</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5.3违反评标纪律发表倾向性意见或者征询采购人的倾向性意见；</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5.4对需要专业判断的主观评审因素协商评分；</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5.5在评标过程中擅离职守，影响评标程序正常进行的；</w:t>
      </w:r>
    </w:p>
    <w:p>
      <w:pPr>
        <w:pStyle w:val="27"/>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5.6记录、复制或者带走任何评标资料；</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5.7其他不遵守评标纪律的行为。</w:t>
      </w:r>
    </w:p>
    <w:p>
      <w:pPr>
        <w:pStyle w:val="27"/>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评标委员会成员有5.1-5.7行为之一的，其评审意见无效，并不得获取评审劳务报酬和报销异地评审差旅费。</w:t>
      </w:r>
    </w:p>
    <w:p>
      <w:pPr>
        <w:pStyle w:val="27"/>
        <w:spacing w:before="0"/>
        <w:ind w:firstLine="0" w:firstLineChars="0"/>
        <w:rPr>
          <w:rFonts w:hint="eastAsia" w:ascii="宋体" w:hAnsi="宋体" w:eastAsia="宋体" w:cs="宋体"/>
          <w:color w:val="auto"/>
          <w:kern w:val="0"/>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pPr>
        <w:pStyle w:val="27"/>
        <w:spacing w:before="0"/>
        <w:ind w:firstLine="0"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6.符合性审查。</w:t>
      </w:r>
      <w:r>
        <w:rPr>
          <w:rFonts w:hint="eastAsia" w:ascii="宋体" w:hAnsi="宋体" w:eastAsia="宋体" w:cs="宋体"/>
          <w:color w:val="auto"/>
          <w:kern w:val="0"/>
          <w:szCs w:val="24"/>
          <w:highlight w:val="none"/>
        </w:rPr>
        <w:t>评标委员会应当对符合资格的投标人的投标文件进行符合性审查，以确定其是否满足招标文件的实质性要求。符合投标无效情形的，投标无效。</w:t>
      </w:r>
    </w:p>
    <w:p>
      <w:pPr>
        <w:pStyle w:val="27"/>
        <w:spacing w:before="0"/>
        <w:ind w:firstLine="0"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7.投标人澄清、说明或者补正。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before="0"/>
        <w:ind w:firstLine="0"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8.比较与评价。</w:t>
      </w:r>
      <w:r>
        <w:rPr>
          <w:rFonts w:hint="eastAsia" w:ascii="宋体" w:hAnsi="宋体" w:eastAsia="宋体" w:cs="宋体"/>
          <w:color w:val="auto"/>
          <w:kern w:val="0"/>
          <w:szCs w:val="24"/>
          <w:highlight w:val="none"/>
        </w:rPr>
        <w:t>评标委员会应当按照评标标准，对符合性审查合格的投标文件进行商务和技术评估，综合比较与评价。</w:t>
      </w:r>
    </w:p>
    <w:p>
      <w:pPr>
        <w:pStyle w:val="27"/>
        <w:spacing w:before="0"/>
        <w:ind w:firstLine="0"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9.汇总（商务技术得分情况）。</w:t>
      </w:r>
      <w:r>
        <w:rPr>
          <w:rFonts w:hint="eastAsia" w:ascii="宋体" w:hAnsi="宋体" w:eastAsia="宋体" w:cs="宋体"/>
          <w:color w:val="auto"/>
          <w:kern w:val="0"/>
          <w:szCs w:val="24"/>
          <w:highlight w:val="none"/>
        </w:rPr>
        <w:t>评标委员会各成员应当独立对每个投标人的商务和技术文件进行评价，并汇总商务技术得分情况。</w:t>
      </w:r>
    </w:p>
    <w:p>
      <w:pPr>
        <w:pStyle w:val="27"/>
        <w:spacing w:before="0"/>
        <w:ind w:firstLine="0" w:firstLineChars="0"/>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10.报价审核。</w:t>
      </w:r>
      <w:r>
        <w:rPr>
          <w:rFonts w:hint="eastAsia" w:ascii="宋体" w:hAnsi="宋体" w:eastAsia="宋体" w:cs="宋体"/>
          <w:color w:val="auto"/>
          <w:kern w:val="0"/>
          <w:szCs w:val="24"/>
          <w:highlight w:val="none"/>
        </w:rPr>
        <w:t>对经商务和技术评审符合采购需求的投标人的报价的合理性、准确性等进行审查核实。</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10.2根据财政部发布的《政府采购促进中小企业发展管理办法》规定，对于非专门面向中小企业的项目，对小型和微型企业产品的价格给予一定的扣除，用扣除后的价格参与评审。</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10.3投标价格的修正原则。投标文件报价出现前后不一致的，按照下列规定修正：</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10.3.1投标文件中开标一览表(报价表)内容与投标文件中相应内容不一致的，以开标一览表(报价表)为准;</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10.3.2大写金额和小写金额不一致的，以大写金额为准;</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10.3.3单价金额小数点或者百分比有明显错位的，以开标一览表的总价为准，并修改单价;</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10.3.4总价金额与按单价汇总金额不一致的，以单价金额计算结果为准。</w:t>
      </w:r>
    </w:p>
    <w:p>
      <w:pPr>
        <w:pStyle w:val="2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投标人对根据修正原则修正后的报价不确认的，投标无效。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11.汇总得分。</w:t>
      </w:r>
      <w:r>
        <w:rPr>
          <w:rFonts w:hint="eastAsia" w:ascii="宋体" w:hAnsi="宋体" w:eastAsia="宋体" w:cs="宋体"/>
          <w:color w:val="auto"/>
          <w:kern w:val="0"/>
          <w:sz w:val="24"/>
          <w:highlight w:val="none"/>
        </w:rPr>
        <w:t>评标委员会各成员应当独立对每个投标人的投标文件进行评价，并汇总每个投标人的得分。</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12.顺序排列与中标候选推荐。</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12.1评标结果按评审后得分由高到低顺序排列。得分相同的，按投标报价由低到高顺序排列。得分且投标报价相同的并列。</w:t>
      </w:r>
      <w:r>
        <w:rPr>
          <w:rFonts w:hint="eastAsia" w:ascii="宋体" w:hAnsi="宋体" w:cs="宋体"/>
          <w:color w:val="auto"/>
          <w:sz w:val="24"/>
          <w:szCs w:val="21"/>
          <w:highlight w:val="none"/>
          <w:lang w:eastAsia="zh-CN"/>
        </w:rPr>
        <w:t>本项目按</w:t>
      </w:r>
      <w:r>
        <w:rPr>
          <w:rFonts w:hint="eastAsia" w:ascii="宋体" w:hAnsi="宋体" w:eastAsia="宋体" w:cs="宋体"/>
          <w:color w:val="auto"/>
          <w:sz w:val="24"/>
          <w:szCs w:val="21"/>
          <w:highlight w:val="none"/>
        </w:rPr>
        <w:t>得分</w:t>
      </w:r>
      <w:r>
        <w:rPr>
          <w:rFonts w:hint="eastAsia" w:ascii="宋体" w:hAnsi="宋体" w:cs="宋体"/>
          <w:color w:val="auto"/>
          <w:sz w:val="24"/>
          <w:szCs w:val="21"/>
          <w:highlight w:val="none"/>
          <w:lang w:eastAsia="zh-CN"/>
        </w:rPr>
        <w:t>由高到低推荐三名</w:t>
      </w:r>
      <w:r>
        <w:rPr>
          <w:rFonts w:hint="eastAsia" w:ascii="宋体" w:hAnsi="宋体" w:eastAsia="宋体" w:cs="宋体"/>
          <w:color w:val="auto"/>
          <w:sz w:val="24"/>
          <w:szCs w:val="21"/>
          <w:highlight w:val="none"/>
        </w:rPr>
        <w:t>中标候选人。</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
        <w:spacing w:line="360" w:lineRule="auto"/>
        <w:ind w:left="559" w:hanging="559" w:hangingChars="199"/>
        <w:rPr>
          <w:rFonts w:hint="eastAsia" w:ascii="宋体" w:hAnsi="宋体" w:eastAsia="宋体" w:cs="宋体"/>
          <w:color w:val="auto"/>
          <w:szCs w:val="21"/>
          <w:highlight w:val="none"/>
        </w:rPr>
      </w:pPr>
      <w:r>
        <w:rPr>
          <w:rFonts w:hint="eastAsia" w:ascii="宋体" w:hAnsi="宋体" w:eastAsia="宋体" w:cs="宋体"/>
          <w:b/>
          <w:color w:val="auto"/>
          <w:spacing w:val="20"/>
          <w:highlight w:val="none"/>
        </w:rPr>
        <w:t>13.投标无效。</w:t>
      </w:r>
      <w:r>
        <w:rPr>
          <w:rFonts w:hint="eastAsia" w:ascii="宋体" w:hAnsi="宋体" w:eastAsia="宋体" w:cs="宋体"/>
          <w:b/>
          <w:color w:val="auto"/>
          <w:highlight w:val="none"/>
        </w:rPr>
        <w:t>▲</w:t>
      </w:r>
      <w:r>
        <w:rPr>
          <w:rFonts w:hint="eastAsia" w:ascii="宋体" w:hAnsi="宋体" w:eastAsia="宋体" w:cs="宋体"/>
          <w:b/>
          <w:color w:val="auto"/>
          <w:szCs w:val="21"/>
          <w:highlight w:val="none"/>
        </w:rPr>
        <w:t>有下列情况之一的，投标无效：</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13.4如以联合体形式参加政府采购活动的，联合体协议不符合招标文件规定的联合体协议要求的；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13.5投标文件未按规定的格式编制的；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13.6投标文件未按招标文件的澄清、修改的内容编制，又不符合实质性要求的；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13.7投标文件组成漏项，内容不全或内容字迹模糊辨认不清的；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13.8投标文件中法定代表人授权书所载内容与本项目内容有异的；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13.9投标文件未按照招标文件要求签署、盖章的；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13.11投标文件含有采购人不能接受的附加条件的；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13.12投标文件中承诺的投标有效期少于招标文件中载明的投标有效期的；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13.13投标人所投内容不符合采购需求中实质性要求的；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13.14投标文件出现不是唯一的、有选择性投标报价的;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13.15投标报价高于本项目采购预算或者最高限价的;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13.17《投标（开标）一览表》重要信息填写不完整或字迹不能辨认或有漏项的；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13.18投标人对根据修正原则修正后的报价不确认的；</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13.19投标人提供虚假材料投标的（包括但不限于以下情节）；</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13.19.1使用伪造、变造的许可证件；</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13.19.2提供虚假的财务状况或者业绩；</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13.19.3提供虚假的项目负责人或者主要技术人员简历、劳动关系证明；</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13.19.4提供虚假的信用状况；</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13.19.5其他弄虚作假的行为。</w:t>
      </w:r>
      <w:r>
        <w:rPr>
          <w:rFonts w:hint="eastAsia" w:ascii="宋体" w:hAnsi="宋体" w:eastAsia="宋体" w:cs="宋体"/>
          <w:color w:val="auto"/>
          <w:sz w:val="24"/>
          <w:szCs w:val="21"/>
          <w:highlight w:val="none"/>
        </w:rPr>
        <w:br w:type="textWrapping"/>
      </w:r>
      <w:r>
        <w:rPr>
          <w:rFonts w:hint="eastAsia" w:ascii="宋体" w:hAnsi="宋体" w:eastAsia="宋体" w:cs="宋体"/>
          <w:color w:val="auto"/>
          <w:sz w:val="24"/>
          <w:szCs w:val="21"/>
          <w:highlight w:val="none"/>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13.20.1供应商直接或者间接从采购人或者采购机构处获得其他供应商的相关情况并修改其投标文件或者响应文件；</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13.20.2供应商按照采购人或者采购机构的授意撤换、修改投标文件或者响应文件；</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13.20.3供应商之间协商报价、技术方案等投标文件或者响应文件的实质性内容；</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13.20.4属于同一集团、协会、商会等组织成员的供应商按照该组织要求协同参加政府采购活动；</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13.20.5供应商之间事先约定由某一特定供应商中标、成交；</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13.20.6供应商之间商定部分供应商放弃参加政府采购活动或者放弃中标、成交；</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13.20.8不同投标人的投标文件由同一单位或者个人编制；</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13.20.9不同投标人委托同一单位或者个人办理投标事宜；</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13.20.10不同投标人的投标文件载明的项目管理成员或者联系人员为同一人；</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13.20.11不同投标人的投标文件异常一致或者投标报价呈规律性差异；</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13.20.12不同投标人的投标文件相互混装；</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13.21法律、法规、规章（适用本市的）及省级以上规范性文件（适用本市的）规定的其他无效情形。</w:t>
      </w:r>
    </w:p>
    <w:p>
      <w:pPr>
        <w:spacing w:line="360" w:lineRule="auto"/>
        <w:ind w:firstLine="240" w:firstLineChars="100"/>
        <w:rPr>
          <w:rFonts w:hint="eastAsia" w:ascii="宋体" w:hAnsi="宋体" w:eastAsia="宋体" w:cs="宋体"/>
          <w:color w:val="auto"/>
          <w:sz w:val="24"/>
          <w:szCs w:val="21"/>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五、评标报告。 </w:t>
      </w:r>
    </w:p>
    <w:p>
      <w:pPr>
        <w:pStyle w:val="27"/>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14.评标报告与推荐中标候选人。</w:t>
      </w:r>
      <w:r>
        <w:rPr>
          <w:rFonts w:hint="eastAsia" w:ascii="宋体" w:hAnsi="宋体" w:eastAsia="宋体" w:cs="宋体"/>
          <w:color w:val="auto"/>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15.评标争议事项处理。</w:t>
      </w:r>
      <w:r>
        <w:rPr>
          <w:rFonts w:hint="eastAsia" w:ascii="宋体" w:hAnsi="宋体" w:eastAsia="宋体" w:cs="宋体"/>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 废标</w:t>
      </w:r>
    </w:p>
    <w:p>
      <w:pPr>
        <w:pStyle w:val="3"/>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16.废标。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3"/>
        <w:snapToGrid w:val="0"/>
        <w:spacing w:line="360" w:lineRule="auto"/>
        <w:rPr>
          <w:rFonts w:hint="eastAsia" w:ascii="宋体" w:hAnsi="宋体" w:eastAsia="宋体" w:cs="宋体"/>
          <w:color w:val="auto"/>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 重新组织采购</w:t>
      </w:r>
    </w:p>
    <w:p>
      <w:pPr>
        <w:pStyle w:val="3"/>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17.修改招标文件，重新组织采购活动。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18.重新开展采购。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18.1未确定中标或者成交供应商的，终止本次政府采购活动，重新开展政府采购活动。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18.3政府采购合同已签订但尚未履行的，撤销合同，从合格的中标或者成交候选人中另行确定中标或者成交供应商；没有合格的中标或者成交候选人的，重新开展政府采购活动。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3"/>
        <w:snapToGrid w:val="0"/>
        <w:spacing w:line="360" w:lineRule="auto"/>
        <w:rPr>
          <w:rFonts w:hint="eastAsia" w:ascii="宋体" w:hAnsi="宋体" w:eastAsia="宋体" w:cs="宋体"/>
          <w:color w:val="auto"/>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八、评审过程的保密与录像</w:t>
      </w:r>
    </w:p>
    <w:p>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19.保密。</w:t>
      </w:r>
      <w:r>
        <w:rPr>
          <w:rFonts w:hint="eastAsia" w:ascii="宋体" w:hAnsi="宋体" w:eastAsia="宋体" w:cs="宋体"/>
          <w:color w:val="auto"/>
          <w:sz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20.录音录像。</w:t>
      </w:r>
      <w:r>
        <w:rPr>
          <w:rFonts w:hint="eastAsia" w:ascii="宋体" w:hAnsi="宋体" w:eastAsia="宋体" w:cs="宋体"/>
          <w:color w:val="auto"/>
          <w:sz w:val="24"/>
          <w:highlight w:val="none"/>
        </w:rPr>
        <w:t>采购机构对评审工作现场进行全过程录音录像。</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九、具体评标标准</w:t>
      </w:r>
    </w:p>
    <w:p>
      <w:pPr>
        <w:autoSpaceDE w:val="0"/>
        <w:autoSpaceDN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一、本项目采用综合评分法</w:t>
      </w:r>
      <w:r>
        <w:rPr>
          <w:rFonts w:hint="eastAsia" w:ascii="宋体" w:hAnsi="宋体" w:eastAsia="宋体" w:cs="宋体"/>
          <w:color w:val="auto"/>
          <w:sz w:val="24"/>
          <w:highlight w:val="none"/>
        </w:rPr>
        <w:t xml:space="preserve">，评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hint="eastAsia" w:ascii="宋体" w:hAnsi="宋体" w:eastAsia="宋体" w:cs="宋体"/>
          <w:b/>
          <w:color w:val="auto"/>
          <w:sz w:val="24"/>
          <w:highlight w:val="none"/>
        </w:rPr>
      </w:pPr>
      <w:r>
        <w:rPr>
          <w:rFonts w:hint="eastAsia" w:ascii="宋体" w:hAnsi="宋体" w:eastAsia="宋体" w:cs="宋体"/>
          <w:color w:val="auto"/>
          <w:sz w:val="24"/>
          <w:highlight w:val="none"/>
        </w:rPr>
        <w:t>各投标人的综合得分为：投标价格得分+</w:t>
      </w:r>
      <w:r>
        <w:rPr>
          <w:rFonts w:hint="eastAsia" w:ascii="宋体" w:hAnsi="宋体" w:eastAsia="宋体" w:cs="宋体"/>
          <w:bCs/>
          <w:color w:val="auto"/>
          <w:sz w:val="24"/>
          <w:highlight w:val="none"/>
        </w:rPr>
        <w:t>技术和服务方案</w:t>
      </w:r>
      <w:r>
        <w:rPr>
          <w:rFonts w:hint="eastAsia" w:ascii="宋体" w:hAnsi="宋体" w:eastAsia="宋体" w:cs="宋体"/>
          <w:color w:val="auto"/>
          <w:sz w:val="24"/>
          <w:highlight w:val="none"/>
        </w:rPr>
        <w:t>得分的得分之和，</w:t>
      </w:r>
      <w:r>
        <w:rPr>
          <w:rFonts w:hint="eastAsia" w:ascii="宋体" w:hAnsi="宋体" w:eastAsia="宋体" w:cs="宋体"/>
          <w:b/>
          <w:color w:val="auto"/>
          <w:sz w:val="24"/>
          <w:highlight w:val="none"/>
        </w:rPr>
        <w:t>总和为</w:t>
      </w:r>
      <w:r>
        <w:rPr>
          <w:rFonts w:hint="eastAsia" w:ascii="宋体" w:hAnsi="宋体" w:eastAsia="宋体" w:cs="宋体"/>
          <w:b/>
          <w:color w:val="auto"/>
          <w:sz w:val="24"/>
          <w:highlight w:val="none"/>
          <w:lang w:val="en-US" w:eastAsia="zh-CN"/>
        </w:rPr>
        <w:t>100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，其中：</w:t>
      </w:r>
      <w:r>
        <w:rPr>
          <w:rFonts w:hint="eastAsia" w:ascii="宋体" w:hAnsi="宋体" w:eastAsia="宋体" w:cs="宋体"/>
          <w:b/>
          <w:color w:val="auto"/>
          <w:sz w:val="24"/>
          <w:szCs w:val="22"/>
          <w:highlight w:val="none"/>
        </w:rPr>
        <w:t>投标价格得分</w:t>
      </w:r>
      <w:r>
        <w:rPr>
          <w:rFonts w:hint="eastAsia" w:ascii="宋体" w:hAnsi="宋体" w:eastAsia="宋体" w:cs="宋体"/>
          <w:b/>
          <w:color w:val="auto"/>
          <w:sz w:val="24"/>
          <w:szCs w:val="22"/>
          <w:highlight w:val="none"/>
          <w:lang w:val="en-US" w:eastAsia="zh-CN"/>
        </w:rPr>
        <w:t>20</w:t>
      </w:r>
      <w:r>
        <w:rPr>
          <w:rFonts w:hint="eastAsia" w:ascii="宋体" w:hAnsi="宋体" w:eastAsia="宋体" w:cs="宋体"/>
          <w:b/>
          <w:color w:val="auto"/>
          <w:sz w:val="24"/>
          <w:szCs w:val="22"/>
          <w:highlight w:val="none"/>
        </w:rPr>
        <w:t>分，</w:t>
      </w:r>
      <w:r>
        <w:rPr>
          <w:rFonts w:hint="eastAsia" w:ascii="宋体" w:hAnsi="宋体" w:eastAsia="宋体" w:cs="宋体"/>
          <w:b/>
          <w:color w:val="auto"/>
          <w:sz w:val="24"/>
          <w:highlight w:val="none"/>
        </w:rPr>
        <w:t>投标人的资质和业绩、</w:t>
      </w:r>
      <w:r>
        <w:rPr>
          <w:rFonts w:hint="eastAsia" w:ascii="宋体" w:hAnsi="宋体" w:eastAsia="宋体" w:cs="宋体"/>
          <w:b/>
          <w:color w:val="auto"/>
          <w:sz w:val="24"/>
          <w:szCs w:val="22"/>
          <w:highlight w:val="none"/>
        </w:rPr>
        <w:t>技术和服务方案得分</w:t>
      </w:r>
      <w:r>
        <w:rPr>
          <w:rFonts w:hint="eastAsia" w:ascii="宋体" w:hAnsi="宋体" w:eastAsia="宋体" w:cs="宋体"/>
          <w:b/>
          <w:color w:val="auto"/>
          <w:sz w:val="24"/>
          <w:szCs w:val="22"/>
          <w:highlight w:val="none"/>
          <w:lang w:val="en-US" w:eastAsia="zh-CN"/>
        </w:rPr>
        <w:t>80</w:t>
      </w:r>
      <w:r>
        <w:rPr>
          <w:rFonts w:hint="eastAsia" w:ascii="宋体" w:hAnsi="宋体" w:eastAsia="宋体" w:cs="宋体"/>
          <w:b/>
          <w:color w:val="auto"/>
          <w:sz w:val="24"/>
          <w:szCs w:val="22"/>
          <w:highlight w:val="none"/>
        </w:rPr>
        <w:t>分。</w:t>
      </w:r>
    </w:p>
    <w:p>
      <w:pPr>
        <w:tabs>
          <w:tab w:val="left" w:pos="0"/>
        </w:tabs>
        <w:spacing w:line="360" w:lineRule="auto"/>
        <w:ind w:firstLine="542" w:firstLineChars="225"/>
        <w:rPr>
          <w:rFonts w:hint="eastAsia" w:ascii="宋体" w:hAnsi="宋体" w:eastAsia="宋体" w:cs="宋体"/>
          <w:color w:val="auto"/>
          <w:sz w:val="24"/>
          <w:highlight w:val="none"/>
        </w:rPr>
      </w:pPr>
      <w:r>
        <w:rPr>
          <w:rFonts w:hint="eastAsia" w:ascii="宋体" w:hAnsi="宋体" w:eastAsia="宋体" w:cs="宋体"/>
          <w:b/>
          <w:color w:val="auto"/>
          <w:sz w:val="24"/>
          <w:highlight w:val="none"/>
        </w:rPr>
        <w:t>各投标人的技术和服务方案、投标人的业绩情况得分为：评标委员会各成员评分的算术平均值。各投标人的投标价格得分按投标价格评分</w:t>
      </w:r>
      <w:r>
        <w:rPr>
          <w:rFonts w:hint="eastAsia" w:ascii="宋体" w:hAnsi="宋体" w:eastAsia="宋体" w:cs="宋体"/>
          <w:b/>
          <w:color w:val="auto"/>
          <w:kern w:val="0"/>
          <w:sz w:val="24"/>
          <w:highlight w:val="none"/>
        </w:rPr>
        <w:t>公式由采购机构计算，</w:t>
      </w:r>
      <w:r>
        <w:rPr>
          <w:rFonts w:hint="eastAsia" w:ascii="宋体" w:hAnsi="宋体" w:eastAsia="宋体" w:cs="宋体"/>
          <w:b/>
          <w:color w:val="auto"/>
          <w:sz w:val="24"/>
          <w:highlight w:val="none"/>
        </w:rPr>
        <w:t>评标委员会审核。</w:t>
      </w:r>
      <w:r>
        <w:rPr>
          <w:rFonts w:hint="eastAsia" w:ascii="宋体" w:hAnsi="宋体" w:eastAsia="宋体" w:cs="宋体"/>
          <w:color w:val="auto"/>
          <w:sz w:val="24"/>
          <w:highlight w:val="none"/>
        </w:rPr>
        <w:t>根据上述评标原则，分值安排如下：</w:t>
      </w:r>
    </w:p>
    <w:p>
      <w:pPr>
        <w:tabs>
          <w:tab w:val="left" w:pos="642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投标价格【A=</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rPr>
        <w:tab/>
      </w:r>
    </w:p>
    <w:p>
      <w:pPr>
        <w:autoSpaceDE w:val="0"/>
        <w:autoSpaceDN w:val="0"/>
        <w:spacing w:line="360" w:lineRule="auto"/>
        <w:ind w:firstLine="482"/>
        <w:rPr>
          <w:rFonts w:hint="eastAsia" w:ascii="宋体" w:hAnsi="宋体" w:eastAsia="宋体" w:cs="宋体"/>
          <w:color w:val="auto"/>
          <w:sz w:val="24"/>
          <w:highlight w:val="none"/>
          <w:lang w:val="zh-CN"/>
        </w:rPr>
      </w:pPr>
      <w:r>
        <w:rPr>
          <w:rFonts w:hint="eastAsia" w:ascii="宋体" w:hAnsi="宋体" w:eastAsia="宋体" w:cs="宋体"/>
          <w:color w:val="auto"/>
          <w:sz w:val="18"/>
          <w:szCs w:val="18"/>
          <w:highlight w:val="none"/>
        </w:rPr>
        <w:t xml:space="preserve">● </w:t>
      </w:r>
      <w:r>
        <w:rPr>
          <w:rFonts w:hint="eastAsia" w:ascii="宋体" w:hAnsi="宋体" w:eastAsia="宋体" w:cs="宋体"/>
          <w:b/>
          <w:color w:val="auto"/>
          <w:sz w:val="24"/>
          <w:highlight w:val="none"/>
        </w:rPr>
        <w:t>投标价格的合理性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分析总报价及各个分项报价是否合理，报价范围是否完整，有否重大错漏项</w:t>
      </w:r>
      <w:r>
        <w:rPr>
          <w:rFonts w:hint="eastAsia" w:ascii="宋体" w:hAnsi="宋体" w:eastAsia="宋体" w:cs="宋体"/>
          <w:color w:val="auto"/>
          <w:sz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sz w:val="24"/>
          <w:highlight w:val="none"/>
          <w:lang w:val="zh-CN"/>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报价分计算方法：根据各投标人的有效投标报价，以满足招标文件要求且有效投标价格的最低的投标报价为评标基准价，其价格分为</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。其他投标人的价格分统一按照下列公式计算：投标报价得分＝(评标基准价/有效投标报价)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价格权值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100(精确到小数点后二位，由采购机构当场统一计算)。</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投标人的资质和业绩、</w:t>
      </w:r>
      <w:r>
        <w:rPr>
          <w:rFonts w:hint="eastAsia" w:ascii="宋体" w:hAnsi="宋体" w:eastAsia="宋体" w:cs="宋体"/>
          <w:b/>
          <w:bCs/>
          <w:color w:val="auto"/>
          <w:sz w:val="24"/>
          <w:highlight w:val="none"/>
        </w:rPr>
        <w:t>技术和服务方案</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B=</w:t>
      </w:r>
      <w:r>
        <w:rPr>
          <w:rFonts w:hint="eastAsia" w:ascii="宋体" w:hAnsi="宋体" w:eastAsia="宋体" w:cs="宋体"/>
          <w:b/>
          <w:bCs/>
          <w:color w:val="auto"/>
          <w:sz w:val="24"/>
          <w:highlight w:val="none"/>
          <w:lang w:val="en-US" w:eastAsia="zh-CN"/>
        </w:rPr>
        <w:t>80</w:t>
      </w:r>
      <w:r>
        <w:rPr>
          <w:rFonts w:hint="eastAsia" w:ascii="宋体" w:hAnsi="宋体" w:eastAsia="宋体" w:cs="宋体"/>
          <w:b/>
          <w:bCs/>
          <w:color w:val="auto"/>
          <w:sz w:val="24"/>
          <w:highlight w:val="none"/>
        </w:rPr>
        <w:t>分</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w:t>
      </w:r>
    </w:p>
    <w:tbl>
      <w:tblPr>
        <w:tblStyle w:val="1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380"/>
        <w:gridCol w:w="631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9" w:type="dxa"/>
            <w:shd w:val="clear" w:color="000000" w:fill="E7E6E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分项</w:t>
            </w:r>
          </w:p>
        </w:tc>
        <w:tc>
          <w:tcPr>
            <w:tcW w:w="1380" w:type="dxa"/>
            <w:shd w:val="clear" w:color="000000" w:fill="E7E6E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评审内容</w:t>
            </w:r>
          </w:p>
        </w:tc>
        <w:tc>
          <w:tcPr>
            <w:tcW w:w="6313" w:type="dxa"/>
            <w:shd w:val="clear" w:color="000000" w:fill="E7E6E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细则内容</w:t>
            </w:r>
          </w:p>
        </w:tc>
        <w:tc>
          <w:tcPr>
            <w:tcW w:w="709" w:type="dxa"/>
            <w:shd w:val="clear" w:color="000000" w:fill="E7E6E6"/>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技术与方案(25分）</w:t>
            </w: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设计方案</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投标人应提供符合招标文件要求的整体设计方案，评委对方案是否完善和可行等因素酌情给分，满分10分，未提供不得分。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技术功能</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招标文件详细参数要求内容需要投标人仔细应答</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完全符合招标文件要求的得15分；2、带“▲”的参数负偏离每项扣2分；其它参数负偏离每项扣1分，扣完为止。</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企业实力和信誉（25分）</w:t>
            </w:r>
          </w:p>
        </w:tc>
        <w:tc>
          <w:tcPr>
            <w:tcW w:w="1380" w:type="dxa"/>
            <w:vMerge w:val="restart"/>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投标人具有中国软件行业协会颁发的“企业信用等级证书AAA级”证书，提供得3分，否则不得分。（提供证书复印件加盖投标人公章，否则不得分）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continue"/>
            <w:vAlign w:val="center"/>
          </w:tcPr>
          <w:p>
            <w:pPr>
              <w:widowControl/>
              <w:spacing w:line="360" w:lineRule="auto"/>
              <w:jc w:val="left"/>
              <w:rPr>
                <w:rFonts w:ascii="宋体" w:hAnsi="宋体" w:eastAsia="宋体" w:cs="宋体"/>
                <w:color w:val="000000"/>
                <w:kern w:val="0"/>
                <w:sz w:val="24"/>
                <w:szCs w:val="24"/>
              </w:rPr>
            </w:pP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投标人具有CMMI5级认证证书，得3分，CMMI4级认证得1分，其他不得分。（提供证书复印件加盖公章，否则不得分。）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continue"/>
            <w:vAlign w:val="center"/>
          </w:tcPr>
          <w:p>
            <w:pPr>
              <w:widowControl/>
              <w:spacing w:line="360" w:lineRule="auto"/>
              <w:jc w:val="left"/>
              <w:rPr>
                <w:rFonts w:ascii="宋体" w:hAnsi="宋体" w:eastAsia="宋体" w:cs="宋体"/>
                <w:color w:val="000000"/>
                <w:kern w:val="0"/>
                <w:sz w:val="24"/>
                <w:szCs w:val="24"/>
              </w:rPr>
            </w:pP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投标人具有ISO9001质量管理体系认证证书，提供得3分，否则不得分。（提供证书复印件加盖投标人公章，否则不得分）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continue"/>
            <w:vAlign w:val="center"/>
          </w:tcPr>
          <w:p>
            <w:pPr>
              <w:widowControl/>
              <w:spacing w:line="360" w:lineRule="auto"/>
              <w:jc w:val="left"/>
              <w:rPr>
                <w:rFonts w:ascii="宋体" w:hAnsi="宋体" w:eastAsia="宋体" w:cs="宋体"/>
                <w:color w:val="000000"/>
                <w:kern w:val="0"/>
                <w:sz w:val="24"/>
                <w:szCs w:val="24"/>
              </w:rPr>
            </w:pP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投标人具有ISO13485医疗器械质量管理体系认证证书，提供得3分，否则不得分。（提供证书复印件加盖投标人公章，否则不得分）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continue"/>
            <w:vAlign w:val="center"/>
          </w:tcPr>
          <w:p>
            <w:pPr>
              <w:widowControl/>
              <w:spacing w:line="360" w:lineRule="auto"/>
              <w:jc w:val="left"/>
              <w:rPr>
                <w:rFonts w:ascii="宋体" w:hAnsi="宋体" w:eastAsia="宋体" w:cs="宋体"/>
                <w:color w:val="000000"/>
                <w:kern w:val="0"/>
                <w:sz w:val="24"/>
                <w:szCs w:val="24"/>
              </w:rPr>
            </w:pP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投标人具有ISO 27001信息安全管理体系认证证书，提供得3分，否则不得分。（提供证书复印件加盖投标人公章，否则不得分）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restart"/>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服务能力</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投标人具有按照工业和信息化部组织制定的信息技术服务标准，评估并通过的信息技术服务标准符合性证书（ITSS），一级得4分，二级得2分，没有不得分。（提供证书复印件加盖投标人公章，否则不得分）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vMerge w:val="continue"/>
            <w:vAlign w:val="center"/>
          </w:tcPr>
          <w:p>
            <w:pPr>
              <w:widowControl/>
              <w:spacing w:line="360" w:lineRule="auto"/>
              <w:jc w:val="left"/>
              <w:rPr>
                <w:rFonts w:ascii="宋体" w:hAnsi="宋体" w:eastAsia="宋体" w:cs="宋体"/>
                <w:color w:val="000000"/>
                <w:kern w:val="0"/>
                <w:sz w:val="24"/>
                <w:szCs w:val="24"/>
              </w:rPr>
            </w:pP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投标人具有中国网络安全审查技术与认证中心颁发的CCRC信息系统安全集成服务二级及以上资质证书，提供得4分，否则不得分。（提供证书复印件加盖投标人公章，否则不得分）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产品成熟度</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通过电子病历五级及以上评审的医院案例，且案例至少包含HIS、CIS、平台等核心系统，每个得1分，满分2分。（需提供合同关键页复印件、评审通过证书复印件、用户开具并盖章的证明材料复印件，否则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实施、服务与培训（30分）</w:t>
            </w: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投标人应提供项目实施方案，针对投标人提供实施方案的合理性、完整性进行评价给分，由评审专家酌情给分，满分10分，未提供不得分。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售后服务方案</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投标人应提供售后服务方案，包含质保期内的售后服务具体方案。评委对方案是否完善和可行等因素酌情给分，满分5分，未提供不得分。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售后服务点</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为保障故障维修响应及时性，售后服务点</w:t>
            </w:r>
            <w:r>
              <w:rPr>
                <w:rFonts w:hint="eastAsia" w:ascii="宋体" w:hAnsi="宋体" w:eastAsia="宋体" w:cs="宋体"/>
                <w:color w:val="000000"/>
                <w:kern w:val="0"/>
                <w:sz w:val="24"/>
                <w:szCs w:val="24"/>
                <w:lang w:eastAsia="zh-CN"/>
              </w:rPr>
              <w:t>情况酌情打分，满分</w:t>
            </w:r>
            <w:r>
              <w:rPr>
                <w:rFonts w:hint="eastAsia" w:ascii="宋体" w:hAnsi="宋体" w:eastAsia="宋体" w:cs="宋体"/>
                <w:color w:val="000000"/>
                <w:kern w:val="0"/>
                <w:sz w:val="24"/>
                <w:szCs w:val="24"/>
              </w:rPr>
              <w:t>5分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未提供不得分。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49" w:type="dxa"/>
            <w:vMerge w:val="continue"/>
            <w:vAlign w:val="center"/>
          </w:tcPr>
          <w:p>
            <w:pPr>
              <w:widowControl/>
              <w:spacing w:line="360" w:lineRule="auto"/>
              <w:jc w:val="left"/>
              <w:rPr>
                <w:rFonts w:ascii="宋体" w:hAnsi="宋体" w:eastAsia="宋体" w:cs="宋体"/>
                <w:color w:val="000000"/>
                <w:kern w:val="0"/>
                <w:sz w:val="24"/>
                <w:szCs w:val="24"/>
              </w:rPr>
            </w:pPr>
          </w:p>
        </w:tc>
        <w:tc>
          <w:tcPr>
            <w:tcW w:w="1380"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客户培训</w:t>
            </w:r>
          </w:p>
        </w:tc>
        <w:tc>
          <w:tcPr>
            <w:tcW w:w="6313" w:type="dxa"/>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投标人应提供客户培训方案，方案需培训内容明确，技术服务到位，提供各种形式的现场培训等。评委对方案是否完善和可行等因素酌情给分，满分10分，未提供不得分。</w:t>
            </w:r>
          </w:p>
        </w:tc>
        <w:tc>
          <w:tcPr>
            <w:tcW w:w="709" w:type="dxa"/>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bl>
    <w:p>
      <w:pPr>
        <w:widowControl/>
        <w:spacing w:line="360" w:lineRule="exact"/>
        <w:ind w:left="638" w:leftChars="3" w:right="-514" w:rightChars="-245" w:hanging="632" w:hangingChars="300"/>
        <w:rPr>
          <w:rFonts w:hint="eastAsia" w:ascii="宋体" w:hAnsi="宋体" w:eastAsia="宋体" w:cs="宋体"/>
          <w:b/>
          <w:color w:val="auto"/>
          <w:sz w:val="36"/>
          <w:szCs w:val="36"/>
          <w:highlight w:val="none"/>
        </w:rPr>
      </w:pPr>
      <w:r>
        <w:rPr>
          <w:rFonts w:hint="eastAsia" w:ascii="宋体" w:hAnsi="宋体" w:eastAsia="宋体" w:cs="宋体"/>
          <w:b/>
          <w:color w:val="auto"/>
          <w:szCs w:val="21"/>
          <w:highlight w:val="none"/>
        </w:rPr>
        <w:t>备注：为方便专家评审，请各供应商将本表编入投标文件，并置于投标文件目录之前。</w:t>
      </w:r>
    </w:p>
    <w:p>
      <w:pPr>
        <w:spacing w:line="360" w:lineRule="auto"/>
        <w:jc w:val="center"/>
        <w:outlineLvl w:val="0"/>
        <w:rPr>
          <w:rFonts w:hint="eastAsia" w:ascii="宋体" w:hAnsi="宋体" w:eastAsia="宋体" w:cs="宋体"/>
          <w:b/>
          <w:color w:val="auto"/>
          <w:sz w:val="36"/>
          <w:szCs w:val="36"/>
          <w:highlight w:val="none"/>
        </w:rPr>
      </w:pPr>
    </w:p>
    <w:p>
      <w:pPr>
        <w:pStyle w:val="4"/>
        <w:numPr>
          <w:ilvl w:val="0"/>
          <w:numId w:val="0"/>
        </w:numPr>
        <w:tabs>
          <w:tab w:val="clear" w:pos="432"/>
        </w:tabs>
        <w:ind w:leftChars="0"/>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p>
    <w:p>
      <w:pPr>
        <w:spacing w:line="360" w:lineRule="auto"/>
        <w:jc w:val="center"/>
        <w:outlineLvl w:val="0"/>
        <w:rPr>
          <w:rFonts w:hint="eastAsia" w:ascii="宋体" w:hAnsi="宋体" w:eastAsia="宋体" w:cs="宋体"/>
          <w:b/>
          <w:color w:val="auto"/>
          <w:sz w:val="36"/>
          <w:szCs w:val="36"/>
          <w:highlight w:val="none"/>
        </w:rPr>
      </w:pPr>
    </w:p>
    <w:p>
      <w:pPr>
        <w:pStyle w:val="4"/>
        <w:numPr>
          <w:ilvl w:val="0"/>
          <w:numId w:val="0"/>
        </w:numPr>
        <w:ind w:leftChars="0"/>
        <w:rPr>
          <w:rFonts w:hint="eastAsia"/>
          <w:color w:val="auto"/>
          <w:highlight w:val="none"/>
        </w:rPr>
      </w:pPr>
    </w:p>
    <w:p>
      <w:pPr>
        <w:rPr>
          <w:rFonts w:hint="eastAsia"/>
          <w:color w:val="auto"/>
          <w:highlight w:val="none"/>
        </w:rPr>
      </w:pPr>
    </w:p>
    <w:p>
      <w:pPr>
        <w:pStyle w:val="4"/>
        <w:numPr>
          <w:ilvl w:val="0"/>
          <w:numId w:val="0"/>
        </w:numPr>
        <w:ind w:leftChars="0"/>
        <w:rPr>
          <w:rFonts w:hint="eastAsia"/>
          <w:color w:val="auto"/>
          <w:highlight w:val="none"/>
        </w:rPr>
      </w:pPr>
    </w:p>
    <w:p>
      <w:pPr>
        <w:rPr>
          <w:rFonts w:hint="eastAsia"/>
          <w:color w:val="auto"/>
          <w:highlight w:val="none"/>
        </w:rPr>
      </w:pPr>
    </w:p>
    <w:p>
      <w:pPr>
        <w:pStyle w:val="4"/>
        <w:numPr>
          <w:ilvl w:val="0"/>
          <w:numId w:val="0"/>
        </w:numPr>
        <w:ind w:leftChars="0"/>
        <w:rPr>
          <w:rFonts w:hint="eastAsia"/>
          <w:color w:val="auto"/>
          <w:highlight w:val="none"/>
        </w:rPr>
      </w:pPr>
    </w:p>
    <w:p>
      <w:pPr>
        <w:rPr>
          <w:rFonts w:hint="eastAsia"/>
          <w:color w:val="auto"/>
          <w:highlight w:val="none"/>
        </w:rPr>
      </w:pPr>
    </w:p>
    <w:p>
      <w:pPr>
        <w:spacing w:line="360" w:lineRule="auto"/>
        <w:jc w:val="center"/>
        <w:outlineLvl w:val="0"/>
        <w:rPr>
          <w:rFonts w:hint="eastAsia" w:ascii="宋体" w:hAnsi="宋体" w:eastAsia="宋体" w:cs="宋体"/>
          <w:b/>
          <w:color w:val="auto"/>
          <w:sz w:val="36"/>
          <w:szCs w:val="36"/>
          <w:highlight w:val="none"/>
        </w:rPr>
      </w:pPr>
    </w:p>
    <w:p>
      <w:pPr>
        <w:pStyle w:val="4"/>
        <w:numPr>
          <w:ilvl w:val="0"/>
          <w:numId w:val="0"/>
        </w:numPr>
        <w:ind w:leftChars="0"/>
        <w:rPr>
          <w:rFonts w:hint="eastAsia"/>
        </w:rPr>
      </w:pPr>
    </w:p>
    <w:p>
      <w:pPr>
        <w:pStyle w:val="4"/>
        <w:numPr>
          <w:ilvl w:val="0"/>
          <w:numId w:val="0"/>
        </w:numPr>
        <w:ind w:leftChars="0"/>
        <w:rPr>
          <w:rFonts w:hint="eastAsia"/>
        </w:rPr>
      </w:pPr>
    </w:p>
    <w:p>
      <w:pPr>
        <w:rPr>
          <w:rFonts w:hint="eastAsia"/>
        </w:rPr>
      </w:pPr>
    </w:p>
    <w:p>
      <w:pPr>
        <w:rPr>
          <w:rFonts w:hint="eastAsia"/>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sz w:val="24"/>
          <w:szCs w:val="24"/>
          <w:highlight w:val="none"/>
        </w:rPr>
      </w:pPr>
      <w:bookmarkStart w:id="376" w:name="_Toc331685783"/>
      <w:r>
        <w:rPr>
          <w:rFonts w:hint="eastAsia" w:ascii="宋体" w:hAnsi="宋体"/>
          <w:b/>
          <w:bCs/>
          <w:sz w:val="24"/>
          <w:szCs w:val="24"/>
          <w:highlight w:val="none"/>
        </w:rPr>
        <w:t>甲方</w:t>
      </w:r>
      <w:r>
        <w:rPr>
          <w:rFonts w:hint="eastAsia" w:ascii="宋体" w:hAnsi="宋体"/>
          <w:sz w:val="24"/>
          <w:szCs w:val="24"/>
          <w:highlight w:val="none"/>
        </w:rPr>
        <w:t>（采购人）：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sz w:val="24"/>
          <w:szCs w:val="24"/>
          <w:highlight w:val="none"/>
        </w:rPr>
      </w:pPr>
      <w:r>
        <w:rPr>
          <w:rFonts w:hint="eastAsia" w:ascii="宋体" w:hAnsi="宋体"/>
          <w:b/>
          <w:bCs/>
          <w:sz w:val="24"/>
          <w:szCs w:val="24"/>
          <w:highlight w:val="none"/>
        </w:rPr>
        <w:t>乙方</w:t>
      </w:r>
      <w:r>
        <w:rPr>
          <w:rFonts w:hint="eastAsia" w:ascii="宋体" w:hAnsi="宋体"/>
          <w:sz w:val="24"/>
          <w:szCs w:val="24"/>
          <w:highlight w:val="none"/>
        </w:rPr>
        <w:t xml:space="preserve">（供应商）： </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hint="eastAsia" w:ascii="宋体" w:hAnsi="宋体"/>
          <w:sz w:val="24"/>
          <w:szCs w:val="24"/>
          <w:highlight w:val="none"/>
        </w:rPr>
      </w:pPr>
      <w:r>
        <w:rPr>
          <w:rFonts w:hint="eastAsia" w:ascii="宋体" w:hAnsi="宋体"/>
          <w:snapToGrid w:val="0"/>
          <w:kern w:val="0"/>
          <w:sz w:val="24"/>
          <w:szCs w:val="24"/>
          <w:highlight w:val="none"/>
        </w:rPr>
        <w:t>甲、乙双方根据</w:t>
      </w:r>
      <w:r>
        <w:rPr>
          <w:rFonts w:hint="eastAsia" w:ascii="宋体" w:hAnsi="宋体"/>
          <w:sz w:val="24"/>
          <w:szCs w:val="24"/>
          <w:highlight w:val="none"/>
        </w:rPr>
        <w:t>项目编号为</w:t>
      </w:r>
      <w:r>
        <w:rPr>
          <w:rFonts w:hint="eastAsia" w:ascii="宋体" w:hAnsi="宋体" w:cs="Arial Unicode MS"/>
          <w:color w:val="000000"/>
          <w:sz w:val="24"/>
          <w:szCs w:val="24"/>
          <w:highlight w:val="none"/>
        </w:rPr>
        <w:t>*********</w:t>
      </w:r>
      <w:r>
        <w:rPr>
          <w:rFonts w:hint="eastAsia" w:ascii="宋体" w:hAnsi="宋体" w:cs="Arial Unicode MS"/>
          <w:color w:val="000000"/>
          <w:sz w:val="24"/>
          <w:szCs w:val="24"/>
          <w:highlight w:val="none"/>
          <w:lang w:eastAsia="zh-CN"/>
        </w:rPr>
        <w:t>投标</w:t>
      </w:r>
      <w:r>
        <w:rPr>
          <w:rFonts w:hint="eastAsia" w:ascii="宋体" w:hAnsi="宋体"/>
          <w:snapToGrid w:val="0"/>
          <w:kern w:val="0"/>
          <w:sz w:val="24"/>
          <w:szCs w:val="24"/>
          <w:highlight w:val="none"/>
        </w:rPr>
        <w:t>的结果，签署本合同。</w:t>
      </w:r>
    </w:p>
    <w:p>
      <w:pPr>
        <w:pStyle w:val="13"/>
        <w:keepNext w:val="0"/>
        <w:keepLines w:val="0"/>
        <w:pageBreakBefore w:val="0"/>
        <w:widowControl w:val="0"/>
        <w:kinsoku/>
        <w:wordWrap/>
        <w:overflowPunct/>
        <w:topLinePunct w:val="0"/>
        <w:autoSpaceDE/>
        <w:autoSpaceDN/>
        <w:bidi w:val="0"/>
        <w:adjustRightInd w:val="0"/>
        <w:snapToGrid w:val="0"/>
        <w:spacing w:before="120" w:after="120" w:line="240" w:lineRule="auto"/>
        <w:ind w:firstLine="513" w:firstLineChars="213"/>
        <w:textAlignment w:val="auto"/>
        <w:outlineLvl w:val="9"/>
        <w:rPr>
          <w:rFonts w:hint="eastAsia" w:hAnsi="宋体"/>
          <w:b/>
          <w:sz w:val="24"/>
          <w:szCs w:val="24"/>
          <w:highlight w:val="none"/>
        </w:rPr>
      </w:pPr>
      <w:r>
        <w:rPr>
          <w:rFonts w:hint="eastAsia" w:hAnsi="宋体"/>
          <w:b/>
          <w:snapToGrid w:val="0"/>
          <w:sz w:val="24"/>
          <w:szCs w:val="24"/>
          <w:highlight w:val="none"/>
        </w:rPr>
        <w:t>一、服务内容</w:t>
      </w:r>
      <w:r>
        <w:rPr>
          <w:rFonts w:hint="eastAsia" w:hAnsi="宋体"/>
          <w:b/>
          <w:sz w:val="24"/>
          <w:szCs w:val="24"/>
          <w:highlight w:val="none"/>
        </w:rPr>
        <w:t>及合同价格</w:t>
      </w:r>
    </w:p>
    <w:tbl>
      <w:tblPr>
        <w:tblStyle w:val="19"/>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4"/>
        <w:gridCol w:w="1300"/>
        <w:gridCol w:w="1795"/>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exact"/>
          <w:jc w:val="center"/>
        </w:trPr>
        <w:tc>
          <w:tcPr>
            <w:tcW w:w="4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1680" w:firstLineChars="700"/>
              <w:textAlignment w:val="auto"/>
              <w:outlineLvl w:val="9"/>
              <w:rPr>
                <w:rFonts w:hint="eastAsia" w:ascii="宋体" w:hAnsi="宋体"/>
                <w:snapToGrid w:val="0"/>
                <w:kern w:val="2"/>
                <w:sz w:val="24"/>
                <w:szCs w:val="24"/>
                <w:highlight w:val="none"/>
                <w:lang w:val="en-US" w:eastAsia="zh-CN" w:bidi="ar-SA"/>
              </w:rPr>
            </w:pPr>
            <w:r>
              <w:rPr>
                <w:rFonts w:hint="eastAsia" w:ascii="宋体" w:hAnsi="宋体"/>
                <w:snapToGrid w:val="0"/>
                <w:kern w:val="2"/>
                <w:sz w:val="24"/>
                <w:szCs w:val="24"/>
                <w:highlight w:val="none"/>
                <w:lang w:val="en-US" w:eastAsia="zh-CN" w:bidi="ar-SA"/>
              </w:rPr>
              <w:t>项目名称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snapToGrid w:val="0"/>
                <w:kern w:val="2"/>
                <w:sz w:val="24"/>
                <w:szCs w:val="24"/>
                <w:highlight w:val="none"/>
                <w:lang w:val="en-US" w:eastAsia="zh-CN" w:bidi="ar-SA"/>
              </w:rPr>
            </w:pPr>
            <w:r>
              <w:rPr>
                <w:rFonts w:hint="eastAsia" w:ascii="宋体" w:hAnsi="宋体"/>
                <w:snapToGrid w:val="0"/>
                <w:kern w:val="2"/>
                <w:sz w:val="24"/>
                <w:szCs w:val="24"/>
                <w:highlight w:val="none"/>
                <w:lang w:val="en-US" w:eastAsia="zh-CN" w:bidi="ar-SA"/>
              </w:rPr>
              <w:t>数量</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eastAsia="宋体"/>
                <w:snapToGrid w:val="0"/>
                <w:kern w:val="2"/>
                <w:sz w:val="24"/>
                <w:szCs w:val="24"/>
                <w:highlight w:val="none"/>
                <w:lang w:val="en-US" w:eastAsia="zh-CN" w:bidi="ar-SA"/>
              </w:rPr>
            </w:pPr>
            <w:r>
              <w:rPr>
                <w:rFonts w:hint="eastAsia" w:ascii="宋体" w:hAnsi="宋体"/>
                <w:snapToGrid w:val="0"/>
                <w:kern w:val="2"/>
                <w:sz w:val="24"/>
                <w:szCs w:val="24"/>
                <w:highlight w:val="none"/>
                <w:lang w:val="en-US" w:eastAsia="zh-CN" w:bidi="ar-SA"/>
              </w:rPr>
              <w:t>合同价(元）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snapToGrid w:val="0"/>
                <w:kern w:val="2"/>
                <w:sz w:val="24"/>
                <w:szCs w:val="24"/>
                <w:highlight w:val="none"/>
                <w:lang w:val="en-US" w:eastAsia="zh-CN" w:bidi="ar-SA"/>
              </w:rPr>
            </w:pPr>
            <w:r>
              <w:rPr>
                <w:rFonts w:hint="eastAsia" w:ascii="宋体" w:hAnsi="宋体"/>
                <w:snapToGrid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exact"/>
          <w:jc w:val="center"/>
        </w:trPr>
        <w:tc>
          <w:tcPr>
            <w:tcW w:w="4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default" w:ascii="宋体" w:hAnsi="宋体"/>
                <w:snapToGrid w:val="0"/>
                <w:kern w:val="2"/>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snapToGrid w:val="0"/>
                <w:kern w:val="2"/>
                <w:sz w:val="24"/>
                <w:szCs w:val="24"/>
                <w:highlight w:val="none"/>
                <w:lang w:val="en-US" w:eastAsia="zh-CN" w:bidi="ar-SA"/>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snapToGrid w:val="0"/>
                <w:kern w:val="2"/>
                <w:sz w:val="24"/>
                <w:szCs w:val="24"/>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outlineLvl w:val="9"/>
              <w:rPr>
                <w:rFonts w:hint="eastAsia" w:ascii="宋体" w:hAnsi="宋体"/>
                <w:snapToGrid w:val="0"/>
                <w:kern w:val="2"/>
                <w:sz w:val="24"/>
                <w:szCs w:val="24"/>
                <w:highlight w:val="none"/>
                <w:lang w:val="en-US" w:eastAsia="zh-CN" w:bidi="ar-SA"/>
              </w:rPr>
            </w:pPr>
          </w:p>
        </w:tc>
      </w:tr>
    </w:tbl>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513" w:firstLineChars="213"/>
        <w:textAlignment w:val="auto"/>
        <w:outlineLvl w:val="9"/>
        <w:rPr>
          <w:rFonts w:hint="eastAsia" w:hAnsi="宋体"/>
          <w:b/>
          <w:snapToGrid w:val="0"/>
          <w:sz w:val="24"/>
          <w:szCs w:val="24"/>
          <w:highlight w:val="none"/>
        </w:rPr>
      </w:pPr>
      <w:r>
        <w:rPr>
          <w:rFonts w:hint="eastAsia" w:hAnsi="宋体"/>
          <w:b/>
          <w:snapToGrid w:val="0"/>
          <w:sz w:val="24"/>
          <w:szCs w:val="24"/>
          <w:highlight w:val="none"/>
        </w:rPr>
        <w:t>二、技术资料</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480" w:firstLineChars="200"/>
        <w:textAlignment w:val="auto"/>
        <w:outlineLvl w:val="9"/>
        <w:rPr>
          <w:rFonts w:hint="eastAsia" w:hAnsi="宋体"/>
          <w:snapToGrid w:val="0"/>
          <w:sz w:val="24"/>
          <w:szCs w:val="24"/>
          <w:highlight w:val="none"/>
        </w:rPr>
      </w:pPr>
      <w:r>
        <w:rPr>
          <w:rFonts w:hint="eastAsia" w:hAnsi="宋体"/>
          <w:snapToGrid w:val="0"/>
          <w:sz w:val="24"/>
          <w:szCs w:val="24"/>
          <w:highlight w:val="none"/>
        </w:rPr>
        <w:t>1. 乙方应按</w:t>
      </w:r>
      <w:r>
        <w:rPr>
          <w:rFonts w:hint="eastAsia" w:hAnsi="宋体"/>
          <w:snapToGrid w:val="0"/>
          <w:sz w:val="24"/>
          <w:szCs w:val="24"/>
          <w:highlight w:val="none"/>
          <w:lang w:eastAsia="zh-CN"/>
        </w:rPr>
        <w:t>采购</w:t>
      </w:r>
      <w:r>
        <w:rPr>
          <w:rFonts w:hint="eastAsia" w:hAnsi="宋体"/>
          <w:snapToGrid w:val="0"/>
          <w:sz w:val="24"/>
          <w:szCs w:val="24"/>
          <w:highlight w:val="none"/>
        </w:rPr>
        <w:t>文件规定的时间向甲方提供有关技术资料。</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480" w:firstLineChars="200"/>
        <w:textAlignment w:val="auto"/>
        <w:outlineLvl w:val="9"/>
        <w:rPr>
          <w:rFonts w:hint="eastAsia" w:hAnsi="宋体"/>
          <w:snapToGrid w:val="0"/>
          <w:sz w:val="24"/>
          <w:szCs w:val="24"/>
          <w:highlight w:val="none"/>
        </w:rPr>
      </w:pPr>
      <w:r>
        <w:rPr>
          <w:rFonts w:hint="eastAsia" w:hAnsi="宋体"/>
          <w:snapToGrid w:val="0"/>
          <w:sz w:val="24"/>
          <w:szCs w:val="24"/>
          <w:highlight w:val="none"/>
        </w:rPr>
        <w:t>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477" w:firstLineChars="198"/>
        <w:textAlignment w:val="auto"/>
        <w:outlineLvl w:val="9"/>
        <w:rPr>
          <w:rFonts w:hAnsi="宋体"/>
          <w:b/>
          <w:snapToGrid w:val="0"/>
          <w:sz w:val="24"/>
          <w:szCs w:val="24"/>
          <w:highlight w:val="none"/>
        </w:rPr>
      </w:pPr>
      <w:r>
        <w:rPr>
          <w:rFonts w:hint="eastAsia" w:hAnsi="宋体"/>
          <w:b/>
          <w:snapToGrid w:val="0"/>
          <w:sz w:val="24"/>
          <w:szCs w:val="24"/>
          <w:highlight w:val="none"/>
        </w:rPr>
        <w:t>三、转包或分包</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outlineLvl w:val="9"/>
        <w:rPr>
          <w:rFonts w:hint="eastAsia" w:ascii="宋体" w:hAnsi="宋体"/>
          <w:snapToGrid w:val="0"/>
          <w:kern w:val="0"/>
          <w:sz w:val="24"/>
          <w:szCs w:val="24"/>
          <w:highlight w:val="none"/>
        </w:rPr>
      </w:pPr>
      <w:r>
        <w:rPr>
          <w:rFonts w:hint="eastAsia" w:ascii="宋体" w:hAnsi="宋体"/>
          <w:snapToGrid w:val="0"/>
          <w:kern w:val="0"/>
          <w:sz w:val="24"/>
          <w:szCs w:val="24"/>
          <w:highlight w:val="none"/>
        </w:rPr>
        <w:t>本合同范围的项目，应由乙方直接实施，不得转让他人，否则，甲方有权解除合同，并追究乙方的违约责任。</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513" w:firstLineChars="213"/>
        <w:textAlignment w:val="auto"/>
        <w:outlineLvl w:val="9"/>
        <w:rPr>
          <w:rFonts w:hint="eastAsia" w:hAnsi="宋体"/>
          <w:snapToGrid w:val="0"/>
          <w:sz w:val="24"/>
          <w:szCs w:val="24"/>
          <w:highlight w:val="none"/>
        </w:rPr>
      </w:pPr>
      <w:r>
        <w:rPr>
          <w:rFonts w:hint="eastAsia" w:hAnsi="宋体"/>
          <w:b/>
          <w:snapToGrid w:val="0"/>
          <w:sz w:val="24"/>
          <w:szCs w:val="24"/>
          <w:highlight w:val="none"/>
        </w:rPr>
        <w:t>四、具体工作内容</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40" w:lineRule="exact"/>
        <w:ind w:firstLine="480" w:firstLineChars="200"/>
        <w:textAlignment w:val="auto"/>
        <w:outlineLvl w:val="9"/>
        <w:rPr>
          <w:rFonts w:hint="eastAsia" w:hAnsi="宋体"/>
          <w:bCs/>
          <w:snapToGrid w:val="0"/>
          <w:color w:val="000000"/>
          <w:sz w:val="24"/>
          <w:szCs w:val="24"/>
          <w:highlight w:val="none"/>
        </w:rPr>
      </w:pPr>
      <w:r>
        <w:rPr>
          <w:rFonts w:hint="eastAsia" w:hAnsi="宋体"/>
          <w:color w:val="000000"/>
          <w:sz w:val="24"/>
          <w:szCs w:val="24"/>
          <w:highlight w:val="none"/>
          <w:u w:val="single"/>
        </w:rPr>
        <w:t xml:space="preserve">                          </w:t>
      </w:r>
      <w:r>
        <w:rPr>
          <w:rFonts w:hint="eastAsia" w:hAnsi="宋体"/>
          <w:color w:val="000000"/>
          <w:sz w:val="24"/>
          <w:szCs w:val="24"/>
          <w:highlight w:val="none"/>
          <w:u w:val="single"/>
          <w:lang w:val="en-US" w:eastAsia="zh-CN"/>
        </w:rPr>
        <w:t xml:space="preserve">                                       </w:t>
      </w:r>
      <w:r>
        <w:rPr>
          <w:rFonts w:hint="eastAsia" w:hAnsi="宋体"/>
          <w:color w:val="000000"/>
          <w:sz w:val="24"/>
          <w:szCs w:val="24"/>
          <w:highlight w:val="none"/>
          <w:u w:val="single"/>
        </w:rPr>
        <w:t xml:space="preserve">     </w:t>
      </w:r>
      <w:r>
        <w:rPr>
          <w:rFonts w:hint="eastAsia" w:hAnsi="宋体"/>
          <w:color w:val="000000"/>
          <w:sz w:val="24"/>
          <w:szCs w:val="24"/>
          <w:highlight w:val="none"/>
        </w:rPr>
        <w:t>。</w:t>
      </w:r>
    </w:p>
    <w:p>
      <w:pPr>
        <w:pStyle w:val="13"/>
        <w:keepNext w:val="0"/>
        <w:keepLines w:val="0"/>
        <w:pageBreakBefore w:val="0"/>
        <w:widowControl w:val="0"/>
        <w:numPr>
          <w:ilvl w:val="0"/>
          <w:numId w:val="28"/>
        </w:numPr>
        <w:kinsoku/>
        <w:wordWrap/>
        <w:overflowPunct/>
        <w:topLinePunct w:val="0"/>
        <w:autoSpaceDE/>
        <w:autoSpaceDN/>
        <w:bidi w:val="0"/>
        <w:adjustRightInd w:val="0"/>
        <w:snapToGrid w:val="0"/>
        <w:spacing w:before="120" w:after="120" w:line="340" w:lineRule="exact"/>
        <w:ind w:firstLine="482" w:firstLineChars="200"/>
        <w:textAlignment w:val="auto"/>
        <w:outlineLvl w:val="9"/>
        <w:rPr>
          <w:rFonts w:hint="eastAsia" w:hAnsi="宋体"/>
          <w:b/>
          <w:snapToGrid w:val="0"/>
          <w:color w:val="000000"/>
          <w:sz w:val="24"/>
          <w:szCs w:val="24"/>
          <w:highlight w:val="none"/>
        </w:rPr>
      </w:pPr>
      <w:r>
        <w:rPr>
          <w:rFonts w:hint="eastAsia" w:hAnsi="宋体"/>
          <w:b/>
          <w:snapToGrid w:val="0"/>
          <w:color w:val="000000"/>
          <w:sz w:val="24"/>
          <w:szCs w:val="24"/>
          <w:highlight w:val="none"/>
        </w:rPr>
        <w:t>服务起止时间</w:t>
      </w:r>
    </w:p>
    <w:p>
      <w:pPr>
        <w:rPr>
          <w:rFonts w:hint="default" w:eastAsia="宋体"/>
          <w:sz w:val="24"/>
          <w:szCs w:val="24"/>
          <w:lang w:val="en-US" w:eastAsia="zh-CN"/>
        </w:rPr>
      </w:pPr>
      <w:r>
        <w:rPr>
          <w:rFonts w:hint="eastAsia" w:hAnsi="宋体"/>
          <w:b/>
          <w:snapToGrid w:val="0"/>
          <w:color w:val="000000"/>
          <w:sz w:val="24"/>
          <w:szCs w:val="24"/>
          <w:highlight w:val="none"/>
          <w:lang w:val="en-US" w:eastAsia="zh-CN"/>
        </w:rPr>
        <w:t xml:space="preserve"> </w:t>
      </w:r>
      <w:r>
        <w:rPr>
          <w:rFonts w:hint="eastAsia" w:hAnsi="宋体"/>
          <w:b/>
          <w:bCs w:val="0"/>
          <w:snapToGrid w:val="0"/>
          <w:color w:val="000000"/>
          <w:sz w:val="24"/>
          <w:szCs w:val="24"/>
          <w:highlight w:val="none"/>
          <w:lang w:val="en-US" w:eastAsia="zh-CN"/>
        </w:rPr>
        <w:t xml:space="preserve"> </w:t>
      </w:r>
      <w:r>
        <w:rPr>
          <w:rFonts w:hint="eastAsia" w:ascii="宋体" w:hAnsi="宋体"/>
          <w:b/>
          <w:bCs w:val="0"/>
          <w:snapToGrid w:val="0"/>
          <w:color w:val="000000"/>
          <w:kern w:val="2"/>
          <w:sz w:val="24"/>
          <w:szCs w:val="24"/>
          <w:highlight w:val="none"/>
          <w:lang w:val="en-US" w:eastAsia="zh-CN" w:bidi="ar-SA"/>
        </w:rPr>
        <w:t xml:space="preserve">  六、付款方式</w:t>
      </w:r>
    </w:p>
    <w:p>
      <w:pPr>
        <w:keepNext w:val="0"/>
        <w:keepLines w:val="0"/>
        <w:pageBreakBefore w:val="0"/>
        <w:widowControl w:val="0"/>
        <w:kinsoku/>
        <w:wordWrap/>
        <w:overflowPunct/>
        <w:topLinePunct w:val="0"/>
        <w:autoSpaceDE/>
        <w:autoSpaceDN/>
        <w:bidi w:val="0"/>
        <w:adjustRightInd w:val="0"/>
        <w:snapToGrid w:val="0"/>
        <w:spacing w:line="340" w:lineRule="exact"/>
        <w:ind w:firstLine="595" w:firstLineChars="247"/>
        <w:textAlignment w:val="auto"/>
        <w:outlineLvl w:val="9"/>
        <w:rPr>
          <w:rFonts w:hint="default" w:hAnsi="宋体"/>
          <w:b/>
          <w:bCs/>
          <w:snapToGrid w:val="0"/>
          <w:color w:val="000000"/>
          <w:sz w:val="24"/>
          <w:szCs w:val="24"/>
          <w:highlight w:val="none"/>
          <w:lang w:val="en-US" w:eastAsia="zh-CN"/>
        </w:rPr>
      </w:pPr>
      <w:r>
        <w:rPr>
          <w:rFonts w:hint="eastAsia" w:hAnsi="宋体"/>
          <w:b/>
          <w:bCs/>
          <w:snapToGrid w:val="0"/>
          <w:color w:val="000000"/>
          <w:sz w:val="24"/>
          <w:szCs w:val="24"/>
          <w:highlight w:val="none"/>
          <w:lang w:val="en-US" w:eastAsia="zh-CN"/>
        </w:rPr>
        <w:t>合同签订一个月内</w:t>
      </w:r>
      <w:r>
        <w:rPr>
          <w:rFonts w:hint="eastAsia" w:hAnsi="宋体"/>
          <w:b/>
          <w:bCs/>
          <w:snapToGrid w:val="0"/>
          <w:color w:val="000000"/>
          <w:sz w:val="24"/>
          <w:szCs w:val="24"/>
          <w:highlight w:val="none"/>
          <w:lang w:eastAsia="zh-CN"/>
        </w:rPr>
        <w:t>付合同价的30%，</w:t>
      </w:r>
      <w:r>
        <w:rPr>
          <w:rFonts w:hint="eastAsia" w:hAnsi="宋体"/>
          <w:b/>
          <w:bCs/>
          <w:snapToGrid w:val="0"/>
          <w:color w:val="000000"/>
          <w:sz w:val="24"/>
          <w:szCs w:val="24"/>
          <w:highlight w:val="none"/>
          <w:lang w:val="en-US" w:eastAsia="zh-CN"/>
        </w:rPr>
        <w:t>项目正式验收后一个月内支付合同价的60%，余下10%作为质保金，在项目验收完成1年内无质量问题后一周内付清（不计利息）.</w:t>
      </w:r>
    </w:p>
    <w:p>
      <w:pPr>
        <w:keepNext w:val="0"/>
        <w:keepLines w:val="0"/>
        <w:pageBreakBefore w:val="0"/>
        <w:widowControl w:val="0"/>
        <w:kinsoku/>
        <w:wordWrap/>
        <w:overflowPunct/>
        <w:topLinePunct w:val="0"/>
        <w:autoSpaceDE/>
        <w:autoSpaceDN/>
        <w:bidi w:val="0"/>
        <w:adjustRightInd w:val="0"/>
        <w:snapToGrid w:val="0"/>
        <w:spacing w:line="340" w:lineRule="exact"/>
        <w:ind w:firstLine="354" w:firstLineChars="147"/>
        <w:textAlignment w:val="auto"/>
        <w:outlineLvl w:val="9"/>
        <w:rPr>
          <w:rFonts w:ascii="宋体" w:hAnsi="宋体"/>
          <w:b/>
          <w:bCs/>
          <w:sz w:val="24"/>
          <w:szCs w:val="24"/>
          <w:highlight w:val="none"/>
        </w:rPr>
      </w:pPr>
      <w:r>
        <w:rPr>
          <w:rFonts w:hint="eastAsia" w:hAnsi="宋体"/>
          <w:b/>
          <w:snapToGrid w:val="0"/>
          <w:color w:val="000000"/>
          <w:sz w:val="24"/>
          <w:szCs w:val="24"/>
          <w:highlight w:val="none"/>
        </w:rPr>
        <w:t xml:space="preserve"> 七、</w:t>
      </w:r>
      <w:r>
        <w:rPr>
          <w:rFonts w:ascii="宋体" w:hAnsi="宋体"/>
          <w:b/>
          <w:bCs/>
          <w:sz w:val="24"/>
          <w:szCs w:val="24"/>
          <w:highlight w:val="none"/>
        </w:rPr>
        <w:t>质量保证</w:t>
      </w:r>
    </w:p>
    <w:p>
      <w:pPr>
        <w:pStyle w:val="13"/>
        <w:keepNext w:val="0"/>
        <w:keepLines w:val="0"/>
        <w:pageBreakBefore w:val="0"/>
        <w:widowControl w:val="0"/>
        <w:kinsoku/>
        <w:wordWrap/>
        <w:overflowPunct/>
        <w:topLinePunct w:val="0"/>
        <w:autoSpaceDE/>
        <w:autoSpaceDN/>
        <w:bidi w:val="0"/>
        <w:snapToGrid w:val="0"/>
        <w:spacing w:before="0" w:beforeLines="0" w:after="0" w:afterLines="0" w:line="340" w:lineRule="exact"/>
        <w:ind w:firstLine="480" w:firstLineChars="200"/>
        <w:textAlignment w:val="auto"/>
        <w:outlineLvl w:val="9"/>
        <w:rPr>
          <w:rFonts w:hint="eastAsia" w:hAnsi="宋体"/>
          <w:sz w:val="24"/>
          <w:szCs w:val="24"/>
          <w:highlight w:val="none"/>
        </w:rPr>
      </w:pPr>
      <w:r>
        <w:rPr>
          <w:rFonts w:hint="eastAsia" w:hAnsi="宋体"/>
          <w:sz w:val="24"/>
          <w:szCs w:val="24"/>
          <w:highlight w:val="none"/>
        </w:rPr>
        <w:t>1、</w:t>
      </w:r>
      <w:r>
        <w:rPr>
          <w:rFonts w:hAnsi="宋体"/>
          <w:sz w:val="24"/>
          <w:szCs w:val="24"/>
          <w:highlight w:val="none"/>
        </w:rPr>
        <w:t>乙方应按</w:t>
      </w:r>
      <w:r>
        <w:rPr>
          <w:rFonts w:hint="eastAsia" w:hAnsi="宋体"/>
          <w:sz w:val="24"/>
          <w:szCs w:val="24"/>
          <w:highlight w:val="none"/>
          <w:lang w:eastAsia="zh-CN"/>
        </w:rPr>
        <w:t>采购</w:t>
      </w:r>
      <w:r>
        <w:rPr>
          <w:rFonts w:hAnsi="宋体"/>
          <w:sz w:val="24"/>
          <w:szCs w:val="24"/>
          <w:highlight w:val="none"/>
        </w:rPr>
        <w:t>文件规定向甲方提供服务。</w:t>
      </w:r>
    </w:p>
    <w:p>
      <w:pPr>
        <w:pStyle w:val="13"/>
        <w:keepNext w:val="0"/>
        <w:keepLines w:val="0"/>
        <w:pageBreakBefore w:val="0"/>
        <w:widowControl w:val="0"/>
        <w:kinsoku/>
        <w:wordWrap/>
        <w:overflowPunct/>
        <w:topLinePunct w:val="0"/>
        <w:autoSpaceDE/>
        <w:autoSpaceDN/>
        <w:bidi w:val="0"/>
        <w:snapToGrid w:val="0"/>
        <w:spacing w:before="0" w:beforeLines="0" w:after="0" w:afterLines="0" w:line="340" w:lineRule="exact"/>
        <w:ind w:firstLine="480" w:firstLineChars="200"/>
        <w:textAlignment w:val="auto"/>
        <w:outlineLvl w:val="9"/>
        <w:rPr>
          <w:rFonts w:hAnsi="宋体"/>
          <w:sz w:val="24"/>
          <w:szCs w:val="24"/>
          <w:highlight w:val="none"/>
        </w:rPr>
      </w:pPr>
      <w:r>
        <w:rPr>
          <w:rFonts w:hint="eastAsia" w:hAnsi="宋体"/>
          <w:sz w:val="24"/>
          <w:szCs w:val="24"/>
          <w:highlight w:val="none"/>
        </w:rPr>
        <w:t>2、</w:t>
      </w:r>
      <w:r>
        <w:rPr>
          <w:rFonts w:hAnsi="宋体"/>
          <w:sz w:val="24"/>
          <w:szCs w:val="24"/>
          <w:highlight w:val="none"/>
        </w:rPr>
        <w:t>乙方提供的服务成果质量</w:t>
      </w:r>
      <w:r>
        <w:rPr>
          <w:rFonts w:hint="eastAsia" w:hAnsi="宋体"/>
          <w:sz w:val="24"/>
          <w:szCs w:val="24"/>
          <w:highlight w:val="none"/>
        </w:rPr>
        <w:t>没有达到甲方要求的</w:t>
      </w:r>
      <w:r>
        <w:rPr>
          <w:rFonts w:hAnsi="宋体"/>
          <w:sz w:val="24"/>
          <w:szCs w:val="24"/>
          <w:highlight w:val="none"/>
        </w:rPr>
        <w:t>，乙方应负责免费提供后续服务。对达不到要求者，根据实际情况，经双方协商，可按以下办法处理：</w:t>
      </w:r>
    </w:p>
    <w:p>
      <w:pPr>
        <w:pStyle w:val="13"/>
        <w:keepNext w:val="0"/>
        <w:keepLines w:val="0"/>
        <w:pageBreakBefore w:val="0"/>
        <w:widowControl w:val="0"/>
        <w:kinsoku/>
        <w:wordWrap/>
        <w:overflowPunct/>
        <w:topLinePunct w:val="0"/>
        <w:autoSpaceDE/>
        <w:autoSpaceDN/>
        <w:bidi w:val="0"/>
        <w:snapToGrid w:val="0"/>
        <w:spacing w:before="0" w:beforeLines="0" w:after="0" w:afterLines="0" w:line="340" w:lineRule="exact"/>
        <w:ind w:firstLine="480" w:firstLineChars="200"/>
        <w:textAlignment w:val="auto"/>
        <w:outlineLvl w:val="9"/>
        <w:rPr>
          <w:rFonts w:hAnsi="宋体"/>
          <w:sz w:val="24"/>
          <w:szCs w:val="24"/>
          <w:highlight w:val="none"/>
        </w:rPr>
      </w:pPr>
      <w:r>
        <w:rPr>
          <w:rFonts w:hAnsi="宋体"/>
          <w:sz w:val="24"/>
          <w:szCs w:val="24"/>
          <w:highlight w:val="none"/>
        </w:rPr>
        <w:t>⑴重做：由乙方承担所发生的全部费用。</w:t>
      </w:r>
    </w:p>
    <w:p>
      <w:pPr>
        <w:pStyle w:val="13"/>
        <w:keepNext w:val="0"/>
        <w:keepLines w:val="0"/>
        <w:pageBreakBefore w:val="0"/>
        <w:widowControl w:val="0"/>
        <w:kinsoku/>
        <w:wordWrap/>
        <w:overflowPunct/>
        <w:topLinePunct w:val="0"/>
        <w:autoSpaceDE/>
        <w:autoSpaceDN/>
        <w:bidi w:val="0"/>
        <w:snapToGrid w:val="0"/>
        <w:spacing w:before="0" w:beforeLines="0" w:after="0" w:afterLines="0" w:line="340" w:lineRule="exact"/>
        <w:ind w:firstLine="480" w:firstLineChars="200"/>
        <w:textAlignment w:val="auto"/>
        <w:outlineLvl w:val="9"/>
        <w:rPr>
          <w:rFonts w:hAnsi="宋体"/>
          <w:sz w:val="24"/>
          <w:szCs w:val="24"/>
          <w:highlight w:val="none"/>
        </w:rPr>
      </w:pPr>
      <w:r>
        <w:rPr>
          <w:rFonts w:hAnsi="宋体"/>
          <w:sz w:val="24"/>
          <w:szCs w:val="24"/>
          <w:highlight w:val="none"/>
        </w:rPr>
        <w:t>⑵解除合同。</w:t>
      </w:r>
    </w:p>
    <w:p>
      <w:pPr>
        <w:pStyle w:val="13"/>
        <w:keepNext w:val="0"/>
        <w:keepLines w:val="0"/>
        <w:pageBreakBefore w:val="0"/>
        <w:widowControl w:val="0"/>
        <w:kinsoku/>
        <w:wordWrap/>
        <w:overflowPunct/>
        <w:topLinePunct w:val="0"/>
        <w:autoSpaceDE/>
        <w:autoSpaceDN/>
        <w:bidi w:val="0"/>
        <w:snapToGrid w:val="0"/>
        <w:spacing w:before="0" w:beforeLines="0" w:after="0" w:afterLines="0" w:line="340" w:lineRule="exact"/>
        <w:ind w:firstLine="480" w:firstLineChars="200"/>
        <w:textAlignment w:val="auto"/>
        <w:outlineLvl w:val="9"/>
        <w:rPr>
          <w:rFonts w:hint="eastAsia" w:hAnsi="宋体"/>
          <w:bCs/>
          <w:snapToGrid w:val="0"/>
          <w:color w:val="FF0000"/>
          <w:sz w:val="24"/>
          <w:szCs w:val="24"/>
          <w:highlight w:val="none"/>
        </w:rPr>
      </w:pPr>
      <w:r>
        <w:rPr>
          <w:rFonts w:hint="eastAsia" w:hAnsi="宋体"/>
          <w:sz w:val="24"/>
          <w:szCs w:val="24"/>
          <w:highlight w:val="none"/>
        </w:rPr>
        <w:t>3、</w:t>
      </w:r>
      <w:r>
        <w:rPr>
          <w:rFonts w:hAnsi="宋体"/>
          <w:sz w:val="24"/>
          <w:szCs w:val="24"/>
          <w:highlight w:val="none"/>
        </w:rPr>
        <w:t>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40" w:lineRule="exact"/>
        <w:ind w:firstLine="513" w:firstLineChars="213"/>
        <w:textAlignment w:val="auto"/>
        <w:outlineLvl w:val="9"/>
        <w:rPr>
          <w:rFonts w:hint="eastAsia" w:ascii="宋体" w:hAnsi="宋体"/>
          <w:b/>
          <w:snapToGrid w:val="0"/>
          <w:kern w:val="0"/>
          <w:sz w:val="24"/>
          <w:szCs w:val="24"/>
          <w:highlight w:val="none"/>
        </w:rPr>
      </w:pPr>
      <w:r>
        <w:rPr>
          <w:rFonts w:hint="eastAsia" w:ascii="宋体" w:hAnsi="宋体"/>
          <w:b/>
          <w:snapToGrid w:val="0"/>
          <w:kern w:val="0"/>
          <w:sz w:val="24"/>
          <w:szCs w:val="24"/>
          <w:highlight w:val="none"/>
        </w:rPr>
        <w:t>八、税费</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40" w:lineRule="exact"/>
        <w:ind w:firstLine="511" w:firstLineChars="213"/>
        <w:textAlignment w:val="auto"/>
        <w:outlineLvl w:val="9"/>
        <w:rPr>
          <w:rFonts w:hint="eastAsia" w:ascii="宋体" w:hAnsi="宋体"/>
          <w:snapToGrid w:val="0"/>
          <w:kern w:val="0"/>
          <w:sz w:val="24"/>
          <w:szCs w:val="24"/>
          <w:highlight w:val="none"/>
        </w:rPr>
      </w:pPr>
      <w:r>
        <w:rPr>
          <w:rFonts w:hint="eastAsia" w:ascii="宋体" w:hAnsi="宋体"/>
          <w:snapToGrid w:val="0"/>
          <w:kern w:val="0"/>
          <w:sz w:val="24"/>
          <w:szCs w:val="24"/>
          <w:highlight w:val="none"/>
        </w:rPr>
        <w:t>本合同执行中相关的一切税费均由乙方负担。</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482" w:firstLineChars="200"/>
        <w:textAlignment w:val="auto"/>
        <w:outlineLvl w:val="9"/>
        <w:rPr>
          <w:rFonts w:hint="eastAsia" w:hAnsi="宋体"/>
          <w:b/>
          <w:sz w:val="24"/>
          <w:szCs w:val="24"/>
          <w:highlight w:val="none"/>
        </w:rPr>
      </w:pPr>
      <w:r>
        <w:rPr>
          <w:rFonts w:hint="eastAsia" w:hAnsi="宋体"/>
          <w:b/>
          <w:sz w:val="24"/>
          <w:szCs w:val="24"/>
          <w:highlight w:val="none"/>
        </w:rPr>
        <w:t>十、验收</w:t>
      </w:r>
    </w:p>
    <w:p>
      <w:pPr>
        <w:pStyle w:val="13"/>
        <w:keepNext w:val="0"/>
        <w:keepLines w:val="0"/>
        <w:pageBreakBefore w:val="0"/>
        <w:widowControl w:val="0"/>
        <w:kinsoku/>
        <w:wordWrap/>
        <w:overflowPunct/>
        <w:topLinePunct w:val="0"/>
        <w:autoSpaceDE/>
        <w:autoSpaceDN/>
        <w:bidi w:val="0"/>
        <w:adjustRightInd w:val="0"/>
        <w:snapToGrid w:val="0"/>
        <w:spacing w:before="120" w:after="120" w:line="340" w:lineRule="exact"/>
        <w:ind w:firstLine="511" w:firstLineChars="213"/>
        <w:textAlignment w:val="auto"/>
        <w:outlineLvl w:val="9"/>
        <w:rPr>
          <w:rFonts w:hint="eastAsia" w:hAnsi="宋体"/>
          <w:snapToGrid w:val="0"/>
          <w:sz w:val="24"/>
          <w:szCs w:val="24"/>
          <w:highlight w:val="none"/>
        </w:rPr>
      </w:pPr>
      <w:r>
        <w:rPr>
          <w:rFonts w:hint="eastAsia" w:hAnsi="宋体"/>
          <w:snapToGrid w:val="0"/>
          <w:sz w:val="24"/>
          <w:szCs w:val="24"/>
          <w:highlight w:val="none"/>
        </w:rPr>
        <w:t>通过相关部门审核。</w:t>
      </w:r>
    </w:p>
    <w:p>
      <w:pPr>
        <w:keepNext w:val="0"/>
        <w:keepLines w:val="0"/>
        <w:pageBreakBefore w:val="0"/>
        <w:widowControl w:val="0"/>
        <w:kinsoku/>
        <w:wordWrap/>
        <w:overflowPunct/>
        <w:topLinePunct w:val="0"/>
        <w:autoSpaceDE/>
        <w:autoSpaceDN/>
        <w:bidi w:val="0"/>
        <w:adjustRightInd w:val="0"/>
        <w:snapToGrid w:val="0"/>
        <w:spacing w:line="360" w:lineRule="exact"/>
        <w:ind w:firstLine="354" w:firstLineChars="147"/>
        <w:textAlignment w:val="auto"/>
        <w:outlineLvl w:val="9"/>
        <w:rPr>
          <w:rFonts w:ascii="宋体" w:hAnsi="宋体"/>
          <w:b/>
          <w:bCs/>
          <w:sz w:val="24"/>
          <w:szCs w:val="24"/>
          <w:highlight w:val="none"/>
        </w:rPr>
      </w:pPr>
      <w:r>
        <w:rPr>
          <w:rFonts w:hint="eastAsia" w:ascii="宋体" w:hAnsi="宋体"/>
          <w:b/>
          <w:bCs/>
          <w:sz w:val="24"/>
          <w:szCs w:val="24"/>
          <w:highlight w:val="none"/>
        </w:rPr>
        <w:t>十一、</w:t>
      </w:r>
      <w:r>
        <w:rPr>
          <w:rFonts w:ascii="宋体" w:hAnsi="宋体"/>
          <w:b/>
          <w:bCs/>
          <w:sz w:val="24"/>
          <w:szCs w:val="24"/>
          <w:highlight w:val="none"/>
        </w:rPr>
        <w:t>违约责任</w:t>
      </w:r>
    </w:p>
    <w:p>
      <w:pPr>
        <w:pStyle w:val="13"/>
        <w:keepNext w:val="0"/>
        <w:keepLines w:val="0"/>
        <w:pageBreakBefore w:val="0"/>
        <w:widowControl w:val="0"/>
        <w:kinsoku/>
        <w:wordWrap/>
        <w:overflowPunct/>
        <w:topLinePunct w:val="0"/>
        <w:autoSpaceDE/>
        <w:autoSpaceDN/>
        <w:bidi w:val="0"/>
        <w:snapToGrid w:val="0"/>
        <w:spacing w:before="0" w:beforeLines="0" w:after="0" w:afterLines="0" w:line="360" w:lineRule="exact"/>
        <w:ind w:firstLine="480" w:firstLineChars="200"/>
        <w:textAlignment w:val="auto"/>
        <w:outlineLvl w:val="9"/>
        <w:rPr>
          <w:rFonts w:hAnsi="宋体"/>
          <w:color w:val="000000"/>
          <w:sz w:val="24"/>
          <w:szCs w:val="24"/>
          <w:highlight w:val="none"/>
        </w:rPr>
      </w:pPr>
      <w:r>
        <w:rPr>
          <w:rFonts w:hAnsi="宋体"/>
          <w:color w:val="000000"/>
          <w:sz w:val="24"/>
          <w:szCs w:val="24"/>
          <w:highlight w:val="none"/>
        </w:rPr>
        <w:t>1．乙方连续三个月没有达到服务</w:t>
      </w:r>
      <w:r>
        <w:rPr>
          <w:rFonts w:hint="eastAsia" w:hAnsi="宋体"/>
          <w:color w:val="000000"/>
          <w:sz w:val="24"/>
          <w:szCs w:val="24"/>
          <w:highlight w:val="none"/>
        </w:rPr>
        <w:t>质量</w:t>
      </w:r>
      <w:r>
        <w:rPr>
          <w:rFonts w:hAnsi="宋体"/>
          <w:color w:val="000000"/>
          <w:sz w:val="24"/>
          <w:szCs w:val="24"/>
          <w:highlight w:val="none"/>
        </w:rPr>
        <w:t>要求，甲方有权终止服务合同，并扣除全部服务质量保证金。</w:t>
      </w:r>
    </w:p>
    <w:p>
      <w:pPr>
        <w:pStyle w:val="13"/>
        <w:keepNext w:val="0"/>
        <w:keepLines w:val="0"/>
        <w:pageBreakBefore w:val="0"/>
        <w:widowControl w:val="0"/>
        <w:kinsoku/>
        <w:wordWrap/>
        <w:overflowPunct/>
        <w:topLinePunct w:val="0"/>
        <w:autoSpaceDE/>
        <w:autoSpaceDN/>
        <w:bidi w:val="0"/>
        <w:snapToGrid w:val="0"/>
        <w:spacing w:before="0" w:beforeLines="0" w:after="0" w:afterLines="0" w:line="360" w:lineRule="exact"/>
        <w:ind w:firstLine="480" w:firstLineChars="200"/>
        <w:textAlignment w:val="auto"/>
        <w:outlineLvl w:val="9"/>
        <w:rPr>
          <w:rFonts w:hAnsi="宋体"/>
          <w:sz w:val="24"/>
          <w:szCs w:val="24"/>
          <w:highlight w:val="none"/>
        </w:rPr>
      </w:pPr>
      <w:r>
        <w:rPr>
          <w:rFonts w:hAnsi="宋体"/>
          <w:sz w:val="24"/>
          <w:szCs w:val="24"/>
          <w:highlight w:val="none"/>
        </w:rPr>
        <w:t>2</w:t>
      </w:r>
      <w:r>
        <w:rPr>
          <w:rFonts w:hint="eastAsia" w:hAnsi="宋体"/>
          <w:sz w:val="24"/>
          <w:szCs w:val="24"/>
          <w:highlight w:val="none"/>
        </w:rPr>
        <w:t>.</w:t>
      </w:r>
      <w:r>
        <w:rPr>
          <w:rFonts w:hAnsi="宋体"/>
          <w:sz w:val="24"/>
          <w:szCs w:val="24"/>
          <w:highlight w:val="none"/>
        </w:rPr>
        <w:t>甲方无正当理由拒收接受服务的，甲方向乙方偿付合同款项百分之五作为违约金。</w:t>
      </w:r>
    </w:p>
    <w:p>
      <w:pPr>
        <w:pStyle w:val="13"/>
        <w:keepNext w:val="0"/>
        <w:keepLines w:val="0"/>
        <w:pageBreakBefore w:val="0"/>
        <w:widowControl w:val="0"/>
        <w:kinsoku/>
        <w:wordWrap/>
        <w:overflowPunct/>
        <w:topLinePunct w:val="0"/>
        <w:autoSpaceDE/>
        <w:autoSpaceDN/>
        <w:bidi w:val="0"/>
        <w:snapToGrid w:val="0"/>
        <w:spacing w:before="0" w:beforeLines="0" w:after="0" w:afterLines="0" w:line="360" w:lineRule="exact"/>
        <w:ind w:firstLine="480" w:firstLineChars="200"/>
        <w:textAlignment w:val="auto"/>
        <w:outlineLvl w:val="9"/>
        <w:rPr>
          <w:rFonts w:hAnsi="宋体"/>
          <w:sz w:val="24"/>
          <w:szCs w:val="24"/>
          <w:highlight w:val="none"/>
        </w:rPr>
      </w:pPr>
      <w:r>
        <w:rPr>
          <w:rFonts w:hint="eastAsia" w:hAnsi="宋体"/>
          <w:sz w:val="24"/>
          <w:szCs w:val="24"/>
          <w:highlight w:val="none"/>
        </w:rPr>
        <w:t>3</w:t>
      </w:r>
      <w:r>
        <w:rPr>
          <w:rFonts w:hAnsi="宋体"/>
          <w:sz w:val="24"/>
          <w:szCs w:val="24"/>
          <w:highlight w:val="none"/>
        </w:rPr>
        <w:t>．甲方无故逾期考核验收和办理款项支付手续的,甲方应按逾期付款总额每日万分之五向乙方支付违约金。</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0" w:firstLineChars="200"/>
        <w:textAlignment w:val="auto"/>
        <w:outlineLvl w:val="9"/>
        <w:rPr>
          <w:rFonts w:hAnsi="宋体"/>
          <w:sz w:val="24"/>
          <w:szCs w:val="24"/>
          <w:highlight w:val="none"/>
        </w:rPr>
      </w:pPr>
      <w:r>
        <w:rPr>
          <w:rFonts w:hint="eastAsia" w:hAnsi="宋体"/>
          <w:sz w:val="24"/>
          <w:szCs w:val="24"/>
          <w:highlight w:val="none"/>
        </w:rPr>
        <w:t>4</w:t>
      </w:r>
      <w:r>
        <w:rPr>
          <w:rFonts w:hAnsi="宋体"/>
          <w:sz w:val="24"/>
          <w:szCs w:val="24"/>
          <w:highlight w:val="none"/>
        </w:rPr>
        <w:t>．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38"/>
        <w:textAlignment w:val="auto"/>
        <w:outlineLvl w:val="9"/>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人员到位违约：</w:t>
      </w:r>
    </w:p>
    <w:p>
      <w:pPr>
        <w:keepNext w:val="0"/>
        <w:keepLines w:val="0"/>
        <w:pageBreakBefore w:val="0"/>
        <w:widowControl w:val="0"/>
        <w:kinsoku/>
        <w:wordWrap/>
        <w:overflowPunct/>
        <w:topLinePunct w:val="0"/>
        <w:autoSpaceDE/>
        <w:autoSpaceDN/>
        <w:bidi w:val="0"/>
        <w:adjustRightInd w:val="0"/>
        <w:snapToGrid w:val="0"/>
        <w:spacing w:line="360" w:lineRule="exact"/>
        <w:ind w:firstLine="538"/>
        <w:textAlignment w:val="auto"/>
        <w:outlineLvl w:val="9"/>
        <w:rPr>
          <w:rFonts w:ascii="宋体" w:hAnsi="宋体"/>
          <w:sz w:val="24"/>
          <w:szCs w:val="24"/>
          <w:highlight w:val="none"/>
        </w:rPr>
      </w:pPr>
      <w:r>
        <w:rPr>
          <w:rFonts w:hint="eastAsia" w:ascii="宋体" w:hAnsi="宋体"/>
          <w:sz w:val="24"/>
          <w:szCs w:val="24"/>
          <w:highlight w:val="none"/>
          <w:lang w:eastAsia="zh-CN"/>
        </w:rPr>
        <w:t>谈判响应方</w:t>
      </w:r>
      <w:r>
        <w:rPr>
          <w:rFonts w:ascii="宋体" w:hAnsi="宋体"/>
          <w:sz w:val="24"/>
          <w:szCs w:val="24"/>
          <w:highlight w:val="none"/>
        </w:rPr>
        <w:t>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2000元，人员到位违约金占合同价的1%。</w:t>
      </w:r>
    </w:p>
    <w:p>
      <w:pPr>
        <w:keepNext w:val="0"/>
        <w:keepLines w:val="0"/>
        <w:pageBreakBefore w:val="0"/>
        <w:widowControl w:val="0"/>
        <w:kinsoku/>
        <w:wordWrap/>
        <w:overflowPunct/>
        <w:topLinePunct w:val="0"/>
        <w:autoSpaceDE/>
        <w:autoSpaceDN/>
        <w:bidi w:val="0"/>
        <w:adjustRightInd w:val="0"/>
        <w:snapToGrid w:val="0"/>
        <w:spacing w:line="360" w:lineRule="exact"/>
        <w:ind w:left="378" w:leftChars="180"/>
        <w:textAlignment w:val="auto"/>
        <w:outlineLvl w:val="9"/>
        <w:rPr>
          <w:rFonts w:ascii="宋体" w:hAnsi="宋体"/>
          <w:b/>
          <w:bCs/>
          <w:sz w:val="24"/>
          <w:szCs w:val="24"/>
          <w:highlight w:val="none"/>
        </w:rPr>
      </w:pPr>
      <w:r>
        <w:rPr>
          <w:rFonts w:hint="eastAsia" w:ascii="宋体" w:hAnsi="宋体"/>
          <w:b/>
          <w:bCs/>
          <w:sz w:val="24"/>
          <w:szCs w:val="24"/>
          <w:highlight w:val="none"/>
        </w:rPr>
        <w:t>十二</w:t>
      </w:r>
      <w:r>
        <w:rPr>
          <w:rFonts w:ascii="宋体" w:hAnsi="宋体"/>
          <w:b/>
          <w:bCs/>
          <w:sz w:val="24"/>
          <w:szCs w:val="24"/>
          <w:highlight w:val="none"/>
        </w:rPr>
        <w:t>.不可抗力事件处理</w:t>
      </w:r>
    </w:p>
    <w:p>
      <w:pPr>
        <w:keepNext w:val="0"/>
        <w:keepLines w:val="0"/>
        <w:pageBreakBefore w:val="0"/>
        <w:widowControl w:val="0"/>
        <w:kinsoku/>
        <w:wordWrap/>
        <w:overflowPunct/>
        <w:topLinePunct w:val="0"/>
        <w:autoSpaceDE/>
        <w:autoSpaceDN/>
        <w:bidi w:val="0"/>
        <w:adjustRightInd w:val="0"/>
        <w:snapToGrid w:val="0"/>
        <w:spacing w:line="360" w:lineRule="exact"/>
        <w:ind w:firstLine="539"/>
        <w:textAlignment w:val="auto"/>
        <w:outlineLvl w:val="9"/>
        <w:rPr>
          <w:rFonts w:ascii="宋体" w:hAnsi="宋体"/>
          <w:sz w:val="24"/>
          <w:szCs w:val="24"/>
          <w:highlight w:val="none"/>
        </w:rPr>
      </w:pPr>
      <w:r>
        <w:rPr>
          <w:rFonts w:ascii="宋体" w:hAnsi="宋体"/>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line="360" w:lineRule="exact"/>
        <w:ind w:firstLine="539"/>
        <w:textAlignment w:val="auto"/>
        <w:outlineLvl w:val="9"/>
        <w:rPr>
          <w:rFonts w:ascii="宋体" w:hAnsi="宋体"/>
          <w:sz w:val="24"/>
          <w:szCs w:val="24"/>
          <w:highlight w:val="none"/>
        </w:rPr>
      </w:pPr>
      <w:r>
        <w:rPr>
          <w:rFonts w:ascii="宋体" w:hAnsi="宋体"/>
          <w:sz w:val="24"/>
          <w:szCs w:val="24"/>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360" w:lineRule="exact"/>
        <w:ind w:firstLine="539"/>
        <w:textAlignment w:val="auto"/>
        <w:outlineLvl w:val="9"/>
        <w:rPr>
          <w:rFonts w:ascii="宋体" w:hAnsi="宋体"/>
          <w:spacing w:val="-10"/>
          <w:sz w:val="24"/>
          <w:szCs w:val="24"/>
          <w:highlight w:val="none"/>
        </w:rPr>
      </w:pPr>
      <w:r>
        <w:rPr>
          <w:rFonts w:ascii="宋体" w:hAnsi="宋体"/>
          <w:spacing w:val="-10"/>
          <w:sz w:val="24"/>
          <w:szCs w:val="24"/>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360" w:lineRule="exact"/>
        <w:ind w:firstLine="354" w:firstLineChars="147"/>
        <w:textAlignment w:val="auto"/>
        <w:outlineLvl w:val="9"/>
        <w:rPr>
          <w:rFonts w:ascii="宋体" w:hAnsi="宋体"/>
          <w:b/>
          <w:bCs/>
          <w:sz w:val="24"/>
          <w:szCs w:val="24"/>
          <w:highlight w:val="none"/>
        </w:rPr>
      </w:pPr>
      <w:r>
        <w:rPr>
          <w:rFonts w:hint="eastAsia" w:ascii="宋体" w:hAnsi="宋体"/>
          <w:b/>
          <w:bCs/>
          <w:sz w:val="24"/>
          <w:szCs w:val="24"/>
          <w:highlight w:val="none"/>
        </w:rPr>
        <w:t>十三</w:t>
      </w:r>
      <w:r>
        <w:rPr>
          <w:rFonts w:ascii="宋体" w:hAnsi="宋体"/>
          <w:b/>
          <w:bCs/>
          <w:sz w:val="24"/>
          <w:szCs w:val="24"/>
          <w:highlight w:val="none"/>
        </w:rPr>
        <w:t>.争议的解决</w:t>
      </w:r>
    </w:p>
    <w:p>
      <w:pPr>
        <w:keepNext w:val="0"/>
        <w:keepLines w:val="0"/>
        <w:pageBreakBefore w:val="0"/>
        <w:widowControl w:val="0"/>
        <w:kinsoku/>
        <w:wordWrap/>
        <w:overflowPunct/>
        <w:topLinePunct w:val="0"/>
        <w:autoSpaceDE/>
        <w:autoSpaceDN/>
        <w:bidi w:val="0"/>
        <w:adjustRightInd w:val="0"/>
        <w:snapToGrid w:val="0"/>
        <w:spacing w:line="360" w:lineRule="exact"/>
        <w:ind w:firstLine="538"/>
        <w:textAlignment w:val="auto"/>
        <w:outlineLvl w:val="9"/>
        <w:rPr>
          <w:rFonts w:ascii="宋体" w:hAnsi="宋体"/>
          <w:sz w:val="24"/>
          <w:szCs w:val="24"/>
          <w:highlight w:val="none"/>
        </w:rPr>
      </w:pPr>
      <w:r>
        <w:rPr>
          <w:rFonts w:ascii="宋体" w:hAnsi="宋体"/>
          <w:sz w:val="24"/>
          <w:szCs w:val="24"/>
          <w:highlight w:val="none"/>
        </w:rPr>
        <w:t>双方在执行合同中所发生的一切争议，应通过协商解决。合同当事人友好协商解决不成、不愿提请争议评审或不接受争议评审组意见的，约定的合同争议解决方式：向</w:t>
      </w:r>
      <w:r>
        <w:rPr>
          <w:rFonts w:hint="eastAsia" w:ascii="宋体" w:hAnsi="宋体"/>
          <w:b/>
          <w:bCs/>
          <w:sz w:val="24"/>
          <w:szCs w:val="24"/>
          <w:highlight w:val="none"/>
          <w:u w:val="single"/>
        </w:rPr>
        <w:t>临安区</w:t>
      </w:r>
      <w:r>
        <w:rPr>
          <w:rFonts w:ascii="宋体" w:hAnsi="宋体"/>
          <w:b/>
          <w:bCs/>
          <w:sz w:val="24"/>
          <w:szCs w:val="24"/>
          <w:highlight w:val="none"/>
          <w:u w:val="single"/>
        </w:rPr>
        <w:t>仲裁委员会</w:t>
      </w:r>
      <w:r>
        <w:rPr>
          <w:rFonts w:ascii="宋体" w:hAnsi="宋体"/>
          <w:sz w:val="24"/>
          <w:szCs w:val="24"/>
          <w:highlight w:val="none"/>
        </w:rPr>
        <w:t>申请仲裁。</w:t>
      </w:r>
    </w:p>
    <w:p>
      <w:pPr>
        <w:keepNext w:val="0"/>
        <w:keepLines w:val="0"/>
        <w:pageBreakBefore w:val="0"/>
        <w:widowControl w:val="0"/>
        <w:kinsoku/>
        <w:wordWrap/>
        <w:overflowPunct/>
        <w:topLinePunct w:val="0"/>
        <w:autoSpaceDE/>
        <w:autoSpaceDN/>
        <w:bidi w:val="0"/>
        <w:adjustRightInd w:val="0"/>
        <w:snapToGrid w:val="0"/>
        <w:spacing w:line="360" w:lineRule="exact"/>
        <w:ind w:firstLine="354" w:firstLineChars="147"/>
        <w:textAlignment w:val="auto"/>
        <w:outlineLvl w:val="9"/>
        <w:rPr>
          <w:rFonts w:ascii="宋体" w:hAnsi="宋体"/>
          <w:b/>
          <w:bCs/>
          <w:sz w:val="24"/>
          <w:szCs w:val="24"/>
          <w:highlight w:val="none"/>
        </w:rPr>
      </w:pPr>
      <w:r>
        <w:rPr>
          <w:rFonts w:hint="eastAsia" w:ascii="宋体" w:hAnsi="宋体"/>
          <w:b/>
          <w:bCs/>
          <w:sz w:val="24"/>
          <w:szCs w:val="24"/>
          <w:highlight w:val="none"/>
        </w:rPr>
        <w:t>十四</w:t>
      </w:r>
      <w:r>
        <w:rPr>
          <w:rFonts w:ascii="宋体" w:hAnsi="宋体"/>
          <w:b/>
          <w:bCs/>
          <w:sz w:val="24"/>
          <w:szCs w:val="24"/>
          <w:highlight w:val="none"/>
        </w:rPr>
        <w:t>.合同生效及其它</w:t>
      </w:r>
    </w:p>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150"/>
        <w:textAlignment w:val="auto"/>
        <w:outlineLvl w:val="9"/>
        <w:rPr>
          <w:rFonts w:ascii="宋体" w:hAnsi="宋体"/>
          <w:sz w:val="24"/>
          <w:szCs w:val="24"/>
          <w:highlight w:val="none"/>
        </w:rPr>
      </w:pPr>
      <w:r>
        <w:rPr>
          <w:rFonts w:ascii="宋体" w:hAnsi="宋体"/>
          <w:sz w:val="24"/>
          <w:szCs w:val="24"/>
          <w:highlight w:val="none"/>
        </w:rPr>
        <w:t>1合同经双方法定代表人或委托代理人签字并加盖单位公章后生效。</w:t>
      </w:r>
    </w:p>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150"/>
        <w:textAlignment w:val="auto"/>
        <w:outlineLvl w:val="9"/>
        <w:rPr>
          <w:rFonts w:ascii="宋体" w:hAnsi="宋体"/>
          <w:sz w:val="24"/>
          <w:szCs w:val="24"/>
          <w:highlight w:val="none"/>
        </w:rPr>
      </w:pPr>
      <w:r>
        <w:rPr>
          <w:rFonts w:ascii="宋体" w:hAnsi="宋体"/>
          <w:sz w:val="24"/>
          <w:szCs w:val="24"/>
          <w:highlight w:val="none"/>
        </w:rPr>
        <w:t>2合同执行中，如需修改或补充合同内容，由双方协商另签署书面修改或补充协议作为主合同不可分割的一部分，并报行业行政主管部门备案后方可执行。</w:t>
      </w:r>
    </w:p>
    <w:p>
      <w:pPr>
        <w:keepNext w:val="0"/>
        <w:keepLines w:val="0"/>
        <w:pageBreakBefore w:val="0"/>
        <w:widowControl w:val="0"/>
        <w:kinsoku/>
        <w:wordWrap/>
        <w:overflowPunct/>
        <w:topLinePunct w:val="0"/>
        <w:autoSpaceDE/>
        <w:autoSpaceDN/>
        <w:bidi w:val="0"/>
        <w:adjustRightInd w:val="0"/>
        <w:snapToGrid w:val="0"/>
        <w:spacing w:line="360" w:lineRule="exact"/>
        <w:ind w:firstLine="360" w:firstLineChars="150"/>
        <w:textAlignment w:val="auto"/>
        <w:outlineLvl w:val="9"/>
        <w:rPr>
          <w:rFonts w:ascii="宋体" w:hAnsi="宋体"/>
          <w:sz w:val="24"/>
          <w:szCs w:val="24"/>
          <w:highlight w:val="none"/>
        </w:rPr>
      </w:pPr>
      <w:r>
        <w:rPr>
          <w:rFonts w:ascii="宋体" w:hAnsi="宋体"/>
          <w:sz w:val="24"/>
          <w:szCs w:val="24"/>
          <w:highlight w:val="none"/>
        </w:rPr>
        <w:t>3本合同未尽事宜，遵照《合同法》有关条文执行。</w:t>
      </w:r>
    </w:p>
    <w:p>
      <w:pPr>
        <w:keepNext w:val="0"/>
        <w:keepLines w:val="0"/>
        <w:pageBreakBefore w:val="0"/>
        <w:widowControl w:val="0"/>
        <w:kinsoku/>
        <w:wordWrap/>
        <w:overflowPunct/>
        <w:topLinePunct w:val="0"/>
        <w:autoSpaceDE/>
        <w:autoSpaceDN/>
        <w:bidi w:val="0"/>
        <w:snapToGrid w:val="0"/>
        <w:spacing w:line="360" w:lineRule="exact"/>
        <w:ind w:firstLine="360" w:firstLineChars="150"/>
        <w:textAlignment w:val="auto"/>
        <w:outlineLvl w:val="9"/>
        <w:rPr>
          <w:rFonts w:hint="eastAsia" w:ascii="宋体" w:hAnsi="宋体" w:cs="宋体"/>
          <w:sz w:val="24"/>
          <w:szCs w:val="24"/>
          <w:highlight w:val="none"/>
        </w:rPr>
      </w:pPr>
      <w:r>
        <w:rPr>
          <w:rFonts w:hint="eastAsia" w:ascii="宋体" w:hAnsi="宋体"/>
          <w:sz w:val="24"/>
          <w:szCs w:val="24"/>
          <w:highlight w:val="none"/>
        </w:rPr>
        <w:t>4</w:t>
      </w:r>
      <w:r>
        <w:rPr>
          <w:rFonts w:hint="eastAsia" w:ascii="宋体" w:hAnsi="宋体" w:cs="宋体"/>
          <w:sz w:val="24"/>
          <w:szCs w:val="24"/>
          <w:highlight w:val="none"/>
        </w:rPr>
        <w:t>本合同一式六份，甲、乙双方各执二份，代理单位和监督备案单位各一份。</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360" w:firstLineChars="150"/>
        <w:textAlignment w:val="auto"/>
        <w:outlineLvl w:val="9"/>
        <w:rPr>
          <w:rFonts w:hint="eastAsia" w:hAnsi="宋体"/>
          <w:snapToGrid w:val="0"/>
          <w:kern w:val="0"/>
          <w:sz w:val="24"/>
          <w:szCs w:val="24"/>
          <w:highlight w:val="none"/>
        </w:rPr>
      </w:pPr>
      <w:r>
        <w:rPr>
          <w:rFonts w:hint="eastAsia" w:hAnsi="宋体"/>
          <w:sz w:val="24"/>
          <w:szCs w:val="24"/>
          <w:highlight w:val="none"/>
        </w:rPr>
        <w:t>5</w:t>
      </w:r>
      <w:r>
        <w:rPr>
          <w:rFonts w:hint="eastAsia" w:hAnsi="宋体" w:cs="宋体"/>
          <w:sz w:val="24"/>
          <w:szCs w:val="24"/>
          <w:highlight w:val="none"/>
        </w:rPr>
        <w:t xml:space="preserve"> 本合同经双方法定代表人或委托代理人签字盖章后立即生效。</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0" w:firstLineChars="200"/>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 xml:space="preserve">甲方（盖章）：                          乙方（盖章）： </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511" w:firstLineChars="213"/>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地址：                                  地址：</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511" w:firstLineChars="213"/>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法定（授权）代表人：                    法定（授权）代表人：</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511" w:firstLineChars="213"/>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 xml:space="preserve">联系电话：                              联系电话：         </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511" w:firstLineChars="213"/>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 xml:space="preserve">                                        开户银行及账号：</w:t>
      </w:r>
    </w:p>
    <w:p>
      <w:pPr>
        <w:pStyle w:val="13"/>
        <w:keepNext w:val="0"/>
        <w:keepLines w:val="0"/>
        <w:pageBreakBefore w:val="0"/>
        <w:widowControl w:val="0"/>
        <w:kinsoku/>
        <w:wordWrap/>
        <w:overflowPunct/>
        <w:topLinePunct w:val="0"/>
        <w:autoSpaceDE/>
        <w:autoSpaceDN/>
        <w:bidi w:val="0"/>
        <w:adjustRightInd w:val="0"/>
        <w:snapToGrid w:val="0"/>
        <w:spacing w:before="120" w:beforeLines="0" w:after="120" w:afterLines="0" w:line="360" w:lineRule="exact"/>
        <w:ind w:firstLine="480" w:firstLineChars="200"/>
        <w:textAlignment w:val="auto"/>
        <w:outlineLvl w:val="9"/>
        <w:rPr>
          <w:rFonts w:hint="eastAsia" w:hAnsi="宋体"/>
          <w:snapToGrid w:val="0"/>
          <w:kern w:val="0"/>
          <w:sz w:val="24"/>
          <w:szCs w:val="24"/>
          <w:highlight w:val="none"/>
        </w:rPr>
      </w:pPr>
      <w:r>
        <w:rPr>
          <w:rFonts w:hint="eastAsia" w:hAnsi="宋体"/>
          <w:snapToGrid w:val="0"/>
          <w:kern w:val="0"/>
          <w:sz w:val="24"/>
          <w:szCs w:val="24"/>
          <w:highlight w:val="none"/>
        </w:rPr>
        <w:t>签订时间：   年  月  日                 签订时间：   年  月  日</w:t>
      </w:r>
    </w:p>
    <w:p>
      <w:pPr>
        <w:keepNext w:val="0"/>
        <w:keepLines w:val="0"/>
        <w:pageBreakBefore w:val="0"/>
        <w:tabs>
          <w:tab w:val="left" w:pos="1436"/>
        </w:tabs>
        <w:kinsoku/>
        <w:wordWrap/>
        <w:overflowPunct/>
        <w:topLinePunct w:val="0"/>
        <w:autoSpaceDE/>
        <w:autoSpaceDN/>
        <w:bidi w:val="0"/>
        <w:spacing w:line="360" w:lineRule="exact"/>
        <w:jc w:val="left"/>
        <w:textAlignment w:val="auto"/>
        <w:outlineLvl w:val="9"/>
        <w:rPr>
          <w:rFonts w:hint="eastAsia"/>
        </w:rPr>
      </w:pPr>
      <w:r>
        <w:rPr>
          <w:rFonts w:hint="eastAsia" w:hAnsi="宋体"/>
          <w:b/>
          <w:snapToGrid w:val="0"/>
          <w:color w:val="000000"/>
          <w:kern w:val="0"/>
          <w:sz w:val="24"/>
          <w:szCs w:val="24"/>
          <w:highlight w:val="none"/>
        </w:rPr>
        <w:t>注：本合同作为示范文本，具体以采购人与中标供应商所签定正式合同为准。</w:t>
      </w:r>
      <w:bookmarkEnd w:id="376"/>
    </w:p>
    <w:p>
      <w:pPr>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第六部分 应提交的有关格式范例</w:t>
      </w:r>
    </w:p>
    <w:p>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投标人按照以下格式编制投标文件。</w:t>
      </w:r>
    </w:p>
    <w:p>
      <w:pPr>
        <w:spacing w:line="360" w:lineRule="auto"/>
        <w:jc w:val="center"/>
        <w:outlineLvl w:val="0"/>
        <w:rPr>
          <w:rFonts w:hint="eastAsia" w:ascii="宋体" w:hAnsi="宋体" w:eastAsia="宋体" w:cs="宋体"/>
          <w:color w:val="auto"/>
          <w:sz w:val="36"/>
          <w:szCs w:val="36"/>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color w:val="auto"/>
          <w:sz w:val="36"/>
          <w:szCs w:val="36"/>
          <w:highlight w:val="none"/>
          <w:lang w:val="zh-CN"/>
        </w:rPr>
        <w:t>▲</w:t>
      </w: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营业执照复印件；</w:t>
      </w:r>
      <w:r>
        <w:rPr>
          <w:rFonts w:hint="eastAsia" w:ascii="宋体" w:hAnsi="宋体" w:eastAsia="宋体" w:cs="宋体"/>
          <w:b/>
          <w:color w:val="auto"/>
          <w:kern w:val="0"/>
          <w:sz w:val="24"/>
          <w:highlight w:val="none"/>
        </w:rPr>
        <w:t>（以联合体形式进行政府采购的，参加联合体的供应商均应当提供）</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（2）授权书 ……………………………………………………………………………（页码）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（3）法定代表人及其授权代表的身份证（复印件）………………………………（页码）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上一年度资产负债表等财务报表资料文件(新成立的公司，提供情况说明)</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（5）具有履行合同所必需的设备和专业技术能力的承诺函………………………（页码）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（6）参加政府采购活动前三年内，在经营活动中没有重大违法记录的声明</w:t>
      </w:r>
      <w:r>
        <w:rPr>
          <w:rFonts w:hint="eastAsia" w:ascii="宋体" w:hAnsi="宋体" w:eastAsia="宋体" w:cs="宋体"/>
          <w:color w:val="auto"/>
          <w:kern w:val="0"/>
          <w:sz w:val="24"/>
          <w:highlight w:val="none"/>
        </w:rPr>
        <w:t xml:space="preserve">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（7）具有良好商业信誉特别声明</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hint="eastAsia" w:ascii="宋体" w:hAnsi="宋体" w:eastAsia="宋体" w:cs="宋体"/>
          <w:color w:val="auto"/>
          <w:sz w:val="24"/>
          <w:highlight w:val="none"/>
        </w:rPr>
        <w:t>符合特定资格条件（如果项目要求）的有关证明材料（复印件）</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sz w:val="24"/>
          <w:highlight w:val="none"/>
        </w:rPr>
        <w:t>以联合体形式投标的，提供联合体协议；本项目不接受联合体投标或者投标人不以联合体形式投标的，则不需要提供</w:t>
      </w:r>
      <w:r>
        <w:rPr>
          <w:rFonts w:hint="eastAsia" w:ascii="宋体" w:hAnsi="宋体" w:eastAsia="宋体" w:cs="宋体"/>
          <w:color w:val="auto"/>
          <w:kern w:val="0"/>
          <w:sz w:val="24"/>
          <w:highlight w:val="none"/>
        </w:rPr>
        <w:t>…………………………………………………（页码）</w:t>
      </w:r>
    </w:p>
    <w:p>
      <w:pPr>
        <w:pStyle w:val="11"/>
        <w:rPr>
          <w:rFonts w:hint="eastAsia" w:ascii="宋体" w:hAnsi="宋体" w:eastAsia="宋体" w:cs="宋体"/>
          <w:color w:val="auto"/>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snapToGrid w:val="0"/>
        <w:spacing w:line="360" w:lineRule="auto"/>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color w:val="auto"/>
          <w:sz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营业执照复印件；</w:t>
      </w:r>
      <w:r>
        <w:rPr>
          <w:rFonts w:hint="eastAsia" w:ascii="宋体" w:hAnsi="宋体" w:eastAsia="宋体" w:cs="宋体"/>
          <w:b/>
          <w:color w:val="auto"/>
          <w:kern w:val="0"/>
          <w:sz w:val="24"/>
          <w:highlight w:val="none"/>
        </w:rPr>
        <w:t>（以联合体形式进行政府采购的，参加联合体的供应商均应当提供）</w:t>
      </w:r>
    </w:p>
    <w:p>
      <w:pPr>
        <w:spacing w:line="360" w:lineRule="auto"/>
        <w:jc w:val="center"/>
        <w:rPr>
          <w:rFonts w:hint="eastAsia" w:ascii="宋体" w:hAnsi="宋体" w:eastAsia="宋体" w:cs="宋体"/>
          <w:b/>
          <w:color w:val="auto"/>
          <w:sz w:val="30"/>
          <w:szCs w:val="30"/>
          <w:highlight w:val="none"/>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sz w:val="30"/>
          <w:szCs w:val="30"/>
          <w:highlight w:val="none"/>
        </w:rPr>
      </w:pP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二、授权书</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】政府采购投标的一切事项，若中标则全权代表本公司签订相关合同，并负责处理合同履行等事宜。</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法定代表人（盖章）：</w:t>
      </w:r>
    </w:p>
    <w:p>
      <w:pPr>
        <w:snapToGrid w:val="0"/>
        <w:spacing w:line="360" w:lineRule="auto"/>
        <w:ind w:right="24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签发日期：  年  月   日</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联合体投标授权书（适用联合体投标）</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先生/女士(其在该公司的职务是：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先生/女士(其在该公司的职务是：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)；……，代表本联合体全权处理</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】政府采购投标的一切事项，若中标则全权代表本联合体签订相关合同，并负责处理合同履行等事宜。</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单位：            （电子签名）         单位：          （电子签名）</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             日期：    年   月   日</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三、</w:t>
      </w:r>
      <w:r>
        <w:rPr>
          <w:rFonts w:hint="eastAsia" w:ascii="宋体" w:hAnsi="宋体" w:eastAsia="宋体" w:cs="宋体"/>
          <w:b/>
          <w:color w:val="auto"/>
          <w:sz w:val="30"/>
          <w:szCs w:val="30"/>
          <w:highlight w:val="none"/>
        </w:rPr>
        <w:t>法定代表人及其授权代表的身份证（复印件）</w:t>
      </w:r>
    </w:p>
    <w:p>
      <w:pPr>
        <w:pStyle w:val="3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33"/>
              <w:spacing w:line="360" w:lineRule="auto"/>
              <w:rPr>
                <w:rFonts w:hint="eastAsia" w:ascii="宋体" w:hAnsi="宋体" w:eastAsia="宋体" w:cs="宋体"/>
                <w:bCs/>
                <w:color w:val="auto"/>
                <w:sz w:val="24"/>
                <w:highlight w:val="none"/>
              </w:rPr>
            </w:pPr>
          </w:p>
        </w:tc>
      </w:tr>
    </w:tbl>
    <w:p>
      <w:pPr>
        <w:pStyle w:val="3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33"/>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日期：  年  月</w:t>
      </w:r>
      <w:r>
        <w:rPr>
          <w:rFonts w:hint="eastAsia" w:ascii="宋体" w:hAnsi="宋体" w:eastAsia="宋体" w:cs="宋体"/>
          <w:color w:val="auto"/>
          <w:kern w:val="0"/>
          <w:sz w:val="24"/>
          <w:highlight w:val="none"/>
          <w:lang w:val="en-US" w:eastAsia="zh-CN"/>
        </w:rPr>
        <w:t xml:space="preserve">  日</w:t>
      </w: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四、上一年度资产负债表等财务报表资料文件（复印件）</w:t>
      </w:r>
    </w:p>
    <w:p>
      <w:pPr>
        <w:spacing w:line="360" w:lineRule="auto"/>
        <w:rPr>
          <w:rFonts w:hint="eastAsia" w:ascii="宋体" w:hAnsi="宋体" w:eastAsia="宋体" w:cs="宋体"/>
          <w:b/>
          <w:color w:val="auto"/>
          <w:sz w:val="30"/>
          <w:szCs w:val="30"/>
          <w:highlight w:val="none"/>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napToGrid w:val="0"/>
        <w:spacing w:line="360" w:lineRule="auto"/>
        <w:ind w:right="48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日期：  年  月</w:t>
      </w:r>
      <w:r>
        <w:rPr>
          <w:rFonts w:hint="eastAsia" w:ascii="宋体" w:hAnsi="宋体" w:eastAsia="宋体" w:cs="宋体"/>
          <w:color w:val="auto"/>
          <w:kern w:val="0"/>
          <w:sz w:val="24"/>
          <w:highlight w:val="none"/>
          <w:lang w:val="en-US" w:eastAsia="zh-CN"/>
        </w:rPr>
        <w:t xml:space="preserve">  日</w:t>
      </w:r>
    </w:p>
    <w:p>
      <w:pPr>
        <w:snapToGrid w:val="0"/>
        <w:spacing w:line="360" w:lineRule="auto"/>
        <w:ind w:right="480"/>
        <w:jc w:val="center"/>
        <w:rPr>
          <w:rFonts w:hint="eastAsia" w:ascii="宋体" w:hAnsi="宋体" w:eastAsia="宋体" w:cs="宋体"/>
          <w:b/>
          <w:color w:val="auto"/>
          <w:kern w:val="0"/>
          <w:sz w:val="32"/>
          <w:szCs w:val="32"/>
          <w:highlight w:val="none"/>
          <w:lang w:val="zh-CN"/>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五、具有履行合同所必需的设备和专业技术能力的承诺函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我方郑重承诺，我方具有履行项目名称：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合同所必需的设备和专业技术能力。如中标，我方将保证合同顺利履行。</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六、参加政府采购活动前三年内，在经营活动中</w:t>
      </w: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没有重大违法记录的声明</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声明投标截止时间前三年，在</w:t>
      </w:r>
      <w:r>
        <w:rPr>
          <w:rFonts w:hint="eastAsia" w:ascii="宋体" w:hAnsi="宋体" w:eastAsia="宋体" w:cs="宋体"/>
          <w:color w:val="auto"/>
          <w:kern w:val="0"/>
          <w:sz w:val="24"/>
          <w:highlight w:val="none"/>
        </w:rPr>
        <w:t>经营活动中</w:t>
      </w:r>
      <w:r>
        <w:rPr>
          <w:rFonts w:hint="eastAsia" w:ascii="宋体" w:hAnsi="宋体" w:eastAsia="宋体" w:cs="宋体"/>
          <w:color w:val="auto"/>
          <w:sz w:val="24"/>
          <w:highlight w:val="none"/>
        </w:rPr>
        <w:t xml:space="preserve">没有重大违法记录。 </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snapToGrid w:val="0"/>
        <w:spacing w:line="360" w:lineRule="auto"/>
        <w:ind w:firstLine="1606" w:firstLineChars="500"/>
        <w:rPr>
          <w:rFonts w:hint="eastAsia" w:ascii="宋体" w:hAnsi="宋体" w:eastAsia="宋体" w:cs="宋体"/>
          <w:b/>
          <w:color w:val="auto"/>
          <w:kern w:val="0"/>
          <w:sz w:val="32"/>
          <w:szCs w:val="32"/>
          <w:highlight w:val="none"/>
        </w:rPr>
      </w:pPr>
    </w:p>
    <w:p>
      <w:pPr>
        <w:snapToGrid w:val="0"/>
        <w:spacing w:line="360" w:lineRule="auto"/>
        <w:ind w:firstLine="1606" w:firstLineChars="5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七、具有良好商业信誉特别声明</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kern w:val="0"/>
          <w:sz w:val="24"/>
          <w:highlight w:val="none"/>
          <w:lang w:val="zh-CN"/>
        </w:rPr>
        <w:t>：</w:t>
      </w:r>
    </w:p>
    <w:p>
      <w:pPr>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截至投标截止时间，我方具有良好的商业信誉，不存在下列情形（包括但不限于）。否则，我方将承担在资格审查时不被通过的后果。</w:t>
      </w:r>
    </w:p>
    <w:p>
      <w:pPr>
        <w:pStyle w:val="27"/>
        <w:spacing w:before="0"/>
        <w:ind w:firstLine="495"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
          <w:color w:val="auto"/>
          <w:szCs w:val="24"/>
          <w:highlight w:val="none"/>
        </w:rPr>
        <w:t>、</w:t>
      </w:r>
      <w:r>
        <w:rPr>
          <w:rFonts w:hint="eastAsia" w:ascii="宋体" w:hAnsi="宋体" w:eastAsia="宋体" w:cs="宋体"/>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宋体" w:hAnsi="宋体" w:eastAsia="宋体" w:cs="宋体"/>
          <w:color w:val="auto"/>
          <w:sz w:val="24"/>
          <w:highlight w:val="none"/>
        </w:rPr>
      </w:pPr>
    </w:p>
    <w:p>
      <w:pPr>
        <w:snapToGrid w:val="0"/>
        <w:spacing w:line="360" w:lineRule="auto"/>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八、特定资格条件要求的资质文件（复印件）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line="360" w:lineRule="auto"/>
        <w:ind w:firstLine="2891" w:firstLineChars="900"/>
        <w:rPr>
          <w:rFonts w:hint="eastAsia" w:ascii="宋体" w:hAnsi="宋体" w:eastAsia="宋体" w:cs="宋体"/>
          <w:b/>
          <w:bCs/>
          <w:color w:val="auto"/>
          <w:sz w:val="32"/>
          <w:szCs w:val="32"/>
          <w:highlight w:val="none"/>
        </w:rPr>
      </w:pPr>
    </w:p>
    <w:p>
      <w:pPr>
        <w:snapToGrid w:val="0"/>
        <w:spacing w:before="50" w:after="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九</w:t>
      </w:r>
      <w:r>
        <w:rPr>
          <w:rFonts w:hint="eastAsia" w:ascii="宋体" w:hAnsi="宋体" w:eastAsia="宋体" w:cs="宋体"/>
          <w:b/>
          <w:color w:val="auto"/>
          <w:sz w:val="30"/>
          <w:szCs w:val="30"/>
          <w:highlight w:val="none"/>
        </w:rPr>
        <w:t>、联合体协议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（以联合体形式投标的，提供联合体协议；本项目不接受联合体投标或者投标人不以联合体形式投标的，则不需要提供）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甲方：</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乙方：</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各方经协商一致，决定组成一个联合体，以一个投标人的身份就项目名称：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共同投标。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sz w:val="24"/>
          <w:highlight w:val="none"/>
        </w:rPr>
        <w:t>指定</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方牵头人，代表所有联合体成员负责投标和合同实施阶段的主办、协调工作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三、本次联合投标中，分工如下：甲方承担的工作和义务为：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；乙方承担的工作和义务为：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甲方单位：         （电子签名）          乙方单位：          （电子签名）</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                  日期：    年   月   日</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6"/>
          <w:szCs w:val="36"/>
          <w:highlight w:val="none"/>
          <w:lang w:val="zh-CN"/>
        </w:rPr>
        <w:t>▲</w:t>
      </w: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（1）投标响应函……………………………………………………（页码）</w:t>
      </w:r>
    </w:p>
    <w:p>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（2）投标（开标）一览表…………………………………………（页码）</w:t>
      </w:r>
    </w:p>
    <w:p>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（3）中小企业声明函………………………………………………（页码）</w:t>
      </w: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一、投标响应</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(职务、职称)为全权代表，参加贵方组织的项目名称：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1、我方同意在投标人</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(2)遵守国家法律、行政法规，具有良好的信誉和商业道德；</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(3)具有履行合同的能力和良好的履行合同记录；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(4)良好的资金、财务状况；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(5)产品及生产所需装备符合中国政府规定的相应技术标准和环保标准；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(6)没有违反政府采购法规、政策的记录；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(7)没有发生重大经济纠纷和走私犯罪记录。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3、我方中标后拟在中标后将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工作分包，分包承担主体是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，我方承诺分包承担主体具备相应资质条件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，且不再次分包。（不再将工作进行分包或本项目不允许分包的，下划线处填写“/”。）</w:t>
      </w:r>
    </w:p>
    <w:p>
      <w:pPr>
        <w:pStyle w:val="13"/>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规定的全部投标文件</w:t>
      </w:r>
      <w:r>
        <w:rPr>
          <w:rFonts w:hint="eastAsia" w:ascii="宋体" w:hAnsi="宋体" w:eastAsia="宋体" w:cs="宋体"/>
          <w:color w:val="auto"/>
          <w:kern w:val="44"/>
          <w:sz w:val="24"/>
          <w:highlight w:val="none"/>
        </w:rPr>
        <w:t>。</w:t>
      </w:r>
      <w:r>
        <w:rPr>
          <w:rFonts w:hint="eastAsia" w:ascii="宋体" w:hAnsi="宋体" w:eastAsia="宋体" w:cs="宋体"/>
          <w:color w:val="auto"/>
          <w:sz w:val="24"/>
          <w:highlight w:val="none"/>
        </w:rPr>
        <w:t>具体内容为：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(1)投标(开标)一览表；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w:t>
      </w:r>
      <w:r>
        <w:rPr>
          <w:rFonts w:hint="eastAsia" w:ascii="宋体" w:hAnsi="宋体" w:eastAsia="宋体" w:cs="宋体"/>
          <w:color w:val="auto"/>
          <w:kern w:val="0"/>
          <w:sz w:val="24"/>
          <w:highlight w:val="none"/>
          <w:lang w:val="zh-CN"/>
        </w:rPr>
        <w:t>技术文件和</w:t>
      </w:r>
      <w:r>
        <w:rPr>
          <w:rFonts w:hint="eastAsia" w:ascii="宋体" w:hAnsi="宋体" w:eastAsia="宋体" w:cs="宋体"/>
          <w:color w:val="auto"/>
          <w:sz w:val="24"/>
          <w:highlight w:val="none"/>
          <w:lang w:val="zh-CN"/>
        </w:rPr>
        <w:t>商务文件</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要求投标人提交的全部文件；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(4)按招标文件要求提供和交付的货物和服务的投标报价详见投标(开标)一览表；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(5)保证忠实地执行双方所签订的合同，并承担合同规定的责任和义务；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(6)保证遵守招标文件中的其他有关规定。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天，不少于招标文件中载明的投标有效期（从提交投标文件的截止之日起90天）。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6、我方完全理解贵方不一定要接受最低价的投标。</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a)提供虚假材料谋取中标、成交的；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b)采取不正当手段诋毁、排挤其他供应商的；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c)与采购人、其它供应商或者采购机构恶意串通的；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d)向采购人、采购机构行贿或者提供其他不正当利益的；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e)在招标采购过程中与采购人进行协商谈判的；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f)拒绝有关部门监督检查或提供虚假情况的。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供应商有前款第a)至e)项情形之一的，中标、成交无效。</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联系电话： </w:t>
      </w:r>
      <w:r>
        <w:rPr>
          <w:rFonts w:hint="eastAsia" w:ascii="宋体" w:hAnsi="宋体" w:eastAsia="宋体" w:cs="宋体"/>
          <w:color w:val="auto"/>
          <w:kern w:val="0"/>
          <w:sz w:val="24"/>
          <w:highlight w:val="none"/>
          <w:u w:val="single"/>
          <w:lang w:val="zh-CN"/>
        </w:rPr>
        <w:t xml:space="preserve">                </w:t>
      </w:r>
    </w:p>
    <w:p>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r>
        <w:rPr>
          <w:rFonts w:hint="eastAsia" w:ascii="宋体" w:hAnsi="宋体" w:eastAsia="宋体" w:cs="宋体"/>
          <w:color w:val="auto"/>
          <w:kern w:val="0"/>
          <w:sz w:val="24"/>
          <w:highlight w:val="none"/>
          <w:u w:val="single"/>
          <w:lang w:val="zh-CN"/>
        </w:rPr>
        <w:t xml:space="preserve">                                                    </w:t>
      </w:r>
    </w:p>
    <w:p>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邮政编码：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传真号码：</w:t>
      </w:r>
      <w:r>
        <w:rPr>
          <w:rFonts w:hint="eastAsia" w:ascii="宋体" w:hAnsi="宋体" w:eastAsia="宋体" w:cs="宋体"/>
          <w:color w:val="auto"/>
          <w:kern w:val="0"/>
          <w:sz w:val="24"/>
          <w:highlight w:val="none"/>
          <w:u w:val="single"/>
          <w:lang w:val="zh-CN"/>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注：未按照本投标响应函要求填报的将被视为非实质性响应投标，从而可能导致该投标被拒绝。</w:t>
      </w: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rPr>
          <w:rFonts w:hint="eastAsia" w:ascii="宋体" w:hAnsi="宋体" w:eastAsia="宋体" w:cs="宋体"/>
          <w:color w:val="auto"/>
          <w:sz w:val="32"/>
          <w:szCs w:val="32"/>
          <w:highlight w:val="none"/>
        </w:rPr>
        <w:sectPr>
          <w:headerReference r:id="rId3" w:type="default"/>
          <w:footerReference r:id="rId4" w:type="default"/>
          <w:pgSz w:w="11906" w:h="16838"/>
          <w:pgMar w:top="680" w:right="1417" w:bottom="471" w:left="1417" w:header="851" w:footer="992" w:gutter="0"/>
          <w:pgNumType w:fmt="decimal" w:start="1"/>
          <w:cols w:space="425" w:num="1"/>
          <w:docGrid w:type="lines" w:linePitch="312" w:charSpace="0"/>
        </w:sectPr>
      </w:pPr>
    </w:p>
    <w:p>
      <w:pPr>
        <w:pStyle w:val="10"/>
        <w:rPr>
          <w:rFonts w:hint="eastAsia" w:ascii="宋体" w:hAnsi="宋体" w:eastAsia="宋体" w:cs="宋体"/>
          <w:color w:val="auto"/>
          <w:highlight w:val="none"/>
        </w:rPr>
      </w:pPr>
    </w:p>
    <w:p>
      <w:pPr>
        <w:pStyle w:val="3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二、投标(开标)一览表</w:t>
      </w:r>
    </w:p>
    <w:p>
      <w:pPr>
        <w:snapToGrid w:val="0"/>
        <w:spacing w:line="360" w:lineRule="auto"/>
        <w:rPr>
          <w:rFonts w:hint="eastAsia" w:ascii="宋体" w:hAnsi="宋体" w:eastAsia="宋体" w:cs="宋体"/>
          <w:color w:val="auto"/>
          <w:kern w:val="0"/>
          <w:sz w:val="24"/>
          <w:highlight w:val="none"/>
        </w:rPr>
      </w:pPr>
      <w:bookmarkStart w:id="377" w:name="_Toc86217005"/>
      <w:r>
        <w:rPr>
          <w:rFonts w:hint="eastAsia" w:ascii="宋体" w:hAnsi="宋体" w:cs="宋体"/>
          <w:color w:val="auto"/>
          <w:sz w:val="24"/>
          <w:highlight w:val="none"/>
          <w:lang w:eastAsia="zh-CN"/>
        </w:rPr>
        <w:t>杭州市临安区第一人民医院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浙江中审工程咨询有限公司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投标(开标)一览表(单位均为人民币元)</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36"/>
        <w:gridCol w:w="1979"/>
        <w:gridCol w:w="791"/>
        <w:gridCol w:w="793"/>
        <w:gridCol w:w="1246"/>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9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tc>
        <w:tc>
          <w:tcPr>
            <w:tcW w:w="106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42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42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671"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066" w:type="pct"/>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97" w:type="pct"/>
            <w:vAlign w:val="center"/>
          </w:tcPr>
          <w:p>
            <w:pPr>
              <w:snapToGrid w:val="0"/>
              <w:spacing w:line="360" w:lineRule="auto"/>
              <w:jc w:val="center"/>
              <w:rPr>
                <w:rFonts w:hint="eastAsia" w:ascii="宋体" w:hAnsi="宋体" w:eastAsia="宋体" w:cs="宋体"/>
                <w:color w:val="auto"/>
                <w:sz w:val="24"/>
                <w:highlight w:val="none"/>
              </w:rPr>
            </w:pPr>
          </w:p>
        </w:tc>
        <w:tc>
          <w:tcPr>
            <w:tcW w:w="1065" w:type="pct"/>
            <w:vAlign w:val="center"/>
          </w:tcPr>
          <w:p>
            <w:pPr>
              <w:snapToGrid w:val="0"/>
              <w:spacing w:line="360" w:lineRule="auto"/>
              <w:jc w:val="center"/>
              <w:rPr>
                <w:rFonts w:hint="eastAsia" w:ascii="宋体" w:hAnsi="宋体" w:eastAsia="宋体" w:cs="宋体"/>
                <w:color w:val="auto"/>
                <w:sz w:val="24"/>
                <w:highlight w:val="none"/>
              </w:rPr>
            </w:pPr>
          </w:p>
        </w:tc>
        <w:tc>
          <w:tcPr>
            <w:tcW w:w="426" w:type="pct"/>
            <w:vAlign w:val="center"/>
          </w:tcPr>
          <w:p>
            <w:pPr>
              <w:snapToGrid w:val="0"/>
              <w:spacing w:line="360" w:lineRule="auto"/>
              <w:jc w:val="center"/>
              <w:rPr>
                <w:rFonts w:hint="eastAsia" w:ascii="宋体" w:hAnsi="宋体" w:eastAsia="宋体" w:cs="宋体"/>
                <w:color w:val="auto"/>
                <w:sz w:val="24"/>
                <w:highlight w:val="none"/>
              </w:rPr>
            </w:pPr>
          </w:p>
        </w:tc>
        <w:tc>
          <w:tcPr>
            <w:tcW w:w="427" w:type="pct"/>
            <w:vAlign w:val="center"/>
          </w:tcPr>
          <w:p>
            <w:pPr>
              <w:spacing w:line="360" w:lineRule="auto"/>
              <w:jc w:val="center"/>
              <w:rPr>
                <w:rFonts w:hint="eastAsia" w:ascii="宋体" w:hAnsi="宋体" w:eastAsia="宋体" w:cs="宋体"/>
                <w:color w:val="auto"/>
                <w:sz w:val="24"/>
                <w:highlight w:val="none"/>
              </w:rPr>
            </w:pPr>
          </w:p>
        </w:tc>
        <w:tc>
          <w:tcPr>
            <w:tcW w:w="671" w:type="pct"/>
            <w:vAlign w:val="center"/>
          </w:tcPr>
          <w:p>
            <w:pPr>
              <w:spacing w:line="360" w:lineRule="auto"/>
              <w:jc w:val="center"/>
              <w:rPr>
                <w:rFonts w:hint="eastAsia" w:ascii="宋体" w:hAnsi="宋体" w:eastAsia="宋体" w:cs="宋体"/>
                <w:color w:val="auto"/>
                <w:sz w:val="24"/>
                <w:highlight w:val="none"/>
              </w:rPr>
            </w:pPr>
          </w:p>
        </w:tc>
        <w:tc>
          <w:tcPr>
            <w:tcW w:w="1066" w:type="pct"/>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97" w:type="pct"/>
            <w:vAlign w:val="center"/>
          </w:tcPr>
          <w:p>
            <w:pPr>
              <w:snapToGrid w:val="0"/>
              <w:spacing w:line="360" w:lineRule="auto"/>
              <w:jc w:val="center"/>
              <w:rPr>
                <w:rFonts w:hint="eastAsia" w:ascii="宋体" w:hAnsi="宋体" w:eastAsia="宋体" w:cs="宋体"/>
                <w:color w:val="auto"/>
                <w:sz w:val="24"/>
                <w:highlight w:val="none"/>
              </w:rPr>
            </w:pPr>
          </w:p>
        </w:tc>
        <w:tc>
          <w:tcPr>
            <w:tcW w:w="1065" w:type="pct"/>
            <w:vAlign w:val="center"/>
          </w:tcPr>
          <w:p>
            <w:pPr>
              <w:snapToGrid w:val="0"/>
              <w:spacing w:line="360" w:lineRule="auto"/>
              <w:jc w:val="center"/>
              <w:rPr>
                <w:rFonts w:hint="eastAsia" w:ascii="宋体" w:hAnsi="宋体" w:eastAsia="宋体" w:cs="宋体"/>
                <w:color w:val="auto"/>
                <w:sz w:val="24"/>
                <w:highlight w:val="none"/>
              </w:rPr>
            </w:pPr>
          </w:p>
        </w:tc>
        <w:tc>
          <w:tcPr>
            <w:tcW w:w="426" w:type="pct"/>
            <w:vAlign w:val="center"/>
          </w:tcPr>
          <w:p>
            <w:pPr>
              <w:snapToGrid w:val="0"/>
              <w:spacing w:line="360" w:lineRule="auto"/>
              <w:jc w:val="center"/>
              <w:rPr>
                <w:rFonts w:hint="eastAsia" w:ascii="宋体" w:hAnsi="宋体" w:eastAsia="宋体" w:cs="宋体"/>
                <w:color w:val="auto"/>
                <w:sz w:val="24"/>
                <w:highlight w:val="none"/>
              </w:rPr>
            </w:pPr>
          </w:p>
        </w:tc>
        <w:tc>
          <w:tcPr>
            <w:tcW w:w="427" w:type="pct"/>
            <w:vAlign w:val="center"/>
          </w:tcPr>
          <w:p>
            <w:pPr>
              <w:spacing w:line="360" w:lineRule="auto"/>
              <w:jc w:val="center"/>
              <w:rPr>
                <w:rFonts w:hint="eastAsia" w:ascii="宋体" w:hAnsi="宋体" w:eastAsia="宋体" w:cs="宋体"/>
                <w:color w:val="auto"/>
                <w:sz w:val="24"/>
                <w:highlight w:val="none"/>
              </w:rPr>
            </w:pPr>
          </w:p>
        </w:tc>
        <w:tc>
          <w:tcPr>
            <w:tcW w:w="671" w:type="pct"/>
            <w:vAlign w:val="center"/>
          </w:tcPr>
          <w:p>
            <w:pPr>
              <w:spacing w:line="360" w:lineRule="auto"/>
              <w:jc w:val="center"/>
              <w:rPr>
                <w:rFonts w:hint="eastAsia" w:ascii="宋体" w:hAnsi="宋体" w:eastAsia="宋体" w:cs="宋体"/>
                <w:color w:val="auto"/>
                <w:sz w:val="24"/>
                <w:highlight w:val="none"/>
              </w:rPr>
            </w:pPr>
          </w:p>
        </w:tc>
        <w:tc>
          <w:tcPr>
            <w:tcW w:w="1066" w:type="pct"/>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97" w:type="pct"/>
            <w:vAlign w:val="center"/>
          </w:tcPr>
          <w:p>
            <w:pPr>
              <w:snapToGrid w:val="0"/>
              <w:spacing w:line="360" w:lineRule="auto"/>
              <w:jc w:val="center"/>
              <w:rPr>
                <w:rFonts w:hint="eastAsia" w:ascii="宋体" w:hAnsi="宋体" w:eastAsia="宋体" w:cs="宋体"/>
                <w:color w:val="auto"/>
                <w:sz w:val="24"/>
                <w:highlight w:val="none"/>
              </w:rPr>
            </w:pPr>
          </w:p>
        </w:tc>
        <w:tc>
          <w:tcPr>
            <w:tcW w:w="1065" w:type="pct"/>
            <w:vAlign w:val="center"/>
          </w:tcPr>
          <w:p>
            <w:pPr>
              <w:snapToGrid w:val="0"/>
              <w:spacing w:line="360" w:lineRule="auto"/>
              <w:jc w:val="center"/>
              <w:rPr>
                <w:rFonts w:hint="eastAsia" w:ascii="宋体" w:hAnsi="宋体" w:eastAsia="宋体" w:cs="宋体"/>
                <w:color w:val="auto"/>
                <w:sz w:val="24"/>
                <w:highlight w:val="none"/>
              </w:rPr>
            </w:pPr>
          </w:p>
        </w:tc>
        <w:tc>
          <w:tcPr>
            <w:tcW w:w="426" w:type="pct"/>
            <w:vAlign w:val="center"/>
          </w:tcPr>
          <w:p>
            <w:pPr>
              <w:snapToGrid w:val="0"/>
              <w:spacing w:line="360" w:lineRule="auto"/>
              <w:jc w:val="center"/>
              <w:rPr>
                <w:rFonts w:hint="eastAsia" w:ascii="宋体" w:hAnsi="宋体" w:eastAsia="宋体" w:cs="宋体"/>
                <w:color w:val="auto"/>
                <w:sz w:val="24"/>
                <w:highlight w:val="none"/>
              </w:rPr>
            </w:pPr>
          </w:p>
        </w:tc>
        <w:tc>
          <w:tcPr>
            <w:tcW w:w="427" w:type="pct"/>
            <w:vAlign w:val="center"/>
          </w:tcPr>
          <w:p>
            <w:pPr>
              <w:spacing w:line="360" w:lineRule="auto"/>
              <w:jc w:val="center"/>
              <w:rPr>
                <w:rFonts w:hint="eastAsia" w:ascii="宋体" w:hAnsi="宋体" w:eastAsia="宋体" w:cs="宋体"/>
                <w:color w:val="auto"/>
                <w:sz w:val="24"/>
                <w:highlight w:val="none"/>
              </w:rPr>
            </w:pPr>
          </w:p>
        </w:tc>
        <w:tc>
          <w:tcPr>
            <w:tcW w:w="671" w:type="pct"/>
            <w:vAlign w:val="center"/>
          </w:tcPr>
          <w:p>
            <w:pPr>
              <w:spacing w:line="360" w:lineRule="auto"/>
              <w:jc w:val="center"/>
              <w:rPr>
                <w:rFonts w:hint="eastAsia" w:ascii="宋体" w:hAnsi="宋体" w:eastAsia="宋体" w:cs="宋体"/>
                <w:color w:val="auto"/>
                <w:sz w:val="24"/>
                <w:highlight w:val="none"/>
              </w:rPr>
            </w:pPr>
          </w:p>
        </w:tc>
        <w:tc>
          <w:tcPr>
            <w:tcW w:w="1066" w:type="pct"/>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2409" w:type="pct"/>
            <w:gridSpan w:val="3"/>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2590" w:type="pct"/>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9" w:type="pct"/>
            <w:gridSpan w:val="3"/>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2590" w:type="pct"/>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2、有关本项目实施所涉及的一切费用（详见前附表）均计入报价。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宋体" w:hAnsi="宋体" w:eastAsia="宋体" w:cs="宋体"/>
          <w:color w:val="auto"/>
          <w:sz w:val="24"/>
          <w:highlight w:val="none"/>
        </w:rPr>
      </w:pP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pacing w:line="360" w:lineRule="auto"/>
        <w:ind w:right="480"/>
        <w:jc w:val="center"/>
        <w:rPr>
          <w:rFonts w:hint="eastAsia" w:ascii="宋体" w:hAnsi="宋体" w:eastAsia="宋体" w:cs="宋体"/>
          <w:color w:val="auto"/>
          <w:sz w:val="24"/>
          <w:highlight w:val="none"/>
        </w:rPr>
      </w:pPr>
    </w:p>
    <w:bookmarkEnd w:id="377"/>
    <w:p>
      <w:pPr>
        <w:pStyle w:val="3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3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三、中小企业声明函</w:t>
      </w:r>
    </w:p>
    <w:p>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；制造商为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；制造商为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万元，属于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0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 电子签名）：</w:t>
      </w:r>
    </w:p>
    <w:p>
      <w:pPr>
        <w:spacing w:line="360" w:lineRule="auto"/>
        <w:ind w:right="1120"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1"/>
        <w:ind w:firstLine="0"/>
        <w:rPr>
          <w:rFonts w:hint="eastAsia" w:ascii="宋体" w:hAnsi="宋体" w:eastAsia="宋体" w:cs="宋体"/>
          <w:color w:val="auto"/>
          <w:sz w:val="36"/>
          <w:szCs w:val="36"/>
          <w:highlight w:val="none"/>
          <w:lang w:val="zh-CN"/>
        </w:rPr>
      </w:pPr>
    </w:p>
    <w:p>
      <w:pPr>
        <w:pStyle w:val="11"/>
        <w:ind w:firstLine="0"/>
        <w:rPr>
          <w:rFonts w:hint="eastAsia" w:ascii="宋体" w:hAnsi="宋体" w:eastAsia="宋体" w:cs="宋体"/>
          <w:color w:val="auto"/>
          <w:sz w:val="36"/>
          <w:szCs w:val="36"/>
          <w:highlight w:val="none"/>
          <w:lang w:val="zh-CN"/>
        </w:rPr>
      </w:pPr>
    </w:p>
    <w:p>
      <w:pPr>
        <w:pStyle w:val="11"/>
        <w:ind w:firstLine="0"/>
        <w:rPr>
          <w:rFonts w:hint="eastAsia" w:ascii="宋体" w:hAnsi="宋体" w:eastAsia="宋体" w:cs="宋体"/>
          <w:color w:val="auto"/>
          <w:sz w:val="36"/>
          <w:szCs w:val="36"/>
          <w:highlight w:val="none"/>
          <w:lang w:val="zh-CN"/>
        </w:rPr>
      </w:pPr>
    </w:p>
    <w:p>
      <w:pPr>
        <w:pStyle w:val="11"/>
        <w:ind w:firstLine="0"/>
        <w:rPr>
          <w:rFonts w:hint="eastAsia" w:ascii="宋体" w:hAnsi="宋体" w:eastAsia="宋体" w:cs="宋体"/>
          <w:color w:val="auto"/>
          <w:sz w:val="36"/>
          <w:szCs w:val="36"/>
          <w:highlight w:val="none"/>
          <w:lang w:val="zh-CN"/>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color w:val="auto"/>
          <w:sz w:val="36"/>
          <w:szCs w:val="36"/>
          <w:highlight w:val="none"/>
          <w:lang w:val="zh-CN"/>
        </w:rPr>
        <w:t>▲</w:t>
      </w: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i w:val="0"/>
          <w:iCs w:val="0"/>
          <w:color w:val="auto"/>
          <w:kern w:val="0"/>
          <w:sz w:val="28"/>
          <w:szCs w:val="28"/>
          <w:highlight w:val="none"/>
        </w:rPr>
      </w:pPr>
      <w:r>
        <w:rPr>
          <w:rFonts w:hint="eastAsia" w:ascii="宋体" w:hAnsi="宋体" w:eastAsia="宋体" w:cs="宋体"/>
          <w:b/>
          <w:i w:val="0"/>
          <w:iCs w:val="0"/>
          <w:color w:val="auto"/>
          <w:kern w:val="0"/>
          <w:sz w:val="28"/>
          <w:szCs w:val="28"/>
          <w:highlight w:val="none"/>
        </w:rPr>
        <w:t>目录</w:t>
      </w:r>
    </w:p>
    <w:p>
      <w:pPr>
        <w:pStyle w:val="37"/>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（1）营业执照(或事业法人登记证或其他工商等登记证明材料)复印件（投标人为 然人的，提供自然人的身份证明）………………………………………………（页码）</w:t>
      </w:r>
    </w:p>
    <w:p>
      <w:pPr>
        <w:pStyle w:val="37"/>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（2）联合体协议</w:t>
      </w:r>
      <w:r>
        <w:rPr>
          <w:rFonts w:hint="eastAsia" w:ascii="宋体" w:hAnsi="宋体" w:eastAsia="宋体" w:cs="宋体"/>
          <w:i w:val="0"/>
          <w:iCs w:val="0"/>
          <w:color w:val="auto"/>
          <w:highlight w:val="none"/>
          <w:lang w:val="zh-CN"/>
        </w:rPr>
        <w:t>… ………………………</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（页码）</w:t>
      </w:r>
    </w:p>
    <w:p>
      <w:pPr>
        <w:pStyle w:val="37"/>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（3）资信文件复印件（如果要求提供） …………………………………（页码）</w:t>
      </w:r>
    </w:p>
    <w:p>
      <w:pPr>
        <w:pStyle w:val="37"/>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zh-CN"/>
        </w:rPr>
        <w:t>主要业绩证明… ………………</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（页码）</w:t>
      </w:r>
    </w:p>
    <w:p>
      <w:pPr>
        <w:pStyle w:val="37"/>
        <w:spacing w:line="360" w:lineRule="auto"/>
        <w:rPr>
          <w:rFonts w:hint="eastAsia" w:ascii="宋体" w:hAnsi="宋体" w:eastAsia="宋体" w:cs="宋体"/>
          <w:i w:val="0"/>
          <w:iCs w:val="0"/>
          <w:color w:val="auto"/>
          <w:highlight w:val="none"/>
        </w:rPr>
      </w:pPr>
      <w:bookmarkStart w:id="378" w:name="OLE_LINK6"/>
      <w:bookmarkStart w:id="379" w:name="OLE_LINK7"/>
      <w:bookmarkStart w:id="380" w:name="OLE_LINK5"/>
      <w:r>
        <w:rPr>
          <w:rFonts w:hint="eastAsia" w:ascii="宋体" w:hAnsi="宋体" w:eastAsia="宋体" w:cs="宋体"/>
          <w:i w:val="0"/>
          <w:iCs w:val="0"/>
          <w:color w:val="auto"/>
          <w:highlight w:val="none"/>
        </w:rPr>
        <w:t>（5）其他商务文件或说明</w:t>
      </w:r>
      <w:r>
        <w:rPr>
          <w:rFonts w:hint="eastAsia" w:ascii="宋体" w:hAnsi="宋体" w:eastAsia="宋体" w:cs="宋体"/>
          <w:i w:val="0"/>
          <w:iCs w:val="0"/>
          <w:color w:val="auto"/>
          <w:highlight w:val="none"/>
          <w:lang w:val="zh-CN"/>
        </w:rPr>
        <w:t xml:space="preserve"> …………</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rPr>
        <w:t>（页码）</w:t>
      </w:r>
      <w:bookmarkEnd w:id="378"/>
      <w:bookmarkEnd w:id="379"/>
    </w:p>
    <w:bookmarkEnd w:id="380"/>
    <w:p>
      <w:pPr>
        <w:spacing w:line="360" w:lineRule="auto"/>
        <w:ind w:firstLine="480" w:firstLineChars="200"/>
        <w:outlineLvl w:val="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（6）技术（服务）方案……………</w:t>
      </w:r>
      <w:r>
        <w:rPr>
          <w:rFonts w:hint="eastAsia" w:ascii="宋体" w:hAnsi="宋体" w:eastAsia="宋体" w:cs="宋体"/>
          <w:i w:val="0"/>
          <w:iCs w:val="0"/>
          <w:color w:val="auto"/>
          <w:highlight w:val="none"/>
        </w:rPr>
        <w:t>……………</w:t>
      </w:r>
      <w:r>
        <w:rPr>
          <w:rFonts w:hint="eastAsia" w:ascii="宋体" w:hAnsi="宋体" w:eastAsia="宋体" w:cs="宋体"/>
          <w:i w:val="0"/>
          <w:iCs w:val="0"/>
          <w:color w:val="auto"/>
          <w:kern w:val="0"/>
          <w:sz w:val="24"/>
          <w:highlight w:val="none"/>
        </w:rPr>
        <w:t>……………………………（页码）</w:t>
      </w:r>
    </w:p>
    <w:p>
      <w:pPr>
        <w:spacing w:line="360" w:lineRule="auto"/>
        <w:ind w:firstLine="480" w:firstLineChars="200"/>
        <w:outlineLvl w:val="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（7）技术（服务）偏离说明表………</w:t>
      </w:r>
      <w:r>
        <w:rPr>
          <w:rFonts w:hint="eastAsia" w:ascii="宋体" w:hAnsi="宋体" w:eastAsia="宋体" w:cs="宋体"/>
          <w:i w:val="0"/>
          <w:iCs w:val="0"/>
          <w:color w:val="auto"/>
          <w:highlight w:val="none"/>
        </w:rPr>
        <w:t>…………</w:t>
      </w:r>
      <w:r>
        <w:rPr>
          <w:rFonts w:hint="eastAsia" w:ascii="宋体" w:hAnsi="宋体" w:eastAsia="宋体" w:cs="宋体"/>
          <w:i w:val="0"/>
          <w:iCs w:val="0"/>
          <w:color w:val="auto"/>
          <w:kern w:val="0"/>
          <w:sz w:val="24"/>
          <w:highlight w:val="none"/>
        </w:rPr>
        <w:t>……………………………（页码）</w:t>
      </w:r>
    </w:p>
    <w:p>
      <w:pPr>
        <w:spacing w:line="360" w:lineRule="auto"/>
        <w:ind w:firstLine="480" w:firstLineChars="200"/>
        <w:outlineLvl w:val="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（8）组织实施方案……………………</w:t>
      </w:r>
      <w:r>
        <w:rPr>
          <w:rFonts w:hint="eastAsia" w:ascii="宋体" w:hAnsi="宋体" w:eastAsia="宋体" w:cs="宋体"/>
          <w:i w:val="0"/>
          <w:iCs w:val="0"/>
          <w:color w:val="auto"/>
          <w:highlight w:val="none"/>
        </w:rPr>
        <w:t>………</w:t>
      </w:r>
      <w:r>
        <w:rPr>
          <w:rFonts w:hint="eastAsia" w:ascii="宋体" w:hAnsi="宋体" w:eastAsia="宋体" w:cs="宋体"/>
          <w:i w:val="0"/>
          <w:iCs w:val="0"/>
          <w:color w:val="auto"/>
          <w:kern w:val="0"/>
          <w:sz w:val="24"/>
          <w:highlight w:val="none"/>
        </w:rPr>
        <w:t>………………………………（页码）</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（9）</w:t>
      </w:r>
      <w:r>
        <w:rPr>
          <w:rFonts w:hint="eastAsia" w:ascii="宋体" w:hAnsi="宋体" w:eastAsia="宋体" w:cs="宋体"/>
          <w:i w:val="0"/>
          <w:iCs w:val="0"/>
          <w:color w:val="auto"/>
          <w:sz w:val="24"/>
          <w:highlight w:val="none"/>
        </w:rPr>
        <w:t xml:space="preserve">人员投入计划 </w:t>
      </w:r>
      <w:r>
        <w:rPr>
          <w:rFonts w:hint="eastAsia" w:ascii="宋体" w:hAnsi="宋体" w:eastAsia="宋体" w:cs="宋体"/>
          <w:i w:val="0"/>
          <w:iCs w:val="0"/>
          <w:color w:val="auto"/>
          <w:kern w:val="0"/>
          <w:sz w:val="24"/>
          <w:highlight w:val="none"/>
        </w:rPr>
        <w:t>…………………………………………………………（页码）</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（10）</w:t>
      </w:r>
      <w:r>
        <w:rPr>
          <w:rFonts w:hint="eastAsia" w:ascii="宋体" w:hAnsi="宋体" w:eastAsia="宋体" w:cs="宋体"/>
          <w:i w:val="0"/>
          <w:iCs w:val="0"/>
          <w:color w:val="auto"/>
          <w:sz w:val="24"/>
          <w:highlight w:val="none"/>
        </w:rPr>
        <w:t xml:space="preserve">材料、设备、工具等投入计划  </w:t>
      </w:r>
      <w:r>
        <w:rPr>
          <w:rFonts w:hint="eastAsia" w:ascii="宋体" w:hAnsi="宋体" w:eastAsia="宋体" w:cs="宋体"/>
          <w:i w:val="0"/>
          <w:iCs w:val="0"/>
          <w:color w:val="auto"/>
          <w:kern w:val="0"/>
          <w:sz w:val="24"/>
          <w:highlight w:val="none"/>
        </w:rPr>
        <w:t>……………………………………（页码）</w:t>
      </w:r>
    </w:p>
    <w:p>
      <w:pPr>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（11）</w:t>
      </w:r>
      <w:r>
        <w:rPr>
          <w:rFonts w:hint="eastAsia" w:ascii="宋体" w:hAnsi="宋体" w:eastAsia="宋体" w:cs="宋体"/>
          <w:i w:val="0"/>
          <w:iCs w:val="0"/>
          <w:snapToGrid w:val="0"/>
          <w:color w:val="auto"/>
          <w:kern w:val="0"/>
          <w:sz w:val="24"/>
          <w:highlight w:val="none"/>
        </w:rPr>
        <w:t xml:space="preserve">投标人的各项服务承诺 </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rPr>
        <w:t>（页码）</w:t>
      </w:r>
    </w:p>
    <w:p>
      <w:pPr>
        <w:spacing w:line="360" w:lineRule="auto"/>
        <w:ind w:firstLine="480" w:firstLineChars="200"/>
        <w:rPr>
          <w:rFonts w:hint="eastAsia" w:ascii="宋体" w:hAnsi="宋体" w:eastAsia="宋体" w:cs="宋体"/>
          <w:b/>
          <w:bCs/>
          <w:i w:val="0"/>
          <w:iCs w:val="0"/>
          <w:color w:val="auto"/>
          <w:kern w:val="0"/>
          <w:sz w:val="24"/>
          <w:highlight w:val="none"/>
        </w:rPr>
      </w:pPr>
      <w:r>
        <w:rPr>
          <w:rFonts w:hint="eastAsia" w:ascii="宋体" w:hAnsi="宋体" w:eastAsia="宋体" w:cs="宋体"/>
          <w:i w:val="0"/>
          <w:iCs w:val="0"/>
          <w:color w:val="auto"/>
          <w:kern w:val="0"/>
          <w:sz w:val="24"/>
          <w:highlight w:val="none"/>
        </w:rPr>
        <w:t>（12）投标人</w:t>
      </w:r>
      <w:r>
        <w:rPr>
          <w:rFonts w:hint="eastAsia" w:ascii="宋体" w:hAnsi="宋体" w:eastAsia="宋体" w:cs="宋体"/>
          <w:i w:val="0"/>
          <w:iCs w:val="0"/>
          <w:color w:val="auto"/>
          <w:kern w:val="0"/>
          <w:sz w:val="24"/>
          <w:highlight w:val="none"/>
          <w:lang w:val="zh-CN"/>
        </w:rPr>
        <w:t>认为需要的其他技术文件或说明……………………………</w:t>
      </w:r>
      <w:r>
        <w:rPr>
          <w:rFonts w:hint="eastAsia" w:ascii="宋体" w:hAnsi="宋体" w:eastAsia="宋体" w:cs="宋体"/>
          <w:i w:val="0"/>
          <w:iCs w:val="0"/>
          <w:color w:val="auto"/>
          <w:kern w:val="0"/>
          <w:sz w:val="24"/>
          <w:highlight w:val="none"/>
        </w:rPr>
        <w:t>（页码）</w:t>
      </w:r>
    </w:p>
    <w:p>
      <w:pPr>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rPr>
        <w:t>（13）</w:t>
      </w:r>
      <w:r>
        <w:rPr>
          <w:rFonts w:hint="eastAsia" w:ascii="宋体" w:hAnsi="宋体" w:eastAsia="宋体" w:cs="宋体"/>
          <w:i w:val="0"/>
          <w:iCs w:val="0"/>
          <w:color w:val="auto"/>
          <w:kern w:val="0"/>
          <w:sz w:val="24"/>
          <w:highlight w:val="none"/>
          <w:lang w:val="zh-CN"/>
        </w:rPr>
        <w:t>关于对招标文件中商务、合同有关条款的拒绝声明…</w:t>
      </w:r>
      <w:r>
        <w:rPr>
          <w:rFonts w:hint="eastAsia" w:ascii="宋体" w:hAnsi="宋体" w:eastAsia="宋体" w:cs="宋体"/>
          <w:i w:val="0"/>
          <w:iCs w:val="0"/>
          <w:color w:val="auto"/>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rPr>
        <w:t>（页码）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注：以上目录是基本格式要求，各投标人可根据自身情况进一步细化。</w:t>
      </w:r>
    </w:p>
    <w:p>
      <w:pPr>
        <w:pStyle w:val="26"/>
        <w:jc w:val="both"/>
        <w:rPr>
          <w:rFonts w:hint="eastAsia" w:ascii="宋体" w:hAnsi="宋体" w:eastAsia="宋体" w:cs="宋体"/>
          <w:b/>
          <w:color w:val="auto"/>
          <w:sz w:val="36"/>
          <w:szCs w:val="36"/>
          <w:highlight w:val="none"/>
        </w:rPr>
        <w:sectPr>
          <w:pgSz w:w="11906" w:h="16838"/>
          <w:pgMar w:top="680" w:right="1417" w:bottom="471" w:left="1417" w:header="851" w:footer="992" w:gutter="0"/>
          <w:pgNumType w:fmt="decimal"/>
          <w:cols w:space="425" w:num="1"/>
          <w:docGrid w:type="lines" w:linePitch="312" w:charSpace="0"/>
        </w:sectPr>
      </w:pPr>
    </w:p>
    <w:p>
      <w:pPr>
        <w:numPr>
          <w:ilvl w:val="0"/>
          <w:numId w:val="29"/>
        </w:numPr>
        <w:spacing w:line="360" w:lineRule="auto"/>
        <w:jc w:val="center"/>
        <w:rPr>
          <w:rFonts w:hint="eastAsia" w:ascii="宋体" w:hAnsi="宋体" w:eastAsia="宋体" w:cs="宋体"/>
          <w:b/>
          <w:i w:val="0"/>
          <w:iCs w:val="0"/>
          <w:color w:val="auto"/>
          <w:sz w:val="30"/>
          <w:szCs w:val="30"/>
          <w:highlight w:val="none"/>
        </w:rPr>
      </w:pPr>
      <w:bookmarkStart w:id="381" w:name="_Toc465665161"/>
      <w:r>
        <w:rPr>
          <w:rFonts w:hint="eastAsia" w:ascii="宋体" w:hAnsi="宋体" w:eastAsia="宋体" w:cs="宋体"/>
          <w:b/>
          <w:i w:val="0"/>
          <w:iCs w:val="0"/>
          <w:color w:val="auto"/>
          <w:sz w:val="30"/>
          <w:szCs w:val="30"/>
          <w:highlight w:val="none"/>
        </w:rPr>
        <w:t>营业执照(或事业法人登记证或其他工商等登记证明材料)复印件（投标人为自然人的，提供自然人的身份证明）</w:t>
      </w:r>
    </w:p>
    <w:p>
      <w:pPr>
        <w:spacing w:line="360" w:lineRule="auto"/>
        <w:ind w:left="720"/>
        <w:rPr>
          <w:rFonts w:hint="eastAsia" w:ascii="宋体" w:hAnsi="宋体" w:eastAsia="宋体" w:cs="宋体"/>
          <w:b/>
          <w:i w:val="0"/>
          <w:iCs w:val="0"/>
          <w:color w:val="auto"/>
          <w:sz w:val="30"/>
          <w:szCs w:val="30"/>
          <w:highlight w:val="none"/>
        </w:rPr>
      </w:pPr>
    </w:p>
    <w:p>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投标人名称(电子签章)：                              </w:t>
      </w:r>
    </w:p>
    <w:p>
      <w:pPr>
        <w:snapToGrid w:val="0"/>
        <w:spacing w:line="360" w:lineRule="auto"/>
        <w:ind w:left="720"/>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snapToGrid w:val="0"/>
        <w:spacing w:line="360" w:lineRule="auto"/>
        <w:ind w:left="720"/>
        <w:jc w:val="right"/>
        <w:rPr>
          <w:rFonts w:hint="eastAsia" w:ascii="宋体" w:hAnsi="宋体" w:eastAsia="宋体" w:cs="宋体"/>
          <w:i w:val="0"/>
          <w:iCs w:val="0"/>
          <w:color w:val="auto"/>
          <w:kern w:val="0"/>
          <w:sz w:val="24"/>
          <w:highlight w:val="none"/>
          <w:lang w:val="zh-CN"/>
        </w:rPr>
      </w:pPr>
    </w:p>
    <w:p>
      <w:pPr>
        <w:snapToGrid w:val="0"/>
        <w:spacing w:line="360" w:lineRule="auto"/>
        <w:ind w:left="720"/>
        <w:jc w:val="right"/>
        <w:rPr>
          <w:rFonts w:hint="eastAsia" w:ascii="宋体" w:hAnsi="宋体" w:eastAsia="宋体" w:cs="宋体"/>
          <w:i w:val="0"/>
          <w:iCs w:val="0"/>
          <w:color w:val="auto"/>
          <w:kern w:val="0"/>
          <w:sz w:val="24"/>
          <w:highlight w:val="none"/>
          <w:lang w:val="zh-CN"/>
        </w:rPr>
      </w:pPr>
    </w:p>
    <w:p>
      <w:pPr>
        <w:snapToGrid w:val="0"/>
        <w:spacing w:line="360" w:lineRule="auto"/>
        <w:jc w:val="center"/>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i w:val="0"/>
          <w:iCs w:val="0"/>
          <w:color w:val="auto"/>
          <w:sz w:val="30"/>
          <w:szCs w:val="30"/>
          <w:highlight w:val="none"/>
        </w:rPr>
        <w:t>联合体协议</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甲方：</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乙方：</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各方经协商一致，决定组成一个联合体，以一个投标人的身份就</w:t>
      </w:r>
      <w:r>
        <w:rPr>
          <w:rFonts w:hint="eastAsia" w:ascii="宋体" w:hAnsi="宋体" w:eastAsia="宋体" w:cs="宋体"/>
          <w:i w:val="0"/>
          <w:iCs w:val="0"/>
          <w:color w:val="auto"/>
          <w:sz w:val="24"/>
          <w:highlight w:val="none"/>
        </w:rPr>
        <w:t>********项目</w:t>
      </w:r>
      <w:r>
        <w:rPr>
          <w:rFonts w:hint="eastAsia" w:ascii="宋体" w:hAnsi="宋体" w:eastAsia="宋体" w:cs="宋体"/>
          <w:i w:val="0"/>
          <w:iCs w:val="0"/>
          <w:color w:val="auto"/>
          <w:kern w:val="0"/>
          <w:sz w:val="24"/>
          <w:highlight w:val="none"/>
          <w:lang w:val="zh-CN"/>
        </w:rPr>
        <w:t>【招标编号：*****】共同投标。</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一、各方一致决定，</w:t>
      </w:r>
      <w:r>
        <w:rPr>
          <w:rFonts w:hint="eastAsia" w:ascii="宋体" w:hAnsi="宋体" w:eastAsia="宋体" w:cs="宋体"/>
          <w:i w:val="0"/>
          <w:iCs w:val="0"/>
          <w:color w:val="auto"/>
          <w:sz w:val="24"/>
          <w:highlight w:val="none"/>
        </w:rPr>
        <w:t>指定</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sz w:val="24"/>
          <w:highlight w:val="none"/>
        </w:rPr>
        <w:t>方牵头人，代表所有联合体成员负责投标和合同实施阶段的主办、协调工作</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w:t>
      </w:r>
      <w:r>
        <w:rPr>
          <w:rFonts w:hint="eastAsia" w:ascii="宋体" w:hAnsi="宋体" w:eastAsia="宋体" w:cs="宋体"/>
          <w:i w:val="0"/>
          <w:iCs w:val="0"/>
          <w:color w:val="auto"/>
          <w:sz w:val="24"/>
          <w:highlight w:val="none"/>
        </w:rPr>
        <w:t>所有联合体成员各方签署授权书，授权书载明的</w:t>
      </w:r>
      <w:r>
        <w:rPr>
          <w:rFonts w:hint="eastAsia" w:ascii="宋体" w:hAnsi="宋体" w:eastAsia="宋体" w:cs="宋体"/>
          <w:i w:val="0"/>
          <w:iCs w:val="0"/>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三、本次联合投标中，分工如下：甲方承担的工作和义务为：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；乙方承担的工作和义务为：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 xml:space="preserve"> ；……（注：甲乙双方合同份额比例须明确。）</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四、如果中标，</w:t>
      </w:r>
      <w:r>
        <w:rPr>
          <w:rFonts w:hint="eastAsia" w:ascii="宋体" w:hAnsi="宋体" w:eastAsia="宋体" w:cs="宋体"/>
          <w:i w:val="0"/>
          <w:iCs w:val="0"/>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五、有关本次联合投标的其他事宜：</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i w:val="0"/>
          <w:iCs w:val="0"/>
          <w:color w:val="auto"/>
          <w:kern w:val="0"/>
          <w:sz w:val="24"/>
          <w:highlight w:val="none"/>
          <w:lang w:val="zh-CN"/>
        </w:rPr>
      </w:pP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甲方单位：          （电子签章）          乙方单位：        （电子签章）</w:t>
      </w:r>
    </w:p>
    <w:p>
      <w:pPr>
        <w:snapToGrid w:val="0"/>
        <w:spacing w:line="360" w:lineRule="auto"/>
        <w:ind w:firstLine="576"/>
        <w:rPr>
          <w:rFonts w:hint="eastAsia" w:ascii="宋体" w:hAnsi="宋体" w:eastAsia="宋体" w:cs="宋体"/>
          <w:i w:val="0"/>
          <w:iCs w:val="0"/>
          <w:color w:val="auto"/>
          <w:kern w:val="0"/>
          <w:sz w:val="24"/>
          <w:highlight w:val="none"/>
          <w:lang w:val="zh-CN"/>
        </w:rPr>
        <w:sectPr>
          <w:pgSz w:w="11906" w:h="16838"/>
          <w:pgMar w:top="1247" w:right="1418" w:bottom="1276" w:left="1418" w:header="851" w:footer="992" w:gutter="0"/>
          <w:pgNumType w:fmt="decimal"/>
          <w:cols w:space="720" w:num="1"/>
        </w:sectPr>
      </w:pPr>
      <w:r>
        <w:rPr>
          <w:rFonts w:hint="eastAsia" w:ascii="宋体" w:hAnsi="宋体" w:eastAsia="宋体" w:cs="宋体"/>
          <w:i w:val="0"/>
          <w:iCs w:val="0"/>
          <w:color w:val="auto"/>
          <w:kern w:val="0"/>
          <w:sz w:val="24"/>
          <w:highlight w:val="none"/>
          <w:lang w:val="zh-CN"/>
        </w:rPr>
        <w:t>日期：    年   月   日                  日期：    年   月   日</w:t>
      </w:r>
    </w:p>
    <w:p>
      <w:pPr>
        <w:spacing w:line="360" w:lineRule="auto"/>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三、资信文件复印件（如果要求提供）</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（由投标人根据采购需求及招标文件要求编制）</w:t>
      </w:r>
    </w:p>
    <w:p>
      <w:pPr>
        <w:spacing w:line="360" w:lineRule="auto"/>
        <w:jc w:val="center"/>
        <w:rPr>
          <w:rFonts w:hint="eastAsia" w:ascii="宋体" w:hAnsi="宋体" w:eastAsia="宋体" w:cs="宋体"/>
          <w:b/>
          <w:bCs/>
          <w:i w:val="0"/>
          <w:iCs w:val="0"/>
          <w:color w:val="auto"/>
          <w:sz w:val="32"/>
          <w:szCs w:val="32"/>
          <w:highlight w:val="none"/>
        </w:rPr>
      </w:pPr>
    </w:p>
    <w:p>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投标人名称(电子签章)：                              </w:t>
      </w: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i w:val="0"/>
          <w:iCs w:val="0"/>
          <w:color w:val="auto"/>
          <w:kern w:val="0"/>
          <w:sz w:val="24"/>
          <w:highlight w:val="none"/>
          <w:lang w:val="zh-CN"/>
        </w:rPr>
        <w:t xml:space="preserve">                   日期：  年  月 日</w:t>
      </w: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四、</w:t>
      </w:r>
      <w:r>
        <w:rPr>
          <w:rFonts w:hint="eastAsia" w:ascii="宋体" w:hAnsi="宋体" w:eastAsia="宋体" w:cs="宋体"/>
          <w:b/>
          <w:i w:val="0"/>
          <w:iCs w:val="0"/>
          <w:color w:val="auto"/>
          <w:kern w:val="0"/>
          <w:sz w:val="32"/>
          <w:szCs w:val="32"/>
          <w:highlight w:val="none"/>
          <w:lang w:val="zh-CN"/>
        </w:rPr>
        <w:t>主要业绩证明</w:t>
      </w: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投标人名称（电子签章）：                       </w:t>
      </w:r>
    </w:p>
    <w:p>
      <w:pPr>
        <w:autoSpaceDE w:val="0"/>
        <w:autoSpaceDN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日期：  年  月   日</w:t>
      </w:r>
    </w:p>
    <w:p>
      <w:pPr>
        <w:spacing w:line="360" w:lineRule="auto"/>
        <w:rPr>
          <w:rFonts w:hint="eastAsia" w:ascii="宋体" w:hAnsi="宋体" w:eastAsia="宋体" w:cs="宋体"/>
          <w:i w:val="0"/>
          <w:iCs w:val="0"/>
          <w:color w:val="auto"/>
          <w:kern w:val="0"/>
          <w:sz w:val="24"/>
          <w:highlight w:val="none"/>
        </w:rPr>
      </w:pPr>
    </w:p>
    <w:p>
      <w:pPr>
        <w:spacing w:line="360" w:lineRule="auto"/>
        <w:rPr>
          <w:rFonts w:hint="eastAsia" w:ascii="宋体" w:hAnsi="宋体" w:eastAsia="宋体" w:cs="宋体"/>
          <w:i w:val="0"/>
          <w:iCs w:val="0"/>
          <w:color w:val="auto"/>
          <w:kern w:val="0"/>
          <w:sz w:val="24"/>
          <w:highlight w:val="none"/>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五、</w:t>
      </w:r>
      <w:bookmarkStart w:id="382" w:name="OLE_LINK16"/>
      <w:bookmarkStart w:id="383" w:name="OLE_LINK17"/>
      <w:r>
        <w:rPr>
          <w:rFonts w:hint="eastAsia" w:ascii="宋体" w:hAnsi="宋体" w:eastAsia="宋体" w:cs="宋体"/>
          <w:b/>
          <w:bCs/>
          <w:i w:val="0"/>
          <w:iCs w:val="0"/>
          <w:color w:val="auto"/>
          <w:sz w:val="32"/>
          <w:szCs w:val="32"/>
          <w:highlight w:val="none"/>
        </w:rPr>
        <w:t>其他商务文件或说明</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bookmarkStart w:id="384" w:name="OLE_LINK10"/>
      <w:bookmarkStart w:id="385" w:name="OLE_LINK11"/>
      <w:r>
        <w:rPr>
          <w:rFonts w:hint="eastAsia" w:ascii="宋体" w:hAnsi="宋体" w:eastAsia="宋体" w:cs="宋体"/>
          <w:i w:val="0"/>
          <w:iCs w:val="0"/>
          <w:color w:val="auto"/>
          <w:sz w:val="24"/>
          <w:highlight w:val="none"/>
        </w:rPr>
        <w:t>其他商务文件或说明由投标人根据采购需求自行编制</w:t>
      </w:r>
      <w:bookmarkEnd w:id="384"/>
      <w:bookmarkEnd w:id="385"/>
      <w:r>
        <w:rPr>
          <w:rFonts w:hint="eastAsia" w:ascii="宋体" w:hAnsi="宋体" w:eastAsia="宋体" w:cs="宋体"/>
          <w:i w:val="0"/>
          <w:iCs w:val="0"/>
          <w:color w:val="auto"/>
          <w:sz w:val="24"/>
          <w:highlight w:val="none"/>
        </w:rPr>
        <w:t>）</w:t>
      </w:r>
    </w:p>
    <w:bookmarkEnd w:id="382"/>
    <w:bookmarkEnd w:id="383"/>
    <w:p>
      <w:pPr>
        <w:spacing w:line="360" w:lineRule="auto"/>
        <w:jc w:val="center"/>
        <w:rPr>
          <w:rFonts w:hint="eastAsia" w:ascii="宋体" w:hAnsi="宋体" w:eastAsia="宋体" w:cs="宋体"/>
          <w:i w:val="0"/>
          <w:iCs w:val="0"/>
          <w:color w:val="auto"/>
          <w:sz w:val="24"/>
          <w:highlight w:val="none"/>
        </w:rPr>
      </w:pPr>
    </w:p>
    <w:p>
      <w:pPr>
        <w:autoSpaceDE w:val="0"/>
        <w:autoSpaceDN w:val="0"/>
        <w:spacing w:line="360" w:lineRule="auto"/>
        <w:ind w:firstLine="4800" w:firstLineChars="20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投标人名称（电子签章）：      </w:t>
      </w:r>
    </w:p>
    <w:p>
      <w:pPr>
        <w:autoSpaceDE w:val="0"/>
        <w:autoSpaceDN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autoSpaceDE w:val="0"/>
        <w:autoSpaceDN w:val="0"/>
        <w:spacing w:line="360" w:lineRule="auto"/>
        <w:rPr>
          <w:rFonts w:hint="eastAsia" w:ascii="宋体" w:hAnsi="宋体" w:eastAsia="宋体" w:cs="宋体"/>
          <w:i w:val="0"/>
          <w:iCs w:val="0"/>
          <w:color w:val="auto"/>
          <w:kern w:val="0"/>
          <w:sz w:val="24"/>
          <w:highlight w:val="none"/>
          <w:lang w:val="zh-CN"/>
        </w:rPr>
      </w:pPr>
    </w:p>
    <w:p>
      <w:pPr>
        <w:autoSpaceDE w:val="0"/>
        <w:autoSpaceDN w:val="0"/>
        <w:spacing w:line="360" w:lineRule="auto"/>
        <w:rPr>
          <w:rFonts w:hint="eastAsia" w:ascii="宋体" w:hAnsi="宋体" w:eastAsia="宋体" w:cs="宋体"/>
          <w:i w:val="0"/>
          <w:iCs w:val="0"/>
          <w:color w:val="auto"/>
          <w:kern w:val="0"/>
          <w:sz w:val="24"/>
          <w:highlight w:val="none"/>
          <w:lang w:val="zh-CN"/>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i w:val="0"/>
          <w:iCs w:val="0"/>
          <w:color w:val="auto"/>
          <w:sz w:val="32"/>
          <w:szCs w:val="32"/>
          <w:highlight w:val="none"/>
        </w:rPr>
        <w:t>六</w:t>
      </w:r>
      <w:r>
        <w:rPr>
          <w:rFonts w:hint="eastAsia" w:ascii="宋体" w:hAnsi="宋体" w:eastAsia="宋体" w:cs="宋体"/>
          <w:b/>
          <w:bCs/>
          <w:i w:val="0"/>
          <w:iCs w:val="0"/>
          <w:color w:val="auto"/>
          <w:sz w:val="32"/>
          <w:szCs w:val="32"/>
          <w:highlight w:val="none"/>
        </w:rPr>
        <w:t>、技术和服务方案</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（由投标人根据采购需求及招标文件要求编制）</w:t>
      </w: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p>
    <w:p>
      <w:pPr>
        <w:autoSpaceDE w:val="0"/>
        <w:autoSpaceDN w:val="0"/>
        <w:spacing w:line="360" w:lineRule="auto"/>
        <w:ind w:firstLine="4560" w:firstLineChars="19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供应商名称（电子签章）：                       </w:t>
      </w:r>
    </w:p>
    <w:p>
      <w:pPr>
        <w:autoSpaceDE w:val="0"/>
        <w:autoSpaceDN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日期：   年  月   日</w:t>
      </w:r>
    </w:p>
    <w:p>
      <w:pPr>
        <w:widowControl/>
        <w:adjustRightInd/>
        <w:jc w:val="left"/>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kern w:val="0"/>
          <w:sz w:val="32"/>
          <w:szCs w:val="32"/>
          <w:highlight w:val="none"/>
        </w:rPr>
        <w:br w:type="page"/>
      </w: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七、技术和服务偏离说明表</w:t>
      </w:r>
    </w:p>
    <w:p>
      <w:pPr>
        <w:spacing w:line="360" w:lineRule="auto"/>
        <w:jc w:val="center"/>
        <w:rPr>
          <w:rFonts w:hint="eastAsia" w:ascii="宋体" w:hAnsi="宋体" w:eastAsia="宋体" w:cs="宋体"/>
          <w:b/>
          <w:bCs/>
          <w:i w:val="0"/>
          <w:iCs w:val="0"/>
          <w:color w:val="auto"/>
          <w:sz w:val="18"/>
          <w:szCs w:val="18"/>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i w:val="0"/>
                <w:iCs w:val="0"/>
                <w:color w:val="auto"/>
                <w:sz w:val="24"/>
                <w:highlight w:val="none"/>
              </w:rPr>
            </w:pPr>
          </w:p>
        </w:tc>
      </w:tr>
    </w:tbl>
    <w:p>
      <w:pPr>
        <w:autoSpaceDE w:val="0"/>
        <w:autoSpaceDN w:val="0"/>
        <w:spacing w:line="360" w:lineRule="auto"/>
        <w:ind w:firstLine="5040" w:firstLineChars="2100"/>
        <w:rPr>
          <w:rFonts w:hint="eastAsia" w:ascii="宋体" w:hAnsi="宋体" w:eastAsia="宋体" w:cs="宋体"/>
          <w:i w:val="0"/>
          <w:iCs w:val="0"/>
          <w:color w:val="auto"/>
          <w:kern w:val="0"/>
          <w:sz w:val="24"/>
          <w:highlight w:val="none"/>
          <w:lang w:val="zh-CN"/>
        </w:rPr>
      </w:pPr>
    </w:p>
    <w:p>
      <w:pPr>
        <w:autoSpaceDE w:val="0"/>
        <w:autoSpaceDN w:val="0"/>
        <w:spacing w:line="360" w:lineRule="auto"/>
        <w:ind w:firstLine="5040" w:firstLineChars="21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投标人名称（电子签章）：      </w:t>
      </w:r>
    </w:p>
    <w:p>
      <w:pPr>
        <w:autoSpaceDE w:val="0"/>
        <w:autoSpaceDN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i w:val="0"/>
          <w:iCs w:val="0"/>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eastAsia="宋体" w:cs="宋体"/>
          <w:b/>
          <w:bCs/>
          <w:i w:val="0"/>
          <w:iCs w:val="0"/>
          <w:color w:val="auto"/>
          <w:kern w:val="0"/>
          <w:sz w:val="36"/>
          <w:szCs w:val="36"/>
          <w:highlight w:val="none"/>
          <w:lang w:val="zh-CN"/>
        </w:rPr>
      </w:pPr>
      <w:r>
        <w:rPr>
          <w:rFonts w:hint="eastAsia" w:ascii="宋体" w:hAnsi="宋体" w:eastAsia="宋体" w:cs="宋体"/>
          <w:b/>
          <w:bCs/>
          <w:i w:val="0"/>
          <w:iCs w:val="0"/>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宋体" w:hAnsi="宋体" w:eastAsia="宋体" w:cs="宋体"/>
          <w:b/>
          <w:bCs/>
          <w:i w:val="0"/>
          <w:iCs w:val="0"/>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i w:val="0"/>
          <w:iCs w:val="0"/>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宋体" w:hAnsi="宋体" w:eastAsia="宋体" w:cs="宋体"/>
          <w:b/>
          <w:bCs/>
          <w:i w:val="0"/>
          <w:iCs w:val="0"/>
          <w:color w:val="auto"/>
          <w:kern w:val="0"/>
          <w:sz w:val="32"/>
          <w:szCs w:val="32"/>
          <w:highlight w:val="none"/>
          <w:lang w:val="zh-CN"/>
        </w:rPr>
      </w:pPr>
      <w:r>
        <w:rPr>
          <w:rFonts w:hint="eastAsia" w:ascii="宋体" w:hAnsi="宋体" w:eastAsia="宋体" w:cs="宋体"/>
          <w:b/>
          <w:bCs/>
          <w:i w:val="0"/>
          <w:iCs w:val="0"/>
          <w:color w:val="auto"/>
          <w:kern w:val="0"/>
          <w:sz w:val="32"/>
          <w:szCs w:val="32"/>
          <w:highlight w:val="none"/>
          <w:lang w:val="zh-CN"/>
        </w:rPr>
        <w:t>八、组织实施方案</w:t>
      </w:r>
    </w:p>
    <w:p>
      <w:pPr>
        <w:autoSpaceDE w:val="0"/>
        <w:autoSpaceDN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宋体" w:hAnsi="宋体" w:eastAsia="宋体" w:cs="宋体"/>
          <w:b/>
          <w:bCs/>
          <w:i w:val="0"/>
          <w:iCs w:val="0"/>
          <w:color w:val="auto"/>
          <w:kern w:val="0"/>
          <w:sz w:val="24"/>
          <w:highlight w:val="none"/>
          <w:lang w:val="zh-CN"/>
        </w:rPr>
      </w:pP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投标人名称（电子签章）：</w:t>
      </w:r>
    </w:p>
    <w:p>
      <w:pPr>
        <w:autoSpaceDE w:val="0"/>
        <w:autoSpaceDN w:val="0"/>
        <w:spacing w:line="360" w:lineRule="auto"/>
        <w:rPr>
          <w:rFonts w:hint="eastAsia" w:ascii="宋体" w:hAnsi="宋体" w:eastAsia="宋体" w:cs="宋体"/>
          <w:b/>
          <w:bCs/>
          <w:i w:val="0"/>
          <w:iCs w:val="0"/>
          <w:color w:val="auto"/>
          <w:sz w:val="32"/>
          <w:szCs w:val="32"/>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  年  月   日</w:t>
      </w: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九、人员投入计划</w:t>
      </w:r>
    </w:p>
    <w:p>
      <w:pPr>
        <w:autoSpaceDE w:val="0"/>
        <w:autoSpaceDN w:val="0"/>
        <w:spacing w:line="360" w:lineRule="auto"/>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（由投标人根据采购需求及招标文件要求编制）</w:t>
      </w: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投标人名称（电子签章）：</w:t>
      </w:r>
    </w:p>
    <w:p>
      <w:pPr>
        <w:autoSpaceDE w:val="0"/>
        <w:autoSpaceDN w:val="0"/>
        <w:spacing w:line="360" w:lineRule="auto"/>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  年  月   日</w:t>
      </w: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十、材料、设备、工具等投入计划</w:t>
      </w:r>
    </w:p>
    <w:p>
      <w:pPr>
        <w:spacing w:line="360" w:lineRule="auto"/>
        <w:jc w:val="center"/>
        <w:rPr>
          <w:rFonts w:hint="eastAsia" w:ascii="宋体" w:hAnsi="宋体" w:eastAsia="宋体" w:cs="宋体"/>
          <w:b/>
          <w:bCs/>
          <w:i w:val="0"/>
          <w:iCs w:val="0"/>
          <w:color w:val="auto"/>
          <w:sz w:val="24"/>
          <w:highlight w:val="none"/>
        </w:rPr>
      </w:pPr>
      <w:r>
        <w:rPr>
          <w:rFonts w:hint="eastAsia" w:ascii="宋体" w:hAnsi="宋体" w:eastAsia="宋体" w:cs="宋体"/>
          <w:i w:val="0"/>
          <w:iCs w:val="0"/>
          <w:color w:val="auto"/>
          <w:sz w:val="24"/>
          <w:highlight w:val="none"/>
        </w:rPr>
        <w:t>（由投标人根据采购需求及招标文件要求编制）</w:t>
      </w: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投标人名称（电子签章）：</w:t>
      </w:r>
    </w:p>
    <w:p>
      <w:pPr>
        <w:autoSpaceDE w:val="0"/>
        <w:autoSpaceDN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  年  月   日</w:t>
      </w: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bCs/>
          <w:i w:val="0"/>
          <w:iCs w:val="0"/>
          <w:color w:val="auto"/>
          <w:sz w:val="32"/>
          <w:szCs w:val="32"/>
          <w:highlight w:val="none"/>
        </w:rPr>
        <w:t>十一、</w:t>
      </w:r>
      <w:r>
        <w:rPr>
          <w:rFonts w:hint="eastAsia" w:ascii="宋体" w:hAnsi="宋体" w:eastAsia="宋体" w:cs="宋体"/>
          <w:b/>
          <w:i w:val="0"/>
          <w:iCs w:val="0"/>
          <w:color w:val="auto"/>
          <w:kern w:val="0"/>
          <w:sz w:val="32"/>
          <w:szCs w:val="32"/>
          <w:highlight w:val="none"/>
          <w:lang w:val="zh-CN"/>
        </w:rPr>
        <w:t>投标人的各项服务承诺</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（由投标人根据采购需求及招标文件要求编制）</w:t>
      </w:r>
    </w:p>
    <w:p>
      <w:pPr>
        <w:spacing w:line="360" w:lineRule="auto"/>
        <w:jc w:val="center"/>
        <w:rPr>
          <w:rFonts w:hint="eastAsia" w:ascii="宋体" w:hAnsi="宋体" w:eastAsia="宋体" w:cs="宋体"/>
          <w:i w:val="0"/>
          <w:iCs w:val="0"/>
          <w:color w:val="auto"/>
          <w:sz w:val="18"/>
          <w:szCs w:val="18"/>
          <w:highlight w:val="none"/>
        </w:rPr>
      </w:pPr>
    </w:p>
    <w:p>
      <w:pPr>
        <w:autoSpaceDE w:val="0"/>
        <w:autoSpaceDN w:val="0"/>
        <w:spacing w:line="360" w:lineRule="auto"/>
        <w:ind w:firstLine="4440" w:firstLineChars="185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投标人名称（电子签章）：</w:t>
      </w:r>
    </w:p>
    <w:p>
      <w:pPr>
        <w:autoSpaceDE w:val="0"/>
        <w:autoSpaceDN w:val="0"/>
        <w:spacing w:line="360" w:lineRule="auto"/>
        <w:rPr>
          <w:rFonts w:hint="eastAsia" w:ascii="宋体" w:hAnsi="宋体" w:eastAsia="宋体" w:cs="宋体"/>
          <w:b/>
          <w:bCs/>
          <w:i w:val="0"/>
          <w:iCs w:val="0"/>
          <w:color w:val="auto"/>
          <w:sz w:val="18"/>
          <w:szCs w:val="18"/>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  年  月   日</w:t>
      </w: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p>
    <w:p>
      <w:pPr>
        <w:spacing w:line="360" w:lineRule="auto"/>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十二、投标人认为需要的其他技术文件或说明</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（由投标人根据采购需求自行编制）</w:t>
      </w:r>
    </w:p>
    <w:p>
      <w:pPr>
        <w:spacing w:line="360" w:lineRule="auto"/>
        <w:jc w:val="center"/>
        <w:rPr>
          <w:rFonts w:hint="eastAsia" w:ascii="宋体" w:hAnsi="宋体" w:eastAsia="宋体" w:cs="宋体"/>
          <w:i w:val="0"/>
          <w:iCs w:val="0"/>
          <w:color w:val="auto"/>
          <w:sz w:val="24"/>
          <w:highlight w:val="none"/>
        </w:rPr>
      </w:pPr>
    </w:p>
    <w:p>
      <w:pPr>
        <w:autoSpaceDE w:val="0"/>
        <w:autoSpaceDN w:val="0"/>
        <w:spacing w:line="360" w:lineRule="auto"/>
        <w:ind w:firstLine="4800" w:firstLineChars="20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投标人名称（电子签章）：                       </w:t>
      </w:r>
    </w:p>
    <w:p>
      <w:pPr>
        <w:autoSpaceDE w:val="0"/>
        <w:autoSpaceDN w:val="0"/>
        <w:spacing w:line="360" w:lineRule="auto"/>
        <w:rPr>
          <w:rFonts w:hint="eastAsia" w:ascii="宋体" w:hAnsi="宋体" w:eastAsia="宋体" w:cs="宋体"/>
          <w:b/>
          <w:bCs/>
          <w:i w:val="0"/>
          <w:iCs w:val="0"/>
          <w:color w:val="auto"/>
          <w:sz w:val="30"/>
          <w:szCs w:val="30"/>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  年  月   日</w:t>
      </w:r>
    </w:p>
    <w:p>
      <w:pPr>
        <w:spacing w:line="360" w:lineRule="auto"/>
        <w:jc w:val="center"/>
        <w:rPr>
          <w:rFonts w:hint="eastAsia" w:ascii="宋体" w:hAnsi="宋体" w:eastAsia="宋体" w:cs="宋体"/>
          <w:b/>
          <w:bCs/>
          <w:i w:val="0"/>
          <w:iCs w:val="0"/>
          <w:color w:val="auto"/>
          <w:sz w:val="30"/>
          <w:szCs w:val="30"/>
          <w:highlight w:val="none"/>
        </w:rPr>
      </w:pPr>
    </w:p>
    <w:p>
      <w:pPr>
        <w:spacing w:line="360" w:lineRule="auto"/>
        <w:jc w:val="center"/>
        <w:rPr>
          <w:rFonts w:hint="eastAsia" w:ascii="宋体" w:hAnsi="宋体" w:eastAsia="宋体" w:cs="宋体"/>
          <w:b/>
          <w:bCs/>
          <w:i w:val="0"/>
          <w:iCs w:val="0"/>
          <w:color w:val="auto"/>
          <w:sz w:val="30"/>
          <w:szCs w:val="30"/>
          <w:highlight w:val="none"/>
        </w:rPr>
      </w:pPr>
    </w:p>
    <w:p>
      <w:pPr>
        <w:spacing w:line="360" w:lineRule="auto"/>
        <w:jc w:val="center"/>
        <w:rPr>
          <w:rFonts w:hint="eastAsia" w:ascii="宋体" w:hAnsi="宋体" w:eastAsia="宋体" w:cs="宋体"/>
          <w:b/>
          <w:bCs/>
          <w:i w:val="0"/>
          <w:iCs w:val="0"/>
          <w:color w:val="auto"/>
          <w:sz w:val="30"/>
          <w:szCs w:val="30"/>
          <w:highlight w:val="none"/>
        </w:rPr>
      </w:pPr>
    </w:p>
    <w:p>
      <w:pPr>
        <w:spacing w:line="360" w:lineRule="auto"/>
        <w:jc w:val="center"/>
        <w:rPr>
          <w:rFonts w:hint="eastAsia" w:ascii="宋体" w:hAnsi="宋体" w:eastAsia="宋体" w:cs="宋体"/>
          <w:b/>
          <w:bCs/>
          <w:i w:val="0"/>
          <w:iCs w:val="0"/>
          <w:color w:val="auto"/>
          <w:sz w:val="30"/>
          <w:szCs w:val="30"/>
          <w:highlight w:val="none"/>
        </w:rPr>
      </w:pPr>
    </w:p>
    <w:p>
      <w:pPr>
        <w:spacing w:line="360" w:lineRule="auto"/>
        <w:jc w:val="center"/>
        <w:rPr>
          <w:rFonts w:hint="eastAsia" w:ascii="宋体" w:hAnsi="宋体" w:eastAsia="宋体" w:cs="宋体"/>
          <w:b/>
          <w:bCs/>
          <w:i w:val="0"/>
          <w:iCs w:val="0"/>
          <w:color w:val="auto"/>
          <w:sz w:val="30"/>
          <w:szCs w:val="30"/>
          <w:highlight w:val="none"/>
        </w:rPr>
      </w:pPr>
    </w:p>
    <w:p>
      <w:pPr>
        <w:spacing w:line="360" w:lineRule="auto"/>
        <w:jc w:val="center"/>
        <w:rPr>
          <w:rFonts w:hint="eastAsia" w:ascii="宋体" w:hAnsi="宋体" w:eastAsia="宋体" w:cs="宋体"/>
          <w:b/>
          <w:i w:val="0"/>
          <w:iCs w:val="0"/>
          <w:color w:val="auto"/>
          <w:kern w:val="0"/>
          <w:sz w:val="30"/>
          <w:szCs w:val="30"/>
          <w:highlight w:val="none"/>
          <w:lang w:val="zh-CN"/>
        </w:rPr>
      </w:pPr>
      <w:r>
        <w:rPr>
          <w:rFonts w:hint="eastAsia" w:ascii="宋体" w:hAnsi="宋体" w:eastAsia="宋体" w:cs="宋体"/>
          <w:b/>
          <w:bCs/>
          <w:i w:val="0"/>
          <w:iCs w:val="0"/>
          <w:color w:val="auto"/>
          <w:sz w:val="30"/>
          <w:szCs w:val="30"/>
          <w:highlight w:val="none"/>
        </w:rPr>
        <w:t>十三、关于</w:t>
      </w:r>
      <w:r>
        <w:rPr>
          <w:rFonts w:hint="eastAsia" w:ascii="宋体" w:hAnsi="宋体" w:eastAsia="宋体" w:cs="宋体"/>
          <w:b/>
          <w:i w:val="0"/>
          <w:iCs w:val="0"/>
          <w:color w:val="auto"/>
          <w:kern w:val="0"/>
          <w:sz w:val="30"/>
          <w:szCs w:val="30"/>
          <w:highlight w:val="none"/>
          <w:lang w:val="zh-CN"/>
        </w:rPr>
        <w:t>对招标文件中有关商务、合同条款的拒绝声明</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（由投标人根据采购需求自行编制）</w:t>
      </w:r>
    </w:p>
    <w:p>
      <w:pPr>
        <w:spacing w:line="360" w:lineRule="auto"/>
        <w:rPr>
          <w:rFonts w:hint="eastAsia" w:ascii="宋体" w:hAnsi="宋体" w:eastAsia="宋体" w:cs="宋体"/>
          <w:i w:val="0"/>
          <w:iCs w:val="0"/>
          <w:color w:val="auto"/>
          <w:sz w:val="24"/>
          <w:highlight w:val="none"/>
        </w:rPr>
      </w:pPr>
    </w:p>
    <w:p>
      <w:pPr>
        <w:autoSpaceDE w:val="0"/>
        <w:autoSpaceDN w:val="0"/>
        <w:spacing w:line="360" w:lineRule="auto"/>
        <w:ind w:firstLine="5040" w:firstLineChars="21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投标人名称（电子签章）：      </w:t>
      </w:r>
    </w:p>
    <w:p>
      <w:pPr>
        <w:autoSpaceDE w:val="0"/>
        <w:autoSpaceDN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spacing w:line="360" w:lineRule="auto"/>
        <w:jc w:val="center"/>
        <w:rPr>
          <w:rFonts w:hint="eastAsia" w:ascii="宋体" w:hAnsi="宋体" w:eastAsia="宋体" w:cs="宋体"/>
          <w:b/>
          <w:bCs/>
          <w:i w:val="0"/>
          <w:iCs w:val="0"/>
          <w:color w:val="auto"/>
          <w:sz w:val="24"/>
          <w:highlight w:val="none"/>
        </w:rPr>
      </w:pPr>
    </w:p>
    <w:p>
      <w:pPr>
        <w:spacing w:line="360" w:lineRule="auto"/>
        <w:jc w:val="center"/>
        <w:rPr>
          <w:rFonts w:hint="eastAsia" w:ascii="宋体" w:hAnsi="宋体" w:eastAsia="宋体" w:cs="宋体"/>
          <w:b/>
          <w:bCs/>
          <w:i w:val="0"/>
          <w:iCs w:val="0"/>
          <w:color w:val="auto"/>
          <w:sz w:val="24"/>
          <w:highlight w:val="none"/>
        </w:rPr>
      </w:pPr>
    </w:p>
    <w:p>
      <w:pPr>
        <w:widowControl/>
        <w:adjustRightInd/>
        <w:spacing w:line="360" w:lineRule="auto"/>
        <w:jc w:val="left"/>
        <w:rPr>
          <w:rFonts w:hint="eastAsia" w:ascii="宋体" w:hAnsi="宋体" w:eastAsia="宋体" w:cs="宋体"/>
          <w:b/>
          <w:bCs/>
          <w:i w:val="0"/>
          <w:iCs w:val="0"/>
          <w:color w:val="auto"/>
          <w:kern w:val="0"/>
          <w:sz w:val="24"/>
          <w:highlight w:val="none"/>
        </w:rPr>
        <w:sectPr>
          <w:pgSz w:w="11906" w:h="16838"/>
          <w:pgMar w:top="1247" w:right="1418" w:bottom="1276" w:left="1418" w:header="851" w:footer="992" w:gutter="0"/>
          <w:pgNumType w:fmt="decimal"/>
          <w:cols w:space="720" w:num="1"/>
        </w:sectPr>
      </w:pPr>
    </w:p>
    <w:p>
      <w:pPr>
        <w:pStyle w:val="4"/>
        <w:keepNext w:val="0"/>
        <w:keepLines w:val="0"/>
        <w:pageBreakBefore/>
        <w:widowControl/>
        <w:numPr>
          <w:ilvl w:val="0"/>
          <w:numId w:val="0"/>
        </w:numPr>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附件</w:t>
      </w:r>
      <w:bookmarkEnd w:id="381"/>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86" w:name="OLE_LINK14"/>
      <w:bookmarkStart w:id="387" w:name="OLE_LINK13"/>
      <w:r>
        <w:rPr>
          <w:rFonts w:hint="eastAsia" w:ascii="宋体" w:hAnsi="宋体" w:eastAsia="宋体" w:cs="宋体"/>
          <w:b/>
          <w:color w:val="auto"/>
          <w:spacing w:val="6"/>
          <w:sz w:val="32"/>
          <w:szCs w:val="32"/>
          <w:highlight w:val="none"/>
        </w:rPr>
        <w:t>残疾人福利性单位声明函</w:t>
      </w:r>
    </w:p>
    <w:bookmarkEnd w:id="386"/>
    <w:bookmarkEnd w:id="387"/>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color w:val="auto"/>
          <w:kern w:val="0"/>
          <w:sz w:val="24"/>
          <w:highlight w:val="none"/>
        </w:rPr>
      </w:pPr>
    </w:p>
    <w:p>
      <w:pPr>
        <w:pStyle w:val="26"/>
        <w:jc w:val="both"/>
        <w:rPr>
          <w:rFonts w:hint="eastAsia" w:ascii="宋体" w:hAnsi="宋体" w:eastAsia="宋体" w:cs="宋体"/>
          <w:b/>
          <w:color w:val="auto"/>
          <w:sz w:val="36"/>
          <w:szCs w:val="36"/>
          <w:highlight w:val="none"/>
        </w:rPr>
      </w:pPr>
    </w:p>
    <w:p>
      <w:pPr>
        <w:jc w:val="left"/>
        <w:rPr>
          <w:rFonts w:hint="eastAsia" w:ascii="宋体" w:hAnsi="宋体" w:eastAsia="宋体" w:cs="宋体"/>
          <w:b/>
          <w:color w:val="auto"/>
          <w:spacing w:val="6"/>
          <w:sz w:val="32"/>
          <w:szCs w:val="32"/>
          <w:highlight w:val="none"/>
        </w:rPr>
      </w:pPr>
    </w:p>
    <w:p>
      <w:pPr>
        <w:jc w:val="left"/>
        <w:rPr>
          <w:rFonts w:hint="eastAsia" w:ascii="宋体" w:hAnsi="宋体" w:eastAsia="宋体" w:cs="宋体"/>
          <w:b/>
          <w:color w:val="auto"/>
          <w:spacing w:val="6"/>
          <w:sz w:val="32"/>
          <w:szCs w:val="32"/>
          <w:highlight w:val="none"/>
        </w:rPr>
      </w:pPr>
    </w:p>
    <w:p>
      <w:pPr>
        <w:jc w:val="left"/>
        <w:rPr>
          <w:rFonts w:hint="eastAsia" w:ascii="宋体" w:hAnsi="宋体" w:eastAsia="宋体" w:cs="宋体"/>
          <w:color w:val="auto"/>
          <w:sz w:val="28"/>
          <w:szCs w:val="28"/>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color w:val="auto"/>
          <w:sz w:val="28"/>
          <w:szCs w:val="28"/>
          <w:highlight w:val="none"/>
        </w:rPr>
        <w:t>：</w:t>
      </w:r>
    </w:p>
    <w:p>
      <w:pPr>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0"/>
          <w:szCs w:val="40"/>
          <w:highlight w:val="none"/>
        </w:rPr>
        <w:t>政府采购融资畅通工程金融机构联系信息表</w:t>
      </w:r>
    </w:p>
    <w:p>
      <w:pPr>
        <w:rPr>
          <w:rFonts w:hint="eastAsia" w:ascii="宋体" w:hAnsi="宋体" w:eastAsia="宋体" w:cs="宋体"/>
          <w:color w:val="auto"/>
          <w:sz w:val="44"/>
          <w:szCs w:val="44"/>
          <w:highlight w:val="none"/>
        </w:rPr>
      </w:pPr>
    </w:p>
    <w:tbl>
      <w:tblPr>
        <w:tblStyle w:val="1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金融机构各称</w:t>
            </w:r>
          </w:p>
        </w:tc>
        <w:tc>
          <w:tcPr>
            <w:tcW w:w="1425"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2444"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tc>
        <w:tc>
          <w:tcPr>
            <w:tcW w:w="2775" w:type="dxa"/>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南</w:t>
            </w:r>
            <w:r>
              <w:rPr>
                <w:rFonts w:hint="eastAsia" w:ascii="宋体" w:hAnsi="宋体" w:eastAsia="宋体" w:cs="宋体"/>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13868003773</w:t>
            </w:r>
          </w:p>
        </w:tc>
        <w:tc>
          <w:tcPr>
            <w:tcW w:w="2775" w:type="dxa"/>
            <w:tcBorders>
              <w:bottom w:val="single" w:color="auto" w:sz="4" w:space="0"/>
            </w:tcBorders>
            <w:vAlign w:val="center"/>
          </w:tcPr>
          <w:p>
            <w:pPr>
              <w:pStyle w:val="17"/>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沈</w:t>
            </w:r>
            <w:r>
              <w:rPr>
                <w:rFonts w:hint="eastAsia" w:ascii="宋体" w:hAnsi="宋体" w:eastAsia="宋体" w:cs="宋体"/>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61092936</w:t>
            </w:r>
          </w:p>
          <w:p>
            <w:pPr>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石镜街777号</w:t>
            </w:r>
          </w:p>
        </w:tc>
      </w:tr>
    </w:tbl>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26"/>
        <w:jc w:val="both"/>
        <w:rPr>
          <w:rFonts w:hint="eastAsia" w:ascii="宋体" w:hAnsi="宋体" w:eastAsia="宋体" w:cs="宋体"/>
          <w:b/>
          <w:color w:val="auto"/>
          <w:sz w:val="36"/>
          <w:szCs w:val="36"/>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10"/>
        <w:rPr>
          <w:rFonts w:hint="eastAsia" w:ascii="宋体" w:hAnsi="宋体" w:eastAsia="宋体" w:cs="宋体"/>
          <w:b/>
          <w:bCs/>
          <w:color w:val="auto"/>
          <w:sz w:val="24"/>
          <w:highlight w:val="none"/>
        </w:rPr>
      </w:pPr>
    </w:p>
    <w:p>
      <w:pPr>
        <w:pStyle w:val="26"/>
        <w:jc w:val="both"/>
        <w:rPr>
          <w:rFonts w:hint="eastAsia" w:ascii="宋体" w:hAnsi="宋体" w:eastAsia="宋体" w:cs="宋体"/>
          <w:b/>
          <w:color w:val="auto"/>
          <w:sz w:val="36"/>
          <w:szCs w:val="36"/>
          <w:highlight w:val="none"/>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_x0003_...销.">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1071FEF"/>
    <w:multiLevelType w:val="multilevel"/>
    <w:tmpl w:val="01071FE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6677F0"/>
    <w:multiLevelType w:val="multilevel"/>
    <w:tmpl w:val="076677F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840361"/>
    <w:multiLevelType w:val="multilevel"/>
    <w:tmpl w:val="07840361"/>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decimal"/>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097D2576"/>
    <w:multiLevelType w:val="multilevel"/>
    <w:tmpl w:val="097D2576"/>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88F5B50"/>
    <w:multiLevelType w:val="multilevel"/>
    <w:tmpl w:val="188F5B5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B8D1822"/>
    <w:multiLevelType w:val="multilevel"/>
    <w:tmpl w:val="1B8D1822"/>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9323AD"/>
    <w:multiLevelType w:val="multilevel"/>
    <w:tmpl w:val="229323AD"/>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24CC6B4F"/>
    <w:multiLevelType w:val="multilevel"/>
    <w:tmpl w:val="24CC6B4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8BE2C8B"/>
    <w:multiLevelType w:val="multilevel"/>
    <w:tmpl w:val="28BE2C8B"/>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CD7630B"/>
    <w:multiLevelType w:val="multilevel"/>
    <w:tmpl w:val="2CD7630B"/>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FDE0C02"/>
    <w:multiLevelType w:val="multilevel"/>
    <w:tmpl w:val="2FDE0C02"/>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1373DFE"/>
    <w:multiLevelType w:val="multilevel"/>
    <w:tmpl w:val="31373DFE"/>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25F313F"/>
    <w:multiLevelType w:val="multilevel"/>
    <w:tmpl w:val="325F313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2B33E45"/>
    <w:multiLevelType w:val="multilevel"/>
    <w:tmpl w:val="32B33E45"/>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B32214A"/>
    <w:multiLevelType w:val="multilevel"/>
    <w:tmpl w:val="3B32214A"/>
    <w:lvl w:ilvl="0" w:tentative="0">
      <w:start w:val="1"/>
      <w:numFmt w:val="decimal"/>
      <w:isLgl/>
      <w:suff w:val="space"/>
      <w:lvlText w:val="第%1章"/>
      <w:lvlJc w:val="left"/>
      <w:pPr>
        <w:ind w:left="0" w:firstLine="0"/>
      </w:pPr>
      <w:rPr>
        <w:rFonts w:hint="eastAsia" w:ascii="宋体" w:hAnsi="宋体" w:eastAsia="宋体"/>
      </w:rPr>
    </w:lvl>
    <w:lvl w:ilvl="1" w:tentative="0">
      <w:start w:val="1"/>
      <w:numFmt w:val="decimal"/>
      <w:isLgl/>
      <w:suff w:val="space"/>
      <w:lvlText w:val="%1.%2"/>
      <w:lvlJc w:val="left"/>
      <w:pPr>
        <w:ind w:left="0" w:firstLine="0"/>
      </w:pPr>
      <w:rPr>
        <w:rFonts w:hint="eastAsia" w:ascii="宋体" w:hAnsi="宋体" w:eastAsia="宋体"/>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isLgl/>
      <w:suff w:val="space"/>
      <w:lvlText w:val="%1.%2.%3.%4"/>
      <w:lvlJc w:val="left"/>
      <w:pPr>
        <w:ind w:left="0" w:firstLine="0"/>
      </w:pPr>
      <w:rPr>
        <w:rFonts w:hint="eastAsia" w:ascii="宋体" w:hAnsi="宋体" w:eastAsia="宋体"/>
      </w:rPr>
    </w:lvl>
    <w:lvl w:ilvl="4" w:tentative="0">
      <w:start w:val="1"/>
      <w:numFmt w:val="decimal"/>
      <w:isLgl/>
      <w:suff w:val="space"/>
      <w:lvlText w:val="（%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ascii="宋体" w:hAnsi="宋体" w:eastAsia="宋体"/>
      </w:rPr>
    </w:lvl>
    <w:lvl w:ilvl="7" w:tentative="0">
      <w:start w:val="1"/>
      <w:numFmt w:val="decimal"/>
      <w:lvlText w:val="%1.%2.%3.%4.%5.%6.%7.%8"/>
      <w:lvlJc w:val="left"/>
      <w:pPr>
        <w:ind w:left="0" w:firstLine="0"/>
      </w:pPr>
      <w:rPr>
        <w:rFonts w:hint="eastAsia" w:ascii="宋体" w:hAnsi="宋体" w:eastAsia="宋体"/>
      </w:rPr>
    </w:lvl>
    <w:lvl w:ilvl="8" w:tentative="0">
      <w:start w:val="1"/>
      <w:numFmt w:val="decimal"/>
      <w:lvlText w:val="%1.%2.%3.%4.%5.%6.%7.%8.%9"/>
      <w:lvlJc w:val="left"/>
      <w:pPr>
        <w:ind w:left="0" w:firstLine="0"/>
      </w:pPr>
      <w:rPr>
        <w:rFonts w:hint="eastAsia" w:ascii="宋体" w:hAnsi="宋体" w:eastAsia="宋体"/>
      </w:rPr>
    </w:lvl>
  </w:abstractNum>
  <w:abstractNum w:abstractNumId="18">
    <w:nsid w:val="407F16B1"/>
    <w:multiLevelType w:val="multilevel"/>
    <w:tmpl w:val="407F16B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6BE2F13"/>
    <w:multiLevelType w:val="multilevel"/>
    <w:tmpl w:val="46BE2F13"/>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1">
    <w:nsid w:val="4E5E28F1"/>
    <w:multiLevelType w:val="multilevel"/>
    <w:tmpl w:val="4E5E28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4EBA7E9A"/>
    <w:multiLevelType w:val="multilevel"/>
    <w:tmpl w:val="4EBA7E9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8E9AE5D"/>
    <w:multiLevelType w:val="singleLevel"/>
    <w:tmpl w:val="58E9AE5D"/>
    <w:lvl w:ilvl="0" w:tentative="0">
      <w:start w:val="3"/>
      <w:numFmt w:val="chineseCounting"/>
      <w:suff w:val="space"/>
      <w:lvlText w:val="第%1部分"/>
      <w:lvlJc w:val="left"/>
      <w:rPr>
        <w:rFonts w:hint="eastAsia"/>
      </w:rPr>
    </w:lvl>
  </w:abstractNum>
  <w:abstractNum w:abstractNumId="24">
    <w:nsid w:val="58FDBFDB"/>
    <w:multiLevelType w:val="singleLevel"/>
    <w:tmpl w:val="58FDBFDB"/>
    <w:lvl w:ilvl="0" w:tentative="0">
      <w:start w:val="5"/>
      <w:numFmt w:val="chineseCounting"/>
      <w:suff w:val="nothing"/>
      <w:lvlText w:val="%1、"/>
      <w:lvlJc w:val="left"/>
      <w:rPr>
        <w:rFonts w:cs="Times New Roman"/>
      </w:rPr>
    </w:lvl>
  </w:abstractNum>
  <w:abstractNum w:abstractNumId="25">
    <w:nsid w:val="5C696806"/>
    <w:multiLevelType w:val="multilevel"/>
    <w:tmpl w:val="5C696806"/>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FB90FD3"/>
    <w:multiLevelType w:val="multilevel"/>
    <w:tmpl w:val="5FB90FD3"/>
    <w:lvl w:ilvl="0" w:tentative="0">
      <w:start w:val="1"/>
      <w:numFmt w:val="chineseCountingThousand"/>
      <w:lvlText w:val="(%1)"/>
      <w:lvlJc w:val="left"/>
      <w:pPr>
        <w:ind w:left="840" w:hanging="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1861834"/>
    <w:multiLevelType w:val="multilevel"/>
    <w:tmpl w:val="61861834"/>
    <w:lvl w:ilvl="0" w:tentative="0">
      <w:start w:val="1"/>
      <w:numFmt w:val="decimal"/>
      <w:isLgl/>
      <w:suff w:val="space"/>
      <w:lvlText w:val="第%1章"/>
      <w:lvlJc w:val="left"/>
      <w:pPr>
        <w:ind w:left="851"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0" w:firstLine="0"/>
      </w:pPr>
      <w:rPr>
        <w:rFonts w:hint="eastAsia"/>
      </w:rPr>
    </w:lvl>
    <w:lvl w:ilvl="3" w:tentative="0">
      <w:start w:val="1"/>
      <w:numFmt w:val="decimal"/>
      <w:pStyle w:val="7"/>
      <w:isLgl/>
      <w:suff w:val="space"/>
      <w:lvlText w:val="%1.%2.%3.%4"/>
      <w:lvlJc w:val="left"/>
      <w:pPr>
        <w:ind w:left="0" w:firstLine="0"/>
      </w:pPr>
      <w:rPr>
        <w:rFonts w:hint="eastAsia"/>
      </w:rPr>
    </w:lvl>
    <w:lvl w:ilvl="4" w:tentative="0">
      <w:start w:val="1"/>
      <w:numFmt w:val="decimal"/>
      <w:isLgl/>
      <w:suff w:val="space"/>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8">
    <w:nsid w:val="6AFA4D4B"/>
    <w:multiLevelType w:val="multilevel"/>
    <w:tmpl w:val="6AFA4D4B"/>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7"/>
  </w:num>
  <w:num w:numId="3">
    <w:abstractNumId w:val="20"/>
  </w:num>
  <w:num w:numId="4">
    <w:abstractNumId w:val="0"/>
  </w:num>
  <w:num w:numId="5">
    <w:abstractNumId w:val="2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8D"/>
    <w:rsid w:val="00892CAC"/>
    <w:rsid w:val="00B8178D"/>
    <w:rsid w:val="00E6625C"/>
    <w:rsid w:val="00F63110"/>
    <w:rsid w:val="01712FC3"/>
    <w:rsid w:val="01BA1B9B"/>
    <w:rsid w:val="022D0195"/>
    <w:rsid w:val="02630FB3"/>
    <w:rsid w:val="02667F8C"/>
    <w:rsid w:val="03036611"/>
    <w:rsid w:val="039319D4"/>
    <w:rsid w:val="063F66CA"/>
    <w:rsid w:val="064A310A"/>
    <w:rsid w:val="06A0055C"/>
    <w:rsid w:val="071430E2"/>
    <w:rsid w:val="07B2669D"/>
    <w:rsid w:val="087711FB"/>
    <w:rsid w:val="089935D4"/>
    <w:rsid w:val="08CC6235"/>
    <w:rsid w:val="09D74605"/>
    <w:rsid w:val="09E24C38"/>
    <w:rsid w:val="0A530E41"/>
    <w:rsid w:val="0A624055"/>
    <w:rsid w:val="0A834D1A"/>
    <w:rsid w:val="0A9351CB"/>
    <w:rsid w:val="0AAD0704"/>
    <w:rsid w:val="0B135B1E"/>
    <w:rsid w:val="0B284BCB"/>
    <w:rsid w:val="0B7F3A5C"/>
    <w:rsid w:val="0BF72242"/>
    <w:rsid w:val="0C3E4083"/>
    <w:rsid w:val="0C6F5726"/>
    <w:rsid w:val="0C777DA0"/>
    <w:rsid w:val="0CD7545D"/>
    <w:rsid w:val="0CE2618B"/>
    <w:rsid w:val="0DC32B70"/>
    <w:rsid w:val="0E170695"/>
    <w:rsid w:val="0E764BD2"/>
    <w:rsid w:val="0F1308AA"/>
    <w:rsid w:val="0F7C5460"/>
    <w:rsid w:val="10220FE3"/>
    <w:rsid w:val="103977B4"/>
    <w:rsid w:val="119B3D81"/>
    <w:rsid w:val="11C27986"/>
    <w:rsid w:val="12685C84"/>
    <w:rsid w:val="129D0DBB"/>
    <w:rsid w:val="139564D3"/>
    <w:rsid w:val="13BC2DB6"/>
    <w:rsid w:val="14123508"/>
    <w:rsid w:val="14273525"/>
    <w:rsid w:val="143217C1"/>
    <w:rsid w:val="14E62D15"/>
    <w:rsid w:val="15565F73"/>
    <w:rsid w:val="156E6684"/>
    <w:rsid w:val="157D1A89"/>
    <w:rsid w:val="15E8117E"/>
    <w:rsid w:val="165C2E84"/>
    <w:rsid w:val="1692695E"/>
    <w:rsid w:val="16F1576B"/>
    <w:rsid w:val="1882531E"/>
    <w:rsid w:val="18AB14C3"/>
    <w:rsid w:val="18FF04B2"/>
    <w:rsid w:val="19A90FCC"/>
    <w:rsid w:val="1AC47BCD"/>
    <w:rsid w:val="1BED34F9"/>
    <w:rsid w:val="1C1735FD"/>
    <w:rsid w:val="1C8D2D9E"/>
    <w:rsid w:val="1D7D27E3"/>
    <w:rsid w:val="1DAF0324"/>
    <w:rsid w:val="1DB356E1"/>
    <w:rsid w:val="1F3829D5"/>
    <w:rsid w:val="1FF1249E"/>
    <w:rsid w:val="200852C4"/>
    <w:rsid w:val="202E15BF"/>
    <w:rsid w:val="20A5369F"/>
    <w:rsid w:val="216310F3"/>
    <w:rsid w:val="21746C6F"/>
    <w:rsid w:val="21914B91"/>
    <w:rsid w:val="2290776F"/>
    <w:rsid w:val="22E42393"/>
    <w:rsid w:val="23796135"/>
    <w:rsid w:val="23C67821"/>
    <w:rsid w:val="23EA4529"/>
    <w:rsid w:val="241F6061"/>
    <w:rsid w:val="24675B39"/>
    <w:rsid w:val="256F6451"/>
    <w:rsid w:val="25F04E93"/>
    <w:rsid w:val="287B09DA"/>
    <w:rsid w:val="28E361C5"/>
    <w:rsid w:val="29372191"/>
    <w:rsid w:val="295F2FE4"/>
    <w:rsid w:val="29CC4591"/>
    <w:rsid w:val="2A0F08EC"/>
    <w:rsid w:val="2B1B54A2"/>
    <w:rsid w:val="2BA406E5"/>
    <w:rsid w:val="2C402CD0"/>
    <w:rsid w:val="2CDE230F"/>
    <w:rsid w:val="2D327241"/>
    <w:rsid w:val="2DB40905"/>
    <w:rsid w:val="2EB012B8"/>
    <w:rsid w:val="2F2C18C6"/>
    <w:rsid w:val="2F3429AE"/>
    <w:rsid w:val="2F4861C6"/>
    <w:rsid w:val="2F50408F"/>
    <w:rsid w:val="30820FB4"/>
    <w:rsid w:val="30AC606B"/>
    <w:rsid w:val="3247674F"/>
    <w:rsid w:val="325B1025"/>
    <w:rsid w:val="330A1A2C"/>
    <w:rsid w:val="33150017"/>
    <w:rsid w:val="33C66352"/>
    <w:rsid w:val="340B0E14"/>
    <w:rsid w:val="34497EF7"/>
    <w:rsid w:val="34C97844"/>
    <w:rsid w:val="353136AB"/>
    <w:rsid w:val="36812601"/>
    <w:rsid w:val="374072F4"/>
    <w:rsid w:val="378062FE"/>
    <w:rsid w:val="38066B51"/>
    <w:rsid w:val="38E42EC4"/>
    <w:rsid w:val="39D30306"/>
    <w:rsid w:val="39D966C0"/>
    <w:rsid w:val="3A0D0454"/>
    <w:rsid w:val="3A51125F"/>
    <w:rsid w:val="3AC13C23"/>
    <w:rsid w:val="3B163FB8"/>
    <w:rsid w:val="3CB96999"/>
    <w:rsid w:val="3DE4707A"/>
    <w:rsid w:val="3DF42CCA"/>
    <w:rsid w:val="3E73027C"/>
    <w:rsid w:val="3EBF5FF3"/>
    <w:rsid w:val="3F1D4D98"/>
    <w:rsid w:val="401B1F17"/>
    <w:rsid w:val="42DC6FA5"/>
    <w:rsid w:val="44575FEF"/>
    <w:rsid w:val="44BE358E"/>
    <w:rsid w:val="455E0E58"/>
    <w:rsid w:val="45CD2286"/>
    <w:rsid w:val="4636052C"/>
    <w:rsid w:val="46B87D5C"/>
    <w:rsid w:val="47745AB5"/>
    <w:rsid w:val="48831E0B"/>
    <w:rsid w:val="48A11443"/>
    <w:rsid w:val="48C6048A"/>
    <w:rsid w:val="48DD1FD6"/>
    <w:rsid w:val="4931667F"/>
    <w:rsid w:val="49BF748B"/>
    <w:rsid w:val="4A6423D5"/>
    <w:rsid w:val="4A7609DE"/>
    <w:rsid w:val="4B175E60"/>
    <w:rsid w:val="4CF802E3"/>
    <w:rsid w:val="4D065F2A"/>
    <w:rsid w:val="4D8114AA"/>
    <w:rsid w:val="4DF37C43"/>
    <w:rsid w:val="4E81072B"/>
    <w:rsid w:val="4F1256B6"/>
    <w:rsid w:val="4F1E0C9B"/>
    <w:rsid w:val="4FAB1DA7"/>
    <w:rsid w:val="4FFB2548"/>
    <w:rsid w:val="50591EE4"/>
    <w:rsid w:val="50C61E07"/>
    <w:rsid w:val="50E05DC1"/>
    <w:rsid w:val="51815D3F"/>
    <w:rsid w:val="51A86FD9"/>
    <w:rsid w:val="51AE7211"/>
    <w:rsid w:val="522A4A23"/>
    <w:rsid w:val="52BE3100"/>
    <w:rsid w:val="53285B64"/>
    <w:rsid w:val="53462460"/>
    <w:rsid w:val="534D07EA"/>
    <w:rsid w:val="54141F51"/>
    <w:rsid w:val="5437630F"/>
    <w:rsid w:val="54D73276"/>
    <w:rsid w:val="54F2111A"/>
    <w:rsid w:val="559F52B8"/>
    <w:rsid w:val="55CC5BE1"/>
    <w:rsid w:val="55E50BFF"/>
    <w:rsid w:val="566536F5"/>
    <w:rsid w:val="56BB0D04"/>
    <w:rsid w:val="57733712"/>
    <w:rsid w:val="5784481B"/>
    <w:rsid w:val="57A73D1A"/>
    <w:rsid w:val="5A5D0F76"/>
    <w:rsid w:val="5B103E8D"/>
    <w:rsid w:val="5BD5662F"/>
    <w:rsid w:val="5C9C0C9A"/>
    <w:rsid w:val="5E20394A"/>
    <w:rsid w:val="5E665DEE"/>
    <w:rsid w:val="5F316D5F"/>
    <w:rsid w:val="5F8C45BF"/>
    <w:rsid w:val="5FBE2001"/>
    <w:rsid w:val="60232CC4"/>
    <w:rsid w:val="610F16BD"/>
    <w:rsid w:val="612A5A24"/>
    <w:rsid w:val="616D6EEF"/>
    <w:rsid w:val="61861F80"/>
    <w:rsid w:val="628A31C9"/>
    <w:rsid w:val="628F5417"/>
    <w:rsid w:val="62EB3B54"/>
    <w:rsid w:val="63A728C8"/>
    <w:rsid w:val="64341E7E"/>
    <w:rsid w:val="64B45569"/>
    <w:rsid w:val="653D09CF"/>
    <w:rsid w:val="655F6911"/>
    <w:rsid w:val="66CB4E6F"/>
    <w:rsid w:val="67811E4A"/>
    <w:rsid w:val="679B6977"/>
    <w:rsid w:val="67D0436A"/>
    <w:rsid w:val="69545357"/>
    <w:rsid w:val="699A2719"/>
    <w:rsid w:val="6A5D042A"/>
    <w:rsid w:val="6AAB3E60"/>
    <w:rsid w:val="6B4730E3"/>
    <w:rsid w:val="6CBF3D5B"/>
    <w:rsid w:val="6CFE1FC2"/>
    <w:rsid w:val="6DAD297B"/>
    <w:rsid w:val="70705223"/>
    <w:rsid w:val="70B25587"/>
    <w:rsid w:val="7100245D"/>
    <w:rsid w:val="7129561A"/>
    <w:rsid w:val="71740C76"/>
    <w:rsid w:val="71AD5A24"/>
    <w:rsid w:val="71F43C43"/>
    <w:rsid w:val="71FE661D"/>
    <w:rsid w:val="7249466A"/>
    <w:rsid w:val="7374673A"/>
    <w:rsid w:val="737B5084"/>
    <w:rsid w:val="741A4541"/>
    <w:rsid w:val="743932A7"/>
    <w:rsid w:val="74684C7C"/>
    <w:rsid w:val="754421F6"/>
    <w:rsid w:val="75724DEF"/>
    <w:rsid w:val="76014109"/>
    <w:rsid w:val="764B1B59"/>
    <w:rsid w:val="768477DC"/>
    <w:rsid w:val="76E618F2"/>
    <w:rsid w:val="76FB32D4"/>
    <w:rsid w:val="76FD2EC9"/>
    <w:rsid w:val="77BA5891"/>
    <w:rsid w:val="77BC4ECB"/>
    <w:rsid w:val="79636E2A"/>
    <w:rsid w:val="798C60CF"/>
    <w:rsid w:val="7A3E4C04"/>
    <w:rsid w:val="7ADB1741"/>
    <w:rsid w:val="7AF349A8"/>
    <w:rsid w:val="7BA50F33"/>
    <w:rsid w:val="7BE1396D"/>
    <w:rsid w:val="7BE27D24"/>
    <w:rsid w:val="7CB56EEE"/>
    <w:rsid w:val="7D817B7C"/>
    <w:rsid w:val="7D97664D"/>
    <w:rsid w:val="7DA81B78"/>
    <w:rsid w:val="7E387245"/>
    <w:rsid w:val="7E631A93"/>
    <w:rsid w:val="7EAE409D"/>
    <w:rsid w:val="7EBB4EAD"/>
    <w:rsid w:val="7F9D1FC1"/>
    <w:rsid w:val="7FBC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b/>
      <w:sz w:val="32"/>
    </w:rPr>
  </w:style>
  <w:style w:type="paragraph" w:styleId="6">
    <w:name w:val="heading 3"/>
    <w:basedOn w:val="1"/>
    <w:next w:val="1"/>
    <w:unhideWhenUsed/>
    <w:qFormat/>
    <w:uiPriority w:val="9"/>
    <w:pPr>
      <w:keepNext/>
      <w:keepLines/>
      <w:numPr>
        <w:ilvl w:val="2"/>
        <w:numId w:val="2"/>
      </w:numPr>
      <w:adjustRightInd w:val="0"/>
      <w:snapToGrid w:val="0"/>
      <w:spacing w:before="156" w:beforeLines="50" w:line="360" w:lineRule="auto"/>
      <w:jc w:val="left"/>
      <w:outlineLvl w:val="2"/>
    </w:pPr>
    <w:rPr>
      <w:rFonts w:asciiTheme="majorHAnsi" w:hAnsiTheme="majorHAnsi"/>
      <w:b/>
      <w:bCs/>
      <w:sz w:val="28"/>
      <w:szCs w:val="32"/>
    </w:rPr>
  </w:style>
  <w:style w:type="paragraph" w:styleId="7">
    <w:name w:val="heading 4"/>
    <w:basedOn w:val="1"/>
    <w:next w:val="1"/>
    <w:unhideWhenUsed/>
    <w:qFormat/>
    <w:uiPriority w:val="9"/>
    <w:pPr>
      <w:keepNext/>
      <w:keepLines/>
      <w:numPr>
        <w:ilvl w:val="3"/>
        <w:numId w:val="2"/>
      </w:numPr>
      <w:adjustRightInd w:val="0"/>
      <w:snapToGrid w:val="0"/>
      <w:spacing w:before="50" w:beforeLines="50" w:line="360" w:lineRule="auto"/>
      <w:jc w:val="left"/>
      <w:outlineLvl w:val="3"/>
    </w:pPr>
    <w:rPr>
      <w:rFonts w:asciiTheme="majorHAnsi" w:hAnsiTheme="majorHAnsi" w:eastAsiaTheme="majorEastAsia"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3">
    <w:name w:val="Body Text Indent"/>
    <w:basedOn w:val="1"/>
    <w:qFormat/>
    <w:uiPriority w:val="0"/>
    <w:pPr>
      <w:spacing w:line="480" w:lineRule="exact"/>
      <w:ind w:firstLine="480" w:firstLineChars="200"/>
    </w:pPr>
    <w:rPr>
      <w:rFonts w:ascii="宋体" w:hAnsi="宋体"/>
      <w:sz w:val="24"/>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next w:val="12"/>
    <w:qFormat/>
    <w:uiPriority w:val="0"/>
    <w:pPr>
      <w:ind w:firstLine="420"/>
    </w:pPr>
    <w:rPr>
      <w:szCs w:val="20"/>
    </w:rPr>
  </w:style>
  <w:style w:type="paragraph" w:styleId="12">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13">
    <w:name w:val="Plain Text"/>
    <w:basedOn w:val="1"/>
    <w:next w:val="1"/>
    <w:qFormat/>
    <w:uiPriority w:val="0"/>
    <w:rPr>
      <w:rFonts w:ascii="宋体" w:hAnsi="Courier New" w:cs="Arial"/>
      <w:snapToGrid w:val="0"/>
      <w:szCs w:val="21"/>
    </w:rPr>
  </w:style>
  <w:style w:type="paragraph" w:styleId="14">
    <w:name w:val="Balloon Text"/>
    <w:basedOn w:val="1"/>
    <w:link w:val="39"/>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paragraph" w:customStyle="1" w:styleId="24">
    <w:name w:val="_Style 2"/>
    <w:basedOn w:val="1"/>
    <w:qFormat/>
    <w:uiPriority w:val="0"/>
    <w:pPr>
      <w:ind w:firstLine="200" w:firstLineChars="200"/>
    </w:pPr>
    <w:rPr>
      <w:rFonts w:ascii="Calibri" w:hAnsi="Calibri"/>
      <w:sz w:val="28"/>
      <w:szCs w:val="22"/>
    </w:rPr>
  </w:style>
  <w:style w:type="paragraph" w:customStyle="1" w:styleId="25">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0"/>
    <w:pPr>
      <w:adjustRightInd/>
      <w:spacing w:line="360" w:lineRule="auto"/>
    </w:pPr>
    <w:rPr>
      <w:rFonts w:ascii="仿宋_GB2312" w:eastAsia="仿宋_GB2312"/>
      <w:sz w:val="24"/>
      <w:szCs w:val="20"/>
    </w:rPr>
  </w:style>
  <w:style w:type="paragraph" w:customStyle="1" w:styleId="32">
    <w:name w:val="纯文本1"/>
    <w:basedOn w:val="1"/>
    <w:qFormat/>
    <w:uiPriority w:val="0"/>
    <w:pPr>
      <w:adjustRightInd/>
    </w:pPr>
    <w:rPr>
      <w:rFonts w:ascii="宋体" w:hAnsi="Courier New"/>
      <w:kern w:val="0"/>
      <w:sz w:val="20"/>
      <w:szCs w:val="20"/>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
    <w:name w:val="样式5"/>
    <w:basedOn w:val="1"/>
    <w:qFormat/>
    <w:uiPriority w:val="0"/>
    <w:pPr>
      <w:spacing w:line="440" w:lineRule="exact"/>
      <w:ind w:left="2" w:firstLine="480" w:firstLineChars="200"/>
    </w:pPr>
    <w:rPr>
      <w:rFonts w:ascii="仿宋_GB2312" w:hAnsi="仿宋" w:eastAsia="仿宋_GB2312"/>
      <w:sz w:val="24"/>
    </w:rPr>
  </w:style>
  <w:style w:type="paragraph" w:styleId="38">
    <w:name w:val="List Paragraph"/>
    <w:basedOn w:val="1"/>
    <w:qFormat/>
    <w:uiPriority w:val="99"/>
    <w:pPr>
      <w:ind w:firstLine="420" w:firstLineChars="200"/>
    </w:pPr>
  </w:style>
  <w:style w:type="character" w:customStyle="1" w:styleId="39">
    <w:name w:val="批注框文本 Char"/>
    <w:basedOn w:val="21"/>
    <w:link w:val="14"/>
    <w:qFormat/>
    <w:uiPriority w:val="0"/>
    <w:rPr>
      <w:rFonts w:ascii="Times New Roman" w:hAnsi="Times New Roman" w:eastAsia="宋体" w:cs="Times New Roman"/>
      <w:kern w:val="2"/>
      <w:sz w:val="18"/>
      <w:szCs w:val="18"/>
    </w:rPr>
  </w:style>
  <w:style w:type="paragraph" w:customStyle="1" w:styleId="40">
    <w:name w:val="Table Paragraph"/>
    <w:basedOn w:val="1"/>
    <w:qFormat/>
    <w:uiPriority w:val="1"/>
    <w:rPr>
      <w:rFonts w:ascii="宋体" w:hAnsi="宋体" w:cs="宋体"/>
      <w:lang w:val="zh-CN" w:bidi="zh-CN"/>
    </w:rPr>
  </w:style>
  <w:style w:type="paragraph" w:customStyle="1" w:styleId="4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Proposals body"/>
    <w:basedOn w:val="1"/>
    <w:next w:val="1"/>
    <w:qFormat/>
    <w:uiPriority w:val="99"/>
    <w:pPr>
      <w:widowControl/>
      <w:spacing w:line="360" w:lineRule="auto"/>
      <w:jc w:val="left"/>
    </w:pPr>
    <w:rPr>
      <w:rFonts w:ascii="宋体" w:hAnsi="Times New Roman"/>
      <w:color w:val="000000"/>
      <w:kern w:val="0"/>
      <w:sz w:val="24"/>
      <w:szCs w:val="20"/>
    </w:rPr>
  </w:style>
  <w:style w:type="paragraph" w:customStyle="1" w:styleId="43">
    <w:name w:val="列表段落1"/>
    <w:basedOn w:val="1"/>
    <w:qFormat/>
    <w:uiPriority w:val="0"/>
    <w:pPr>
      <w:ind w:firstLine="420" w:firstLineChars="200"/>
    </w:pPr>
    <w:rPr>
      <w:rFonts w:ascii="Calibri" w:hAnsi="Calibri" w:eastAsia="宋体" w:cs="Times New Roman"/>
      <w:szCs w:val="21"/>
    </w:rPr>
  </w:style>
  <w:style w:type="paragraph" w:customStyle="1" w:styleId="44">
    <w:name w:val="列表段落2"/>
    <w:basedOn w:val="1"/>
    <w:qFormat/>
    <w:uiPriority w:val="0"/>
    <w:pPr>
      <w:spacing w:line="360" w:lineRule="auto"/>
      <w:ind w:firstLine="420" w:firstLineChars="200"/>
    </w:pPr>
    <w:rPr>
      <w:rFonts w:ascii="Calibri" w:hAnsi="Calibri" w:eastAsia="宋体" w:cs="Times New Roman"/>
      <w:szCs w:val="21"/>
    </w:rPr>
  </w:style>
  <w:style w:type="paragraph" w:customStyle="1" w:styleId="45">
    <w:name w:val="_正文段落"/>
    <w:basedOn w:val="13"/>
    <w:qFormat/>
    <w:uiPriority w:val="0"/>
    <w:pPr>
      <w:spacing w:beforeLines="15" w:afterLines="30" w:line="360" w:lineRule="auto"/>
      <w:ind w:firstLine="200" w:firstLineChars="200"/>
    </w:pPr>
    <w:rPr>
      <w:rFonts w:cs="Times New Roman"/>
      <w:sz w:val="24"/>
      <w:szCs w:val="24"/>
    </w:rPr>
  </w:style>
  <w:style w:type="paragraph" w:customStyle="1" w:styleId="46">
    <w:name w:val="04-正文"/>
    <w:basedOn w:val="1"/>
    <w:qFormat/>
    <w:uiPriority w:val="0"/>
    <w:pPr>
      <w:spacing w:line="360" w:lineRule="exact"/>
      <w:ind w:firstLine="482"/>
    </w:pPr>
    <w:rPr>
      <w:rFonts w:ascii="Calibri" w:hAnsi="Calibri" w:eastAsia="仿宋"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169</Pages>
  <Words>25905</Words>
  <Characters>147664</Characters>
  <Lines>1230</Lines>
  <Paragraphs>346</Paragraphs>
  <TotalTime>81</TotalTime>
  <ScaleCrop>false</ScaleCrop>
  <LinksUpToDate>false</LinksUpToDate>
  <CharactersWithSpaces>173223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宣婧</cp:lastModifiedBy>
  <cp:lastPrinted>2021-04-20T08:56:00Z</cp:lastPrinted>
  <dcterms:modified xsi:type="dcterms:W3CDTF">2021-10-14T02:45:25Z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4576202A4BBD4EF9BF1C3DB544F47CE9</vt:lpwstr>
  </property>
</Properties>
</file>