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 xml:space="preserve"> </w:t>
      </w: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sz w:val="48"/>
          <w:szCs w:val="48"/>
          <w:lang w:val="en-US" w:eastAsia="zh-CN"/>
        </w:rPr>
      </w:pPr>
      <w:r>
        <w:rPr>
          <w:rFonts w:hint="eastAsia" w:ascii="宋体" w:hAnsi="宋体" w:cs="宋体"/>
          <w:sz w:val="48"/>
          <w:szCs w:val="48"/>
          <w:lang w:val="en-US" w:eastAsia="zh-CN"/>
        </w:rPr>
        <w:t>2024年中泰街道违法建筑、不雅建筑零星拆除作业服务项目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default"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cs="宋体"/>
          <w:sz w:val="30"/>
          <w:szCs w:val="30"/>
        </w:rPr>
        <w:t>编号:</w:t>
      </w:r>
      <w:r>
        <w:rPr>
          <w:rFonts w:hint="eastAsia" w:ascii="宋体" w:hAnsi="宋体" w:cs="宋体"/>
          <w:color w:val="000000" w:themeColor="text1"/>
          <w:sz w:val="30"/>
          <w:szCs w:val="30"/>
          <w:lang w:val="en-US" w:eastAsia="zh-CN"/>
          <w14:textFill>
            <w14:solidFill>
              <w14:schemeClr w14:val="tx1"/>
            </w14:solidFill>
          </w14:textFill>
        </w:rPr>
        <w:t>MDZFCG-2024-003</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360" w:lineRule="auto"/>
        <w:jc w:val="center"/>
        <w:rPr>
          <w:rFonts w:hint="eastAsia" w:ascii="仿宋" w:hAnsi="仿宋" w:eastAsia="仿宋" w:cs="仿宋"/>
          <w:sz w:val="32"/>
          <w:szCs w:val="32"/>
          <w:lang w:eastAsia="zh-CN"/>
        </w:rPr>
      </w:pPr>
      <w:r>
        <w:rPr>
          <w:rFonts w:hint="eastAsia" w:ascii="仿宋" w:hAnsi="仿宋" w:eastAsia="仿宋" w:cs="仿宋"/>
          <w:color w:val="auto"/>
          <w:sz w:val="32"/>
          <w:szCs w:val="32"/>
        </w:rPr>
        <w:t>采购人：</w:t>
      </w:r>
      <w:r>
        <w:rPr>
          <w:rFonts w:hint="eastAsia" w:ascii="仿宋" w:hAnsi="仿宋" w:eastAsia="仿宋" w:cs="仿宋"/>
          <w:sz w:val="32"/>
          <w:szCs w:val="32"/>
          <w:lang w:eastAsia="zh-CN"/>
        </w:rPr>
        <w:t>杭州市余杭区人民政府</w:t>
      </w:r>
      <w:r>
        <w:rPr>
          <w:rFonts w:hint="eastAsia" w:ascii="仿宋" w:hAnsi="仿宋" w:eastAsia="仿宋" w:cs="仿宋"/>
          <w:sz w:val="32"/>
          <w:szCs w:val="32"/>
          <w:lang w:val="en-US" w:eastAsia="zh-CN"/>
        </w:rPr>
        <w:t>中泰</w:t>
      </w:r>
      <w:r>
        <w:rPr>
          <w:rFonts w:hint="eastAsia" w:ascii="仿宋" w:hAnsi="仿宋" w:eastAsia="仿宋" w:cs="仿宋"/>
          <w:sz w:val="32"/>
          <w:szCs w:val="32"/>
          <w:lang w:eastAsia="zh-CN"/>
        </w:rPr>
        <w:t>街道办事处</w:t>
      </w:r>
    </w:p>
    <w:p>
      <w:pPr>
        <w:pStyle w:val="5"/>
        <w:ind w:left="808" w:leftChars="385" w:firstLine="304" w:firstLineChars="95"/>
      </w:pPr>
      <w:r>
        <w:rPr>
          <w:rFonts w:hint="eastAsia" w:ascii="仿宋" w:hAnsi="仿宋" w:eastAsia="仿宋" w:cs="仿宋"/>
          <w:b w:val="0"/>
          <w:bCs w:val="0"/>
          <w:color w:val="auto"/>
          <w:kern w:val="2"/>
          <w:sz w:val="32"/>
          <w:szCs w:val="32"/>
          <w:lang w:val="en-US" w:eastAsia="zh-CN" w:bidi="ar-SA"/>
        </w:rPr>
        <w:t>采购代理机构：杭州鸣达建设工程管理咨询有限公司</w:t>
      </w:r>
    </w:p>
    <w:p>
      <w:pPr>
        <w:spacing w:line="360" w:lineRule="auto"/>
        <w:jc w:val="center"/>
        <w:rPr>
          <w:rFonts w:ascii="宋体" w:hAnsi="宋体" w:cs="宋体"/>
          <w:sz w:val="24"/>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二</w:t>
      </w:r>
      <w:r>
        <w:rPr>
          <w:rFonts w:hint="eastAsia" w:ascii="宋体" w:hAnsi="宋体" w:cs="宋体"/>
          <w:bCs/>
          <w:color w:val="000000" w:themeColor="text1"/>
          <w:sz w:val="32"/>
          <w:szCs w:val="32"/>
          <w14:textFill>
            <w14:solidFill>
              <w14:schemeClr w14:val="tx1"/>
            </w14:solidFill>
          </w14:textFill>
        </w:rPr>
        <w:t>月</w:t>
      </w:r>
      <w:r>
        <w:rPr>
          <w:rFonts w:hint="eastAsia" w:ascii="宋体" w:hAnsi="宋体" w:cs="宋体"/>
          <w:sz w:val="24"/>
        </w:rPr>
        <w:br w:type="page"/>
      </w:r>
      <w:bookmarkStart w:id="0" w:name="_Hlt67893495"/>
      <w:bookmarkEnd w:id="0"/>
    </w:p>
    <w:p>
      <w:pPr>
        <w:pStyle w:val="638"/>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val="en-US" w:eastAsia="zh-CN"/>
        </w:rPr>
        <w:t>2024年中泰街道违法建筑、不雅建筑零星拆除作业服务项目</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kern w:val="2"/>
          <w:sz w:val="24"/>
          <w:szCs w:val="24"/>
        </w:rPr>
        <w:t>https://www.zcygov.cn/）获取（下载）招标文件，并于202</w:t>
      </w:r>
      <w:r>
        <w:rPr>
          <w:rStyle w:val="76"/>
          <w:rFonts w:hint="eastAsia" w:ascii="宋体" w:hAnsi="宋体" w:cs="宋体"/>
          <w:snapToGrid/>
          <w:kern w:val="2"/>
          <w:sz w:val="24"/>
          <w:szCs w:val="24"/>
          <w:lang w:val="en-US" w:eastAsia="zh-CN"/>
        </w:rPr>
        <w:t>4</w:t>
      </w:r>
      <w:r>
        <w:rPr>
          <w:rStyle w:val="76"/>
          <w:rFonts w:hint="eastAsia" w:ascii="宋体" w:hAnsi="宋体" w:eastAsia="宋体" w:cs="宋体"/>
          <w:snapToGrid/>
          <w:kern w:val="2"/>
          <w:sz w:val="24"/>
          <w:szCs w:val="24"/>
        </w:rPr>
        <w:t>年</w:t>
      </w:r>
      <w:r>
        <w:rPr>
          <w:rStyle w:val="76"/>
          <w:rFonts w:hint="eastAsia" w:ascii="宋体" w:hAnsi="宋体" w:cs="宋体"/>
          <w:snapToGrid/>
          <w:kern w:val="2"/>
          <w:sz w:val="24"/>
          <w:szCs w:val="24"/>
          <w:lang w:val="en-US" w:eastAsia="zh-CN"/>
        </w:rPr>
        <w:t>3</w:t>
      </w:r>
      <w:r>
        <w:rPr>
          <w:rStyle w:val="76"/>
          <w:rFonts w:hint="eastAsia" w:ascii="宋体" w:hAnsi="宋体" w:eastAsia="宋体" w:cs="宋体"/>
          <w:snapToGrid/>
          <w:kern w:val="2"/>
          <w:sz w:val="24"/>
          <w:szCs w:val="24"/>
        </w:rPr>
        <w:t>月</w:t>
      </w:r>
      <w:r>
        <w:rPr>
          <w:rStyle w:val="76"/>
          <w:rFonts w:hint="eastAsia" w:ascii="宋体" w:hAnsi="宋体" w:cs="宋体"/>
          <w:snapToGrid/>
          <w:kern w:val="2"/>
          <w:sz w:val="24"/>
          <w:szCs w:val="24"/>
          <w:lang w:val="en-US" w:eastAsia="zh-CN"/>
        </w:rPr>
        <w:t>19</w:t>
      </w:r>
      <w:r>
        <w:rPr>
          <w:rStyle w:val="76"/>
          <w:rFonts w:hint="eastAsia" w:ascii="宋体" w:hAnsi="宋体" w:eastAsia="宋体" w:cs="宋体"/>
          <w:snapToGrid/>
          <w:kern w:val="2"/>
          <w:sz w:val="24"/>
          <w:szCs w:val="24"/>
        </w:rPr>
        <w:t>日</w:t>
      </w:r>
      <w:r>
        <w:rPr>
          <w:rStyle w:val="76"/>
          <w:rFonts w:hint="eastAsia" w:ascii="宋体" w:hAnsi="宋体" w:cs="宋体"/>
          <w:snapToGrid/>
          <w:kern w:val="2"/>
          <w:sz w:val="24"/>
          <w:szCs w:val="24"/>
          <w:lang w:val="en-US" w:eastAsia="zh-CN"/>
        </w:rPr>
        <w:t>13</w:t>
      </w:r>
      <w:r>
        <w:rPr>
          <w:rStyle w:val="76"/>
          <w:rFonts w:hint="eastAsia" w:ascii="宋体" w:hAnsi="宋体" w:eastAsia="宋体" w:cs="宋体"/>
          <w:snapToGrid/>
          <w:kern w:val="2"/>
          <w:sz w:val="24"/>
          <w:szCs w:val="24"/>
        </w:rPr>
        <w:t>点</w:t>
      </w:r>
      <w:r>
        <w:rPr>
          <w:rStyle w:val="76"/>
          <w:rFonts w:hint="eastAsia" w:ascii="宋体" w:hAnsi="宋体" w:cs="宋体"/>
          <w:snapToGrid/>
          <w:kern w:val="2"/>
          <w:sz w:val="24"/>
          <w:szCs w:val="24"/>
          <w:lang w:val="en-US" w:eastAsia="zh-CN"/>
        </w:rPr>
        <w:t>30</w:t>
      </w:r>
      <w:r>
        <w:rPr>
          <w:rStyle w:val="76"/>
          <w:rFonts w:hint="eastAsia" w:ascii="宋体" w:hAnsi="宋体" w:eastAsia="宋体" w:cs="宋体"/>
          <w:snapToGrid/>
          <w:kern w:val="2"/>
          <w:sz w:val="24"/>
          <w:szCs w:val="24"/>
        </w:rPr>
        <w:t>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000000" w:themeColor="text1"/>
          <w:sz w:val="24"/>
          <w:lang w:val="en-US" w:eastAsia="zh-CN"/>
          <w14:textFill>
            <w14:solidFill>
              <w14:schemeClr w14:val="tx1"/>
            </w14:solidFill>
          </w14:textFill>
        </w:rPr>
        <w:t>MDZFCG-2024-003</w:t>
      </w:r>
    </w:p>
    <w:p>
      <w:pPr>
        <w:spacing w:line="360" w:lineRule="auto"/>
        <w:ind w:firstLine="480"/>
        <w:rPr>
          <w:rFonts w:hint="eastAsia" w:ascii="宋体" w:hAnsi="宋体" w:cs="宋体"/>
          <w:b/>
          <w:sz w:val="24"/>
        </w:rPr>
      </w:pPr>
      <w:r>
        <w:rPr>
          <w:rFonts w:hint="eastAsia" w:ascii="宋体" w:hAnsi="宋体" w:cs="宋体"/>
          <w:b/>
          <w:sz w:val="24"/>
        </w:rPr>
        <w:t>项目名称：</w:t>
      </w:r>
      <w:r>
        <w:rPr>
          <w:rFonts w:hint="eastAsia" w:ascii="宋体" w:hAnsi="宋体" w:cs="宋体"/>
          <w:b/>
          <w:sz w:val="24"/>
          <w:lang w:val="en-US" w:eastAsia="zh-CN"/>
        </w:rPr>
        <w:t>2024年中泰街道违法建筑、不雅建筑零星拆除作业服务项目</w:t>
      </w:r>
      <w:r>
        <w:rPr>
          <w:rFonts w:hint="eastAsia" w:ascii="宋体" w:hAnsi="宋体" w:cs="宋体"/>
          <w:sz w:val="24"/>
        </w:rPr>
        <w:t xml:space="preserve">   </w:t>
      </w:r>
      <w:r>
        <w:rPr>
          <w:rFonts w:hint="eastAsia" w:ascii="宋体" w:hAnsi="宋体" w:cs="宋体"/>
          <w:b/>
          <w:sz w:val="24"/>
        </w:rPr>
        <w:t xml:space="preserve"> </w:t>
      </w:r>
    </w:p>
    <w:p>
      <w:pPr>
        <w:spacing w:line="360" w:lineRule="auto"/>
        <w:ind w:firstLine="480"/>
        <w:rPr>
          <w:rFonts w:hint="default" w:ascii="宋体" w:hAnsi="宋体" w:cs="宋体"/>
          <w:sz w:val="24"/>
          <w:lang w:val="en-US"/>
        </w:rPr>
      </w:pPr>
      <w:r>
        <w:rPr>
          <w:rFonts w:hint="eastAsia" w:ascii="宋体" w:hAnsi="宋体" w:cs="宋体"/>
          <w:b/>
          <w:sz w:val="24"/>
        </w:rPr>
        <w:t>预算金额（元）：</w:t>
      </w:r>
      <w:r>
        <w:rPr>
          <w:rFonts w:hint="eastAsia" w:ascii="宋体" w:hAnsi="宋体" w:cs="宋体"/>
          <w:b/>
          <w:sz w:val="24"/>
          <w:lang w:val="en-US" w:eastAsia="zh-CN"/>
        </w:rPr>
        <w:t>3500000</w:t>
      </w:r>
    </w:p>
    <w:p>
      <w:pPr>
        <w:spacing w:line="360" w:lineRule="auto"/>
        <w:ind w:firstLine="480"/>
        <w:rPr>
          <w:rFonts w:hint="default" w:ascii="宋体" w:hAnsi="宋体" w:eastAsia="宋体" w:cs="宋体"/>
          <w:sz w:val="24"/>
          <w:lang w:val="en-US" w:eastAsia="zh-CN"/>
        </w:rPr>
      </w:pPr>
      <w:r>
        <w:rPr>
          <w:rFonts w:hint="eastAsia" w:ascii="宋体" w:hAnsi="宋体" w:cs="宋体"/>
          <w:b/>
          <w:sz w:val="24"/>
        </w:rPr>
        <w:t>最高限价（元）：</w:t>
      </w:r>
      <w:r>
        <w:rPr>
          <w:rFonts w:hint="eastAsia" w:ascii="宋体" w:hAnsi="宋体" w:cs="宋体"/>
          <w:b/>
          <w:sz w:val="24"/>
          <w:lang w:val="en-US" w:eastAsia="zh-CN"/>
        </w:rPr>
        <w:t>3500000</w:t>
      </w:r>
    </w:p>
    <w:p>
      <w:pPr>
        <w:pStyle w:val="6"/>
        <w:spacing w:line="360" w:lineRule="auto"/>
        <w:ind w:firstLine="480"/>
        <w:rPr>
          <w:rFonts w:hint="default" w:eastAsiaTheme="minorEastAsia"/>
          <w:lang w:val="en-US" w:eastAsia="zh-CN"/>
        </w:rPr>
      </w:pPr>
      <w:r>
        <w:rPr>
          <w:rFonts w:hint="eastAsia" w:hAnsi="宋体" w:cs="宋体"/>
          <w:b/>
          <w:color w:val="auto"/>
          <w:sz w:val="24"/>
        </w:rPr>
        <w:t>采购需求：</w:t>
      </w:r>
      <w:r>
        <w:rPr>
          <w:rFonts w:hint="eastAsia" w:hAnsi="宋体" w:cs="宋体"/>
          <w:b/>
          <w:color w:val="auto"/>
          <w:sz w:val="24"/>
          <w:lang w:val="en-US" w:eastAsia="zh-CN"/>
        </w:rPr>
        <w:t>2024年中泰街道违法建筑、不雅建筑零星拆除作业服务项目</w:t>
      </w:r>
      <w:r>
        <w:rPr>
          <w:rFonts w:hint="eastAsia" w:hAnsi="宋体" w:cs="宋体"/>
          <w:bCs/>
          <w:snapToGrid/>
          <w:color w:val="auto"/>
          <w:kern w:val="2"/>
          <w:sz w:val="24"/>
          <w:szCs w:val="24"/>
        </w:rPr>
        <w:t xml:space="preserve">主要内容： </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2"/>
        <w:ind w:firstLine="482"/>
        <w:outlineLvl w:val="2"/>
        <w:rPr>
          <w:rFonts w:ascii="宋体" w:hAnsi="宋体" w:cs="宋体"/>
        </w:rPr>
      </w:pPr>
      <w:r>
        <w:rPr>
          <w:rFonts w:hint="eastAsia" w:ascii="宋体" w:hAnsi="宋体" w:cs="宋体"/>
          <w:b/>
        </w:rPr>
        <w:t>合同履约期限：</w:t>
      </w:r>
      <w:r>
        <w:rPr>
          <w:rFonts w:hint="eastAsia" w:ascii="宋体" w:hAnsi="宋体" w:cs="宋体"/>
          <w:b/>
          <w:lang w:val="en-US" w:eastAsia="zh-CN"/>
        </w:rPr>
        <w:t>一年</w:t>
      </w:r>
      <w:r>
        <w:rPr>
          <w:rFonts w:ascii="宋体" w:hAnsi="宋体" w:cs="宋体"/>
        </w:rPr>
        <w:t xml:space="preserve">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33685401"/>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szCs w:val="24"/>
              <w:lang w:val="en-US" w:eastAsia="zh-CN" w:bidi="ar-SA"/>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rPr>
          <w:rFonts w:ascii="宋体" w:hAnsi="宋体" w:cs="宋体"/>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color w:val="000000" w:themeColor="text1"/>
          <w:sz w:val="24"/>
          <w:lang w:val="en-US" w:eastAsia="zh-CN"/>
          <w14:textFill>
            <w14:solidFill>
              <w14:schemeClr w14:val="tx1"/>
            </w14:solidFill>
          </w14:textFill>
        </w:rPr>
        <w:t>无</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3</w:t>
      </w:r>
      <w:r>
        <w:rPr>
          <w:rFonts w:hint="eastAsia" w:ascii="宋体" w:hAnsi="宋体" w:cs="宋体"/>
          <w:color w:val="FF0000"/>
          <w:sz w:val="24"/>
          <w:u w:val="single"/>
        </w:rPr>
        <w:t>月</w:t>
      </w:r>
      <w:r>
        <w:rPr>
          <w:rFonts w:hint="eastAsia" w:ascii="宋体" w:hAnsi="宋体" w:cs="宋体"/>
          <w:color w:val="FF0000"/>
          <w:sz w:val="24"/>
          <w:u w:val="single"/>
          <w:lang w:val="en-US" w:eastAsia="zh-CN"/>
        </w:rPr>
        <w:t>19</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FF0000"/>
          <w:sz w:val="24"/>
          <w:u w:val="single"/>
        </w:rPr>
        <w:t xml:space="preserve"> 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3</w:t>
      </w:r>
      <w:r>
        <w:rPr>
          <w:rFonts w:hint="eastAsia" w:ascii="宋体" w:hAnsi="宋体" w:cs="宋体"/>
          <w:color w:val="FF0000"/>
          <w:sz w:val="24"/>
          <w:u w:val="single"/>
        </w:rPr>
        <w:t>月</w:t>
      </w:r>
      <w:r>
        <w:rPr>
          <w:rFonts w:hint="eastAsia" w:ascii="宋体" w:hAnsi="宋体" w:cs="宋体"/>
          <w:color w:val="FF0000"/>
          <w:sz w:val="24"/>
          <w:u w:val="single"/>
          <w:lang w:val="en-US" w:eastAsia="zh-CN"/>
        </w:rPr>
        <w:t>19</w:t>
      </w:r>
      <w:r>
        <w:rPr>
          <w:rFonts w:hint="eastAsia" w:ascii="宋体" w:hAnsi="宋体" w:cs="宋体"/>
          <w:color w:val="FF0000"/>
          <w:sz w:val="24"/>
          <w:u w:val="single"/>
        </w:rPr>
        <w:t>日</w:t>
      </w:r>
      <w:r>
        <w:rPr>
          <w:rFonts w:hint="eastAsia" w:ascii="宋体" w:hAnsi="宋体" w:cs="宋体"/>
          <w:color w:val="FF0000"/>
          <w:sz w:val="24"/>
          <w:u w:val="single"/>
          <w:lang w:val="en-US" w:eastAsia="zh-CN"/>
        </w:rPr>
        <w:t>13</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4</w:t>
      </w:r>
      <w:r>
        <w:rPr>
          <w:rFonts w:hint="eastAsia" w:ascii="宋体" w:hAnsi="宋体" w:cs="宋体"/>
          <w:color w:val="FF0000"/>
          <w:sz w:val="24"/>
          <w:u w:val="single"/>
        </w:rPr>
        <w:t>年</w:t>
      </w:r>
      <w:r>
        <w:rPr>
          <w:rFonts w:hint="eastAsia" w:ascii="宋体" w:hAnsi="宋体" w:cs="宋体"/>
          <w:color w:val="FF0000"/>
          <w:sz w:val="24"/>
          <w:u w:val="single"/>
          <w:lang w:val="en-US" w:eastAsia="zh-CN"/>
        </w:rPr>
        <w:t>3</w:t>
      </w:r>
      <w:r>
        <w:rPr>
          <w:rFonts w:hint="eastAsia" w:ascii="宋体" w:hAnsi="宋体" w:cs="宋体"/>
          <w:color w:val="FF0000"/>
          <w:sz w:val="24"/>
          <w:u w:val="single"/>
        </w:rPr>
        <w:t>月</w:t>
      </w:r>
      <w:r>
        <w:rPr>
          <w:rFonts w:hint="eastAsia" w:ascii="宋体" w:hAnsi="宋体" w:cs="宋体"/>
          <w:color w:val="FF0000"/>
          <w:sz w:val="24"/>
          <w:u w:val="single"/>
          <w:lang w:val="en-US" w:eastAsia="zh-CN"/>
        </w:rPr>
        <w:t>19</w:t>
      </w:r>
      <w:r>
        <w:rPr>
          <w:rFonts w:hint="eastAsia" w:ascii="宋体" w:hAnsi="宋体" w:cs="宋体"/>
          <w:color w:val="FF0000"/>
          <w:sz w:val="24"/>
          <w:u w:val="single"/>
        </w:rPr>
        <w:t>日</w:t>
      </w:r>
      <w:r>
        <w:rPr>
          <w:rFonts w:hint="eastAsia" w:ascii="宋体" w:hAnsi="宋体" w:cs="宋体"/>
          <w:color w:val="FF0000"/>
          <w:sz w:val="24"/>
          <w:u w:val="single"/>
          <w:lang w:val="en-US" w:eastAsia="zh-CN"/>
        </w:rPr>
        <w:t>13</w:t>
      </w:r>
      <w:r>
        <w:rPr>
          <w:rFonts w:hint="eastAsia" w:ascii="宋体" w:hAnsi="宋体" w:cs="宋体"/>
          <w:color w:val="FF0000"/>
          <w:sz w:val="24"/>
          <w:u w:val="single"/>
        </w:rPr>
        <w:t>点</w:t>
      </w:r>
      <w:r>
        <w:rPr>
          <w:rFonts w:hint="eastAsia" w:ascii="宋体" w:hAnsi="宋体" w:cs="宋体"/>
          <w:color w:val="FF0000"/>
          <w:sz w:val="24"/>
          <w:u w:val="single"/>
          <w:lang w:val="en-US" w:eastAsia="zh-CN"/>
        </w:rPr>
        <w:t>30</w:t>
      </w:r>
      <w:r>
        <w:rPr>
          <w:rFonts w:hint="eastAsia" w:ascii="宋体" w:hAnsi="宋体" w:cs="宋体"/>
          <w:color w:val="FF0000"/>
          <w:sz w:val="24"/>
          <w:u w:val="single"/>
        </w:rPr>
        <w:t>分00秒</w:t>
      </w:r>
      <w:r>
        <w:rPr>
          <w:rFonts w:hint="eastAsia" w:ascii="宋体" w:hAnsi="宋体" w:cs="宋体"/>
          <w:bCs/>
          <w:color w:val="FF0000"/>
          <w:sz w:val="24"/>
          <w:u w:val="single"/>
        </w:rPr>
        <w:t xml:space="preserve"> </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sz w:val="24"/>
        </w:rPr>
        <w:t xml:space="preserve">   </w:t>
      </w:r>
      <w:r>
        <w:rPr>
          <w:rFonts w:hint="eastAsia" w:ascii="宋体" w:hAnsi="宋体" w:cs="宋体"/>
          <w:color w:val="000000" w:themeColor="text1"/>
          <w:sz w:val="24"/>
          <w14:textFill>
            <w14:solidFill>
              <w14:schemeClr w14:val="tx1"/>
            </w14:solidFill>
          </w14:textFill>
        </w:rPr>
        <w:t xml:space="preserve"> 名    称：</w:t>
      </w:r>
      <w:r>
        <w:rPr>
          <w:rFonts w:hint="eastAsia" w:ascii="宋体" w:hAnsi="宋体" w:cs="宋体"/>
          <w:color w:val="000000" w:themeColor="text1"/>
          <w:sz w:val="24"/>
          <w:lang w:eastAsia="zh-CN"/>
          <w14:textFill>
            <w14:solidFill>
              <w14:schemeClr w14:val="tx1"/>
            </w14:solidFill>
          </w14:textFill>
        </w:rPr>
        <w:t>杭州市余杭区人民政府中泰街道办事处</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 </w:t>
      </w:r>
      <w:r>
        <w:rPr>
          <w:rFonts w:hint="eastAsia" w:ascii="宋体" w:hAnsi="宋体" w:cs="宋体"/>
          <w:color w:val="000000" w:themeColor="text1"/>
          <w:sz w:val="24"/>
          <w:lang w:eastAsia="zh-CN"/>
          <w14:textFill>
            <w14:solidFill>
              <w14:schemeClr w14:val="tx1"/>
            </w14:solidFill>
          </w14:textFill>
        </w:rPr>
        <w:t>杭州市余杭区中泰街道杭泰路158号</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    真：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项目联系人（询问）：李华岗</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项目联系方式（询问）：0571-88636302 </w:t>
      </w:r>
    </w:p>
    <w:p>
      <w:pPr>
        <w:spacing w:line="360" w:lineRule="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质疑联系人：干丽强</w:t>
      </w:r>
    </w:p>
    <w:p>
      <w:pPr>
        <w:spacing w:line="360" w:lineRule="auto"/>
        <w:ind w:firstLine="480" w:firstLineChars="2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质疑联系方式：15924100592</w:t>
      </w:r>
    </w:p>
    <w:p>
      <w:pPr>
        <w:spacing w:line="360" w:lineRule="auto"/>
        <w:ind w:firstLine="48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hint="eastAsia" w:ascii="宋体" w:hAnsi="宋体" w:cs="宋体"/>
          <w:sz w:val="24"/>
        </w:rPr>
      </w:pPr>
      <w:r>
        <w:rPr>
          <w:rFonts w:hint="eastAsia" w:ascii="宋体" w:hAnsi="宋体" w:cs="宋体"/>
          <w:sz w:val="24"/>
        </w:rPr>
        <w:t>名    称：</w:t>
      </w:r>
      <w:r>
        <w:rPr>
          <w:rFonts w:hint="eastAsia" w:ascii="宋体" w:hAnsi="宋体" w:cs="宋体"/>
          <w:sz w:val="24"/>
          <w:lang w:eastAsia="zh-CN"/>
        </w:rPr>
        <w:t>杭州鸣达建设工程管理咨询有限公司</w:t>
      </w:r>
    </w:p>
    <w:p>
      <w:pPr>
        <w:spacing w:line="360" w:lineRule="auto"/>
        <w:ind w:firstLine="480" w:firstLineChars="200"/>
        <w:rPr>
          <w:rFonts w:hint="eastAsia" w:ascii="宋体" w:hAnsi="宋体" w:cs="宋体"/>
          <w:sz w:val="24"/>
        </w:rPr>
      </w:pPr>
      <w:r>
        <w:rPr>
          <w:rFonts w:hint="eastAsia" w:ascii="宋体" w:hAnsi="宋体" w:cs="宋体"/>
          <w:sz w:val="24"/>
        </w:rPr>
        <w:t>地    址：</w:t>
      </w:r>
      <w:r>
        <w:rPr>
          <w:rFonts w:hint="eastAsia" w:ascii="宋体" w:hAnsi="宋体" w:cs="宋体"/>
          <w:sz w:val="24"/>
          <w:lang w:eastAsia="zh-CN"/>
        </w:rPr>
        <w:t>杭州市余杭区余杭街道</w:t>
      </w:r>
      <w:r>
        <w:rPr>
          <w:rFonts w:hint="eastAsia" w:ascii="宋体" w:hAnsi="宋体" w:cs="宋体"/>
          <w:sz w:val="24"/>
          <w:lang w:val="en-US" w:eastAsia="zh-CN"/>
        </w:rPr>
        <w:t>禹航路德裕科技703室</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传    真：/             </w:t>
      </w:r>
    </w:p>
    <w:p>
      <w:pPr>
        <w:spacing w:line="360" w:lineRule="auto"/>
        <w:ind w:firstLine="480" w:firstLineChars="200"/>
        <w:rPr>
          <w:rFonts w:hint="eastAsia" w:ascii="宋体" w:hAnsi="宋体" w:cs="宋体"/>
          <w:sz w:val="24"/>
        </w:rPr>
      </w:pPr>
      <w:r>
        <w:rPr>
          <w:rFonts w:hint="eastAsia" w:ascii="宋体" w:hAnsi="宋体" w:cs="宋体"/>
          <w:sz w:val="24"/>
        </w:rPr>
        <w:t xml:space="preserve">项目联系人（询问）： </w:t>
      </w:r>
      <w:r>
        <w:rPr>
          <w:rFonts w:hint="eastAsia" w:ascii="宋体" w:hAnsi="宋体" w:cs="宋体"/>
          <w:sz w:val="24"/>
          <w:lang w:val="en-US" w:eastAsia="zh-CN"/>
        </w:rPr>
        <w:t>郭洪平</w:t>
      </w:r>
      <w:r>
        <w:rPr>
          <w:rFonts w:hint="eastAsia" w:ascii="宋体" w:hAnsi="宋体" w:cs="宋体"/>
          <w:sz w:val="24"/>
        </w:rPr>
        <w:t xml:space="preserve">          </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项目联系方式（询问）：</w:t>
      </w:r>
      <w:r>
        <w:rPr>
          <w:rFonts w:hint="eastAsia" w:ascii="宋体" w:hAnsi="宋体" w:cs="宋体"/>
          <w:sz w:val="24"/>
          <w:lang w:val="en-US" w:eastAsia="zh-CN"/>
        </w:rPr>
        <w:t>18757182242</w:t>
      </w:r>
    </w:p>
    <w:p>
      <w:pPr>
        <w:spacing w:line="360" w:lineRule="auto"/>
        <w:ind w:firstLine="480" w:firstLineChars="200"/>
        <w:rPr>
          <w:rFonts w:hint="eastAsia" w:ascii="宋体" w:hAnsi="宋体" w:cs="宋体"/>
          <w:sz w:val="24"/>
        </w:rPr>
      </w:pPr>
      <w:r>
        <w:rPr>
          <w:rFonts w:hint="eastAsia" w:ascii="宋体" w:hAnsi="宋体" w:cs="宋体"/>
          <w:sz w:val="24"/>
        </w:rPr>
        <w:t>质疑联系人：</w:t>
      </w:r>
      <w:r>
        <w:rPr>
          <w:rFonts w:hint="eastAsia" w:ascii="宋体" w:hAnsi="宋体" w:cs="宋体"/>
          <w:sz w:val="24"/>
          <w:lang w:val="en-US" w:eastAsia="zh-CN"/>
        </w:rPr>
        <w:t>刘先生</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质疑联系方式：</w:t>
      </w:r>
      <w:r>
        <w:rPr>
          <w:rFonts w:hint="eastAsia" w:ascii="宋体" w:hAnsi="宋体" w:cs="宋体"/>
          <w:sz w:val="24"/>
          <w:lang w:val="en-US" w:eastAsia="zh-CN"/>
        </w:rPr>
        <w:t>15824487688</w:t>
      </w:r>
    </w:p>
    <w:p>
      <w:pPr>
        <w:spacing w:line="600" w:lineRule="exact"/>
        <w:rPr>
          <w:rFonts w:hint="eastAsia" w:ascii="宋体" w:hAnsi="宋体" w:eastAsia="宋体" w:cs="宋体"/>
          <w:color w:val="auto"/>
          <w:sz w:val="24"/>
          <w:highlight w:val="none"/>
        </w:rPr>
      </w:pPr>
      <w:r>
        <w:rPr>
          <w:rFonts w:hint="eastAsia" w:ascii="宋体" w:hAnsi="宋体" w:cs="宋体"/>
          <w:sz w:val="24"/>
        </w:rPr>
        <w:t xml:space="preserve">    3.</w:t>
      </w:r>
      <w:r>
        <w:rPr>
          <w:rFonts w:hint="eastAsia" w:ascii="宋体" w:hAnsi="宋体" w:eastAsia="宋体" w:cs="宋体"/>
          <w:color w:val="auto"/>
          <w:sz w:val="24"/>
          <w:highlight w:val="none"/>
        </w:rPr>
        <w:t xml:space="preserve">.同级政府采购监督管理部门            </w:t>
      </w:r>
    </w:p>
    <w:p>
      <w:pPr>
        <w:spacing w:line="6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r>
        <w:rPr>
          <w:rFonts w:hint="eastAsia" w:ascii="宋体" w:hAnsi="宋体" w:cs="宋体"/>
          <w:color w:val="auto"/>
          <w:sz w:val="24"/>
          <w:highlight w:val="none"/>
          <w:lang w:eastAsia="zh-CN"/>
        </w:rPr>
        <w:t>杭州市余杭区财政局、浙江省政府采购行政裁决服务中心（杭州）</w:t>
      </w:r>
      <w:r>
        <w:rPr>
          <w:rFonts w:hint="eastAsia" w:ascii="宋体" w:hAnsi="宋体" w:eastAsia="宋体" w:cs="宋体"/>
          <w:color w:val="auto"/>
          <w:sz w:val="24"/>
          <w:highlight w:val="none"/>
        </w:rPr>
        <w:t> </w:t>
      </w:r>
    </w:p>
    <w:p>
      <w:pPr>
        <w:spacing w:line="6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cs="宋体"/>
          <w:color w:val="auto"/>
          <w:sz w:val="24"/>
          <w:highlight w:val="none"/>
          <w:lang w:eastAsia="zh-CN"/>
        </w:rPr>
        <w:t>杭州市上城区四季青街道新业路市民之家G03办公室（快递仅限ems或顺丰）</w:t>
      </w:r>
      <w:r>
        <w:rPr>
          <w:rFonts w:hint="eastAsia" w:ascii="宋体" w:hAnsi="宋体" w:eastAsia="宋体" w:cs="宋体"/>
          <w:color w:val="auto"/>
          <w:sz w:val="24"/>
          <w:highlight w:val="none"/>
        </w:rPr>
        <w:t> </w:t>
      </w:r>
    </w:p>
    <w:p>
      <w:pPr>
        <w:spacing w:line="600" w:lineRule="exact"/>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传真：</w:t>
      </w:r>
      <w:r>
        <w:rPr>
          <w:rFonts w:hint="eastAsia" w:ascii="宋体" w:hAnsi="宋体" w:cs="宋体"/>
          <w:color w:val="auto"/>
          <w:sz w:val="24"/>
          <w:highlight w:val="none"/>
          <w:lang w:val="en-US" w:eastAsia="zh-CN"/>
        </w:rPr>
        <w:t>/</w:t>
      </w:r>
    </w:p>
    <w:p>
      <w:pPr>
        <w:spacing w:line="60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cs="宋体"/>
          <w:color w:val="auto"/>
          <w:sz w:val="24"/>
          <w:highlight w:val="none"/>
          <w:lang w:eastAsia="zh-CN"/>
        </w:rPr>
        <w:t>朱女士、王女士</w:t>
      </w:r>
      <w:r>
        <w:rPr>
          <w:rFonts w:hint="eastAsia" w:ascii="宋体" w:hAnsi="宋体" w:eastAsia="宋体" w:cs="宋体"/>
          <w:color w:val="auto"/>
          <w:sz w:val="24"/>
          <w:highlight w:val="none"/>
        </w:rPr>
        <w:t> </w:t>
      </w:r>
    </w:p>
    <w:p>
      <w:pPr>
        <w:spacing w:line="600" w:lineRule="exact"/>
        <w:ind w:firstLine="48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监督投诉电话：</w:t>
      </w:r>
      <w:r>
        <w:rPr>
          <w:rFonts w:hint="eastAsia" w:ascii="宋体" w:hAnsi="宋体" w:cs="宋体"/>
          <w:color w:val="auto"/>
          <w:sz w:val="24"/>
          <w:highlight w:val="none"/>
          <w:lang w:eastAsia="zh-CN"/>
        </w:rPr>
        <w:t>0571-85252453</w:t>
      </w:r>
    </w:p>
    <w:p>
      <w:pPr>
        <w:spacing w:line="360" w:lineRule="auto"/>
        <w:ind w:firstLine="480"/>
        <w:rPr>
          <w:rFonts w:hint="eastAsia" w:ascii="宋体" w:hAnsi="宋体" w:cs="宋体"/>
          <w:sz w:val="24"/>
        </w:rPr>
      </w:pP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ind w:firstLine="240" w:firstLineChars="100"/>
              <w:jc w:val="both"/>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（1）标的：</w:t>
            </w:r>
            <w:r>
              <w:rPr>
                <w:rFonts w:hint="eastAsia" w:ascii="宋体" w:hAnsi="宋体" w:cs="宋体"/>
                <w:color w:val="000000" w:themeColor="text1"/>
                <w:kern w:val="0"/>
                <w:sz w:val="24"/>
                <w:u w:val="single"/>
                <w:lang w:val="en-US" w:eastAsia="zh-CN"/>
                <w14:textFill>
                  <w14:solidFill>
                    <w14:schemeClr w14:val="tx1"/>
                  </w14:solidFill>
                </w14:textFill>
              </w:rPr>
              <w:t>2024年中泰街道违法建筑、不雅建筑零星拆除作业服务项目</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lang w:val="en-US" w:eastAsia="zh-CN"/>
                <w14:textFill>
                  <w14:solidFill>
                    <w14:schemeClr w14:val="tx1"/>
                  </w14:solidFill>
                </w14:textFill>
              </w:rPr>
              <w:t>建筑</w:t>
            </w:r>
            <w:r>
              <w:rPr>
                <w:rFonts w:hint="eastAsia" w:ascii="宋体" w:hAnsi="宋体" w:cs="宋体"/>
                <w:color w:val="000000" w:themeColor="text1"/>
                <w:kern w:val="0"/>
                <w:sz w:val="24"/>
                <w14:textFill>
                  <w14:solidFill>
                    <w14:schemeClr w14:val="tx1"/>
                  </w14:solidFill>
                </w14:textFill>
              </w:rPr>
              <w:t>行业；</w:t>
            </w:r>
          </w:p>
          <w:p>
            <w:pPr>
              <w:pStyle w:val="5"/>
              <w:ind w:left="434" w:leftChars="202" w:hanging="10" w:hangingChars="4"/>
              <w:jc w:val="both"/>
              <w:rPr>
                <w:rFonts w:hint="eastAsia" w:ascii="宋体" w:hAnsi="宋体" w:eastAsia="宋体" w:cs="宋体"/>
                <w:lang w:val="en-US" w:eastAsia="zh-CN"/>
              </w:rPr>
            </w:pPr>
            <w:r>
              <w:rPr>
                <w:rFonts w:hint="eastAsia" w:ascii="仿宋" w:hAnsi="仿宋" w:eastAsia="仿宋" w:cs="仿宋"/>
                <w:sz w:val="24"/>
                <w:szCs w:val="24"/>
                <w:lang w:val="en-US"/>
              </w:rPr>
              <w:t>具体详见《中小企业划型标准规定》</w:t>
            </w:r>
            <w:r>
              <w:rPr>
                <w:rFonts w:hint="eastAsia" w:ascii="宋体" w:hAnsi="宋体" w:eastAsia="宋体" w:cs="宋体"/>
                <w:lang w:val="en-US" w:eastAsia="zh-CN"/>
              </w:rPr>
              <w:t>，</w:t>
            </w:r>
            <w:r>
              <w:rPr>
                <w:rFonts w:hint="eastAsia" w:ascii="仿宋" w:hAnsi="仿宋" w:eastAsia="仿宋" w:cs="仿宋"/>
                <w:sz w:val="24"/>
                <w:szCs w:val="24"/>
                <w:lang w:eastAsia="zh-CN"/>
              </w:rPr>
              <w:t>根据《政府采购促进中小企业发展管理办法》（财库﹝2020﹞46 号）要求，</w:t>
            </w:r>
            <w:r>
              <w:rPr>
                <w:rFonts w:hint="eastAsia" w:ascii="仿宋" w:hAnsi="仿宋" w:eastAsia="仿宋" w:cs="仿宋"/>
                <w:b/>
                <w:bCs/>
                <w:sz w:val="24"/>
                <w:szCs w:val="24"/>
                <w:lang w:eastAsia="zh-CN"/>
              </w:rPr>
              <w:t>本次采购为</w:t>
            </w:r>
            <w:r>
              <w:rPr>
                <w:rFonts w:hint="eastAsia" w:ascii="仿宋" w:hAnsi="仿宋" w:eastAsia="仿宋" w:cs="仿宋"/>
                <w:b/>
                <w:bCs/>
                <w:sz w:val="24"/>
                <w:szCs w:val="24"/>
                <w:u w:val="none"/>
                <w:lang w:eastAsia="zh-CN"/>
              </w:rPr>
              <w:t>专门面向中小企业预留采购份额的采购项目</w:t>
            </w:r>
            <w:r>
              <w:rPr>
                <w:rFonts w:hint="eastAsia" w:ascii="仿宋" w:eastAsia="仿宋" w:cs="仿宋"/>
                <w:b/>
                <w:bCs/>
                <w:sz w:val="24"/>
                <w:szCs w:val="24"/>
                <w:lang w:eastAsia="zh-CN"/>
              </w:rPr>
              <w:t>，</w:t>
            </w:r>
            <w:r>
              <w:rPr>
                <w:rFonts w:hint="eastAsia" w:ascii="仿宋" w:hAnsi="仿宋" w:eastAsia="仿宋" w:cs="仿宋"/>
                <w:b/>
                <w:bCs/>
                <w:sz w:val="24"/>
                <w:szCs w:val="24"/>
                <w:lang w:eastAsia="zh-CN"/>
              </w:rPr>
              <w:t>对</w:t>
            </w:r>
            <w:bookmarkStart w:id="521" w:name="_GoBack"/>
            <w:bookmarkEnd w:id="521"/>
            <w:r>
              <w:rPr>
                <w:rFonts w:hint="eastAsia" w:ascii="仿宋" w:hAnsi="仿宋" w:eastAsia="仿宋" w:cs="仿宋"/>
                <w:b/>
                <w:bCs/>
                <w:sz w:val="24"/>
                <w:szCs w:val="24"/>
                <w:lang w:eastAsia="zh-CN"/>
              </w:rPr>
              <w:t>小型和微型企业的投标报价不予扣除评审。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00" w:themeColor="text1"/>
                <w:sz w:val="24"/>
                <w14:textFill>
                  <w14:solidFill>
                    <w14:schemeClr w14:val="tx1"/>
                  </w14:solidFill>
                </w14:textFill>
              </w:rPr>
              <w:t>非关键性的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工作分包</w:t>
            </w:r>
            <w:r>
              <w:rPr>
                <w:rFonts w:hint="eastAsia" w:ascii="宋体" w:hAnsi="宋体" w:cs="宋体"/>
                <w:sz w:val="24"/>
              </w:rPr>
              <w:t>。</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lang w:val="zh-CN"/>
              </w:rPr>
              <w:t>杭州市余杭区余杭街道</w:t>
            </w:r>
            <w:r>
              <w:rPr>
                <w:rFonts w:hint="eastAsia" w:hAnsi="宋体" w:cs="宋体"/>
                <w:kern w:val="28"/>
                <w:sz w:val="24"/>
                <w:szCs w:val="24"/>
                <w:u w:val="single"/>
                <w:lang w:val="en-US" w:eastAsia="zh-CN"/>
              </w:rPr>
              <w:t>禹航路德裕科技703室</w:t>
            </w:r>
            <w:r>
              <w:rPr>
                <w:rFonts w:hint="eastAsia" w:hAnsi="宋体" w:cs="宋体"/>
                <w:kern w:val="28"/>
                <w:sz w:val="24"/>
                <w:szCs w:val="24"/>
              </w:rPr>
              <w:t>；备份投标文件签收人员联系电话：</w:t>
            </w:r>
            <w:r>
              <w:rPr>
                <w:rFonts w:hint="eastAsia" w:hAnsi="宋体" w:cs="宋体"/>
                <w:kern w:val="28"/>
                <w:sz w:val="24"/>
                <w:szCs w:val="24"/>
                <w:u w:val="single"/>
                <w:lang w:val="en-US" w:eastAsia="zh-CN"/>
              </w:rPr>
              <w:t>18757182242</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hint="eastAsia"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eastAsia" w:ascii="宋体" w:hAnsi="宋体" w:cs="宋体"/>
                <w:sz w:val="24"/>
                <w:lang w:val="en-US" w:eastAsia="zh-CN"/>
              </w:rPr>
            </w:pPr>
          </w:p>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7938" w:type="dxa"/>
            <w:gridSpan w:val="2"/>
            <w:tcBorders>
              <w:top w:val="single" w:color="auto" w:sz="4" w:space="0"/>
              <w:left w:val="single" w:color="000000" w:sz="2" w:space="0"/>
              <w:bottom w:val="single" w:color="000000" w:sz="8" w:space="0"/>
              <w:right w:val="single" w:color="000000" w:sz="8" w:space="0"/>
            </w:tcBorders>
            <w:vAlign w:val="center"/>
          </w:tcPr>
          <w:p>
            <w:pPr>
              <w:pStyle w:val="132"/>
              <w:snapToGrid w:val="0"/>
              <w:spacing w:line="360" w:lineRule="exact"/>
              <w:ind w:left="241" w:hanging="242" w:hangingChars="101"/>
              <w:jc w:val="left"/>
              <w:rPr>
                <w:rFonts w:hint="eastAsia" w:ascii="宋体" w:hAnsi="宋体" w:eastAsia="宋体" w:cs="宋体"/>
                <w:snapToGrid w:val="0"/>
                <w:kern w:val="28"/>
                <w:sz w:val="24"/>
                <w:szCs w:val="24"/>
                <w:lang w:val="en-US" w:eastAsia="zh-CN" w:bidi="ar-SA"/>
              </w:rPr>
            </w:pPr>
            <w:r>
              <w:rPr>
                <w:rFonts w:hint="eastAsia" w:ascii="宋体" w:hAnsi="宋体" w:eastAsia="宋体" w:cs="宋体"/>
                <w:snapToGrid w:val="0"/>
                <w:kern w:val="28"/>
                <w:sz w:val="24"/>
                <w:szCs w:val="24"/>
                <w:lang w:val="en-US" w:eastAsia="zh-CN" w:bidi="ar-SA"/>
              </w:rPr>
              <w:t>本次招标代理服务费由中标人支付，招标代理服务费按照国家计委印发的《招标代理服务收费管理暂行办法》计价格[2002]1980号、发改办价格[2003]857号规定收费。由中标人在领取中标通知书前支付给招标代理机构，各投标人应在投标报价中予以考虑，不单独列项报价。</w:t>
            </w:r>
          </w:p>
          <w:p>
            <w:pPr>
              <w:pStyle w:val="132"/>
              <w:snapToGrid w:val="0"/>
              <w:spacing w:line="360" w:lineRule="exact"/>
              <w:ind w:left="241" w:hanging="242" w:hangingChars="101"/>
              <w:jc w:val="left"/>
              <w:rPr>
                <w:rFonts w:hint="eastAsia" w:ascii="宋体" w:hAnsi="宋体" w:eastAsia="宋体" w:cs="宋体"/>
                <w:snapToGrid w:val="0"/>
                <w:kern w:val="28"/>
                <w:sz w:val="24"/>
                <w:szCs w:val="24"/>
                <w:lang w:val="en-US" w:eastAsia="zh-CN" w:bidi="ar-SA"/>
              </w:rPr>
            </w:pPr>
            <w:r>
              <w:rPr>
                <w:rFonts w:hint="eastAsia" w:ascii="宋体" w:hAnsi="宋体" w:eastAsia="宋体" w:cs="宋体"/>
                <w:snapToGrid w:val="0"/>
                <w:kern w:val="28"/>
                <w:sz w:val="24"/>
                <w:szCs w:val="24"/>
                <w:lang w:val="en-US" w:eastAsia="zh-CN" w:bidi="ar-SA"/>
              </w:rPr>
              <w:t>中标服务费的交纳方式：以转帐或支票的形式支付，开户名：杭州鸣达建设工程管理咨询有限公司余杭分公司；开户行名称：浙江杭州余杭农村商业银行股份有限公司闲林支行 帐号：201000298164606</w:t>
            </w:r>
          </w:p>
          <w:p>
            <w:pPr>
              <w:spacing w:line="360" w:lineRule="auto"/>
              <w:jc w:val="left"/>
              <w:rPr>
                <w:rFonts w:hint="eastAsia" w:cs="Arial" w:asciiTheme="minorEastAsia" w:hAnsiTheme="minorEastAsia" w:eastAsiaTheme="minorEastAsia"/>
                <w:kern w:val="0"/>
                <w:sz w:val="24"/>
              </w:rPr>
            </w:pPr>
            <w:r>
              <w:rPr>
                <w:rFonts w:hint="eastAsia" w:ascii="宋体" w:hAnsi="宋体" w:eastAsia="宋体" w:cs="宋体"/>
                <w:snapToGrid w:val="0"/>
                <w:kern w:val="28"/>
                <w:sz w:val="24"/>
                <w:szCs w:val="24"/>
                <w:lang w:val="en-US" w:eastAsia="zh-CN" w:bidi="ar-SA"/>
              </w:rPr>
              <w:t>中标单位需在领取中标通知书时缴纳中标服务费，缴纳时注明招标编号</w:t>
            </w:r>
            <w:r>
              <w:rPr>
                <w:rFonts w:hint="eastAsia" w:ascii="仿宋_GB2312" w:hAnsi="仿宋" w:eastAsia="仿宋_GB2312" w:cs="Times New Roman"/>
                <w:snapToGrid w:val="0"/>
                <w:color w:val="auto"/>
                <w:kern w:val="28"/>
                <w:sz w:val="24"/>
                <w:szCs w:val="24"/>
                <w:lang w:val="en-US" w:eastAsia="zh-CN" w:bidi="ar-SA"/>
              </w:rPr>
              <w:t>。</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pPr>
      <w:r>
        <w:rPr>
          <w:rFonts w:hint="eastAsia"/>
        </w:rPr>
        <w:t>质疑函范本及制作说明详见附件2。</w:t>
      </w:r>
    </w:p>
    <w:p>
      <w:pPr>
        <w:pStyle w:val="888"/>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rPr>
      </w:pPr>
      <w:r>
        <w:rPr>
          <w:rFonts w:hint="eastAsia"/>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pPr>
      <w:r>
        <w:rPr>
          <w:rFonts w:hint="eastAsia" w:ascii="宋体" w:hAnsi="宋体" w:eastAsia="宋体" w:cs="宋体"/>
          <w:color w:val="auto"/>
          <w:highlight w:val="none"/>
        </w:rPr>
        <w:t>4.4.5余杭区政府采购项目投诉材料可寄送至</w:t>
      </w:r>
      <w:r>
        <w:rPr>
          <w:rFonts w:hint="eastAsia" w:cs="宋体"/>
          <w:color w:val="auto"/>
          <w:highlight w:val="none"/>
          <w:lang w:eastAsia="zh-CN"/>
        </w:rPr>
        <w:t>杭州市余杭区财政局、浙江省政府采购行政裁决服务中心（杭州）</w:t>
      </w:r>
      <w:r>
        <w:rPr>
          <w:rFonts w:hint="eastAsia" w:ascii="宋体" w:hAnsi="宋体" w:eastAsia="宋体" w:cs="宋体"/>
          <w:color w:val="auto"/>
          <w:highlight w:val="none"/>
        </w:rPr>
        <w:t>，地址：</w:t>
      </w:r>
      <w:r>
        <w:rPr>
          <w:rFonts w:hint="eastAsia" w:cs="宋体"/>
          <w:color w:val="auto"/>
          <w:highlight w:val="none"/>
          <w:lang w:eastAsia="zh-CN"/>
        </w:rPr>
        <w:t>杭州市上城区四季青街道新业路市民之家G03办公室（快递仅限ems或顺丰）</w:t>
      </w:r>
      <w:r>
        <w:rPr>
          <w:rFonts w:hint="eastAsia" w:ascii="宋体" w:hAnsi="宋体" w:eastAsia="宋体" w:cs="宋体"/>
          <w:color w:val="auto"/>
          <w:highlight w:val="none"/>
        </w:rPr>
        <w:t>，收件人：</w:t>
      </w:r>
      <w:r>
        <w:rPr>
          <w:rFonts w:hint="eastAsia"/>
          <w:highlight w:val="none"/>
        </w:rPr>
        <w:t>朱女士、王女士，电话：0571-85252453。</w:t>
      </w:r>
    </w:p>
    <w:p>
      <w:pPr>
        <w:pStyle w:val="888"/>
        <w:shd w:val="clear" w:color="auto" w:fill="FFFFFF"/>
        <w:snapToGrid w:val="0"/>
        <w:spacing w:after="240" w:afterAutospacing="0" w:line="360" w:lineRule="auto"/>
        <w:ind w:firstLine="480" w:firstLineChars="200"/>
        <w:contextualSpacing/>
      </w:pPr>
      <w:r>
        <w:rPr>
          <w:rFonts w:hint="eastAsia"/>
        </w:rPr>
        <w:t>投诉书范本及制作说明详见附件3。</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2"/>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8"/>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7"/>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7"/>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7"/>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7"/>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7"/>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3093"/>
      <w:bookmarkEnd w:id="15"/>
      <w:bookmarkStart w:id="16" w:name="_Hlt68072998"/>
      <w:bookmarkEnd w:id="16"/>
      <w:bookmarkStart w:id="17" w:name="_Hlt68072990"/>
      <w:bookmarkEnd w:id="17"/>
      <w:bookmarkStart w:id="18" w:name="_Hlt74707468"/>
      <w:bookmarkEnd w:id="18"/>
      <w:bookmarkStart w:id="19" w:name="_Hlt68057669"/>
      <w:bookmarkEnd w:id="19"/>
      <w:bookmarkStart w:id="20" w:name="_Hlt68403820"/>
      <w:bookmarkEnd w:id="20"/>
      <w:bookmarkStart w:id="21" w:name="_Hlt75236101"/>
      <w:bookmarkEnd w:id="21"/>
      <w:bookmarkStart w:id="22" w:name="_Hlt75236011"/>
      <w:bookmarkEnd w:id="22"/>
      <w:bookmarkStart w:id="23" w:name="_Hlt74729768"/>
      <w:bookmarkEnd w:id="23"/>
      <w:bookmarkStart w:id="24" w:name="_Hlt75236290"/>
      <w:bookmarkEnd w:id="24"/>
      <w:bookmarkStart w:id="25" w:name="_Hlt74730295"/>
      <w:bookmarkEnd w:id="25"/>
      <w:bookmarkStart w:id="26" w:name="_Hlt74714665"/>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color w:val="000000"/>
          <w:kern w:val="2"/>
          <w:sz w:val="24"/>
          <w:szCs w:val="24"/>
          <w:lang w:val="en-US" w:eastAsia="zh-CN" w:bidi="ar-SA"/>
        </w:rPr>
      </w:pPr>
      <w:bookmarkStart w:id="28" w:name="_Toc2781"/>
      <w:bookmarkStart w:id="29" w:name="_Toc20030"/>
      <w:r>
        <w:rPr>
          <w:rFonts w:hint="eastAsia" w:ascii="仿宋" w:hAnsi="仿宋" w:eastAsia="仿宋" w:cs="仿宋"/>
          <w:b/>
          <w:color w:val="auto"/>
          <w:sz w:val="24"/>
          <w:szCs w:val="24"/>
          <w:highlight w:val="none"/>
          <w:lang w:val="en-US" w:eastAsia="zh-CN"/>
        </w:rPr>
        <w:t xml:space="preserve"> </w:t>
      </w:r>
      <w:r>
        <w:rPr>
          <w:rFonts w:hint="eastAsia" w:ascii="宋体" w:hAnsi="宋体" w:eastAsia="宋体" w:cs="宋体"/>
          <w:b/>
          <w:bCs/>
          <w:kern w:val="2"/>
          <w:sz w:val="24"/>
          <w:szCs w:val="24"/>
          <w:lang w:val="en-US" w:eastAsia="zh-CN" w:bidi="ar-SA"/>
        </w:rPr>
        <w:t>一、</w:t>
      </w:r>
      <w:r>
        <w:rPr>
          <w:rFonts w:hint="eastAsia" w:ascii="宋体" w:hAnsi="宋体" w:eastAsia="宋体" w:cs="宋体"/>
          <w:b/>
          <w:color w:val="000000"/>
          <w:kern w:val="2"/>
          <w:sz w:val="24"/>
          <w:szCs w:val="24"/>
          <w:lang w:val="en-US" w:eastAsia="zh-CN" w:bidi="ar-SA"/>
        </w:rPr>
        <w:t>招标项目概况：</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2024年中泰街道违法建筑、不雅建筑零星拆除作业服务项目</w:t>
      </w:r>
      <w:r>
        <w:rPr>
          <w:rFonts w:hint="eastAsia" w:ascii="宋体" w:hAnsi="宋体"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主要包括</w:t>
      </w:r>
      <w:r>
        <w:rPr>
          <w:rFonts w:hint="eastAsia" w:ascii="宋体" w:hAnsi="宋体" w:cs="宋体"/>
          <w:b w:val="0"/>
          <w:bCs/>
          <w:color w:val="000000"/>
          <w:kern w:val="2"/>
          <w:sz w:val="24"/>
          <w:szCs w:val="24"/>
          <w:lang w:val="en-US" w:eastAsia="zh-CN" w:bidi="ar-SA"/>
        </w:rPr>
        <w:t>中泰</w:t>
      </w:r>
      <w:r>
        <w:rPr>
          <w:rFonts w:hint="eastAsia" w:ascii="宋体" w:hAnsi="宋体" w:eastAsia="宋体" w:cs="宋体"/>
          <w:b w:val="0"/>
          <w:bCs/>
          <w:color w:val="000000"/>
          <w:kern w:val="2"/>
          <w:sz w:val="24"/>
          <w:szCs w:val="24"/>
          <w:lang w:val="en-US" w:eastAsia="zh-CN" w:bidi="ar-SA"/>
        </w:rPr>
        <w:t>街道范围内的违章建筑物的拆除（包含砖混结构和钢架结构等）、建筑垃圾的清运、小区违建拆除、场地平整等。具体范围按采购人拆</w:t>
      </w:r>
      <w:r>
        <w:rPr>
          <w:rFonts w:hint="eastAsia" w:ascii="宋体" w:hAnsi="宋体" w:eastAsia="宋体" w:cs="宋体"/>
          <w:b w:val="0"/>
          <w:bCs/>
          <w:color w:val="000000"/>
          <w:kern w:val="2"/>
          <w:sz w:val="24"/>
          <w:szCs w:val="24"/>
          <w:highlight w:val="none"/>
          <w:lang w:val="en-US" w:eastAsia="zh-CN" w:bidi="ar-SA"/>
        </w:rPr>
        <w:t>除计划，拆除面积按实际测量为准。本项目采用折扣率报价，报价</w:t>
      </w:r>
      <w:r>
        <w:rPr>
          <w:rFonts w:hint="eastAsia" w:ascii="宋体" w:hAnsi="宋体" w:eastAsia="宋体" w:cs="宋体"/>
          <w:b w:val="0"/>
          <w:bCs/>
          <w:color w:val="000000"/>
          <w:kern w:val="2"/>
          <w:sz w:val="24"/>
          <w:szCs w:val="24"/>
          <w:lang w:val="en-US" w:eastAsia="zh-CN" w:bidi="ar-SA"/>
        </w:rPr>
        <w:t>为全费用综合单价，包含拆除费用、合理的利润、税金、原有建筑物保护费用（如有）、人员工资、机械设备的费用、防尘降尘费用、安全围护费用、各项保险费用等等一切费用。</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二、服务要求：</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（1）拆除违章建筑物（包含砖混结构和钢架结构等）：采用人工和机械拆除，具体以业主要求为准；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（2）建筑物及钢架结构拆除后，残值归房东所有，房东认为不要的拆除物，中标人需按招标人要求清运；</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（3）变压器、配电柜须按建设单位要求进行移除；如若投标单位不具备变压器、配电柜移除资质，需委托具备资质的单位移除。</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4）施工单位在施工过程当中应确保安全、文明和环境卫生，对原有地上、地下设施和建筑物进行遮盖、封闭、隔离措施，搭设双排脚手架，架体与建筑物之间需采取硬质材料每层进行封闭隔离，外架四周挂满防尘密目安全网并做好洒水降尘工作，并且不得影响现有道路畅通及周边已建建筑使用，做好现场管理工作, 做好相应的标志标牌，完成后经建设单位同意后方可施工。若中标单位不按照建设单位要求做好上述安全文明措施，建设单位委托其它单位实施，费用在工程款内扣除。如由于施工单位管理原因造成的损失均由施工单位承担全责并赔偿；</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（5）中标后由投标单位自行办理与余杭区住建局拆迁办的相关手续；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（6）地上热水管道、地上线路、自来水管、排水管道、电力管道及区块内的树木等，注意成品保护，如有破坏，中标单位负责修复。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（7）本工程采用包工、包料、包工期、包质量、包安全的形式。</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8）本工程由中标单位实行总承包，不得转包，一旦发现转包者，招标人有权终止承包合同，并向施工单位索赔相应违约金。如本工程部分专业投标单位无资质或有资质但资质等级未达到该工程专业资质要求的，允许分包，但需征得建设方同意，中标单位可以分包给具有相应资质的单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（9）中标单位在投标文件中明确的项目负责人必须到位，不能更换，同时，项目负责人必须在施工现场到岗、到位。</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（10）中标人在入围期限内必须无条件服从招标人的管理，对于不听指挥，拆违工作落实缓慢，无故拖延时间且不严格落实安全组织措施的中标人，招标人有权单方面终止合同，清退中标人，并追究其责任。</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11）中标人必须严格落实安全生产责任制度，树立安全第一的思想，对拆违过程中出现的不安全因素要及时制止及时纠正，确实将安全工作落实到实处。在服务期内，中标人应对所有作业人员购买好人身意外伤害保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（12）中标人在拆违工作中应严格执行杭州市及余杭区拆违工程有关各项制度及措施。</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（13）入围期限内所发生的任何安全事故一律由中标单位负责承担，招标人不承担任何责任。</w:t>
      </w:r>
    </w:p>
    <w:p>
      <w:pPr>
        <w:spacing w:line="360" w:lineRule="auto"/>
        <w:ind w:firstLine="482"/>
        <w:rPr>
          <w:rFonts w:hint="eastAsia" w:ascii="宋体" w:hAnsi="宋体" w:eastAsia="宋体" w:cs="宋体"/>
          <w:b w:val="0"/>
          <w:bCs/>
          <w:snapToGrid/>
          <w:color w:val="000000"/>
          <w:kern w:val="2"/>
          <w:sz w:val="24"/>
          <w:szCs w:val="24"/>
          <w:lang w:val="en-US" w:eastAsia="zh-CN" w:bidi="ar-SA"/>
        </w:rPr>
      </w:pPr>
      <w:r>
        <w:rPr>
          <w:rFonts w:hint="eastAsia" w:ascii="宋体" w:hAnsi="宋体" w:eastAsia="宋体" w:cs="宋体"/>
          <w:b w:val="0"/>
          <w:bCs/>
          <w:snapToGrid/>
          <w:color w:val="000000"/>
          <w:kern w:val="2"/>
          <w:sz w:val="24"/>
          <w:szCs w:val="24"/>
          <w:lang w:val="en-US" w:eastAsia="zh-CN" w:bidi="ar-SA"/>
        </w:rPr>
        <w:t>（14）因本项目为应急工程，要求中标单位配备具有上岗证的固定人员和完善拆除机械。做到随叫随到，积极配合好甲方分配的任务。</w:t>
      </w:r>
    </w:p>
    <w:p>
      <w:pPr>
        <w:spacing w:line="360" w:lineRule="auto"/>
        <w:ind w:firstLine="482"/>
        <w:rPr>
          <w:rFonts w:ascii="宋体" w:hAnsi="宋体" w:cs="宋体"/>
          <w:b/>
          <w:kern w:val="1"/>
          <w:sz w:val="24"/>
          <w:highlight w:val="none"/>
        </w:rPr>
      </w:pPr>
      <w:r>
        <w:rPr>
          <w:rFonts w:hint="eastAsia" w:ascii="宋体" w:hAnsi="宋体" w:eastAsia="宋体" w:cs="宋体"/>
          <w:b w:val="0"/>
          <w:bCs/>
          <w:snapToGrid/>
          <w:color w:val="000000"/>
          <w:kern w:val="2"/>
          <w:sz w:val="24"/>
          <w:szCs w:val="24"/>
          <w:lang w:val="en-US" w:eastAsia="zh-CN" w:bidi="ar-SA"/>
        </w:rPr>
        <w:t>三、</w:t>
      </w:r>
      <w:r>
        <w:rPr>
          <w:rFonts w:ascii="宋体" w:hAnsi="宋体" w:cs="宋体"/>
          <w:b/>
          <w:kern w:val="1"/>
          <w:sz w:val="24"/>
          <w:highlight w:val="none"/>
        </w:rPr>
        <w:t>该项目分两种结算方式：</w:t>
      </w:r>
      <w:r>
        <w:rPr>
          <w:rFonts w:hint="eastAsia" w:ascii="宋体" w:hAnsi="宋体" w:cs="宋体"/>
          <w:b/>
          <w:kern w:val="1"/>
          <w:sz w:val="24"/>
          <w:highlight w:val="none"/>
        </w:rPr>
        <w:t xml:space="preserve">第一种结算方式以人工加机械的方式按实结算；第二种结算方式以综合单价的方式结算；实际以委托项目联系单约定的派工方式为准。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第一种结算方式（人工加机械的方式按实结算）具体价格如下：</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1、拆违人员由乙方根据甲方的要求进行委派，乙方负责人员的组织和管理，甲方结合物价及人工工资上涨因素，水电工等技术人工按320元/天（含电焊工），普通人员按260元/天。气割按180元/套/天。</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2、气割按180元/套/天（人工费另计）。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3、运输车辆如下（含燃油等所有费用，每台班为8小时）：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（1）中型农用运输车（装载量约8吨）按700元/台班。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（2）大型货车（装载量约10吨）按900元/台班。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（3）板车400元/趟。</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（4）叉车按860元/台班。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4、开展拆除违建、土地复耕、违法设备吊离等工作时所使用的机械如下（含燃油等所有费用，每台班为8小时）：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（1）90挖机按1200元/台班；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（2）120挖机按1600元/台班；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（3）200挖机：2080元/台班；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（4）120炮头机：2230元/台班；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（5）200炮头机：2600元/台班；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（6）12吨汽吊：1200元/台班；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 xml:space="preserve">（7）25吨汽吊：1600元/台班； </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（8）50吨汽吊：3000元/台班；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（9）80吨汽吊：5000元/台班；</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（10）PC90机械进出场费：500元/次；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lang w:val="en-US" w:eastAsia="zh-CN" w:bidi="ar-SA"/>
        </w:rPr>
      </w:pPr>
      <w:r>
        <w:rPr>
          <w:rFonts w:hint="eastAsia" w:ascii="宋体" w:hAnsi="宋体" w:eastAsia="宋体" w:cs="宋体"/>
          <w:b w:val="0"/>
          <w:bCs/>
          <w:color w:val="000000"/>
          <w:kern w:val="2"/>
          <w:sz w:val="24"/>
          <w:szCs w:val="24"/>
          <w:lang w:val="en-US" w:eastAsia="zh-CN" w:bidi="ar-SA"/>
        </w:rPr>
        <w:t>（11）PC120机械进出场费：500元/次；</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cs="宋体"/>
          <w:b/>
          <w:kern w:val="1"/>
          <w:sz w:val="24"/>
          <w:highlight w:val="none"/>
        </w:rPr>
      </w:pPr>
      <w:r>
        <w:rPr>
          <w:rFonts w:hint="eastAsia" w:ascii="宋体" w:hAnsi="宋体" w:eastAsia="宋体" w:cs="宋体"/>
          <w:b w:val="0"/>
          <w:bCs/>
          <w:color w:val="000000"/>
          <w:kern w:val="2"/>
          <w:sz w:val="24"/>
          <w:szCs w:val="24"/>
          <w:lang w:val="en-US" w:eastAsia="zh-CN" w:bidi="ar-SA"/>
        </w:rPr>
        <w:t>（12）PC200机械进出场费：500元/次；</w:t>
      </w:r>
    </w:p>
    <w:tbl>
      <w:tblPr>
        <w:tblStyle w:val="62"/>
        <w:tblpPr w:leftFromText="180" w:rightFromText="180" w:vertAnchor="text" w:horzAnchor="page" w:tblpX="1627" w:tblpY="595"/>
        <w:tblOverlap w:val="never"/>
        <w:tblW w:w="8557" w:type="dxa"/>
        <w:jc w:val="center"/>
        <w:tblLayout w:type="fixed"/>
        <w:tblCellMar>
          <w:top w:w="15" w:type="dxa"/>
          <w:left w:w="15" w:type="dxa"/>
          <w:bottom w:w="15" w:type="dxa"/>
          <w:right w:w="15" w:type="dxa"/>
        </w:tblCellMar>
      </w:tblPr>
      <w:tblGrid>
        <w:gridCol w:w="673"/>
        <w:gridCol w:w="3860"/>
        <w:gridCol w:w="617"/>
        <w:gridCol w:w="1743"/>
        <w:gridCol w:w="1664"/>
      </w:tblGrid>
      <w:tr>
        <w:tblPrEx>
          <w:tblCellMar>
            <w:top w:w="15" w:type="dxa"/>
            <w:left w:w="15" w:type="dxa"/>
            <w:bottom w:w="15" w:type="dxa"/>
            <w:right w:w="15" w:type="dxa"/>
          </w:tblCellMar>
        </w:tblPrEx>
        <w:trPr>
          <w:trHeight w:val="1250"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kern w:val="1"/>
                <w:sz w:val="28"/>
                <w:szCs w:val="28"/>
                <w:highlight w:val="none"/>
              </w:rPr>
            </w:pPr>
            <w:r>
              <w:rPr>
                <w:rFonts w:hint="eastAsia" w:ascii="宋体" w:hAnsi="宋体" w:eastAsia="宋体" w:cs="宋体"/>
                <w:b/>
                <w:kern w:val="1"/>
                <w:sz w:val="28"/>
                <w:szCs w:val="28"/>
                <w:highlight w:val="none"/>
              </w:rPr>
              <w:t>序号</w:t>
            </w:r>
          </w:p>
        </w:tc>
        <w:tc>
          <w:tcPr>
            <w:tcW w:w="38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1205"/>
              <w:rPr>
                <w:rFonts w:hint="eastAsia" w:ascii="宋体" w:hAnsi="宋体" w:eastAsia="宋体" w:cs="宋体"/>
                <w:b/>
                <w:kern w:val="1"/>
                <w:sz w:val="28"/>
                <w:szCs w:val="28"/>
                <w:highlight w:val="none"/>
              </w:rPr>
            </w:pPr>
            <w:r>
              <w:rPr>
                <w:rFonts w:hint="eastAsia" w:ascii="宋体" w:hAnsi="宋体" w:eastAsia="宋体" w:cs="宋体"/>
                <w:b/>
                <w:kern w:val="1"/>
                <w:sz w:val="28"/>
                <w:szCs w:val="28"/>
                <w:highlight w:val="none"/>
              </w:rPr>
              <w:t>项目名称</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kern w:val="1"/>
                <w:sz w:val="28"/>
                <w:szCs w:val="28"/>
                <w:highlight w:val="none"/>
              </w:rPr>
            </w:pPr>
            <w:r>
              <w:rPr>
                <w:rFonts w:hint="eastAsia" w:ascii="宋体" w:hAnsi="宋体" w:eastAsia="宋体" w:cs="宋体"/>
                <w:b/>
                <w:kern w:val="1"/>
                <w:sz w:val="28"/>
                <w:szCs w:val="28"/>
                <w:highlight w:val="none"/>
              </w:rPr>
              <w:t>单位</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
                <w:kern w:val="1"/>
                <w:sz w:val="28"/>
                <w:szCs w:val="28"/>
                <w:highlight w:val="none"/>
                <w:lang w:eastAsia="zh-CN"/>
              </w:rPr>
            </w:pPr>
            <w:r>
              <w:rPr>
                <w:rFonts w:hint="eastAsia" w:ascii="宋体" w:hAnsi="宋体" w:eastAsia="宋体" w:cs="宋体"/>
                <w:b/>
                <w:kern w:val="1"/>
                <w:sz w:val="28"/>
                <w:szCs w:val="28"/>
                <w:highlight w:val="none"/>
              </w:rPr>
              <w:t>中标综合单价</w:t>
            </w:r>
            <w:r>
              <w:rPr>
                <w:rFonts w:hint="eastAsia" w:ascii="宋体" w:hAnsi="宋体" w:eastAsia="宋体" w:cs="宋体"/>
                <w:b/>
                <w:kern w:val="1"/>
                <w:sz w:val="28"/>
                <w:szCs w:val="28"/>
                <w:highlight w:val="none"/>
                <w:lang w:eastAsia="zh-CN"/>
              </w:rPr>
              <w:t>（</w:t>
            </w:r>
            <w:r>
              <w:rPr>
                <w:rFonts w:hint="eastAsia" w:ascii="宋体" w:hAnsi="宋体" w:eastAsia="宋体" w:cs="宋体"/>
                <w:b/>
                <w:kern w:val="1"/>
                <w:sz w:val="28"/>
                <w:szCs w:val="28"/>
                <w:highlight w:val="none"/>
              </w:rPr>
              <w:t>元</w:t>
            </w:r>
            <w:r>
              <w:rPr>
                <w:rFonts w:hint="eastAsia" w:ascii="宋体" w:hAnsi="宋体" w:eastAsia="宋体" w:cs="宋体"/>
                <w:b/>
                <w:kern w:val="1"/>
                <w:sz w:val="28"/>
                <w:szCs w:val="28"/>
                <w:highlight w:val="none"/>
                <w:lang w:eastAsia="zh-CN"/>
              </w:rPr>
              <w:t>）</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562" w:firstLineChars="200"/>
              <w:rPr>
                <w:rFonts w:hint="eastAsia" w:ascii="宋体" w:hAnsi="宋体" w:eastAsia="宋体" w:cs="宋体"/>
                <w:b/>
                <w:kern w:val="1"/>
                <w:sz w:val="28"/>
                <w:szCs w:val="28"/>
                <w:highlight w:val="none"/>
              </w:rPr>
            </w:pPr>
            <w:r>
              <w:rPr>
                <w:rFonts w:hint="eastAsia" w:ascii="宋体" w:hAnsi="宋体" w:eastAsia="宋体" w:cs="宋体"/>
                <w:b/>
                <w:kern w:val="1"/>
                <w:sz w:val="28"/>
                <w:szCs w:val="28"/>
                <w:highlight w:val="none"/>
              </w:rPr>
              <w:t>备注</w:t>
            </w:r>
          </w:p>
        </w:tc>
      </w:tr>
      <w:tr>
        <w:tblPrEx>
          <w:tblCellMar>
            <w:top w:w="15" w:type="dxa"/>
            <w:left w:w="15" w:type="dxa"/>
            <w:bottom w:w="15" w:type="dxa"/>
            <w:right w:w="15" w:type="dxa"/>
          </w:tblCellMar>
        </w:tblPrEx>
        <w:trPr>
          <w:trHeight w:val="1856"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1</w:t>
            </w:r>
          </w:p>
        </w:tc>
        <w:tc>
          <w:tcPr>
            <w:tcW w:w="38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彩钢棚、阳光房建筑拆除（拆除后可再利用材料需整理堆放至建设单位指定位置）</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lang w:val="en-US" w:eastAsia="zh-CN"/>
              </w:rPr>
            </w:pPr>
            <w:r>
              <w:rPr>
                <w:rFonts w:hint="eastAsia" w:ascii="宋体" w:hAnsi="宋体" w:eastAsia="宋体" w:cs="宋体"/>
                <w:kern w:val="1"/>
                <w:sz w:val="28"/>
                <w:szCs w:val="28"/>
                <w:highlight w:val="none"/>
                <w:lang w:val="en-US" w:eastAsia="zh-CN"/>
              </w:rPr>
              <w:t>m2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20</w:t>
            </w:r>
            <w:r>
              <w:rPr>
                <w:rFonts w:hint="eastAsia" w:ascii="宋体" w:hAnsi="宋体" w:eastAsia="宋体" w:cs="宋体"/>
                <w:kern w:val="1"/>
                <w:sz w:val="28"/>
                <w:szCs w:val="28"/>
                <w:highlight w:val="none"/>
              </w:rPr>
              <w:t>元/平方米</w:t>
            </w:r>
          </w:p>
        </w:tc>
        <w:tc>
          <w:tcPr>
            <w:tcW w:w="1664"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left"/>
              <w:rPr>
                <w:rFonts w:hint="eastAsia" w:ascii="宋体" w:hAnsi="宋体" w:eastAsia="宋体" w:cs="宋体"/>
                <w:kern w:val="1"/>
                <w:sz w:val="28"/>
                <w:szCs w:val="28"/>
                <w:highlight w:val="none"/>
                <w:lang w:val="en-US" w:eastAsia="zh-CN"/>
              </w:rPr>
            </w:pPr>
          </w:p>
        </w:tc>
      </w:tr>
      <w:tr>
        <w:tblPrEx>
          <w:tblCellMar>
            <w:top w:w="15" w:type="dxa"/>
            <w:left w:w="15" w:type="dxa"/>
            <w:bottom w:w="15" w:type="dxa"/>
            <w:right w:w="15" w:type="dxa"/>
          </w:tblCellMar>
        </w:tblPrEx>
        <w:trPr>
          <w:trHeight w:val="1250"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2</w:t>
            </w:r>
          </w:p>
        </w:tc>
        <w:tc>
          <w:tcPr>
            <w:tcW w:w="38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农村自建房、多层厂房等砖混、钢混结构拆除（含装车及外运）</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m2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72</w:t>
            </w:r>
            <w:r>
              <w:rPr>
                <w:rFonts w:hint="eastAsia" w:ascii="宋体" w:hAnsi="宋体" w:eastAsia="宋体" w:cs="宋体"/>
                <w:kern w:val="1"/>
                <w:sz w:val="28"/>
                <w:szCs w:val="28"/>
                <w:highlight w:val="none"/>
              </w:rPr>
              <w:t>元/平方米</w:t>
            </w:r>
          </w:p>
        </w:tc>
        <w:tc>
          <w:tcPr>
            <w:tcW w:w="1664"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kern w:val="1"/>
                <w:sz w:val="28"/>
                <w:szCs w:val="28"/>
                <w:highlight w:val="none"/>
              </w:rPr>
            </w:pPr>
          </w:p>
        </w:tc>
      </w:tr>
      <w:tr>
        <w:tblPrEx>
          <w:tblCellMar>
            <w:top w:w="15" w:type="dxa"/>
            <w:left w:w="15" w:type="dxa"/>
            <w:bottom w:w="15" w:type="dxa"/>
            <w:right w:w="15" w:type="dxa"/>
          </w:tblCellMar>
        </w:tblPrEx>
        <w:trPr>
          <w:trHeight w:val="1250"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3</w:t>
            </w:r>
          </w:p>
        </w:tc>
        <w:tc>
          <w:tcPr>
            <w:tcW w:w="3860" w:type="dxa"/>
            <w:tcBorders>
              <w:top w:val="single" w:color="000000" w:sz="4" w:space="0"/>
              <w:left w:val="single" w:color="000000" w:sz="4" w:space="0"/>
              <w:right w:val="single" w:color="000000" w:sz="4" w:space="0"/>
            </w:tcBorders>
            <w:noWrap w:val="0"/>
            <w:vAlign w:val="center"/>
          </w:tcPr>
          <w:p>
            <w:pPr>
              <w:spacing w:line="360" w:lineRule="auto"/>
              <w:jc w:val="left"/>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废料清理外运（含装车及运距）</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m2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20</w:t>
            </w:r>
            <w:r>
              <w:rPr>
                <w:rFonts w:hint="eastAsia" w:ascii="宋体" w:hAnsi="宋体" w:eastAsia="宋体" w:cs="宋体"/>
                <w:kern w:val="1"/>
                <w:sz w:val="28"/>
                <w:szCs w:val="28"/>
                <w:highlight w:val="none"/>
              </w:rPr>
              <w:t>元/平方米</w:t>
            </w:r>
          </w:p>
        </w:tc>
        <w:tc>
          <w:tcPr>
            <w:tcW w:w="1664"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业主不提供废料堆场点；</w:t>
            </w:r>
          </w:p>
        </w:tc>
      </w:tr>
      <w:tr>
        <w:tblPrEx>
          <w:tblCellMar>
            <w:top w:w="15" w:type="dxa"/>
            <w:left w:w="15" w:type="dxa"/>
            <w:bottom w:w="15" w:type="dxa"/>
            <w:right w:w="15" w:type="dxa"/>
          </w:tblCellMar>
        </w:tblPrEx>
        <w:trPr>
          <w:trHeight w:val="645"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4</w:t>
            </w:r>
          </w:p>
        </w:tc>
        <w:tc>
          <w:tcPr>
            <w:tcW w:w="38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水泥地坪：拆除及复垦；</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m2</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lang w:val="en-US" w:eastAsia="zh-CN"/>
              </w:rPr>
              <w:t>20</w:t>
            </w:r>
            <w:r>
              <w:rPr>
                <w:rFonts w:hint="eastAsia" w:ascii="宋体" w:hAnsi="宋体" w:eastAsia="宋体" w:cs="宋体"/>
                <w:kern w:val="1"/>
                <w:sz w:val="28"/>
                <w:szCs w:val="28"/>
                <w:highlight w:val="none"/>
              </w:rPr>
              <w:t>元/平方米</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p>
        </w:tc>
      </w:tr>
      <w:tr>
        <w:tblPrEx>
          <w:tblCellMar>
            <w:top w:w="15" w:type="dxa"/>
            <w:left w:w="15" w:type="dxa"/>
            <w:bottom w:w="15" w:type="dxa"/>
            <w:right w:w="15" w:type="dxa"/>
          </w:tblCellMar>
        </w:tblPrEx>
        <w:trPr>
          <w:trHeight w:val="655" w:hRule="atLeast"/>
          <w:jc w:val="center"/>
        </w:trPr>
        <w:tc>
          <w:tcPr>
            <w:tcW w:w="67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5</w:t>
            </w:r>
          </w:p>
        </w:tc>
        <w:tc>
          <w:tcPr>
            <w:tcW w:w="386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砖砌围墙拆除；</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80" w:firstLineChars="100"/>
              <w:rPr>
                <w:rFonts w:hint="eastAsia" w:ascii="宋体" w:hAnsi="宋体" w:eastAsia="宋体" w:cs="宋体"/>
                <w:kern w:val="1"/>
                <w:sz w:val="28"/>
                <w:szCs w:val="28"/>
                <w:highlight w:val="none"/>
                <w:lang w:val="en-US" w:eastAsia="zh-CN"/>
              </w:rPr>
            </w:pPr>
            <w:r>
              <w:rPr>
                <w:rFonts w:hint="eastAsia" w:ascii="宋体" w:hAnsi="宋体" w:eastAsia="宋体" w:cs="宋体"/>
                <w:kern w:val="1"/>
                <w:sz w:val="28"/>
                <w:szCs w:val="28"/>
                <w:highlight w:val="none"/>
                <w:lang w:val="en-US" w:eastAsia="zh-CN"/>
              </w:rPr>
              <w:t>m</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r>
              <w:rPr>
                <w:rFonts w:hint="eastAsia" w:ascii="宋体" w:hAnsi="宋体" w:eastAsia="宋体" w:cs="宋体"/>
                <w:kern w:val="1"/>
                <w:sz w:val="28"/>
                <w:szCs w:val="28"/>
                <w:highlight w:val="none"/>
              </w:rPr>
              <w:t>10元/米</w:t>
            </w:r>
          </w:p>
        </w:tc>
        <w:tc>
          <w:tcPr>
            <w:tcW w:w="166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kern w:val="1"/>
                <w:sz w:val="28"/>
                <w:szCs w:val="28"/>
                <w:highlight w:val="none"/>
              </w:rPr>
            </w:pPr>
          </w:p>
        </w:tc>
      </w:tr>
    </w:tbl>
    <w:p>
      <w:pPr>
        <w:ind w:firstLine="482"/>
        <w:rPr>
          <w:rFonts w:hint="eastAsia"/>
          <w:sz w:val="24"/>
          <w:szCs w:val="22"/>
          <w:highlight w:val="none"/>
          <w:lang w:val="en-US" w:eastAsia="zh-CN"/>
        </w:rPr>
      </w:pPr>
      <w:r>
        <w:rPr>
          <w:rFonts w:hint="eastAsia" w:ascii="宋体" w:hAnsi="宋体" w:eastAsia="宋体" w:cs="宋体"/>
          <w:b w:val="0"/>
          <w:bCs/>
          <w:color w:val="000000"/>
          <w:kern w:val="2"/>
          <w:sz w:val="24"/>
          <w:szCs w:val="24"/>
          <w:lang w:val="en-US" w:eastAsia="zh-CN" w:bidi="ar-SA"/>
        </w:rPr>
        <w:t>第二种结算方式（以综合单价按实结算）具体综合单价如下</w:t>
      </w:r>
      <w:r>
        <w:rPr>
          <w:rFonts w:hint="eastAsia"/>
          <w:sz w:val="24"/>
          <w:szCs w:val="22"/>
          <w:highlight w:val="none"/>
          <w:lang w:val="en-US" w:eastAsia="zh-CN"/>
        </w:rPr>
        <w:t>：</w:t>
      </w:r>
    </w:p>
    <w:p>
      <w:pPr>
        <w:pStyle w:val="2"/>
        <w:ind w:firstLine="480" w:firstLineChars="200"/>
        <w:rPr>
          <w:rFonts w:hint="eastAsia"/>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val="0"/>
          <w:color w:val="000000"/>
          <w:kern w:val="2"/>
          <w:sz w:val="24"/>
          <w:szCs w:val="24"/>
          <w:lang w:val="en-US" w:eastAsia="zh-CN" w:bidi="ar-SA"/>
        </w:rPr>
        <w:t>四、服务期限：</w:t>
      </w:r>
      <w:r>
        <w:rPr>
          <w:rFonts w:hint="eastAsia" w:ascii="宋体" w:hAnsi="宋体" w:cs="宋体"/>
          <w:b/>
          <w:bCs w:val="0"/>
          <w:color w:val="000000"/>
          <w:kern w:val="2"/>
          <w:sz w:val="24"/>
          <w:szCs w:val="24"/>
          <w:lang w:val="en-US" w:eastAsia="zh-CN" w:bidi="ar-SA"/>
        </w:rPr>
        <w:t>壹</w:t>
      </w:r>
      <w:r>
        <w:rPr>
          <w:rFonts w:hint="eastAsia" w:ascii="宋体" w:hAnsi="宋体" w:eastAsia="宋体" w:cs="宋体"/>
          <w:b/>
          <w:bCs w:val="0"/>
          <w:kern w:val="2"/>
          <w:sz w:val="24"/>
          <w:szCs w:val="24"/>
          <w:lang w:val="en-US" w:eastAsia="zh-CN" w:bidi="ar-SA"/>
        </w:rPr>
        <w:t>年</w:t>
      </w:r>
      <w:r>
        <w:rPr>
          <w:rFonts w:hint="eastAsia" w:ascii="宋体" w:hAnsi="宋体" w:eastAsia="宋体" w:cs="宋体"/>
          <w:b/>
          <w:bCs/>
          <w:kern w:val="2"/>
          <w:sz w:val="24"/>
          <w:szCs w:val="24"/>
          <w:lang w:val="en-US" w:eastAsia="zh-CN" w:bidi="ar-SA"/>
        </w:rPr>
        <w:t>（具体日期以合同协议书签订时间为准）</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2" w:firstLineChars="200"/>
        <w:jc w:val="both"/>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五、付款方式：</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kern w:val="2"/>
          <w:sz w:val="24"/>
          <w:szCs w:val="24"/>
          <w:highlight w:val="none"/>
          <w:lang w:val="en-US" w:eastAsia="zh-CN" w:bidi="ar-SA"/>
        </w:rPr>
        <w:t>1、</w:t>
      </w:r>
      <w:r>
        <w:rPr>
          <w:rFonts w:hint="default" w:ascii="宋体" w:hAnsi="宋体" w:eastAsia="宋体" w:cs="宋体"/>
          <w:b w:val="0"/>
          <w:bCs/>
          <w:color w:val="000000"/>
          <w:kern w:val="2"/>
          <w:sz w:val="24"/>
          <w:szCs w:val="24"/>
          <w:highlight w:val="none"/>
          <w:lang w:val="en-US" w:eastAsia="zh-CN" w:bidi="ar-SA"/>
        </w:rPr>
        <w:t>在合同签订后且中标供应商响应文件中承诺的人员、机械设备、车辆、材料投入等均配备到位后的7个工作日内，采购人支付合同金额50%作为预付款（按支付比例逐步扣回）。</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b w:val="0"/>
          <w:bCs/>
          <w:color w:val="000000"/>
          <w:kern w:val="2"/>
          <w:sz w:val="24"/>
          <w:szCs w:val="24"/>
          <w:highlight w:val="none"/>
          <w:lang w:val="en-US" w:eastAsia="zh-CN" w:bidi="ar-SA"/>
        </w:rPr>
      </w:pPr>
      <w:r>
        <w:rPr>
          <w:rFonts w:hint="eastAsia" w:ascii="宋体" w:hAnsi="宋体" w:cs="宋体"/>
          <w:b w:val="0"/>
          <w:bCs/>
          <w:color w:val="000000"/>
          <w:kern w:val="2"/>
          <w:sz w:val="24"/>
          <w:szCs w:val="24"/>
          <w:highlight w:val="none"/>
          <w:lang w:val="en-US" w:eastAsia="zh-CN" w:bidi="ar-SA"/>
        </w:rPr>
        <w:t>2、</w:t>
      </w:r>
      <w:r>
        <w:rPr>
          <w:rFonts w:hint="default" w:ascii="宋体" w:hAnsi="宋体" w:eastAsia="宋体" w:cs="宋体"/>
          <w:b w:val="0"/>
          <w:bCs/>
          <w:color w:val="000000"/>
          <w:kern w:val="2"/>
          <w:sz w:val="24"/>
          <w:szCs w:val="24"/>
          <w:highlight w:val="none"/>
          <w:lang w:val="en-US" w:eastAsia="zh-CN" w:bidi="ar-SA"/>
        </w:rPr>
        <w:t>本项目采用先服务后支付的办法。每季度服务结束后采购人向中标人支付上季度服务费（按比例扣回预付款）；服务期结束后（或最后一次付款时）根据中标单位服务情况根据实施服务情况扣除处罚款项后支付剩余款项（含预付款）。</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kern w:val="2"/>
          <w:sz w:val="24"/>
          <w:szCs w:val="24"/>
          <w:highlight w:val="none"/>
          <w:lang w:val="en-US" w:eastAsia="zh-CN" w:bidi="ar-SA"/>
        </w:rPr>
        <w:t>3、</w:t>
      </w:r>
      <w:r>
        <w:rPr>
          <w:rFonts w:hint="default" w:ascii="宋体" w:hAnsi="宋体" w:eastAsia="宋体" w:cs="宋体"/>
          <w:b w:val="0"/>
          <w:bCs/>
          <w:color w:val="000000"/>
          <w:kern w:val="2"/>
          <w:sz w:val="24"/>
          <w:szCs w:val="24"/>
          <w:highlight w:val="none"/>
          <w:lang w:val="en-US" w:eastAsia="zh-CN" w:bidi="ar-SA"/>
        </w:rPr>
        <w:t>中标单价乘以实际完成工程量，工程量由发包人与承包人共同确认</w:t>
      </w:r>
      <w:r>
        <w:rPr>
          <w:rFonts w:hint="eastAsia" w:ascii="宋体" w:hAnsi="宋体" w:cs="宋体"/>
          <w:b w:val="0"/>
          <w:bCs/>
          <w:color w:val="000000"/>
          <w:kern w:val="2"/>
          <w:sz w:val="24"/>
          <w:szCs w:val="24"/>
          <w:highlight w:val="none"/>
          <w:lang w:val="en-US" w:eastAsia="zh-CN" w:bidi="ar-SA"/>
        </w:rPr>
        <w:t>，</w:t>
      </w:r>
      <w:r>
        <w:rPr>
          <w:rFonts w:hint="default" w:ascii="宋体" w:hAnsi="宋体" w:eastAsia="宋体" w:cs="宋体"/>
          <w:b w:val="0"/>
          <w:bCs/>
          <w:color w:val="000000"/>
          <w:kern w:val="2"/>
          <w:sz w:val="24"/>
          <w:szCs w:val="24"/>
          <w:highlight w:val="none"/>
          <w:lang w:val="en-US" w:eastAsia="zh-CN" w:bidi="ar-SA"/>
        </w:rPr>
        <w:t>但总金额不能超过各标项采购预算（采购预算</w:t>
      </w:r>
      <w:r>
        <w:rPr>
          <w:rFonts w:hint="eastAsia" w:ascii="宋体" w:hAnsi="宋体" w:cs="宋体"/>
          <w:b w:val="0"/>
          <w:bCs/>
          <w:color w:val="000000"/>
          <w:kern w:val="2"/>
          <w:sz w:val="24"/>
          <w:szCs w:val="24"/>
          <w:highlight w:val="none"/>
          <w:lang w:val="en-US" w:eastAsia="zh-CN" w:bidi="ar-SA"/>
        </w:rPr>
        <w:t>350</w:t>
      </w:r>
      <w:r>
        <w:rPr>
          <w:rFonts w:hint="default" w:ascii="宋体" w:hAnsi="宋体" w:eastAsia="宋体" w:cs="宋体"/>
          <w:b w:val="0"/>
          <w:bCs/>
          <w:color w:val="000000"/>
          <w:kern w:val="2"/>
          <w:sz w:val="24"/>
          <w:szCs w:val="24"/>
          <w:highlight w:val="none"/>
          <w:lang w:val="en-US" w:eastAsia="zh-CN" w:bidi="ar-SA"/>
        </w:rPr>
        <w:t>万元）</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kern w:val="2"/>
          <w:sz w:val="24"/>
          <w:szCs w:val="24"/>
          <w:highlight w:val="none"/>
          <w:lang w:val="en-US" w:eastAsia="zh-CN" w:bidi="ar-SA"/>
        </w:rPr>
        <w:t>4、</w:t>
      </w:r>
      <w:r>
        <w:rPr>
          <w:rFonts w:hint="default" w:ascii="宋体" w:hAnsi="宋体" w:eastAsia="宋体" w:cs="宋体"/>
          <w:b w:val="0"/>
          <w:bCs/>
          <w:color w:val="000000"/>
          <w:kern w:val="2"/>
          <w:sz w:val="24"/>
          <w:szCs w:val="24"/>
          <w:highlight w:val="none"/>
          <w:lang w:val="en-US" w:eastAsia="zh-CN" w:bidi="ar-SA"/>
        </w:rPr>
        <w:t>场地平整及小区违建拆除费用</w:t>
      </w:r>
      <w:r>
        <w:rPr>
          <w:rFonts w:hint="eastAsia" w:ascii="宋体" w:hAnsi="宋体" w:eastAsia="宋体" w:cs="宋体"/>
          <w:b w:val="0"/>
          <w:bCs/>
          <w:color w:val="000000"/>
          <w:kern w:val="2"/>
          <w:sz w:val="24"/>
          <w:szCs w:val="24"/>
          <w:highlight w:val="none"/>
          <w:lang w:val="en-US" w:eastAsia="zh-CN" w:bidi="ar-SA"/>
        </w:rPr>
        <w:t>按实</w:t>
      </w:r>
      <w:r>
        <w:rPr>
          <w:rFonts w:hint="default" w:ascii="宋体" w:hAnsi="宋体" w:eastAsia="宋体" w:cs="宋体"/>
          <w:b w:val="0"/>
          <w:bCs/>
          <w:color w:val="000000"/>
          <w:kern w:val="2"/>
          <w:sz w:val="24"/>
          <w:szCs w:val="24"/>
          <w:highlight w:val="none"/>
          <w:lang w:val="en-US" w:eastAsia="zh-CN" w:bidi="ar-SA"/>
        </w:rPr>
        <w:t>结算。</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b w:val="0"/>
          <w:bCs/>
          <w:color w:val="000000"/>
          <w:kern w:val="2"/>
          <w:sz w:val="24"/>
          <w:szCs w:val="24"/>
          <w:highlight w:val="none"/>
          <w:lang w:val="en-US" w:eastAsia="zh-CN" w:bidi="ar-SA"/>
        </w:rPr>
      </w:pPr>
      <w:r>
        <w:rPr>
          <w:rFonts w:hint="eastAsia" w:ascii="宋体" w:hAnsi="宋体" w:eastAsia="宋体" w:cs="宋体"/>
          <w:b w:val="0"/>
          <w:bCs/>
          <w:color w:val="000000"/>
          <w:kern w:val="2"/>
          <w:sz w:val="24"/>
          <w:szCs w:val="24"/>
          <w:highlight w:val="none"/>
          <w:lang w:val="en-US" w:eastAsia="zh-CN" w:bidi="ar-SA"/>
        </w:rPr>
        <w:t>5、付款前供应商应提供符合规定的发票。</w:t>
      </w:r>
      <w:bookmarkEnd w:id="28"/>
      <w:bookmarkEnd w:id="29"/>
    </w:p>
    <w:p>
      <w:pPr>
        <w:keepNext w:val="0"/>
        <w:keepLines w:val="0"/>
        <w:pageBreakBefore w:val="0"/>
        <w:numPr>
          <w:ilvl w:val="0"/>
          <w:numId w:val="0"/>
        </w:numPr>
        <w:kinsoku/>
        <w:wordWrap/>
        <w:overflowPunct/>
        <w:topLinePunct w:val="0"/>
        <w:autoSpaceDE/>
        <w:autoSpaceDN/>
        <w:bidi w:val="0"/>
        <w:adjustRightInd w:val="0"/>
        <w:spacing w:line="360" w:lineRule="auto"/>
        <w:ind w:right="0" w:rightChars="0" w:firstLine="482" w:firstLineChars="200"/>
        <w:textAlignment w:val="auto"/>
        <w:outlineLvl w:val="9"/>
        <w:rPr>
          <w:rFonts w:hint="eastAsia" w:ascii="宋体" w:hAnsi="宋体" w:eastAsia="宋体" w:cs="宋体"/>
          <w:b w:val="0"/>
          <w:bCs/>
          <w:color w:val="000000"/>
          <w:kern w:val="2"/>
          <w:sz w:val="24"/>
          <w:szCs w:val="24"/>
          <w:highlight w:val="none"/>
          <w:lang w:val="en-US" w:eastAsia="zh-CN" w:bidi="ar-SA"/>
        </w:rPr>
      </w:pPr>
      <w:r>
        <w:rPr>
          <w:rFonts w:hint="eastAsia" w:ascii="宋体" w:hAnsi="宋体" w:eastAsia="宋体" w:cs="宋体"/>
          <w:b/>
          <w:bCs w:val="0"/>
          <w:color w:val="000000"/>
          <w:kern w:val="2"/>
          <w:sz w:val="24"/>
          <w:szCs w:val="24"/>
          <w:lang w:val="en-US" w:eastAsia="zh-CN" w:bidi="ar-SA"/>
        </w:rPr>
        <w:t>六、履约保证金的缴纳和退付：</w:t>
      </w:r>
      <w:r>
        <w:rPr>
          <w:rFonts w:hint="eastAsia" w:ascii="宋体" w:hAnsi="宋体" w:eastAsia="宋体" w:cs="宋体"/>
          <w:b w:val="0"/>
          <w:bCs/>
          <w:color w:val="000000"/>
          <w:kern w:val="2"/>
          <w:sz w:val="24"/>
          <w:szCs w:val="24"/>
          <w:highlight w:val="none"/>
          <w:lang w:val="en-US" w:eastAsia="zh-CN" w:bidi="ar-SA"/>
        </w:rPr>
        <w:t>无</w:t>
      </w:r>
    </w:p>
    <w:p>
      <w:pPr>
        <w:pStyle w:val="5"/>
        <w:ind w:left="434" w:leftChars="202" w:hanging="10" w:hangingChars="4"/>
        <w:rPr>
          <w:rFonts w:hint="eastAsia" w:ascii="宋体" w:hAnsi="宋体" w:eastAsia="宋体" w:cs="宋体"/>
          <w:b/>
          <w:bCs w:val="0"/>
          <w:color w:val="000000"/>
          <w:kern w:val="2"/>
          <w:sz w:val="24"/>
          <w:szCs w:val="24"/>
          <w:lang w:val="en-US" w:eastAsia="zh-CN" w:bidi="ar-SA"/>
        </w:rPr>
      </w:pPr>
      <w:r>
        <w:rPr>
          <w:rFonts w:hint="eastAsia" w:ascii="宋体" w:hAnsi="宋体" w:eastAsia="宋体" w:cs="宋体"/>
          <w:b/>
          <w:bCs w:val="0"/>
          <w:color w:val="000000"/>
          <w:kern w:val="2"/>
          <w:sz w:val="24"/>
          <w:szCs w:val="24"/>
          <w:lang w:val="en-US" w:eastAsia="zh-CN" w:bidi="ar-SA"/>
        </w:rPr>
        <w:t>七、服务验收：</w:t>
      </w:r>
      <w:r>
        <w:rPr>
          <w:rFonts w:hint="eastAsia" w:ascii="宋体" w:hAnsi="宋体" w:eastAsia="宋体" w:cs="宋体"/>
          <w:b w:val="0"/>
          <w:bCs/>
          <w:color w:val="000000"/>
          <w:kern w:val="2"/>
          <w:sz w:val="24"/>
          <w:szCs w:val="24"/>
          <w:highlight w:val="none"/>
          <w:lang w:val="en-US" w:eastAsia="zh-CN" w:bidi="ar-SA"/>
        </w:rPr>
        <w:t>采购人自行验收。</w:t>
      </w:r>
    </w:p>
    <w:p>
      <w:pPr>
        <w:pStyle w:val="5"/>
        <w:ind w:left="434" w:leftChars="202" w:hanging="10" w:hangingChars="4"/>
        <w:rPr>
          <w:rFonts w:hint="eastAsia" w:ascii="宋体" w:hAnsi="宋体" w:eastAsia="宋体" w:cs="宋体"/>
          <w:b/>
          <w:bCs w:val="0"/>
          <w:color w:val="000000"/>
          <w:kern w:val="2"/>
          <w:sz w:val="24"/>
          <w:szCs w:val="24"/>
          <w:lang w:val="en-US" w:eastAsia="zh-CN" w:bidi="ar-SA"/>
        </w:rPr>
      </w:pPr>
      <w:r>
        <w:rPr>
          <w:rFonts w:hint="eastAsia" w:ascii="宋体" w:hAnsi="宋体" w:eastAsia="宋体" w:cs="宋体"/>
          <w:b/>
          <w:bCs w:val="0"/>
          <w:color w:val="000000"/>
          <w:kern w:val="2"/>
          <w:sz w:val="24"/>
          <w:szCs w:val="24"/>
          <w:lang w:val="en-US" w:eastAsia="zh-CN" w:bidi="ar-SA"/>
        </w:rPr>
        <w:t>八、其他要求：</w:t>
      </w:r>
      <w:r>
        <w:rPr>
          <w:rFonts w:hint="eastAsia" w:ascii="宋体" w:hAnsi="宋体" w:eastAsia="宋体" w:cs="宋体"/>
          <w:b w:val="0"/>
          <w:bCs/>
          <w:color w:val="000000"/>
          <w:kern w:val="2"/>
          <w:sz w:val="24"/>
          <w:szCs w:val="24"/>
          <w:highlight w:val="none"/>
          <w:lang w:val="en-US" w:eastAsia="zh-CN" w:bidi="ar-SA"/>
        </w:rPr>
        <w:t>未明事宜双方另行约定。</w:t>
      </w:r>
    </w:p>
    <w:p>
      <w:pPr>
        <w:spacing w:line="360" w:lineRule="auto"/>
        <w:jc w:val="both"/>
        <w:outlineLvl w:val="0"/>
        <w:rPr>
          <w:rFonts w:hint="eastAsia" w:ascii="宋体" w:hAnsi="宋体" w:cs="宋体"/>
          <w:b/>
          <w:sz w:val="36"/>
          <w:szCs w:val="36"/>
        </w:rPr>
      </w:pPr>
    </w:p>
    <w:p>
      <w:pPr>
        <w:spacing w:line="360" w:lineRule="auto"/>
        <w:jc w:val="both"/>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0" w:name="_Toc184314426"/>
      <w:bookmarkEnd w:id="30"/>
      <w:bookmarkStart w:id="31" w:name="_Toc184314412"/>
      <w:bookmarkEnd w:id="31"/>
      <w:bookmarkStart w:id="32" w:name="_Toc184308097"/>
      <w:bookmarkEnd w:id="32"/>
      <w:bookmarkStart w:id="33" w:name="_Toc184310306"/>
      <w:bookmarkEnd w:id="33"/>
      <w:bookmarkStart w:id="34" w:name="_Toc184310331"/>
      <w:bookmarkEnd w:id="34"/>
      <w:bookmarkStart w:id="35" w:name="_Toc184310313"/>
      <w:bookmarkEnd w:id="35"/>
      <w:bookmarkStart w:id="36" w:name="_Toc184313301"/>
      <w:bookmarkEnd w:id="36"/>
      <w:bookmarkStart w:id="37" w:name="_Toc184310282"/>
      <w:bookmarkEnd w:id="37"/>
      <w:bookmarkStart w:id="38" w:name="_Toc184313299"/>
      <w:bookmarkEnd w:id="38"/>
      <w:bookmarkStart w:id="39" w:name="_Toc184308065"/>
      <w:bookmarkEnd w:id="39"/>
      <w:bookmarkStart w:id="40" w:name="_Toc184312114"/>
      <w:bookmarkEnd w:id="40"/>
      <w:bookmarkStart w:id="41" w:name="_Toc184312076"/>
      <w:bookmarkEnd w:id="41"/>
      <w:bookmarkStart w:id="42" w:name="_Toc184310295"/>
      <w:bookmarkEnd w:id="42"/>
      <w:bookmarkStart w:id="43" w:name="_Toc184314462"/>
      <w:bookmarkEnd w:id="43"/>
      <w:bookmarkStart w:id="44" w:name="_Toc184314432"/>
      <w:bookmarkEnd w:id="44"/>
      <w:bookmarkStart w:id="45" w:name="_Toc184312105"/>
      <w:bookmarkEnd w:id="45"/>
      <w:bookmarkStart w:id="46" w:name="_Toc184310332"/>
      <w:bookmarkEnd w:id="46"/>
      <w:bookmarkStart w:id="47" w:name="_Toc184310292"/>
      <w:bookmarkEnd w:id="47"/>
      <w:bookmarkStart w:id="48" w:name="_Toc184313257"/>
      <w:bookmarkEnd w:id="48"/>
      <w:bookmarkStart w:id="49" w:name="_Toc184312115"/>
      <w:bookmarkEnd w:id="49"/>
      <w:bookmarkStart w:id="50" w:name="_Toc184312101"/>
      <w:bookmarkEnd w:id="50"/>
      <w:bookmarkStart w:id="51" w:name="_Toc184312079"/>
      <w:bookmarkEnd w:id="51"/>
      <w:bookmarkStart w:id="52" w:name="_Toc184310310"/>
      <w:bookmarkEnd w:id="52"/>
      <w:bookmarkStart w:id="53" w:name="_Toc184312070"/>
      <w:bookmarkEnd w:id="53"/>
      <w:bookmarkStart w:id="54" w:name="_Toc184314459"/>
      <w:bookmarkEnd w:id="54"/>
      <w:bookmarkStart w:id="55" w:name="_Toc184314455"/>
      <w:bookmarkEnd w:id="55"/>
      <w:bookmarkStart w:id="56" w:name="_Toc184313267"/>
      <w:bookmarkEnd w:id="56"/>
      <w:bookmarkStart w:id="57" w:name="_Toc184314475"/>
      <w:bookmarkEnd w:id="57"/>
      <w:bookmarkStart w:id="58" w:name="_Toc184310279"/>
      <w:bookmarkEnd w:id="58"/>
      <w:bookmarkStart w:id="59" w:name="_Toc184313255"/>
      <w:bookmarkEnd w:id="59"/>
      <w:bookmarkStart w:id="60" w:name="_Toc184314473"/>
      <w:bookmarkEnd w:id="60"/>
      <w:bookmarkStart w:id="61" w:name="_Toc184313242"/>
      <w:bookmarkEnd w:id="61"/>
      <w:bookmarkStart w:id="62" w:name="_Toc184308105"/>
      <w:bookmarkEnd w:id="62"/>
      <w:bookmarkStart w:id="63" w:name="_Toc184312121"/>
      <w:bookmarkEnd w:id="63"/>
      <w:bookmarkStart w:id="64" w:name="_Toc184312135"/>
      <w:bookmarkEnd w:id="64"/>
      <w:bookmarkStart w:id="65" w:name="_Toc184308089"/>
      <w:bookmarkEnd w:id="65"/>
      <w:bookmarkStart w:id="66" w:name="_Toc184310344"/>
      <w:bookmarkEnd w:id="66"/>
      <w:bookmarkStart w:id="67" w:name="_Toc184312137"/>
      <w:bookmarkEnd w:id="67"/>
      <w:bookmarkStart w:id="68" w:name="_Toc184314442"/>
      <w:bookmarkEnd w:id="68"/>
      <w:bookmarkStart w:id="69" w:name="_Toc184314471"/>
      <w:bookmarkEnd w:id="69"/>
      <w:bookmarkStart w:id="70" w:name="_Toc184313243"/>
      <w:bookmarkEnd w:id="70"/>
      <w:bookmarkStart w:id="71" w:name="_Toc184312096"/>
      <w:bookmarkEnd w:id="71"/>
      <w:bookmarkStart w:id="72" w:name="_Toc184313283"/>
      <w:bookmarkEnd w:id="72"/>
      <w:bookmarkStart w:id="73" w:name="_Toc184314422"/>
      <w:bookmarkEnd w:id="73"/>
      <w:bookmarkStart w:id="74" w:name="_Toc184313289"/>
      <w:bookmarkEnd w:id="74"/>
      <w:bookmarkStart w:id="75" w:name="_Toc184308075"/>
      <w:bookmarkEnd w:id="75"/>
      <w:bookmarkStart w:id="76" w:name="_Toc184312080"/>
      <w:bookmarkEnd w:id="76"/>
      <w:bookmarkStart w:id="77" w:name="_Toc184310287"/>
      <w:bookmarkEnd w:id="77"/>
      <w:bookmarkStart w:id="78" w:name="_Toc184312072"/>
      <w:bookmarkEnd w:id="78"/>
      <w:bookmarkStart w:id="79" w:name="_Toc184313300"/>
      <w:bookmarkEnd w:id="79"/>
      <w:bookmarkStart w:id="80" w:name="_Toc184310291"/>
      <w:bookmarkEnd w:id="80"/>
      <w:bookmarkStart w:id="81" w:name="_Toc184313261"/>
      <w:bookmarkEnd w:id="81"/>
      <w:bookmarkStart w:id="82" w:name="_Toc184313240"/>
      <w:bookmarkEnd w:id="82"/>
      <w:bookmarkStart w:id="83" w:name="_Toc184314433"/>
      <w:bookmarkEnd w:id="83"/>
      <w:bookmarkStart w:id="84" w:name="_Toc184312086"/>
      <w:bookmarkEnd w:id="84"/>
      <w:bookmarkStart w:id="85" w:name="_Toc184310324"/>
      <w:bookmarkEnd w:id="85"/>
      <w:bookmarkStart w:id="86" w:name="_Toc184308085"/>
      <w:bookmarkEnd w:id="86"/>
      <w:bookmarkStart w:id="87" w:name="_Toc184314472"/>
      <w:bookmarkEnd w:id="87"/>
      <w:bookmarkStart w:id="88" w:name="_Toc184308093"/>
      <w:bookmarkEnd w:id="88"/>
      <w:bookmarkStart w:id="89" w:name="_Toc184313268"/>
      <w:bookmarkEnd w:id="89"/>
      <w:bookmarkStart w:id="90" w:name="_Toc184314444"/>
      <w:bookmarkEnd w:id="90"/>
      <w:bookmarkStart w:id="91" w:name="_Toc184314458"/>
      <w:bookmarkEnd w:id="91"/>
      <w:bookmarkStart w:id="92" w:name="_Toc184310343"/>
      <w:bookmarkEnd w:id="92"/>
      <w:bookmarkStart w:id="93" w:name="_Toc184314448"/>
      <w:bookmarkEnd w:id="93"/>
      <w:bookmarkStart w:id="94" w:name="_Toc184312103"/>
      <w:bookmarkEnd w:id="94"/>
      <w:bookmarkStart w:id="95" w:name="_Toc184308071"/>
      <w:bookmarkEnd w:id="95"/>
      <w:bookmarkStart w:id="96" w:name="_Toc184313291"/>
      <w:bookmarkEnd w:id="96"/>
      <w:bookmarkStart w:id="97" w:name="_Toc184313238"/>
      <w:bookmarkEnd w:id="97"/>
      <w:bookmarkStart w:id="98" w:name="_Toc184308090"/>
      <w:bookmarkEnd w:id="98"/>
      <w:bookmarkStart w:id="99" w:name="_Toc184312117"/>
      <w:bookmarkEnd w:id="99"/>
      <w:bookmarkStart w:id="100" w:name="_Toc184310342"/>
      <w:bookmarkEnd w:id="100"/>
      <w:bookmarkStart w:id="101" w:name="_Toc184313308"/>
      <w:bookmarkEnd w:id="101"/>
      <w:bookmarkStart w:id="102" w:name="_Toc184308052"/>
      <w:bookmarkEnd w:id="102"/>
      <w:bookmarkStart w:id="103" w:name="_Toc184314431"/>
      <w:bookmarkEnd w:id="103"/>
      <w:bookmarkStart w:id="104" w:name="_Toc184310293"/>
      <w:bookmarkEnd w:id="104"/>
      <w:bookmarkStart w:id="105" w:name="_Toc184308062"/>
      <w:bookmarkEnd w:id="105"/>
      <w:bookmarkStart w:id="106" w:name="_Toc184310336"/>
      <w:bookmarkEnd w:id="106"/>
      <w:bookmarkStart w:id="107" w:name="_Toc184310327"/>
      <w:bookmarkEnd w:id="107"/>
      <w:bookmarkStart w:id="108" w:name="_Toc184313258"/>
      <w:bookmarkEnd w:id="108"/>
      <w:bookmarkStart w:id="109" w:name="_Toc184313273"/>
      <w:bookmarkEnd w:id="109"/>
      <w:bookmarkStart w:id="110" w:name="_Toc184308046"/>
      <w:bookmarkEnd w:id="110"/>
      <w:bookmarkStart w:id="111" w:name="_Toc184310305"/>
      <w:bookmarkEnd w:id="111"/>
      <w:bookmarkStart w:id="112" w:name="_Toc184308107"/>
      <w:bookmarkEnd w:id="112"/>
      <w:bookmarkStart w:id="113" w:name="_Toc184308045"/>
      <w:bookmarkEnd w:id="113"/>
      <w:bookmarkStart w:id="114" w:name="_Toc184313287"/>
      <w:bookmarkEnd w:id="114"/>
      <w:bookmarkStart w:id="115" w:name="_Toc184308082"/>
      <w:bookmarkEnd w:id="115"/>
      <w:bookmarkStart w:id="116" w:name="_Toc184312071"/>
      <w:bookmarkEnd w:id="116"/>
      <w:bookmarkStart w:id="117" w:name="_Toc184312085"/>
      <w:bookmarkEnd w:id="117"/>
      <w:bookmarkStart w:id="118" w:name="_Toc184312110"/>
      <w:bookmarkEnd w:id="118"/>
      <w:bookmarkStart w:id="119" w:name="_Toc184313276"/>
      <w:bookmarkEnd w:id="119"/>
      <w:bookmarkStart w:id="120" w:name="_Toc184313284"/>
      <w:bookmarkEnd w:id="120"/>
      <w:bookmarkStart w:id="121" w:name="_Toc184308053"/>
      <w:bookmarkEnd w:id="121"/>
      <w:bookmarkStart w:id="122" w:name="_Toc184312129"/>
      <w:bookmarkEnd w:id="122"/>
      <w:bookmarkStart w:id="123" w:name="_Toc184312087"/>
      <w:bookmarkEnd w:id="123"/>
      <w:bookmarkStart w:id="124" w:name="_Toc184312104"/>
      <w:bookmarkEnd w:id="124"/>
      <w:bookmarkStart w:id="125" w:name="_Toc184312068"/>
      <w:bookmarkEnd w:id="125"/>
      <w:bookmarkStart w:id="126" w:name="_Toc184314420"/>
      <w:bookmarkEnd w:id="126"/>
      <w:bookmarkStart w:id="127" w:name="_Toc184312089"/>
      <w:bookmarkEnd w:id="127"/>
      <w:bookmarkStart w:id="128" w:name="_Toc184308094"/>
      <w:bookmarkEnd w:id="128"/>
      <w:bookmarkStart w:id="129" w:name="_Toc184310285"/>
      <w:bookmarkEnd w:id="129"/>
      <w:bookmarkStart w:id="130" w:name="_Toc184312088"/>
      <w:bookmarkEnd w:id="130"/>
      <w:bookmarkStart w:id="131" w:name="_Toc184310334"/>
      <w:bookmarkEnd w:id="131"/>
      <w:bookmarkStart w:id="132" w:name="_Toc184313269"/>
      <w:bookmarkEnd w:id="132"/>
      <w:bookmarkStart w:id="133" w:name="_Toc184308103"/>
      <w:bookmarkEnd w:id="133"/>
      <w:bookmarkStart w:id="134" w:name="_Toc184312092"/>
      <w:bookmarkEnd w:id="134"/>
      <w:bookmarkStart w:id="135" w:name="_Toc184312094"/>
      <w:bookmarkEnd w:id="135"/>
      <w:bookmarkStart w:id="136" w:name="_Toc184314416"/>
      <w:bookmarkEnd w:id="136"/>
      <w:bookmarkStart w:id="137" w:name="_Toc184314434"/>
      <w:bookmarkEnd w:id="137"/>
      <w:bookmarkStart w:id="138" w:name="_Toc184312136"/>
      <w:bookmarkEnd w:id="138"/>
      <w:bookmarkStart w:id="139" w:name="_Toc184314474"/>
      <w:bookmarkEnd w:id="139"/>
      <w:bookmarkStart w:id="140" w:name="_Toc184312134"/>
      <w:bookmarkEnd w:id="140"/>
      <w:bookmarkStart w:id="141" w:name="_Toc184310300"/>
      <w:bookmarkEnd w:id="141"/>
      <w:bookmarkStart w:id="142" w:name="_Toc184313272"/>
      <w:bookmarkEnd w:id="142"/>
      <w:bookmarkStart w:id="143" w:name="_Toc184308106"/>
      <w:bookmarkEnd w:id="143"/>
      <w:bookmarkStart w:id="144" w:name="_Toc184313253"/>
      <w:bookmarkEnd w:id="144"/>
      <w:bookmarkStart w:id="145" w:name="_Toc184308088"/>
      <w:bookmarkEnd w:id="145"/>
      <w:bookmarkStart w:id="146" w:name="_Toc184308042"/>
      <w:bookmarkEnd w:id="146"/>
      <w:bookmarkStart w:id="147" w:name="_Toc184314477"/>
      <w:bookmarkEnd w:id="147"/>
      <w:bookmarkStart w:id="148" w:name="_Toc184312075"/>
      <w:bookmarkEnd w:id="148"/>
      <w:bookmarkStart w:id="149" w:name="_Toc184313239"/>
      <w:bookmarkEnd w:id="149"/>
      <w:bookmarkStart w:id="150" w:name="_Toc184313302"/>
      <w:bookmarkEnd w:id="150"/>
      <w:bookmarkStart w:id="151" w:name="_Toc184313264"/>
      <w:bookmarkEnd w:id="151"/>
      <w:bookmarkStart w:id="152" w:name="_Toc184308037"/>
      <w:bookmarkEnd w:id="152"/>
      <w:bookmarkStart w:id="153" w:name="_Toc184308096"/>
      <w:bookmarkEnd w:id="153"/>
      <w:bookmarkStart w:id="154" w:name="_Toc184313259"/>
      <w:bookmarkEnd w:id="154"/>
      <w:bookmarkStart w:id="155" w:name="_Toc184314460"/>
      <w:bookmarkEnd w:id="155"/>
      <w:bookmarkStart w:id="156" w:name="_Toc184313266"/>
      <w:bookmarkEnd w:id="156"/>
      <w:bookmarkStart w:id="157" w:name="_Toc184314440"/>
      <w:bookmarkEnd w:id="157"/>
      <w:bookmarkStart w:id="158" w:name="_Toc184310340"/>
      <w:bookmarkEnd w:id="158"/>
      <w:bookmarkStart w:id="159" w:name="_Toc184313275"/>
      <w:bookmarkEnd w:id="159"/>
      <w:bookmarkStart w:id="160" w:name="_Toc184308084"/>
      <w:bookmarkEnd w:id="160"/>
      <w:bookmarkStart w:id="161" w:name="_Toc184314479"/>
      <w:bookmarkEnd w:id="161"/>
      <w:bookmarkStart w:id="162" w:name="_Toc184310335"/>
      <w:bookmarkEnd w:id="162"/>
      <w:bookmarkStart w:id="163" w:name="_Toc184314481"/>
      <w:bookmarkEnd w:id="163"/>
      <w:bookmarkStart w:id="164" w:name="_Toc184308087"/>
      <w:bookmarkEnd w:id="164"/>
      <w:bookmarkStart w:id="165" w:name="_Toc184310276"/>
      <w:bookmarkEnd w:id="165"/>
      <w:bookmarkStart w:id="166" w:name="_Toc184313292"/>
      <w:bookmarkEnd w:id="166"/>
      <w:bookmarkStart w:id="167" w:name="_Toc184310328"/>
      <w:bookmarkEnd w:id="167"/>
      <w:bookmarkStart w:id="168" w:name="_Toc184308051"/>
      <w:bookmarkEnd w:id="168"/>
      <w:bookmarkStart w:id="169" w:name="_Toc184313286"/>
      <w:bookmarkEnd w:id="169"/>
      <w:bookmarkStart w:id="170" w:name="_Toc184314467"/>
      <w:bookmarkEnd w:id="170"/>
      <w:bookmarkStart w:id="171" w:name="_Toc184308083"/>
      <w:bookmarkEnd w:id="171"/>
      <w:bookmarkStart w:id="172" w:name="_Toc184310290"/>
      <w:bookmarkEnd w:id="172"/>
      <w:bookmarkStart w:id="173" w:name="_Toc184312108"/>
      <w:bookmarkEnd w:id="173"/>
      <w:bookmarkStart w:id="174" w:name="_Toc184308049"/>
      <w:bookmarkEnd w:id="174"/>
      <w:bookmarkStart w:id="175" w:name="_Toc184310320"/>
      <w:bookmarkEnd w:id="175"/>
      <w:bookmarkStart w:id="176" w:name="_Toc184313247"/>
      <w:bookmarkEnd w:id="176"/>
      <w:bookmarkStart w:id="177" w:name="_Toc184314425"/>
      <w:bookmarkEnd w:id="177"/>
      <w:bookmarkStart w:id="178" w:name="_Toc184308098"/>
      <w:bookmarkEnd w:id="178"/>
      <w:bookmarkStart w:id="179" w:name="_Toc184314446"/>
      <w:bookmarkEnd w:id="179"/>
      <w:bookmarkStart w:id="180" w:name="_Toc184312077"/>
      <w:bookmarkEnd w:id="180"/>
      <w:bookmarkStart w:id="181" w:name="_Toc184314429"/>
      <w:bookmarkEnd w:id="181"/>
      <w:bookmarkStart w:id="182" w:name="_Toc184314466"/>
      <w:bookmarkEnd w:id="182"/>
      <w:bookmarkStart w:id="183" w:name="_Toc184312090"/>
      <w:bookmarkEnd w:id="183"/>
      <w:bookmarkStart w:id="184" w:name="_Toc184308048"/>
      <w:bookmarkEnd w:id="184"/>
      <w:bookmarkStart w:id="185" w:name="_Toc184312124"/>
      <w:bookmarkEnd w:id="185"/>
      <w:bookmarkStart w:id="186" w:name="_Toc184314438"/>
      <w:bookmarkEnd w:id="186"/>
      <w:bookmarkStart w:id="187" w:name="_Toc184310319"/>
      <w:bookmarkEnd w:id="187"/>
      <w:bookmarkStart w:id="188" w:name="_Toc184308072"/>
      <w:bookmarkEnd w:id="188"/>
      <w:bookmarkStart w:id="189" w:name="_Toc184308040"/>
      <w:bookmarkEnd w:id="189"/>
      <w:bookmarkStart w:id="190" w:name="_Toc184310321"/>
      <w:bookmarkEnd w:id="190"/>
      <w:bookmarkStart w:id="191" w:name="_Toc184313288"/>
      <w:bookmarkEnd w:id="191"/>
      <w:bookmarkStart w:id="192" w:name="_Toc184314418"/>
      <w:bookmarkEnd w:id="192"/>
      <w:bookmarkStart w:id="193" w:name="_Toc184310341"/>
      <w:bookmarkEnd w:id="193"/>
      <w:bookmarkStart w:id="194" w:name="_Toc184308059"/>
      <w:bookmarkEnd w:id="194"/>
      <w:bookmarkStart w:id="195" w:name="_Toc184313270"/>
      <w:bookmarkEnd w:id="195"/>
      <w:bookmarkStart w:id="196" w:name="_Toc184312093"/>
      <w:bookmarkEnd w:id="196"/>
      <w:bookmarkStart w:id="197" w:name="_Toc184308068"/>
      <w:bookmarkEnd w:id="197"/>
      <w:bookmarkStart w:id="198" w:name="_Toc184314461"/>
      <w:bookmarkEnd w:id="198"/>
      <w:bookmarkStart w:id="199" w:name="_Toc184312100"/>
      <w:bookmarkEnd w:id="199"/>
      <w:bookmarkStart w:id="200" w:name="_Toc184314424"/>
      <w:bookmarkEnd w:id="200"/>
      <w:bookmarkStart w:id="201" w:name="_Toc184313246"/>
      <w:bookmarkEnd w:id="201"/>
      <w:bookmarkStart w:id="202" w:name="_Toc184312130"/>
      <w:bookmarkEnd w:id="202"/>
      <w:bookmarkStart w:id="203" w:name="_Toc184313245"/>
      <w:bookmarkEnd w:id="203"/>
      <w:bookmarkStart w:id="204" w:name="_Toc184310308"/>
      <w:bookmarkEnd w:id="204"/>
      <w:bookmarkStart w:id="205" w:name="_Toc184308061"/>
      <w:bookmarkEnd w:id="205"/>
      <w:bookmarkStart w:id="206" w:name="_Toc184310275"/>
      <w:bookmarkEnd w:id="206"/>
      <w:bookmarkStart w:id="207" w:name="_Toc184313278"/>
      <w:bookmarkEnd w:id="207"/>
      <w:bookmarkStart w:id="208" w:name="_Toc184310314"/>
      <w:bookmarkEnd w:id="208"/>
      <w:bookmarkStart w:id="209" w:name="_Toc184313282"/>
      <w:bookmarkEnd w:id="209"/>
      <w:bookmarkStart w:id="210" w:name="_Toc184313249"/>
      <w:bookmarkEnd w:id="210"/>
      <w:bookmarkStart w:id="211" w:name="_Toc184308047"/>
      <w:bookmarkEnd w:id="211"/>
      <w:bookmarkStart w:id="212" w:name="_Toc184314414"/>
      <w:bookmarkEnd w:id="212"/>
      <w:bookmarkStart w:id="213" w:name="_Toc184310286"/>
      <w:bookmarkEnd w:id="213"/>
      <w:bookmarkStart w:id="214" w:name="_Toc184313303"/>
      <w:bookmarkEnd w:id="214"/>
      <w:bookmarkStart w:id="215" w:name="_Toc184314464"/>
      <w:bookmarkEnd w:id="215"/>
      <w:bookmarkStart w:id="216" w:name="_Toc184313263"/>
      <w:bookmarkEnd w:id="216"/>
      <w:bookmarkStart w:id="217" w:name="_Toc184312098"/>
      <w:bookmarkEnd w:id="217"/>
      <w:bookmarkStart w:id="218" w:name="_Toc184310299"/>
      <w:bookmarkEnd w:id="218"/>
      <w:bookmarkStart w:id="219" w:name="_Toc184308102"/>
      <w:bookmarkEnd w:id="219"/>
      <w:bookmarkStart w:id="220" w:name="_Toc184308055"/>
      <w:bookmarkEnd w:id="220"/>
      <w:bookmarkStart w:id="221" w:name="_Toc184314419"/>
      <w:bookmarkEnd w:id="221"/>
      <w:bookmarkStart w:id="222" w:name="_Toc184312120"/>
      <w:bookmarkEnd w:id="222"/>
      <w:bookmarkStart w:id="223" w:name="_Toc184308041"/>
      <w:bookmarkEnd w:id="223"/>
      <w:bookmarkStart w:id="224" w:name="_Toc184314452"/>
      <w:bookmarkEnd w:id="224"/>
      <w:bookmarkStart w:id="225" w:name="_Toc184310339"/>
      <w:bookmarkEnd w:id="225"/>
      <w:bookmarkStart w:id="226" w:name="_Toc184310316"/>
      <w:bookmarkEnd w:id="226"/>
      <w:bookmarkStart w:id="227" w:name="_Toc184308079"/>
      <w:bookmarkEnd w:id="227"/>
      <w:bookmarkStart w:id="228" w:name="_Toc184310280"/>
      <w:bookmarkEnd w:id="228"/>
      <w:bookmarkStart w:id="229" w:name="_Toc184310337"/>
      <w:bookmarkEnd w:id="229"/>
      <w:bookmarkStart w:id="230" w:name="_Toc184310278"/>
      <w:bookmarkEnd w:id="230"/>
      <w:bookmarkStart w:id="231" w:name="_Toc184314415"/>
      <w:bookmarkEnd w:id="231"/>
      <w:bookmarkStart w:id="232" w:name="_Toc184310283"/>
      <w:bookmarkEnd w:id="232"/>
      <w:bookmarkStart w:id="233" w:name="_Toc184308108"/>
      <w:bookmarkEnd w:id="233"/>
      <w:bookmarkStart w:id="234" w:name="_Toc184313274"/>
      <w:bookmarkEnd w:id="234"/>
      <w:bookmarkStart w:id="235" w:name="_Toc184313290"/>
      <w:bookmarkEnd w:id="235"/>
      <w:bookmarkStart w:id="236" w:name="_Toc184314480"/>
      <w:bookmarkEnd w:id="236"/>
      <w:bookmarkStart w:id="237" w:name="_Toc184312082"/>
      <w:bookmarkEnd w:id="237"/>
      <w:bookmarkStart w:id="238" w:name="_Toc184314436"/>
      <w:bookmarkEnd w:id="238"/>
      <w:bookmarkStart w:id="239" w:name="_Toc184312131"/>
      <w:bookmarkEnd w:id="239"/>
      <w:bookmarkStart w:id="240" w:name="_Toc184314421"/>
      <w:bookmarkEnd w:id="240"/>
      <w:bookmarkStart w:id="241" w:name="_Toc184310317"/>
      <w:bookmarkEnd w:id="241"/>
      <w:bookmarkStart w:id="242" w:name="_Toc184308086"/>
      <w:bookmarkEnd w:id="242"/>
      <w:bookmarkStart w:id="243" w:name="_Toc184310302"/>
      <w:bookmarkEnd w:id="243"/>
      <w:bookmarkStart w:id="244" w:name="_Toc184312132"/>
      <w:bookmarkEnd w:id="244"/>
      <w:bookmarkStart w:id="245" w:name="_Toc184312116"/>
      <w:bookmarkEnd w:id="245"/>
      <w:bookmarkStart w:id="246" w:name="_Toc184308080"/>
      <w:bookmarkEnd w:id="246"/>
      <w:bookmarkStart w:id="247" w:name="_Toc184313279"/>
      <w:bookmarkEnd w:id="247"/>
      <w:bookmarkStart w:id="248" w:name="_Toc184310312"/>
      <w:bookmarkEnd w:id="248"/>
      <w:bookmarkStart w:id="249" w:name="_Toc184314413"/>
      <w:bookmarkEnd w:id="249"/>
      <w:bookmarkStart w:id="250" w:name="_Toc184312119"/>
      <w:bookmarkEnd w:id="250"/>
      <w:bookmarkStart w:id="251" w:name="_Toc184310309"/>
      <w:bookmarkEnd w:id="251"/>
      <w:bookmarkStart w:id="252" w:name="_Toc184308064"/>
      <w:bookmarkEnd w:id="252"/>
      <w:bookmarkStart w:id="253" w:name="_Toc184313305"/>
      <w:bookmarkEnd w:id="253"/>
      <w:bookmarkStart w:id="254" w:name="_Toc184314435"/>
      <w:bookmarkEnd w:id="254"/>
      <w:bookmarkStart w:id="255" w:name="_Toc184310304"/>
      <w:bookmarkEnd w:id="255"/>
      <w:bookmarkStart w:id="256" w:name="_Toc184308044"/>
      <w:bookmarkEnd w:id="256"/>
      <w:bookmarkStart w:id="257" w:name="_Toc184312118"/>
      <w:bookmarkEnd w:id="257"/>
      <w:bookmarkStart w:id="258" w:name="_Toc184308060"/>
      <w:bookmarkEnd w:id="258"/>
      <w:bookmarkStart w:id="259" w:name="_Toc184308058"/>
      <w:bookmarkEnd w:id="259"/>
      <w:bookmarkStart w:id="260" w:name="_Toc184313281"/>
      <w:bookmarkEnd w:id="260"/>
      <w:bookmarkStart w:id="261" w:name="_Toc184313277"/>
      <w:bookmarkEnd w:id="261"/>
      <w:bookmarkStart w:id="262" w:name="_Toc184313244"/>
      <w:bookmarkEnd w:id="262"/>
      <w:bookmarkStart w:id="263" w:name="_Toc184313295"/>
      <w:bookmarkEnd w:id="263"/>
      <w:bookmarkStart w:id="264" w:name="_Toc184312122"/>
      <w:bookmarkEnd w:id="264"/>
      <w:bookmarkStart w:id="265" w:name="_Toc184310284"/>
      <w:bookmarkEnd w:id="265"/>
      <w:bookmarkStart w:id="266" w:name="_Toc184312125"/>
      <w:bookmarkEnd w:id="266"/>
      <w:bookmarkStart w:id="267" w:name="_Toc184312078"/>
      <w:bookmarkEnd w:id="267"/>
      <w:bookmarkStart w:id="268" w:name="_Toc184314470"/>
      <w:bookmarkEnd w:id="268"/>
      <w:bookmarkStart w:id="269" w:name="_Toc184308104"/>
      <w:bookmarkEnd w:id="269"/>
      <w:bookmarkStart w:id="270" w:name="_Toc184308036"/>
      <w:bookmarkEnd w:id="270"/>
      <w:bookmarkStart w:id="271" w:name="_Toc184310315"/>
      <w:bookmarkEnd w:id="271"/>
      <w:bookmarkStart w:id="272" w:name="_Toc184310303"/>
      <w:bookmarkEnd w:id="272"/>
      <w:bookmarkStart w:id="273" w:name="_Toc184314417"/>
      <w:bookmarkEnd w:id="273"/>
      <w:bookmarkStart w:id="274" w:name="_Toc184310272"/>
      <w:bookmarkEnd w:id="274"/>
      <w:bookmarkStart w:id="275" w:name="_Toc184312067"/>
      <w:bookmarkEnd w:id="275"/>
      <w:bookmarkStart w:id="276" w:name="_Toc184308100"/>
      <w:bookmarkEnd w:id="276"/>
      <w:bookmarkStart w:id="277" w:name="_Toc184312127"/>
      <w:bookmarkEnd w:id="277"/>
      <w:bookmarkStart w:id="278" w:name="_Toc184310322"/>
      <w:bookmarkEnd w:id="278"/>
      <w:bookmarkStart w:id="279" w:name="_Toc184310311"/>
      <w:bookmarkEnd w:id="279"/>
      <w:bookmarkStart w:id="280" w:name="_Toc184313306"/>
      <w:bookmarkEnd w:id="280"/>
      <w:bookmarkStart w:id="281" w:name="_Toc184308077"/>
      <w:bookmarkEnd w:id="281"/>
      <w:bookmarkStart w:id="282" w:name="_Toc184313296"/>
      <w:bookmarkEnd w:id="282"/>
      <w:bookmarkStart w:id="283" w:name="_Toc184310329"/>
      <w:bookmarkEnd w:id="283"/>
      <w:bookmarkStart w:id="284" w:name="_Toc184314456"/>
      <w:bookmarkEnd w:id="284"/>
      <w:bookmarkStart w:id="285" w:name="_Toc184314441"/>
      <w:bookmarkEnd w:id="285"/>
      <w:bookmarkStart w:id="286" w:name="_Toc184314478"/>
      <w:bookmarkEnd w:id="286"/>
      <w:bookmarkStart w:id="287" w:name="_Toc184314468"/>
      <w:bookmarkEnd w:id="287"/>
      <w:bookmarkStart w:id="288" w:name="_Toc184312138"/>
      <w:bookmarkEnd w:id="288"/>
      <w:bookmarkStart w:id="289" w:name="_Toc184313307"/>
      <w:bookmarkEnd w:id="289"/>
      <w:bookmarkStart w:id="290" w:name="_Toc184313310"/>
      <w:bookmarkEnd w:id="290"/>
      <w:bookmarkStart w:id="291" w:name="_Toc184308092"/>
      <w:bookmarkEnd w:id="291"/>
      <w:bookmarkStart w:id="292" w:name="_Toc184312113"/>
      <w:bookmarkEnd w:id="292"/>
      <w:bookmarkStart w:id="293" w:name="_Toc184314427"/>
      <w:bookmarkEnd w:id="293"/>
      <w:bookmarkStart w:id="294" w:name="_Toc184308057"/>
      <w:bookmarkEnd w:id="294"/>
      <w:bookmarkStart w:id="295" w:name="_Toc184312112"/>
      <w:bookmarkEnd w:id="295"/>
      <w:bookmarkStart w:id="296" w:name="_Toc184312091"/>
      <w:bookmarkEnd w:id="296"/>
      <w:bookmarkStart w:id="297" w:name="_Toc184308095"/>
      <w:bookmarkEnd w:id="297"/>
      <w:bookmarkStart w:id="298" w:name="_Toc184310330"/>
      <w:bookmarkEnd w:id="298"/>
      <w:bookmarkStart w:id="299" w:name="_Toc184308099"/>
      <w:bookmarkEnd w:id="299"/>
      <w:bookmarkStart w:id="300" w:name="_Toc184314469"/>
      <w:bookmarkEnd w:id="300"/>
      <w:bookmarkStart w:id="301" w:name="_Toc184312139"/>
      <w:bookmarkEnd w:id="301"/>
      <w:bookmarkStart w:id="302" w:name="_Toc184314465"/>
      <w:bookmarkEnd w:id="302"/>
      <w:bookmarkStart w:id="303" w:name="_Toc184312084"/>
      <w:bookmarkEnd w:id="303"/>
      <w:bookmarkStart w:id="304" w:name="_Toc184314423"/>
      <w:bookmarkEnd w:id="304"/>
      <w:bookmarkStart w:id="305" w:name="_Toc184313251"/>
      <w:bookmarkEnd w:id="305"/>
      <w:bookmarkStart w:id="306" w:name="_Toc184310296"/>
      <w:bookmarkEnd w:id="306"/>
      <w:bookmarkStart w:id="307" w:name="_Toc184308056"/>
      <w:bookmarkEnd w:id="307"/>
      <w:bookmarkStart w:id="308" w:name="_Toc184313297"/>
      <w:bookmarkEnd w:id="308"/>
      <w:bookmarkStart w:id="309" w:name="_Toc184314454"/>
      <w:bookmarkEnd w:id="309"/>
      <w:bookmarkStart w:id="310" w:name="_Toc184314447"/>
      <w:bookmarkEnd w:id="310"/>
      <w:bookmarkStart w:id="311" w:name="_Toc184312133"/>
      <w:bookmarkEnd w:id="311"/>
      <w:bookmarkStart w:id="312" w:name="_Toc184308069"/>
      <w:bookmarkEnd w:id="312"/>
      <w:bookmarkStart w:id="313" w:name="_Toc184308063"/>
      <w:bookmarkEnd w:id="313"/>
      <w:bookmarkStart w:id="314" w:name="_Toc184308043"/>
      <w:bookmarkEnd w:id="314"/>
      <w:bookmarkStart w:id="315" w:name="_Toc184312073"/>
      <w:bookmarkEnd w:id="315"/>
      <w:bookmarkStart w:id="316" w:name="_Toc184310307"/>
      <w:bookmarkEnd w:id="316"/>
      <w:bookmarkStart w:id="317" w:name="_Toc184314463"/>
      <w:bookmarkEnd w:id="317"/>
      <w:bookmarkStart w:id="318" w:name="_Toc184312128"/>
      <w:bookmarkEnd w:id="318"/>
      <w:bookmarkStart w:id="319" w:name="_Toc184312074"/>
      <w:bookmarkEnd w:id="319"/>
      <w:bookmarkStart w:id="320" w:name="_Toc184312099"/>
      <w:bookmarkEnd w:id="320"/>
      <w:bookmarkStart w:id="321" w:name="_Toc184308073"/>
      <w:bookmarkEnd w:id="321"/>
      <w:bookmarkStart w:id="322" w:name="_Toc184314450"/>
      <w:bookmarkEnd w:id="322"/>
      <w:bookmarkStart w:id="323" w:name="_Toc184308074"/>
      <w:bookmarkEnd w:id="323"/>
      <w:bookmarkStart w:id="324" w:name="_Toc184312069"/>
      <w:bookmarkEnd w:id="324"/>
      <w:bookmarkStart w:id="325" w:name="_Toc184310333"/>
      <w:bookmarkEnd w:id="325"/>
      <w:bookmarkStart w:id="326" w:name="_Toc184310297"/>
      <w:bookmarkEnd w:id="326"/>
      <w:bookmarkStart w:id="327" w:name="_Toc184308066"/>
      <w:bookmarkEnd w:id="327"/>
      <w:bookmarkStart w:id="328" w:name="_Toc184308038"/>
      <w:bookmarkEnd w:id="328"/>
      <w:bookmarkStart w:id="329" w:name="_Toc184313280"/>
      <w:bookmarkEnd w:id="329"/>
      <w:bookmarkStart w:id="330" w:name="_Toc184312106"/>
      <w:bookmarkEnd w:id="330"/>
      <w:bookmarkStart w:id="331" w:name="_Toc184312095"/>
      <w:bookmarkEnd w:id="331"/>
      <w:bookmarkStart w:id="332" w:name="_Toc184310338"/>
      <w:bookmarkEnd w:id="332"/>
      <w:bookmarkStart w:id="333" w:name="_Toc184308039"/>
      <w:bookmarkEnd w:id="333"/>
      <w:bookmarkStart w:id="334" w:name="_Toc184312109"/>
      <w:bookmarkEnd w:id="334"/>
      <w:bookmarkStart w:id="335" w:name="_Toc184313262"/>
      <w:bookmarkEnd w:id="335"/>
      <w:bookmarkStart w:id="336" w:name="_Toc184308076"/>
      <w:bookmarkEnd w:id="336"/>
      <w:bookmarkStart w:id="337" w:name="_Toc184313293"/>
      <w:bookmarkEnd w:id="337"/>
      <w:bookmarkStart w:id="338" w:name="_Toc184314410"/>
      <w:bookmarkEnd w:id="338"/>
      <w:bookmarkStart w:id="339" w:name="_Toc184310301"/>
      <w:bookmarkEnd w:id="339"/>
      <w:bookmarkStart w:id="340" w:name="_Toc184313256"/>
      <w:bookmarkEnd w:id="340"/>
      <w:bookmarkStart w:id="341" w:name="_Toc184310274"/>
      <w:bookmarkEnd w:id="341"/>
      <w:bookmarkStart w:id="342" w:name="_Toc184308067"/>
      <w:bookmarkEnd w:id="342"/>
      <w:bookmarkStart w:id="343" w:name="_Toc184313265"/>
      <w:bookmarkEnd w:id="343"/>
      <w:bookmarkStart w:id="344" w:name="_Toc184312102"/>
      <w:bookmarkEnd w:id="344"/>
      <w:bookmarkStart w:id="345" w:name="_Toc184310325"/>
      <w:bookmarkEnd w:id="345"/>
      <w:bookmarkStart w:id="346" w:name="_Toc184310294"/>
      <w:bookmarkEnd w:id="346"/>
      <w:bookmarkStart w:id="347" w:name="_Toc184310326"/>
      <w:bookmarkEnd w:id="347"/>
      <w:bookmarkStart w:id="348" w:name="_Toc184308081"/>
      <w:bookmarkEnd w:id="348"/>
      <w:bookmarkStart w:id="349" w:name="_Toc184313250"/>
      <w:bookmarkEnd w:id="349"/>
      <w:bookmarkStart w:id="350" w:name="_Toc184314453"/>
      <w:bookmarkEnd w:id="350"/>
      <w:bookmarkStart w:id="351" w:name="_Toc184314428"/>
      <w:bookmarkEnd w:id="351"/>
      <w:bookmarkStart w:id="352" w:name="_Toc184313285"/>
      <w:bookmarkEnd w:id="352"/>
      <w:bookmarkStart w:id="353" w:name="_Toc184312123"/>
      <w:bookmarkEnd w:id="353"/>
      <w:bookmarkStart w:id="354" w:name="_Toc184310298"/>
      <w:bookmarkEnd w:id="354"/>
      <w:bookmarkStart w:id="355" w:name="_Toc184314482"/>
      <w:bookmarkEnd w:id="355"/>
      <w:bookmarkStart w:id="356" w:name="_Toc184313248"/>
      <w:bookmarkEnd w:id="356"/>
      <w:bookmarkStart w:id="357" w:name="_Toc184314449"/>
      <w:bookmarkEnd w:id="357"/>
      <w:bookmarkStart w:id="358" w:name="_Toc184310277"/>
      <w:bookmarkEnd w:id="358"/>
      <w:bookmarkStart w:id="359" w:name="_Toc184312126"/>
      <w:bookmarkEnd w:id="359"/>
      <w:bookmarkStart w:id="360" w:name="_Toc184310281"/>
      <w:bookmarkEnd w:id="360"/>
      <w:bookmarkStart w:id="361" w:name="_Toc184314457"/>
      <w:bookmarkEnd w:id="361"/>
      <w:bookmarkStart w:id="362" w:name="_Toc184314439"/>
      <w:bookmarkEnd w:id="362"/>
      <w:bookmarkStart w:id="363" w:name="_Toc184314437"/>
      <w:bookmarkEnd w:id="363"/>
      <w:bookmarkStart w:id="364" w:name="_Toc184314411"/>
      <w:bookmarkEnd w:id="364"/>
      <w:bookmarkStart w:id="365" w:name="_Toc184308054"/>
      <w:bookmarkEnd w:id="365"/>
      <w:bookmarkStart w:id="366" w:name="_Toc184313254"/>
      <w:bookmarkEnd w:id="366"/>
      <w:bookmarkStart w:id="367" w:name="_Toc184308050"/>
      <w:bookmarkEnd w:id="367"/>
      <w:bookmarkStart w:id="368" w:name="_Toc184314430"/>
      <w:bookmarkEnd w:id="368"/>
      <w:bookmarkStart w:id="369" w:name="_Toc184313260"/>
      <w:bookmarkEnd w:id="369"/>
      <w:bookmarkStart w:id="370" w:name="_Toc184313309"/>
      <w:bookmarkEnd w:id="370"/>
      <w:bookmarkStart w:id="371" w:name="_Toc184313294"/>
      <w:bookmarkEnd w:id="371"/>
      <w:bookmarkStart w:id="372" w:name="_Toc184312081"/>
      <w:bookmarkEnd w:id="372"/>
      <w:bookmarkStart w:id="373" w:name="_Toc184314476"/>
      <w:bookmarkEnd w:id="373"/>
      <w:bookmarkStart w:id="374" w:name="_Toc184308091"/>
      <w:bookmarkEnd w:id="374"/>
      <w:bookmarkStart w:id="375" w:name="_Toc184310273"/>
      <w:bookmarkEnd w:id="375"/>
      <w:bookmarkStart w:id="376" w:name="_Toc184313271"/>
      <w:bookmarkEnd w:id="376"/>
      <w:bookmarkStart w:id="377" w:name="_Toc184312097"/>
      <w:bookmarkEnd w:id="377"/>
      <w:bookmarkStart w:id="378" w:name="_Toc184312083"/>
      <w:bookmarkEnd w:id="378"/>
      <w:bookmarkStart w:id="379" w:name="_Toc184310288"/>
      <w:bookmarkEnd w:id="379"/>
      <w:bookmarkStart w:id="380" w:name="_Toc184310318"/>
      <w:bookmarkEnd w:id="380"/>
      <w:bookmarkStart w:id="381" w:name="_Toc184313241"/>
      <w:bookmarkEnd w:id="381"/>
      <w:bookmarkStart w:id="382" w:name="_Toc184313252"/>
      <w:bookmarkEnd w:id="382"/>
      <w:bookmarkStart w:id="383" w:name="_Toc184314445"/>
      <w:bookmarkEnd w:id="383"/>
      <w:bookmarkStart w:id="384" w:name="_Toc184308070"/>
      <w:bookmarkEnd w:id="384"/>
      <w:bookmarkStart w:id="385" w:name="_Toc184308078"/>
      <w:bookmarkEnd w:id="385"/>
      <w:bookmarkStart w:id="386" w:name="_Toc184313304"/>
      <w:bookmarkEnd w:id="386"/>
      <w:bookmarkStart w:id="387" w:name="_Toc184312111"/>
      <w:bookmarkEnd w:id="387"/>
      <w:bookmarkStart w:id="388" w:name="_Toc184312107"/>
      <w:bookmarkEnd w:id="388"/>
      <w:bookmarkStart w:id="389" w:name="_Toc184313298"/>
      <w:bookmarkEnd w:id="389"/>
      <w:bookmarkStart w:id="390" w:name="_Toc184314451"/>
      <w:bookmarkEnd w:id="390"/>
      <w:bookmarkStart w:id="391" w:name="_Toc184308101"/>
      <w:bookmarkEnd w:id="391"/>
      <w:bookmarkStart w:id="392" w:name="_Toc184310323"/>
      <w:bookmarkEnd w:id="392"/>
      <w:bookmarkStart w:id="393" w:name="_Toc184314443"/>
      <w:bookmarkEnd w:id="393"/>
      <w:bookmarkStart w:id="394" w:name="_Toc184310289"/>
      <w:bookmarkEnd w:id="394"/>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序号</w:t>
            </w:r>
          </w:p>
        </w:tc>
        <w:tc>
          <w:tcPr>
            <w:tcW w:w="3545"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评标标准</w:t>
            </w:r>
          </w:p>
        </w:tc>
        <w:tc>
          <w:tcPr>
            <w:tcW w:w="764"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权重</w:t>
            </w:r>
          </w:p>
        </w:tc>
        <w:tc>
          <w:tcPr>
            <w:tcW w:w="1147" w:type="dxa"/>
            <w:vAlign w:val="center"/>
          </w:tcPr>
          <w:p>
            <w:pPr>
              <w:snapToGrid w:val="0"/>
              <w:spacing w:line="360" w:lineRule="auto"/>
              <w:jc w:val="center"/>
              <w:rPr>
                <w:rFonts w:cs="仿宋_GB2312" w:asciiTheme="minorEastAsia" w:hAnsiTheme="minorEastAsia" w:eastAsiaTheme="minorEastAsia"/>
                <w:bCs/>
                <w:color w:val="0000FF"/>
                <w:sz w:val="24"/>
              </w:rPr>
            </w:pPr>
            <w:r>
              <w:rPr>
                <w:rFonts w:hint="eastAsia" w:cs="仿宋_GB2312" w:asciiTheme="minorEastAsia" w:hAnsiTheme="minorEastAsia" w:eastAsiaTheme="minorEastAsia"/>
                <w:bCs/>
                <w:color w:val="0000FF"/>
                <w:sz w:val="24"/>
              </w:rPr>
              <w:t>主观分/客观分属性</w:t>
            </w:r>
          </w:p>
        </w:tc>
        <w:tc>
          <w:tcPr>
            <w:tcW w:w="2150" w:type="dxa"/>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bCs/>
                <w:color w:val="0000FF"/>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投标人自2020年1月1日（含）以来</w:t>
            </w:r>
            <w:r>
              <w:rPr>
                <w:rFonts w:hint="eastAsia" w:asciiTheme="minorEastAsia" w:hAnsiTheme="minorEastAsia" w:eastAsiaTheme="minorEastAsia" w:cstheme="minorEastAsia"/>
                <w:kern w:val="0"/>
                <w:sz w:val="24"/>
                <w:szCs w:val="24"/>
                <w:lang w:val="en-US" w:eastAsia="zh-CN"/>
              </w:rPr>
              <w:t>具有房屋拆违拆迁类似业绩的每个得1分。本项满分1分。</w:t>
            </w:r>
          </w:p>
          <w:p>
            <w:pPr>
              <w:widowControl/>
              <w:shd w:val="clear" w:color="auto" w:fill="FFFFFF"/>
              <w:adjustRightInd/>
              <w:spacing w:after="225" w:line="315" w:lineRule="atLeast"/>
              <w:jc w:val="left"/>
              <w:rPr>
                <w:rFonts w:hint="eastAsia" w:cs="仿宋_GB2312" w:asciiTheme="minorEastAsia" w:hAnsiTheme="minorEastAsia" w:eastAsiaTheme="minorEastAsia"/>
                <w:color w:val="auto"/>
                <w:sz w:val="24"/>
                <w:lang w:val="en-US" w:eastAsia="zh-CN"/>
              </w:rPr>
            </w:pPr>
            <w:r>
              <w:rPr>
                <w:rFonts w:hint="eastAsia" w:asciiTheme="minorEastAsia" w:hAnsiTheme="minorEastAsia" w:eastAsiaTheme="minorEastAsia" w:cstheme="minorEastAsia"/>
                <w:b/>
                <w:bCs/>
                <w:kern w:val="0"/>
                <w:sz w:val="24"/>
                <w:szCs w:val="24"/>
                <w:lang w:val="en-US" w:eastAsia="zh-CN"/>
              </w:rPr>
              <w:t>（提供建筑物或构筑物拆除业绩合同扫描件或复印件，不提供不得分，时间以合同签订时间为准）</w:t>
            </w:r>
          </w:p>
        </w:tc>
        <w:tc>
          <w:tcPr>
            <w:tcW w:w="764"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szCs w:val="24"/>
                <w:highlight w:val="none"/>
                <w:lang w:val="en-US" w:eastAsia="zh-CN"/>
              </w:rPr>
              <w:t>1</w:t>
            </w:r>
          </w:p>
        </w:tc>
        <w:tc>
          <w:tcPr>
            <w:tcW w:w="1147"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客观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投标人具有有效期内的质量管理体系认证证书、环境管理体系认证证书、职业健康安全管理体系认证证书的，每个得</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分，没有不得分，最高得</w:t>
            </w:r>
            <w:r>
              <w:rPr>
                <w:rFonts w:hint="eastAsia" w:asciiTheme="minorEastAsia" w:hAnsiTheme="minorEastAsia" w:eastAsiaTheme="minorEastAsia" w:cstheme="minorEastAsia"/>
                <w:kern w:val="0"/>
                <w:sz w:val="24"/>
                <w:szCs w:val="24"/>
                <w:lang w:val="en-US" w:eastAsia="zh-CN"/>
              </w:rPr>
              <w:t>9</w:t>
            </w:r>
            <w:r>
              <w:rPr>
                <w:rFonts w:hint="eastAsia" w:asciiTheme="minorEastAsia" w:hAnsiTheme="minorEastAsia" w:eastAsiaTheme="minorEastAsia" w:cstheme="minorEastAsia"/>
                <w:kern w:val="0"/>
                <w:sz w:val="24"/>
                <w:szCs w:val="24"/>
              </w:rPr>
              <w:t>分。</w:t>
            </w:r>
          </w:p>
          <w:p>
            <w:pPr>
              <w:widowControl/>
              <w:shd w:val="clear" w:color="auto" w:fill="FFFFFF"/>
              <w:adjustRightInd/>
              <w:spacing w:after="225" w:line="315" w:lineRule="atLeast"/>
              <w:jc w:val="left"/>
              <w:rPr>
                <w:rFonts w:hint="eastAsia" w:cs="仿宋_GB2312" w:asciiTheme="minorEastAsia" w:hAnsiTheme="minorEastAsia" w:eastAsiaTheme="minorEastAsia"/>
                <w:color w:val="auto"/>
                <w:sz w:val="24"/>
                <w:lang w:val="en-US" w:eastAsia="zh-CN"/>
              </w:rPr>
            </w:pPr>
            <w:r>
              <w:rPr>
                <w:rFonts w:hint="eastAsia" w:asciiTheme="minorEastAsia" w:hAnsiTheme="minorEastAsia" w:eastAsiaTheme="minorEastAsia" w:cstheme="minorEastAsia"/>
                <w:b/>
                <w:bCs/>
                <w:kern w:val="0"/>
                <w:sz w:val="24"/>
                <w:szCs w:val="24"/>
              </w:rPr>
              <w:t>投标文件中提供有效期内的证书复印件</w:t>
            </w:r>
            <w:r>
              <w:rPr>
                <w:rFonts w:hint="eastAsia" w:asciiTheme="minorEastAsia" w:hAnsiTheme="minorEastAsia" w:eastAsiaTheme="minorEastAsia" w:cstheme="minorEastAsia"/>
                <w:b/>
                <w:bCs/>
                <w:sz w:val="24"/>
                <w:szCs w:val="24"/>
              </w:rPr>
              <w:t>并加盖投标人公章</w:t>
            </w:r>
            <w:r>
              <w:rPr>
                <w:rFonts w:hint="eastAsia" w:asciiTheme="minorEastAsia" w:hAnsiTheme="minorEastAsia" w:eastAsiaTheme="minorEastAsia" w:cstheme="minorEastAsia"/>
                <w:b/>
                <w:bCs/>
                <w:sz w:val="24"/>
                <w:szCs w:val="24"/>
                <w:lang w:eastAsia="zh-CN"/>
              </w:rPr>
              <w:t>。</w:t>
            </w:r>
          </w:p>
        </w:tc>
        <w:tc>
          <w:tcPr>
            <w:tcW w:w="764" w:type="dxa"/>
            <w:vAlign w:val="center"/>
          </w:tcPr>
          <w:p>
            <w:pPr>
              <w:jc w:val="center"/>
              <w:rPr>
                <w:rFonts w:hint="eastAsia" w:ascii="宋体" w:hAnsi="宋体" w:eastAsia="宋体" w:cs="宋体"/>
                <w:color w:val="auto"/>
                <w:sz w:val="24"/>
                <w:lang w:val="en-US" w:eastAsia="zh-CN"/>
              </w:rPr>
            </w:pPr>
            <w:r>
              <w:rPr>
                <w:rFonts w:hint="eastAsia" w:ascii="宋体" w:hAnsi="宋体" w:cs="宋体"/>
                <w:color w:val="auto"/>
                <w:sz w:val="24"/>
                <w:szCs w:val="24"/>
                <w:highlight w:val="none"/>
                <w:lang w:val="en-US" w:eastAsia="zh-CN"/>
              </w:rPr>
              <w:t>9</w:t>
            </w:r>
          </w:p>
        </w:tc>
        <w:tc>
          <w:tcPr>
            <w:tcW w:w="1147"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客观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p>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3</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项目人员配备：</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（1）项目经理具有建筑工程专业二级建造师的得1分，具有建筑工程专业一级建造师的得3分。</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（2）项目经理具有建筑专业中级工程师职称证书的加1分，具有建筑专业高级工程师职称的加3分，最多得3分。</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（3）具有专职安全人员，提供专职安全人员C证，提供1人得1分，最多得3分。</w:t>
            </w:r>
          </w:p>
          <w:p>
            <w:pPr>
              <w:widowControl/>
              <w:spacing w:line="360" w:lineRule="auto"/>
              <w:jc w:val="left"/>
              <w:textAlignment w:val="center"/>
              <w:rPr>
                <w:rFonts w:hint="eastAsia" w:cs="仿宋_GB2312" w:asciiTheme="minorEastAsia" w:hAnsiTheme="minorEastAsia" w:eastAsiaTheme="minorEastAsia"/>
                <w:color w:val="auto"/>
                <w:sz w:val="24"/>
                <w:lang w:val="en-US" w:eastAsia="zh-CN"/>
              </w:rPr>
            </w:pPr>
            <w:r>
              <w:rPr>
                <w:rFonts w:hint="eastAsia" w:asciiTheme="minorEastAsia" w:hAnsiTheme="minorEastAsia" w:eastAsiaTheme="minorEastAsia" w:cstheme="minorEastAsia"/>
                <w:b/>
                <w:bCs/>
                <w:kern w:val="0"/>
                <w:sz w:val="24"/>
                <w:szCs w:val="24"/>
                <w:lang w:val="en-US" w:eastAsia="zh-CN"/>
              </w:rPr>
              <w:t>(提供注册证书、职称证书扫描件或复印件及本单位缴纳的社保证明材料)</w:t>
            </w:r>
          </w:p>
        </w:tc>
        <w:tc>
          <w:tcPr>
            <w:tcW w:w="764" w:type="dxa"/>
            <w:vAlign w:val="center"/>
          </w:tcPr>
          <w:p>
            <w:pPr>
              <w:jc w:val="center"/>
              <w:rPr>
                <w:rFonts w:hint="eastAsia" w:ascii="宋体" w:hAnsi="宋体" w:eastAsia="宋体" w:cs="宋体"/>
                <w:color w:val="auto"/>
                <w:sz w:val="24"/>
                <w:lang w:val="en-US" w:eastAsia="zh-CN"/>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ind w:left="0" w:leftChars="0" w:firstLine="240" w:firstLineChars="100"/>
              <w:rPr>
                <w:rFonts w:hint="default"/>
                <w:lang w:val="en-US" w:eastAsia="zh-CN"/>
              </w:rPr>
            </w:pPr>
            <w:r>
              <w:rPr>
                <w:rFonts w:hint="eastAsia"/>
                <w:lang w:val="en-US" w:eastAsia="zh-CN"/>
              </w:rPr>
              <w:t>9</w:t>
            </w:r>
          </w:p>
        </w:tc>
        <w:tc>
          <w:tcPr>
            <w:tcW w:w="1147"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p>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客观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4</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管理制度：</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（1）各项内部管理制度及工作流程：根据投标人提供的内容是否切实可行，内容详尽充实，科学合理，具有针对性及可操作性进行打分，合理的得2分，基本合理的1分，不合理或缺项的得0分；</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（2）岗位安全责任制度：根据投标人提供的内容是否切实可行，内容详尽充实，科学合理，具有针对性及可操作性进行打分，合理的得2分，基本合理的1分，不合理或缺项的得0分；</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（3）人员考核制度及标准：根据投标人提供的内容是否切实可行，内容详尽充实，科学合理，具有针对性及可操作性进行打分，合理的得2分，基本合理的1分，不合理或缺项的得0分；</w:t>
            </w:r>
          </w:p>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（4）投标单位对从业人员的业务培训的内容和措施：根据投标人提供的内容是否切实可行，内容详尽充实，科学合理，具有针对性及可操作性进行打分，合理的得2分，基本合理的1分，不合理或缺项的得0分。</w:t>
            </w:r>
          </w:p>
        </w:tc>
        <w:tc>
          <w:tcPr>
            <w:tcW w:w="764" w:type="dxa"/>
            <w:vAlign w:val="center"/>
          </w:tcPr>
          <w:p>
            <w:pPr>
              <w:keepNext w:val="0"/>
              <w:keepLines w:val="0"/>
              <w:pageBreakBefore w:val="0"/>
              <w:widowControl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rPr>
                <w:rFonts w:hint="eastAsia" w:ascii="宋体" w:hAnsi="宋体" w:eastAsia="宋体" w:cs="宋体"/>
                <w:color w:val="auto"/>
                <w:sz w:val="24"/>
                <w:lang w:val="en-US" w:eastAsia="zh-CN"/>
              </w:rPr>
            </w:pPr>
            <w:r>
              <w:rPr>
                <w:rFonts w:hint="eastAsia" w:cs="仿宋_GB2312" w:asciiTheme="minorEastAsia" w:hAnsiTheme="minorEastAsia" w:eastAsiaTheme="minorEastAsia"/>
                <w:color w:val="auto"/>
                <w:sz w:val="21"/>
                <w:szCs w:val="21"/>
                <w:lang w:val="en-US" w:eastAsia="zh-CN"/>
              </w:rPr>
              <w:t>8</w:t>
            </w:r>
          </w:p>
        </w:tc>
        <w:tc>
          <w:tcPr>
            <w:tcW w:w="1147"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主观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5</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整个拆违方案的各个环节具有针对性，可行性，描述准确、合理的</w:t>
            </w:r>
            <w:r>
              <w:rPr>
                <w:rFonts w:hint="eastAsia" w:asciiTheme="minorEastAsia" w:hAnsiTheme="minorEastAsia" w:eastAsiaTheme="minorEastAsia" w:cstheme="minorEastAsia"/>
                <w:kern w:val="0"/>
                <w:sz w:val="24"/>
                <w:szCs w:val="24"/>
                <w:lang w:val="en-US" w:eastAsia="zh-CN"/>
              </w:rPr>
              <w:t>得8</w:t>
            </w:r>
            <w:r>
              <w:rPr>
                <w:rFonts w:hint="eastAsia" w:asciiTheme="minorEastAsia" w:hAnsiTheme="minorEastAsia" w:eastAsiaTheme="minorEastAsia" w:cstheme="minorEastAsia"/>
                <w:kern w:val="0"/>
                <w:sz w:val="24"/>
                <w:szCs w:val="24"/>
              </w:rPr>
              <w:t>分，较准确、较合理的</w:t>
            </w:r>
            <w:r>
              <w:rPr>
                <w:rFonts w:hint="eastAsia" w:asciiTheme="minorEastAsia" w:hAnsiTheme="minorEastAsia" w:eastAsiaTheme="minorEastAsia" w:cstheme="minorEastAsia"/>
                <w:kern w:val="0"/>
                <w:sz w:val="24"/>
                <w:szCs w:val="24"/>
                <w:lang w:val="en-US" w:eastAsia="zh-CN"/>
              </w:rPr>
              <w:t>得5</w:t>
            </w:r>
            <w:r>
              <w:rPr>
                <w:rFonts w:hint="eastAsia" w:asciiTheme="minorEastAsia" w:hAnsiTheme="minorEastAsia" w:eastAsiaTheme="minorEastAsia" w:cstheme="minorEastAsia"/>
                <w:kern w:val="0"/>
                <w:sz w:val="24"/>
                <w:szCs w:val="24"/>
              </w:rPr>
              <w:t>分，一般的</w:t>
            </w:r>
            <w:r>
              <w:rPr>
                <w:rFonts w:hint="eastAsia" w:asciiTheme="minorEastAsia" w:hAnsiTheme="minorEastAsia" w:eastAsiaTheme="minorEastAsia" w:cstheme="minorEastAsia"/>
                <w:kern w:val="0"/>
                <w:sz w:val="24"/>
                <w:szCs w:val="24"/>
                <w:lang w:val="en-US" w:eastAsia="zh-CN"/>
              </w:rPr>
              <w:t>得2</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不合理或缺项的得0分</w:t>
            </w:r>
            <w:r>
              <w:rPr>
                <w:rFonts w:hint="eastAsia" w:asciiTheme="minorEastAsia" w:hAnsiTheme="minorEastAsia" w:eastAsiaTheme="minorEastAsia" w:cstheme="minorEastAsia"/>
                <w:kern w:val="0"/>
                <w:sz w:val="24"/>
                <w:szCs w:val="24"/>
              </w:rPr>
              <w:t>。</w:t>
            </w:r>
          </w:p>
        </w:tc>
        <w:tc>
          <w:tcPr>
            <w:tcW w:w="764" w:type="dxa"/>
            <w:vAlign w:val="center"/>
          </w:tcPr>
          <w:p>
            <w:pPr>
              <w:jc w:val="center"/>
              <w:rPr>
                <w:rFonts w:hint="eastAsia" w:ascii="宋体" w:hAnsi="宋体" w:eastAsia="宋体" w:cs="宋体"/>
                <w:color w:val="auto"/>
                <w:sz w:val="24"/>
                <w:lang w:val="en-US" w:eastAsia="zh-CN"/>
              </w:rPr>
            </w:pPr>
            <w:r>
              <w:rPr>
                <w:rFonts w:hint="eastAsia" w:cs="仿宋_GB2312" w:asciiTheme="minorEastAsia" w:hAnsiTheme="minorEastAsia" w:eastAsiaTheme="minorEastAsia"/>
                <w:color w:val="auto"/>
                <w:sz w:val="21"/>
                <w:szCs w:val="21"/>
                <w:lang w:val="en-US" w:eastAsia="zh-CN"/>
              </w:rPr>
              <w:t>8</w:t>
            </w:r>
          </w:p>
        </w:tc>
        <w:tc>
          <w:tcPr>
            <w:tcW w:w="1147" w:type="dxa"/>
            <w:vAlign w:val="center"/>
          </w:tcPr>
          <w:p>
            <w:pPr>
              <w:snapToGrid w:val="0"/>
              <w:spacing w:line="360" w:lineRule="auto"/>
              <w:jc w:val="center"/>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主观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6</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采用安全、文明施工管理的控制措施、办法，描述准确、合理的</w:t>
            </w:r>
            <w:r>
              <w:rPr>
                <w:rFonts w:hint="eastAsia" w:asciiTheme="minorEastAsia" w:hAnsiTheme="minorEastAsia" w:eastAsiaTheme="minorEastAsia" w:cstheme="minorEastAsia"/>
                <w:kern w:val="0"/>
                <w:sz w:val="24"/>
                <w:szCs w:val="24"/>
                <w:lang w:val="en-US" w:eastAsia="zh-CN"/>
              </w:rPr>
              <w:t>得8</w:t>
            </w:r>
            <w:r>
              <w:rPr>
                <w:rFonts w:hint="eastAsia" w:asciiTheme="minorEastAsia" w:hAnsiTheme="minorEastAsia" w:eastAsiaTheme="minorEastAsia" w:cstheme="minorEastAsia"/>
                <w:kern w:val="0"/>
                <w:sz w:val="24"/>
                <w:szCs w:val="24"/>
              </w:rPr>
              <w:t>分，较准确、较合理的</w:t>
            </w:r>
            <w:r>
              <w:rPr>
                <w:rFonts w:hint="eastAsia" w:asciiTheme="minorEastAsia" w:hAnsiTheme="minorEastAsia" w:eastAsiaTheme="minorEastAsia" w:cstheme="minorEastAsia"/>
                <w:kern w:val="0"/>
                <w:sz w:val="24"/>
                <w:szCs w:val="24"/>
                <w:lang w:val="en-US" w:eastAsia="zh-CN"/>
              </w:rPr>
              <w:t>得5</w:t>
            </w:r>
            <w:r>
              <w:rPr>
                <w:rFonts w:hint="eastAsia" w:asciiTheme="minorEastAsia" w:hAnsiTheme="minorEastAsia" w:eastAsiaTheme="minorEastAsia" w:cstheme="minorEastAsia"/>
                <w:kern w:val="0"/>
                <w:sz w:val="24"/>
                <w:szCs w:val="24"/>
              </w:rPr>
              <w:t>分，一般的</w:t>
            </w:r>
            <w:r>
              <w:rPr>
                <w:rFonts w:hint="eastAsia" w:asciiTheme="minorEastAsia" w:hAnsiTheme="minorEastAsia" w:eastAsiaTheme="minorEastAsia" w:cstheme="minorEastAsia"/>
                <w:kern w:val="0"/>
                <w:sz w:val="24"/>
                <w:szCs w:val="24"/>
                <w:lang w:val="en-US" w:eastAsia="zh-CN"/>
              </w:rPr>
              <w:t>得2</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不合理或缺项的得0分</w:t>
            </w:r>
            <w:r>
              <w:rPr>
                <w:rFonts w:hint="eastAsia" w:asciiTheme="minorEastAsia" w:hAnsiTheme="minorEastAsia" w:eastAsiaTheme="minorEastAsia" w:cstheme="minorEastAsia"/>
                <w:kern w:val="0"/>
                <w:sz w:val="24"/>
                <w:szCs w:val="24"/>
              </w:rPr>
              <w:t>。</w:t>
            </w:r>
          </w:p>
        </w:tc>
        <w:tc>
          <w:tcPr>
            <w:tcW w:w="764" w:type="dxa"/>
            <w:vAlign w:val="center"/>
          </w:tcPr>
          <w:p>
            <w:pPr>
              <w:jc w:val="center"/>
              <w:rPr>
                <w:rFonts w:hint="eastAsia" w:ascii="宋体" w:hAnsi="宋体" w:eastAsia="宋体" w:cs="宋体"/>
                <w:color w:val="auto"/>
                <w:sz w:val="24"/>
                <w:lang w:val="en-US" w:eastAsia="zh-CN"/>
              </w:rPr>
            </w:pPr>
            <w:r>
              <w:rPr>
                <w:rFonts w:hint="eastAsia" w:cs="仿宋_GB2312" w:asciiTheme="minorEastAsia" w:hAnsiTheme="minorEastAsia" w:eastAsiaTheme="minorEastAsia"/>
                <w:color w:val="auto"/>
                <w:sz w:val="21"/>
                <w:szCs w:val="21"/>
                <w:lang w:val="en-US" w:eastAsia="zh-CN"/>
              </w:rPr>
              <w:t>8</w:t>
            </w:r>
          </w:p>
        </w:tc>
        <w:tc>
          <w:tcPr>
            <w:tcW w:w="1147"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主观</w:t>
            </w: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7</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提供施工进度控制措施，</w:t>
            </w:r>
            <w:r>
              <w:rPr>
                <w:rFonts w:hint="eastAsia" w:asciiTheme="minorEastAsia" w:hAnsiTheme="minorEastAsia" w:eastAsiaTheme="minorEastAsia" w:cstheme="minorEastAsia"/>
                <w:kern w:val="0"/>
                <w:sz w:val="24"/>
                <w:szCs w:val="24"/>
                <w:lang w:eastAsia="zh-CN"/>
              </w:rPr>
              <w:t>关键节点的把握，</w:t>
            </w:r>
            <w:r>
              <w:rPr>
                <w:rFonts w:hint="eastAsia" w:asciiTheme="minorEastAsia" w:hAnsiTheme="minorEastAsia" w:eastAsiaTheme="minorEastAsia" w:cstheme="minorEastAsia"/>
                <w:kern w:val="0"/>
                <w:sz w:val="24"/>
                <w:szCs w:val="24"/>
              </w:rPr>
              <w:t>能力强、方法准确的</w:t>
            </w:r>
            <w:r>
              <w:rPr>
                <w:rFonts w:hint="eastAsia" w:asciiTheme="minorEastAsia" w:hAnsiTheme="minorEastAsia" w:eastAsiaTheme="minorEastAsia" w:cstheme="minorEastAsia"/>
                <w:kern w:val="0"/>
                <w:sz w:val="24"/>
                <w:szCs w:val="24"/>
                <w:lang w:val="en-US" w:eastAsia="zh-CN"/>
              </w:rPr>
              <w:t>得8</w:t>
            </w:r>
            <w:r>
              <w:rPr>
                <w:rFonts w:hint="eastAsia" w:asciiTheme="minorEastAsia" w:hAnsiTheme="minorEastAsia" w:eastAsiaTheme="minorEastAsia" w:cstheme="minorEastAsia"/>
                <w:kern w:val="0"/>
                <w:sz w:val="24"/>
                <w:szCs w:val="24"/>
              </w:rPr>
              <w:t>分，较准确、较合理的</w:t>
            </w:r>
            <w:r>
              <w:rPr>
                <w:rFonts w:hint="eastAsia" w:asciiTheme="minorEastAsia" w:hAnsiTheme="minorEastAsia" w:eastAsiaTheme="minorEastAsia" w:cstheme="minorEastAsia"/>
                <w:kern w:val="0"/>
                <w:sz w:val="24"/>
                <w:szCs w:val="24"/>
                <w:lang w:val="en-US" w:eastAsia="zh-CN"/>
              </w:rPr>
              <w:t>得5</w:t>
            </w:r>
            <w:r>
              <w:rPr>
                <w:rFonts w:hint="eastAsia" w:asciiTheme="minorEastAsia" w:hAnsiTheme="minorEastAsia" w:eastAsiaTheme="minorEastAsia" w:cstheme="minorEastAsia"/>
                <w:kern w:val="0"/>
                <w:sz w:val="24"/>
                <w:szCs w:val="24"/>
              </w:rPr>
              <w:t>分，一般的</w:t>
            </w:r>
            <w:r>
              <w:rPr>
                <w:rFonts w:hint="eastAsia" w:asciiTheme="minorEastAsia" w:hAnsiTheme="minorEastAsia" w:eastAsiaTheme="minorEastAsia" w:cstheme="minorEastAsia"/>
                <w:kern w:val="0"/>
                <w:sz w:val="24"/>
                <w:szCs w:val="24"/>
                <w:lang w:val="en-US" w:eastAsia="zh-CN"/>
              </w:rPr>
              <w:t>得2</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不合理或缺项的得0分</w:t>
            </w:r>
            <w:r>
              <w:rPr>
                <w:rFonts w:hint="eastAsia" w:asciiTheme="minorEastAsia" w:hAnsiTheme="minorEastAsia" w:eastAsiaTheme="minorEastAsia" w:cstheme="minorEastAsia"/>
                <w:kern w:val="0"/>
                <w:sz w:val="24"/>
                <w:szCs w:val="24"/>
              </w:rPr>
              <w:t>。</w:t>
            </w:r>
          </w:p>
        </w:tc>
        <w:tc>
          <w:tcPr>
            <w:tcW w:w="764" w:type="dxa"/>
            <w:vAlign w:val="center"/>
          </w:tcPr>
          <w:p>
            <w:pPr>
              <w:jc w:val="center"/>
              <w:rPr>
                <w:rFonts w:hint="eastAsia" w:ascii="宋体" w:hAnsi="宋体" w:eastAsia="宋体" w:cs="宋体"/>
                <w:color w:val="auto"/>
                <w:kern w:val="0"/>
                <w:sz w:val="24"/>
                <w:szCs w:val="24"/>
                <w:lang w:val="en-US" w:eastAsia="zh-CN" w:bidi="ar-SA"/>
              </w:rPr>
            </w:pPr>
            <w:r>
              <w:rPr>
                <w:rFonts w:hint="eastAsia" w:cs="仿宋_GB2312" w:asciiTheme="minorEastAsia" w:hAnsiTheme="minorEastAsia" w:eastAsiaTheme="minorEastAsia"/>
                <w:color w:val="auto"/>
                <w:sz w:val="21"/>
                <w:szCs w:val="21"/>
                <w:lang w:val="en-US" w:eastAsia="zh-CN"/>
              </w:rPr>
              <w:t>8</w:t>
            </w:r>
          </w:p>
        </w:tc>
        <w:tc>
          <w:tcPr>
            <w:tcW w:w="1147" w:type="dxa"/>
            <w:vAlign w:val="center"/>
          </w:tcPr>
          <w:p>
            <w:pPr>
              <w:snapToGrid w:val="0"/>
              <w:spacing w:line="360" w:lineRule="auto"/>
              <w:jc w:val="center"/>
              <w:rPr>
                <w:rFonts w:hint="eastAsia" w:ascii="仿宋_GB2312" w:hAnsi="仿宋" w:eastAsia="仿宋_GB2312" w:cs="Arial"/>
                <w:kern w:val="0"/>
                <w:sz w:val="24"/>
                <w:szCs w:val="24"/>
                <w:lang w:val="en-US" w:eastAsia="zh-CN" w:bidi="ar-SA"/>
              </w:rPr>
            </w:pPr>
            <w:r>
              <w:rPr>
                <w:rFonts w:hint="eastAsia" w:cs="仿宋_GB2312" w:asciiTheme="minorEastAsia" w:hAnsiTheme="minorEastAsia" w:eastAsiaTheme="minorEastAsia"/>
                <w:color w:val="0000FF"/>
                <w:sz w:val="24"/>
                <w:lang w:val="en-US" w:eastAsia="zh-CN"/>
              </w:rPr>
              <w:t>主观</w:t>
            </w:r>
          </w:p>
        </w:tc>
        <w:tc>
          <w:tcPr>
            <w:tcW w:w="2150" w:type="dxa"/>
          </w:tcPr>
          <w:p>
            <w:pPr>
              <w:snapToGrid w:val="0"/>
              <w:spacing w:line="360" w:lineRule="auto"/>
              <w:jc w:val="center"/>
              <w:rPr>
                <w:rFonts w:hint="eastAsia" w:ascii="仿宋_GB2312" w:hAnsi="仿宋" w:eastAsia="仿宋_GB2312" w:cs="Arial"/>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8</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对拆违项目重点难点的分析，及相应的处理办法提供说明，</w:t>
            </w:r>
            <w:r>
              <w:rPr>
                <w:rFonts w:hint="eastAsia" w:asciiTheme="minorEastAsia" w:hAnsiTheme="minorEastAsia" w:eastAsiaTheme="minorEastAsia" w:cstheme="minorEastAsia"/>
                <w:kern w:val="0"/>
                <w:sz w:val="24"/>
                <w:szCs w:val="24"/>
              </w:rPr>
              <w:t>方案</w:t>
            </w:r>
            <w:r>
              <w:rPr>
                <w:rFonts w:hint="eastAsia" w:asciiTheme="minorEastAsia" w:hAnsiTheme="minorEastAsia" w:eastAsiaTheme="minorEastAsia" w:cstheme="minorEastAsia"/>
                <w:kern w:val="0"/>
                <w:sz w:val="24"/>
                <w:szCs w:val="24"/>
                <w:lang w:eastAsia="zh-CN"/>
              </w:rPr>
              <w:t>详尽可行的</w:t>
            </w:r>
            <w:r>
              <w:rPr>
                <w:rFonts w:hint="eastAsia" w:asciiTheme="minorEastAsia" w:hAnsiTheme="minorEastAsia" w:eastAsiaTheme="minorEastAsia" w:cstheme="minorEastAsia"/>
                <w:kern w:val="0"/>
                <w:sz w:val="24"/>
                <w:szCs w:val="24"/>
                <w:lang w:val="en-US" w:eastAsia="zh-CN"/>
              </w:rPr>
              <w:t>得6</w:t>
            </w:r>
            <w:r>
              <w:rPr>
                <w:rFonts w:hint="eastAsia" w:asciiTheme="minorEastAsia" w:hAnsiTheme="minorEastAsia" w:eastAsiaTheme="minorEastAsia" w:cstheme="minorEastAsia"/>
                <w:kern w:val="0"/>
                <w:sz w:val="24"/>
                <w:szCs w:val="24"/>
              </w:rPr>
              <w:t>分，较好的</w:t>
            </w:r>
            <w:r>
              <w:rPr>
                <w:rFonts w:hint="eastAsia" w:asciiTheme="minorEastAsia" w:hAnsiTheme="minorEastAsia" w:eastAsiaTheme="minorEastAsia" w:cstheme="minorEastAsia"/>
                <w:kern w:val="0"/>
                <w:sz w:val="24"/>
                <w:szCs w:val="24"/>
                <w:lang w:val="en-US" w:eastAsia="zh-CN"/>
              </w:rPr>
              <w:t>得4</w:t>
            </w:r>
            <w:r>
              <w:rPr>
                <w:rFonts w:hint="eastAsia" w:asciiTheme="minorEastAsia" w:hAnsiTheme="minorEastAsia" w:eastAsiaTheme="minorEastAsia" w:cstheme="minorEastAsia"/>
                <w:kern w:val="0"/>
                <w:sz w:val="24"/>
                <w:szCs w:val="24"/>
              </w:rPr>
              <w:t>分，一般的</w:t>
            </w:r>
            <w:r>
              <w:rPr>
                <w:rFonts w:hint="eastAsia" w:asciiTheme="minorEastAsia" w:hAnsiTheme="minorEastAsia" w:eastAsiaTheme="minorEastAsia" w:cstheme="minorEastAsia"/>
                <w:kern w:val="0"/>
                <w:sz w:val="24"/>
                <w:szCs w:val="24"/>
                <w:lang w:val="en-US" w:eastAsia="zh-CN"/>
              </w:rPr>
              <w:t>得2</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不合理或缺项的得0分</w:t>
            </w:r>
            <w:r>
              <w:rPr>
                <w:rFonts w:hint="eastAsia" w:asciiTheme="minorEastAsia" w:hAnsiTheme="minorEastAsia" w:eastAsiaTheme="minorEastAsia" w:cstheme="minorEastAsia"/>
                <w:kern w:val="0"/>
                <w:sz w:val="24"/>
                <w:szCs w:val="24"/>
              </w:rPr>
              <w:t>。</w:t>
            </w:r>
          </w:p>
        </w:tc>
        <w:tc>
          <w:tcPr>
            <w:tcW w:w="76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lang w:val="en-US" w:eastAsia="zh-CN"/>
              </w:rPr>
              <w:t>6</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9</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房屋拆除时的防尘防污措施，在符合现行国家、行业标准的基础上，有更加科学、合理的表现，</w:t>
            </w:r>
            <w:r>
              <w:rPr>
                <w:rFonts w:hint="eastAsia" w:asciiTheme="minorEastAsia" w:hAnsiTheme="minorEastAsia" w:eastAsiaTheme="minorEastAsia" w:cstheme="minorEastAsia"/>
                <w:kern w:val="0"/>
                <w:sz w:val="24"/>
                <w:szCs w:val="24"/>
                <w:lang w:eastAsia="zh-CN"/>
              </w:rPr>
              <w:t>优秀的</w:t>
            </w:r>
            <w:r>
              <w:rPr>
                <w:rFonts w:hint="eastAsia" w:asciiTheme="minorEastAsia" w:hAnsiTheme="minorEastAsia" w:eastAsiaTheme="minorEastAsia" w:cstheme="minorEastAsia"/>
                <w:kern w:val="0"/>
                <w:sz w:val="24"/>
                <w:szCs w:val="24"/>
                <w:lang w:val="en-US" w:eastAsia="zh-CN"/>
              </w:rPr>
              <w:t>得6</w:t>
            </w:r>
            <w:r>
              <w:rPr>
                <w:rFonts w:hint="eastAsia" w:asciiTheme="minorEastAsia" w:hAnsiTheme="minorEastAsia" w:eastAsiaTheme="minorEastAsia" w:cstheme="minorEastAsia"/>
                <w:kern w:val="0"/>
                <w:sz w:val="24"/>
                <w:szCs w:val="24"/>
              </w:rPr>
              <w:t>分，较好的</w:t>
            </w:r>
            <w:r>
              <w:rPr>
                <w:rFonts w:hint="eastAsia" w:asciiTheme="minorEastAsia" w:hAnsiTheme="minorEastAsia" w:eastAsiaTheme="minorEastAsia" w:cstheme="minorEastAsia"/>
                <w:kern w:val="0"/>
                <w:sz w:val="24"/>
                <w:szCs w:val="24"/>
                <w:lang w:val="en-US" w:eastAsia="zh-CN"/>
              </w:rPr>
              <w:t>得4</w:t>
            </w:r>
            <w:r>
              <w:rPr>
                <w:rFonts w:hint="eastAsia" w:asciiTheme="minorEastAsia" w:hAnsiTheme="minorEastAsia" w:eastAsiaTheme="minorEastAsia" w:cstheme="minorEastAsia"/>
                <w:kern w:val="0"/>
                <w:sz w:val="24"/>
                <w:szCs w:val="24"/>
              </w:rPr>
              <w:t>分，一般的</w:t>
            </w:r>
            <w:r>
              <w:rPr>
                <w:rFonts w:hint="eastAsia" w:asciiTheme="minorEastAsia" w:hAnsiTheme="minorEastAsia" w:eastAsiaTheme="minorEastAsia" w:cstheme="minorEastAsia"/>
                <w:kern w:val="0"/>
                <w:sz w:val="24"/>
                <w:szCs w:val="24"/>
                <w:lang w:val="en-US" w:eastAsia="zh-CN"/>
              </w:rPr>
              <w:t>得2</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不合理或缺项的得0分</w:t>
            </w:r>
            <w:r>
              <w:rPr>
                <w:rFonts w:hint="eastAsia" w:asciiTheme="minorEastAsia" w:hAnsiTheme="minorEastAsia" w:eastAsiaTheme="minorEastAsia" w:cstheme="minorEastAsia"/>
                <w:kern w:val="0"/>
                <w:sz w:val="24"/>
                <w:szCs w:val="24"/>
              </w:rPr>
              <w:t>。</w:t>
            </w:r>
          </w:p>
        </w:tc>
        <w:tc>
          <w:tcPr>
            <w:tcW w:w="764" w:type="dxa"/>
            <w:vAlign w:val="center"/>
          </w:tcPr>
          <w:p>
            <w:pPr>
              <w:jc w:val="center"/>
              <w:rPr>
                <w:rFonts w:hint="eastAsia" w:ascii="宋体" w:hAnsi="宋体" w:eastAsia="宋体" w:cs="宋体"/>
                <w:color w:val="auto"/>
                <w:sz w:val="24"/>
                <w:lang w:val="en-US" w:eastAsia="zh-CN"/>
              </w:rPr>
            </w:pPr>
            <w:r>
              <w:rPr>
                <w:rFonts w:hint="eastAsia" w:ascii="宋体" w:hAnsi="宋体" w:eastAsia="宋体"/>
                <w:color w:val="auto"/>
                <w:lang w:val="en-US" w:eastAsia="zh-CN"/>
              </w:rPr>
              <w:t>6</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10</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建筑、装修垃圾清运、处置方案,工作方案详尽可行的得6分，较好的得4分，一般的得2分，不合理或缺项的得0分。</w:t>
            </w:r>
          </w:p>
        </w:tc>
        <w:tc>
          <w:tcPr>
            <w:tcW w:w="764" w:type="dxa"/>
            <w:vAlign w:val="center"/>
          </w:tcPr>
          <w:p>
            <w:pPr>
              <w:spacing w:before="156" w:beforeLines="50"/>
              <w:jc w:val="center"/>
              <w:rPr>
                <w:rFonts w:hint="eastAsia" w:ascii="宋体" w:hAnsi="宋体" w:eastAsia="宋体" w:cs="宋体"/>
                <w:color w:val="auto"/>
                <w:sz w:val="24"/>
                <w:lang w:val="en-US" w:eastAsia="zh-CN"/>
              </w:rPr>
            </w:pPr>
            <w:r>
              <w:rPr>
                <w:rFonts w:ascii="宋体" w:hAnsi="宋体" w:eastAsia="宋体" w:cs="宋体"/>
                <w:color w:val="auto"/>
              </w:rPr>
              <w:t>6</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11</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拟投入本工程的管理人员的岗位、专业及各专业工种劳动力配置科学合理证书齐全、针对性强的得</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分；人员配置基本合理得</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分；人员配置一般的得</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分。严重缺失不得分。</w:t>
            </w:r>
          </w:p>
        </w:tc>
        <w:tc>
          <w:tcPr>
            <w:tcW w:w="764" w:type="dxa"/>
            <w:vAlign w:val="center"/>
          </w:tcPr>
          <w:p>
            <w:pPr>
              <w:spacing w:before="156" w:beforeLines="50"/>
              <w:jc w:val="center"/>
              <w:rPr>
                <w:rFonts w:hint="eastAsia" w:ascii="宋体" w:hAnsi="宋体" w:eastAsia="宋体" w:cs="宋体"/>
                <w:color w:val="auto"/>
                <w:sz w:val="24"/>
                <w:lang w:val="en-US" w:eastAsia="zh-CN"/>
              </w:rPr>
            </w:pPr>
            <w:r>
              <w:rPr>
                <w:rFonts w:hint="eastAsia" w:ascii="宋体" w:hAnsi="宋体" w:cs="宋体"/>
                <w:color w:val="auto"/>
                <w:lang w:val="en-US" w:eastAsia="zh-CN"/>
              </w:rPr>
              <w:t>6</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12</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拟投入设备：</w:t>
            </w:r>
          </w:p>
          <w:p>
            <w:pPr>
              <w:widowControl/>
              <w:numPr>
                <w:ilvl w:val="0"/>
                <w:numId w:val="1"/>
              </w:numPr>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能够提供12吨（含）以上</w:t>
            </w:r>
            <w:r>
              <w:rPr>
                <w:rFonts w:hint="eastAsia" w:asciiTheme="minorEastAsia" w:hAnsiTheme="minorEastAsia" w:eastAsiaTheme="minorEastAsia" w:cstheme="minorEastAsia"/>
                <w:kern w:val="0"/>
                <w:sz w:val="24"/>
                <w:szCs w:val="24"/>
              </w:rPr>
              <w:t>挖机</w:t>
            </w:r>
            <w:r>
              <w:rPr>
                <w:rFonts w:hint="eastAsia" w:asciiTheme="minorEastAsia" w:hAnsiTheme="minorEastAsia" w:eastAsiaTheme="minorEastAsia" w:cstheme="minorEastAsia"/>
                <w:kern w:val="0"/>
                <w:sz w:val="24"/>
                <w:szCs w:val="24"/>
                <w:lang w:val="en-US" w:eastAsia="zh-CN"/>
              </w:rPr>
              <w:t>用于本项目</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每台1分，最高得1分；</w:t>
            </w:r>
          </w:p>
          <w:p>
            <w:pPr>
              <w:widowControl/>
              <w:numPr>
                <w:ilvl w:val="0"/>
                <w:numId w:val="1"/>
              </w:numPr>
              <w:spacing w:line="360" w:lineRule="auto"/>
              <w:jc w:val="left"/>
              <w:textAlignment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能够提供30KW(含）以上</w:t>
            </w:r>
            <w:r>
              <w:rPr>
                <w:rFonts w:hint="eastAsia" w:asciiTheme="minorEastAsia" w:hAnsiTheme="minorEastAsia" w:eastAsiaTheme="minorEastAsia" w:cstheme="minorEastAsia"/>
                <w:kern w:val="0"/>
                <w:sz w:val="24"/>
                <w:szCs w:val="24"/>
              </w:rPr>
              <w:t>发电机</w:t>
            </w:r>
            <w:r>
              <w:rPr>
                <w:rFonts w:hint="eastAsia" w:asciiTheme="minorEastAsia" w:hAnsiTheme="minorEastAsia" w:eastAsiaTheme="minorEastAsia" w:cstheme="minorEastAsia"/>
                <w:kern w:val="0"/>
                <w:sz w:val="24"/>
                <w:szCs w:val="24"/>
                <w:lang w:val="en-US" w:eastAsia="zh-CN"/>
              </w:rPr>
              <w:t>组</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每台1分，最高得1分；</w:t>
            </w:r>
          </w:p>
          <w:p>
            <w:pPr>
              <w:widowControl/>
              <w:numPr>
                <w:ilvl w:val="0"/>
                <w:numId w:val="1"/>
              </w:numPr>
              <w:spacing w:line="360" w:lineRule="auto"/>
              <w:jc w:val="left"/>
              <w:textAlignment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能够提供</w:t>
            </w:r>
            <w:r>
              <w:rPr>
                <w:rFonts w:hint="eastAsia" w:asciiTheme="minorEastAsia" w:hAnsiTheme="minorEastAsia" w:eastAsiaTheme="minorEastAsia" w:cstheme="minorEastAsia"/>
                <w:kern w:val="0"/>
                <w:sz w:val="24"/>
                <w:szCs w:val="24"/>
              </w:rPr>
              <w:t>工程抢</w:t>
            </w:r>
            <w:r>
              <w:rPr>
                <w:rFonts w:hint="eastAsia" w:asciiTheme="minorEastAsia" w:hAnsiTheme="minorEastAsia" w:eastAsiaTheme="minorEastAsia" w:cstheme="minorEastAsia"/>
                <w:kern w:val="0"/>
                <w:sz w:val="24"/>
                <w:szCs w:val="24"/>
                <w:lang w:val="en-US" w:eastAsia="zh-CN"/>
              </w:rPr>
              <w:t>险</w:t>
            </w:r>
            <w:r>
              <w:rPr>
                <w:rFonts w:hint="eastAsia" w:asciiTheme="minorEastAsia" w:hAnsiTheme="minorEastAsia" w:eastAsiaTheme="minorEastAsia" w:cstheme="minorEastAsia"/>
                <w:kern w:val="0"/>
                <w:sz w:val="24"/>
                <w:szCs w:val="24"/>
              </w:rPr>
              <w:t>车</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每辆1分，最高3分。</w:t>
            </w:r>
          </w:p>
          <w:p>
            <w:pPr>
              <w:widowControl/>
              <w:numPr>
                <w:ilvl w:val="0"/>
                <w:numId w:val="0"/>
              </w:numPr>
              <w:spacing w:line="360" w:lineRule="auto"/>
              <w:jc w:val="left"/>
              <w:textAlignment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b/>
                <w:bCs/>
                <w:kern w:val="0"/>
                <w:sz w:val="24"/>
                <w:szCs w:val="24"/>
              </w:rPr>
              <w:t>（提供车辆购置发票复印件及设备购置发票复印件</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lang w:val="en-US" w:eastAsia="zh-CN"/>
              </w:rPr>
              <w:t>抢险车</w:t>
            </w:r>
            <w:r>
              <w:rPr>
                <w:rFonts w:hint="eastAsia" w:asciiTheme="minorEastAsia" w:hAnsiTheme="minorEastAsia" w:eastAsiaTheme="minorEastAsia" w:cstheme="minorEastAsia"/>
                <w:b/>
                <w:bCs/>
                <w:kern w:val="0"/>
                <w:sz w:val="24"/>
                <w:szCs w:val="24"/>
              </w:rPr>
              <w:t>提供行驶证使用性质为工程救险</w:t>
            </w:r>
            <w:r>
              <w:rPr>
                <w:rFonts w:hint="eastAsia" w:asciiTheme="minorEastAsia" w:hAnsiTheme="minorEastAsia" w:eastAsiaTheme="minorEastAsia" w:cstheme="minorEastAsia"/>
                <w:b/>
                <w:bCs/>
                <w:kern w:val="0"/>
                <w:sz w:val="24"/>
                <w:szCs w:val="24"/>
                <w:lang w:eastAsia="zh-CN"/>
              </w:rPr>
              <w:t>。</w:t>
            </w:r>
            <w:r>
              <w:rPr>
                <w:rFonts w:hint="eastAsia" w:asciiTheme="minorEastAsia" w:hAnsiTheme="minorEastAsia" w:eastAsiaTheme="minorEastAsia" w:cstheme="minorEastAsia"/>
                <w:b/>
                <w:bCs/>
                <w:kern w:val="0"/>
                <w:sz w:val="24"/>
                <w:szCs w:val="24"/>
                <w:lang w:val="en-US" w:eastAsia="zh-CN"/>
              </w:rPr>
              <w:t>设备是</w:t>
            </w:r>
            <w:r>
              <w:rPr>
                <w:rFonts w:hint="eastAsia" w:asciiTheme="minorEastAsia" w:hAnsiTheme="minorEastAsia" w:eastAsiaTheme="minorEastAsia" w:cstheme="minorEastAsia"/>
                <w:b/>
                <w:bCs/>
                <w:kern w:val="0"/>
                <w:sz w:val="24"/>
                <w:szCs w:val="24"/>
              </w:rPr>
              <w:t>租赁</w:t>
            </w:r>
            <w:r>
              <w:rPr>
                <w:rFonts w:hint="eastAsia" w:asciiTheme="minorEastAsia" w:hAnsiTheme="minorEastAsia" w:eastAsiaTheme="minorEastAsia" w:cstheme="minorEastAsia"/>
                <w:b/>
                <w:bCs/>
                <w:kern w:val="0"/>
                <w:sz w:val="24"/>
                <w:szCs w:val="24"/>
                <w:lang w:val="en-US" w:eastAsia="zh-CN"/>
              </w:rPr>
              <w:t>的</w:t>
            </w:r>
            <w:r>
              <w:rPr>
                <w:rFonts w:hint="eastAsia" w:asciiTheme="minorEastAsia" w:hAnsiTheme="minorEastAsia" w:eastAsiaTheme="minorEastAsia" w:cstheme="minorEastAsia"/>
                <w:b/>
                <w:bCs/>
                <w:kern w:val="0"/>
                <w:sz w:val="24"/>
                <w:szCs w:val="24"/>
              </w:rPr>
              <w:t>需提供租赁合同</w:t>
            </w:r>
            <w:r>
              <w:rPr>
                <w:rFonts w:hint="eastAsia" w:asciiTheme="minorEastAsia" w:hAnsiTheme="minorEastAsia" w:eastAsiaTheme="minorEastAsia" w:cstheme="minorEastAsia"/>
                <w:b/>
                <w:bCs/>
                <w:kern w:val="0"/>
                <w:sz w:val="24"/>
                <w:szCs w:val="24"/>
                <w:lang w:val="en-US" w:eastAsia="zh-CN"/>
              </w:rPr>
              <w:t>及发票</w:t>
            </w:r>
            <w:r>
              <w:rPr>
                <w:rFonts w:hint="eastAsia" w:asciiTheme="minorEastAsia" w:hAnsiTheme="minorEastAsia" w:eastAsiaTheme="minorEastAsia" w:cstheme="minorEastAsia"/>
                <w:b/>
                <w:bCs/>
                <w:kern w:val="0"/>
                <w:sz w:val="24"/>
                <w:szCs w:val="24"/>
              </w:rPr>
              <w:t>，</w:t>
            </w:r>
            <w:r>
              <w:rPr>
                <w:rFonts w:hint="eastAsia" w:asciiTheme="minorEastAsia" w:hAnsiTheme="minorEastAsia" w:eastAsiaTheme="minorEastAsia" w:cstheme="minorEastAsia"/>
                <w:b/>
                <w:bCs/>
                <w:kern w:val="0"/>
                <w:sz w:val="24"/>
                <w:szCs w:val="24"/>
                <w:lang w:val="en-US" w:eastAsia="zh-CN"/>
              </w:rPr>
              <w:t>租赁设备每台得0.5分。</w:t>
            </w:r>
            <w:r>
              <w:rPr>
                <w:rFonts w:hint="eastAsia" w:asciiTheme="minorEastAsia" w:hAnsiTheme="minorEastAsia" w:eastAsiaTheme="minorEastAsia" w:cstheme="minorEastAsia"/>
                <w:b/>
                <w:bCs/>
                <w:kern w:val="0"/>
                <w:sz w:val="24"/>
                <w:szCs w:val="24"/>
              </w:rPr>
              <w:t>）</w:t>
            </w:r>
          </w:p>
        </w:tc>
        <w:tc>
          <w:tcPr>
            <w:tcW w:w="764" w:type="dxa"/>
            <w:vAlign w:val="center"/>
          </w:tcPr>
          <w:p>
            <w:pPr>
              <w:spacing w:before="156" w:beforeLines="50"/>
              <w:jc w:val="center"/>
              <w:rPr>
                <w:rFonts w:hint="eastAsia" w:ascii="宋体" w:hAnsi="宋体" w:eastAsia="宋体" w:cs="宋体"/>
                <w:color w:val="auto"/>
                <w:sz w:val="24"/>
                <w:lang w:val="en-US" w:eastAsia="zh-CN"/>
              </w:rPr>
            </w:pPr>
            <w:r>
              <w:rPr>
                <w:rFonts w:hint="eastAsia" w:ascii="宋体" w:hAnsi="宋体" w:eastAsia="宋体" w:cs="宋体"/>
                <w:color w:val="auto"/>
              </w:rPr>
              <w:t>5</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客观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13</w:t>
            </w:r>
          </w:p>
        </w:tc>
        <w:tc>
          <w:tcPr>
            <w:tcW w:w="3545" w:type="dxa"/>
            <w:vAlign w:val="center"/>
          </w:tcPr>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应急预案及服务响应时间承诺：</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服务的应急预案进行打分：</w:t>
            </w:r>
            <w:r>
              <w:rPr>
                <w:rFonts w:hint="eastAsia" w:asciiTheme="minorEastAsia" w:hAnsiTheme="minorEastAsia" w:eastAsiaTheme="minorEastAsia" w:cstheme="minorEastAsia"/>
                <w:kern w:val="0"/>
                <w:sz w:val="24"/>
                <w:szCs w:val="24"/>
                <w:lang w:eastAsia="zh-CN"/>
              </w:rPr>
              <w:t>应急预案</w:t>
            </w:r>
            <w:r>
              <w:rPr>
                <w:rFonts w:hint="eastAsia" w:asciiTheme="minorEastAsia" w:hAnsiTheme="minorEastAsia" w:eastAsiaTheme="minorEastAsia" w:cstheme="minorEastAsia"/>
                <w:kern w:val="0"/>
                <w:sz w:val="24"/>
                <w:szCs w:val="24"/>
              </w:rPr>
              <w:t>措施内容科学合理，针对性强的得3分；措施内容基本合理得2分；措施内容一般，有提及得1分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内容缺失严重不得分；</w:t>
            </w:r>
          </w:p>
          <w:p>
            <w:pPr>
              <w:widowControl/>
              <w:spacing w:line="360" w:lineRule="auto"/>
              <w:jc w:val="left"/>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（2）服务响应时间承诺进行打分：</w:t>
            </w:r>
            <w:r>
              <w:rPr>
                <w:rFonts w:hint="eastAsia" w:asciiTheme="minorEastAsia" w:hAnsiTheme="minorEastAsia" w:eastAsiaTheme="minorEastAsia" w:cstheme="minorEastAsia"/>
                <w:kern w:val="0"/>
                <w:sz w:val="24"/>
                <w:szCs w:val="24"/>
                <w:lang w:val="en-US" w:eastAsia="zh-CN"/>
              </w:rPr>
              <w:t>承诺1小时内响应甲方要求的得2分，没有不得分。</w:t>
            </w:r>
          </w:p>
        </w:tc>
        <w:tc>
          <w:tcPr>
            <w:tcW w:w="764" w:type="dxa"/>
            <w:vAlign w:val="center"/>
          </w:tcPr>
          <w:p>
            <w:pPr>
              <w:keepNext w:val="0"/>
              <w:keepLines w:val="0"/>
              <w:pageBreakBefore w:val="0"/>
              <w:widowControl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0"/>
              <w:rPr>
                <w:rFonts w:hint="eastAsia" w:ascii="宋体" w:hAnsi="宋体" w:eastAsia="宋体" w:cs="宋体"/>
                <w:color w:val="auto"/>
                <w:sz w:val="24"/>
                <w:lang w:val="en-US" w:eastAsia="zh-CN"/>
              </w:rPr>
            </w:pPr>
            <w:r>
              <w:rPr>
                <w:rFonts w:hint="eastAsia" w:cs="仿宋_GB2312" w:asciiTheme="minorEastAsia" w:hAnsiTheme="minorEastAsia" w:eastAsiaTheme="minorEastAsia"/>
                <w:color w:val="auto"/>
                <w:sz w:val="21"/>
                <w:szCs w:val="21"/>
                <w:lang w:val="en-US" w:eastAsia="zh-CN"/>
              </w:rPr>
              <w:t>5</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14</w:t>
            </w:r>
          </w:p>
        </w:tc>
        <w:tc>
          <w:tcPr>
            <w:tcW w:w="3545" w:type="dxa"/>
            <w:vAlign w:val="center"/>
          </w:tcPr>
          <w:p>
            <w:pPr>
              <w:widowControl/>
              <w:spacing w:line="360" w:lineRule="auto"/>
              <w:jc w:val="left"/>
              <w:textAlignment w:val="center"/>
              <w:rPr>
                <w:rFonts w:hint="eastAsia" w:cs="仿宋_GB2312" w:asciiTheme="minorEastAsia" w:hAnsiTheme="minorEastAsia" w:eastAsiaTheme="minorEastAsia"/>
                <w:color w:val="auto"/>
                <w:sz w:val="24"/>
              </w:rPr>
            </w:pPr>
            <w:r>
              <w:rPr>
                <w:rFonts w:hint="eastAsia" w:asciiTheme="minorEastAsia" w:hAnsiTheme="minorEastAsia" w:eastAsiaTheme="minorEastAsia" w:cstheme="minorEastAsia"/>
                <w:kern w:val="0"/>
                <w:sz w:val="24"/>
                <w:szCs w:val="24"/>
              </w:rPr>
              <w:t>投标人提供的合理化建议合理、具有可操作性、针对性，得</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分，内容基本合理得</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一般的得</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分。严重缺失不得分。</w:t>
            </w:r>
          </w:p>
        </w:tc>
        <w:tc>
          <w:tcPr>
            <w:tcW w:w="764" w:type="dxa"/>
            <w:vAlign w:val="center"/>
          </w:tcPr>
          <w:p>
            <w:pPr>
              <w:keepNext w:val="0"/>
              <w:keepLines w:val="0"/>
              <w:pageBreakBefore w:val="0"/>
              <w:widowControl w:val="0"/>
              <w:kinsoku/>
              <w:wordWrap w:val="0"/>
              <w:overflowPunct/>
              <w:topLinePunct w:val="0"/>
              <w:autoSpaceDE/>
              <w:autoSpaceDN/>
              <w:bidi w:val="0"/>
              <w:adjustRightInd w:val="0"/>
              <w:snapToGrid w:val="0"/>
              <w:spacing w:before="0" w:after="0" w:line="240" w:lineRule="auto"/>
              <w:ind w:left="0" w:leftChars="0" w:right="0" w:rightChars="0" w:firstLine="0" w:firstLineChars="0"/>
              <w:jc w:val="center"/>
              <w:textAlignment w:val="auto"/>
              <w:outlineLvl w:val="0"/>
              <w:rPr>
                <w:rFonts w:hint="eastAsia" w:ascii="宋体" w:hAnsi="宋体" w:eastAsia="宋体" w:cs="宋体"/>
                <w:color w:val="auto"/>
                <w:sz w:val="24"/>
                <w:lang w:val="en-US" w:eastAsia="zh-CN"/>
              </w:rPr>
            </w:pPr>
            <w:r>
              <w:rPr>
                <w:rFonts w:hint="eastAsia" w:cs="仿宋_GB2312" w:asciiTheme="minorEastAsia" w:hAnsiTheme="minorEastAsia" w:eastAsiaTheme="minorEastAsia"/>
                <w:color w:val="auto"/>
                <w:sz w:val="21"/>
                <w:szCs w:val="21"/>
                <w:lang w:val="en-US" w:eastAsia="zh-CN"/>
              </w:rPr>
              <w:t>5</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lang w:val="en-US" w:eastAsia="zh-CN"/>
              </w:rPr>
              <w:t>主观</w:t>
            </w: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default"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15</w:t>
            </w:r>
          </w:p>
        </w:tc>
        <w:tc>
          <w:tcPr>
            <w:tcW w:w="3545" w:type="dxa"/>
          </w:tcPr>
          <w:p>
            <w:pPr>
              <w:spacing w:line="360" w:lineRule="auto"/>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有效投标报价的最低价作为评标基准价，其最低报价为满分；按［投标报价得分</w:t>
            </w:r>
            <w:r>
              <w:rPr>
                <w:rFonts w:cs="仿宋_GB2312" w:asciiTheme="minorEastAsia" w:hAnsiTheme="minorEastAsia" w:eastAsiaTheme="minorEastAsia"/>
                <w:color w:val="0000FF"/>
                <w:sz w:val="24"/>
              </w:rPr>
              <w:t>=（评标基准价/投标报价）*</w:t>
            </w:r>
            <w:r>
              <w:rPr>
                <w:rFonts w:hint="eastAsia" w:cs="仿宋_GB2312" w:asciiTheme="minorEastAsia" w:hAnsiTheme="minorEastAsia" w:eastAsiaTheme="minorEastAsia"/>
                <w:color w:val="FF0000"/>
                <w:sz w:val="24"/>
              </w:rPr>
              <w:t>权重</w:t>
            </w:r>
            <w:r>
              <w:rPr>
                <w:rFonts w:cs="仿宋_GB2312" w:asciiTheme="minorEastAsia" w:hAnsiTheme="minorEastAsia" w:eastAsiaTheme="minorEastAsia"/>
                <w:color w:val="0000FF"/>
                <w:sz w:val="24"/>
              </w:rPr>
              <w:t>］的计算公式计算。</w:t>
            </w:r>
          </w:p>
          <w:p>
            <w:pPr>
              <w:widowControl/>
              <w:shd w:val="clear" w:color="auto" w:fill="FFFFFF"/>
              <w:adjustRightInd/>
              <w:spacing w:after="225" w:line="315" w:lineRule="atLeast"/>
              <w:jc w:val="left"/>
              <w:rPr>
                <w:rFonts w:hint="eastAsia" w:ascii="仿宋" w:hAnsi="仿宋" w:eastAsia="仿宋"/>
                <w:color w:val="auto"/>
                <w:sz w:val="24"/>
                <w:szCs w:val="24"/>
              </w:rPr>
            </w:pPr>
            <w:r>
              <w:rPr>
                <w:rFonts w:cs="仿宋_GB2312" w:asciiTheme="minorEastAsia" w:hAnsiTheme="minorEastAsia" w:eastAsiaTheme="minorEastAsia"/>
                <w:color w:val="0000FF"/>
                <w:sz w:val="24"/>
              </w:rPr>
              <w:t>评标过程中，不得去掉报价中的最高报价和最低报价。</w:t>
            </w:r>
          </w:p>
        </w:tc>
        <w:tc>
          <w:tcPr>
            <w:tcW w:w="764" w:type="dxa"/>
            <w:vAlign w:val="center"/>
          </w:tcPr>
          <w:p>
            <w:pPr>
              <w:spacing w:line="360" w:lineRule="auto"/>
              <w:jc w:val="center"/>
              <w:outlineLvl w:val="0"/>
              <w:rPr>
                <w:rFonts w:hint="default" w:cs="仿宋_GB2312" w:asciiTheme="minorEastAsia" w:hAnsiTheme="minorEastAsia" w:eastAsiaTheme="minorEastAsia"/>
                <w:color w:val="0000FF"/>
                <w:sz w:val="24"/>
                <w:lang w:val="en-US" w:eastAsia="zh-CN"/>
              </w:rPr>
            </w:pPr>
            <w:r>
              <w:rPr>
                <w:rFonts w:hint="eastAsia" w:cs="仿宋_GB2312" w:asciiTheme="minorEastAsia" w:hAnsiTheme="minorEastAsia" w:eastAsiaTheme="minorEastAsia"/>
                <w:color w:val="0000FF"/>
                <w:sz w:val="24"/>
                <w:lang w:val="en-US" w:eastAsia="zh-CN"/>
              </w:rPr>
              <w:t>10</w:t>
            </w: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7"/>
        <w:snapToGrid w:val="0"/>
        <w:spacing w:line="360" w:lineRule="auto"/>
        <w:rPr>
          <w:rFonts w:cs="宋体"/>
        </w:rPr>
      </w:pPr>
      <w:r>
        <w:rPr>
          <w:rFonts w:hint="eastAsia" w:cs="宋体"/>
        </w:rPr>
        <w:t>5.1符合专业条件的供应商或者对招标文件作实质响应的供应商不足3家的；</w:t>
      </w:r>
    </w:p>
    <w:p>
      <w:pPr>
        <w:pStyle w:val="7"/>
        <w:snapToGrid w:val="0"/>
        <w:spacing w:line="360" w:lineRule="auto"/>
        <w:rPr>
          <w:rFonts w:cs="宋体"/>
        </w:rPr>
      </w:pPr>
      <w:r>
        <w:rPr>
          <w:rFonts w:hint="eastAsia" w:cs="宋体"/>
        </w:rPr>
        <w:t>5.2出现影响采购公正的违法、违规行为的；</w:t>
      </w:r>
    </w:p>
    <w:p>
      <w:pPr>
        <w:pStyle w:val="7"/>
        <w:snapToGrid w:val="0"/>
        <w:spacing w:line="360" w:lineRule="auto"/>
        <w:rPr>
          <w:rFonts w:cs="宋体"/>
        </w:rPr>
      </w:pPr>
      <w:r>
        <w:rPr>
          <w:rFonts w:hint="eastAsia" w:cs="宋体"/>
        </w:rPr>
        <w:t>5.3投标人的报价均超过了采购预算，采购人不能支付的；</w:t>
      </w:r>
    </w:p>
    <w:p>
      <w:pPr>
        <w:pStyle w:val="7"/>
        <w:snapToGrid w:val="0"/>
        <w:spacing w:line="360" w:lineRule="auto"/>
        <w:rPr>
          <w:rFonts w:cs="宋体"/>
        </w:rPr>
      </w:pPr>
      <w:r>
        <w:rPr>
          <w:rFonts w:hint="eastAsia" w:cs="宋体"/>
        </w:rPr>
        <w:t>5.4因重大变故，采购任务取消的。</w:t>
      </w:r>
    </w:p>
    <w:p>
      <w:pPr>
        <w:pStyle w:val="7"/>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7"/>
        <w:snapToGrid w:val="0"/>
        <w:spacing w:line="360" w:lineRule="auto"/>
        <w:rPr>
          <w:rFonts w:cs="宋体"/>
        </w:rPr>
      </w:pPr>
      <w:r>
        <w:rPr>
          <w:rFonts w:hint="eastAsia" w:cs="宋体"/>
        </w:rPr>
        <w:t>7.1未确定中标供应商的，终止本次政府采购活动，重新开展政府采购活动。</w:t>
      </w:r>
    </w:p>
    <w:p>
      <w:pPr>
        <w:pStyle w:val="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7"/>
        <w:snapToGrid w:val="0"/>
        <w:spacing w:line="360" w:lineRule="auto"/>
        <w:rPr>
          <w:rFonts w:cs="宋体"/>
        </w:rPr>
      </w:pPr>
      <w:r>
        <w:rPr>
          <w:rFonts w:hint="eastAsia" w:cs="宋体"/>
        </w:rPr>
        <w:t>7.4政府采购合同已经履行，给采购人、供应商造成损失的，由责任人承担赔偿责任。</w:t>
      </w:r>
    </w:p>
    <w:p>
      <w:pPr>
        <w:pStyle w:val="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7"/>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5" w:name="第五部分"/>
      <w:bookmarkStart w:id="396"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hint="eastAsia" w:ascii="宋体" w:hAnsi="宋体" w:cs="宋体"/>
          <w:b/>
          <w:sz w:val="36"/>
          <w:szCs w:val="36"/>
        </w:rPr>
      </w:pPr>
      <w:r>
        <w:rPr>
          <w:rFonts w:hint="eastAsia" w:ascii="宋体" w:hAnsi="宋体" w:cs="宋体"/>
          <w:b/>
          <w:sz w:val="36"/>
          <w:szCs w:val="36"/>
        </w:rPr>
        <w:t>（服务类）</w:t>
      </w:r>
    </w:p>
    <w:p>
      <w:pPr>
        <w:pStyle w:val="7"/>
        <w:ind w:firstLine="3132" w:firstLineChars="1300"/>
        <w:rPr>
          <w:b/>
          <w:bCs/>
        </w:rPr>
      </w:pPr>
      <w:r>
        <w:rPr>
          <w:rFonts w:hint="eastAsia"/>
          <w:b/>
          <w:bCs/>
        </w:rPr>
        <w:t>第一部分 合同书</w:t>
      </w:r>
    </w:p>
    <w:p>
      <w:pPr>
        <w:pStyle w:val="7"/>
      </w:pPr>
    </w:p>
    <w:p>
      <w:pPr>
        <w:pStyle w:val="5"/>
        <w:ind w:left="0" w:leftChars="0" w:firstLine="0" w:firstLineChars="0"/>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600"/>
        <w:spacing w:before="120" w:line="22" w:lineRule="atLeast"/>
        <w:rPr>
          <w:rFonts w:ascii="宋体" w:hAnsi="宋体" w:eastAsia="宋体" w:cs="宋体"/>
          <w:szCs w:val="24"/>
        </w:rPr>
      </w:pPr>
    </w:p>
    <w:p>
      <w:pPr>
        <w:pStyle w:val="600"/>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7" w:name="_Toc28855"/>
      <w:bookmarkStart w:id="398" w:name="_Toc15367"/>
      <w:bookmarkStart w:id="399" w:name="_Toc22967"/>
      <w:bookmarkStart w:id="400" w:name="_Toc19273"/>
      <w:bookmarkStart w:id="401" w:name="_Toc20421"/>
      <w:r>
        <w:rPr>
          <w:rFonts w:ascii="宋体" w:hAnsi="宋体"/>
          <w:b/>
          <w:sz w:val="24"/>
        </w:rPr>
        <w:t xml:space="preserve">1.1 </w:t>
      </w:r>
      <w:r>
        <w:rPr>
          <w:rFonts w:hint="eastAsia" w:ascii="宋体" w:hAnsi="宋体"/>
          <w:b/>
          <w:sz w:val="24"/>
        </w:rPr>
        <w:t>合同组成部分</w:t>
      </w:r>
      <w:bookmarkEnd w:id="397"/>
      <w:bookmarkEnd w:id="398"/>
      <w:bookmarkEnd w:id="399"/>
      <w:bookmarkEnd w:id="400"/>
      <w:bookmarkEnd w:id="401"/>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2" w:name="_Toc2918"/>
      <w:bookmarkStart w:id="403" w:name="_Toc6311"/>
      <w:bookmarkStart w:id="404" w:name="_Toc18585"/>
      <w:bookmarkStart w:id="405" w:name="_Toc6773"/>
      <w:bookmarkStart w:id="406" w:name="_Toc22185"/>
      <w:r>
        <w:rPr>
          <w:rFonts w:ascii="宋体" w:hAnsi="宋体"/>
          <w:b/>
          <w:sz w:val="24"/>
        </w:rPr>
        <w:t xml:space="preserve">1.2 </w:t>
      </w:r>
      <w:r>
        <w:rPr>
          <w:rFonts w:hint="eastAsia" w:ascii="宋体" w:hAnsi="宋体"/>
          <w:b/>
          <w:sz w:val="24"/>
        </w:rPr>
        <w:t>标的</w:t>
      </w:r>
      <w:bookmarkEnd w:id="402"/>
      <w:bookmarkEnd w:id="403"/>
      <w:bookmarkEnd w:id="404"/>
      <w:bookmarkEnd w:id="405"/>
      <w:bookmarkEnd w:id="406"/>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7" w:name="_Toc13918"/>
      <w:bookmarkStart w:id="408" w:name="_Toc5635"/>
      <w:bookmarkStart w:id="409" w:name="_Toc1386"/>
      <w:bookmarkStart w:id="410" w:name="_Toc4929"/>
      <w:bookmarkStart w:id="411"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7"/>
      <w:bookmarkEnd w:id="408"/>
      <w:bookmarkEnd w:id="409"/>
      <w:bookmarkEnd w:id="410"/>
      <w:bookmarkEnd w:id="411"/>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Ansi="宋体"/>
                <w:sz w:val="24"/>
                <w:szCs w:val="24"/>
              </w:rPr>
            </w:pPr>
            <w:r>
              <w:rPr>
                <w:rFonts w:hAnsi="宋体"/>
                <w:sz w:val="24"/>
                <w:szCs w:val="24"/>
              </w:rPr>
              <w:t>序号</w:t>
            </w:r>
          </w:p>
        </w:tc>
        <w:tc>
          <w:tcPr>
            <w:tcW w:w="3402" w:type="dxa"/>
            <w:vAlign w:val="center"/>
          </w:tcPr>
          <w:p>
            <w:pPr>
              <w:pStyle w:val="3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Ansi="宋体"/>
                <w:sz w:val="24"/>
                <w:szCs w:val="24"/>
              </w:rPr>
            </w:pPr>
          </w:p>
        </w:tc>
        <w:tc>
          <w:tcPr>
            <w:tcW w:w="3402" w:type="dxa"/>
            <w:vAlign w:val="center"/>
          </w:tcPr>
          <w:p>
            <w:pPr>
              <w:pStyle w:val="321"/>
              <w:spacing w:line="560" w:lineRule="exact"/>
              <w:ind w:firstLine="200"/>
              <w:jc w:val="center"/>
              <w:rPr>
                <w:rFonts w:hAnsi="宋体"/>
                <w:sz w:val="24"/>
                <w:szCs w:val="24"/>
              </w:rPr>
            </w:pPr>
          </w:p>
        </w:tc>
        <w:tc>
          <w:tcPr>
            <w:tcW w:w="2552" w:type="dxa"/>
            <w:vAlign w:val="center"/>
          </w:tcPr>
          <w:p>
            <w:pPr>
              <w:pStyle w:val="3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2" w:name="_Toc30506"/>
      <w:bookmarkStart w:id="413" w:name="_Toc14993"/>
      <w:bookmarkStart w:id="414" w:name="_Toc26916"/>
      <w:bookmarkStart w:id="415" w:name="_Toc3654"/>
      <w:bookmarkStart w:id="416" w:name="_Toc30158"/>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5"/>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2"/>
    <w:bookmarkEnd w:id="413"/>
    <w:bookmarkEnd w:id="414"/>
    <w:bookmarkEnd w:id="415"/>
    <w:bookmarkEnd w:id="416"/>
    <w:p>
      <w:pPr>
        <w:pStyle w:val="959"/>
        <w:spacing w:before="0" w:beforeAutospacing="0" w:after="0" w:afterAutospacing="0" w:line="360" w:lineRule="auto"/>
        <w:ind w:firstLine="480"/>
        <w:rPr>
          <w:b/>
        </w:rPr>
      </w:pPr>
      <w:bookmarkStart w:id="417" w:name="_Toc1814"/>
      <w:bookmarkStart w:id="418" w:name="_Toc10340"/>
      <w:bookmarkStart w:id="419" w:name="_Toc22618"/>
      <w:bookmarkStart w:id="420" w:name="_Toc11108"/>
      <w:bookmarkStart w:id="421" w:name="_Toc8772"/>
      <w:bookmarkStart w:id="422" w:name="_Toc4760"/>
      <w:bookmarkStart w:id="423" w:name="_Toc31421"/>
      <w:bookmarkStart w:id="424" w:name="_Toc3625"/>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7"/>
      <w:bookmarkEnd w:id="418"/>
      <w:bookmarkEnd w:id="419"/>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0"/>
      <w:bookmarkEnd w:id="421"/>
      <w:bookmarkEnd w:id="422"/>
      <w:bookmarkEnd w:id="423"/>
      <w:bookmarkEnd w:id="424"/>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5" w:name="_Toc24662"/>
      <w:bookmarkStart w:id="426" w:name="_Toc8586"/>
      <w:bookmarkStart w:id="427" w:name="_Toc2375"/>
      <w:bookmarkStart w:id="428" w:name="_Toc5698"/>
      <w:bookmarkStart w:id="429" w:name="_Toc3079"/>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5"/>
      <w:bookmarkEnd w:id="426"/>
      <w:bookmarkEnd w:id="427"/>
      <w:bookmarkEnd w:id="428"/>
      <w:bookmarkEnd w:id="429"/>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5"/>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0" w:name="_Toc32454"/>
      <w:bookmarkStart w:id="431" w:name="_Toc9497"/>
      <w:bookmarkStart w:id="432" w:name="_Toc18683"/>
      <w:bookmarkStart w:id="433" w:name="_Toc26807"/>
      <w:bookmarkStart w:id="434"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sz w:val="24"/>
        </w:rPr>
      </w:pPr>
      <w:bookmarkStart w:id="435" w:name="_Toc28375"/>
      <w:bookmarkStart w:id="436" w:name="_Toc15583"/>
      <w:bookmarkStart w:id="437" w:name="_Toc16021"/>
      <w:r>
        <w:rPr>
          <w:rFonts w:hint="eastAsia" w:ascii="宋体" w:hAnsi="宋体" w:cs="宋体"/>
          <w:b/>
          <w:sz w:val="24"/>
        </w:rPr>
        <w:t>1.9合同争议的解决</w:t>
      </w:r>
      <w:bookmarkEnd w:id="435"/>
      <w:bookmarkEnd w:id="436"/>
      <w:bookmarkEnd w:id="437"/>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8" w:name="_Toc7245"/>
      <w:bookmarkStart w:id="439" w:name="_Toc11173"/>
      <w:bookmarkStart w:id="440" w:name="_Toc15322"/>
      <w:r>
        <w:rPr>
          <w:rFonts w:hint="eastAsia" w:ascii="宋体" w:hAnsi="宋体" w:cs="宋体"/>
          <w:b/>
          <w:sz w:val="24"/>
        </w:rPr>
        <w:t>2.0 合同生效</w:t>
      </w:r>
      <w:bookmarkEnd w:id="438"/>
      <w:bookmarkEnd w:id="439"/>
      <w:bookmarkEnd w:id="440"/>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80"/>
        <w:spacing w:line="560" w:lineRule="exact"/>
        <w:ind w:firstLine="482"/>
        <w:jc w:val="center"/>
        <w:rPr>
          <w:rFonts w:ascii="宋体" w:hAnsi="宋体"/>
          <w:b/>
          <w:color w:val="auto"/>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1" w:name="_Toc5228"/>
      <w:bookmarkStart w:id="442" w:name="_Toc14021"/>
      <w:bookmarkStart w:id="443" w:name="_Toc25079"/>
      <w:bookmarkStart w:id="444" w:name="_Toc19680"/>
      <w:bookmarkStart w:id="445" w:name="_Toc31297"/>
      <w:r>
        <w:rPr>
          <w:rFonts w:ascii="宋体" w:hAnsi="宋体"/>
          <w:b/>
          <w:sz w:val="24"/>
        </w:rPr>
        <w:t>2.1 定义</w:t>
      </w:r>
      <w:bookmarkEnd w:id="441"/>
      <w:bookmarkEnd w:id="442"/>
      <w:bookmarkEnd w:id="443"/>
      <w:bookmarkEnd w:id="444"/>
      <w:bookmarkEnd w:id="445"/>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6" w:name="_Toc23289"/>
      <w:bookmarkStart w:id="447" w:name="_Toc19539"/>
      <w:bookmarkStart w:id="448" w:name="_Toc16752"/>
      <w:bookmarkStart w:id="449" w:name="_Toc3769"/>
      <w:bookmarkStart w:id="450" w:name="_Toc31402"/>
      <w:r>
        <w:rPr>
          <w:rFonts w:ascii="宋体" w:hAnsi="宋体"/>
          <w:b/>
          <w:sz w:val="24"/>
        </w:rPr>
        <w:t>2.2 技术规范</w:t>
      </w:r>
      <w:bookmarkEnd w:id="446"/>
      <w:bookmarkEnd w:id="447"/>
      <w:bookmarkEnd w:id="448"/>
      <w:bookmarkEnd w:id="449"/>
      <w:bookmarkEnd w:id="450"/>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1" w:name="_Toc9161"/>
      <w:bookmarkStart w:id="452" w:name="_Toc27945"/>
      <w:bookmarkStart w:id="453" w:name="_Toc12412"/>
      <w:bookmarkStart w:id="454" w:name="_Toc13673"/>
      <w:bookmarkStart w:id="455" w:name="_Toc4133"/>
      <w:r>
        <w:rPr>
          <w:rFonts w:ascii="宋体" w:hAnsi="宋体"/>
          <w:b/>
          <w:sz w:val="24"/>
        </w:rPr>
        <w:t>2.3 知识产权</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6" w:name="_Toc15447"/>
      <w:bookmarkStart w:id="457" w:name="_Toc32670"/>
      <w:bookmarkStart w:id="458" w:name="_Toc22011"/>
      <w:bookmarkStart w:id="459" w:name="_Toc26555"/>
      <w:bookmarkStart w:id="460" w:name="_Toc31233"/>
      <w:r>
        <w:rPr>
          <w:rFonts w:ascii="宋体" w:hAnsi="宋体"/>
          <w:b/>
          <w:sz w:val="24"/>
        </w:rPr>
        <w:t>2.5 结算方式和付款条件</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1" w:name="_Toc18990"/>
      <w:bookmarkStart w:id="462" w:name="_Toc16163"/>
      <w:bookmarkStart w:id="463" w:name="_Toc13467"/>
      <w:bookmarkStart w:id="464" w:name="_Toc13154"/>
      <w:bookmarkStart w:id="465" w:name="_Toc30507"/>
      <w:r>
        <w:rPr>
          <w:rFonts w:ascii="宋体" w:hAnsi="宋体"/>
          <w:b/>
          <w:sz w:val="24"/>
        </w:rPr>
        <w:t>2.6 技术资料和保密义务</w:t>
      </w:r>
      <w:bookmarkEnd w:id="461"/>
      <w:bookmarkEnd w:id="462"/>
      <w:bookmarkEnd w:id="463"/>
      <w:bookmarkEnd w:id="464"/>
      <w:bookmarkEnd w:id="465"/>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6" w:name="_Toc19069"/>
      <w:r>
        <w:rPr>
          <w:rFonts w:ascii="宋体" w:hAnsi="宋体"/>
          <w:b/>
          <w:sz w:val="24"/>
        </w:rPr>
        <w:t xml:space="preserve">2.7 </w:t>
      </w:r>
      <w:r>
        <w:rPr>
          <w:rFonts w:hint="eastAsia" w:ascii="宋体" w:hAnsi="宋体"/>
          <w:b/>
          <w:sz w:val="24"/>
        </w:rPr>
        <w:t>质量保证</w:t>
      </w:r>
      <w:bookmarkEnd w:id="466"/>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7" w:name="_Toc22267"/>
      <w:r>
        <w:rPr>
          <w:rFonts w:ascii="宋体" w:hAnsi="宋体"/>
          <w:b/>
          <w:sz w:val="24"/>
        </w:rPr>
        <w:t xml:space="preserve">2.8 </w:t>
      </w:r>
      <w:r>
        <w:rPr>
          <w:rFonts w:hint="eastAsia" w:ascii="宋体" w:hAnsi="宋体"/>
          <w:b/>
          <w:sz w:val="24"/>
        </w:rPr>
        <w:t>延迟履行</w:t>
      </w:r>
      <w:bookmarkEnd w:id="467"/>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8" w:name="_Toc10611"/>
      <w:r>
        <w:rPr>
          <w:rFonts w:ascii="宋体" w:hAnsi="宋体"/>
          <w:b/>
          <w:sz w:val="24"/>
        </w:rPr>
        <w:t xml:space="preserve">2.9 </w:t>
      </w:r>
      <w:r>
        <w:rPr>
          <w:rFonts w:hint="eastAsia" w:ascii="宋体" w:hAnsi="宋体"/>
          <w:b/>
          <w:sz w:val="24"/>
        </w:rPr>
        <w:t>合同变更</w:t>
      </w:r>
      <w:bookmarkEnd w:id="468"/>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9" w:name="_Toc21830"/>
      <w:bookmarkStart w:id="470" w:name="_Toc42"/>
      <w:bookmarkStart w:id="471" w:name="_Toc23368"/>
      <w:bookmarkStart w:id="472" w:name="_Toc10663"/>
      <w:bookmarkStart w:id="473" w:name="_Toc26689"/>
      <w:r>
        <w:rPr>
          <w:rFonts w:ascii="宋体" w:hAnsi="宋体"/>
          <w:b/>
          <w:sz w:val="24"/>
        </w:rPr>
        <w:t>2.10 合同转让和分包</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4" w:name="_Toc14371"/>
      <w:bookmarkStart w:id="475" w:name="_Toc32494"/>
      <w:bookmarkStart w:id="476" w:name="_Toc26633"/>
      <w:bookmarkStart w:id="477" w:name="_Toc4720"/>
      <w:bookmarkStart w:id="478" w:name="_Toc25571"/>
      <w:r>
        <w:rPr>
          <w:rFonts w:ascii="宋体" w:hAnsi="宋体"/>
          <w:b/>
          <w:sz w:val="24"/>
        </w:rPr>
        <w:t>2.11 不可抗力</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9" w:name="_Toc23854"/>
      <w:bookmarkStart w:id="480" w:name="_Toc14115"/>
      <w:bookmarkStart w:id="481" w:name="_Toc3638"/>
      <w:bookmarkStart w:id="482" w:name="_Toc25783"/>
      <w:bookmarkStart w:id="483" w:name="_Toc24465"/>
      <w:r>
        <w:rPr>
          <w:rFonts w:ascii="宋体" w:hAnsi="宋体"/>
          <w:b/>
          <w:sz w:val="24"/>
        </w:rPr>
        <w:t>2.12 税费</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4" w:name="_Toc14814"/>
      <w:bookmarkStart w:id="485" w:name="_Toc7315"/>
      <w:bookmarkStart w:id="486" w:name="_Toc26883"/>
      <w:bookmarkStart w:id="487" w:name="_Toc30105"/>
      <w:bookmarkStart w:id="488" w:name="_Toc25525"/>
      <w:r>
        <w:rPr>
          <w:rFonts w:ascii="宋体" w:hAnsi="宋体"/>
          <w:b/>
          <w:sz w:val="24"/>
        </w:rPr>
        <w:t>2.13 乙方破产</w:t>
      </w:r>
      <w:bookmarkEnd w:id="484"/>
      <w:bookmarkEnd w:id="485"/>
      <w:bookmarkEnd w:id="486"/>
      <w:bookmarkEnd w:id="487"/>
      <w:bookmarkEnd w:id="488"/>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9" w:name="_Toc2016"/>
      <w:bookmarkStart w:id="490" w:name="_Toc1123"/>
      <w:bookmarkStart w:id="491" w:name="_Toc23323"/>
      <w:r>
        <w:rPr>
          <w:rFonts w:ascii="宋体" w:hAnsi="宋体"/>
          <w:b/>
          <w:sz w:val="24"/>
        </w:rPr>
        <w:t>2.14 合同中止、终止</w:t>
      </w:r>
      <w:bookmarkEnd w:id="489"/>
      <w:bookmarkEnd w:id="490"/>
      <w:bookmarkEnd w:id="491"/>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2" w:name="_Toc17363"/>
      <w:bookmarkStart w:id="493" w:name="_Toc1969"/>
      <w:bookmarkStart w:id="494" w:name="_Toc14525"/>
      <w:r>
        <w:rPr>
          <w:rFonts w:ascii="宋体" w:hAnsi="宋体"/>
          <w:b/>
          <w:sz w:val="24"/>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5" w:name="_Toc12666"/>
      <w:bookmarkStart w:id="496" w:name="_Toc31892"/>
      <w:bookmarkStart w:id="497" w:name="_Toc9808"/>
      <w:bookmarkStart w:id="498" w:name="_Toc2308"/>
      <w:bookmarkStart w:id="499" w:name="_Toc25198"/>
      <w:r>
        <w:rPr>
          <w:rFonts w:ascii="宋体" w:hAnsi="宋体"/>
          <w:b/>
          <w:sz w:val="24"/>
        </w:rPr>
        <w:t>2.16 通知和送达</w:t>
      </w:r>
      <w:bookmarkEnd w:id="495"/>
      <w:bookmarkEnd w:id="496"/>
      <w:bookmarkEnd w:id="497"/>
      <w:bookmarkEnd w:id="498"/>
      <w:bookmarkEnd w:id="499"/>
    </w:p>
    <w:p>
      <w:pPr>
        <w:spacing w:line="560" w:lineRule="exact"/>
        <w:ind w:firstLine="480" w:firstLineChars="200"/>
        <w:rPr>
          <w:rFonts w:ascii="宋体" w:hAnsi="宋体"/>
          <w:sz w:val="24"/>
        </w:rPr>
      </w:pPr>
      <w:bookmarkStart w:id="500" w:name="_Toc18401"/>
      <w:bookmarkStart w:id="501"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0"/>
      <w:bookmarkEnd w:id="501"/>
    </w:p>
    <w:p>
      <w:pPr>
        <w:spacing w:line="560" w:lineRule="exact"/>
        <w:ind w:firstLine="482" w:firstLineChars="200"/>
        <w:outlineLvl w:val="0"/>
        <w:rPr>
          <w:rFonts w:ascii="宋体" w:hAnsi="宋体"/>
          <w:b/>
          <w:sz w:val="24"/>
        </w:rPr>
      </w:pPr>
      <w:bookmarkStart w:id="502" w:name="_Toc28906"/>
      <w:bookmarkStart w:id="503" w:name="_Toc20808"/>
      <w:bookmarkStart w:id="504" w:name="_Toc27644"/>
      <w:bookmarkStart w:id="505" w:name="_Toc12254"/>
      <w:bookmarkStart w:id="506"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2"/>
      <w:bookmarkEnd w:id="503"/>
      <w:bookmarkEnd w:id="504"/>
      <w:bookmarkEnd w:id="505"/>
      <w:bookmarkEnd w:id="506"/>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7" w:name="_Toc4355"/>
      <w:bookmarkStart w:id="508" w:name="_Toc18540"/>
      <w:bookmarkStart w:id="509" w:name="_Toc30599"/>
      <w:r>
        <w:rPr>
          <w:rFonts w:hint="eastAsia" w:ascii="宋体" w:hAnsi="宋体" w:cs="宋体"/>
          <w:b/>
          <w:sz w:val="24"/>
        </w:rPr>
        <w:t>2.18 计量单位</w:t>
      </w:r>
      <w:bookmarkEnd w:id="507"/>
      <w:bookmarkEnd w:id="508"/>
      <w:bookmarkEnd w:id="50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0" w:name="_Toc331685784"/>
      <w:r>
        <w:rPr>
          <w:rFonts w:hint="eastAsia" w:ascii="宋体" w:hAnsi="宋体" w:cs="宋体"/>
          <w:b/>
          <w:sz w:val="24"/>
        </w:rPr>
        <w:t xml:space="preserve"> </w:t>
      </w:r>
      <w:bookmarkEnd w:id="510"/>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22" w:firstLineChars="200"/>
        <w:jc w:val="center"/>
        <w:rPr>
          <w:rFonts w:ascii="宋体" w:hAnsi="宋体" w:cs="宋体"/>
          <w:b/>
          <w:bCs/>
          <w:color w:val="000000" w:themeColor="text1"/>
          <w:sz w:val="24"/>
          <w14:textFill>
            <w14:solidFill>
              <w14:schemeClr w14:val="tx1"/>
            </w14:solidFill>
          </w14:textFill>
        </w:rPr>
      </w:pPr>
      <w:r>
        <w:rPr>
          <w:b/>
          <w:bCs/>
          <w:color w:val="000000" w:themeColor="text1"/>
          <w14:textFill>
            <w14:solidFill>
              <w14:schemeClr w14:val="tx1"/>
            </w14:solidFill>
          </w14:textFill>
        </w:rPr>
        <w:t>此仅为合同书样本，中标单位需根据实际情况和采购人签订相应的合同！</w:t>
      </w: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1" w:name="_Hlk101257010"/>
      <w:r>
        <w:rPr>
          <w:rFonts w:hint="eastAsia" w:ascii="宋体" w:hAnsi="宋体" w:cs="宋体"/>
          <w:color w:val="FF0000"/>
          <w:sz w:val="24"/>
        </w:rPr>
        <w:t>（如果有)</w:t>
      </w:r>
      <w:bookmarkEnd w:id="511"/>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41"/>
        <w:gridCol w:w="1575"/>
        <w:gridCol w:w="2362"/>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outlineLvl w:val="9"/>
              <w:rPr>
                <w:rFonts w:ascii="宋体" w:hAnsi="宋体" w:cs="宋体"/>
                <w:b/>
                <w:sz w:val="24"/>
              </w:rPr>
            </w:pPr>
            <w:r>
              <w:rPr>
                <w:rFonts w:hint="eastAsia" w:ascii="宋体" w:hAnsi="宋体" w:cs="宋体"/>
                <w:b/>
                <w:sz w:val="24"/>
              </w:rPr>
              <w:t>序号</w:t>
            </w:r>
          </w:p>
        </w:tc>
        <w:tc>
          <w:tcPr>
            <w:tcW w:w="2441" w:type="dxa"/>
            <w:vAlign w:val="center"/>
          </w:tcPr>
          <w:p>
            <w:pPr>
              <w:spacing w:line="360" w:lineRule="auto"/>
              <w:jc w:val="center"/>
              <w:outlineLvl w:val="9"/>
              <w:rPr>
                <w:rFonts w:ascii="宋体" w:hAnsi="宋体" w:cs="宋体"/>
                <w:b/>
                <w:sz w:val="24"/>
              </w:rPr>
            </w:pPr>
            <w:r>
              <w:rPr>
                <w:rFonts w:hint="eastAsia" w:ascii="宋体" w:hAnsi="宋体" w:cs="宋体"/>
                <w:b/>
                <w:sz w:val="24"/>
              </w:rPr>
              <w:t>名称</w:t>
            </w:r>
          </w:p>
        </w:tc>
        <w:tc>
          <w:tcPr>
            <w:tcW w:w="1575" w:type="dxa"/>
            <w:vAlign w:val="center"/>
          </w:tcPr>
          <w:p>
            <w:pPr>
              <w:spacing w:line="360" w:lineRule="auto"/>
              <w:jc w:val="center"/>
              <w:outlineLvl w:val="9"/>
              <w:rPr>
                <w:rFonts w:ascii="宋体" w:hAnsi="宋体" w:cs="宋体"/>
                <w:b/>
                <w:sz w:val="24"/>
              </w:rPr>
            </w:pPr>
            <w:r>
              <w:rPr>
                <w:rFonts w:hint="eastAsia" w:ascii="宋体" w:hAnsi="宋体" w:cs="宋体"/>
                <w:b/>
                <w:sz w:val="24"/>
              </w:rPr>
              <w:t>服务范围</w:t>
            </w:r>
          </w:p>
        </w:tc>
        <w:tc>
          <w:tcPr>
            <w:tcW w:w="2362" w:type="dxa"/>
            <w:vAlign w:val="center"/>
          </w:tcPr>
          <w:p>
            <w:pPr>
              <w:spacing w:line="360" w:lineRule="auto"/>
              <w:jc w:val="center"/>
              <w:outlineLvl w:val="9"/>
              <w:rPr>
                <w:rFonts w:ascii="宋体" w:hAnsi="宋体" w:cs="宋体"/>
                <w:b/>
                <w:sz w:val="24"/>
              </w:rPr>
            </w:pPr>
            <w:r>
              <w:rPr>
                <w:rFonts w:hint="eastAsia" w:ascii="宋体" w:hAnsi="宋体" w:cs="宋体"/>
                <w:b/>
                <w:sz w:val="24"/>
              </w:rPr>
              <w:t>服务要求</w:t>
            </w:r>
          </w:p>
        </w:tc>
        <w:tc>
          <w:tcPr>
            <w:tcW w:w="993" w:type="dxa"/>
            <w:vAlign w:val="center"/>
          </w:tcPr>
          <w:p>
            <w:pPr>
              <w:spacing w:line="360" w:lineRule="auto"/>
              <w:jc w:val="center"/>
              <w:outlineLvl w:val="9"/>
              <w:rPr>
                <w:rFonts w:ascii="宋体" w:hAnsi="宋体" w:cs="宋体"/>
                <w:b/>
                <w:sz w:val="24"/>
              </w:rPr>
            </w:pPr>
            <w:r>
              <w:rPr>
                <w:rFonts w:hint="eastAsia" w:ascii="宋体" w:hAnsi="宋体" w:cs="宋体"/>
                <w:b/>
                <w:sz w:val="24"/>
              </w:rPr>
              <w:t>服务时间</w:t>
            </w:r>
          </w:p>
        </w:tc>
        <w:tc>
          <w:tcPr>
            <w:tcW w:w="1559" w:type="dxa"/>
            <w:vAlign w:val="center"/>
          </w:tcPr>
          <w:p>
            <w:pPr>
              <w:spacing w:line="360" w:lineRule="auto"/>
              <w:jc w:val="center"/>
              <w:outlineLvl w:val="9"/>
              <w:rPr>
                <w:rFonts w:ascii="宋体" w:hAnsi="宋体" w:cs="宋体"/>
                <w:b/>
                <w:sz w:val="24"/>
              </w:rPr>
            </w:pPr>
            <w:r>
              <w:rPr>
                <w:rFonts w:hint="eastAsia" w:ascii="宋体" w:hAnsi="宋体" w:cs="宋体"/>
                <w:b/>
                <w:sz w:val="24"/>
              </w:rPr>
              <w:t>服务标准</w:t>
            </w:r>
          </w:p>
        </w:tc>
        <w:tc>
          <w:tcPr>
            <w:tcW w:w="1984" w:type="dxa"/>
            <w:vAlign w:val="center"/>
          </w:tcPr>
          <w:p>
            <w:pPr>
              <w:spacing w:line="360" w:lineRule="auto"/>
              <w:jc w:val="center"/>
              <w:outlineLvl w:val="9"/>
              <w:rPr>
                <w:rFonts w:ascii="宋体" w:hAnsi="宋体" w:cs="宋体"/>
                <w:b/>
                <w:sz w:val="24"/>
              </w:rPr>
            </w:pPr>
            <w:r>
              <w:rPr>
                <w:rFonts w:hint="eastAsia" w:ascii="宋体" w:hAnsi="宋体" w:cs="宋体"/>
                <w:b/>
                <w:sz w:val="24"/>
              </w:rPr>
              <w:t>服务人数</w:t>
            </w:r>
          </w:p>
        </w:tc>
        <w:tc>
          <w:tcPr>
            <w:tcW w:w="3119" w:type="dxa"/>
            <w:vAlign w:val="center"/>
          </w:tcPr>
          <w:p>
            <w:pPr>
              <w:spacing w:line="360" w:lineRule="auto"/>
              <w:jc w:val="center"/>
              <w:outlineLvl w:val="9"/>
              <w:rPr>
                <w:rFonts w:ascii="宋体" w:hAnsi="宋体" w:cs="宋体"/>
                <w:b/>
                <w:sz w:val="24"/>
              </w:rPr>
            </w:pPr>
            <w:r>
              <w:rPr>
                <w:rFonts w:hint="eastAsia" w:ascii="宋体" w:hAnsi="宋体" w:cs="宋体"/>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outlineLvl w:val="9"/>
              <w:rPr>
                <w:rFonts w:ascii="宋体" w:hAnsi="宋体" w:cs="宋体"/>
                <w:color w:val="0000FF"/>
                <w:sz w:val="24"/>
              </w:rPr>
            </w:pPr>
            <w:r>
              <w:rPr>
                <w:rFonts w:hint="eastAsia" w:ascii="宋体" w:hAnsi="宋体" w:cs="宋体"/>
                <w:color w:val="0000FF"/>
                <w:sz w:val="24"/>
              </w:rPr>
              <w:t>1</w:t>
            </w:r>
          </w:p>
        </w:tc>
        <w:tc>
          <w:tcPr>
            <w:tcW w:w="2441" w:type="dxa"/>
            <w:vAlign w:val="center"/>
          </w:tcPr>
          <w:p>
            <w:pPr>
              <w:snapToGrid w:val="0"/>
              <w:spacing w:line="360" w:lineRule="auto"/>
              <w:jc w:val="center"/>
              <w:outlineLvl w:val="9"/>
              <w:rPr>
                <w:rFonts w:ascii="宋体" w:hAnsi="宋体" w:cs="宋体"/>
                <w:color w:val="0000FF"/>
                <w:sz w:val="24"/>
              </w:rPr>
            </w:pPr>
            <w:r>
              <w:rPr>
                <w:rFonts w:hint="eastAsia" w:ascii="宋体" w:hAnsi="宋体" w:eastAsia="宋体" w:cs="宋体"/>
                <w:b w:val="0"/>
                <w:bCs/>
                <w:color w:val="000000"/>
                <w:kern w:val="2"/>
                <w:sz w:val="24"/>
                <w:szCs w:val="24"/>
                <w:lang w:val="en-US" w:eastAsia="zh-CN" w:bidi="ar-SA"/>
              </w:rPr>
              <w:t>2024年中泰街道违法建筑、不雅建筑零星拆除作业服务项目</w:t>
            </w:r>
          </w:p>
        </w:tc>
        <w:tc>
          <w:tcPr>
            <w:tcW w:w="1575" w:type="dxa"/>
            <w:vAlign w:val="center"/>
          </w:tcPr>
          <w:p>
            <w:pPr>
              <w:snapToGrid w:val="0"/>
              <w:spacing w:line="360" w:lineRule="auto"/>
              <w:jc w:val="center"/>
              <w:outlineLvl w:val="9"/>
              <w:rPr>
                <w:rFonts w:ascii="宋体" w:hAnsi="宋体" w:cs="宋体"/>
                <w:color w:val="0000FF"/>
                <w:sz w:val="24"/>
              </w:rPr>
            </w:pPr>
            <w:r>
              <w:rPr>
                <w:rFonts w:hint="eastAsia" w:ascii="宋体" w:hAnsi="宋体" w:cs="宋体"/>
                <w:sz w:val="24"/>
              </w:rPr>
              <w:t>按招标文件要求</w:t>
            </w:r>
          </w:p>
        </w:tc>
        <w:tc>
          <w:tcPr>
            <w:tcW w:w="2362" w:type="dxa"/>
            <w:vAlign w:val="center"/>
          </w:tcPr>
          <w:p>
            <w:pPr>
              <w:snapToGrid w:val="0"/>
              <w:spacing w:line="360" w:lineRule="auto"/>
              <w:jc w:val="center"/>
              <w:outlineLvl w:val="9"/>
              <w:rPr>
                <w:rFonts w:ascii="宋体" w:hAnsi="宋体" w:cs="宋体"/>
                <w:color w:val="0000FF"/>
                <w:sz w:val="24"/>
              </w:rPr>
            </w:pPr>
            <w:r>
              <w:rPr>
                <w:rFonts w:hint="eastAsia" w:ascii="宋体" w:hAnsi="宋体" w:cs="宋体"/>
                <w:sz w:val="24"/>
              </w:rPr>
              <w:t>按招标文件要求</w:t>
            </w:r>
          </w:p>
        </w:tc>
        <w:tc>
          <w:tcPr>
            <w:tcW w:w="993" w:type="dxa"/>
            <w:vAlign w:val="center"/>
          </w:tcPr>
          <w:p>
            <w:pPr>
              <w:snapToGrid w:val="0"/>
              <w:spacing w:line="360" w:lineRule="auto"/>
              <w:jc w:val="center"/>
              <w:outlineLvl w:val="9"/>
              <w:rPr>
                <w:rFonts w:ascii="宋体" w:hAnsi="宋体" w:cs="宋体"/>
                <w:color w:val="0000FF"/>
                <w:sz w:val="24"/>
              </w:rPr>
            </w:pPr>
            <w:r>
              <w:rPr>
                <w:rFonts w:hint="eastAsia" w:ascii="宋体" w:hAnsi="宋体" w:cs="宋体"/>
                <w:sz w:val="24"/>
                <w:lang w:val="en-US" w:eastAsia="zh-CN"/>
              </w:rPr>
              <w:t>一年</w:t>
            </w:r>
          </w:p>
        </w:tc>
        <w:tc>
          <w:tcPr>
            <w:tcW w:w="1559" w:type="dxa"/>
            <w:vAlign w:val="center"/>
          </w:tcPr>
          <w:p>
            <w:pPr>
              <w:spacing w:line="360" w:lineRule="auto"/>
              <w:jc w:val="center"/>
              <w:outlineLvl w:val="9"/>
              <w:rPr>
                <w:rFonts w:ascii="宋体" w:hAnsi="宋体" w:cs="宋体"/>
                <w:color w:val="0000FF"/>
                <w:sz w:val="24"/>
              </w:rPr>
            </w:pPr>
            <w:r>
              <w:rPr>
                <w:rFonts w:hint="eastAsia" w:ascii="宋体" w:hAnsi="宋体" w:cs="宋体"/>
                <w:sz w:val="24"/>
              </w:rPr>
              <w:t>按招标文件要求</w:t>
            </w:r>
          </w:p>
        </w:tc>
        <w:tc>
          <w:tcPr>
            <w:tcW w:w="1984" w:type="dxa"/>
            <w:vAlign w:val="center"/>
          </w:tcPr>
          <w:p>
            <w:pPr>
              <w:spacing w:line="360" w:lineRule="auto"/>
              <w:jc w:val="center"/>
              <w:outlineLvl w:val="9"/>
              <w:rPr>
                <w:rFonts w:ascii="宋体" w:hAnsi="宋体" w:cs="宋体"/>
                <w:color w:val="0000FF"/>
                <w:sz w:val="24"/>
              </w:rPr>
            </w:pPr>
          </w:p>
        </w:tc>
        <w:tc>
          <w:tcPr>
            <w:tcW w:w="3119" w:type="dxa"/>
            <w:vAlign w:val="center"/>
          </w:tcPr>
          <w:p>
            <w:pPr>
              <w:spacing w:line="360" w:lineRule="auto"/>
              <w:jc w:val="center"/>
              <w:outlineLvl w:val="9"/>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outlineLvl w:val="9"/>
              <w:rPr>
                <w:rFonts w:ascii="宋体" w:hAnsi="宋体" w:cs="宋体"/>
                <w:color w:val="0000FF"/>
                <w:sz w:val="24"/>
              </w:rPr>
            </w:pPr>
          </w:p>
        </w:tc>
        <w:tc>
          <w:tcPr>
            <w:tcW w:w="2441" w:type="dxa"/>
            <w:vAlign w:val="center"/>
          </w:tcPr>
          <w:p>
            <w:pPr>
              <w:snapToGrid w:val="0"/>
              <w:spacing w:line="360" w:lineRule="auto"/>
              <w:jc w:val="center"/>
              <w:outlineLvl w:val="9"/>
              <w:rPr>
                <w:rFonts w:ascii="宋体" w:hAnsi="宋体" w:cs="宋体"/>
                <w:color w:val="0000FF"/>
                <w:sz w:val="24"/>
              </w:rPr>
            </w:pPr>
          </w:p>
        </w:tc>
        <w:tc>
          <w:tcPr>
            <w:tcW w:w="1575" w:type="dxa"/>
            <w:vAlign w:val="center"/>
          </w:tcPr>
          <w:p>
            <w:pPr>
              <w:snapToGrid w:val="0"/>
              <w:spacing w:line="360" w:lineRule="auto"/>
              <w:jc w:val="center"/>
              <w:outlineLvl w:val="9"/>
              <w:rPr>
                <w:rFonts w:ascii="宋体" w:hAnsi="宋体" w:cs="宋体"/>
                <w:color w:val="0000FF"/>
                <w:sz w:val="24"/>
              </w:rPr>
            </w:pPr>
          </w:p>
        </w:tc>
        <w:tc>
          <w:tcPr>
            <w:tcW w:w="2362" w:type="dxa"/>
            <w:vAlign w:val="center"/>
          </w:tcPr>
          <w:p>
            <w:pPr>
              <w:snapToGrid w:val="0"/>
              <w:spacing w:line="360" w:lineRule="auto"/>
              <w:jc w:val="center"/>
              <w:outlineLvl w:val="9"/>
              <w:rPr>
                <w:rFonts w:ascii="宋体" w:hAnsi="宋体" w:cs="宋体"/>
                <w:color w:val="0000FF"/>
                <w:sz w:val="24"/>
              </w:rPr>
            </w:pPr>
          </w:p>
        </w:tc>
        <w:tc>
          <w:tcPr>
            <w:tcW w:w="993" w:type="dxa"/>
            <w:vAlign w:val="center"/>
          </w:tcPr>
          <w:p>
            <w:pPr>
              <w:snapToGrid w:val="0"/>
              <w:spacing w:line="360" w:lineRule="auto"/>
              <w:jc w:val="center"/>
              <w:outlineLvl w:val="9"/>
              <w:rPr>
                <w:rFonts w:ascii="宋体" w:hAnsi="宋体" w:cs="宋体"/>
                <w:color w:val="0000FF"/>
                <w:sz w:val="24"/>
              </w:rPr>
            </w:pPr>
          </w:p>
        </w:tc>
        <w:tc>
          <w:tcPr>
            <w:tcW w:w="1559" w:type="dxa"/>
            <w:vAlign w:val="center"/>
          </w:tcPr>
          <w:p>
            <w:pPr>
              <w:spacing w:line="360" w:lineRule="auto"/>
              <w:jc w:val="center"/>
              <w:outlineLvl w:val="9"/>
              <w:rPr>
                <w:rFonts w:ascii="宋体" w:hAnsi="宋体" w:cs="宋体"/>
                <w:color w:val="0000FF"/>
                <w:sz w:val="24"/>
              </w:rPr>
            </w:pPr>
          </w:p>
        </w:tc>
        <w:tc>
          <w:tcPr>
            <w:tcW w:w="1984" w:type="dxa"/>
            <w:vAlign w:val="center"/>
          </w:tcPr>
          <w:p>
            <w:pPr>
              <w:spacing w:line="360" w:lineRule="auto"/>
              <w:jc w:val="center"/>
              <w:outlineLvl w:val="9"/>
              <w:rPr>
                <w:rFonts w:ascii="宋体" w:hAnsi="宋体" w:cs="宋体"/>
                <w:color w:val="0000FF"/>
                <w:sz w:val="24"/>
              </w:rPr>
            </w:pPr>
          </w:p>
        </w:tc>
        <w:tc>
          <w:tcPr>
            <w:tcW w:w="3119" w:type="dxa"/>
            <w:vAlign w:val="center"/>
          </w:tcPr>
          <w:p>
            <w:pPr>
              <w:spacing w:line="360" w:lineRule="auto"/>
              <w:jc w:val="center"/>
              <w:outlineLvl w:val="9"/>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outlineLvl w:val="9"/>
              <w:rPr>
                <w:rFonts w:ascii="宋体" w:hAnsi="宋体" w:cs="宋体"/>
                <w:sz w:val="24"/>
              </w:rPr>
            </w:pPr>
          </w:p>
        </w:tc>
        <w:tc>
          <w:tcPr>
            <w:tcW w:w="2441" w:type="dxa"/>
            <w:vAlign w:val="center"/>
          </w:tcPr>
          <w:p>
            <w:pPr>
              <w:snapToGrid w:val="0"/>
              <w:spacing w:line="360" w:lineRule="auto"/>
              <w:jc w:val="center"/>
              <w:outlineLvl w:val="9"/>
              <w:rPr>
                <w:rFonts w:ascii="宋体" w:hAnsi="宋体" w:cs="宋体"/>
                <w:sz w:val="24"/>
              </w:rPr>
            </w:pPr>
          </w:p>
        </w:tc>
        <w:tc>
          <w:tcPr>
            <w:tcW w:w="1575" w:type="dxa"/>
            <w:vAlign w:val="center"/>
          </w:tcPr>
          <w:p>
            <w:pPr>
              <w:snapToGrid w:val="0"/>
              <w:spacing w:line="360" w:lineRule="auto"/>
              <w:jc w:val="center"/>
              <w:outlineLvl w:val="9"/>
              <w:rPr>
                <w:rFonts w:ascii="宋体" w:hAnsi="宋体" w:cs="宋体"/>
                <w:sz w:val="24"/>
              </w:rPr>
            </w:pPr>
          </w:p>
        </w:tc>
        <w:tc>
          <w:tcPr>
            <w:tcW w:w="2362" w:type="dxa"/>
            <w:vAlign w:val="center"/>
          </w:tcPr>
          <w:p>
            <w:pPr>
              <w:snapToGrid w:val="0"/>
              <w:spacing w:line="360" w:lineRule="auto"/>
              <w:jc w:val="center"/>
              <w:outlineLvl w:val="9"/>
              <w:rPr>
                <w:rFonts w:ascii="宋体" w:hAnsi="宋体" w:cs="宋体"/>
                <w:sz w:val="24"/>
              </w:rPr>
            </w:pPr>
          </w:p>
        </w:tc>
        <w:tc>
          <w:tcPr>
            <w:tcW w:w="993" w:type="dxa"/>
            <w:vAlign w:val="center"/>
          </w:tcPr>
          <w:p>
            <w:pPr>
              <w:snapToGrid w:val="0"/>
              <w:spacing w:line="360" w:lineRule="auto"/>
              <w:jc w:val="center"/>
              <w:outlineLvl w:val="9"/>
              <w:rPr>
                <w:rFonts w:ascii="宋体" w:hAnsi="宋体" w:cs="宋体"/>
                <w:sz w:val="24"/>
              </w:rPr>
            </w:pPr>
          </w:p>
        </w:tc>
        <w:tc>
          <w:tcPr>
            <w:tcW w:w="1559" w:type="dxa"/>
            <w:vAlign w:val="center"/>
          </w:tcPr>
          <w:p>
            <w:pPr>
              <w:spacing w:line="360" w:lineRule="auto"/>
              <w:jc w:val="center"/>
              <w:outlineLvl w:val="9"/>
              <w:rPr>
                <w:rFonts w:ascii="宋体" w:hAnsi="宋体" w:cs="宋体"/>
                <w:sz w:val="24"/>
              </w:rPr>
            </w:pPr>
          </w:p>
        </w:tc>
        <w:tc>
          <w:tcPr>
            <w:tcW w:w="1984" w:type="dxa"/>
            <w:vAlign w:val="center"/>
          </w:tcPr>
          <w:p>
            <w:pPr>
              <w:spacing w:line="360" w:lineRule="auto"/>
              <w:jc w:val="center"/>
              <w:outlineLvl w:val="9"/>
              <w:rPr>
                <w:rFonts w:ascii="宋体" w:hAnsi="宋体" w:cs="宋体"/>
                <w:sz w:val="24"/>
              </w:rPr>
            </w:pPr>
          </w:p>
        </w:tc>
        <w:tc>
          <w:tcPr>
            <w:tcW w:w="3119" w:type="dxa"/>
            <w:vAlign w:val="center"/>
          </w:tcPr>
          <w:p>
            <w:pPr>
              <w:spacing w:line="360" w:lineRule="auto"/>
              <w:jc w:val="center"/>
              <w:outlineLvl w:val="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outlineLvl w:val="9"/>
              <w:rPr>
                <w:rFonts w:ascii="宋体" w:hAnsi="宋体" w:cs="宋体"/>
                <w:b/>
                <w:sz w:val="24"/>
              </w:rPr>
            </w:pPr>
            <w:r>
              <w:rPr>
                <w:rFonts w:hint="eastAsia" w:ascii="宋体" w:hAnsi="宋体" w:cs="宋体"/>
                <w:b/>
                <w:sz w:val="24"/>
              </w:rPr>
              <w:t>投标报价（折扣率）</w:t>
            </w:r>
          </w:p>
        </w:tc>
        <w:tc>
          <w:tcPr>
            <w:tcW w:w="7655" w:type="dxa"/>
            <w:gridSpan w:val="4"/>
            <w:vAlign w:val="center"/>
          </w:tcPr>
          <w:p>
            <w:pPr>
              <w:spacing w:line="360" w:lineRule="auto"/>
              <w:jc w:val="center"/>
              <w:outlineLvl w:val="9"/>
              <w:rPr>
                <w:rFonts w:ascii="宋体" w:hAnsi="宋体" w:cs="宋体"/>
                <w:sz w:val="24"/>
              </w:rPr>
            </w:pPr>
            <w:r>
              <w:rPr>
                <w:rFonts w:hint="eastAsia" w:ascii="宋体" w:hAnsi="宋体" w:cs="宋体"/>
                <w:sz w:val="24"/>
                <w:lang w:val="en-US" w:eastAsia="zh-CN"/>
              </w:rPr>
              <w:t>%</w:t>
            </w: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宋体" w:hAnsi="宋体" w:cs="宋体"/>
          <w:color w:val="FF0000"/>
          <w:kern w:val="0"/>
          <w:sz w:val="24"/>
          <w:lang w:val="zh-CN"/>
        </w:rPr>
      </w:pPr>
    </w:p>
    <w:p>
      <w:pPr>
        <w:pStyle w:val="5"/>
      </w:pPr>
    </w:p>
    <w:p>
      <w:pPr>
        <w:pStyle w:val="694"/>
        <w:keepNext w:val="0"/>
        <w:pageBreakBefore w:val="0"/>
        <w:tabs>
          <w:tab w:val="clear" w:pos="720"/>
        </w:tabs>
        <w:snapToGrid w:val="0"/>
        <w:spacing w:before="120" w:after="120"/>
        <w:jc w:val="both"/>
        <w:outlineLvl w:val="9"/>
        <w:rPr>
          <w:rFonts w:ascii="宋体" w:hAnsi="宋体" w:cs="宋体"/>
          <w:b/>
          <w:kern w:val="0"/>
          <w:sz w:val="24"/>
          <w:lang w:val="zh-CN"/>
        </w:rPr>
      </w:pPr>
    </w:p>
    <w:p>
      <w:pPr>
        <w:snapToGrid w:val="0"/>
        <w:spacing w:line="360" w:lineRule="auto"/>
        <w:sectPr>
          <w:pgSz w:w="16838" w:h="11906" w:orient="landscape"/>
          <w:pgMar w:top="1418" w:right="1276" w:bottom="1418" w:left="1247" w:header="851" w:footer="992" w:gutter="0"/>
          <w:cols w:space="720" w:num="1"/>
          <w:titlePg/>
          <w:docGrid w:linePitch="312" w:charSpace="0"/>
        </w:sectPr>
      </w:pPr>
    </w:p>
    <w:p>
      <w:pPr>
        <w:pStyle w:val="694"/>
        <w:keepNext w:val="0"/>
        <w:pageBreakBefore w:val="0"/>
        <w:tabs>
          <w:tab w:val="clear" w:pos="720"/>
        </w:tabs>
        <w:snapToGrid w:val="0"/>
        <w:spacing w:before="120" w:after="120"/>
        <w:jc w:val="center"/>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2" w:name="OLE_LINK14"/>
      <w:bookmarkStart w:id="513" w:name="OLE_LINK13"/>
      <w:r>
        <w:rPr>
          <w:rFonts w:hint="eastAsia" w:ascii="宋体" w:hAnsi="宋体" w:cs="宋体"/>
          <w:b/>
          <w:spacing w:val="6"/>
          <w:sz w:val="32"/>
          <w:szCs w:val="32"/>
        </w:rPr>
        <w:t>残疾人福利性单位声明函</w:t>
      </w:r>
    </w:p>
    <w:bookmarkEnd w:id="512"/>
    <w:bookmarkEnd w:id="51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4"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4"/>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5"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5"/>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6"/>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pPr>
    </w:p>
    <w:p>
      <w:pPr>
        <w:rPr>
          <w:rFonts w:hint="eastAsia"/>
        </w:rPr>
      </w:pPr>
    </w:p>
    <w:tbl>
      <w:tblPr>
        <w:tblStyle w:val="62"/>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32"/>
                <w:szCs w:val="32"/>
              </w:rPr>
            </w:pPr>
            <w:r>
              <w:rPr>
                <w:rFonts w:hint="eastAsia" w:ascii="宋体" w:hAnsi="宋体" w:cs="宋体"/>
                <w:b/>
                <w:kern w:val="0"/>
                <w:sz w:val="32"/>
                <w:szCs w:val="32"/>
              </w:rPr>
              <w:t>中小微行业划型标准规定</w:t>
            </w:r>
            <w:r>
              <w:rPr>
                <w:rFonts w:hint="eastAsia" w:ascii="宋体" w:hAnsi="宋体" w:cs="宋体"/>
                <w:b/>
                <w:kern w:val="0"/>
                <w:sz w:val="24"/>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sz w:val="24"/>
              </w:rPr>
            </w:pPr>
            <w:r>
              <w:rPr>
                <w:rFonts w:hint="eastAsia" w:ascii="宋体" w:hAnsi="宋体" w:cs="宋体"/>
                <w:b/>
                <w:kern w:val="0"/>
                <w:sz w:val="24"/>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sz w:val="24"/>
              </w:rPr>
            </w:pPr>
            <w:r>
              <w:rPr>
                <w:rFonts w:hint="eastAsia" w:ascii="宋体" w:hAnsi="宋体" w:cs="宋体"/>
                <w:b/>
                <w:kern w:val="0"/>
                <w:sz w:val="24"/>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sz w:val="20"/>
              </w:rPr>
            </w:pPr>
            <w:r>
              <w:rPr>
                <w:rFonts w:hint="eastAsia" w:ascii="宋体" w:hAnsi="宋体" w:cs="宋体"/>
                <w:kern w:val="0"/>
                <w:sz w:val="20"/>
              </w:rPr>
              <w:t>说明　1、企业类型的划分以统计部门的统计数据为依据。2、个体工商户和本规定以外的行业，参照本规定进行划型。3、本规定的中型企业标准上限即为大型企业标准的下限。</w:t>
            </w:r>
          </w:p>
        </w:tc>
      </w:tr>
    </w:tbl>
    <w:p>
      <w:pPr>
        <w:pStyle w:val="2"/>
        <w:sectPr>
          <w:pgSz w:w="16838" w:h="11906" w:orient="landscape"/>
          <w:pgMar w:top="1418" w:right="1276" w:bottom="1418" w:left="1247" w:header="851" w:footer="992" w:gutter="0"/>
          <w:cols w:space="720" w:num="1"/>
          <w:titlePg/>
          <w:docGrid w:linePitch="312" w:charSpace="0"/>
        </w:sectPr>
      </w:pPr>
    </w:p>
    <w:p>
      <w:pPr>
        <w:jc w:val="both"/>
        <w:rPr>
          <w:rFonts w:hint="eastAsia" w:ascii="仿宋" w:hAnsi="仿宋" w:eastAsia="仿宋" w:cs="仿宋"/>
          <w:b/>
          <w:sz w:val="32"/>
          <w:szCs w:val="32"/>
        </w:rPr>
      </w:pPr>
      <w:r>
        <w:rPr>
          <w:rFonts w:hint="eastAsia" w:ascii="仿宋" w:hAnsi="仿宋" w:eastAsia="仿宋" w:cs="仿宋"/>
          <w:sz w:val="32"/>
          <w:szCs w:val="32"/>
          <w:u w:val="none"/>
          <w:lang w:val="en-US" w:eastAsia="zh-CN"/>
        </w:rPr>
        <w:t>附件（中标后提供）：</w:t>
      </w:r>
    </w:p>
    <w:p>
      <w:pPr>
        <w:jc w:val="center"/>
        <w:rPr>
          <w:rFonts w:hint="eastAsia" w:ascii="仿宋" w:hAnsi="仿宋" w:eastAsia="仿宋" w:cs="仿宋"/>
          <w:b/>
          <w:sz w:val="32"/>
          <w:szCs w:val="32"/>
        </w:rPr>
      </w:pPr>
    </w:p>
    <w:p>
      <w:pPr>
        <w:jc w:val="center"/>
        <w:rPr>
          <w:rFonts w:hint="eastAsia" w:ascii="仿宋" w:hAnsi="仿宋" w:eastAsia="仿宋" w:cs="仿宋"/>
          <w:b/>
          <w:sz w:val="32"/>
          <w:szCs w:val="32"/>
        </w:rPr>
      </w:pPr>
      <w:r>
        <w:rPr>
          <w:rFonts w:hint="eastAsia" w:ascii="仿宋" w:hAnsi="仿宋" w:eastAsia="仿宋" w:cs="仿宋"/>
          <w:b/>
          <w:sz w:val="32"/>
          <w:szCs w:val="32"/>
        </w:rPr>
        <w:t>承 诺 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杭州鸣达建设工程管理咨询有限公司 </w:t>
      </w:r>
      <w:r>
        <w:rPr>
          <w:rFonts w:hint="eastAsia" w:ascii="仿宋" w:hAnsi="仿宋" w:eastAsia="仿宋" w:cs="仿宋"/>
          <w:sz w:val="32"/>
          <w:szCs w:val="32"/>
        </w:rPr>
        <w:t>：</w:t>
      </w:r>
    </w:p>
    <w:p>
      <w:pPr>
        <w:spacing w:line="780" w:lineRule="exact"/>
        <w:ind w:firstLine="640" w:firstLineChars="200"/>
        <w:rPr>
          <w:rFonts w:hint="eastAsia" w:ascii="仿宋" w:hAnsi="仿宋" w:eastAsia="仿宋" w:cs="仿宋"/>
          <w:sz w:val="32"/>
          <w:szCs w:val="32"/>
        </w:rPr>
      </w:pPr>
      <w:r>
        <w:rPr>
          <w:rFonts w:hint="eastAsia" w:ascii="仿宋" w:hAnsi="仿宋" w:eastAsia="仿宋" w:cs="仿宋"/>
          <w:sz w:val="32"/>
          <w:szCs w:val="32"/>
          <w:u w:val="none"/>
          <w:lang w:val="en-US" w:eastAsia="zh-CN"/>
        </w:rPr>
        <w:t>我单位参与投标的</w:t>
      </w:r>
      <w:r>
        <w:rPr>
          <w:rFonts w:hint="eastAsia" w:ascii="仿宋" w:hAnsi="仿宋" w:eastAsia="仿宋" w:cs="仿宋"/>
          <w:sz w:val="32"/>
          <w:szCs w:val="32"/>
          <w:u w:val="single"/>
          <w:lang w:val="en-US" w:eastAsia="zh-CN"/>
        </w:rPr>
        <w:t xml:space="preserve">   （项目名称）   </w:t>
      </w:r>
      <w:r>
        <w:rPr>
          <w:rFonts w:hint="eastAsia" w:ascii="仿宋" w:hAnsi="仿宋" w:eastAsia="仿宋" w:cs="仿宋"/>
          <w:sz w:val="32"/>
          <w:szCs w:val="32"/>
          <w:u w:val="none"/>
          <w:lang w:val="en-US" w:eastAsia="zh-CN"/>
        </w:rPr>
        <w:t>有幸中标，考虑本项目备案事宜，故由我单位再提供纸质版电子投标文件一式三份（正本一份红章版，副本二份，可为正本复印件）递交给招标代理机构备案</w:t>
      </w:r>
      <w:r>
        <w:rPr>
          <w:rFonts w:hint="eastAsia" w:ascii="仿宋" w:hAnsi="仿宋" w:eastAsia="仿宋" w:cs="仿宋"/>
          <w:sz w:val="32"/>
          <w:szCs w:val="32"/>
        </w:rPr>
        <w:t>，本公司承诺：</w:t>
      </w:r>
    </w:p>
    <w:p>
      <w:pPr>
        <w:spacing w:line="7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本单位</w:t>
      </w:r>
      <w:r>
        <w:rPr>
          <w:rFonts w:hint="eastAsia" w:ascii="仿宋" w:hAnsi="仿宋" w:eastAsia="仿宋" w:cs="仿宋"/>
          <w:sz w:val="32"/>
          <w:szCs w:val="32"/>
        </w:rPr>
        <w:t>提交给</w:t>
      </w:r>
      <w:r>
        <w:rPr>
          <w:rFonts w:hint="eastAsia" w:ascii="仿宋" w:hAnsi="仿宋" w:eastAsia="仿宋" w:cs="仿宋"/>
          <w:sz w:val="32"/>
          <w:szCs w:val="32"/>
          <w:lang w:eastAsia="zh-CN"/>
        </w:rPr>
        <w:t>招标代理机构备案的</w:t>
      </w:r>
      <w:r>
        <w:rPr>
          <w:rFonts w:hint="eastAsia" w:ascii="仿宋" w:hAnsi="仿宋" w:eastAsia="仿宋" w:cs="仿宋"/>
          <w:sz w:val="32"/>
          <w:szCs w:val="32"/>
          <w:u w:val="single"/>
          <w:lang w:eastAsia="zh-CN"/>
        </w:rPr>
        <w:t>投标文件</w:t>
      </w:r>
      <w:r>
        <w:rPr>
          <w:rFonts w:hint="eastAsia" w:ascii="仿宋" w:hAnsi="仿宋" w:eastAsia="仿宋" w:cs="仿宋"/>
          <w:sz w:val="32"/>
          <w:szCs w:val="32"/>
          <w:u w:val="single"/>
        </w:rPr>
        <w:t>纸质</w:t>
      </w:r>
      <w:r>
        <w:rPr>
          <w:rFonts w:hint="eastAsia" w:ascii="仿宋" w:hAnsi="仿宋" w:eastAsia="仿宋" w:cs="仿宋"/>
          <w:sz w:val="32"/>
          <w:szCs w:val="32"/>
          <w:u w:val="single"/>
          <w:lang w:eastAsia="zh-CN"/>
        </w:rPr>
        <w:t>版</w:t>
      </w:r>
      <w:r>
        <w:rPr>
          <w:rFonts w:hint="eastAsia" w:ascii="仿宋" w:hAnsi="仿宋" w:eastAsia="仿宋" w:cs="仿宋"/>
          <w:sz w:val="32"/>
          <w:szCs w:val="32"/>
        </w:rPr>
        <w:t>与</w:t>
      </w:r>
      <w:r>
        <w:rPr>
          <w:rFonts w:hint="eastAsia" w:ascii="仿宋" w:hAnsi="仿宋" w:eastAsia="仿宋" w:cs="仿宋"/>
          <w:sz w:val="32"/>
          <w:szCs w:val="32"/>
          <w:u w:val="single"/>
        </w:rPr>
        <w:t>电子</w:t>
      </w:r>
      <w:r>
        <w:rPr>
          <w:rFonts w:hint="eastAsia" w:ascii="仿宋" w:hAnsi="仿宋" w:eastAsia="仿宋" w:cs="仿宋"/>
          <w:sz w:val="32"/>
          <w:szCs w:val="32"/>
          <w:u w:val="single"/>
          <w:lang w:eastAsia="zh-CN"/>
        </w:rPr>
        <w:t>投标文件</w:t>
      </w:r>
      <w:r>
        <w:rPr>
          <w:rFonts w:hint="eastAsia" w:ascii="仿宋" w:hAnsi="仿宋" w:eastAsia="仿宋" w:cs="仿宋"/>
          <w:sz w:val="32"/>
          <w:szCs w:val="32"/>
        </w:rPr>
        <w:t>内容均一致，</w:t>
      </w:r>
      <w:r>
        <w:rPr>
          <w:rFonts w:hint="eastAsia" w:ascii="仿宋" w:hAnsi="仿宋" w:eastAsia="仿宋" w:cs="仿宋"/>
          <w:sz w:val="32"/>
          <w:szCs w:val="32"/>
          <w:lang w:eastAsia="zh-CN"/>
        </w:rPr>
        <w:t>如不一致导致的任何法律责任自付。特此承诺！</w:t>
      </w:r>
    </w:p>
    <w:p>
      <w:pPr>
        <w:spacing w:line="780" w:lineRule="exact"/>
        <w:ind w:firstLine="480" w:firstLineChars="150"/>
        <w:rPr>
          <w:rFonts w:hint="eastAsia" w:ascii="仿宋" w:hAnsi="仿宋" w:eastAsia="仿宋" w:cs="仿宋"/>
          <w:sz w:val="32"/>
          <w:szCs w:val="32"/>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lang w:eastAsia="zh-CN"/>
        </w:rPr>
      </w:pPr>
    </w:p>
    <w:p>
      <w:pPr>
        <w:spacing w:line="780" w:lineRule="exact"/>
        <w:jc w:val="both"/>
        <w:rPr>
          <w:rFonts w:hint="eastAsia" w:ascii="仿宋" w:hAnsi="仿宋" w:eastAsia="仿宋" w:cs="仿宋"/>
          <w:sz w:val="32"/>
          <w:szCs w:val="32"/>
        </w:rPr>
      </w:pPr>
      <w:r>
        <w:rPr>
          <w:rFonts w:hint="eastAsia" w:ascii="仿宋" w:hAnsi="仿宋" w:eastAsia="仿宋" w:cs="仿宋"/>
          <w:sz w:val="32"/>
          <w:szCs w:val="32"/>
          <w:lang w:eastAsia="zh-CN"/>
        </w:rPr>
        <w:t>投标人名称（盖公章）：</w:t>
      </w:r>
    </w:p>
    <w:p>
      <w:pPr>
        <w:spacing w:line="780" w:lineRule="exact"/>
        <w:ind w:firstLine="6240" w:firstLineChars="195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line="360" w:lineRule="auto"/>
        <w:ind w:firstLine="640" w:firstLineChars="200"/>
        <w:rPr>
          <w:rFonts w:hint="eastAsia" w:ascii="仿宋" w:hAnsi="仿宋" w:eastAsia="仿宋" w:cs="仿宋"/>
          <w:color w:val="000000"/>
          <w:sz w:val="32"/>
          <w:szCs w:val="32"/>
        </w:rPr>
      </w:pPr>
    </w:p>
    <w:p>
      <w:pPr>
        <w:rPr>
          <w:rFonts w:hint="eastAsia" w:ascii="仿宋" w:hAnsi="仿宋" w:eastAsia="仿宋" w:cs="仿宋"/>
          <w:sz w:val="32"/>
          <w:szCs w:val="32"/>
        </w:rPr>
      </w:pPr>
    </w:p>
    <w:p>
      <w:pPr>
        <w:pStyle w:val="3"/>
        <w:ind w:firstLine="0"/>
        <w:rPr>
          <w:rFonts w:hint="eastAsia" w:ascii="仿宋" w:hAnsi="仿宋" w:eastAsia="仿宋" w:cs="仿宋"/>
          <w:sz w:val="32"/>
          <w:szCs w:val="32"/>
        </w:rPr>
      </w:pPr>
    </w:p>
    <w:p>
      <w:pPr>
        <w:rPr>
          <w:rFonts w:hint="eastAsia" w:ascii="仿宋" w:hAnsi="仿宋" w:eastAsia="仿宋" w:cs="仿宋"/>
          <w:sz w:val="32"/>
          <w:szCs w:val="32"/>
        </w:rPr>
      </w:pPr>
    </w:p>
    <w:p>
      <w:pPr>
        <w:pStyle w:val="965"/>
        <w:numPr>
          <w:ilvl w:val="0"/>
          <w:numId w:val="0"/>
        </w:numPr>
        <w:snapToGrid w:val="0"/>
        <w:spacing w:before="120" w:after="120"/>
        <w:jc w:val="both"/>
        <w:rPr>
          <w:rFonts w:hint="eastAsia" w:hAnsi="宋体" w:cs="宋体"/>
          <w:b/>
          <w:sz w:val="28"/>
          <w:szCs w:val="28"/>
          <w:highlight w:val="yellow"/>
          <w:lang w:eastAsia="zh-CN"/>
        </w:rPr>
      </w:pPr>
      <w:r>
        <w:rPr>
          <w:rFonts w:hint="eastAsia" w:hAnsi="宋体" w:cs="宋体"/>
          <w:b/>
          <w:sz w:val="28"/>
          <w:szCs w:val="28"/>
          <w:highlight w:val="yellow"/>
        </w:rPr>
        <w:t>确认声明书</w:t>
      </w:r>
      <w:r>
        <w:rPr>
          <w:rFonts w:hint="eastAsia" w:hAnsi="宋体" w:cs="宋体"/>
          <w:b/>
          <w:sz w:val="28"/>
          <w:szCs w:val="28"/>
          <w:highlight w:val="yellow"/>
          <w:lang w:eastAsia="zh-CN"/>
        </w:rPr>
        <w:t>（将以下表格填写完成后，与投标文件同步制作递交）</w:t>
      </w:r>
    </w:p>
    <w:p>
      <w:pPr>
        <w:pStyle w:val="965"/>
        <w:snapToGrid w:val="0"/>
        <w:spacing w:before="120" w:after="120"/>
        <w:jc w:val="center"/>
        <w:rPr>
          <w:rFonts w:hint="eastAsia" w:hAnsi="宋体" w:cs="宋体"/>
          <w:kern w:val="0"/>
          <w:sz w:val="21"/>
          <w:szCs w:val="21"/>
          <w:highlight w:val="none"/>
        </w:rPr>
      </w:pPr>
      <w:r>
        <w:rPr>
          <w:rFonts w:hint="eastAsia" w:hAnsi="宋体" w:cs="宋体"/>
          <w:b/>
          <w:szCs w:val="24"/>
          <w:highlight w:val="none"/>
        </w:rPr>
        <w:t>（要求在电子投标文件解密后，</w:t>
      </w:r>
      <w:r>
        <w:rPr>
          <w:rFonts w:hint="eastAsia" w:hAnsi="宋体" w:cs="宋体"/>
          <w:b/>
          <w:szCs w:val="24"/>
          <w:highlight w:val="none"/>
          <w:lang w:eastAsia="zh-CN"/>
        </w:rPr>
        <w:t>自行核实下述承诺内容，如有不符，重新联系代理公司重新按新的内容邮箱递交）</w:t>
      </w:r>
    </w:p>
    <w:p>
      <w:pPr>
        <w:pStyle w:val="965"/>
        <w:snapToGrid w:val="0"/>
        <w:spacing w:before="120" w:after="120"/>
        <w:jc w:val="center"/>
        <w:rPr>
          <w:rFonts w:hint="eastAsia" w:hAnsi="宋体" w:cs="宋体"/>
          <w:b/>
          <w:sz w:val="32"/>
          <w:szCs w:val="32"/>
          <w:highlight w:val="none"/>
        </w:rPr>
      </w:pPr>
    </w:p>
    <w:p>
      <w:pPr>
        <w:pStyle w:val="965"/>
        <w:snapToGrid w:val="0"/>
        <w:spacing w:before="120" w:after="120"/>
        <w:jc w:val="center"/>
        <w:rPr>
          <w:rFonts w:hint="eastAsia" w:hAnsi="宋体" w:cs="宋体"/>
          <w:b/>
          <w:sz w:val="32"/>
          <w:szCs w:val="32"/>
          <w:highlight w:val="none"/>
        </w:rPr>
      </w:pPr>
      <w:r>
        <w:rPr>
          <w:rFonts w:hint="eastAsia" w:hAnsi="宋体" w:cs="宋体"/>
          <w:b/>
          <w:sz w:val="32"/>
          <w:szCs w:val="32"/>
          <w:highlight w:val="none"/>
        </w:rPr>
        <w:t>政府采购活动现场确认声明书</w:t>
      </w:r>
    </w:p>
    <w:p>
      <w:pPr>
        <w:pStyle w:val="965"/>
        <w:snapToGrid w:val="0"/>
        <w:spacing w:before="120" w:after="120" w:line="380" w:lineRule="exact"/>
        <w:rPr>
          <w:rFonts w:hint="eastAsia" w:hAnsi="宋体" w:cs="宋体"/>
          <w:b/>
          <w:sz w:val="21"/>
          <w:szCs w:val="21"/>
          <w:highlight w:val="none"/>
        </w:rPr>
      </w:pPr>
      <w:r>
        <w:rPr>
          <w:rFonts w:hint="eastAsia" w:hAnsi="宋体" w:cs="宋体"/>
          <w:kern w:val="0"/>
          <w:sz w:val="21"/>
          <w:szCs w:val="21"/>
          <w:highlight w:val="none"/>
          <w:u w:val="single"/>
        </w:rPr>
        <w:t xml:space="preserve">                        </w:t>
      </w:r>
      <w:r>
        <w:rPr>
          <w:rFonts w:hint="eastAsia" w:hAnsi="宋体" w:cs="宋体"/>
          <w:kern w:val="0"/>
          <w:sz w:val="21"/>
          <w:szCs w:val="21"/>
          <w:highlight w:val="none"/>
        </w:rPr>
        <w:t>：</w:t>
      </w:r>
    </w:p>
    <w:p>
      <w:pPr>
        <w:pStyle w:val="965"/>
        <w:snapToGrid w:val="0"/>
        <w:spacing w:before="120" w:after="120" w:line="380" w:lineRule="exact"/>
        <w:ind w:firstLine="444" w:firstLineChars="200"/>
        <w:rPr>
          <w:rFonts w:hint="eastAsia" w:hAnsi="宋体" w:cs="宋体"/>
          <w:spacing w:val="6"/>
          <w:sz w:val="21"/>
          <w:szCs w:val="21"/>
          <w:highlight w:val="none"/>
        </w:rPr>
      </w:pPr>
      <w:r>
        <w:rPr>
          <w:rFonts w:hint="eastAsia" w:hAnsi="宋体" w:cs="宋体"/>
          <w:spacing w:val="6"/>
          <w:sz w:val="21"/>
          <w:szCs w:val="21"/>
          <w:highlight w:val="none"/>
        </w:rPr>
        <w:t>本人经由</w:t>
      </w:r>
      <w:r>
        <w:rPr>
          <w:rFonts w:hint="eastAsia" w:hAnsi="宋体" w:cs="宋体"/>
          <w:spacing w:val="6"/>
          <w:sz w:val="21"/>
          <w:szCs w:val="21"/>
          <w:highlight w:val="none"/>
          <w:u w:val="single"/>
        </w:rPr>
        <w:t xml:space="preserve">                  （单位）</w:t>
      </w:r>
      <w:r>
        <w:rPr>
          <w:rFonts w:hint="eastAsia" w:hAnsi="宋体" w:cs="宋体"/>
          <w:spacing w:val="6"/>
          <w:sz w:val="21"/>
          <w:szCs w:val="21"/>
          <w:highlight w:val="none"/>
        </w:rPr>
        <w:t>负责人</w:t>
      </w:r>
      <w:r>
        <w:rPr>
          <w:rFonts w:hint="eastAsia" w:hAnsi="宋体" w:cs="宋体"/>
          <w:spacing w:val="6"/>
          <w:sz w:val="21"/>
          <w:szCs w:val="21"/>
          <w:highlight w:val="none"/>
          <w:u w:val="single"/>
        </w:rPr>
        <w:t xml:space="preserve">        （姓名）</w:t>
      </w:r>
      <w:r>
        <w:rPr>
          <w:rFonts w:hint="eastAsia" w:hAnsi="宋体" w:cs="宋体"/>
          <w:spacing w:val="6"/>
          <w:sz w:val="21"/>
          <w:szCs w:val="21"/>
          <w:highlight w:val="none"/>
        </w:rPr>
        <w:t>合法授权参加</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项目（编号：</w:t>
      </w:r>
      <w:r>
        <w:rPr>
          <w:rFonts w:hint="eastAsia" w:hAnsi="宋体" w:cs="宋体"/>
          <w:spacing w:val="6"/>
          <w:sz w:val="21"/>
          <w:szCs w:val="21"/>
          <w:highlight w:val="none"/>
          <w:u w:val="single"/>
        </w:rPr>
        <w:t xml:space="preserve">        </w:t>
      </w:r>
      <w:r>
        <w:rPr>
          <w:rFonts w:hint="eastAsia" w:hAnsi="宋体" w:cs="宋体"/>
          <w:spacing w:val="6"/>
          <w:sz w:val="21"/>
          <w:szCs w:val="21"/>
          <w:highlight w:val="none"/>
        </w:rPr>
        <w:t xml:space="preserve">）政府采购活动，经与本单位法人代表（负责人）联系确认，现就有关公平竞争事项郑重声明如下： </w:t>
      </w:r>
    </w:p>
    <w:p>
      <w:pPr>
        <w:pStyle w:val="966"/>
        <w:widowControl/>
        <w:numPr>
          <w:ilvl w:val="0"/>
          <w:numId w:val="2"/>
        </w:numPr>
        <w:snapToGrid w:val="0"/>
        <w:spacing w:line="380" w:lineRule="exact"/>
        <w:ind w:firstLine="396" w:firstLineChars="189"/>
        <w:rPr>
          <w:rFonts w:ascii="宋体" w:hAnsi="宋体" w:cs="宋体"/>
          <w:kern w:val="0"/>
          <w:szCs w:val="21"/>
          <w:highlight w:val="none"/>
        </w:rPr>
      </w:pPr>
      <w:r>
        <w:rPr>
          <w:rFonts w:ascii="宋体" w:hAnsi="宋体" w:cs="宋体"/>
          <w:kern w:val="0"/>
          <w:szCs w:val="21"/>
          <w:highlight w:val="none"/>
        </w:rPr>
        <w:t>本单位与采购人之间 □不存在利害关系 □存在下列利害关系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66"/>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A.投资关系    B.行政隶属关系    C.业务指导关系</w:t>
      </w:r>
    </w:p>
    <w:p>
      <w:pPr>
        <w:pStyle w:val="966"/>
        <w:widowControl/>
        <w:snapToGrid w:val="0"/>
        <w:spacing w:line="380" w:lineRule="exact"/>
        <w:rPr>
          <w:rFonts w:ascii="宋体" w:hAnsi="宋体" w:cs="宋体"/>
          <w:kern w:val="0"/>
          <w:szCs w:val="21"/>
          <w:highlight w:val="none"/>
        </w:rPr>
      </w:pPr>
      <w:r>
        <w:rPr>
          <w:rFonts w:ascii="宋体" w:hAnsi="宋体" w:cs="宋体"/>
          <w:kern w:val="0"/>
          <w:szCs w:val="21"/>
          <w:highlight w:val="none"/>
        </w:rPr>
        <w:t xml:space="preserve">  D.其他可能</w:t>
      </w:r>
      <w:r>
        <w:rPr>
          <w:rFonts w:ascii="宋体" w:hAnsi="宋体" w:cs="宋体"/>
          <w:szCs w:val="21"/>
          <w:highlight w:val="none"/>
        </w:rPr>
        <w:t>影响采购公正的</w:t>
      </w:r>
      <w:r>
        <w:rPr>
          <w:rFonts w:ascii="宋体" w:hAnsi="宋体" w:cs="宋体"/>
          <w:kern w:val="0"/>
          <w:szCs w:val="21"/>
          <w:highlight w:val="none"/>
        </w:rPr>
        <w:t>利害关系</w:t>
      </w:r>
      <w:r>
        <w:rPr>
          <w:rFonts w:ascii="宋体" w:hAnsi="宋体" w:cs="宋体"/>
          <w:kern w:val="0"/>
          <w:szCs w:val="21"/>
          <w:highlight w:val="none"/>
          <w:u w:val="single"/>
        </w:rPr>
        <w:t xml:space="preserve">（如有，请如实说明）                 </w:t>
      </w:r>
      <w:r>
        <w:rPr>
          <w:rFonts w:ascii="宋体" w:hAnsi="宋体" w:cs="宋体"/>
          <w:kern w:val="0"/>
          <w:szCs w:val="21"/>
          <w:highlight w:val="none"/>
        </w:rPr>
        <w:t>。</w:t>
      </w:r>
    </w:p>
    <w:p>
      <w:pPr>
        <w:pStyle w:val="966"/>
        <w:widowControl/>
        <w:snapToGrid w:val="0"/>
        <w:spacing w:line="380" w:lineRule="exact"/>
        <w:rPr>
          <w:rFonts w:ascii="宋体" w:hAnsi="宋体" w:cs="宋体"/>
          <w:kern w:val="0"/>
          <w:szCs w:val="21"/>
          <w:highlight w:val="none"/>
        </w:rPr>
      </w:pPr>
      <w:r>
        <w:rPr>
          <w:rFonts w:ascii="宋体" w:hAnsi="宋体" w:cs="宋体"/>
          <w:spacing w:val="6"/>
          <w:szCs w:val="21"/>
          <w:highlight w:val="none"/>
        </w:rPr>
        <w:t xml:space="preserve">  二、</w:t>
      </w:r>
      <w:r>
        <w:rPr>
          <w:rFonts w:ascii="宋体" w:hAnsi="宋体" w:cs="宋体"/>
          <w:kern w:val="0"/>
          <w:szCs w:val="21"/>
          <w:highlight w:val="none"/>
        </w:rPr>
        <w:t>现已清楚知道参加本项目采购活动的其他所有供应商名称，本单位 □与其他所有供应商之间均不存在利害关系 □与</w:t>
      </w:r>
      <w:r>
        <w:rPr>
          <w:rFonts w:ascii="宋体" w:hAnsi="宋体" w:cs="宋体"/>
          <w:kern w:val="0"/>
          <w:szCs w:val="21"/>
          <w:highlight w:val="none"/>
          <w:u w:val="single"/>
        </w:rPr>
        <w:t xml:space="preserve">           （供应商名称）</w:t>
      </w:r>
      <w:r>
        <w:rPr>
          <w:rFonts w:ascii="宋体" w:hAnsi="宋体" w:cs="宋体"/>
          <w:kern w:val="0"/>
          <w:szCs w:val="21"/>
          <w:highlight w:val="none"/>
        </w:rPr>
        <w:t>之间存在下列利害关系</w:t>
      </w:r>
      <w:r>
        <w:rPr>
          <w:rFonts w:ascii="宋体" w:hAnsi="宋体" w:cs="宋体"/>
          <w:kern w:val="0"/>
          <w:szCs w:val="21"/>
          <w:highlight w:val="none"/>
          <w:u w:val="single"/>
        </w:rPr>
        <w:t xml:space="preserve">          </w:t>
      </w:r>
      <w:r>
        <w:rPr>
          <w:rFonts w:ascii="宋体" w:hAnsi="宋体" w:cs="宋体"/>
          <w:kern w:val="0"/>
          <w:szCs w:val="21"/>
          <w:highlight w:val="none"/>
        </w:rPr>
        <w:t>：</w:t>
      </w:r>
    </w:p>
    <w:p>
      <w:pPr>
        <w:pStyle w:val="96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A.法定代表人或负责人或实际控制人是同一人</w:t>
      </w:r>
    </w:p>
    <w:p>
      <w:pPr>
        <w:pStyle w:val="96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B.法定代表人或负责人或实际控制人是夫妻关系</w:t>
      </w:r>
    </w:p>
    <w:p>
      <w:pPr>
        <w:pStyle w:val="96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C.法定代表人或负责人或实际控制人是直系血亲关系</w:t>
      </w:r>
    </w:p>
    <w:p>
      <w:pPr>
        <w:pStyle w:val="965"/>
        <w:widowControl w:val="0"/>
        <w:wordWrap/>
        <w:adjustRightInd/>
        <w:snapToGrid w:val="0"/>
        <w:spacing w:before="120" w:after="120" w:line="300" w:lineRule="exact"/>
        <w:textAlignment w:val="auto"/>
        <w:rPr>
          <w:rFonts w:hint="eastAsia" w:hAnsi="宋体" w:cs="宋体"/>
          <w:spacing w:val="6"/>
          <w:sz w:val="21"/>
          <w:szCs w:val="21"/>
          <w:highlight w:val="none"/>
        </w:rPr>
      </w:pPr>
      <w:r>
        <w:rPr>
          <w:rFonts w:hint="eastAsia" w:hAnsi="宋体" w:cs="宋体"/>
          <w:kern w:val="0"/>
          <w:sz w:val="21"/>
          <w:szCs w:val="21"/>
          <w:highlight w:val="none"/>
        </w:rPr>
        <w:t xml:space="preserve">  D.法定代表人或负责人或实际控制人存在三代以内旁系血亲关系</w:t>
      </w:r>
    </w:p>
    <w:p>
      <w:pPr>
        <w:pStyle w:val="96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E.法定代表人或负责人或实际控制人存在近姻亲关系</w:t>
      </w:r>
    </w:p>
    <w:p>
      <w:pPr>
        <w:pStyle w:val="96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F.法定代表人或负责人或实际控制人存在股份控制或实际控制关系</w:t>
      </w:r>
    </w:p>
    <w:p>
      <w:pPr>
        <w:pStyle w:val="965"/>
        <w:widowControl w:val="0"/>
        <w:wordWrap/>
        <w:adjustRightInd/>
        <w:snapToGrid w:val="0"/>
        <w:spacing w:before="120" w:after="120" w:line="300" w:lineRule="exact"/>
        <w:textAlignment w:val="auto"/>
        <w:rPr>
          <w:rFonts w:hint="eastAsia" w:hAnsi="宋体" w:cs="宋体"/>
          <w:kern w:val="0"/>
          <w:sz w:val="21"/>
          <w:szCs w:val="21"/>
          <w:highlight w:val="none"/>
        </w:rPr>
      </w:pPr>
      <w:r>
        <w:rPr>
          <w:rFonts w:hint="eastAsia" w:hAnsi="宋体" w:cs="宋体"/>
          <w:kern w:val="0"/>
          <w:sz w:val="21"/>
          <w:szCs w:val="21"/>
          <w:highlight w:val="none"/>
        </w:rPr>
        <w:t xml:space="preserve">  G.存在共同直接或间接投资设立子公司、联营企业和合营企业情况</w:t>
      </w:r>
    </w:p>
    <w:p>
      <w:pPr>
        <w:pStyle w:val="965"/>
        <w:widowControl w:val="0"/>
        <w:wordWrap/>
        <w:adjustRightInd/>
        <w:snapToGrid w:val="0"/>
        <w:spacing w:before="120" w:after="120" w:line="300" w:lineRule="exact"/>
        <w:textAlignment w:val="auto"/>
        <w:rPr>
          <w:rFonts w:hint="eastAsia" w:hAnsi="宋体" w:cs="宋体"/>
          <w:sz w:val="21"/>
          <w:szCs w:val="21"/>
          <w:highlight w:val="none"/>
        </w:rPr>
      </w:pPr>
      <w:r>
        <w:rPr>
          <w:rFonts w:hint="eastAsia" w:hAnsi="宋体" w:cs="宋体"/>
          <w:kern w:val="0"/>
          <w:sz w:val="21"/>
          <w:szCs w:val="21"/>
          <w:highlight w:val="none"/>
        </w:rPr>
        <w:t xml:space="preserve">  H.存在分级代理或代销关系、同一生产制造商关系、</w:t>
      </w:r>
      <w:r>
        <w:rPr>
          <w:rFonts w:hint="eastAsia" w:hAnsi="宋体" w:cs="宋体"/>
          <w:sz w:val="21"/>
          <w:szCs w:val="21"/>
          <w:highlight w:val="none"/>
        </w:rPr>
        <w:t>管理关系、重要业务（占主营业务收入50%以上）或重要财务往来关系（如融资）等其他实质性控制关系</w:t>
      </w:r>
    </w:p>
    <w:p>
      <w:pPr>
        <w:pStyle w:val="965"/>
        <w:snapToGrid w:val="0"/>
        <w:spacing w:before="120" w:after="120" w:line="380" w:lineRule="exact"/>
        <w:rPr>
          <w:rFonts w:hint="eastAsia" w:hAnsi="宋体" w:cs="宋体"/>
          <w:spacing w:val="6"/>
          <w:sz w:val="21"/>
          <w:szCs w:val="21"/>
          <w:highlight w:val="none"/>
        </w:rPr>
      </w:pPr>
      <w:r>
        <w:rPr>
          <w:rFonts w:hint="eastAsia" w:hAnsi="宋体" w:cs="宋体"/>
          <w:sz w:val="21"/>
          <w:szCs w:val="21"/>
          <w:highlight w:val="none"/>
        </w:rPr>
        <w:t xml:space="preserve">    I</w:t>
      </w:r>
      <w:r>
        <w:rPr>
          <w:rFonts w:hint="eastAsia" w:hAnsi="宋体" w:cs="宋体"/>
          <w:kern w:val="0"/>
          <w:sz w:val="21"/>
          <w:szCs w:val="21"/>
          <w:highlight w:val="none"/>
        </w:rPr>
        <w:t>.</w:t>
      </w:r>
      <w:r>
        <w:rPr>
          <w:rFonts w:hint="eastAsia" w:hAnsi="宋体" w:cs="宋体"/>
          <w:sz w:val="21"/>
          <w:szCs w:val="21"/>
          <w:highlight w:val="none"/>
        </w:rPr>
        <w:t>其他利害关系情况</w:t>
      </w:r>
      <w:r>
        <w:rPr>
          <w:rFonts w:hint="eastAsia" w:hAnsi="宋体" w:cs="宋体"/>
          <w:sz w:val="21"/>
          <w:szCs w:val="21"/>
          <w:highlight w:val="none"/>
          <w:u w:val="single"/>
        </w:rPr>
        <w:t xml:space="preserve">                              </w:t>
      </w:r>
      <w:r>
        <w:rPr>
          <w:rFonts w:hint="eastAsia" w:hAnsi="宋体" w:cs="宋体"/>
          <w:kern w:val="0"/>
          <w:sz w:val="21"/>
          <w:szCs w:val="21"/>
          <w:highlight w:val="none"/>
        </w:rPr>
        <w:t>。</w:t>
      </w:r>
    </w:p>
    <w:p>
      <w:pPr>
        <w:pStyle w:val="966"/>
        <w:widowControl/>
        <w:numPr>
          <w:ilvl w:val="0"/>
          <w:numId w:val="3"/>
        </w:numPr>
        <w:snapToGrid w:val="0"/>
        <w:spacing w:line="380" w:lineRule="exact"/>
        <w:ind w:firstLine="396" w:firstLineChars="189"/>
        <w:rPr>
          <w:rFonts w:ascii="宋体" w:hAnsi="宋体" w:cs="宋体"/>
          <w:kern w:val="0"/>
          <w:szCs w:val="21"/>
          <w:highlight w:val="none"/>
        </w:rPr>
      </w:pPr>
      <w:r>
        <w:rPr>
          <w:rFonts w:ascii="宋体" w:hAnsi="宋体" w:cs="宋体"/>
          <w:szCs w:val="21"/>
          <w:highlight w:val="none"/>
        </w:rPr>
        <w:t>现已清楚知道并</w:t>
      </w:r>
      <w:r>
        <w:rPr>
          <w:rFonts w:ascii="宋体" w:hAnsi="宋体" w:cs="宋体"/>
          <w:kern w:val="0"/>
          <w:szCs w:val="21"/>
          <w:highlight w:val="none"/>
        </w:rPr>
        <w:t>严格遵守政府采购法律法规和现场纪律。</w:t>
      </w:r>
    </w:p>
    <w:p>
      <w:pPr>
        <w:pStyle w:val="966"/>
        <w:widowControl/>
        <w:numPr>
          <w:ilvl w:val="0"/>
          <w:numId w:val="3"/>
        </w:numPr>
        <w:snapToGrid w:val="0"/>
        <w:spacing w:line="380" w:lineRule="exact"/>
        <w:ind w:firstLine="396" w:firstLineChars="189"/>
        <w:rPr>
          <w:rFonts w:ascii="宋体" w:hAnsi="宋体" w:cs="宋体"/>
          <w:szCs w:val="21"/>
          <w:highlight w:val="none"/>
        </w:rPr>
      </w:pPr>
      <w:r>
        <w:rPr>
          <w:rFonts w:ascii="宋体" w:hAnsi="宋体" w:cs="宋体"/>
          <w:kern w:val="0"/>
          <w:szCs w:val="21"/>
          <w:highlight w:val="none"/>
        </w:rPr>
        <w:t>我发现</w:t>
      </w:r>
      <w:r>
        <w:rPr>
          <w:rFonts w:ascii="宋体" w:hAnsi="宋体" w:cs="宋体"/>
          <w:kern w:val="0"/>
          <w:szCs w:val="21"/>
          <w:highlight w:val="none"/>
          <w:u w:val="single"/>
        </w:rPr>
        <w:t xml:space="preserve">                    </w:t>
      </w:r>
      <w:r>
        <w:rPr>
          <w:rFonts w:ascii="宋体" w:hAnsi="宋体" w:cs="宋体"/>
          <w:kern w:val="0"/>
          <w:szCs w:val="21"/>
          <w:highlight w:val="none"/>
        </w:rPr>
        <w:t>供应商之间存在或可能存在上述第二条第</w:t>
      </w:r>
      <w:r>
        <w:rPr>
          <w:rFonts w:ascii="宋体" w:hAnsi="宋体" w:cs="宋体"/>
          <w:kern w:val="0"/>
          <w:szCs w:val="21"/>
          <w:highlight w:val="none"/>
          <w:u w:val="single"/>
        </w:rPr>
        <w:t xml:space="preserve">        </w:t>
      </w:r>
      <w:r>
        <w:rPr>
          <w:rFonts w:ascii="宋体" w:hAnsi="宋体" w:cs="宋体"/>
          <w:kern w:val="0"/>
          <w:szCs w:val="21"/>
          <w:highlight w:val="none"/>
        </w:rPr>
        <w:t>项利害关系。</w:t>
      </w:r>
    </w:p>
    <w:p>
      <w:pPr>
        <w:pStyle w:val="965"/>
        <w:snapToGrid w:val="0"/>
        <w:spacing w:before="120" w:after="120"/>
        <w:ind w:firstLine="420" w:firstLineChars="200"/>
        <w:rPr>
          <w:rFonts w:hint="eastAsia" w:hAnsi="宋体" w:cs="宋体"/>
          <w:sz w:val="21"/>
          <w:szCs w:val="21"/>
          <w:highlight w:val="none"/>
          <w:lang w:eastAsia="zh-CN"/>
        </w:rPr>
      </w:pPr>
      <w:r>
        <w:rPr>
          <w:rFonts w:hint="eastAsia" w:hAnsi="宋体" w:cs="宋体"/>
          <w:sz w:val="21"/>
          <w:szCs w:val="21"/>
          <w:highlight w:val="none"/>
        </w:rPr>
        <w:t xml:space="preserve">                             </w:t>
      </w:r>
      <w:r>
        <w:rPr>
          <w:rFonts w:hint="eastAsia" w:hAnsi="宋体" w:cs="宋体"/>
          <w:sz w:val="21"/>
          <w:szCs w:val="21"/>
          <w:highlight w:val="none"/>
          <w:lang w:val="en-US" w:eastAsia="zh-CN"/>
        </w:rPr>
        <w:t xml:space="preserve">       </w:t>
      </w:r>
      <w:r>
        <w:rPr>
          <w:rFonts w:hint="eastAsia" w:hAnsi="宋体" w:cs="宋体"/>
          <w:sz w:val="21"/>
          <w:szCs w:val="21"/>
          <w:highlight w:val="none"/>
        </w:rPr>
        <w:t xml:space="preserve">      供应商</w:t>
      </w:r>
      <w:r>
        <w:rPr>
          <w:rFonts w:hint="eastAsia" w:hAnsi="宋体" w:cs="宋体"/>
          <w:sz w:val="21"/>
          <w:szCs w:val="21"/>
          <w:highlight w:val="none"/>
          <w:lang w:eastAsia="zh-CN"/>
        </w:rPr>
        <w:t>盖章：</w:t>
      </w:r>
    </w:p>
    <w:p>
      <w:pPr>
        <w:pStyle w:val="965"/>
        <w:snapToGrid w:val="0"/>
        <w:spacing w:before="120" w:after="120"/>
        <w:ind w:firstLine="4830" w:firstLineChars="2300"/>
        <w:rPr>
          <w:rFonts w:hint="eastAsia" w:hAnsi="宋体" w:cs="宋体"/>
          <w:sz w:val="21"/>
          <w:szCs w:val="21"/>
          <w:highlight w:val="none"/>
        </w:rPr>
      </w:pPr>
      <w:r>
        <w:rPr>
          <w:rFonts w:hint="eastAsia" w:hAnsi="宋体" w:cs="宋体"/>
          <w:sz w:val="21"/>
          <w:szCs w:val="21"/>
          <w:highlight w:val="none"/>
          <w:lang w:eastAsia="zh-CN"/>
        </w:rPr>
        <w:t>授权委托</w:t>
      </w:r>
      <w:r>
        <w:rPr>
          <w:rFonts w:hint="eastAsia" w:hAnsi="宋体" w:cs="宋体"/>
          <w:sz w:val="21"/>
          <w:szCs w:val="21"/>
          <w:highlight w:val="none"/>
        </w:rPr>
        <w:t>代表签名：</w:t>
      </w:r>
    </w:p>
    <w:p>
      <w:pPr>
        <w:snapToGrid w:val="0"/>
        <w:spacing w:line="360" w:lineRule="auto"/>
        <w:jc w:val="left"/>
        <w:rPr>
          <w:lang w:val="en-US"/>
        </w:rPr>
      </w:pP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年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月 </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日</w:t>
      </w:r>
    </w:p>
    <w:p>
      <w:pPr>
        <w:pStyle w:val="3"/>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MS Gothic"/>
    <w:panose1 w:val="02020609040205080304"/>
    <w:charset w:val="80"/>
    <w:family w:val="roman"/>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36110187"/>
    <w:bookmarkStart w:id="518" w:name="_Toc131845147"/>
    <w:bookmarkStart w:id="519" w:name="_Toc164085800"/>
    <w:bookmarkStart w:id="520" w:name="_Toc91899912"/>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C59B2"/>
    <w:multiLevelType w:val="singleLevel"/>
    <w:tmpl w:val="A75C59B2"/>
    <w:lvl w:ilvl="0" w:tentative="0">
      <w:start w:val="1"/>
      <w:numFmt w:val="decimal"/>
      <w:suff w:val="nothing"/>
      <w:lvlText w:val="（%1）"/>
      <w:lvlJc w:val="left"/>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jUzYmNiMjdiOTUyNWNhZTFiNDdiMmY0ODU0MG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0A6E79"/>
    <w:rsid w:val="0326446A"/>
    <w:rsid w:val="032D5555"/>
    <w:rsid w:val="036634D2"/>
    <w:rsid w:val="03891225"/>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B35D95"/>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E74AF"/>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78617C"/>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C2B97"/>
    <w:rsid w:val="221D1D20"/>
    <w:rsid w:val="22334A87"/>
    <w:rsid w:val="22BE6801"/>
    <w:rsid w:val="233500BF"/>
    <w:rsid w:val="23377FF7"/>
    <w:rsid w:val="236B425F"/>
    <w:rsid w:val="23836192"/>
    <w:rsid w:val="23901F29"/>
    <w:rsid w:val="239C0061"/>
    <w:rsid w:val="23B908A4"/>
    <w:rsid w:val="23E95BEF"/>
    <w:rsid w:val="23FD0064"/>
    <w:rsid w:val="245375B0"/>
    <w:rsid w:val="24642C0A"/>
    <w:rsid w:val="24A61541"/>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873D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0B58C0"/>
    <w:rsid w:val="2C191F85"/>
    <w:rsid w:val="2CE82D6F"/>
    <w:rsid w:val="2D343236"/>
    <w:rsid w:val="2DD15014"/>
    <w:rsid w:val="2DE60BCF"/>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D25E9D"/>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0F1977"/>
    <w:rsid w:val="3B2349B7"/>
    <w:rsid w:val="3B616CFF"/>
    <w:rsid w:val="3B6259F6"/>
    <w:rsid w:val="3B9279DF"/>
    <w:rsid w:val="3B976654"/>
    <w:rsid w:val="3BC01EFC"/>
    <w:rsid w:val="3BCA786A"/>
    <w:rsid w:val="3BD31E2F"/>
    <w:rsid w:val="3BF15831"/>
    <w:rsid w:val="3C105946"/>
    <w:rsid w:val="3C2E22EA"/>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CD1DC6"/>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077233"/>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627E2"/>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01445"/>
    <w:rsid w:val="4809698F"/>
    <w:rsid w:val="4811697D"/>
    <w:rsid w:val="487A3E25"/>
    <w:rsid w:val="488B5503"/>
    <w:rsid w:val="48937E21"/>
    <w:rsid w:val="489A0361"/>
    <w:rsid w:val="48B94FF3"/>
    <w:rsid w:val="48E37AAB"/>
    <w:rsid w:val="48FD4B4C"/>
    <w:rsid w:val="490A68E0"/>
    <w:rsid w:val="491055FE"/>
    <w:rsid w:val="495F5B3E"/>
    <w:rsid w:val="496F77D7"/>
    <w:rsid w:val="497654FD"/>
    <w:rsid w:val="49A817CC"/>
    <w:rsid w:val="49B64211"/>
    <w:rsid w:val="49E56AF9"/>
    <w:rsid w:val="49F6167F"/>
    <w:rsid w:val="4A006FF4"/>
    <w:rsid w:val="4A064FA0"/>
    <w:rsid w:val="4A16615C"/>
    <w:rsid w:val="4A4424D7"/>
    <w:rsid w:val="4A7F014A"/>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66F8C"/>
    <w:rsid w:val="51A86090"/>
    <w:rsid w:val="51B7396D"/>
    <w:rsid w:val="51BD15A5"/>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6F33A0"/>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1E6CBC"/>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E537BA"/>
    <w:rsid w:val="5FFE1E36"/>
    <w:rsid w:val="60232584"/>
    <w:rsid w:val="606403B9"/>
    <w:rsid w:val="607330CE"/>
    <w:rsid w:val="60825176"/>
    <w:rsid w:val="609F2AC4"/>
    <w:rsid w:val="60FA2EE8"/>
    <w:rsid w:val="61054A27"/>
    <w:rsid w:val="610A52BC"/>
    <w:rsid w:val="611D2366"/>
    <w:rsid w:val="61421856"/>
    <w:rsid w:val="615227C4"/>
    <w:rsid w:val="61654E3F"/>
    <w:rsid w:val="6182292A"/>
    <w:rsid w:val="619F7F92"/>
    <w:rsid w:val="61CF5A95"/>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93442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261C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338EE"/>
    <w:rsid w:val="75DA2C18"/>
    <w:rsid w:val="75F54412"/>
    <w:rsid w:val="761D08E0"/>
    <w:rsid w:val="765D347C"/>
    <w:rsid w:val="76826699"/>
    <w:rsid w:val="76C87133"/>
    <w:rsid w:val="76CD08D5"/>
    <w:rsid w:val="76DB4B92"/>
    <w:rsid w:val="77052AA4"/>
    <w:rsid w:val="77136511"/>
    <w:rsid w:val="77340A39"/>
    <w:rsid w:val="77351FD0"/>
    <w:rsid w:val="77472422"/>
    <w:rsid w:val="77773270"/>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8623B6"/>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63CE"/>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6"/>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8">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link w:val="322"/>
    <w:autoRedefine/>
    <w:qFormat/>
    <w:uiPriority w:val="0"/>
    <w:pPr>
      <w:ind w:firstLine="420"/>
    </w:pPr>
    <w:rPr>
      <w:rFonts w:hAnsi="Calibri" w:cs="Times New Roman"/>
      <w:snapToGrid/>
      <w:szCs w:val="20"/>
    </w:rPr>
  </w:style>
  <w:style w:type="paragraph" w:styleId="6">
    <w:name w:val="Normal Indent"/>
    <w:basedOn w:val="1"/>
    <w:next w:val="7"/>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7">
    <w:name w:val="Body Text Indent"/>
    <w:basedOn w:val="1"/>
    <w:next w:val="6"/>
    <w:link w:val="266"/>
    <w:autoRedefine/>
    <w:qFormat/>
    <w:uiPriority w:val="0"/>
    <w:pPr>
      <w:spacing w:line="480" w:lineRule="exact"/>
      <w:ind w:firstLine="480" w:firstLineChars="200"/>
    </w:pPr>
    <w:rPr>
      <w:rFonts w:ascii="宋体" w:hAnsi="宋体"/>
      <w:sz w:val="24"/>
    </w:rPr>
  </w:style>
  <w:style w:type="paragraph" w:styleId="15">
    <w:name w:val="toc 7"/>
    <w:basedOn w:val="1"/>
    <w:next w:val="1"/>
    <w:autoRedefine/>
    <w:qFormat/>
    <w:uiPriority w:val="0"/>
    <w:pPr>
      <w:ind w:left="2520" w:leftChars="1200"/>
    </w:pPr>
  </w:style>
  <w:style w:type="paragraph" w:styleId="16">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30"/>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3"/>
    <w:autoRedefine/>
    <w:qFormat/>
    <w:uiPriority w:val="0"/>
    <w:pPr>
      <w:shd w:val="clear" w:color="auto" w:fill="000080"/>
    </w:pPr>
  </w:style>
  <w:style w:type="paragraph" w:styleId="22">
    <w:name w:val="annotation text"/>
    <w:basedOn w:val="1"/>
    <w:link w:val="345"/>
    <w:autoRedefine/>
    <w:qFormat/>
    <w:uiPriority w:val="99"/>
    <w:pPr>
      <w:jc w:val="left"/>
    </w:pPr>
  </w:style>
  <w:style w:type="paragraph" w:styleId="23">
    <w:name w:val="Salutation"/>
    <w:basedOn w:val="1"/>
    <w:next w:val="1"/>
    <w:link w:val="299"/>
    <w:autoRedefine/>
    <w:qFormat/>
    <w:uiPriority w:val="0"/>
    <w:rPr>
      <w:rFonts w:ascii="仿宋_GB2312" w:eastAsia="仿宋_GB2312"/>
      <w:sz w:val="28"/>
      <w:szCs w:val="20"/>
    </w:rPr>
  </w:style>
  <w:style w:type="paragraph" w:styleId="24">
    <w:name w:val="Body Text 3"/>
    <w:basedOn w:val="1"/>
    <w:link w:val="331"/>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6"/>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2"/>
    <w:autoRedefine/>
    <w:qFormat/>
    <w:uiPriority w:val="0"/>
    <w:pPr>
      <w:ind w:left="100" w:leftChars="2500"/>
    </w:pPr>
    <w:rPr>
      <w:rFonts w:ascii="宋体"/>
      <w:sz w:val="24"/>
      <w:szCs w:val="21"/>
      <w:lang w:val="zh-CN"/>
    </w:rPr>
  </w:style>
  <w:style w:type="paragraph" w:styleId="37">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9"/>
    <w:autoRedefine/>
    <w:qFormat/>
    <w:uiPriority w:val="0"/>
    <w:rPr>
      <w:sz w:val="18"/>
      <w:szCs w:val="18"/>
    </w:rPr>
  </w:style>
  <w:style w:type="paragraph" w:styleId="40">
    <w:name w:val="footer"/>
    <w:basedOn w:val="1"/>
    <w:link w:val="384"/>
    <w:autoRedefine/>
    <w:qFormat/>
    <w:uiPriority w:val="99"/>
    <w:pPr>
      <w:tabs>
        <w:tab w:val="center" w:pos="4153"/>
        <w:tab w:val="right" w:pos="8306"/>
      </w:tabs>
      <w:snapToGrid w:val="0"/>
      <w:jc w:val="left"/>
    </w:pPr>
    <w:rPr>
      <w:sz w:val="18"/>
      <w:szCs w:val="18"/>
    </w:rPr>
  </w:style>
  <w:style w:type="paragraph" w:styleId="41">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6"/>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6"/>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3"/>
    <w:autoRedefine/>
    <w:qFormat/>
    <w:uiPriority w:val="0"/>
    <w:pPr>
      <w:spacing w:after="120" w:line="480" w:lineRule="auto"/>
    </w:pPr>
  </w:style>
  <w:style w:type="paragraph" w:styleId="57">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7"/>
    <w:autoRedefine/>
    <w:qFormat/>
    <w:uiPriority w:val="0"/>
    <w:rPr>
      <w:b/>
      <w:bCs/>
    </w:rPr>
  </w:style>
  <w:style w:type="paragraph" w:styleId="61">
    <w:name w:val="Body Text First Indent 2"/>
    <w:basedOn w:val="7"/>
    <w:next w:val="1"/>
    <w:link w:val="122"/>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80"/>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80">
    <w:name w:val="正文缩进1"/>
    <w:basedOn w:val="81"/>
    <w:next w:val="79"/>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81">
    <w:name w:val="正文1"/>
    <w:basedOn w:val="32"/>
    <w:next w:val="1"/>
    <w:autoRedefine/>
    <w:qFormat/>
    <w:uiPriority w:val="0"/>
    <w:pPr>
      <w:ind w:left="0" w:leftChars="0" w:firstLine="480" w:firstLineChars="200"/>
    </w:pPr>
    <w:rPr>
      <w:rFonts w:ascii="仿宋_GB2312" w:hAnsi="Courier New" w:eastAsia="仿宋_GB2312"/>
      <w:kern w:val="28"/>
      <w:sz w:val="24"/>
    </w:rPr>
  </w:style>
  <w:style w:type="paragraph" w:customStyle="1" w:styleId="82">
    <w:name w:val="标题 21"/>
    <w:basedOn w:val="81"/>
    <w:next w:val="81"/>
    <w:autoRedefine/>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0"/>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1"/>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69"/>
    <w:autoRedefine/>
    <w:qFormat/>
    <w:uiPriority w:val="0"/>
    <w:rPr>
      <w:rFonts w:ascii="Arial" w:hAnsi="Arial" w:eastAsia="黑体" w:cs="Arial"/>
      <w:snapToGrid w:val="0"/>
      <w:kern w:val="0"/>
      <w:szCs w:val="21"/>
    </w:rPr>
  </w:style>
  <w:style w:type="character" w:customStyle="1" w:styleId="126">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7"/>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1"/>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5"/>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6"/>
    <w:autoRedefine/>
    <w:qFormat/>
    <w:uiPriority w:val="0"/>
    <w:rPr>
      <w:rFonts w:ascii="宋体"/>
      <w:kern w:val="2"/>
      <w:sz w:val="24"/>
      <w:szCs w:val="21"/>
      <w:lang w:val="zh-CN"/>
    </w:rPr>
  </w:style>
  <w:style w:type="character" w:customStyle="1" w:styleId="183">
    <w:name w:val="标题 9 Char"/>
    <w:link w:val="14"/>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39"/>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8"/>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1"/>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69"/>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0"/>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9"/>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9"/>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7"/>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4"/>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59"/>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10"/>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3"/>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7"/>
    <w:autoRedefine/>
    <w:qFormat/>
    <w:uiPriority w:val="0"/>
    <w:rPr>
      <w:rFonts w:ascii="黑体" w:hAnsi="Courier New" w:eastAsia="黑体"/>
    </w:rPr>
  </w:style>
  <w:style w:type="character" w:customStyle="1" w:styleId="303">
    <w:name w:val="正文文本 2 Char1"/>
    <w:link w:val="56"/>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9"/>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2"/>
    <w:autoRedefine/>
    <w:qFormat/>
    <w:uiPriority w:val="0"/>
    <w:rPr>
      <w:b/>
      <w:bCs/>
      <w:kern w:val="2"/>
      <w:sz w:val="24"/>
      <w:szCs w:val="24"/>
    </w:rPr>
  </w:style>
  <w:style w:type="character" w:customStyle="1" w:styleId="309">
    <w:name w:val="正文文本缩进 2 Char"/>
    <w:link w:val="37"/>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0"/>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3"/>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9"/>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4"/>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2"/>
    <w:autoRedefine/>
    <w:qFormat/>
    <w:uiPriority w:val="99"/>
    <w:rPr>
      <w:kern w:val="2"/>
      <w:sz w:val="21"/>
      <w:szCs w:val="24"/>
    </w:rPr>
  </w:style>
  <w:style w:type="character" w:customStyle="1" w:styleId="346">
    <w:name w:val="签名 Char"/>
    <w:link w:val="42"/>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3"/>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3"/>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0"/>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1"/>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69"/>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6"/>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69"/>
    <w:autoRedefine/>
    <w:qFormat/>
    <w:uiPriority w:val="0"/>
    <w:rPr>
      <w:rFonts w:ascii="Arial" w:hAnsi="Arial" w:eastAsia="黑体" w:cs="Arial"/>
      <w:snapToGrid w:val="0"/>
      <w:kern w:val="0"/>
      <w:szCs w:val="21"/>
    </w:rPr>
  </w:style>
  <w:style w:type="character" w:customStyle="1" w:styleId="433">
    <w:name w:val="hui"/>
    <w:basedOn w:val="69"/>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9"/>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312"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11"/>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5"/>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8"/>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10"/>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8"/>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9"/>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6"/>
    <w:next w:val="236"/>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6"/>
    <w:next w:val="236"/>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6"/>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8"/>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8"/>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4"/>
    <w:autoRedefine/>
    <w:qFormat/>
    <w:uiPriority w:val="0"/>
    <w:pPr>
      <w:tabs>
        <w:tab w:val="left" w:pos="840"/>
      </w:tabs>
      <w:adjustRightInd/>
      <w:ind w:left="840" w:hanging="420"/>
    </w:pPr>
  </w:style>
  <w:style w:type="paragraph" w:customStyle="1" w:styleId="627">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9"/>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autoRedefine/>
    <w:qFormat/>
    <w:uiPriority w:val="0"/>
    <w:pPr>
      <w:jc w:val="left"/>
      <w:outlineLvl w:val="1"/>
    </w:pPr>
    <w:rPr>
      <w:rFonts w:ascii="Times New Roman" w:hAnsi="Times New Roman" w:eastAsia="仿宋"/>
      <w:sz w:val="30"/>
    </w:rPr>
  </w:style>
  <w:style w:type="paragraph" w:customStyle="1" w:styleId="674">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autoRedefine/>
    <w:qFormat/>
    <w:uiPriority w:val="0"/>
    <w:pPr>
      <w:tabs>
        <w:tab w:val="left" w:pos="840"/>
      </w:tabs>
      <w:adjustRightInd/>
      <w:ind w:left="840" w:hanging="420"/>
    </w:pPr>
  </w:style>
  <w:style w:type="paragraph" w:customStyle="1" w:styleId="680">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9"/>
    <w:autoRedefine/>
    <w:qFormat/>
    <w:uiPriority w:val="0"/>
    <w:pPr>
      <w:tabs>
        <w:tab w:val="left" w:pos="2100"/>
      </w:tabs>
      <w:adjustRightInd/>
      <w:ind w:left="2100" w:hanging="420"/>
    </w:pPr>
    <w:rPr>
      <w:lang w:val="en-US"/>
    </w:rPr>
  </w:style>
  <w:style w:type="paragraph" w:customStyle="1" w:styleId="688">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autoRedefine/>
    <w:qFormat/>
    <w:uiPriority w:val="6"/>
    <w:pPr>
      <w:spacing w:line="360" w:lineRule="auto"/>
    </w:pPr>
    <w:rPr>
      <w:szCs w:val="20"/>
    </w:rPr>
  </w:style>
  <w:style w:type="paragraph" w:customStyle="1" w:styleId="691">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7">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autoRedefine/>
    <w:qFormat/>
    <w:uiPriority w:val="0"/>
    <w:pPr>
      <w:adjustRightInd/>
      <w:spacing w:line="360" w:lineRule="auto"/>
      <w:jc w:val="center"/>
    </w:pPr>
    <w:rPr>
      <w:sz w:val="24"/>
    </w:rPr>
  </w:style>
  <w:style w:type="paragraph" w:customStyle="1" w:styleId="701">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autoRedefine/>
    <w:qFormat/>
    <w:uiPriority w:val="6"/>
    <w:rPr>
      <w:rFonts w:ascii="仿宋_GB2312" w:eastAsia="仿宋_GB2312"/>
      <w:b/>
      <w:sz w:val="32"/>
      <w:szCs w:val="32"/>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8"/>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8"/>
    <w:next w:val="53"/>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1"/>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5"/>
    <w:autoRedefine/>
    <w:qFormat/>
    <w:uiPriority w:val="0"/>
  </w:style>
  <w:style w:type="paragraph" w:customStyle="1" w:styleId="804">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9"/>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8"/>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8"/>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1"/>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9"/>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3"/>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9"/>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8"/>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10"/>
    <w:next w:val="1"/>
    <w:autoRedefine/>
    <w:qFormat/>
    <w:uiPriority w:val="0"/>
    <w:pPr>
      <w:tabs>
        <w:tab w:val="left" w:pos="1080"/>
      </w:tabs>
      <w:ind w:left="1080" w:hanging="1080"/>
    </w:pPr>
  </w:style>
  <w:style w:type="paragraph" w:customStyle="1" w:styleId="896">
    <w:name w:val="数字标题1"/>
    <w:basedOn w:val="4"/>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4"/>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8"/>
    <w:autoRedefine/>
    <w:qFormat/>
    <w:uiPriority w:val="0"/>
    <w:rPr>
      <w:kern w:val="2"/>
      <w:sz w:val="21"/>
      <w:szCs w:val="24"/>
      <w:lang w:val="zh-CN"/>
    </w:rPr>
  </w:style>
  <w:style w:type="character" w:customStyle="1" w:styleId="932">
    <w:name w:val="无间隔 Char"/>
    <w:link w:val="484"/>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9"/>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No Spacing1"/>
    <w:basedOn w:val="1"/>
    <w:autoRedefine/>
    <w:qFormat/>
    <w:uiPriority w:val="99"/>
  </w:style>
  <w:style w:type="paragraph" w:customStyle="1" w:styleId="965">
    <w:name w:val="Plain Text"/>
    <w:basedOn w:val="1"/>
    <w:autoRedefine/>
    <w:qFormat/>
    <w:uiPriority w:val="0"/>
    <w:pPr>
      <w:spacing w:before="156" w:beforeLines="50" w:after="156" w:afterLines="50" w:line="400" w:lineRule="exact"/>
    </w:pPr>
    <w:rPr>
      <w:rFonts w:ascii="宋体" w:hAnsi="Courier New"/>
      <w:sz w:val="24"/>
    </w:rPr>
  </w:style>
  <w:style w:type="paragraph" w:customStyle="1" w:styleId="966">
    <w:name w:val="Normal"/>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967">
    <w:name w:val="NormalCharacter"/>
    <w:autoRedefine/>
    <w:semiHidden/>
    <w:qFormat/>
    <w:uiPriority w:val="0"/>
    <w:rPr>
      <w:rFonts w:ascii="等线" w:hAnsi="等线"/>
      <w:kern w:val="2"/>
      <w:sz w:val="21"/>
      <w:szCs w:val="24"/>
      <w:lang w:val="en-US" w:eastAsia="zh-CN" w:bidi="ar-SA"/>
    </w:rPr>
  </w:style>
  <w:style w:type="paragraph" w:customStyle="1" w:styleId="968">
    <w:name w:val="[Normal]"/>
    <w:autoRedefine/>
    <w:qFormat/>
    <w:uiPriority w:val="99"/>
    <w:rPr>
      <w:rFonts w:ascii="宋体" w:hAnsi="宋体" w:eastAsia="宋体" w:cs="宋体"/>
      <w:kern w:val="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85</Pages>
  <Words>36930</Words>
  <Characters>39231</Characters>
  <Lines>281</Lines>
  <Paragraphs>79</Paragraphs>
  <TotalTime>53</TotalTime>
  <ScaleCrop>false</ScaleCrop>
  <LinksUpToDate>false</LinksUpToDate>
  <CharactersWithSpaces>45096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cp:lastModifiedBy>
  <cp:lastPrinted>2021-12-27T03:06:00Z</cp:lastPrinted>
  <dcterms:modified xsi:type="dcterms:W3CDTF">2024-02-27T02:40:09Z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E600FE81866A49018EFACD9035F4E7CF_13</vt:lpwstr>
  </property>
</Properties>
</file>